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80FD9" w14:textId="77777777" w:rsidR="00596584" w:rsidRPr="00D07897" w:rsidRDefault="00596584" w:rsidP="00F96F15">
      <w:pPr>
        <w:spacing w:line="360" w:lineRule="auto"/>
        <w:jc w:val="both"/>
        <w:rPr>
          <w:rFonts w:ascii="Book Antiqua" w:hAnsi="Book Antiqua" w:cs="Arial"/>
          <w:i/>
          <w:color w:val="000000" w:themeColor="text1"/>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D07897">
        <w:rPr>
          <w:rFonts w:ascii="Book Antiqua" w:hAnsi="Book Antiqua" w:cs="Arial"/>
          <w:color w:val="000000" w:themeColor="text1"/>
        </w:rPr>
        <w:t xml:space="preserve">Name of Journal: </w:t>
      </w:r>
      <w:r w:rsidRPr="00D07897">
        <w:rPr>
          <w:rFonts w:ascii="Book Antiqua" w:hAnsi="Book Antiqua" w:cs="Arial"/>
          <w:i/>
          <w:iCs/>
          <w:color w:val="000000" w:themeColor="text1"/>
        </w:rPr>
        <w:t>World Journal of Gastroenterology</w:t>
      </w:r>
    </w:p>
    <w:p w14:paraId="1F24FD95" w14:textId="77777777" w:rsidR="00596584" w:rsidRPr="00D07897" w:rsidRDefault="00596584" w:rsidP="00F96F15">
      <w:pPr>
        <w:spacing w:line="360" w:lineRule="auto"/>
        <w:jc w:val="both"/>
        <w:rPr>
          <w:rFonts w:ascii="Book Antiqua" w:hAnsi="Book Antiqua" w:cs="Arial"/>
          <w:color w:val="000000" w:themeColor="text1"/>
          <w:lang w:val="en" w:eastAsia="zh-CN"/>
        </w:rPr>
      </w:pPr>
      <w:bookmarkStart w:id="8" w:name="_Hlk5632321"/>
      <w:r w:rsidRPr="00D07897">
        <w:rPr>
          <w:rFonts w:ascii="Book Antiqua" w:hAnsi="Book Antiqua" w:cs="Arial"/>
          <w:bCs/>
          <w:color w:val="000000" w:themeColor="text1"/>
        </w:rPr>
        <w:t>Manuscript NO</w:t>
      </w:r>
      <w:r w:rsidRPr="00D07897">
        <w:rPr>
          <w:rFonts w:ascii="Book Antiqua" w:hAnsi="Book Antiqua" w:cs="Arial"/>
          <w:color w:val="000000" w:themeColor="text1"/>
          <w:lang w:val="en"/>
        </w:rPr>
        <w:t>: 47220</w:t>
      </w:r>
    </w:p>
    <w:bookmarkEnd w:id="8"/>
    <w:p w14:paraId="6920F972" w14:textId="408DC156" w:rsidR="00596584" w:rsidRPr="00D07897" w:rsidRDefault="00596584" w:rsidP="00F96F15">
      <w:pPr>
        <w:spacing w:line="360" w:lineRule="auto"/>
        <w:jc w:val="both"/>
        <w:rPr>
          <w:rFonts w:ascii="Book Antiqua" w:eastAsia="等线" w:hAnsi="Book Antiqua" w:cs="Arial"/>
          <w:color w:val="000000" w:themeColor="text1"/>
          <w:lang w:eastAsia="zh-CN"/>
        </w:rPr>
      </w:pPr>
      <w:r w:rsidRPr="00D07897">
        <w:rPr>
          <w:rFonts w:ascii="Book Antiqua" w:hAnsi="Book Antiqua" w:cs="Arial"/>
          <w:color w:val="000000" w:themeColor="text1"/>
          <w:shd w:val="clear" w:color="auto" w:fill="FFFFFF"/>
        </w:rPr>
        <w:t>Manuscript Type</w:t>
      </w:r>
      <w:r w:rsidRPr="00D07897">
        <w:rPr>
          <w:rFonts w:ascii="Book Antiqua" w:hAnsi="Book Antiqua" w:cs="Arial"/>
          <w:color w:val="000000" w:themeColor="text1"/>
        </w:rPr>
        <w:t>:</w:t>
      </w:r>
      <w:bookmarkEnd w:id="0"/>
      <w:bookmarkEnd w:id="1"/>
      <w:bookmarkEnd w:id="2"/>
      <w:bookmarkEnd w:id="3"/>
      <w:bookmarkEnd w:id="4"/>
      <w:bookmarkEnd w:id="5"/>
      <w:bookmarkEnd w:id="6"/>
      <w:bookmarkEnd w:id="7"/>
      <w:r w:rsidRPr="00D07897">
        <w:rPr>
          <w:rFonts w:ascii="Book Antiqua" w:hAnsi="Book Antiqua" w:cs="Arial"/>
          <w:color w:val="000000" w:themeColor="text1"/>
        </w:rPr>
        <w:t xml:space="preserve"> </w:t>
      </w:r>
      <w:r w:rsidR="00F96F15" w:rsidRPr="00D07897">
        <w:rPr>
          <w:rFonts w:ascii="Book Antiqua" w:eastAsia="幼圆" w:hAnsi="Book Antiqua"/>
          <w:color w:val="000000" w:themeColor="text1"/>
        </w:rPr>
        <w:t>SYSTEMATIC REVIEWS</w:t>
      </w:r>
    </w:p>
    <w:p w14:paraId="080F616C" w14:textId="77777777" w:rsidR="003B5CDF" w:rsidRPr="00D07897" w:rsidRDefault="003B5CDF" w:rsidP="00F96F15">
      <w:pPr>
        <w:spacing w:line="360" w:lineRule="auto"/>
        <w:jc w:val="both"/>
        <w:rPr>
          <w:rFonts w:ascii="Book Antiqua" w:hAnsi="Book Antiqua" w:cs="Arial"/>
          <w:i/>
          <w:color w:val="000000" w:themeColor="text1"/>
        </w:rPr>
      </w:pPr>
    </w:p>
    <w:p w14:paraId="51EC2FC2" w14:textId="45812D99" w:rsidR="00320A8B" w:rsidRPr="00D07897" w:rsidRDefault="00320A8B" w:rsidP="00F96F15">
      <w:pPr>
        <w:spacing w:line="360" w:lineRule="auto"/>
        <w:jc w:val="both"/>
        <w:rPr>
          <w:rFonts w:ascii="Book Antiqua" w:hAnsi="Book Antiqua" w:cs="Arial"/>
          <w:color w:val="000000" w:themeColor="text1"/>
        </w:rPr>
      </w:pPr>
      <w:bookmarkStart w:id="9" w:name="OLE_LINK3"/>
      <w:r w:rsidRPr="00D07897">
        <w:rPr>
          <w:rFonts w:ascii="Book Antiqua" w:hAnsi="Book Antiqua" w:cs="Arial"/>
          <w:b/>
          <w:color w:val="000000" w:themeColor="text1"/>
        </w:rPr>
        <w:t xml:space="preserve">Systematic </w:t>
      </w:r>
      <w:r w:rsidR="00F96F15" w:rsidRPr="00D07897">
        <w:rPr>
          <w:rFonts w:ascii="Book Antiqua" w:hAnsi="Book Antiqua" w:cs="Arial"/>
          <w:b/>
          <w:color w:val="000000" w:themeColor="text1"/>
        </w:rPr>
        <w:t>review of nutrition screening and assessment in inflammatory bowel disease</w:t>
      </w:r>
    </w:p>
    <w:bookmarkEnd w:id="9"/>
    <w:p w14:paraId="6CF115DE" w14:textId="77777777" w:rsidR="00320A8B" w:rsidRPr="00D07897" w:rsidRDefault="00320A8B" w:rsidP="00F96F15">
      <w:pPr>
        <w:spacing w:line="360" w:lineRule="auto"/>
        <w:jc w:val="both"/>
        <w:rPr>
          <w:rFonts w:ascii="Book Antiqua" w:hAnsi="Book Antiqua" w:cs="Arial"/>
          <w:color w:val="000000" w:themeColor="text1"/>
        </w:rPr>
      </w:pPr>
    </w:p>
    <w:p w14:paraId="77E0D12B" w14:textId="6E0B113D" w:rsidR="00320A8B" w:rsidRPr="00D07897" w:rsidRDefault="00F96F15"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lang w:val="en-CA"/>
        </w:rPr>
        <w:t xml:space="preserve">Li S </w:t>
      </w:r>
      <w:r w:rsidRPr="00D07897">
        <w:rPr>
          <w:rFonts w:ascii="Book Antiqua" w:hAnsi="Book Antiqua" w:cs="Arial"/>
          <w:i/>
          <w:iCs/>
          <w:color w:val="000000" w:themeColor="text1"/>
          <w:lang w:val="en-CA"/>
        </w:rPr>
        <w:t>et al</w:t>
      </w:r>
      <w:r w:rsidRPr="00D07897">
        <w:rPr>
          <w:rFonts w:ascii="Book Antiqua" w:hAnsi="Book Antiqua" w:cs="Arial"/>
          <w:color w:val="000000" w:themeColor="text1"/>
          <w:lang w:val="en-CA"/>
        </w:rPr>
        <w:t xml:space="preserve">. </w:t>
      </w:r>
      <w:bookmarkStart w:id="10" w:name="OLE_LINK4"/>
      <w:bookmarkStart w:id="11" w:name="OLE_LINK5"/>
      <w:r w:rsidR="00320A8B" w:rsidRPr="00D07897">
        <w:rPr>
          <w:rFonts w:ascii="Book Antiqua" w:hAnsi="Book Antiqua" w:cs="Arial"/>
          <w:color w:val="000000" w:themeColor="text1"/>
        </w:rPr>
        <w:t xml:space="preserve">Nutrition </w:t>
      </w:r>
      <w:r w:rsidRPr="00D07897">
        <w:rPr>
          <w:rFonts w:ascii="Book Antiqua" w:hAnsi="Book Antiqua" w:cs="Arial"/>
          <w:color w:val="000000" w:themeColor="text1"/>
        </w:rPr>
        <w:t xml:space="preserve">screening and assessment </w:t>
      </w:r>
      <w:r w:rsidR="00320A8B" w:rsidRPr="00D07897">
        <w:rPr>
          <w:rFonts w:ascii="Book Antiqua" w:hAnsi="Book Antiqua" w:cs="Arial"/>
          <w:color w:val="000000" w:themeColor="text1"/>
        </w:rPr>
        <w:t>in IBD</w:t>
      </w:r>
      <w:bookmarkEnd w:id="10"/>
      <w:bookmarkEnd w:id="11"/>
    </w:p>
    <w:p w14:paraId="06C551A4" w14:textId="77777777" w:rsidR="00320A8B" w:rsidRPr="00D07897" w:rsidRDefault="00320A8B" w:rsidP="00F96F15">
      <w:pPr>
        <w:spacing w:line="360" w:lineRule="auto"/>
        <w:jc w:val="both"/>
        <w:rPr>
          <w:rFonts w:ascii="Book Antiqua" w:hAnsi="Book Antiqua" w:cs="Arial"/>
          <w:color w:val="000000" w:themeColor="text1"/>
        </w:rPr>
      </w:pPr>
    </w:p>
    <w:p w14:paraId="5AD9AD29" w14:textId="205183A8" w:rsidR="00320A8B" w:rsidRPr="00D07897" w:rsidRDefault="00320A8B" w:rsidP="00F96F15">
      <w:pPr>
        <w:spacing w:line="360" w:lineRule="auto"/>
        <w:jc w:val="both"/>
        <w:rPr>
          <w:rFonts w:ascii="Book Antiqua" w:hAnsi="Book Antiqua" w:cs="Arial"/>
          <w:color w:val="000000" w:themeColor="text1"/>
          <w:vertAlign w:val="superscript"/>
          <w:lang w:val="en-CA"/>
        </w:rPr>
      </w:pPr>
      <w:proofErr w:type="spellStart"/>
      <w:r w:rsidRPr="00D07897">
        <w:rPr>
          <w:rFonts w:ascii="Book Antiqua" w:hAnsi="Book Antiqua" w:cs="Arial"/>
          <w:color w:val="000000" w:themeColor="text1"/>
          <w:lang w:val="en-CA"/>
        </w:rPr>
        <w:t>Su</w:t>
      </w:r>
      <w:r w:rsidR="00417C28" w:rsidRPr="00D07897">
        <w:rPr>
          <w:rFonts w:ascii="Book Antiqua" w:hAnsi="Book Antiqua" w:cs="Arial"/>
          <w:color w:val="000000" w:themeColor="text1"/>
          <w:lang w:val="en-CA"/>
        </w:rPr>
        <w:t>q</w:t>
      </w:r>
      <w:r w:rsidRPr="00D07897">
        <w:rPr>
          <w:rFonts w:ascii="Book Antiqua" w:hAnsi="Book Antiqua" w:cs="Arial"/>
          <w:color w:val="000000" w:themeColor="text1"/>
          <w:lang w:val="en-CA"/>
        </w:rPr>
        <w:t>ing</w:t>
      </w:r>
      <w:proofErr w:type="spellEnd"/>
      <w:r w:rsidRPr="00D07897">
        <w:rPr>
          <w:rFonts w:ascii="Book Antiqua" w:hAnsi="Book Antiqua" w:cs="Arial"/>
          <w:color w:val="000000" w:themeColor="text1"/>
          <w:lang w:val="en-CA"/>
        </w:rPr>
        <w:t xml:space="preserve"> Li, Michael Ney, </w:t>
      </w:r>
      <w:proofErr w:type="spellStart"/>
      <w:r w:rsidRPr="00D07897">
        <w:rPr>
          <w:rFonts w:ascii="Book Antiqua" w:hAnsi="Book Antiqua" w:cs="Arial"/>
          <w:color w:val="000000" w:themeColor="text1"/>
          <w:lang w:val="en-CA"/>
        </w:rPr>
        <w:t>Tannaz</w:t>
      </w:r>
      <w:proofErr w:type="spellEnd"/>
      <w:r w:rsidRPr="00D07897">
        <w:rPr>
          <w:rFonts w:ascii="Book Antiqua" w:hAnsi="Book Antiqua" w:cs="Arial"/>
          <w:color w:val="000000" w:themeColor="text1"/>
          <w:lang w:val="en-CA"/>
        </w:rPr>
        <w:t xml:space="preserve"> </w:t>
      </w:r>
      <w:proofErr w:type="spellStart"/>
      <w:r w:rsidRPr="00D07897">
        <w:rPr>
          <w:rFonts w:ascii="Book Antiqua" w:hAnsi="Book Antiqua" w:cs="Arial"/>
          <w:color w:val="000000" w:themeColor="text1"/>
          <w:lang w:val="en-CA"/>
        </w:rPr>
        <w:t>Eslamparast</w:t>
      </w:r>
      <w:proofErr w:type="spellEnd"/>
      <w:r w:rsidRPr="00D07897">
        <w:rPr>
          <w:rFonts w:ascii="Book Antiqua" w:hAnsi="Book Antiqua" w:cs="Arial"/>
          <w:color w:val="000000" w:themeColor="text1"/>
          <w:lang w:val="en-CA"/>
        </w:rPr>
        <w:t xml:space="preserve">, Ben </w:t>
      </w:r>
      <w:proofErr w:type="spellStart"/>
      <w:r w:rsidRPr="00D07897">
        <w:rPr>
          <w:rFonts w:ascii="Book Antiqua" w:hAnsi="Book Antiqua" w:cs="Arial"/>
          <w:color w:val="000000" w:themeColor="text1"/>
          <w:lang w:val="en-CA"/>
        </w:rPr>
        <w:t>Vandermeer</w:t>
      </w:r>
      <w:proofErr w:type="spellEnd"/>
      <w:r w:rsidRPr="00D07897">
        <w:rPr>
          <w:rFonts w:ascii="Book Antiqua" w:hAnsi="Book Antiqua" w:cs="Arial"/>
          <w:color w:val="000000" w:themeColor="text1"/>
          <w:lang w:val="en-CA"/>
        </w:rPr>
        <w:t xml:space="preserve">, Kathleen P </w:t>
      </w:r>
      <w:proofErr w:type="spellStart"/>
      <w:r w:rsidRPr="00D07897">
        <w:rPr>
          <w:rFonts w:ascii="Book Antiqua" w:hAnsi="Book Antiqua" w:cs="Arial"/>
          <w:color w:val="000000" w:themeColor="text1"/>
          <w:lang w:val="en-CA"/>
        </w:rPr>
        <w:t>Ismond</w:t>
      </w:r>
      <w:proofErr w:type="spellEnd"/>
      <w:r w:rsidRPr="00D07897">
        <w:rPr>
          <w:rFonts w:ascii="Book Antiqua" w:hAnsi="Book Antiqua" w:cs="Arial"/>
          <w:color w:val="000000" w:themeColor="text1"/>
          <w:lang w:val="en-CA"/>
        </w:rPr>
        <w:t xml:space="preserve">, Karen </w:t>
      </w:r>
      <w:proofErr w:type="spellStart"/>
      <w:r w:rsidRPr="00D07897">
        <w:rPr>
          <w:rFonts w:ascii="Book Antiqua" w:hAnsi="Book Antiqua" w:cs="Arial"/>
          <w:color w:val="000000" w:themeColor="text1"/>
          <w:lang w:val="en-CA"/>
        </w:rPr>
        <w:t>Kroeker</w:t>
      </w:r>
      <w:proofErr w:type="spellEnd"/>
      <w:r w:rsidRPr="00D07897">
        <w:rPr>
          <w:rFonts w:ascii="Book Antiqua" w:hAnsi="Book Antiqua" w:cs="Arial"/>
          <w:color w:val="000000" w:themeColor="text1"/>
          <w:lang w:val="en-CA"/>
        </w:rPr>
        <w:t xml:space="preserve">, Brendan Halloran, </w:t>
      </w:r>
      <w:proofErr w:type="spellStart"/>
      <w:r w:rsidRPr="00D07897">
        <w:rPr>
          <w:rFonts w:ascii="Book Antiqua" w:hAnsi="Book Antiqua" w:cs="Arial"/>
          <w:color w:val="000000" w:themeColor="text1"/>
          <w:lang w:val="en-CA"/>
        </w:rPr>
        <w:t>Maitreyi</w:t>
      </w:r>
      <w:proofErr w:type="spellEnd"/>
      <w:r w:rsidRPr="00D07897">
        <w:rPr>
          <w:rFonts w:ascii="Book Antiqua" w:hAnsi="Book Antiqua" w:cs="Arial"/>
          <w:color w:val="000000" w:themeColor="text1"/>
          <w:lang w:val="en-CA"/>
        </w:rPr>
        <w:t xml:space="preserve"> Raman, </w:t>
      </w:r>
      <w:bookmarkStart w:id="12" w:name="OLE_LINK876"/>
      <w:proofErr w:type="spellStart"/>
      <w:r w:rsidRPr="00D07897">
        <w:rPr>
          <w:rFonts w:ascii="Book Antiqua" w:hAnsi="Book Antiqua" w:cs="Arial"/>
          <w:color w:val="000000" w:themeColor="text1"/>
          <w:lang w:val="en-CA"/>
        </w:rPr>
        <w:t>Puneeta</w:t>
      </w:r>
      <w:proofErr w:type="spellEnd"/>
      <w:r w:rsidRPr="00D07897">
        <w:rPr>
          <w:rFonts w:ascii="Book Antiqua" w:hAnsi="Book Antiqua" w:cs="Arial"/>
          <w:color w:val="000000" w:themeColor="text1"/>
          <w:lang w:val="en-CA"/>
        </w:rPr>
        <w:t xml:space="preserve"> </w:t>
      </w:r>
      <w:proofErr w:type="spellStart"/>
      <w:r w:rsidRPr="00D07897">
        <w:rPr>
          <w:rFonts w:ascii="Book Antiqua" w:hAnsi="Book Antiqua" w:cs="Arial"/>
          <w:color w:val="000000" w:themeColor="text1"/>
          <w:lang w:val="en-CA"/>
        </w:rPr>
        <w:t>Tandon</w:t>
      </w:r>
      <w:proofErr w:type="spellEnd"/>
    </w:p>
    <w:bookmarkEnd w:id="12"/>
    <w:p w14:paraId="5C5B7D12" w14:textId="77777777" w:rsidR="00596584" w:rsidRPr="00D07897" w:rsidRDefault="00596584" w:rsidP="00F96F15">
      <w:pPr>
        <w:spacing w:line="360" w:lineRule="auto"/>
        <w:jc w:val="both"/>
        <w:rPr>
          <w:rFonts w:ascii="Book Antiqua" w:hAnsi="Book Antiqua" w:cs="Arial"/>
          <w:color w:val="000000" w:themeColor="text1"/>
        </w:rPr>
      </w:pPr>
    </w:p>
    <w:p w14:paraId="14B22D5B" w14:textId="68ED2E03" w:rsidR="00596584" w:rsidRPr="00D07897" w:rsidRDefault="00F96F15" w:rsidP="00F96F15">
      <w:pPr>
        <w:spacing w:line="360" w:lineRule="auto"/>
        <w:jc w:val="both"/>
        <w:rPr>
          <w:rFonts w:ascii="Book Antiqua" w:hAnsi="Book Antiqua" w:cs="Arial"/>
          <w:color w:val="000000" w:themeColor="text1"/>
          <w:lang w:val="en-GB"/>
        </w:rPr>
      </w:pPr>
      <w:proofErr w:type="spellStart"/>
      <w:r w:rsidRPr="00D07897">
        <w:rPr>
          <w:rFonts w:ascii="Book Antiqua" w:hAnsi="Book Antiqua" w:cs="Arial"/>
          <w:b/>
          <w:bCs/>
          <w:color w:val="000000" w:themeColor="text1"/>
          <w:lang w:val="en-CA"/>
        </w:rPr>
        <w:t>Su</w:t>
      </w:r>
      <w:r w:rsidR="006E3180" w:rsidRPr="00D07897">
        <w:rPr>
          <w:rFonts w:ascii="Book Antiqua" w:hAnsi="Book Antiqua" w:cs="Arial"/>
          <w:b/>
          <w:bCs/>
          <w:color w:val="000000" w:themeColor="text1"/>
          <w:lang w:val="en-CA"/>
        </w:rPr>
        <w:t>q</w:t>
      </w:r>
      <w:r w:rsidRPr="00D07897">
        <w:rPr>
          <w:rFonts w:ascii="Book Antiqua" w:hAnsi="Book Antiqua" w:cs="Arial"/>
          <w:b/>
          <w:bCs/>
          <w:color w:val="000000" w:themeColor="text1"/>
          <w:lang w:val="en-CA"/>
        </w:rPr>
        <w:t>ing</w:t>
      </w:r>
      <w:proofErr w:type="spellEnd"/>
      <w:r w:rsidRPr="00D07897">
        <w:rPr>
          <w:rFonts w:ascii="Book Antiqua" w:hAnsi="Book Antiqua" w:cs="Arial"/>
          <w:b/>
          <w:bCs/>
          <w:color w:val="000000" w:themeColor="text1"/>
          <w:lang w:val="en-CA"/>
        </w:rPr>
        <w:t xml:space="preserve"> Li, </w:t>
      </w:r>
      <w:r w:rsidR="00596584" w:rsidRPr="00D07897">
        <w:rPr>
          <w:rFonts w:ascii="Book Antiqua" w:hAnsi="Book Antiqua" w:cs="Arial"/>
          <w:color w:val="000000" w:themeColor="text1"/>
        </w:rPr>
        <w:t>Division of Internal Medicine, Department of Medicine, Faculty of Medicine and Dentistry, University of Alberta, Edmonton, Alberta T6G 2G3</w:t>
      </w:r>
      <w:r w:rsidRPr="00D07897">
        <w:rPr>
          <w:rFonts w:ascii="Book Antiqua" w:hAnsi="Book Antiqua" w:cs="Arial"/>
          <w:color w:val="000000" w:themeColor="text1"/>
        </w:rPr>
        <w:t>, Canada</w:t>
      </w:r>
    </w:p>
    <w:p w14:paraId="1282BBAD" w14:textId="77777777" w:rsidR="00596584" w:rsidRPr="00D07897" w:rsidRDefault="00596584" w:rsidP="00F96F15">
      <w:pPr>
        <w:spacing w:line="360" w:lineRule="auto"/>
        <w:jc w:val="both"/>
        <w:rPr>
          <w:rFonts w:ascii="Book Antiqua" w:hAnsi="Book Antiqua" w:cs="Arial"/>
          <w:color w:val="000000" w:themeColor="text1"/>
        </w:rPr>
      </w:pPr>
    </w:p>
    <w:p w14:paraId="3C66977E" w14:textId="2E2E1EB6" w:rsidR="00596584" w:rsidRPr="00D07897" w:rsidRDefault="00F96F15" w:rsidP="00F96F15">
      <w:pPr>
        <w:spacing w:line="360" w:lineRule="auto"/>
        <w:jc w:val="both"/>
        <w:rPr>
          <w:rFonts w:ascii="Book Antiqua" w:eastAsia="Arial Unicode MS" w:hAnsi="Book Antiqua" w:cs="Arial"/>
          <w:color w:val="000000" w:themeColor="text1"/>
          <w:lang w:eastAsia="zh-CN"/>
        </w:rPr>
      </w:pPr>
      <w:r w:rsidRPr="00D07897">
        <w:rPr>
          <w:rFonts w:ascii="Book Antiqua" w:hAnsi="Book Antiqua" w:cs="Arial"/>
          <w:b/>
          <w:bCs/>
          <w:color w:val="000000" w:themeColor="text1"/>
          <w:lang w:val="en-CA"/>
        </w:rPr>
        <w:t xml:space="preserve">Michael Ney, </w:t>
      </w:r>
      <w:proofErr w:type="spellStart"/>
      <w:r w:rsidRPr="00D07897">
        <w:rPr>
          <w:rFonts w:ascii="Book Antiqua" w:hAnsi="Book Antiqua" w:cs="Arial"/>
          <w:b/>
          <w:bCs/>
          <w:color w:val="000000" w:themeColor="text1"/>
          <w:lang w:val="en-CA"/>
        </w:rPr>
        <w:t>Maitreyi</w:t>
      </w:r>
      <w:proofErr w:type="spellEnd"/>
      <w:r w:rsidRPr="00D07897">
        <w:rPr>
          <w:rFonts w:ascii="Book Antiqua" w:hAnsi="Book Antiqua" w:cs="Arial"/>
          <w:b/>
          <w:bCs/>
          <w:color w:val="000000" w:themeColor="text1"/>
          <w:lang w:val="en-CA"/>
        </w:rPr>
        <w:t xml:space="preserve"> Raman, </w:t>
      </w:r>
      <w:r w:rsidR="00596584" w:rsidRPr="00D07897">
        <w:rPr>
          <w:rFonts w:ascii="Book Antiqua" w:hAnsi="Book Antiqua" w:cs="Arial"/>
          <w:color w:val="000000" w:themeColor="text1"/>
        </w:rPr>
        <w:t xml:space="preserve">Division of Gastroenterology </w:t>
      </w:r>
      <w:r w:rsidRPr="00D07897">
        <w:rPr>
          <w:rFonts w:ascii="Book Antiqua" w:hAnsi="Book Antiqua" w:cs="Arial"/>
          <w:color w:val="000000" w:themeColor="text1"/>
        </w:rPr>
        <w:t>and</w:t>
      </w:r>
      <w:r w:rsidR="00596584" w:rsidRPr="00D07897">
        <w:rPr>
          <w:rFonts w:ascii="Book Antiqua" w:hAnsi="Book Antiqua" w:cs="Arial"/>
          <w:color w:val="000000" w:themeColor="text1"/>
        </w:rPr>
        <w:t xml:space="preserve"> Hepatology, Department of Medicine, University of Calgary</w:t>
      </w:r>
      <w:r w:rsidR="00596584" w:rsidRPr="00D07897">
        <w:rPr>
          <w:rFonts w:ascii="Book Antiqua" w:hAnsi="Book Antiqua" w:cs="Arial"/>
          <w:color w:val="000000" w:themeColor="text1"/>
          <w:lang w:val="en-CA"/>
        </w:rPr>
        <w:t xml:space="preserve">, </w:t>
      </w:r>
      <w:proofErr w:type="spellStart"/>
      <w:r w:rsidR="00596584" w:rsidRPr="00D07897">
        <w:rPr>
          <w:rFonts w:ascii="Book Antiqua" w:hAnsi="Book Antiqua" w:cs="Arial"/>
          <w:color w:val="000000" w:themeColor="text1"/>
          <w:lang w:val="en-CA"/>
        </w:rPr>
        <w:t>Calgar</w:t>
      </w:r>
      <w:proofErr w:type="spellEnd"/>
      <w:r w:rsidR="00596584" w:rsidRPr="00D07897">
        <w:rPr>
          <w:rFonts w:ascii="Book Antiqua" w:eastAsiaTheme="minorEastAsia" w:hAnsi="Book Antiqua" w:cs="Arial"/>
          <w:color w:val="000000" w:themeColor="text1"/>
          <w:lang w:eastAsia="zh-CN"/>
        </w:rPr>
        <w:t xml:space="preserve">y, </w:t>
      </w:r>
      <w:r w:rsidR="00596584" w:rsidRPr="00D07897">
        <w:rPr>
          <w:rFonts w:ascii="Book Antiqua" w:hAnsi="Book Antiqua" w:cs="Arial"/>
          <w:color w:val="000000" w:themeColor="text1"/>
          <w:lang w:val="en-CA"/>
        </w:rPr>
        <w:t>Alberta T2N 2T9</w:t>
      </w:r>
      <w:r w:rsidRPr="00D07897">
        <w:rPr>
          <w:rFonts w:ascii="Book Antiqua" w:hAnsi="Book Antiqua" w:cs="Arial"/>
          <w:color w:val="000000" w:themeColor="text1"/>
          <w:lang w:val="en-CA"/>
        </w:rPr>
        <w:t xml:space="preserve">, </w:t>
      </w:r>
      <w:r w:rsidRPr="00D07897">
        <w:rPr>
          <w:rFonts w:ascii="Book Antiqua" w:hAnsi="Book Antiqua" w:cs="Arial"/>
          <w:color w:val="000000" w:themeColor="text1"/>
        </w:rPr>
        <w:t>Canada</w:t>
      </w:r>
    </w:p>
    <w:p w14:paraId="46CE86BA" w14:textId="77777777" w:rsidR="00596584" w:rsidRPr="00D07897" w:rsidRDefault="00596584" w:rsidP="00F96F15">
      <w:pPr>
        <w:spacing w:line="360" w:lineRule="auto"/>
        <w:jc w:val="both"/>
        <w:rPr>
          <w:rFonts w:ascii="Book Antiqua" w:hAnsi="Book Antiqua" w:cs="Arial"/>
          <w:color w:val="000000" w:themeColor="text1"/>
        </w:rPr>
      </w:pPr>
    </w:p>
    <w:p w14:paraId="7C13721F" w14:textId="3AB66C25" w:rsidR="00596584" w:rsidRPr="00D07897" w:rsidRDefault="00F96F15" w:rsidP="00F96F15">
      <w:pPr>
        <w:spacing w:line="360" w:lineRule="auto"/>
        <w:jc w:val="both"/>
        <w:rPr>
          <w:rFonts w:ascii="Book Antiqua" w:hAnsi="Book Antiqua" w:cs="Arial"/>
          <w:b/>
          <w:bCs/>
          <w:color w:val="000000" w:themeColor="text1"/>
          <w:vertAlign w:val="superscript"/>
          <w:lang w:val="en-CA"/>
        </w:rPr>
      </w:pPr>
      <w:proofErr w:type="spellStart"/>
      <w:r w:rsidRPr="00D07897">
        <w:rPr>
          <w:rFonts w:ascii="Book Antiqua" w:hAnsi="Book Antiqua" w:cs="Arial"/>
          <w:b/>
          <w:bCs/>
          <w:color w:val="000000" w:themeColor="text1"/>
          <w:lang w:val="en-CA"/>
        </w:rPr>
        <w:t>Tannaz</w:t>
      </w:r>
      <w:proofErr w:type="spellEnd"/>
      <w:r w:rsidRPr="00D07897">
        <w:rPr>
          <w:rFonts w:ascii="Book Antiqua" w:hAnsi="Book Antiqua" w:cs="Arial"/>
          <w:b/>
          <w:bCs/>
          <w:color w:val="000000" w:themeColor="text1"/>
          <w:lang w:val="en-CA"/>
        </w:rPr>
        <w:t xml:space="preserve"> </w:t>
      </w:r>
      <w:proofErr w:type="spellStart"/>
      <w:r w:rsidRPr="00D07897">
        <w:rPr>
          <w:rFonts w:ascii="Book Antiqua" w:hAnsi="Book Antiqua" w:cs="Arial"/>
          <w:b/>
          <w:bCs/>
          <w:color w:val="000000" w:themeColor="text1"/>
          <w:lang w:val="en-CA"/>
        </w:rPr>
        <w:t>Eslamparast</w:t>
      </w:r>
      <w:proofErr w:type="spellEnd"/>
      <w:r w:rsidRPr="00D07897">
        <w:rPr>
          <w:rFonts w:ascii="Book Antiqua" w:hAnsi="Book Antiqua" w:cs="Arial"/>
          <w:b/>
          <w:bCs/>
          <w:color w:val="000000" w:themeColor="text1"/>
          <w:lang w:val="en-CA"/>
        </w:rPr>
        <w:t xml:space="preserve">, Kathleen P </w:t>
      </w:r>
      <w:proofErr w:type="spellStart"/>
      <w:r w:rsidRPr="00D07897">
        <w:rPr>
          <w:rFonts w:ascii="Book Antiqua" w:hAnsi="Book Antiqua" w:cs="Arial"/>
          <w:b/>
          <w:bCs/>
          <w:color w:val="000000" w:themeColor="text1"/>
          <w:lang w:val="en-CA"/>
        </w:rPr>
        <w:t>Ismond</w:t>
      </w:r>
      <w:proofErr w:type="spellEnd"/>
      <w:r w:rsidRPr="00D07897">
        <w:rPr>
          <w:rFonts w:ascii="Book Antiqua" w:hAnsi="Book Antiqua" w:cs="Arial"/>
          <w:b/>
          <w:bCs/>
          <w:color w:val="000000" w:themeColor="text1"/>
          <w:lang w:val="en-CA"/>
        </w:rPr>
        <w:t xml:space="preserve">, Karen </w:t>
      </w:r>
      <w:proofErr w:type="spellStart"/>
      <w:r w:rsidRPr="00D07897">
        <w:rPr>
          <w:rFonts w:ascii="Book Antiqua" w:hAnsi="Book Antiqua" w:cs="Arial"/>
          <w:b/>
          <w:bCs/>
          <w:color w:val="000000" w:themeColor="text1"/>
          <w:lang w:val="en-CA"/>
        </w:rPr>
        <w:t>Kroeker</w:t>
      </w:r>
      <w:proofErr w:type="spellEnd"/>
      <w:r w:rsidRPr="00D07897">
        <w:rPr>
          <w:rFonts w:ascii="Book Antiqua" w:hAnsi="Book Antiqua" w:cs="Arial"/>
          <w:b/>
          <w:bCs/>
          <w:color w:val="000000" w:themeColor="text1"/>
          <w:lang w:val="en-CA"/>
        </w:rPr>
        <w:t xml:space="preserve">, Brendan Halloran, </w:t>
      </w:r>
      <w:proofErr w:type="spellStart"/>
      <w:r w:rsidRPr="00D07897">
        <w:rPr>
          <w:rFonts w:ascii="Book Antiqua" w:hAnsi="Book Antiqua" w:cs="Arial"/>
          <w:b/>
          <w:bCs/>
          <w:color w:val="000000" w:themeColor="text1"/>
          <w:lang w:val="en-CA"/>
        </w:rPr>
        <w:t>Puneeta</w:t>
      </w:r>
      <w:proofErr w:type="spellEnd"/>
      <w:r w:rsidRPr="00D07897">
        <w:rPr>
          <w:rFonts w:ascii="Book Antiqua" w:hAnsi="Book Antiqua" w:cs="Arial"/>
          <w:b/>
          <w:bCs/>
          <w:color w:val="000000" w:themeColor="text1"/>
          <w:lang w:val="en-CA"/>
        </w:rPr>
        <w:t xml:space="preserve"> </w:t>
      </w:r>
      <w:proofErr w:type="spellStart"/>
      <w:r w:rsidRPr="00D07897">
        <w:rPr>
          <w:rFonts w:ascii="Book Antiqua" w:hAnsi="Book Antiqua" w:cs="Arial"/>
          <w:b/>
          <w:bCs/>
          <w:color w:val="000000" w:themeColor="text1"/>
          <w:lang w:val="en-CA"/>
        </w:rPr>
        <w:t>Tandon</w:t>
      </w:r>
      <w:proofErr w:type="spellEnd"/>
      <w:r w:rsidRPr="00D07897">
        <w:rPr>
          <w:rFonts w:ascii="Book Antiqua" w:hAnsi="Book Antiqua" w:cs="Arial"/>
          <w:color w:val="000000" w:themeColor="text1"/>
        </w:rPr>
        <w:t>,</w:t>
      </w:r>
      <w:r w:rsidR="00596584" w:rsidRPr="00D07897">
        <w:rPr>
          <w:rFonts w:ascii="Book Antiqua" w:hAnsi="Book Antiqua" w:cs="Arial"/>
          <w:color w:val="000000" w:themeColor="text1"/>
        </w:rPr>
        <w:t xml:space="preserve"> Cirrhosis Care Clinic, Division of Gastroenterology, Department of Medicine, Faculty of Medicine </w:t>
      </w:r>
      <w:r w:rsidRPr="00D07897">
        <w:rPr>
          <w:rFonts w:ascii="Book Antiqua" w:hAnsi="Book Antiqua" w:cs="Arial"/>
          <w:color w:val="000000" w:themeColor="text1"/>
        </w:rPr>
        <w:t>and</w:t>
      </w:r>
      <w:r w:rsidR="00596584" w:rsidRPr="00D07897">
        <w:rPr>
          <w:rFonts w:ascii="Book Antiqua" w:hAnsi="Book Antiqua" w:cs="Arial"/>
          <w:color w:val="000000" w:themeColor="text1"/>
        </w:rPr>
        <w:t xml:space="preserve"> Dentistry, University of Alberta, Edmonton</w:t>
      </w:r>
      <w:r w:rsidR="00596584" w:rsidRPr="00D07897">
        <w:rPr>
          <w:rFonts w:ascii="Book Antiqua" w:eastAsiaTheme="minorEastAsia" w:hAnsi="Book Antiqua" w:cs="Arial"/>
          <w:color w:val="000000" w:themeColor="text1"/>
          <w:lang w:eastAsia="zh-CN"/>
        </w:rPr>
        <w:t xml:space="preserve">, </w:t>
      </w:r>
      <w:r w:rsidR="00596584" w:rsidRPr="00D07897">
        <w:rPr>
          <w:rFonts w:ascii="Book Antiqua" w:hAnsi="Book Antiqua" w:cs="Arial"/>
          <w:color w:val="000000" w:themeColor="text1"/>
        </w:rPr>
        <w:t>Alberta T6G 2X8</w:t>
      </w:r>
      <w:r w:rsidRPr="00D07897">
        <w:rPr>
          <w:rFonts w:ascii="Book Antiqua" w:hAnsi="Book Antiqua" w:cs="Arial"/>
          <w:color w:val="000000" w:themeColor="text1"/>
        </w:rPr>
        <w:t>, Canada</w:t>
      </w:r>
    </w:p>
    <w:p w14:paraId="110E0653" w14:textId="77777777" w:rsidR="00596584" w:rsidRPr="00D07897" w:rsidRDefault="00596584" w:rsidP="00F96F15">
      <w:pPr>
        <w:spacing w:line="360" w:lineRule="auto"/>
        <w:jc w:val="both"/>
        <w:rPr>
          <w:rFonts w:ascii="Book Antiqua" w:hAnsi="Book Antiqua" w:cs="Arial"/>
          <w:color w:val="000000" w:themeColor="text1"/>
        </w:rPr>
      </w:pPr>
    </w:p>
    <w:p w14:paraId="621569C1" w14:textId="3E611700" w:rsidR="00596584" w:rsidRPr="00D07897" w:rsidRDefault="00F96F15" w:rsidP="00F96F15">
      <w:pPr>
        <w:spacing w:line="360" w:lineRule="auto"/>
        <w:jc w:val="both"/>
        <w:rPr>
          <w:rFonts w:ascii="Book Antiqua" w:eastAsia="Arial Unicode MS" w:hAnsi="Book Antiqua" w:cs="Arial"/>
          <w:color w:val="000000" w:themeColor="text1"/>
          <w:lang w:eastAsia="zh-CN"/>
        </w:rPr>
      </w:pPr>
      <w:r w:rsidRPr="00D07897">
        <w:rPr>
          <w:rFonts w:ascii="Book Antiqua" w:hAnsi="Book Antiqua" w:cs="Arial"/>
          <w:b/>
          <w:bCs/>
          <w:color w:val="000000" w:themeColor="text1"/>
          <w:lang w:val="en-CA"/>
        </w:rPr>
        <w:t xml:space="preserve">Ben </w:t>
      </w:r>
      <w:proofErr w:type="spellStart"/>
      <w:r w:rsidRPr="00D07897">
        <w:rPr>
          <w:rFonts w:ascii="Book Antiqua" w:hAnsi="Book Antiqua" w:cs="Arial"/>
          <w:b/>
          <w:bCs/>
          <w:color w:val="000000" w:themeColor="text1"/>
          <w:lang w:val="en-CA"/>
        </w:rPr>
        <w:t>Vandermeer</w:t>
      </w:r>
      <w:proofErr w:type="spellEnd"/>
      <w:r w:rsidRPr="00D07897">
        <w:rPr>
          <w:rFonts w:ascii="Book Antiqua" w:hAnsi="Book Antiqua" w:cs="Arial"/>
          <w:b/>
          <w:bCs/>
          <w:color w:val="000000" w:themeColor="text1"/>
          <w:lang w:val="en-CA"/>
        </w:rPr>
        <w:t xml:space="preserve">, </w:t>
      </w:r>
      <w:r w:rsidR="00596584" w:rsidRPr="00D07897">
        <w:rPr>
          <w:rFonts w:ascii="Book Antiqua" w:hAnsi="Book Antiqua" w:cs="Arial"/>
          <w:color w:val="000000" w:themeColor="text1"/>
        </w:rPr>
        <w:t xml:space="preserve">Alberta Research Centre for Health Evidence, Biostatistician, Faculty of Medicine </w:t>
      </w:r>
      <w:r w:rsidRPr="00D07897">
        <w:rPr>
          <w:rFonts w:ascii="Book Antiqua" w:hAnsi="Book Antiqua" w:cs="Arial"/>
          <w:color w:val="000000" w:themeColor="text1"/>
        </w:rPr>
        <w:t>and</w:t>
      </w:r>
      <w:r w:rsidR="00596584" w:rsidRPr="00D07897">
        <w:rPr>
          <w:rFonts w:ascii="Book Antiqua" w:hAnsi="Book Antiqua" w:cs="Arial"/>
          <w:color w:val="000000" w:themeColor="text1"/>
        </w:rPr>
        <w:t xml:space="preserve"> Dentistry, University of Alberta, Edmonton, Alberta T6G 1C9</w:t>
      </w:r>
      <w:r w:rsidRPr="00D07897">
        <w:rPr>
          <w:rFonts w:ascii="Book Antiqua" w:eastAsiaTheme="minorEastAsia" w:hAnsi="Book Antiqua" w:cs="Arial"/>
          <w:color w:val="000000" w:themeColor="text1"/>
          <w:lang w:eastAsia="zh-CN"/>
        </w:rPr>
        <w:t xml:space="preserve">, </w:t>
      </w:r>
      <w:r w:rsidRPr="00D07897">
        <w:rPr>
          <w:rFonts w:ascii="Book Antiqua" w:hAnsi="Book Antiqua" w:cs="Arial"/>
          <w:color w:val="000000" w:themeColor="text1"/>
        </w:rPr>
        <w:t>Canada</w:t>
      </w:r>
    </w:p>
    <w:p w14:paraId="2C86AFFC" w14:textId="40ADBB06" w:rsidR="00320A8B" w:rsidRPr="00D07897" w:rsidRDefault="00320A8B" w:rsidP="00F96F15">
      <w:pPr>
        <w:spacing w:line="360" w:lineRule="auto"/>
        <w:jc w:val="both"/>
        <w:rPr>
          <w:rFonts w:ascii="Book Antiqua" w:hAnsi="Book Antiqua" w:cs="Arial"/>
          <w:color w:val="000000" w:themeColor="text1"/>
        </w:rPr>
      </w:pPr>
    </w:p>
    <w:p w14:paraId="46E89DEE" w14:textId="027C7DB4" w:rsidR="00596584" w:rsidRPr="00D07897" w:rsidRDefault="00F96F15" w:rsidP="00F96F15">
      <w:pPr>
        <w:spacing w:line="360" w:lineRule="auto"/>
        <w:jc w:val="both"/>
        <w:rPr>
          <w:rFonts w:ascii="Book Antiqua" w:hAnsi="Book Antiqua" w:cs="Arial"/>
          <w:bCs/>
          <w:color w:val="000000" w:themeColor="text1"/>
          <w:shd w:val="clear" w:color="auto" w:fill="FFFFFF"/>
          <w:lang w:eastAsia="zh-CN"/>
        </w:rPr>
      </w:pPr>
      <w:bookmarkStart w:id="13" w:name="_Hlk5615127"/>
      <w:bookmarkStart w:id="14" w:name="_Hlk5631413"/>
      <w:r w:rsidRPr="00D07897">
        <w:rPr>
          <w:rFonts w:ascii="Book Antiqua" w:eastAsia="宋体" w:hAnsi="Book Antiqua"/>
          <w:b/>
          <w:bCs/>
          <w:color w:val="333333"/>
          <w:shd w:val="clear" w:color="auto" w:fill="FFFFFF"/>
          <w:lang w:val="it-IT"/>
        </w:rPr>
        <w:lastRenderedPageBreak/>
        <w:t>ORCID number</w:t>
      </w:r>
      <w:r w:rsidRPr="00D07897">
        <w:rPr>
          <w:rFonts w:ascii="Book Antiqua" w:eastAsia="宋体" w:hAnsi="Book Antiqua"/>
          <w:b/>
          <w:color w:val="000000"/>
          <w:lang w:val="en-GB"/>
        </w:rPr>
        <w:t>:</w:t>
      </w:r>
      <w:r w:rsidRPr="00D07897">
        <w:rPr>
          <w:rFonts w:ascii="Book Antiqua" w:eastAsia="等线" w:hAnsi="Book Antiqua" w:cs="Arial" w:hint="eastAsia"/>
          <w:bCs/>
          <w:color w:val="000000" w:themeColor="text1"/>
          <w:shd w:val="clear" w:color="auto" w:fill="FFFFFF"/>
          <w:lang w:eastAsia="zh-CN"/>
        </w:rPr>
        <w:t xml:space="preserve"> </w:t>
      </w:r>
      <w:proofErr w:type="spellStart"/>
      <w:r w:rsidR="00596584" w:rsidRPr="00D07897">
        <w:rPr>
          <w:rFonts w:ascii="Book Antiqua" w:hAnsi="Book Antiqua" w:cs="Arial"/>
          <w:bCs/>
          <w:color w:val="000000" w:themeColor="text1"/>
          <w:shd w:val="clear" w:color="auto" w:fill="FFFFFF"/>
          <w:lang w:eastAsia="zh-CN"/>
        </w:rPr>
        <w:t>Su</w:t>
      </w:r>
      <w:r w:rsidR="00417C28" w:rsidRPr="00D07897">
        <w:rPr>
          <w:rFonts w:ascii="Book Antiqua" w:hAnsi="Book Antiqua" w:cs="Arial"/>
          <w:bCs/>
          <w:color w:val="000000" w:themeColor="text1"/>
          <w:shd w:val="clear" w:color="auto" w:fill="FFFFFF"/>
          <w:lang w:eastAsia="zh-CN"/>
        </w:rPr>
        <w:t>q</w:t>
      </w:r>
      <w:r w:rsidR="00596584" w:rsidRPr="00D07897">
        <w:rPr>
          <w:rFonts w:ascii="Book Antiqua" w:hAnsi="Book Antiqua" w:cs="Arial"/>
          <w:bCs/>
          <w:color w:val="000000" w:themeColor="text1"/>
          <w:shd w:val="clear" w:color="auto" w:fill="FFFFFF"/>
          <w:lang w:eastAsia="zh-CN"/>
        </w:rPr>
        <w:t>ing</w:t>
      </w:r>
      <w:proofErr w:type="spellEnd"/>
      <w:r w:rsidR="00596584" w:rsidRPr="00D07897">
        <w:rPr>
          <w:rFonts w:ascii="Book Antiqua" w:hAnsi="Book Antiqua" w:cs="Arial"/>
          <w:bCs/>
          <w:color w:val="000000" w:themeColor="text1"/>
          <w:shd w:val="clear" w:color="auto" w:fill="FFFFFF"/>
          <w:lang w:eastAsia="zh-CN"/>
        </w:rPr>
        <w:t xml:space="preserve"> Li (</w:t>
      </w:r>
      <w:r w:rsidR="00596584" w:rsidRPr="00D07897">
        <w:rPr>
          <w:rFonts w:ascii="Book Antiqua" w:hAnsi="Book Antiqua" w:cs="Arial"/>
          <w:color w:val="000000" w:themeColor="text1"/>
          <w:shd w:val="clear" w:color="auto" w:fill="FFFFFF"/>
          <w:lang w:val="en-CA"/>
        </w:rPr>
        <w:t>0000-0003-4873-3628</w:t>
      </w:r>
      <w:r w:rsidR="00596584" w:rsidRPr="00D07897">
        <w:rPr>
          <w:rFonts w:ascii="Book Antiqua" w:hAnsi="Book Antiqua" w:cs="Arial"/>
          <w:color w:val="000000" w:themeColor="text1"/>
          <w:lang w:val="en-CA"/>
        </w:rPr>
        <w:t>)</w:t>
      </w:r>
      <w:r w:rsidRPr="00D07897">
        <w:rPr>
          <w:rFonts w:ascii="Book Antiqua" w:hAnsi="Book Antiqua" w:cs="Arial"/>
          <w:color w:val="000000" w:themeColor="text1"/>
          <w:lang w:val="en-CA"/>
        </w:rPr>
        <w:t xml:space="preserve">; </w:t>
      </w:r>
      <w:r w:rsidR="00596584" w:rsidRPr="00D07897">
        <w:rPr>
          <w:rFonts w:ascii="Book Antiqua" w:hAnsi="Book Antiqua" w:cs="Arial"/>
          <w:bCs/>
          <w:color w:val="000000" w:themeColor="text1"/>
          <w:shd w:val="clear" w:color="auto" w:fill="FFFFFF"/>
          <w:lang w:eastAsia="zh-CN"/>
        </w:rPr>
        <w:t>Michael Ney (</w:t>
      </w:r>
      <w:r w:rsidR="00943864" w:rsidRPr="00D07897">
        <w:rPr>
          <w:rFonts w:ascii="Book Antiqua" w:eastAsia="Times New Roman" w:hAnsi="Book Antiqua" w:cs="Arial"/>
          <w:color w:val="000000" w:themeColor="text1"/>
          <w:shd w:val="clear" w:color="auto" w:fill="FFFFFF"/>
          <w:lang w:val="en-CA"/>
        </w:rPr>
        <w:t>0000-0002-6585-3667</w:t>
      </w:r>
      <w:r w:rsidR="00943864" w:rsidRPr="00D07897">
        <w:rPr>
          <w:rFonts w:ascii="Book Antiqua" w:eastAsia="Times New Roman" w:hAnsi="Book Antiqua" w:cs="Arial"/>
          <w:color w:val="000000" w:themeColor="text1"/>
          <w:lang w:val="en-CA"/>
        </w:rPr>
        <w:t>)</w:t>
      </w:r>
      <w:r w:rsidRPr="00D07897">
        <w:rPr>
          <w:rFonts w:ascii="Book Antiqua" w:eastAsia="Times New Roman" w:hAnsi="Book Antiqua" w:cs="Arial"/>
          <w:color w:val="000000" w:themeColor="text1"/>
          <w:lang w:val="en-CA"/>
        </w:rPr>
        <w:t>;</w:t>
      </w:r>
      <w:r w:rsidRPr="00D07897">
        <w:rPr>
          <w:rFonts w:ascii="Book Antiqua" w:eastAsia="等线" w:hAnsi="Book Antiqua" w:cs="Arial" w:hint="eastAsia"/>
          <w:bCs/>
          <w:color w:val="000000" w:themeColor="text1"/>
          <w:shd w:val="clear" w:color="auto" w:fill="FFFFFF"/>
          <w:lang w:eastAsia="zh-CN"/>
        </w:rPr>
        <w:t xml:space="preserve"> </w:t>
      </w:r>
      <w:proofErr w:type="spellStart"/>
      <w:r w:rsidR="00596584" w:rsidRPr="00D07897">
        <w:rPr>
          <w:rFonts w:ascii="Book Antiqua" w:hAnsi="Book Antiqua" w:cs="Arial"/>
          <w:bCs/>
          <w:color w:val="000000" w:themeColor="text1"/>
          <w:shd w:val="clear" w:color="auto" w:fill="FFFFFF"/>
          <w:lang w:eastAsia="zh-CN"/>
        </w:rPr>
        <w:t>Tannaz</w:t>
      </w:r>
      <w:proofErr w:type="spellEnd"/>
      <w:r w:rsidR="00596584" w:rsidRPr="00D07897">
        <w:rPr>
          <w:rFonts w:ascii="Book Antiqua" w:hAnsi="Book Antiqua" w:cs="Arial"/>
          <w:bCs/>
          <w:color w:val="000000" w:themeColor="text1"/>
          <w:shd w:val="clear" w:color="auto" w:fill="FFFFFF"/>
          <w:lang w:eastAsia="zh-CN"/>
        </w:rPr>
        <w:t xml:space="preserve"> </w:t>
      </w:r>
      <w:proofErr w:type="spellStart"/>
      <w:r w:rsidR="00596584" w:rsidRPr="00D07897">
        <w:rPr>
          <w:rFonts w:ascii="Book Antiqua" w:hAnsi="Book Antiqua" w:cs="Arial"/>
          <w:bCs/>
          <w:color w:val="000000" w:themeColor="text1"/>
          <w:shd w:val="clear" w:color="auto" w:fill="FFFFFF"/>
          <w:lang w:eastAsia="zh-CN"/>
        </w:rPr>
        <w:t>Eslamparast</w:t>
      </w:r>
      <w:proofErr w:type="spellEnd"/>
      <w:r w:rsidR="00596584" w:rsidRPr="00D07897">
        <w:rPr>
          <w:rFonts w:ascii="Book Antiqua" w:hAnsi="Book Antiqua" w:cs="Arial"/>
          <w:bCs/>
          <w:color w:val="000000" w:themeColor="text1"/>
          <w:shd w:val="clear" w:color="auto" w:fill="FFFFFF"/>
          <w:lang w:eastAsia="zh-CN"/>
        </w:rPr>
        <w:t xml:space="preserve"> (</w:t>
      </w:r>
      <w:r w:rsidR="00943864" w:rsidRPr="00D07897">
        <w:rPr>
          <w:rFonts w:ascii="Book Antiqua" w:eastAsia="Times New Roman" w:hAnsi="Book Antiqua" w:cs="Arial"/>
          <w:color w:val="000000" w:themeColor="text1"/>
          <w:shd w:val="clear" w:color="auto" w:fill="FFFFFF"/>
          <w:lang w:val="en-CA"/>
        </w:rPr>
        <w:t>0000-0002-0803-1245</w:t>
      </w:r>
      <w:r w:rsidR="00943864" w:rsidRPr="00D07897">
        <w:rPr>
          <w:rFonts w:ascii="Book Antiqua" w:eastAsia="Times New Roman" w:hAnsi="Book Antiqua" w:cs="Arial"/>
          <w:color w:val="000000" w:themeColor="text1"/>
          <w:lang w:val="en-CA"/>
        </w:rPr>
        <w:t>)</w:t>
      </w:r>
      <w:r w:rsidRPr="00D07897">
        <w:rPr>
          <w:rFonts w:ascii="Book Antiqua" w:eastAsia="Times New Roman" w:hAnsi="Book Antiqua" w:cs="Arial"/>
          <w:color w:val="000000" w:themeColor="text1"/>
          <w:lang w:val="en-CA"/>
        </w:rPr>
        <w:t>;</w:t>
      </w:r>
      <w:r w:rsidRPr="00D07897">
        <w:rPr>
          <w:rFonts w:ascii="Book Antiqua" w:eastAsia="等线" w:hAnsi="Book Antiqua" w:cs="Arial" w:hint="eastAsia"/>
          <w:bCs/>
          <w:color w:val="000000" w:themeColor="text1"/>
          <w:shd w:val="clear" w:color="auto" w:fill="FFFFFF"/>
          <w:lang w:eastAsia="zh-CN"/>
        </w:rPr>
        <w:t xml:space="preserve"> </w:t>
      </w:r>
      <w:r w:rsidR="00596584" w:rsidRPr="00D07897">
        <w:rPr>
          <w:rFonts w:ascii="Book Antiqua" w:hAnsi="Book Antiqua" w:cs="Arial"/>
          <w:bCs/>
          <w:color w:val="000000" w:themeColor="text1"/>
          <w:shd w:val="clear" w:color="auto" w:fill="FFFFFF"/>
          <w:lang w:eastAsia="zh-CN"/>
        </w:rPr>
        <w:t xml:space="preserve">Ben </w:t>
      </w:r>
      <w:proofErr w:type="spellStart"/>
      <w:r w:rsidR="00596584" w:rsidRPr="00D07897">
        <w:rPr>
          <w:rFonts w:ascii="Book Antiqua" w:hAnsi="Book Antiqua" w:cs="Arial"/>
          <w:bCs/>
          <w:color w:val="000000" w:themeColor="text1"/>
          <w:shd w:val="clear" w:color="auto" w:fill="FFFFFF"/>
          <w:lang w:eastAsia="zh-CN"/>
        </w:rPr>
        <w:t>Vandermeer</w:t>
      </w:r>
      <w:proofErr w:type="spellEnd"/>
      <w:r w:rsidR="00596584" w:rsidRPr="00D07897">
        <w:rPr>
          <w:rFonts w:ascii="Book Antiqua" w:hAnsi="Book Antiqua" w:cs="Arial"/>
          <w:bCs/>
          <w:color w:val="000000" w:themeColor="text1"/>
          <w:shd w:val="clear" w:color="auto" w:fill="FFFFFF"/>
          <w:lang w:eastAsia="zh-CN"/>
        </w:rPr>
        <w:t xml:space="preserve"> (</w:t>
      </w:r>
      <w:r w:rsidR="00943864" w:rsidRPr="00D07897">
        <w:rPr>
          <w:rFonts w:ascii="Book Antiqua" w:eastAsia="Times New Roman" w:hAnsi="Book Antiqua" w:cs="Arial"/>
          <w:color w:val="000000" w:themeColor="text1"/>
          <w:shd w:val="clear" w:color="auto" w:fill="FFFFFF"/>
          <w:lang w:val="en-CA"/>
        </w:rPr>
        <w:t>0000-0001-7449-5251</w:t>
      </w:r>
      <w:r w:rsidR="00943864" w:rsidRPr="00D07897">
        <w:rPr>
          <w:rFonts w:ascii="Book Antiqua" w:eastAsia="Times New Roman" w:hAnsi="Book Antiqua" w:cs="Arial"/>
          <w:color w:val="000000" w:themeColor="text1"/>
          <w:lang w:val="en-CA"/>
        </w:rPr>
        <w:t>)</w:t>
      </w:r>
      <w:r w:rsidRPr="00D07897">
        <w:rPr>
          <w:rFonts w:ascii="Book Antiqua" w:eastAsia="Times New Roman" w:hAnsi="Book Antiqua" w:cs="Arial"/>
          <w:color w:val="000000" w:themeColor="text1"/>
          <w:lang w:val="en-CA"/>
        </w:rPr>
        <w:t xml:space="preserve">; </w:t>
      </w:r>
      <w:r w:rsidR="00596584" w:rsidRPr="00D07897">
        <w:rPr>
          <w:rFonts w:ascii="Book Antiqua" w:hAnsi="Book Antiqua" w:cs="Arial"/>
          <w:bCs/>
          <w:color w:val="000000" w:themeColor="text1"/>
          <w:shd w:val="clear" w:color="auto" w:fill="FFFFFF"/>
          <w:lang w:eastAsia="zh-CN"/>
        </w:rPr>
        <w:t xml:space="preserve">Kathleen P </w:t>
      </w:r>
      <w:proofErr w:type="spellStart"/>
      <w:r w:rsidR="00596584" w:rsidRPr="00D07897">
        <w:rPr>
          <w:rFonts w:ascii="Book Antiqua" w:hAnsi="Book Antiqua" w:cs="Arial"/>
          <w:bCs/>
          <w:color w:val="000000" w:themeColor="text1"/>
          <w:shd w:val="clear" w:color="auto" w:fill="FFFFFF"/>
          <w:lang w:eastAsia="zh-CN"/>
        </w:rPr>
        <w:t>Ismond</w:t>
      </w:r>
      <w:proofErr w:type="spellEnd"/>
      <w:r w:rsidR="00596584" w:rsidRPr="00D07897">
        <w:rPr>
          <w:rFonts w:ascii="Book Antiqua" w:hAnsi="Book Antiqua" w:cs="Arial"/>
          <w:bCs/>
          <w:color w:val="000000" w:themeColor="text1"/>
          <w:shd w:val="clear" w:color="auto" w:fill="FFFFFF"/>
          <w:lang w:eastAsia="zh-CN"/>
        </w:rPr>
        <w:t xml:space="preserve"> (</w:t>
      </w:r>
      <w:r w:rsidR="00943864" w:rsidRPr="00D07897">
        <w:rPr>
          <w:rFonts w:ascii="Book Antiqua" w:eastAsia="Times New Roman" w:hAnsi="Book Antiqua" w:cs="Arial"/>
          <w:color w:val="000000" w:themeColor="text1"/>
          <w:shd w:val="clear" w:color="auto" w:fill="FFFFFF"/>
          <w:lang w:val="en-CA"/>
        </w:rPr>
        <w:t>0000-0002-9698-5814</w:t>
      </w:r>
      <w:r w:rsidR="00943864" w:rsidRPr="00D07897">
        <w:rPr>
          <w:rFonts w:ascii="Book Antiqua" w:eastAsia="Times New Roman" w:hAnsi="Book Antiqua" w:cs="Arial"/>
          <w:color w:val="000000" w:themeColor="text1"/>
          <w:lang w:val="en-CA"/>
        </w:rPr>
        <w:t>)</w:t>
      </w:r>
      <w:r w:rsidRPr="00D07897">
        <w:rPr>
          <w:rFonts w:ascii="Book Antiqua" w:eastAsia="Times New Roman" w:hAnsi="Book Antiqua" w:cs="Arial"/>
          <w:color w:val="000000" w:themeColor="text1"/>
          <w:lang w:val="en-CA"/>
        </w:rPr>
        <w:t xml:space="preserve">; </w:t>
      </w:r>
      <w:r w:rsidR="00596584" w:rsidRPr="00D07897">
        <w:rPr>
          <w:rFonts w:ascii="Book Antiqua" w:hAnsi="Book Antiqua" w:cs="Arial"/>
          <w:bCs/>
          <w:color w:val="000000" w:themeColor="text1"/>
          <w:shd w:val="clear" w:color="auto" w:fill="FFFFFF"/>
          <w:lang w:eastAsia="zh-CN"/>
        </w:rPr>
        <w:t xml:space="preserve">Karen </w:t>
      </w:r>
      <w:proofErr w:type="spellStart"/>
      <w:r w:rsidR="00596584" w:rsidRPr="00D07897">
        <w:rPr>
          <w:rFonts w:ascii="Book Antiqua" w:hAnsi="Book Antiqua" w:cs="Arial"/>
          <w:bCs/>
          <w:color w:val="000000" w:themeColor="text1"/>
          <w:shd w:val="clear" w:color="auto" w:fill="FFFFFF"/>
          <w:lang w:eastAsia="zh-CN"/>
        </w:rPr>
        <w:t>Kroeker</w:t>
      </w:r>
      <w:proofErr w:type="spellEnd"/>
      <w:r w:rsidR="00596584" w:rsidRPr="00D07897">
        <w:rPr>
          <w:rFonts w:ascii="Book Antiqua" w:hAnsi="Book Antiqua" w:cs="Arial"/>
          <w:bCs/>
          <w:color w:val="000000" w:themeColor="text1"/>
          <w:shd w:val="clear" w:color="auto" w:fill="FFFFFF"/>
          <w:lang w:eastAsia="zh-CN"/>
        </w:rPr>
        <w:t xml:space="preserve"> (</w:t>
      </w:r>
      <w:r w:rsidR="00943864" w:rsidRPr="00D07897">
        <w:rPr>
          <w:rFonts w:ascii="Book Antiqua" w:eastAsia="Times New Roman" w:hAnsi="Book Antiqua" w:cs="Arial"/>
          <w:color w:val="000000" w:themeColor="text1"/>
          <w:shd w:val="clear" w:color="auto" w:fill="FFFFFF"/>
          <w:lang w:val="en-CA"/>
        </w:rPr>
        <w:t>0000-0002-3886-4213</w:t>
      </w:r>
      <w:r w:rsidR="00943864" w:rsidRPr="00D07897">
        <w:rPr>
          <w:rFonts w:ascii="Book Antiqua" w:eastAsia="Times New Roman" w:hAnsi="Book Antiqua" w:cs="Arial"/>
          <w:color w:val="000000" w:themeColor="text1"/>
          <w:lang w:val="en-CA"/>
        </w:rPr>
        <w:t>)</w:t>
      </w:r>
      <w:r w:rsidRPr="00D07897">
        <w:rPr>
          <w:rFonts w:ascii="Book Antiqua" w:eastAsia="Times New Roman" w:hAnsi="Book Antiqua" w:cs="Arial"/>
          <w:color w:val="000000" w:themeColor="text1"/>
          <w:lang w:val="en-CA"/>
        </w:rPr>
        <w:t>;</w:t>
      </w:r>
      <w:r w:rsidRPr="00D07897">
        <w:rPr>
          <w:rFonts w:ascii="Book Antiqua" w:eastAsia="等线" w:hAnsi="Book Antiqua" w:cs="Arial" w:hint="eastAsia"/>
          <w:bCs/>
          <w:color w:val="000000" w:themeColor="text1"/>
          <w:shd w:val="clear" w:color="auto" w:fill="FFFFFF"/>
          <w:lang w:eastAsia="zh-CN"/>
        </w:rPr>
        <w:t xml:space="preserve"> </w:t>
      </w:r>
      <w:r w:rsidR="00596584" w:rsidRPr="00D07897">
        <w:rPr>
          <w:rFonts w:ascii="Book Antiqua" w:hAnsi="Book Antiqua" w:cs="Arial"/>
          <w:bCs/>
          <w:color w:val="000000" w:themeColor="text1"/>
          <w:shd w:val="clear" w:color="auto" w:fill="FFFFFF"/>
          <w:lang w:eastAsia="zh-CN"/>
        </w:rPr>
        <w:t>Brendan Halloran (</w:t>
      </w:r>
      <w:r w:rsidR="00141342" w:rsidRPr="00D07897">
        <w:rPr>
          <w:rFonts w:ascii="Book Antiqua" w:eastAsia="Times New Roman" w:hAnsi="Book Antiqua" w:cs="Arial"/>
          <w:color w:val="000000" w:themeColor="text1"/>
          <w:shd w:val="clear" w:color="auto" w:fill="FFFFFF"/>
          <w:lang w:val="en-CA"/>
        </w:rPr>
        <w:t>0000-0003-0467-1840</w:t>
      </w:r>
      <w:r w:rsidR="00141342" w:rsidRPr="00D07897">
        <w:rPr>
          <w:rFonts w:ascii="Book Antiqua" w:eastAsia="Times New Roman" w:hAnsi="Book Antiqua" w:cs="Arial"/>
          <w:color w:val="000000" w:themeColor="text1"/>
          <w:lang w:val="en-CA"/>
        </w:rPr>
        <w:t>)</w:t>
      </w:r>
      <w:r w:rsidRPr="00D07897">
        <w:rPr>
          <w:rFonts w:ascii="Book Antiqua" w:eastAsia="Times New Roman" w:hAnsi="Book Antiqua" w:cs="Arial"/>
          <w:color w:val="000000" w:themeColor="text1"/>
          <w:lang w:val="en-CA"/>
        </w:rPr>
        <w:t xml:space="preserve">; </w:t>
      </w:r>
      <w:proofErr w:type="spellStart"/>
      <w:r w:rsidR="00596584" w:rsidRPr="00D07897">
        <w:rPr>
          <w:rFonts w:ascii="Book Antiqua" w:hAnsi="Book Antiqua" w:cs="Arial"/>
          <w:bCs/>
          <w:color w:val="000000" w:themeColor="text1"/>
          <w:shd w:val="clear" w:color="auto" w:fill="FFFFFF"/>
          <w:lang w:eastAsia="zh-CN"/>
        </w:rPr>
        <w:t>Maitreyi</w:t>
      </w:r>
      <w:proofErr w:type="spellEnd"/>
      <w:r w:rsidR="00596584" w:rsidRPr="00D07897">
        <w:rPr>
          <w:rFonts w:ascii="Book Antiqua" w:hAnsi="Book Antiqua" w:cs="Arial"/>
          <w:bCs/>
          <w:color w:val="000000" w:themeColor="text1"/>
          <w:shd w:val="clear" w:color="auto" w:fill="FFFFFF"/>
          <w:lang w:eastAsia="zh-CN"/>
        </w:rPr>
        <w:t xml:space="preserve"> Raman (</w:t>
      </w:r>
      <w:r w:rsidR="00141342" w:rsidRPr="00D07897">
        <w:rPr>
          <w:rFonts w:ascii="Book Antiqua" w:eastAsia="Times New Roman" w:hAnsi="Book Antiqua" w:cs="Arial"/>
          <w:color w:val="000000" w:themeColor="text1"/>
          <w:shd w:val="clear" w:color="auto" w:fill="FFFFFF"/>
          <w:lang w:val="en-CA"/>
        </w:rPr>
        <w:t>0000-0002-9129-3632</w:t>
      </w:r>
      <w:r w:rsidR="00141342" w:rsidRPr="00D07897">
        <w:rPr>
          <w:rFonts w:ascii="Book Antiqua" w:eastAsia="Times New Roman" w:hAnsi="Book Antiqua" w:cs="Arial"/>
          <w:color w:val="000000" w:themeColor="text1"/>
          <w:lang w:val="en-CA"/>
        </w:rPr>
        <w:t>)</w:t>
      </w:r>
      <w:r w:rsidRPr="00D07897">
        <w:rPr>
          <w:rFonts w:ascii="Book Antiqua" w:eastAsia="Times New Roman" w:hAnsi="Book Antiqua" w:cs="Arial"/>
          <w:color w:val="000000" w:themeColor="text1"/>
          <w:lang w:val="en-CA"/>
        </w:rPr>
        <w:t xml:space="preserve">; </w:t>
      </w:r>
      <w:proofErr w:type="spellStart"/>
      <w:r w:rsidR="00596584" w:rsidRPr="00D07897">
        <w:rPr>
          <w:rFonts w:ascii="Book Antiqua" w:hAnsi="Book Antiqua" w:cs="Arial"/>
          <w:bCs/>
          <w:color w:val="000000" w:themeColor="text1"/>
          <w:shd w:val="clear" w:color="auto" w:fill="FFFFFF"/>
          <w:lang w:eastAsia="zh-CN"/>
        </w:rPr>
        <w:t>Puneeta</w:t>
      </w:r>
      <w:proofErr w:type="spellEnd"/>
      <w:r w:rsidR="00596584" w:rsidRPr="00D07897">
        <w:rPr>
          <w:rFonts w:ascii="Book Antiqua" w:hAnsi="Book Antiqua" w:cs="Arial"/>
          <w:bCs/>
          <w:color w:val="000000" w:themeColor="text1"/>
          <w:shd w:val="clear" w:color="auto" w:fill="FFFFFF"/>
          <w:lang w:eastAsia="zh-CN"/>
        </w:rPr>
        <w:t xml:space="preserve"> </w:t>
      </w:r>
      <w:proofErr w:type="spellStart"/>
      <w:r w:rsidR="00596584" w:rsidRPr="00D07897">
        <w:rPr>
          <w:rFonts w:ascii="Book Antiqua" w:hAnsi="Book Antiqua" w:cs="Arial"/>
          <w:bCs/>
          <w:color w:val="000000" w:themeColor="text1"/>
          <w:shd w:val="clear" w:color="auto" w:fill="FFFFFF"/>
          <w:lang w:eastAsia="zh-CN"/>
        </w:rPr>
        <w:t>Tandon</w:t>
      </w:r>
      <w:proofErr w:type="spellEnd"/>
      <w:r w:rsidR="00596584" w:rsidRPr="00D07897">
        <w:rPr>
          <w:rFonts w:ascii="Book Antiqua" w:hAnsi="Book Antiqua" w:cs="Arial"/>
          <w:bCs/>
          <w:color w:val="000000" w:themeColor="text1"/>
          <w:shd w:val="clear" w:color="auto" w:fill="FFFFFF"/>
          <w:lang w:eastAsia="zh-CN"/>
        </w:rPr>
        <w:t xml:space="preserve"> (</w:t>
      </w:r>
      <w:r w:rsidR="00141342" w:rsidRPr="00D07897">
        <w:rPr>
          <w:rFonts w:ascii="Book Antiqua" w:eastAsia="Times New Roman" w:hAnsi="Book Antiqua" w:cs="Arial"/>
          <w:color w:val="000000" w:themeColor="text1"/>
          <w:shd w:val="clear" w:color="auto" w:fill="FFFFFF"/>
          <w:lang w:val="en-CA"/>
        </w:rPr>
        <w:t>0000-0003-0486-0174</w:t>
      </w:r>
      <w:r w:rsidR="00141342" w:rsidRPr="00D07897">
        <w:rPr>
          <w:rFonts w:ascii="Book Antiqua" w:eastAsia="Times New Roman" w:hAnsi="Book Antiqua" w:cs="Arial"/>
          <w:color w:val="000000" w:themeColor="text1"/>
          <w:lang w:val="en-CA"/>
        </w:rPr>
        <w:t>)</w:t>
      </w:r>
      <w:r w:rsidRPr="00D07897">
        <w:rPr>
          <w:rFonts w:ascii="Book Antiqua" w:eastAsia="Times New Roman" w:hAnsi="Book Antiqua" w:cs="Arial"/>
          <w:color w:val="000000" w:themeColor="text1"/>
          <w:lang w:val="en-CA"/>
        </w:rPr>
        <w:t>.</w:t>
      </w:r>
    </w:p>
    <w:p w14:paraId="72DC3AB2" w14:textId="77777777" w:rsidR="00596584" w:rsidRPr="00D07897" w:rsidRDefault="00596584" w:rsidP="00F96F15">
      <w:pPr>
        <w:spacing w:line="360" w:lineRule="auto"/>
        <w:jc w:val="both"/>
        <w:rPr>
          <w:rFonts w:ascii="Book Antiqua" w:hAnsi="Book Antiqua" w:cs="Arial"/>
          <w:bCs/>
          <w:color w:val="000000" w:themeColor="text1"/>
          <w:shd w:val="clear" w:color="auto" w:fill="FFFFFF"/>
          <w:lang w:eastAsia="zh-CN"/>
        </w:rPr>
      </w:pPr>
    </w:p>
    <w:p w14:paraId="2E1B7B5A" w14:textId="53ED731D" w:rsidR="00596584" w:rsidRPr="00D07897" w:rsidRDefault="00732A35" w:rsidP="00F96F15">
      <w:pPr>
        <w:spacing w:line="360" w:lineRule="auto"/>
        <w:jc w:val="both"/>
        <w:rPr>
          <w:rFonts w:ascii="Book Antiqua" w:hAnsi="Book Antiqua" w:cs="Arial"/>
          <w:color w:val="000000" w:themeColor="text1"/>
        </w:rPr>
      </w:pPr>
      <w:bookmarkStart w:id="15" w:name="_Hlk5615142"/>
      <w:bookmarkStart w:id="16" w:name="OLE_LINK1"/>
      <w:bookmarkStart w:id="17" w:name="OLE_LINK2"/>
      <w:bookmarkEnd w:id="13"/>
      <w:r w:rsidRPr="00D07897">
        <w:rPr>
          <w:rFonts w:ascii="Book Antiqua" w:eastAsia="宋体" w:hAnsi="Book Antiqua"/>
          <w:b/>
        </w:rPr>
        <w:t>Author contributions:</w:t>
      </w:r>
      <w:r w:rsidRPr="00D07897">
        <w:rPr>
          <w:rFonts w:ascii="Book Antiqua" w:eastAsia="等线" w:hAnsi="Book Antiqua" w:cs="Arial" w:hint="eastAsia"/>
          <w:bCs/>
          <w:color w:val="000000" w:themeColor="text1"/>
          <w:lang w:eastAsia="zh-CN"/>
        </w:rPr>
        <w:t xml:space="preserve"> </w:t>
      </w:r>
      <w:r w:rsidR="00596584" w:rsidRPr="00D07897">
        <w:rPr>
          <w:rFonts w:ascii="Book Antiqua" w:hAnsi="Book Antiqua" w:cs="Arial"/>
          <w:color w:val="000000" w:themeColor="text1"/>
        </w:rPr>
        <w:t xml:space="preserve">Li S, Tandon P, Ney M and Raman M designed the research; Li S, Ney M and </w:t>
      </w:r>
      <w:proofErr w:type="spellStart"/>
      <w:r w:rsidR="00596584" w:rsidRPr="00D07897">
        <w:rPr>
          <w:rFonts w:ascii="Book Antiqua" w:hAnsi="Book Antiqua" w:cs="Arial"/>
          <w:color w:val="000000" w:themeColor="text1"/>
        </w:rPr>
        <w:t>Vandermeer</w:t>
      </w:r>
      <w:proofErr w:type="spellEnd"/>
      <w:r w:rsidR="00596584" w:rsidRPr="00D07897">
        <w:rPr>
          <w:rFonts w:ascii="Book Antiqua" w:hAnsi="Book Antiqua" w:cs="Arial"/>
          <w:color w:val="000000" w:themeColor="text1"/>
        </w:rPr>
        <w:t xml:space="preserve"> B collected data; Li S, Ney M, </w:t>
      </w:r>
      <w:proofErr w:type="spellStart"/>
      <w:r w:rsidR="00596584" w:rsidRPr="00D07897">
        <w:rPr>
          <w:rFonts w:ascii="Book Antiqua" w:hAnsi="Book Antiqua" w:cs="Arial"/>
          <w:color w:val="000000" w:themeColor="text1"/>
        </w:rPr>
        <w:t>Vandermeer</w:t>
      </w:r>
      <w:proofErr w:type="spellEnd"/>
      <w:r w:rsidR="00596584" w:rsidRPr="00D07897">
        <w:rPr>
          <w:rFonts w:ascii="Book Antiqua" w:hAnsi="Book Antiqua" w:cs="Arial"/>
          <w:color w:val="000000" w:themeColor="text1"/>
        </w:rPr>
        <w:t xml:space="preserve"> B and </w:t>
      </w:r>
      <w:proofErr w:type="spellStart"/>
      <w:r w:rsidR="00596584" w:rsidRPr="00D07897">
        <w:rPr>
          <w:rFonts w:ascii="Book Antiqua" w:hAnsi="Book Antiqua" w:cs="Arial"/>
          <w:color w:val="000000" w:themeColor="text1"/>
        </w:rPr>
        <w:t>Tandon</w:t>
      </w:r>
      <w:proofErr w:type="spellEnd"/>
      <w:r w:rsidR="00596584" w:rsidRPr="00D07897">
        <w:rPr>
          <w:rFonts w:ascii="Book Antiqua" w:hAnsi="Book Antiqua" w:cs="Arial"/>
          <w:color w:val="000000" w:themeColor="text1"/>
        </w:rPr>
        <w:t xml:space="preserve"> P analyzed the data; Li S, Ney M, </w:t>
      </w:r>
      <w:proofErr w:type="spellStart"/>
      <w:r w:rsidR="00596584" w:rsidRPr="00D07897">
        <w:rPr>
          <w:rFonts w:ascii="Book Antiqua" w:hAnsi="Book Antiqua" w:cs="Arial"/>
          <w:color w:val="000000" w:themeColor="text1"/>
        </w:rPr>
        <w:t>Eslamparast</w:t>
      </w:r>
      <w:proofErr w:type="spellEnd"/>
      <w:r w:rsidR="00596584" w:rsidRPr="00D07897">
        <w:rPr>
          <w:rFonts w:ascii="Book Antiqua" w:hAnsi="Book Antiqua" w:cs="Arial"/>
          <w:color w:val="000000" w:themeColor="text1"/>
        </w:rPr>
        <w:t xml:space="preserve"> T, </w:t>
      </w:r>
      <w:proofErr w:type="spellStart"/>
      <w:r w:rsidR="00596584" w:rsidRPr="00D07897">
        <w:rPr>
          <w:rFonts w:ascii="Book Antiqua" w:hAnsi="Book Antiqua" w:cs="Arial"/>
          <w:color w:val="000000" w:themeColor="text1"/>
        </w:rPr>
        <w:t>Vandermeer</w:t>
      </w:r>
      <w:proofErr w:type="spellEnd"/>
      <w:r w:rsidR="00596584" w:rsidRPr="00D07897">
        <w:rPr>
          <w:rFonts w:ascii="Book Antiqua" w:hAnsi="Book Antiqua" w:cs="Arial"/>
          <w:color w:val="000000" w:themeColor="text1"/>
        </w:rPr>
        <w:t xml:space="preserve"> B, </w:t>
      </w:r>
      <w:proofErr w:type="spellStart"/>
      <w:r w:rsidR="00596584" w:rsidRPr="00D07897">
        <w:rPr>
          <w:rFonts w:ascii="Book Antiqua" w:hAnsi="Book Antiqua" w:cs="Arial"/>
          <w:color w:val="000000" w:themeColor="text1"/>
        </w:rPr>
        <w:t>Ismond</w:t>
      </w:r>
      <w:proofErr w:type="spellEnd"/>
      <w:r w:rsidR="00596584" w:rsidRPr="00D07897">
        <w:rPr>
          <w:rFonts w:ascii="Book Antiqua" w:hAnsi="Book Antiqua" w:cs="Arial"/>
          <w:color w:val="000000" w:themeColor="text1"/>
        </w:rPr>
        <w:t xml:space="preserve"> KP, </w:t>
      </w:r>
      <w:proofErr w:type="spellStart"/>
      <w:r w:rsidR="00596584" w:rsidRPr="00D07897">
        <w:rPr>
          <w:rFonts w:ascii="Book Antiqua" w:hAnsi="Book Antiqua" w:cs="Arial"/>
          <w:color w:val="000000" w:themeColor="text1"/>
        </w:rPr>
        <w:t>Kroeker</w:t>
      </w:r>
      <w:proofErr w:type="spellEnd"/>
      <w:r w:rsidR="00596584" w:rsidRPr="00D07897">
        <w:rPr>
          <w:rFonts w:ascii="Book Antiqua" w:hAnsi="Book Antiqua" w:cs="Arial"/>
          <w:color w:val="000000" w:themeColor="text1"/>
        </w:rPr>
        <w:t xml:space="preserve"> K, Halloran B, Raman M and Tandon P interpreted the data; Li S, Ney M, </w:t>
      </w:r>
      <w:proofErr w:type="spellStart"/>
      <w:r w:rsidR="00596584" w:rsidRPr="00D07897">
        <w:rPr>
          <w:rFonts w:ascii="Book Antiqua" w:hAnsi="Book Antiqua" w:cs="Arial"/>
          <w:color w:val="000000" w:themeColor="text1"/>
        </w:rPr>
        <w:t>Eslamparast</w:t>
      </w:r>
      <w:proofErr w:type="spellEnd"/>
      <w:r w:rsidR="00596584" w:rsidRPr="00D07897">
        <w:rPr>
          <w:rFonts w:ascii="Book Antiqua" w:hAnsi="Book Antiqua" w:cs="Arial"/>
          <w:color w:val="000000" w:themeColor="text1"/>
        </w:rPr>
        <w:t xml:space="preserve"> T, </w:t>
      </w:r>
      <w:proofErr w:type="spellStart"/>
      <w:r w:rsidR="00596584" w:rsidRPr="00D07897">
        <w:rPr>
          <w:rFonts w:ascii="Book Antiqua" w:hAnsi="Book Antiqua" w:cs="Arial"/>
          <w:color w:val="000000" w:themeColor="text1"/>
        </w:rPr>
        <w:t>Vandermeer</w:t>
      </w:r>
      <w:proofErr w:type="spellEnd"/>
      <w:r w:rsidR="00596584" w:rsidRPr="00D07897">
        <w:rPr>
          <w:rFonts w:ascii="Book Antiqua" w:hAnsi="Book Antiqua" w:cs="Arial"/>
          <w:color w:val="000000" w:themeColor="text1"/>
        </w:rPr>
        <w:t xml:space="preserve"> B, </w:t>
      </w:r>
      <w:proofErr w:type="spellStart"/>
      <w:r w:rsidR="00596584" w:rsidRPr="00D07897">
        <w:rPr>
          <w:rFonts w:ascii="Book Antiqua" w:hAnsi="Book Antiqua" w:cs="Arial"/>
          <w:color w:val="000000" w:themeColor="text1"/>
        </w:rPr>
        <w:t>Ismond</w:t>
      </w:r>
      <w:proofErr w:type="spellEnd"/>
      <w:r w:rsidR="00596584" w:rsidRPr="00D07897">
        <w:rPr>
          <w:rFonts w:ascii="Book Antiqua" w:hAnsi="Book Antiqua" w:cs="Arial"/>
          <w:color w:val="000000" w:themeColor="text1"/>
        </w:rPr>
        <w:t xml:space="preserve"> KP, </w:t>
      </w:r>
      <w:proofErr w:type="spellStart"/>
      <w:r w:rsidR="00596584" w:rsidRPr="00D07897">
        <w:rPr>
          <w:rFonts w:ascii="Book Antiqua" w:hAnsi="Book Antiqua" w:cs="Arial"/>
          <w:color w:val="000000" w:themeColor="text1"/>
        </w:rPr>
        <w:t>Kroeker</w:t>
      </w:r>
      <w:proofErr w:type="spellEnd"/>
      <w:r w:rsidR="00596584" w:rsidRPr="00D07897">
        <w:rPr>
          <w:rFonts w:ascii="Book Antiqua" w:hAnsi="Book Antiqua" w:cs="Arial"/>
          <w:color w:val="000000" w:themeColor="text1"/>
        </w:rPr>
        <w:t xml:space="preserve"> K, Halloran B, Raman M and Tandon P wrote and edited the manuscript. </w:t>
      </w:r>
    </w:p>
    <w:p w14:paraId="16C7E0CE" w14:textId="124F538E" w:rsidR="00732A35" w:rsidRPr="00D07897" w:rsidRDefault="00732A35" w:rsidP="00F96F15">
      <w:pPr>
        <w:spacing w:line="360" w:lineRule="auto"/>
        <w:jc w:val="both"/>
        <w:rPr>
          <w:rFonts w:ascii="Book Antiqua" w:hAnsi="Book Antiqua" w:cs="Arial"/>
          <w:color w:val="000000" w:themeColor="text1"/>
        </w:rPr>
      </w:pPr>
    </w:p>
    <w:p w14:paraId="35A8A76E" w14:textId="43110E24" w:rsidR="00596584" w:rsidRPr="00D07897" w:rsidRDefault="00732A35" w:rsidP="00F96F15">
      <w:pPr>
        <w:spacing w:line="360" w:lineRule="auto"/>
        <w:jc w:val="both"/>
        <w:rPr>
          <w:rFonts w:ascii="Book Antiqua" w:hAnsi="Book Antiqua" w:cs="Arial"/>
          <w:color w:val="000000" w:themeColor="text1"/>
          <w:lang w:eastAsia="zh-CN"/>
        </w:rPr>
      </w:pPr>
      <w:r w:rsidRPr="00D07897">
        <w:rPr>
          <w:rFonts w:ascii="Book Antiqua" w:hAnsi="Book Antiqua" w:cs="Arial"/>
          <w:b/>
          <w:bCs/>
          <w:color w:val="000000" w:themeColor="text1"/>
          <w:lang w:val="it-IT"/>
        </w:rPr>
        <w:t>Conflict-of-interest statement</w:t>
      </w:r>
      <w:r w:rsidRPr="00D07897">
        <w:rPr>
          <w:rFonts w:ascii="Book Antiqua" w:hAnsi="Book Antiqua" w:cs="Arial"/>
          <w:b/>
          <w:bCs/>
          <w:iCs/>
          <w:color w:val="000000" w:themeColor="text1"/>
        </w:rPr>
        <w:t>:</w:t>
      </w:r>
      <w:bookmarkStart w:id="18" w:name="_Hlk9581441"/>
      <w:bookmarkEnd w:id="14"/>
      <w:bookmarkEnd w:id="15"/>
      <w:bookmarkEnd w:id="16"/>
      <w:bookmarkEnd w:id="17"/>
      <w:r w:rsidRPr="00D07897">
        <w:rPr>
          <w:rFonts w:ascii="Book Antiqua" w:eastAsia="等线" w:hAnsi="Book Antiqua" w:cs="Arial" w:hint="eastAsia"/>
          <w:bCs/>
          <w:color w:val="000000" w:themeColor="text1"/>
          <w:lang w:eastAsia="zh-CN"/>
        </w:rPr>
        <w:t xml:space="preserve"> </w:t>
      </w:r>
      <w:r w:rsidR="00596584" w:rsidRPr="00D07897">
        <w:rPr>
          <w:rFonts w:ascii="Book Antiqua" w:hAnsi="Book Antiqua" w:cs="Arial"/>
          <w:color w:val="000000" w:themeColor="text1"/>
          <w:lang w:eastAsia="zh-CN"/>
        </w:rPr>
        <w:t>All authors have no conflict of interest related to the manuscript</w:t>
      </w:r>
      <w:r w:rsidRPr="00D07897">
        <w:rPr>
          <w:rFonts w:ascii="Book Antiqua" w:hAnsi="Book Antiqua" w:cs="Arial"/>
          <w:color w:val="000000" w:themeColor="text1"/>
          <w:lang w:eastAsia="zh-CN"/>
        </w:rPr>
        <w:t>.</w:t>
      </w:r>
    </w:p>
    <w:p w14:paraId="00585B24" w14:textId="615AC3E1" w:rsidR="00732A35" w:rsidRPr="00D07897" w:rsidRDefault="00732A35" w:rsidP="00F96F15">
      <w:pPr>
        <w:spacing w:line="360" w:lineRule="auto"/>
        <w:jc w:val="both"/>
        <w:rPr>
          <w:rFonts w:ascii="Book Antiqua" w:eastAsia="等线" w:hAnsi="Book Antiqua" w:cs="Arial"/>
          <w:color w:val="000000" w:themeColor="text1"/>
          <w:lang w:eastAsia="zh-CN"/>
        </w:rPr>
      </w:pPr>
    </w:p>
    <w:p w14:paraId="0B757DAD" w14:textId="04738A0C" w:rsidR="00596584" w:rsidRPr="00D07897" w:rsidRDefault="00732A35" w:rsidP="00732A35">
      <w:pPr>
        <w:kinsoku w:val="0"/>
        <w:overflowPunct w:val="0"/>
        <w:autoSpaceDE w:val="0"/>
        <w:autoSpaceDN w:val="0"/>
        <w:adjustRightInd w:val="0"/>
        <w:snapToGrid w:val="0"/>
        <w:spacing w:line="360" w:lineRule="auto"/>
        <w:jc w:val="both"/>
        <w:rPr>
          <w:rFonts w:ascii="Book Antiqua" w:hAnsi="Book Antiqua" w:cs="Arial"/>
          <w:color w:val="000000" w:themeColor="text1"/>
        </w:rPr>
      </w:pPr>
      <w:r w:rsidRPr="00D07897">
        <w:rPr>
          <w:rFonts w:ascii="Book Antiqua" w:eastAsia="宋体" w:hAnsi="Book Antiqua"/>
          <w:b/>
          <w:bCs/>
          <w:szCs w:val="22"/>
          <w:lang w:val="it-IT"/>
        </w:rPr>
        <w:t>PRISMA 2009 Checklist</w:t>
      </w:r>
      <w:r w:rsidRPr="00D07897">
        <w:rPr>
          <w:rFonts w:ascii="Book Antiqua" w:eastAsia="宋体" w:hAnsi="Book Antiqua"/>
          <w:b/>
          <w:snapToGrid w:val="0"/>
          <w:color w:val="000000"/>
          <w:kern w:val="10"/>
          <w:szCs w:val="22"/>
          <w:lang w:val="it-IT"/>
        </w:rPr>
        <w:t xml:space="preserve"> </w:t>
      </w:r>
      <w:r w:rsidRPr="00D07897">
        <w:rPr>
          <w:rFonts w:ascii="Book Antiqua" w:eastAsia="宋体" w:hAnsi="Book Antiqua" w:cs="Tahoma"/>
          <w:b/>
          <w:bCs/>
          <w:color w:val="000000"/>
          <w:szCs w:val="22"/>
          <w:lang w:val="it-IT"/>
        </w:rPr>
        <w:t>statement</w:t>
      </w:r>
      <w:r w:rsidRPr="00D07897">
        <w:rPr>
          <w:rFonts w:ascii="Book Antiqua" w:eastAsia="宋体" w:hAnsi="Book Antiqua" w:cs="Book Antiqua"/>
          <w:b/>
          <w:bCs/>
          <w:iCs/>
          <w:color w:val="000000"/>
          <w:szCs w:val="22"/>
          <w:lang w:val="it-IT"/>
        </w:rPr>
        <w:t>:</w:t>
      </w:r>
      <w:bookmarkStart w:id="19" w:name="_Hlk5953558"/>
      <w:bookmarkStart w:id="20" w:name="_Hlk8804577"/>
      <w:bookmarkEnd w:id="18"/>
      <w:r w:rsidRPr="00D07897">
        <w:rPr>
          <w:rFonts w:ascii="Book Antiqua" w:eastAsia="宋体" w:hAnsi="Book Antiqua" w:cs="Book Antiqua"/>
          <w:b/>
          <w:bCs/>
          <w:iCs/>
          <w:color w:val="000000"/>
          <w:szCs w:val="22"/>
          <w:lang w:val="it-IT"/>
        </w:rPr>
        <w:t xml:space="preserve"> </w:t>
      </w:r>
      <w:r w:rsidR="00596584" w:rsidRPr="00D07897">
        <w:rPr>
          <w:rFonts w:ascii="Book Antiqua" w:hAnsi="Book Antiqua" w:cs="Arial"/>
          <w:color w:val="000000" w:themeColor="text1"/>
        </w:rPr>
        <w:t>Authors have read the PRISMA 2009</w:t>
      </w:r>
      <w:r w:rsidRPr="00D07897">
        <w:rPr>
          <w:rFonts w:ascii="Book Antiqua" w:hAnsi="Book Antiqua" w:cs="Arial"/>
          <w:color w:val="000000" w:themeColor="text1"/>
        </w:rPr>
        <w:t xml:space="preserve"> </w:t>
      </w:r>
      <w:r w:rsidR="00596584" w:rsidRPr="00D07897">
        <w:rPr>
          <w:rFonts w:ascii="Book Antiqua" w:hAnsi="Book Antiqua" w:cs="Arial"/>
          <w:color w:val="000000" w:themeColor="text1"/>
        </w:rPr>
        <w:t>Checklist, and the manuscript was prepared and revised according to the PRISMA 2009 Checklist.</w:t>
      </w:r>
    </w:p>
    <w:p w14:paraId="5F83A97A" w14:textId="67EC641D" w:rsidR="00732A35" w:rsidRPr="00D07897" w:rsidRDefault="00732A35" w:rsidP="00732A35">
      <w:pPr>
        <w:kinsoku w:val="0"/>
        <w:overflowPunct w:val="0"/>
        <w:autoSpaceDE w:val="0"/>
        <w:autoSpaceDN w:val="0"/>
        <w:adjustRightInd w:val="0"/>
        <w:snapToGrid w:val="0"/>
        <w:spacing w:line="360" w:lineRule="auto"/>
        <w:jc w:val="both"/>
        <w:rPr>
          <w:rFonts w:ascii="Book Antiqua" w:hAnsi="Book Antiqua" w:cs="Arial"/>
          <w:color w:val="000000" w:themeColor="text1"/>
        </w:rPr>
      </w:pPr>
    </w:p>
    <w:p w14:paraId="324B3B5C" w14:textId="77777777" w:rsidR="00732A35" w:rsidRPr="00D07897" w:rsidRDefault="00732A35" w:rsidP="00732A35">
      <w:pPr>
        <w:spacing w:line="360" w:lineRule="auto"/>
        <w:jc w:val="both"/>
        <w:rPr>
          <w:rFonts w:ascii="Book Antiqua" w:eastAsia="宋体" w:hAnsi="Book Antiqua" w:cs="宋体"/>
          <w:szCs w:val="22"/>
          <w:lang w:val="it-IT"/>
        </w:rPr>
      </w:pPr>
      <w:bookmarkStart w:id="21" w:name="OLE_LINK195"/>
      <w:bookmarkStart w:id="22" w:name="OLE_LINK196"/>
      <w:bookmarkStart w:id="23" w:name="OLE_LINK272"/>
      <w:bookmarkStart w:id="24" w:name="OLE_LINK1847"/>
      <w:bookmarkStart w:id="25" w:name="OLE_LINK381"/>
      <w:bookmarkStart w:id="26" w:name="OLE_LINK416"/>
      <w:r w:rsidRPr="00D07897">
        <w:rPr>
          <w:rFonts w:ascii="Book Antiqua" w:eastAsia="宋体" w:hAnsi="Book Antiqua"/>
          <w:b/>
          <w:szCs w:val="22"/>
          <w:lang w:val="it-IT"/>
        </w:rPr>
        <w:t xml:space="preserve">Open-Access: </w:t>
      </w:r>
      <w:bookmarkStart w:id="27" w:name="OLE_LINK479"/>
      <w:bookmarkStart w:id="28" w:name="OLE_LINK496"/>
      <w:bookmarkStart w:id="29" w:name="OLE_LINK506"/>
      <w:bookmarkStart w:id="30" w:name="OLE_LINK507"/>
      <w:bookmarkStart w:id="31" w:name="OLE_LINK498"/>
      <w:r w:rsidRPr="00D07897">
        <w:rPr>
          <w:rFonts w:ascii="Book Antiqua" w:eastAsia="宋体" w:hAnsi="Book Antiqua"/>
          <w:szCs w:val="22"/>
          <w:lang w:val="it-IT"/>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07897">
        <w:rPr>
          <w:rFonts w:ascii="Calibri" w:eastAsia="宋体" w:hAnsi="Calibri"/>
          <w:sz w:val="22"/>
          <w:szCs w:val="22"/>
          <w:lang w:val="it-IT"/>
        </w:rPr>
        <w:fldChar w:fldCharType="begin"/>
      </w:r>
      <w:r w:rsidRPr="00D07897">
        <w:rPr>
          <w:rFonts w:ascii="Calibri" w:eastAsia="宋体" w:hAnsi="Calibri"/>
          <w:sz w:val="22"/>
          <w:szCs w:val="22"/>
          <w:lang w:val="it-IT"/>
        </w:rPr>
        <w:instrText xml:space="preserve"> HYPERLINK "http://creativecommons.org/licenses/by-nc/4.0/" </w:instrText>
      </w:r>
      <w:r w:rsidRPr="00D07897">
        <w:rPr>
          <w:rFonts w:ascii="Calibri" w:eastAsia="宋体" w:hAnsi="Calibri"/>
          <w:sz w:val="22"/>
          <w:szCs w:val="22"/>
          <w:lang w:val="it-IT"/>
        </w:rPr>
        <w:fldChar w:fldCharType="separate"/>
      </w:r>
      <w:r w:rsidRPr="00D07897">
        <w:rPr>
          <w:rFonts w:ascii="Book Antiqua" w:eastAsia="宋体" w:hAnsi="Book Antiqua"/>
          <w:szCs w:val="22"/>
          <w:u w:val="single"/>
          <w:lang w:val="it-IT"/>
        </w:rPr>
        <w:t>http://creativecommons.org/licenses/by-nc/4.0/</w:t>
      </w:r>
      <w:r w:rsidRPr="00D07897">
        <w:rPr>
          <w:rFonts w:ascii="Book Antiqua" w:eastAsia="宋体" w:hAnsi="Book Antiqua"/>
          <w:szCs w:val="22"/>
          <w:u w:val="single"/>
          <w:lang w:val="it-IT"/>
        </w:rPr>
        <w:fldChar w:fldCharType="end"/>
      </w:r>
      <w:bookmarkEnd w:id="27"/>
      <w:bookmarkEnd w:id="28"/>
      <w:bookmarkEnd w:id="29"/>
      <w:bookmarkEnd w:id="30"/>
    </w:p>
    <w:bookmarkEnd w:id="21"/>
    <w:bookmarkEnd w:id="22"/>
    <w:bookmarkEnd w:id="23"/>
    <w:bookmarkEnd w:id="24"/>
    <w:bookmarkEnd w:id="25"/>
    <w:bookmarkEnd w:id="26"/>
    <w:bookmarkEnd w:id="31"/>
    <w:p w14:paraId="72C9AB63" w14:textId="5D2F834B" w:rsidR="00732A35" w:rsidRPr="00D07897" w:rsidRDefault="00732A35" w:rsidP="00732A35">
      <w:pPr>
        <w:kinsoku w:val="0"/>
        <w:overflowPunct w:val="0"/>
        <w:autoSpaceDE w:val="0"/>
        <w:autoSpaceDN w:val="0"/>
        <w:adjustRightInd w:val="0"/>
        <w:snapToGrid w:val="0"/>
        <w:spacing w:line="360" w:lineRule="auto"/>
        <w:jc w:val="both"/>
        <w:rPr>
          <w:rFonts w:ascii="Book Antiqua" w:eastAsia="宋体" w:hAnsi="Book Antiqua" w:cs="Book Antiqua"/>
          <w:b/>
          <w:bCs/>
          <w:iCs/>
          <w:color w:val="000000"/>
          <w:szCs w:val="22"/>
          <w:lang w:val="it-IT"/>
        </w:rPr>
      </w:pPr>
    </w:p>
    <w:p w14:paraId="02CCB715" w14:textId="3F2D508B" w:rsidR="00732A35" w:rsidRPr="00D07897" w:rsidRDefault="00732A35" w:rsidP="00732A35">
      <w:pPr>
        <w:kinsoku w:val="0"/>
        <w:overflowPunct w:val="0"/>
        <w:autoSpaceDE w:val="0"/>
        <w:autoSpaceDN w:val="0"/>
        <w:adjustRightInd w:val="0"/>
        <w:snapToGrid w:val="0"/>
        <w:spacing w:line="360" w:lineRule="auto"/>
        <w:jc w:val="both"/>
        <w:rPr>
          <w:rFonts w:ascii="Book Antiqua" w:eastAsia="宋体" w:hAnsi="Book Antiqua" w:cs="Book Antiqua"/>
          <w:iCs/>
          <w:color w:val="000000"/>
          <w:szCs w:val="22"/>
          <w:lang w:val="it-IT" w:eastAsia="zh-CN"/>
        </w:rPr>
      </w:pPr>
      <w:r w:rsidRPr="00D07897">
        <w:rPr>
          <w:rFonts w:ascii="Book Antiqua" w:eastAsia="宋体" w:hAnsi="Book Antiqua" w:cs="Book Antiqua"/>
          <w:b/>
          <w:bCs/>
          <w:iCs/>
          <w:color w:val="000000"/>
          <w:szCs w:val="22"/>
          <w:lang w:val="it-IT" w:eastAsia="zh-CN"/>
        </w:rPr>
        <w:t xml:space="preserve">Manuscript source: </w:t>
      </w:r>
      <w:r w:rsidRPr="00D07897">
        <w:rPr>
          <w:rFonts w:ascii="Book Antiqua" w:eastAsia="宋体" w:hAnsi="Book Antiqua" w:cs="Book Antiqua"/>
          <w:iCs/>
          <w:color w:val="000000"/>
          <w:szCs w:val="22"/>
          <w:lang w:val="it-IT" w:eastAsia="zh-CN"/>
        </w:rPr>
        <w:t>Invited manuscript</w:t>
      </w:r>
    </w:p>
    <w:p w14:paraId="4877C1EE" w14:textId="3B93AE9F" w:rsidR="00732A35" w:rsidRPr="00D07897" w:rsidRDefault="00732A35" w:rsidP="00732A35">
      <w:pPr>
        <w:kinsoku w:val="0"/>
        <w:overflowPunct w:val="0"/>
        <w:autoSpaceDE w:val="0"/>
        <w:autoSpaceDN w:val="0"/>
        <w:adjustRightInd w:val="0"/>
        <w:snapToGrid w:val="0"/>
        <w:spacing w:line="360" w:lineRule="auto"/>
        <w:jc w:val="both"/>
        <w:rPr>
          <w:rFonts w:ascii="Book Antiqua" w:eastAsia="宋体" w:hAnsi="Book Antiqua" w:cs="Book Antiqua"/>
          <w:iCs/>
          <w:color w:val="000000"/>
          <w:szCs w:val="22"/>
          <w:lang w:val="it-IT" w:eastAsia="zh-CN"/>
        </w:rPr>
      </w:pPr>
    </w:p>
    <w:p w14:paraId="1C463842" w14:textId="77777777" w:rsidR="00732A35" w:rsidRPr="00D07897" w:rsidRDefault="00732A35" w:rsidP="00732A35">
      <w:pPr>
        <w:pStyle w:val="af"/>
        <w:spacing w:after="0" w:line="360" w:lineRule="auto"/>
        <w:jc w:val="both"/>
        <w:rPr>
          <w:rFonts w:ascii="Book Antiqua" w:hAnsi="Book Antiqua" w:cs="Arial"/>
          <w:color w:val="000000" w:themeColor="text1"/>
        </w:rPr>
      </w:pPr>
      <w:bookmarkStart w:id="32" w:name="OLE_LINK37"/>
      <w:bookmarkStart w:id="33" w:name="OLE_LINK38"/>
      <w:r w:rsidRPr="00D07897">
        <w:rPr>
          <w:rFonts w:ascii="Book Antiqua" w:hAnsi="Book Antiqua"/>
          <w:b/>
          <w:bCs/>
          <w:lang w:eastAsia="it-IT"/>
        </w:rPr>
        <w:t>Corresponding author:</w:t>
      </w:r>
      <w:bookmarkEnd w:id="19"/>
      <w:bookmarkEnd w:id="20"/>
      <w:bookmarkEnd w:id="32"/>
      <w:bookmarkEnd w:id="33"/>
      <w:r w:rsidRPr="00D07897">
        <w:rPr>
          <w:rFonts w:ascii="Book Antiqua" w:hAnsi="Book Antiqua"/>
          <w:b/>
          <w:bCs/>
          <w:lang w:eastAsia="it-IT"/>
        </w:rPr>
        <w:t xml:space="preserve"> </w:t>
      </w:r>
      <w:proofErr w:type="spellStart"/>
      <w:r w:rsidR="00F47D22" w:rsidRPr="00D07897">
        <w:rPr>
          <w:rFonts w:ascii="Book Antiqua" w:hAnsi="Book Antiqua" w:cs="Arial"/>
          <w:b/>
          <w:bCs/>
          <w:color w:val="000000" w:themeColor="text1"/>
        </w:rPr>
        <w:t>Maitreyi</w:t>
      </w:r>
      <w:proofErr w:type="spellEnd"/>
      <w:r w:rsidR="00F47D22" w:rsidRPr="00D07897">
        <w:rPr>
          <w:rFonts w:ascii="Book Antiqua" w:hAnsi="Book Antiqua" w:cs="Arial"/>
          <w:b/>
          <w:bCs/>
          <w:color w:val="000000" w:themeColor="text1"/>
        </w:rPr>
        <w:t xml:space="preserve"> Raman</w:t>
      </w:r>
      <w:r w:rsidRPr="00D07897">
        <w:rPr>
          <w:rFonts w:ascii="Book Antiqua" w:hAnsi="Book Antiqua" w:cs="Arial"/>
          <w:b/>
          <w:bCs/>
          <w:color w:val="000000" w:themeColor="text1"/>
        </w:rPr>
        <w:t>,</w:t>
      </w:r>
      <w:r w:rsidR="00F47D22" w:rsidRPr="00D07897">
        <w:rPr>
          <w:rFonts w:ascii="Book Antiqua" w:hAnsi="Book Antiqua" w:cs="Arial"/>
          <w:b/>
          <w:bCs/>
          <w:color w:val="000000" w:themeColor="text1"/>
        </w:rPr>
        <w:t xml:space="preserve"> </w:t>
      </w:r>
      <w:r w:rsidRPr="00D07897">
        <w:rPr>
          <w:rFonts w:ascii="Book Antiqua" w:hAnsi="Book Antiqua" w:cs="Arial"/>
          <w:b/>
          <w:bCs/>
          <w:color w:val="000000" w:themeColor="text1"/>
        </w:rPr>
        <w:t xml:space="preserve">FRCP (C), MD, MSc, Associate Professor, </w:t>
      </w:r>
      <w:bookmarkStart w:id="34" w:name="OLE_LINK8"/>
      <w:bookmarkStart w:id="35" w:name="OLE_LINK9"/>
      <w:r w:rsidRPr="00D07897">
        <w:rPr>
          <w:rFonts w:ascii="Book Antiqua" w:hAnsi="Book Antiqua" w:cs="Arial"/>
          <w:color w:val="000000" w:themeColor="text1"/>
        </w:rPr>
        <w:t xml:space="preserve">Division of Gastroenterology and </w:t>
      </w:r>
      <w:proofErr w:type="spellStart"/>
      <w:r w:rsidRPr="00D07897">
        <w:rPr>
          <w:rFonts w:ascii="Book Antiqua" w:hAnsi="Book Antiqua" w:cs="Arial"/>
          <w:color w:val="000000" w:themeColor="text1"/>
        </w:rPr>
        <w:t>Hepatology</w:t>
      </w:r>
      <w:proofErr w:type="spellEnd"/>
      <w:r w:rsidRPr="00D07897">
        <w:rPr>
          <w:rFonts w:ascii="Book Antiqua" w:hAnsi="Book Antiqua" w:cs="Arial"/>
          <w:color w:val="000000" w:themeColor="text1"/>
        </w:rPr>
        <w:t>, Department of Medicine</w:t>
      </w:r>
      <w:bookmarkEnd w:id="34"/>
      <w:bookmarkEnd w:id="35"/>
      <w:r w:rsidRPr="00D07897">
        <w:rPr>
          <w:rFonts w:ascii="Book Antiqua" w:hAnsi="Book Antiqua" w:cs="Arial"/>
          <w:color w:val="000000" w:themeColor="text1"/>
        </w:rPr>
        <w:t xml:space="preserve">, </w:t>
      </w:r>
      <w:bookmarkStart w:id="36" w:name="OLE_LINK10"/>
      <w:bookmarkStart w:id="37" w:name="OLE_LINK11"/>
      <w:r w:rsidRPr="00D07897">
        <w:rPr>
          <w:rFonts w:ascii="Book Antiqua" w:hAnsi="Book Antiqua" w:cs="Arial"/>
          <w:color w:val="000000" w:themeColor="text1"/>
        </w:rPr>
        <w:t>University of Calgary</w:t>
      </w:r>
      <w:bookmarkEnd w:id="36"/>
      <w:bookmarkEnd w:id="37"/>
      <w:r w:rsidRPr="00D07897">
        <w:rPr>
          <w:rFonts w:ascii="Book Antiqua" w:hAnsi="Book Antiqua" w:cs="Arial"/>
          <w:color w:val="000000" w:themeColor="text1"/>
          <w:lang w:val="en-CA"/>
        </w:rPr>
        <w:t xml:space="preserve">, </w:t>
      </w:r>
      <w:bookmarkStart w:id="38" w:name="OLE_LINK12"/>
      <w:bookmarkStart w:id="39" w:name="OLE_LINK13"/>
      <w:r w:rsidRPr="00D07897">
        <w:rPr>
          <w:rFonts w:ascii="Book Antiqua" w:hAnsi="Book Antiqua" w:cs="Arial"/>
          <w:color w:val="000000" w:themeColor="text1"/>
        </w:rPr>
        <w:t>6D33 TRW Building,</w:t>
      </w:r>
      <w:r w:rsidRPr="00D07897">
        <w:rPr>
          <w:rFonts w:ascii="Book Antiqua" w:hAnsi="Book Antiqua" w:cs="Arial" w:hint="eastAsia"/>
          <w:color w:val="000000" w:themeColor="text1"/>
          <w:lang w:eastAsia="zh-CN"/>
        </w:rPr>
        <w:t xml:space="preserve"> </w:t>
      </w:r>
      <w:r w:rsidRPr="00D07897">
        <w:rPr>
          <w:rFonts w:ascii="Book Antiqua" w:hAnsi="Book Antiqua" w:cs="Arial"/>
          <w:color w:val="000000" w:themeColor="text1"/>
        </w:rPr>
        <w:t>3280 Hospital Drive NW</w:t>
      </w:r>
      <w:bookmarkEnd w:id="38"/>
      <w:bookmarkEnd w:id="39"/>
      <w:r w:rsidRPr="00D07897">
        <w:rPr>
          <w:rFonts w:ascii="Book Antiqua" w:hAnsi="Book Antiqua" w:cs="Arial"/>
          <w:color w:val="000000" w:themeColor="text1"/>
        </w:rPr>
        <w:t xml:space="preserve">, </w:t>
      </w:r>
      <w:proofErr w:type="spellStart"/>
      <w:r w:rsidRPr="00D07897">
        <w:rPr>
          <w:rFonts w:ascii="Book Antiqua" w:hAnsi="Book Antiqua" w:cs="Arial"/>
          <w:color w:val="000000" w:themeColor="text1"/>
          <w:lang w:val="en-CA"/>
        </w:rPr>
        <w:t>Calgar</w:t>
      </w:r>
      <w:proofErr w:type="spellEnd"/>
      <w:r w:rsidRPr="00D07897">
        <w:rPr>
          <w:rFonts w:ascii="Book Antiqua" w:eastAsiaTheme="minorEastAsia" w:hAnsi="Book Antiqua" w:cs="Arial"/>
          <w:color w:val="000000" w:themeColor="text1"/>
          <w:lang w:eastAsia="zh-CN"/>
        </w:rPr>
        <w:t xml:space="preserve">y, </w:t>
      </w:r>
      <w:r w:rsidRPr="00D07897">
        <w:rPr>
          <w:rFonts w:ascii="Book Antiqua" w:hAnsi="Book Antiqua" w:cs="Arial"/>
          <w:color w:val="000000" w:themeColor="text1"/>
          <w:lang w:val="en-CA"/>
        </w:rPr>
        <w:t xml:space="preserve">Alberta T2N 2T9, </w:t>
      </w:r>
      <w:r w:rsidRPr="00D07897">
        <w:rPr>
          <w:rFonts w:ascii="Book Antiqua" w:hAnsi="Book Antiqua" w:cs="Arial"/>
          <w:color w:val="000000" w:themeColor="text1"/>
        </w:rPr>
        <w:t xml:space="preserve">Canada. </w:t>
      </w:r>
      <w:hyperlink r:id="rId9" w:history="1">
        <w:r w:rsidRPr="00D07897">
          <w:rPr>
            <w:rStyle w:val="ae"/>
            <w:rFonts w:ascii="Book Antiqua" w:hAnsi="Book Antiqua" w:cs="Arial"/>
            <w:color w:val="000000" w:themeColor="text1"/>
            <w:u w:val="none"/>
          </w:rPr>
          <w:t>mkothand@ucalgary.ca</w:t>
        </w:r>
      </w:hyperlink>
    </w:p>
    <w:p w14:paraId="30913C51" w14:textId="0EC94C3D" w:rsidR="00732A35" w:rsidRPr="00D07897" w:rsidRDefault="00732A35" w:rsidP="00732A35">
      <w:pPr>
        <w:pStyle w:val="af"/>
        <w:spacing w:after="0" w:line="360" w:lineRule="auto"/>
        <w:jc w:val="both"/>
        <w:rPr>
          <w:rFonts w:ascii="Book Antiqua" w:hAnsi="Book Antiqua" w:cs="Arial"/>
          <w:color w:val="000000" w:themeColor="text1"/>
        </w:rPr>
      </w:pPr>
      <w:r w:rsidRPr="00D07897">
        <w:rPr>
          <w:rFonts w:ascii="Book Antiqua" w:hAnsi="Book Antiqua"/>
          <w:b/>
          <w:bCs/>
          <w:lang w:val="en-US" w:eastAsia="zh-CN"/>
        </w:rPr>
        <w:t xml:space="preserve">Telephone: </w:t>
      </w:r>
      <w:bookmarkStart w:id="40" w:name="OLE_LINK14"/>
      <w:bookmarkStart w:id="41" w:name="OLE_LINK15"/>
      <w:r w:rsidRPr="00D07897">
        <w:rPr>
          <w:rFonts w:ascii="Book Antiqua" w:hAnsi="Book Antiqua"/>
          <w:lang w:val="en-US" w:eastAsia="zh-CN"/>
        </w:rPr>
        <w:t>+1-403-592-5020</w:t>
      </w:r>
      <w:bookmarkEnd w:id="40"/>
      <w:bookmarkEnd w:id="41"/>
    </w:p>
    <w:p w14:paraId="76BBFDD5" w14:textId="7D61EB6A" w:rsidR="00F47D22" w:rsidRPr="00D07897" w:rsidRDefault="00F47D22" w:rsidP="00732A35">
      <w:pPr>
        <w:kinsoku w:val="0"/>
        <w:overflowPunct w:val="0"/>
        <w:autoSpaceDE w:val="0"/>
        <w:autoSpaceDN w:val="0"/>
        <w:adjustRightInd w:val="0"/>
        <w:snapToGrid w:val="0"/>
        <w:spacing w:line="360" w:lineRule="auto"/>
        <w:jc w:val="both"/>
        <w:rPr>
          <w:rFonts w:ascii="Book Antiqua" w:eastAsia="宋体" w:hAnsi="Book Antiqua" w:cs="Book Antiqua"/>
          <w:b/>
          <w:bCs/>
          <w:iCs/>
          <w:color w:val="000000"/>
          <w:szCs w:val="22"/>
          <w:lang w:eastAsia="zh-CN"/>
        </w:rPr>
      </w:pPr>
    </w:p>
    <w:p w14:paraId="108F08A2" w14:textId="23071E85" w:rsidR="00732A35" w:rsidRPr="00D07897" w:rsidRDefault="00732A35" w:rsidP="00732A35">
      <w:pPr>
        <w:widowControl w:val="0"/>
        <w:spacing w:line="360" w:lineRule="auto"/>
        <w:jc w:val="both"/>
        <w:rPr>
          <w:rFonts w:ascii="Book Antiqua" w:eastAsia="宋体" w:hAnsi="Book Antiqua"/>
          <w:b/>
          <w:kern w:val="2"/>
          <w:lang w:eastAsia="zh-CN"/>
        </w:rPr>
      </w:pPr>
      <w:bookmarkStart w:id="42" w:name="OLE_LINK75"/>
      <w:bookmarkStart w:id="43" w:name="OLE_LINK76"/>
      <w:bookmarkStart w:id="44" w:name="OLE_LINK269"/>
      <w:bookmarkStart w:id="45" w:name="OLE_LINK239"/>
      <w:r w:rsidRPr="00D07897">
        <w:rPr>
          <w:rFonts w:ascii="Book Antiqua" w:eastAsia="宋体" w:hAnsi="Book Antiqua"/>
          <w:b/>
          <w:kern w:val="2"/>
          <w:lang w:eastAsia="zh-CN"/>
        </w:rPr>
        <w:t xml:space="preserve">Received: </w:t>
      </w:r>
      <w:r w:rsidRPr="00D07897">
        <w:rPr>
          <w:rFonts w:ascii="Book Antiqua" w:eastAsia="宋体" w:hAnsi="Book Antiqua"/>
          <w:kern w:val="2"/>
          <w:lang w:eastAsia="zh-CN"/>
        </w:rPr>
        <w:t>March 18, 2019</w:t>
      </w:r>
    </w:p>
    <w:p w14:paraId="5A4ADC1B" w14:textId="7EF8DCD0" w:rsidR="00732A35" w:rsidRPr="00D07897" w:rsidRDefault="00732A35" w:rsidP="00732A35">
      <w:pPr>
        <w:widowControl w:val="0"/>
        <w:spacing w:line="360" w:lineRule="auto"/>
        <w:jc w:val="both"/>
        <w:rPr>
          <w:rFonts w:ascii="Book Antiqua" w:eastAsia="宋体" w:hAnsi="Book Antiqua"/>
          <w:b/>
          <w:kern w:val="2"/>
          <w:lang w:eastAsia="zh-CN"/>
        </w:rPr>
      </w:pPr>
      <w:r w:rsidRPr="00D07897">
        <w:rPr>
          <w:rFonts w:ascii="Book Antiqua" w:eastAsia="宋体" w:hAnsi="Book Antiqua"/>
          <w:b/>
          <w:kern w:val="2"/>
          <w:lang w:eastAsia="zh-CN"/>
        </w:rPr>
        <w:t xml:space="preserve">Peer-review started: </w:t>
      </w:r>
      <w:r w:rsidRPr="00D07897">
        <w:rPr>
          <w:rFonts w:ascii="Book Antiqua" w:eastAsia="宋体" w:hAnsi="Book Antiqua"/>
          <w:kern w:val="2"/>
          <w:lang w:eastAsia="zh-CN"/>
        </w:rPr>
        <w:t>March 18, 2019</w:t>
      </w:r>
    </w:p>
    <w:p w14:paraId="04EAECED" w14:textId="62A699B7" w:rsidR="00732A35" w:rsidRPr="00D07897" w:rsidRDefault="00732A35" w:rsidP="00732A35">
      <w:pPr>
        <w:widowControl w:val="0"/>
        <w:spacing w:line="360" w:lineRule="auto"/>
        <w:jc w:val="both"/>
        <w:rPr>
          <w:rFonts w:ascii="Book Antiqua" w:eastAsia="宋体" w:hAnsi="Book Antiqua"/>
          <w:b/>
          <w:kern w:val="2"/>
          <w:lang w:eastAsia="zh-CN"/>
        </w:rPr>
      </w:pPr>
      <w:r w:rsidRPr="00D07897">
        <w:rPr>
          <w:rFonts w:ascii="Book Antiqua" w:eastAsia="宋体" w:hAnsi="Book Antiqua"/>
          <w:b/>
          <w:kern w:val="2"/>
          <w:lang w:eastAsia="zh-CN"/>
        </w:rPr>
        <w:t xml:space="preserve">First decision: </w:t>
      </w:r>
      <w:r w:rsidRPr="00D07897">
        <w:rPr>
          <w:rFonts w:ascii="Book Antiqua" w:eastAsia="宋体" w:hAnsi="Book Antiqua"/>
          <w:kern w:val="2"/>
          <w:lang w:eastAsia="zh-CN"/>
        </w:rPr>
        <w:t>May 16, 2019</w:t>
      </w:r>
    </w:p>
    <w:p w14:paraId="438FEFE7" w14:textId="577BD969" w:rsidR="00732A35" w:rsidRPr="00D07897" w:rsidRDefault="00732A35" w:rsidP="00732A35">
      <w:pPr>
        <w:widowControl w:val="0"/>
        <w:spacing w:line="360" w:lineRule="auto"/>
        <w:jc w:val="both"/>
        <w:rPr>
          <w:rFonts w:ascii="Book Antiqua" w:eastAsia="宋体" w:hAnsi="Book Antiqua"/>
          <w:b/>
          <w:kern w:val="2"/>
          <w:lang w:eastAsia="zh-CN"/>
        </w:rPr>
      </w:pPr>
      <w:r w:rsidRPr="00D07897">
        <w:rPr>
          <w:rFonts w:ascii="Book Antiqua" w:eastAsia="宋体" w:hAnsi="Book Antiqua"/>
          <w:b/>
          <w:kern w:val="2"/>
          <w:lang w:eastAsia="zh-CN"/>
        </w:rPr>
        <w:t xml:space="preserve">Revised: </w:t>
      </w:r>
      <w:r w:rsidRPr="00D07897">
        <w:rPr>
          <w:rFonts w:ascii="Book Antiqua" w:eastAsia="宋体" w:hAnsi="Book Antiqua"/>
          <w:kern w:val="2"/>
          <w:lang w:eastAsia="zh-CN"/>
        </w:rPr>
        <w:t>June 17, 2019</w:t>
      </w:r>
    </w:p>
    <w:p w14:paraId="03F3466A" w14:textId="3078CEC8" w:rsidR="00732A35" w:rsidRPr="00D07897" w:rsidRDefault="00732A35" w:rsidP="00732A35">
      <w:pPr>
        <w:widowControl w:val="0"/>
        <w:spacing w:line="360" w:lineRule="auto"/>
        <w:jc w:val="both"/>
        <w:rPr>
          <w:rFonts w:ascii="Book Antiqua" w:eastAsia="宋体" w:hAnsi="Book Antiqua"/>
          <w:color w:val="000000"/>
          <w:kern w:val="2"/>
          <w:lang w:eastAsia="zh-CN"/>
        </w:rPr>
      </w:pPr>
      <w:r w:rsidRPr="00D07897">
        <w:rPr>
          <w:rFonts w:ascii="Book Antiqua" w:eastAsia="宋体" w:hAnsi="Book Antiqua"/>
          <w:b/>
          <w:kern w:val="2"/>
          <w:lang w:eastAsia="zh-CN"/>
        </w:rPr>
        <w:t>Accepted:</w:t>
      </w:r>
      <w:r w:rsidR="00B87FAD" w:rsidRPr="00D07897">
        <w:t xml:space="preserve"> </w:t>
      </w:r>
      <w:r w:rsidR="00B87FAD" w:rsidRPr="00D07897">
        <w:rPr>
          <w:rFonts w:ascii="Book Antiqua" w:eastAsia="宋体" w:hAnsi="Book Antiqua"/>
          <w:bCs/>
          <w:kern w:val="2"/>
          <w:lang w:eastAsia="zh-CN"/>
        </w:rPr>
        <w:t>July 1, 2019</w:t>
      </w:r>
      <w:r w:rsidRPr="00D07897">
        <w:rPr>
          <w:rFonts w:ascii="Book Antiqua" w:eastAsia="宋体" w:hAnsi="Book Antiqua"/>
          <w:b/>
          <w:kern w:val="2"/>
          <w:lang w:eastAsia="zh-CN"/>
        </w:rPr>
        <w:t xml:space="preserve"> </w:t>
      </w:r>
    </w:p>
    <w:p w14:paraId="26E10DA7" w14:textId="6E2E6020" w:rsidR="00732A35" w:rsidRPr="00D07897" w:rsidRDefault="00732A35" w:rsidP="00732A35">
      <w:pPr>
        <w:widowControl w:val="0"/>
        <w:spacing w:line="360" w:lineRule="auto"/>
        <w:jc w:val="both"/>
        <w:rPr>
          <w:rFonts w:ascii="Book Antiqua" w:eastAsia="宋体" w:hAnsi="Book Antiqua"/>
          <w:b/>
          <w:kern w:val="2"/>
          <w:lang w:eastAsia="zh-CN"/>
        </w:rPr>
      </w:pPr>
      <w:r w:rsidRPr="00D07897">
        <w:rPr>
          <w:rFonts w:ascii="Book Antiqua" w:eastAsia="宋体" w:hAnsi="Book Antiqua"/>
          <w:b/>
          <w:kern w:val="2"/>
          <w:lang w:eastAsia="zh-CN"/>
        </w:rPr>
        <w:t>Article in press:</w:t>
      </w:r>
      <w:r w:rsidR="00D07897" w:rsidRPr="00D07897">
        <w:rPr>
          <w:rFonts w:ascii="Book Antiqua" w:eastAsia="宋体" w:hAnsi="Book Antiqua" w:hint="eastAsia"/>
          <w:b/>
          <w:kern w:val="2"/>
          <w:lang w:eastAsia="zh-CN"/>
        </w:rPr>
        <w:t xml:space="preserve"> </w:t>
      </w:r>
      <w:r w:rsidR="00D07897" w:rsidRPr="00D07897">
        <w:rPr>
          <w:rFonts w:ascii="Book Antiqua" w:eastAsia="宋体" w:hAnsi="Book Antiqua"/>
          <w:kern w:val="2"/>
          <w:lang w:eastAsia="zh-CN"/>
        </w:rPr>
        <w:t>July 3, 2019</w:t>
      </w:r>
    </w:p>
    <w:p w14:paraId="57428897" w14:textId="1FAEBC5D" w:rsidR="00111508" w:rsidRPr="00D07897" w:rsidRDefault="00732A35" w:rsidP="00BA07FA">
      <w:pPr>
        <w:widowControl w:val="0"/>
        <w:spacing w:line="360" w:lineRule="auto"/>
        <w:jc w:val="both"/>
        <w:rPr>
          <w:rFonts w:ascii="Book Antiqua" w:eastAsia="宋体" w:hAnsi="Book Antiqua"/>
          <w:b/>
          <w:kern w:val="2"/>
          <w:lang w:eastAsia="zh-CN"/>
        </w:rPr>
      </w:pPr>
      <w:r w:rsidRPr="00D07897">
        <w:rPr>
          <w:rFonts w:ascii="Book Antiqua" w:eastAsia="宋体" w:hAnsi="Book Antiqua"/>
          <w:b/>
          <w:kern w:val="2"/>
          <w:lang w:eastAsia="zh-CN"/>
        </w:rPr>
        <w:t>Published online:</w:t>
      </w:r>
      <w:bookmarkEnd w:id="42"/>
      <w:bookmarkEnd w:id="43"/>
      <w:bookmarkEnd w:id="44"/>
      <w:bookmarkEnd w:id="45"/>
      <w:r w:rsidR="00D07897" w:rsidRPr="00D07897">
        <w:rPr>
          <w:rFonts w:ascii="Book Antiqua" w:eastAsia="宋体" w:hAnsi="Book Antiqua" w:hint="eastAsia"/>
          <w:b/>
          <w:kern w:val="2"/>
          <w:lang w:eastAsia="zh-CN"/>
        </w:rPr>
        <w:t xml:space="preserve"> </w:t>
      </w:r>
      <w:r w:rsidR="00D07897" w:rsidRPr="00D07897">
        <w:rPr>
          <w:rFonts w:ascii="Book Antiqua" w:eastAsia="宋体" w:hAnsi="Book Antiqua"/>
          <w:kern w:val="2"/>
          <w:lang w:eastAsia="zh-CN"/>
        </w:rPr>
        <w:t>July 28, 2019</w:t>
      </w:r>
    </w:p>
    <w:p w14:paraId="5750400E" w14:textId="45506657" w:rsidR="00732A35" w:rsidRPr="00D07897" w:rsidRDefault="00732A35">
      <w:pPr>
        <w:rPr>
          <w:rFonts w:ascii="Book Antiqua" w:hAnsi="Book Antiqua" w:cs="Arial"/>
          <w:color w:val="000000" w:themeColor="text1"/>
        </w:rPr>
      </w:pPr>
      <w:r w:rsidRPr="00D07897">
        <w:rPr>
          <w:rFonts w:ascii="Book Antiqua" w:hAnsi="Book Antiqua" w:cs="Arial"/>
          <w:color w:val="000000" w:themeColor="text1"/>
        </w:rPr>
        <w:br w:type="page"/>
      </w:r>
    </w:p>
    <w:p w14:paraId="0708F001" w14:textId="2A2D8847" w:rsidR="00596584" w:rsidRPr="00D07897" w:rsidRDefault="003B5CDF" w:rsidP="00F96F15">
      <w:pPr>
        <w:spacing w:line="360" w:lineRule="auto"/>
        <w:jc w:val="both"/>
        <w:rPr>
          <w:rFonts w:ascii="Book Antiqua" w:hAnsi="Book Antiqua" w:cs="Arial"/>
          <w:b/>
          <w:bCs/>
          <w:color w:val="000000" w:themeColor="text1"/>
        </w:rPr>
      </w:pPr>
      <w:r w:rsidRPr="00D07897">
        <w:rPr>
          <w:rFonts w:ascii="Book Antiqua" w:eastAsia="等线" w:hAnsi="Book Antiqua" w:cs="Arial"/>
          <w:b/>
          <w:bCs/>
          <w:color w:val="000000" w:themeColor="text1"/>
          <w:lang w:eastAsia="zh-CN"/>
        </w:rPr>
        <w:lastRenderedPageBreak/>
        <w:t>Abstract</w:t>
      </w:r>
    </w:p>
    <w:p w14:paraId="02FBFECF" w14:textId="5CBBB8E2" w:rsidR="00BA07FA" w:rsidRPr="00D07897" w:rsidRDefault="00BA07FA" w:rsidP="00F96F15">
      <w:pPr>
        <w:spacing w:line="360" w:lineRule="auto"/>
        <w:jc w:val="both"/>
        <w:rPr>
          <w:rFonts w:ascii="Book Antiqua" w:hAnsi="Book Antiqua" w:cs="Arial"/>
          <w:b/>
          <w:bCs/>
          <w:i/>
          <w:iCs/>
          <w:color w:val="000000" w:themeColor="text1"/>
        </w:rPr>
      </w:pPr>
      <w:r w:rsidRPr="00D07897">
        <w:rPr>
          <w:rFonts w:ascii="Book Antiqua" w:hAnsi="Book Antiqua" w:cs="Arial"/>
          <w:b/>
          <w:bCs/>
          <w:i/>
          <w:iCs/>
          <w:color w:val="000000" w:themeColor="text1"/>
        </w:rPr>
        <w:t>BACKGROUND</w:t>
      </w:r>
    </w:p>
    <w:p w14:paraId="39BF2409" w14:textId="5278E528" w:rsidR="002645DD" w:rsidRPr="00D07897" w:rsidRDefault="002645DD"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Malnutrition is prevalent in inflammatory bowel disease (IBD). Multiple nutrition screening (NST) and assessment tools (NAT) have been developed for general populations, but </w:t>
      </w:r>
      <w:r w:rsidR="00B139E2" w:rsidRPr="00D07897">
        <w:rPr>
          <w:rFonts w:ascii="Book Antiqua" w:hAnsi="Book Antiqua" w:cs="Arial"/>
          <w:color w:val="000000" w:themeColor="text1"/>
        </w:rPr>
        <w:t>the evidence in patients with</w:t>
      </w:r>
      <w:r w:rsidR="007C7DB9" w:rsidRPr="00D07897">
        <w:rPr>
          <w:rFonts w:ascii="Book Antiqua" w:hAnsi="Book Antiqua" w:cs="Arial"/>
          <w:color w:val="000000" w:themeColor="text1"/>
        </w:rPr>
        <w:t xml:space="preserve"> IBD</w:t>
      </w:r>
      <w:r w:rsidR="008B7DE9" w:rsidRPr="00D07897">
        <w:rPr>
          <w:rFonts w:ascii="Book Antiqua" w:hAnsi="Book Antiqua" w:cs="Arial"/>
          <w:color w:val="000000" w:themeColor="text1"/>
        </w:rPr>
        <w:t xml:space="preserve"> remain</w:t>
      </w:r>
      <w:r w:rsidR="007C7DB9" w:rsidRPr="00D07897">
        <w:rPr>
          <w:rFonts w:ascii="Book Antiqua" w:hAnsi="Book Antiqua" w:cs="Arial"/>
          <w:color w:val="000000" w:themeColor="text1"/>
        </w:rPr>
        <w:t>s</w:t>
      </w:r>
      <w:r w:rsidR="008B7DE9" w:rsidRPr="00D07897">
        <w:rPr>
          <w:rFonts w:ascii="Book Antiqua" w:hAnsi="Book Antiqua" w:cs="Arial"/>
          <w:color w:val="000000" w:themeColor="text1"/>
        </w:rPr>
        <w:t xml:space="preserve"> unclear</w:t>
      </w:r>
      <w:r w:rsidRPr="00D07897">
        <w:rPr>
          <w:rFonts w:ascii="Book Antiqua" w:hAnsi="Book Antiqua" w:cs="Arial"/>
          <w:color w:val="000000" w:themeColor="text1"/>
        </w:rPr>
        <w:t>.</w:t>
      </w:r>
    </w:p>
    <w:p w14:paraId="74D637AC" w14:textId="77777777" w:rsidR="002645DD" w:rsidRPr="00D07897" w:rsidRDefault="002645DD" w:rsidP="00F96F15">
      <w:pPr>
        <w:spacing w:line="360" w:lineRule="auto"/>
        <w:jc w:val="both"/>
        <w:rPr>
          <w:rFonts w:ascii="Book Antiqua" w:hAnsi="Book Antiqua" w:cs="Arial"/>
          <w:color w:val="000000" w:themeColor="text1"/>
        </w:rPr>
      </w:pPr>
    </w:p>
    <w:p w14:paraId="7A7E7AFE" w14:textId="37ECE031" w:rsidR="00BA07FA" w:rsidRPr="00D07897" w:rsidRDefault="00BA07FA" w:rsidP="00F96F15">
      <w:pPr>
        <w:spacing w:line="360" w:lineRule="auto"/>
        <w:jc w:val="both"/>
        <w:rPr>
          <w:rFonts w:ascii="Book Antiqua" w:hAnsi="Book Antiqua" w:cs="Arial"/>
          <w:b/>
          <w:bCs/>
          <w:i/>
          <w:iCs/>
          <w:color w:val="000000" w:themeColor="text1"/>
        </w:rPr>
      </w:pPr>
      <w:r w:rsidRPr="00D07897">
        <w:rPr>
          <w:rFonts w:ascii="Book Antiqua" w:hAnsi="Book Antiqua" w:cs="Arial"/>
          <w:b/>
          <w:bCs/>
          <w:i/>
          <w:iCs/>
          <w:color w:val="000000" w:themeColor="text1"/>
        </w:rPr>
        <w:t>AIM</w:t>
      </w:r>
    </w:p>
    <w:p w14:paraId="5922A97C" w14:textId="61414B52" w:rsidR="002645DD" w:rsidRPr="00D07897" w:rsidRDefault="0059658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To </w:t>
      </w:r>
      <w:r w:rsidR="008B7DE9" w:rsidRPr="00D07897">
        <w:rPr>
          <w:rFonts w:ascii="Book Antiqua" w:hAnsi="Book Antiqua" w:cs="Arial"/>
          <w:color w:val="000000" w:themeColor="text1"/>
        </w:rPr>
        <w:t xml:space="preserve">systematically review </w:t>
      </w:r>
      <w:r w:rsidR="003E443E" w:rsidRPr="00D07897">
        <w:rPr>
          <w:rFonts w:ascii="Book Antiqua" w:hAnsi="Book Antiqua" w:cs="Arial"/>
          <w:color w:val="000000" w:themeColor="text1"/>
        </w:rPr>
        <w:t xml:space="preserve">the </w:t>
      </w:r>
      <w:r w:rsidR="00FB18BB" w:rsidRPr="00D07897">
        <w:rPr>
          <w:rFonts w:ascii="Book Antiqua" w:hAnsi="Book Antiqua" w:cs="Arial"/>
          <w:color w:val="000000" w:themeColor="text1"/>
        </w:rPr>
        <w:t>prevalence of abnormalities on NSTs and NATs, whether NSTs are associated with NATs, and whether they</w:t>
      </w:r>
      <w:r w:rsidR="003E443E" w:rsidRPr="00D07897">
        <w:rPr>
          <w:rFonts w:ascii="Book Antiqua" w:hAnsi="Book Antiqua" w:cs="Arial"/>
          <w:color w:val="000000" w:themeColor="text1"/>
        </w:rPr>
        <w:t xml:space="preserve"> </w:t>
      </w:r>
      <w:r w:rsidR="002645DD" w:rsidRPr="00D07897">
        <w:rPr>
          <w:rFonts w:ascii="Book Antiqua" w:hAnsi="Book Antiqua" w:cs="Arial"/>
          <w:color w:val="000000" w:themeColor="text1"/>
        </w:rPr>
        <w:t>predict clinical outcomes</w:t>
      </w:r>
      <w:r w:rsidRPr="00D07897">
        <w:rPr>
          <w:rFonts w:ascii="Book Antiqua" w:hAnsi="Book Antiqua" w:cs="Arial"/>
          <w:color w:val="000000" w:themeColor="text1"/>
        </w:rPr>
        <w:t xml:space="preserve"> in patients with IBD</w:t>
      </w:r>
      <w:r w:rsidR="002645DD" w:rsidRPr="00D07897">
        <w:rPr>
          <w:rFonts w:ascii="Book Antiqua" w:hAnsi="Book Antiqua" w:cs="Arial"/>
          <w:color w:val="000000" w:themeColor="text1"/>
        </w:rPr>
        <w:t>.</w:t>
      </w:r>
    </w:p>
    <w:p w14:paraId="21CCD862" w14:textId="77777777" w:rsidR="008B7DE9" w:rsidRPr="00D07897" w:rsidRDefault="008B7DE9" w:rsidP="00F96F15">
      <w:pPr>
        <w:spacing w:line="360" w:lineRule="auto"/>
        <w:jc w:val="both"/>
        <w:rPr>
          <w:rFonts w:ascii="Book Antiqua" w:hAnsi="Book Antiqua" w:cs="Arial"/>
          <w:color w:val="000000" w:themeColor="text1"/>
        </w:rPr>
      </w:pPr>
    </w:p>
    <w:p w14:paraId="2D5B5C3F" w14:textId="73AE5D35" w:rsidR="00BA07FA" w:rsidRPr="00D07897" w:rsidRDefault="00BA07FA" w:rsidP="00F96F15">
      <w:pPr>
        <w:spacing w:line="360" w:lineRule="auto"/>
        <w:jc w:val="both"/>
        <w:rPr>
          <w:rFonts w:ascii="Book Antiqua" w:hAnsi="Book Antiqua" w:cs="Arial"/>
          <w:b/>
          <w:bCs/>
          <w:i/>
          <w:iCs/>
          <w:color w:val="000000" w:themeColor="text1"/>
        </w:rPr>
      </w:pPr>
      <w:r w:rsidRPr="00D07897">
        <w:rPr>
          <w:rFonts w:ascii="Book Antiqua" w:hAnsi="Book Antiqua" w:cs="Arial"/>
          <w:b/>
          <w:bCs/>
          <w:i/>
          <w:iCs/>
          <w:color w:val="000000" w:themeColor="text1"/>
        </w:rPr>
        <w:t>METHODS</w:t>
      </w:r>
    </w:p>
    <w:p w14:paraId="4A95F560" w14:textId="4454519A" w:rsidR="008B7DE9" w:rsidRPr="00D07897" w:rsidRDefault="007C7DB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Comprehensive searches performed in Medline, CINAHL Plus and PubMed.</w:t>
      </w:r>
      <w:r w:rsidR="002645DD" w:rsidRPr="00D07897">
        <w:rPr>
          <w:rFonts w:ascii="Book Antiqua" w:hAnsi="Book Antiqua" w:cs="Arial"/>
          <w:color w:val="000000" w:themeColor="text1"/>
        </w:rPr>
        <w:t xml:space="preserve"> </w:t>
      </w:r>
      <w:r w:rsidR="008B7DE9" w:rsidRPr="00D07897">
        <w:rPr>
          <w:rFonts w:ascii="Book Antiqua" w:hAnsi="Book Antiqua" w:cs="Arial"/>
          <w:color w:val="000000" w:themeColor="text1"/>
        </w:rPr>
        <w:t xml:space="preserve">Included: </w:t>
      </w:r>
      <w:r w:rsidRPr="00D07897">
        <w:rPr>
          <w:rFonts w:ascii="Book Antiqua" w:hAnsi="Book Antiqua" w:cs="Arial"/>
          <w:color w:val="000000" w:themeColor="text1"/>
        </w:rPr>
        <w:t>English language s</w:t>
      </w:r>
      <w:r w:rsidR="008B7DE9" w:rsidRPr="00D07897">
        <w:rPr>
          <w:rFonts w:ascii="Book Antiqua" w:hAnsi="Book Antiqua" w:cs="Arial"/>
          <w:color w:val="000000" w:themeColor="text1"/>
        </w:rPr>
        <w:t>tudies correlating NSTs with NATs or N</w:t>
      </w:r>
      <w:r w:rsidRPr="00D07897">
        <w:rPr>
          <w:rFonts w:ascii="Book Antiqua" w:hAnsi="Book Antiqua" w:cs="Arial"/>
          <w:color w:val="000000" w:themeColor="text1"/>
        </w:rPr>
        <w:t xml:space="preserve">STs/NATs with clinical outcomes in IBD. </w:t>
      </w:r>
      <w:r w:rsidR="008B7DE9" w:rsidRPr="00D07897">
        <w:rPr>
          <w:rFonts w:ascii="Book Antiqua" w:hAnsi="Book Antiqua" w:cs="Arial"/>
          <w:color w:val="000000" w:themeColor="text1"/>
        </w:rPr>
        <w:t>Excluded: review articles/case studies;</w:t>
      </w:r>
      <w:r w:rsidR="00FA64C2" w:rsidRPr="00D07897">
        <w:rPr>
          <w:rFonts w:ascii="Book Antiqua" w:hAnsi="Book Antiqua" w:cs="Arial"/>
          <w:color w:val="000000" w:themeColor="text1"/>
        </w:rPr>
        <w:t xml:space="preserve"> use of </w:t>
      </w:r>
      <w:r w:rsidR="00910C20" w:rsidRPr="00D07897">
        <w:rPr>
          <w:rFonts w:ascii="Book Antiqua" w:hAnsi="Book Antiqua" w:cs="Arial"/>
          <w:color w:val="000000" w:themeColor="text1"/>
        </w:rPr>
        <w:t>body mass index</w:t>
      </w:r>
      <w:r w:rsidR="00FA64C2" w:rsidRPr="00D07897">
        <w:rPr>
          <w:rFonts w:ascii="Book Antiqua" w:hAnsi="Book Antiqua" w:cs="Arial"/>
          <w:color w:val="000000" w:themeColor="text1"/>
        </w:rPr>
        <w:t>/</w:t>
      </w:r>
      <w:r w:rsidR="008B7DE9" w:rsidRPr="00D07897">
        <w:rPr>
          <w:rFonts w:ascii="Book Antiqua" w:hAnsi="Book Antiqua" w:cs="Arial"/>
          <w:color w:val="000000" w:themeColor="text1"/>
        </w:rPr>
        <w:t xml:space="preserve">laboratory values as sole </w:t>
      </w:r>
      <w:r w:rsidR="00FA64C2" w:rsidRPr="00D07897">
        <w:rPr>
          <w:rFonts w:ascii="Book Antiqua" w:hAnsi="Book Antiqua" w:cs="Arial"/>
          <w:color w:val="000000" w:themeColor="text1"/>
        </w:rPr>
        <w:t>NST/NAT</w:t>
      </w:r>
      <w:r w:rsidRPr="00D07897">
        <w:rPr>
          <w:rFonts w:ascii="Book Antiqua" w:hAnsi="Book Antiqua" w:cs="Arial"/>
          <w:color w:val="000000" w:themeColor="text1"/>
        </w:rPr>
        <w:t>; age &lt;</w:t>
      </w:r>
      <w:r w:rsidR="00BA07FA" w:rsidRPr="00D07897">
        <w:rPr>
          <w:rFonts w:ascii="Book Antiqua" w:hAnsi="Book Antiqua" w:cs="Arial"/>
          <w:color w:val="000000" w:themeColor="text1"/>
        </w:rPr>
        <w:t xml:space="preserve"> </w:t>
      </w:r>
      <w:r w:rsidRPr="00D07897">
        <w:rPr>
          <w:rFonts w:ascii="Book Antiqua" w:hAnsi="Book Antiqua" w:cs="Arial"/>
          <w:color w:val="000000" w:themeColor="text1"/>
        </w:rPr>
        <w:t>16</w:t>
      </w:r>
      <w:r w:rsidR="008B7DE9" w:rsidRPr="00D07897">
        <w:rPr>
          <w:rFonts w:ascii="Book Antiqua" w:hAnsi="Book Antiqua" w:cs="Arial"/>
          <w:color w:val="000000" w:themeColor="text1"/>
        </w:rPr>
        <w:t xml:space="preserve">. </w:t>
      </w:r>
    </w:p>
    <w:p w14:paraId="75F3528B" w14:textId="77777777" w:rsidR="002645DD" w:rsidRPr="00D07897" w:rsidRDefault="002645DD" w:rsidP="00F96F15">
      <w:pPr>
        <w:spacing w:line="360" w:lineRule="auto"/>
        <w:jc w:val="both"/>
        <w:rPr>
          <w:rFonts w:ascii="Book Antiqua" w:hAnsi="Book Antiqua" w:cs="Arial"/>
          <w:color w:val="000000" w:themeColor="text1"/>
        </w:rPr>
      </w:pPr>
    </w:p>
    <w:p w14:paraId="7C3C9818" w14:textId="18086EAC" w:rsidR="00BA07FA" w:rsidRPr="00D07897" w:rsidRDefault="00BA07FA" w:rsidP="00F96F15">
      <w:pPr>
        <w:spacing w:line="360" w:lineRule="auto"/>
        <w:jc w:val="both"/>
        <w:rPr>
          <w:rFonts w:ascii="Book Antiqua" w:hAnsi="Book Antiqua" w:cs="Arial"/>
          <w:b/>
          <w:bCs/>
          <w:i/>
          <w:iCs/>
          <w:color w:val="000000" w:themeColor="text1"/>
        </w:rPr>
      </w:pPr>
      <w:r w:rsidRPr="00D07897">
        <w:rPr>
          <w:rFonts w:ascii="Book Antiqua" w:hAnsi="Book Antiqua" w:cs="Arial"/>
          <w:b/>
          <w:bCs/>
          <w:i/>
          <w:iCs/>
          <w:color w:val="000000" w:themeColor="text1"/>
        </w:rPr>
        <w:t>RESULTS</w:t>
      </w:r>
    </w:p>
    <w:p w14:paraId="12B28334" w14:textId="6640C276" w:rsidR="002645DD" w:rsidRPr="00D07897" w:rsidRDefault="00BA07FA"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Of </w:t>
      </w:r>
      <w:r w:rsidR="002645DD" w:rsidRPr="00D07897">
        <w:rPr>
          <w:rFonts w:ascii="Book Antiqua" w:hAnsi="Book Antiqua" w:cs="Arial"/>
          <w:color w:val="000000" w:themeColor="text1"/>
        </w:rPr>
        <w:t>1</w:t>
      </w:r>
      <w:r w:rsidR="009D3176" w:rsidRPr="00D07897">
        <w:rPr>
          <w:rFonts w:ascii="Book Antiqua" w:hAnsi="Book Antiqua" w:cs="Arial"/>
          <w:color w:val="000000" w:themeColor="text1"/>
        </w:rPr>
        <w:t>6</w:t>
      </w:r>
      <w:r w:rsidR="008B7DE9" w:rsidRPr="00D07897">
        <w:rPr>
          <w:rFonts w:ascii="Book Antiqua" w:hAnsi="Book Antiqua" w:cs="Arial"/>
          <w:color w:val="000000" w:themeColor="text1"/>
        </w:rPr>
        <w:t xml:space="preserve"> studies and 1</w:t>
      </w:r>
      <w:r w:rsidR="009D3176" w:rsidRPr="00D07897">
        <w:rPr>
          <w:rFonts w:ascii="Book Antiqua" w:hAnsi="Book Antiqua" w:cs="Arial"/>
          <w:color w:val="000000" w:themeColor="text1"/>
        </w:rPr>
        <w:t>618</w:t>
      </w:r>
      <w:r w:rsidR="007C7DB9" w:rsidRPr="00D07897">
        <w:rPr>
          <w:rFonts w:ascii="Book Antiqua" w:hAnsi="Book Antiqua" w:cs="Arial"/>
          <w:color w:val="000000" w:themeColor="text1"/>
        </w:rPr>
        <w:t xml:space="preserve"> patients were included, </w:t>
      </w:r>
      <w:r w:rsidR="008B7DE9" w:rsidRPr="00D07897">
        <w:rPr>
          <w:rFonts w:ascii="Book Antiqua" w:hAnsi="Book Antiqua" w:cs="Arial"/>
          <w:color w:val="000000" w:themeColor="text1"/>
        </w:rPr>
        <w:t>7</w:t>
      </w:r>
      <w:r w:rsidR="001205BD" w:rsidRPr="00D07897">
        <w:rPr>
          <w:rFonts w:ascii="Book Antiqua" w:hAnsi="Book Antiqua" w:cs="Arial"/>
          <w:color w:val="000000" w:themeColor="text1"/>
        </w:rPr>
        <w:t>2</w:t>
      </w:r>
      <w:r w:rsidR="008B7DE9" w:rsidRPr="00D07897">
        <w:rPr>
          <w:rFonts w:ascii="Book Antiqua" w:hAnsi="Book Antiqua" w:cs="Arial"/>
          <w:color w:val="000000" w:themeColor="text1"/>
        </w:rPr>
        <w:t>%</w:t>
      </w:r>
      <w:r w:rsidR="0006263C" w:rsidRPr="00D07897">
        <w:rPr>
          <w:rFonts w:ascii="Book Antiqua" w:hAnsi="Book Antiqua" w:cs="Arial"/>
          <w:color w:val="000000" w:themeColor="text1"/>
        </w:rPr>
        <w:t xml:space="preserve"> </w:t>
      </w:r>
      <w:r w:rsidR="008B7DE9" w:rsidRPr="00D07897">
        <w:rPr>
          <w:rFonts w:ascii="Book Antiqua" w:hAnsi="Book Antiqua" w:cs="Arial"/>
          <w:color w:val="000000" w:themeColor="text1"/>
        </w:rPr>
        <w:t>Crohn’s disease and 2</w:t>
      </w:r>
      <w:r w:rsidR="009D3176" w:rsidRPr="00D07897">
        <w:rPr>
          <w:rFonts w:ascii="Book Antiqua" w:hAnsi="Book Antiqua" w:cs="Arial"/>
          <w:color w:val="000000" w:themeColor="text1"/>
        </w:rPr>
        <w:t>8</w:t>
      </w:r>
      <w:r w:rsidR="008B7DE9" w:rsidRPr="00D07897">
        <w:rPr>
          <w:rFonts w:ascii="Book Antiqua" w:hAnsi="Book Antiqua" w:cs="Arial"/>
          <w:color w:val="000000" w:themeColor="text1"/>
        </w:rPr>
        <w:t xml:space="preserve">% </w:t>
      </w:r>
      <w:r w:rsidR="00261ED2" w:rsidRPr="00D07897">
        <w:rPr>
          <w:rFonts w:ascii="Book Antiqua" w:hAnsi="Book Antiqua" w:cs="Arial"/>
          <w:color w:val="000000" w:themeColor="text1"/>
        </w:rPr>
        <w:t>u</w:t>
      </w:r>
      <w:r w:rsidR="008B7DE9" w:rsidRPr="00D07897">
        <w:rPr>
          <w:rFonts w:ascii="Book Antiqua" w:hAnsi="Book Antiqua" w:cs="Arial"/>
          <w:color w:val="000000" w:themeColor="text1"/>
        </w:rPr>
        <w:t xml:space="preserve">lcerative </w:t>
      </w:r>
      <w:r w:rsidR="00261ED2" w:rsidRPr="00D07897">
        <w:rPr>
          <w:rFonts w:ascii="Book Antiqua" w:hAnsi="Book Antiqua" w:cs="Arial"/>
          <w:color w:val="000000" w:themeColor="text1"/>
        </w:rPr>
        <w:t>c</w:t>
      </w:r>
      <w:r w:rsidR="008B7DE9" w:rsidRPr="00D07897">
        <w:rPr>
          <w:rFonts w:ascii="Book Antiqua" w:hAnsi="Book Antiqua" w:cs="Arial"/>
          <w:color w:val="000000" w:themeColor="text1"/>
        </w:rPr>
        <w:t>olitis</w:t>
      </w:r>
      <w:r w:rsidR="002645DD" w:rsidRPr="00D07897">
        <w:rPr>
          <w:rFonts w:ascii="Book Antiqua" w:hAnsi="Book Antiqua" w:cs="Arial"/>
          <w:color w:val="000000" w:themeColor="text1"/>
        </w:rPr>
        <w:t xml:space="preserve">. </w:t>
      </w:r>
      <w:r w:rsidR="009D3176" w:rsidRPr="00D07897">
        <w:rPr>
          <w:rFonts w:ascii="Book Antiqua" w:hAnsi="Book Antiqua" w:cs="Arial"/>
          <w:color w:val="000000" w:themeColor="text1"/>
        </w:rPr>
        <w:t>Four</w:t>
      </w:r>
      <w:r w:rsidR="002645DD" w:rsidRPr="00D07897">
        <w:rPr>
          <w:rFonts w:ascii="Book Antiqua" w:hAnsi="Book Antiqua" w:cs="Arial"/>
          <w:color w:val="000000" w:themeColor="text1"/>
        </w:rPr>
        <w:t xml:space="preserve"> </w:t>
      </w:r>
      <w:r w:rsidR="00B139E2" w:rsidRPr="00D07897">
        <w:rPr>
          <w:rFonts w:ascii="Book Antiqua" w:hAnsi="Book Antiqua" w:cs="Arial"/>
          <w:color w:val="000000" w:themeColor="text1"/>
        </w:rPr>
        <w:t xml:space="preserve">NSTs </w:t>
      </w:r>
      <w:r w:rsidR="00261ED2" w:rsidRPr="00D07897">
        <w:rPr>
          <w:rFonts w:ascii="Book Antiqua" w:hAnsi="Book Antiqua" w:cs="Arial"/>
          <w:color w:val="000000" w:themeColor="text1"/>
        </w:rPr>
        <w:t>(</w:t>
      </w:r>
      <w:r w:rsidR="001205BD" w:rsidRPr="00D07897">
        <w:rPr>
          <w:rFonts w:ascii="Book Antiqua" w:hAnsi="Book Antiqua" w:cs="Arial"/>
          <w:color w:val="000000" w:themeColor="text1"/>
        </w:rPr>
        <w:t xml:space="preserve">the </w:t>
      </w:r>
      <w:r w:rsidR="002645DD" w:rsidRPr="00D07897">
        <w:rPr>
          <w:rFonts w:ascii="Book Antiqua" w:hAnsi="Book Antiqua" w:cs="Arial"/>
          <w:color w:val="000000" w:themeColor="text1"/>
        </w:rPr>
        <w:t>Malnutrition Universal Screening Tool, Malnutrition Inflammation Risk Tool</w:t>
      </w:r>
      <w:r w:rsidR="009D3176" w:rsidRPr="00D07897">
        <w:rPr>
          <w:rFonts w:ascii="Book Antiqua" w:hAnsi="Book Antiqua" w:cs="Arial"/>
          <w:color w:val="000000" w:themeColor="text1"/>
        </w:rPr>
        <w:t xml:space="preserve"> </w:t>
      </w:r>
      <w:r w:rsidR="002645DD" w:rsidRPr="00D07897">
        <w:rPr>
          <w:rFonts w:ascii="Book Antiqua" w:hAnsi="Book Antiqua" w:cs="Arial"/>
          <w:color w:val="000000" w:themeColor="text1"/>
        </w:rPr>
        <w:t>(MIRT)</w:t>
      </w:r>
      <w:r w:rsidR="009D3176" w:rsidRPr="00D07897">
        <w:rPr>
          <w:rFonts w:ascii="Book Antiqua" w:hAnsi="Book Antiqua" w:cs="Arial"/>
          <w:color w:val="000000" w:themeColor="text1"/>
        </w:rPr>
        <w:t>, Saskatchewan Inflammatory Bowel Disease Nutrition Risk Tool (</w:t>
      </w:r>
      <w:proofErr w:type="spellStart"/>
      <w:r w:rsidR="009D3176" w:rsidRPr="00D07897">
        <w:rPr>
          <w:rFonts w:ascii="Book Antiqua" w:hAnsi="Book Antiqua" w:cs="Arial"/>
          <w:color w:val="000000" w:themeColor="text1"/>
        </w:rPr>
        <w:t>SaskIBD</w:t>
      </w:r>
      <w:proofErr w:type="spellEnd"/>
      <w:r w:rsidR="009D3176" w:rsidRPr="00D07897">
        <w:rPr>
          <w:rFonts w:ascii="Book Antiqua" w:hAnsi="Book Antiqua" w:cs="Arial"/>
          <w:color w:val="000000" w:themeColor="text1"/>
        </w:rPr>
        <w:t>-NRT)</w:t>
      </w:r>
      <w:r w:rsidR="002645DD" w:rsidRPr="00D07897">
        <w:rPr>
          <w:rFonts w:ascii="Book Antiqua" w:hAnsi="Book Antiqua" w:cs="Arial"/>
          <w:color w:val="000000" w:themeColor="text1"/>
        </w:rPr>
        <w:t xml:space="preserve"> and Nutrition Risk Screening 2002 (NRS-2002</w:t>
      </w:r>
      <w:r w:rsidR="00261ED2" w:rsidRPr="00D07897">
        <w:rPr>
          <w:rFonts w:ascii="Book Antiqua" w:hAnsi="Book Antiqua" w:cs="Arial"/>
          <w:color w:val="000000" w:themeColor="text1"/>
        </w:rPr>
        <w:t>)</w:t>
      </w:r>
      <w:r w:rsidR="002645DD" w:rsidRPr="00D07897">
        <w:rPr>
          <w:rFonts w:ascii="Book Antiqua" w:hAnsi="Book Antiqua" w:cs="Arial"/>
          <w:color w:val="000000" w:themeColor="text1"/>
        </w:rPr>
        <w:t xml:space="preserve"> </w:t>
      </w:r>
      <w:r w:rsidR="00135C38" w:rsidRPr="00D07897">
        <w:rPr>
          <w:rFonts w:ascii="Book Antiqua" w:hAnsi="Book Antiqua" w:cs="Arial"/>
          <w:color w:val="000000" w:themeColor="text1"/>
        </w:rPr>
        <w:t xml:space="preserve">were significantly associated </w:t>
      </w:r>
      <w:r w:rsidR="002645DD" w:rsidRPr="00D07897">
        <w:rPr>
          <w:rFonts w:ascii="Book Antiqua" w:hAnsi="Book Antiqua" w:cs="Arial"/>
          <w:color w:val="000000" w:themeColor="text1"/>
        </w:rPr>
        <w:t xml:space="preserve">with </w:t>
      </w:r>
      <w:r w:rsidR="001205BD" w:rsidRPr="00D07897">
        <w:rPr>
          <w:rFonts w:ascii="Book Antiqua" w:hAnsi="Book Antiqua" w:cs="Arial"/>
          <w:color w:val="000000" w:themeColor="text1"/>
        </w:rPr>
        <w:t xml:space="preserve">nutritional </w:t>
      </w:r>
      <w:r w:rsidR="00B139E2" w:rsidRPr="00D07897">
        <w:rPr>
          <w:rFonts w:ascii="Book Antiqua" w:hAnsi="Book Antiqua" w:cs="Arial"/>
          <w:color w:val="000000" w:themeColor="text1"/>
        </w:rPr>
        <w:t xml:space="preserve">assessment </w:t>
      </w:r>
      <w:r w:rsidR="002645DD" w:rsidRPr="00D07897">
        <w:rPr>
          <w:rFonts w:ascii="Book Antiqua" w:hAnsi="Book Antiqua" w:cs="Arial"/>
          <w:color w:val="000000" w:themeColor="text1"/>
        </w:rPr>
        <w:t xml:space="preserve">measures of sarcopenia and </w:t>
      </w:r>
      <w:r w:rsidR="001205BD" w:rsidRPr="00D07897">
        <w:rPr>
          <w:rFonts w:ascii="Book Antiqua" w:hAnsi="Book Antiqua" w:cs="Arial"/>
          <w:color w:val="000000" w:themeColor="text1"/>
        </w:rPr>
        <w:t xml:space="preserve">the </w:t>
      </w:r>
      <w:r w:rsidR="002645DD" w:rsidRPr="00D07897">
        <w:rPr>
          <w:rFonts w:ascii="Book Antiqua" w:hAnsi="Book Antiqua" w:cs="Arial"/>
          <w:color w:val="000000" w:themeColor="text1"/>
        </w:rPr>
        <w:t>Subjective Global Assessment</w:t>
      </w:r>
      <w:r w:rsidR="0006263C" w:rsidRPr="00D07897">
        <w:rPr>
          <w:rFonts w:ascii="Book Antiqua" w:hAnsi="Book Antiqua" w:cs="Arial"/>
          <w:color w:val="000000" w:themeColor="text1"/>
        </w:rPr>
        <w:t xml:space="preserve"> </w:t>
      </w:r>
      <w:r w:rsidR="002645DD" w:rsidRPr="00D07897">
        <w:rPr>
          <w:rFonts w:ascii="Book Antiqua" w:hAnsi="Book Antiqua" w:cs="Arial"/>
          <w:color w:val="000000" w:themeColor="text1"/>
        </w:rPr>
        <w:t>(SGA). Th</w:t>
      </w:r>
      <w:r w:rsidR="0006263C" w:rsidRPr="00D07897">
        <w:rPr>
          <w:rFonts w:ascii="Book Antiqua" w:hAnsi="Book Antiqua" w:cs="Arial"/>
          <w:color w:val="000000" w:themeColor="text1"/>
        </w:rPr>
        <w:t>re</w:t>
      </w:r>
      <w:r w:rsidR="002645DD" w:rsidRPr="00D07897">
        <w:rPr>
          <w:rFonts w:ascii="Book Antiqua" w:hAnsi="Book Antiqua" w:cs="Arial"/>
          <w:color w:val="000000" w:themeColor="text1"/>
        </w:rPr>
        <w:t xml:space="preserve">e </w:t>
      </w:r>
      <w:r w:rsidR="00AD7AFA" w:rsidRPr="00D07897">
        <w:rPr>
          <w:rFonts w:ascii="Book Antiqua" w:hAnsi="Book Antiqua" w:cs="Arial"/>
          <w:color w:val="000000" w:themeColor="text1"/>
        </w:rPr>
        <w:t xml:space="preserve">NSTs </w:t>
      </w:r>
      <w:r w:rsidR="00261ED2" w:rsidRPr="00D07897">
        <w:rPr>
          <w:rFonts w:ascii="Book Antiqua" w:hAnsi="Book Antiqua" w:cs="Arial"/>
          <w:color w:val="000000" w:themeColor="text1"/>
        </w:rPr>
        <w:t>(</w:t>
      </w:r>
      <w:r w:rsidR="002645DD" w:rsidRPr="00D07897">
        <w:rPr>
          <w:rFonts w:ascii="Book Antiqua" w:hAnsi="Book Antiqua" w:cs="Arial"/>
          <w:color w:val="000000" w:themeColor="text1"/>
        </w:rPr>
        <w:t>MIRT</w:t>
      </w:r>
      <w:r w:rsidR="00B139E2" w:rsidRPr="00D07897">
        <w:rPr>
          <w:rFonts w:ascii="Book Antiqua" w:hAnsi="Book Antiqua" w:cs="Arial"/>
          <w:color w:val="000000" w:themeColor="text1"/>
        </w:rPr>
        <w:t>, NRS-2002 and Nutrition</w:t>
      </w:r>
      <w:r w:rsidR="00AD7AFA" w:rsidRPr="00D07897">
        <w:rPr>
          <w:rFonts w:ascii="Book Antiqua" w:hAnsi="Book Antiqua" w:cs="Arial"/>
          <w:color w:val="000000" w:themeColor="text1"/>
        </w:rPr>
        <w:t>al</w:t>
      </w:r>
      <w:r w:rsidR="00B139E2" w:rsidRPr="00D07897">
        <w:rPr>
          <w:rFonts w:ascii="Book Antiqua" w:hAnsi="Book Antiqua" w:cs="Arial"/>
          <w:color w:val="000000" w:themeColor="text1"/>
        </w:rPr>
        <w:t xml:space="preserve"> Risk </w:t>
      </w:r>
      <w:r w:rsidR="00AD7AFA" w:rsidRPr="00D07897">
        <w:rPr>
          <w:rFonts w:ascii="Book Antiqua" w:hAnsi="Book Antiqua" w:cs="Arial"/>
          <w:color w:val="000000" w:themeColor="text1"/>
        </w:rPr>
        <w:t>Index</w:t>
      </w:r>
      <w:r w:rsidR="00261ED2" w:rsidRPr="00D07897">
        <w:rPr>
          <w:rFonts w:ascii="Book Antiqua" w:hAnsi="Book Antiqua" w:cs="Arial"/>
          <w:color w:val="000000" w:themeColor="text1"/>
        </w:rPr>
        <w:t>)</w:t>
      </w:r>
      <w:r w:rsidR="00AD7AFA" w:rsidRPr="00D07897">
        <w:rPr>
          <w:rFonts w:ascii="Book Antiqua" w:hAnsi="Book Antiqua" w:cs="Arial"/>
          <w:color w:val="000000" w:themeColor="text1"/>
        </w:rPr>
        <w:t xml:space="preserve"> were associated with clinical outcomes including </w:t>
      </w:r>
      <w:r w:rsidR="002645DD" w:rsidRPr="00D07897">
        <w:rPr>
          <w:rFonts w:ascii="Book Antiqua" w:hAnsi="Book Antiqua" w:cs="Arial"/>
          <w:color w:val="000000" w:themeColor="text1"/>
        </w:rPr>
        <w:t>hospitalizations, need for surger</w:t>
      </w:r>
      <w:r w:rsidR="00AD7AFA" w:rsidRPr="00D07897">
        <w:rPr>
          <w:rFonts w:ascii="Book Antiqua" w:hAnsi="Book Antiqua" w:cs="Arial"/>
          <w:color w:val="000000" w:themeColor="text1"/>
        </w:rPr>
        <w:t xml:space="preserve">y, </w:t>
      </w:r>
      <w:r w:rsidR="002645DD" w:rsidRPr="00D07897">
        <w:rPr>
          <w:rFonts w:ascii="Book Antiqua" w:hAnsi="Book Antiqua" w:cs="Arial"/>
          <w:color w:val="000000" w:themeColor="text1"/>
        </w:rPr>
        <w:t>disease</w:t>
      </w:r>
      <w:r w:rsidR="00B139E2" w:rsidRPr="00D07897">
        <w:rPr>
          <w:rFonts w:ascii="Book Antiqua" w:hAnsi="Book Antiqua" w:cs="Arial"/>
          <w:color w:val="000000" w:themeColor="text1"/>
        </w:rPr>
        <w:t xml:space="preserve"> </w:t>
      </w:r>
      <w:r w:rsidR="002645DD" w:rsidRPr="00D07897">
        <w:rPr>
          <w:rFonts w:ascii="Book Antiqua" w:hAnsi="Book Antiqua" w:cs="Arial"/>
          <w:color w:val="000000" w:themeColor="text1"/>
        </w:rPr>
        <w:t>flares</w:t>
      </w:r>
      <w:r w:rsidR="00261ED2" w:rsidRPr="00D07897">
        <w:rPr>
          <w:rFonts w:ascii="Book Antiqua" w:hAnsi="Book Antiqua" w:cs="Arial"/>
          <w:color w:val="000000" w:themeColor="text1"/>
        </w:rPr>
        <w:t>,</w:t>
      </w:r>
      <w:r w:rsidR="0006263C" w:rsidRPr="00D07897">
        <w:rPr>
          <w:rFonts w:ascii="Book Antiqua" w:hAnsi="Book Antiqua" w:cs="Arial"/>
          <w:color w:val="000000" w:themeColor="text1"/>
        </w:rPr>
        <w:t xml:space="preserve"> and</w:t>
      </w:r>
      <w:r w:rsidR="00AD7AFA" w:rsidRPr="00D07897">
        <w:rPr>
          <w:rFonts w:ascii="Book Antiqua" w:hAnsi="Book Antiqua" w:cs="Arial"/>
          <w:color w:val="000000" w:themeColor="text1"/>
        </w:rPr>
        <w:t xml:space="preserve"> </w:t>
      </w:r>
      <w:r w:rsidR="002645DD" w:rsidRPr="00D07897">
        <w:rPr>
          <w:rFonts w:ascii="Book Antiqua" w:hAnsi="Book Antiqua" w:cs="Arial"/>
          <w:color w:val="000000" w:themeColor="text1"/>
        </w:rPr>
        <w:t>length of stay</w:t>
      </w:r>
      <w:r w:rsidR="001205BD" w:rsidRPr="00D07897">
        <w:rPr>
          <w:rFonts w:ascii="Book Antiqua" w:hAnsi="Book Antiqua" w:cs="Arial"/>
          <w:color w:val="000000" w:themeColor="text1"/>
        </w:rPr>
        <w:t xml:space="preserve"> </w:t>
      </w:r>
      <w:r w:rsidR="0006263C" w:rsidRPr="00D07897">
        <w:rPr>
          <w:rFonts w:ascii="Book Antiqua" w:hAnsi="Book Antiqua" w:cs="Arial"/>
          <w:color w:val="000000" w:themeColor="text1"/>
        </w:rPr>
        <w:t>(LOS)</w:t>
      </w:r>
      <w:r w:rsidR="002645DD" w:rsidRPr="00D07897">
        <w:rPr>
          <w:rFonts w:ascii="Book Antiqua" w:hAnsi="Book Antiqua" w:cs="Arial"/>
          <w:color w:val="000000" w:themeColor="text1"/>
        </w:rPr>
        <w:t xml:space="preserve">. </w:t>
      </w:r>
      <w:r w:rsidR="00AD7AFA" w:rsidRPr="00D07897">
        <w:rPr>
          <w:rFonts w:ascii="Book Antiqua" w:hAnsi="Book Antiqua" w:cs="Arial"/>
          <w:color w:val="000000" w:themeColor="text1"/>
        </w:rPr>
        <w:t>S</w:t>
      </w:r>
      <w:r w:rsidR="002645DD" w:rsidRPr="00D07897">
        <w:rPr>
          <w:rFonts w:ascii="Book Antiqua" w:hAnsi="Book Antiqua" w:cs="Arial"/>
          <w:color w:val="000000" w:themeColor="text1"/>
        </w:rPr>
        <w:t>arcopenia</w:t>
      </w:r>
      <w:r w:rsidR="00AD7AFA" w:rsidRPr="00D07897">
        <w:rPr>
          <w:rFonts w:ascii="Book Antiqua" w:hAnsi="Book Antiqua" w:cs="Arial"/>
          <w:color w:val="000000" w:themeColor="text1"/>
        </w:rPr>
        <w:t xml:space="preserve"> was the most commonly evaluated NAT associated </w:t>
      </w:r>
      <w:r w:rsidR="002645DD" w:rsidRPr="00D07897">
        <w:rPr>
          <w:rFonts w:ascii="Book Antiqua" w:hAnsi="Book Antiqua" w:cs="Arial"/>
          <w:color w:val="000000" w:themeColor="text1"/>
        </w:rPr>
        <w:t xml:space="preserve">with outcomes including </w:t>
      </w:r>
      <w:r w:rsidR="001205BD" w:rsidRPr="00D07897">
        <w:rPr>
          <w:rFonts w:ascii="Book Antiqua" w:hAnsi="Book Antiqua" w:cs="Arial"/>
          <w:color w:val="000000" w:themeColor="text1"/>
        </w:rPr>
        <w:t xml:space="preserve">the </w:t>
      </w:r>
      <w:r w:rsidR="002645DD" w:rsidRPr="00D07897">
        <w:rPr>
          <w:rFonts w:ascii="Book Antiqua" w:hAnsi="Book Antiqua" w:cs="Arial"/>
          <w:color w:val="000000" w:themeColor="text1"/>
        </w:rPr>
        <w:t xml:space="preserve">need for </w:t>
      </w:r>
      <w:r w:rsidR="00AD7AFA" w:rsidRPr="00D07897">
        <w:rPr>
          <w:rFonts w:ascii="Book Antiqua" w:hAnsi="Book Antiqua" w:cs="Arial"/>
          <w:color w:val="000000" w:themeColor="text1"/>
        </w:rPr>
        <w:t xml:space="preserve">surgery </w:t>
      </w:r>
      <w:r w:rsidR="002645DD" w:rsidRPr="00D07897">
        <w:rPr>
          <w:rFonts w:ascii="Book Antiqua" w:hAnsi="Book Antiqua" w:cs="Arial"/>
          <w:color w:val="000000" w:themeColor="text1"/>
        </w:rPr>
        <w:t>and post-operative complic</w:t>
      </w:r>
      <w:r w:rsidR="007C7DB9" w:rsidRPr="00D07897">
        <w:rPr>
          <w:rFonts w:ascii="Book Antiqua" w:hAnsi="Book Antiqua" w:cs="Arial"/>
          <w:color w:val="000000" w:themeColor="text1"/>
        </w:rPr>
        <w:t xml:space="preserve">ations. </w:t>
      </w:r>
      <w:r w:rsidR="00AD7AFA" w:rsidRPr="00D07897">
        <w:rPr>
          <w:rFonts w:ascii="Book Antiqua" w:hAnsi="Book Antiqua" w:cs="Arial"/>
          <w:color w:val="000000" w:themeColor="text1"/>
        </w:rPr>
        <w:t xml:space="preserve">The </w:t>
      </w:r>
      <w:r w:rsidR="002645DD" w:rsidRPr="00D07897">
        <w:rPr>
          <w:rFonts w:ascii="Book Antiqua" w:hAnsi="Book Antiqua" w:cs="Arial"/>
          <w:color w:val="000000" w:themeColor="text1"/>
        </w:rPr>
        <w:t xml:space="preserve">SGA </w:t>
      </w:r>
      <w:r w:rsidR="00135C38" w:rsidRPr="00D07897">
        <w:rPr>
          <w:rFonts w:ascii="Book Antiqua" w:hAnsi="Book Antiqua" w:cs="Arial"/>
          <w:color w:val="000000" w:themeColor="text1"/>
        </w:rPr>
        <w:t>was not associated with clinical outcomes</w:t>
      </w:r>
      <w:r w:rsidR="0006263C" w:rsidRPr="00D07897">
        <w:rPr>
          <w:rFonts w:ascii="Book Antiqua" w:hAnsi="Book Antiqua" w:cs="Arial"/>
          <w:color w:val="000000" w:themeColor="text1"/>
        </w:rPr>
        <w:t xml:space="preserve"> </w:t>
      </w:r>
      <w:r w:rsidR="002645DD" w:rsidRPr="00D07897">
        <w:rPr>
          <w:rFonts w:ascii="Book Antiqua" w:hAnsi="Book Antiqua" w:cs="Arial"/>
          <w:color w:val="000000" w:themeColor="text1"/>
        </w:rPr>
        <w:t xml:space="preserve">aside from LOS. </w:t>
      </w:r>
    </w:p>
    <w:p w14:paraId="65601A29" w14:textId="77777777" w:rsidR="002645DD" w:rsidRPr="00D07897" w:rsidRDefault="002645DD" w:rsidP="00F96F15">
      <w:pPr>
        <w:spacing w:line="360" w:lineRule="auto"/>
        <w:jc w:val="both"/>
        <w:rPr>
          <w:rFonts w:ascii="Book Antiqua" w:hAnsi="Book Antiqua" w:cs="Arial"/>
          <w:color w:val="000000" w:themeColor="text1"/>
        </w:rPr>
      </w:pPr>
    </w:p>
    <w:p w14:paraId="5BD0F2D9" w14:textId="21F9B5DE" w:rsidR="00BA07FA" w:rsidRPr="00D07897" w:rsidRDefault="00BA07FA" w:rsidP="00F96F15">
      <w:pPr>
        <w:spacing w:line="360" w:lineRule="auto"/>
        <w:jc w:val="both"/>
        <w:rPr>
          <w:rFonts w:ascii="Book Antiqua" w:hAnsi="Book Antiqua" w:cs="Arial"/>
          <w:b/>
          <w:bCs/>
          <w:i/>
          <w:iCs/>
          <w:color w:val="000000" w:themeColor="text1"/>
        </w:rPr>
      </w:pPr>
      <w:r w:rsidRPr="00D07897">
        <w:rPr>
          <w:rFonts w:ascii="Book Antiqua" w:hAnsi="Book Antiqua" w:cs="Arial"/>
          <w:b/>
          <w:bCs/>
          <w:i/>
          <w:iCs/>
          <w:color w:val="000000" w:themeColor="text1"/>
        </w:rPr>
        <w:t>CONCLUSION</w:t>
      </w:r>
    </w:p>
    <w:p w14:paraId="32D8808B" w14:textId="4972FFED" w:rsidR="002645DD" w:rsidRPr="00D07897" w:rsidRDefault="002645DD"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There is limited evidence correlating NST</w:t>
      </w:r>
      <w:r w:rsidR="001205BD" w:rsidRPr="00D07897">
        <w:rPr>
          <w:rFonts w:ascii="Book Antiqua" w:hAnsi="Book Antiqua" w:cs="Arial"/>
          <w:color w:val="000000" w:themeColor="text1"/>
        </w:rPr>
        <w:t>s</w:t>
      </w:r>
      <w:r w:rsidRPr="00D07897">
        <w:rPr>
          <w:rFonts w:ascii="Book Antiqua" w:hAnsi="Book Antiqua" w:cs="Arial"/>
          <w:color w:val="000000" w:themeColor="text1"/>
        </w:rPr>
        <w:t>, NAT</w:t>
      </w:r>
      <w:r w:rsidR="001205BD" w:rsidRPr="00D07897">
        <w:rPr>
          <w:rFonts w:ascii="Book Antiqua" w:hAnsi="Book Antiqua" w:cs="Arial"/>
          <w:color w:val="000000" w:themeColor="text1"/>
        </w:rPr>
        <w:t>s</w:t>
      </w:r>
      <w:r w:rsidRPr="00D07897">
        <w:rPr>
          <w:rFonts w:ascii="Book Antiqua" w:hAnsi="Book Antiqua" w:cs="Arial"/>
          <w:color w:val="000000" w:themeColor="text1"/>
        </w:rPr>
        <w:t xml:space="preserve"> and clinical outcomes in IBD. Although studies support the association of NSTs/NATs with </w:t>
      </w:r>
      <w:r w:rsidR="001205BD" w:rsidRPr="00D07897">
        <w:rPr>
          <w:rFonts w:ascii="Book Antiqua" w:hAnsi="Book Antiqua" w:cs="Arial"/>
          <w:color w:val="000000" w:themeColor="text1"/>
        </w:rPr>
        <w:t xml:space="preserve">relevant </w:t>
      </w:r>
      <w:r w:rsidRPr="00D07897">
        <w:rPr>
          <w:rFonts w:ascii="Book Antiqua" w:hAnsi="Book Antiqua" w:cs="Arial"/>
          <w:color w:val="000000" w:themeColor="text1"/>
        </w:rPr>
        <w:t xml:space="preserve">outcomes, the heterogeneity </w:t>
      </w:r>
      <w:r w:rsidR="00B139E2" w:rsidRPr="00D07897">
        <w:rPr>
          <w:rFonts w:ascii="Book Antiqua" w:hAnsi="Book Antiqua" w:cs="Arial"/>
          <w:color w:val="000000" w:themeColor="text1"/>
        </w:rPr>
        <w:t xml:space="preserve">calls for further studies before </w:t>
      </w:r>
      <w:r w:rsidR="00DC2588" w:rsidRPr="00D07897">
        <w:rPr>
          <w:rFonts w:ascii="Book Antiqua" w:hAnsi="Book Antiqua" w:cs="Arial"/>
          <w:color w:val="000000" w:themeColor="text1"/>
        </w:rPr>
        <w:t>an optimal tool</w:t>
      </w:r>
      <w:r w:rsidR="00B139E2" w:rsidRPr="00D07897">
        <w:rPr>
          <w:rFonts w:ascii="Book Antiqua" w:hAnsi="Book Antiqua" w:cs="Arial"/>
          <w:color w:val="000000" w:themeColor="text1"/>
        </w:rPr>
        <w:t xml:space="preserve"> can be recommended</w:t>
      </w:r>
      <w:r w:rsidRPr="00D07897">
        <w:rPr>
          <w:rFonts w:ascii="Book Antiqua" w:hAnsi="Book Antiqua" w:cs="Arial"/>
          <w:color w:val="000000" w:themeColor="text1"/>
        </w:rPr>
        <w:t>. The NRS-2002, measures of sarcopenia and</w:t>
      </w:r>
      <w:r w:rsidR="00DC2588" w:rsidRPr="00D07897">
        <w:rPr>
          <w:rFonts w:ascii="Book Antiqua" w:hAnsi="Book Antiqua" w:cs="Arial"/>
          <w:color w:val="000000" w:themeColor="text1"/>
        </w:rPr>
        <w:t xml:space="preserve"> developments of novel NSTs/NATs</w:t>
      </w:r>
      <w:r w:rsidRPr="00D07897">
        <w:rPr>
          <w:rFonts w:ascii="Book Antiqua" w:hAnsi="Book Antiqua" w:cs="Arial"/>
          <w:color w:val="000000" w:themeColor="text1"/>
        </w:rPr>
        <w:t xml:space="preserve">, such as the MIRT, represent key, clinically-relevant </w:t>
      </w:r>
      <w:r w:rsidR="009D2937" w:rsidRPr="00D07897">
        <w:rPr>
          <w:rFonts w:ascii="Book Antiqua" w:hAnsi="Book Antiqua" w:cs="Arial"/>
          <w:color w:val="000000" w:themeColor="text1"/>
        </w:rPr>
        <w:t>areas for future exploration</w:t>
      </w:r>
      <w:r w:rsidRPr="00D07897">
        <w:rPr>
          <w:rFonts w:ascii="Book Antiqua" w:hAnsi="Book Antiqua" w:cs="Arial"/>
          <w:color w:val="000000" w:themeColor="text1"/>
        </w:rPr>
        <w:t>.</w:t>
      </w:r>
    </w:p>
    <w:p w14:paraId="36C832AF" w14:textId="03C2DA3F" w:rsidR="002645DD" w:rsidRPr="00D07897" w:rsidRDefault="002645DD" w:rsidP="00F96F15">
      <w:pPr>
        <w:spacing w:line="360" w:lineRule="auto"/>
        <w:jc w:val="both"/>
        <w:rPr>
          <w:rFonts w:ascii="Book Antiqua" w:hAnsi="Book Antiqua" w:cs="Arial"/>
          <w:color w:val="000000" w:themeColor="text1"/>
        </w:rPr>
      </w:pPr>
    </w:p>
    <w:p w14:paraId="394D236A" w14:textId="370E3F95" w:rsidR="002645DD" w:rsidRPr="00D07897" w:rsidRDefault="005A06DA" w:rsidP="00F96F15">
      <w:pPr>
        <w:spacing w:line="360" w:lineRule="auto"/>
        <w:jc w:val="both"/>
        <w:rPr>
          <w:rFonts w:ascii="Book Antiqua" w:hAnsi="Book Antiqua" w:cs="Arial"/>
          <w:color w:val="000000" w:themeColor="text1"/>
        </w:rPr>
      </w:pPr>
      <w:bookmarkStart w:id="46" w:name="_Hlk9431033"/>
      <w:r w:rsidRPr="00D07897">
        <w:rPr>
          <w:rFonts w:ascii="Book Antiqua" w:eastAsia="Times New Roman" w:hAnsi="Book Antiqua"/>
          <w:b/>
          <w:bCs/>
        </w:rPr>
        <w:t>Key words:</w:t>
      </w:r>
      <w:bookmarkEnd w:id="46"/>
      <w:r w:rsidRPr="00D07897">
        <w:rPr>
          <w:rFonts w:ascii="Book Antiqua" w:eastAsia="等线" w:hAnsi="Book Antiqua" w:cs="Arial" w:hint="eastAsia"/>
          <w:color w:val="000000" w:themeColor="text1"/>
          <w:lang w:eastAsia="zh-CN"/>
        </w:rPr>
        <w:t xml:space="preserve"> </w:t>
      </w:r>
      <w:bookmarkStart w:id="47" w:name="OLE_LINK6"/>
      <w:r w:rsidRPr="00D07897">
        <w:rPr>
          <w:rFonts w:ascii="Book Antiqua" w:hAnsi="Book Antiqua" w:cs="Arial"/>
          <w:color w:val="000000" w:themeColor="text1"/>
        </w:rPr>
        <w:t>N</w:t>
      </w:r>
      <w:r w:rsidR="002645DD" w:rsidRPr="00D07897">
        <w:rPr>
          <w:rFonts w:ascii="Book Antiqua" w:hAnsi="Book Antiqua" w:cs="Arial"/>
          <w:color w:val="000000" w:themeColor="text1"/>
        </w:rPr>
        <w:t xml:space="preserve">utrition; </w:t>
      </w:r>
      <w:r w:rsidRPr="00D07897">
        <w:rPr>
          <w:rFonts w:ascii="Book Antiqua" w:hAnsi="Book Antiqua" w:cs="Arial"/>
          <w:color w:val="000000" w:themeColor="text1"/>
        </w:rPr>
        <w:t>I</w:t>
      </w:r>
      <w:r w:rsidR="002645DD" w:rsidRPr="00D07897">
        <w:rPr>
          <w:rFonts w:ascii="Book Antiqua" w:hAnsi="Book Antiqua" w:cs="Arial"/>
          <w:color w:val="000000" w:themeColor="text1"/>
        </w:rPr>
        <w:t xml:space="preserve">nflammatory bowel disease; </w:t>
      </w:r>
      <w:r w:rsidRPr="00D07897">
        <w:rPr>
          <w:rFonts w:ascii="Book Antiqua" w:hAnsi="Book Antiqua" w:cs="Arial"/>
          <w:color w:val="000000" w:themeColor="text1"/>
        </w:rPr>
        <w:t>U</w:t>
      </w:r>
      <w:r w:rsidR="002645DD" w:rsidRPr="00D07897">
        <w:rPr>
          <w:rFonts w:ascii="Book Antiqua" w:hAnsi="Book Antiqua" w:cs="Arial"/>
          <w:color w:val="000000" w:themeColor="text1"/>
        </w:rPr>
        <w:t xml:space="preserve">lcerative colitis; </w:t>
      </w:r>
      <w:r w:rsidR="00261ED2" w:rsidRPr="00D07897">
        <w:rPr>
          <w:rFonts w:ascii="Book Antiqua" w:hAnsi="Book Antiqua" w:cs="Arial"/>
          <w:color w:val="000000" w:themeColor="text1"/>
        </w:rPr>
        <w:t>C</w:t>
      </w:r>
      <w:r w:rsidR="002645DD" w:rsidRPr="00D07897">
        <w:rPr>
          <w:rFonts w:ascii="Book Antiqua" w:hAnsi="Book Antiqua" w:cs="Arial"/>
          <w:color w:val="000000" w:themeColor="text1"/>
        </w:rPr>
        <w:t xml:space="preserve">rohn’s disease; </w:t>
      </w:r>
      <w:r w:rsidRPr="00D07897">
        <w:rPr>
          <w:rFonts w:ascii="Book Antiqua" w:hAnsi="Book Antiqua" w:cs="Arial"/>
          <w:color w:val="000000" w:themeColor="text1"/>
        </w:rPr>
        <w:t>S</w:t>
      </w:r>
      <w:r w:rsidR="002645DD" w:rsidRPr="00D07897">
        <w:rPr>
          <w:rFonts w:ascii="Book Antiqua" w:hAnsi="Book Antiqua" w:cs="Arial"/>
          <w:color w:val="000000" w:themeColor="text1"/>
        </w:rPr>
        <w:t xml:space="preserve">creening; </w:t>
      </w:r>
      <w:r w:rsidRPr="00D07897">
        <w:rPr>
          <w:rFonts w:ascii="Book Antiqua" w:hAnsi="Book Antiqua" w:cs="Arial"/>
          <w:color w:val="000000" w:themeColor="text1"/>
        </w:rPr>
        <w:t>O</w:t>
      </w:r>
      <w:r w:rsidR="002645DD" w:rsidRPr="00D07897">
        <w:rPr>
          <w:rFonts w:ascii="Book Antiqua" w:hAnsi="Book Antiqua" w:cs="Arial"/>
          <w:color w:val="000000" w:themeColor="text1"/>
        </w:rPr>
        <w:t>utcomes research</w:t>
      </w:r>
    </w:p>
    <w:bookmarkEnd w:id="47"/>
    <w:p w14:paraId="38A9FB8A" w14:textId="6C23B0C0" w:rsidR="005A06DA" w:rsidRPr="00D07897" w:rsidRDefault="005A06DA" w:rsidP="00F96F15">
      <w:pPr>
        <w:spacing w:line="360" w:lineRule="auto"/>
        <w:jc w:val="both"/>
        <w:rPr>
          <w:rFonts w:ascii="Book Antiqua" w:hAnsi="Book Antiqua" w:cs="Arial"/>
          <w:color w:val="000000" w:themeColor="text1"/>
        </w:rPr>
      </w:pPr>
    </w:p>
    <w:p w14:paraId="43DB753F" w14:textId="6B6A2DF4" w:rsidR="005A06DA" w:rsidRPr="00D07897" w:rsidRDefault="005A06DA" w:rsidP="005A06DA">
      <w:pPr>
        <w:adjustRightInd w:val="0"/>
        <w:snapToGrid w:val="0"/>
        <w:spacing w:line="360" w:lineRule="auto"/>
        <w:jc w:val="both"/>
        <w:rPr>
          <w:rFonts w:ascii="Book Antiqua" w:eastAsia="Times New Roman" w:hAnsi="Book Antiqua"/>
        </w:rPr>
      </w:pPr>
      <w:bookmarkStart w:id="48" w:name="OLE_LINK55"/>
      <w:bookmarkStart w:id="49" w:name="OLE_LINK56"/>
      <w:bookmarkStart w:id="50" w:name="_Hlk9431047"/>
      <w:proofErr w:type="gramStart"/>
      <w:r w:rsidRPr="00D07897">
        <w:rPr>
          <w:rFonts w:ascii="Book Antiqua" w:eastAsia="宋体" w:hAnsi="Book Antiqua"/>
          <w:b/>
        </w:rPr>
        <w:t>©</w:t>
      </w:r>
      <w:bookmarkEnd w:id="48"/>
      <w:bookmarkEnd w:id="49"/>
      <w:r w:rsidRPr="00D07897">
        <w:rPr>
          <w:rFonts w:ascii="Book Antiqua" w:eastAsia="宋体" w:hAnsi="Book Antiqua" w:cs="Arial"/>
          <w:b/>
        </w:rPr>
        <w:t xml:space="preserve">The Author(s) </w:t>
      </w:r>
      <w:r w:rsidRPr="00D07897">
        <w:rPr>
          <w:rFonts w:ascii="Book Antiqua" w:eastAsia="宋体" w:hAnsi="Book Antiqua" w:cs="Arial" w:hint="eastAsia"/>
          <w:b/>
          <w:lang w:eastAsia="zh-CN"/>
        </w:rPr>
        <w:t>201</w:t>
      </w:r>
      <w:r w:rsidRPr="00D07897">
        <w:rPr>
          <w:rFonts w:ascii="Book Antiqua" w:eastAsia="宋体" w:hAnsi="Book Antiqua" w:cs="Arial"/>
          <w:b/>
          <w:lang w:eastAsia="zh-CN"/>
        </w:rPr>
        <w:t>9</w:t>
      </w:r>
      <w:r w:rsidRPr="00D07897">
        <w:rPr>
          <w:rFonts w:ascii="Book Antiqua" w:eastAsia="宋体" w:hAnsi="Book Antiqua" w:cs="Arial"/>
          <w:b/>
        </w:rPr>
        <w:t>.</w:t>
      </w:r>
      <w:proofErr w:type="gramEnd"/>
      <w:r w:rsidRPr="00D07897">
        <w:rPr>
          <w:rFonts w:ascii="Book Antiqua" w:eastAsia="宋体" w:hAnsi="Book Antiqua" w:cs="Arial" w:hint="eastAsia"/>
          <w:b/>
          <w:lang w:eastAsia="zh-CN"/>
        </w:rPr>
        <w:t xml:space="preserve"> </w:t>
      </w:r>
      <w:proofErr w:type="gramStart"/>
      <w:r w:rsidRPr="00D07897">
        <w:rPr>
          <w:rFonts w:ascii="Book Antiqua" w:eastAsia="宋体" w:hAnsi="Book Antiqua" w:cs="Arial"/>
        </w:rPr>
        <w:t xml:space="preserve">Published by </w:t>
      </w:r>
      <w:proofErr w:type="spellStart"/>
      <w:r w:rsidRPr="00D07897">
        <w:rPr>
          <w:rFonts w:ascii="Book Antiqua" w:eastAsia="宋体" w:hAnsi="Book Antiqua" w:cs="Arial"/>
        </w:rPr>
        <w:t>Baishideng</w:t>
      </w:r>
      <w:proofErr w:type="spellEnd"/>
      <w:r w:rsidRPr="00D07897">
        <w:rPr>
          <w:rFonts w:ascii="Book Antiqua" w:eastAsia="宋体" w:hAnsi="Book Antiqua" w:cs="Arial"/>
        </w:rPr>
        <w:t xml:space="preserve"> Publishing Group Inc.</w:t>
      </w:r>
      <w:proofErr w:type="gramEnd"/>
      <w:r w:rsidRPr="00D07897">
        <w:rPr>
          <w:rFonts w:ascii="Book Antiqua" w:eastAsia="宋体" w:hAnsi="Book Antiqua" w:cs="Arial"/>
        </w:rPr>
        <w:t xml:space="preserve"> All rights reserved.</w:t>
      </w:r>
    </w:p>
    <w:bookmarkEnd w:id="50"/>
    <w:p w14:paraId="5F546A0E" w14:textId="77777777" w:rsidR="002645DD" w:rsidRPr="00D07897" w:rsidRDefault="002645DD" w:rsidP="00F96F15">
      <w:pPr>
        <w:spacing w:line="360" w:lineRule="auto"/>
        <w:jc w:val="both"/>
        <w:rPr>
          <w:rFonts w:ascii="Book Antiqua" w:hAnsi="Book Antiqua" w:cs="Arial"/>
          <w:color w:val="000000" w:themeColor="text1"/>
        </w:rPr>
      </w:pPr>
    </w:p>
    <w:p w14:paraId="2B8F2ECF" w14:textId="6371E5B8" w:rsidR="003B5CDF" w:rsidRPr="00D07897" w:rsidRDefault="003B5CDF" w:rsidP="00F96F15">
      <w:pPr>
        <w:spacing w:line="360" w:lineRule="auto"/>
        <w:jc w:val="both"/>
        <w:rPr>
          <w:rFonts w:ascii="Book Antiqua" w:eastAsia="Arial Unicode MS" w:hAnsi="Book Antiqua" w:cs="Arial"/>
          <w:color w:val="000000" w:themeColor="text1"/>
        </w:rPr>
      </w:pPr>
      <w:bookmarkStart w:id="51" w:name="OLE_LINK19"/>
      <w:bookmarkStart w:id="52" w:name="OLE_LINK20"/>
      <w:bookmarkStart w:id="53" w:name="_Hlk5627428"/>
      <w:r w:rsidRPr="00D07897">
        <w:rPr>
          <w:rFonts w:ascii="Book Antiqua" w:eastAsia="Arial Unicode MS" w:hAnsi="Book Antiqua" w:cs="Arial"/>
          <w:b/>
          <w:bCs/>
          <w:color w:val="000000" w:themeColor="text1"/>
        </w:rPr>
        <w:t>Core tip</w:t>
      </w:r>
      <w:r w:rsidRPr="00D07897">
        <w:rPr>
          <w:rFonts w:ascii="Book Antiqua" w:eastAsia="Arial Unicode MS" w:hAnsi="Book Antiqua" w:cs="Arial"/>
          <w:b/>
          <w:bCs/>
          <w:color w:val="000000" w:themeColor="text1"/>
          <w:lang w:eastAsia="zh-CN"/>
        </w:rPr>
        <w:t>:</w:t>
      </w:r>
      <w:bookmarkEnd w:id="51"/>
      <w:bookmarkEnd w:id="52"/>
      <w:r w:rsidRPr="00D07897">
        <w:rPr>
          <w:rFonts w:ascii="Book Antiqua" w:eastAsia="Arial Unicode MS" w:hAnsi="Book Antiqua" w:cs="Arial"/>
          <w:color w:val="000000" w:themeColor="text1"/>
        </w:rPr>
        <w:t xml:space="preserve"> </w:t>
      </w:r>
      <w:r w:rsidR="00E0536B" w:rsidRPr="00D07897">
        <w:rPr>
          <w:rFonts w:ascii="Book Antiqua" w:eastAsia="Arial Unicode MS" w:hAnsi="Book Antiqua" w:cs="Arial"/>
          <w:color w:val="000000" w:themeColor="text1"/>
        </w:rPr>
        <w:t xml:space="preserve">Malnutrition </w:t>
      </w:r>
      <w:r w:rsidR="00D4171E" w:rsidRPr="00D07897">
        <w:rPr>
          <w:rFonts w:ascii="Book Antiqua" w:eastAsia="Arial Unicode MS" w:hAnsi="Book Antiqua" w:cs="Arial"/>
          <w:color w:val="000000" w:themeColor="text1"/>
        </w:rPr>
        <w:t>is</w:t>
      </w:r>
      <w:r w:rsidR="00E0536B" w:rsidRPr="00D07897">
        <w:rPr>
          <w:rFonts w:ascii="Book Antiqua" w:eastAsia="Arial Unicode MS" w:hAnsi="Book Antiqua" w:cs="Arial"/>
          <w:color w:val="000000" w:themeColor="text1"/>
        </w:rPr>
        <w:t xml:space="preserve"> highly prevalent amongst patients with inflammatory bowel disease (IBD) and negatively impact</w:t>
      </w:r>
      <w:r w:rsidR="00DE206B" w:rsidRPr="00D07897">
        <w:rPr>
          <w:rFonts w:ascii="Book Antiqua" w:eastAsia="Arial Unicode MS" w:hAnsi="Book Antiqua" w:cs="Arial"/>
          <w:color w:val="000000" w:themeColor="text1"/>
        </w:rPr>
        <w:t>s</w:t>
      </w:r>
      <w:r w:rsidR="00E0536B" w:rsidRPr="00D07897">
        <w:rPr>
          <w:rFonts w:ascii="Book Antiqua" w:eastAsia="Arial Unicode MS" w:hAnsi="Book Antiqua" w:cs="Arial"/>
          <w:color w:val="000000" w:themeColor="text1"/>
        </w:rPr>
        <w:t xml:space="preserve"> various clinical outcomes. </w:t>
      </w:r>
      <w:r w:rsidR="00DE206B" w:rsidRPr="00D07897">
        <w:rPr>
          <w:rFonts w:ascii="Book Antiqua" w:eastAsia="Arial Unicode MS" w:hAnsi="Book Antiqua" w:cs="Arial"/>
          <w:color w:val="000000" w:themeColor="text1"/>
        </w:rPr>
        <w:t>This</w:t>
      </w:r>
      <w:r w:rsidR="00E0536B" w:rsidRPr="00D07897">
        <w:rPr>
          <w:rFonts w:ascii="Book Antiqua" w:eastAsia="Arial Unicode MS" w:hAnsi="Book Antiqua" w:cs="Arial"/>
          <w:color w:val="000000" w:themeColor="text1"/>
        </w:rPr>
        <w:t xml:space="preserve"> review </w:t>
      </w:r>
      <w:r w:rsidR="00DE206B" w:rsidRPr="00D07897">
        <w:rPr>
          <w:rFonts w:ascii="Book Antiqua" w:eastAsia="Arial Unicode MS" w:hAnsi="Book Antiqua" w:cs="Arial"/>
          <w:color w:val="000000" w:themeColor="text1"/>
        </w:rPr>
        <w:t xml:space="preserve">highlights </w:t>
      </w:r>
      <w:r w:rsidR="00E0536B" w:rsidRPr="00D07897">
        <w:rPr>
          <w:rFonts w:ascii="Book Antiqua" w:eastAsia="Arial Unicode MS" w:hAnsi="Book Antiqua" w:cs="Arial"/>
          <w:color w:val="000000" w:themeColor="text1"/>
        </w:rPr>
        <w:t xml:space="preserve">the </w:t>
      </w:r>
      <w:r w:rsidR="00E0536B" w:rsidRPr="00D07897">
        <w:rPr>
          <w:rFonts w:ascii="Book Antiqua" w:hAnsi="Book Antiqua" w:cs="Arial"/>
          <w:color w:val="000000" w:themeColor="text1"/>
        </w:rPr>
        <w:t xml:space="preserve">Malnutrition Universal Screening Tool, Malnutrition Inflammation Risk Tool, Saskatchewan Inflammatory Bowel Disease Nutrition Risk Tool, Nutrition Risk Screening 2002 </w:t>
      </w:r>
      <w:r w:rsidR="00E0536B" w:rsidRPr="00D07897">
        <w:rPr>
          <w:rFonts w:ascii="Book Antiqua" w:eastAsia="Arial Unicode MS" w:hAnsi="Book Antiqua" w:cs="Arial"/>
          <w:color w:val="000000" w:themeColor="text1"/>
        </w:rPr>
        <w:t>and cross-sectional imaging assessments of sarcopenia</w:t>
      </w:r>
      <w:r w:rsidR="00DE206B" w:rsidRPr="00D07897">
        <w:rPr>
          <w:rFonts w:ascii="Book Antiqua" w:eastAsia="Arial Unicode MS" w:hAnsi="Book Antiqua" w:cs="Arial"/>
          <w:color w:val="000000" w:themeColor="text1"/>
        </w:rPr>
        <w:t xml:space="preserve"> as promising</w:t>
      </w:r>
      <w:r w:rsidR="00E0536B" w:rsidRPr="00D07897">
        <w:rPr>
          <w:rFonts w:ascii="Book Antiqua" w:eastAsia="Arial Unicode MS" w:hAnsi="Book Antiqua" w:cs="Arial"/>
          <w:color w:val="000000" w:themeColor="text1"/>
        </w:rPr>
        <w:t xml:space="preserve"> nutrition screening and assessment tools in IBD. </w:t>
      </w:r>
      <w:r w:rsidR="00DE206B" w:rsidRPr="00D07897">
        <w:rPr>
          <w:rFonts w:ascii="Book Antiqua" w:eastAsia="Arial Unicode MS" w:hAnsi="Book Antiqua" w:cs="Arial"/>
          <w:color w:val="000000" w:themeColor="text1"/>
        </w:rPr>
        <w:t xml:space="preserve">By becoming familiar with and </w:t>
      </w:r>
      <w:r w:rsidR="00E0536B" w:rsidRPr="00D07897">
        <w:rPr>
          <w:rFonts w:ascii="Book Antiqua" w:eastAsia="Arial Unicode MS" w:hAnsi="Book Antiqua" w:cs="Arial"/>
          <w:color w:val="000000" w:themeColor="text1"/>
        </w:rPr>
        <w:t>consistent</w:t>
      </w:r>
      <w:r w:rsidR="00DE206B" w:rsidRPr="00D07897">
        <w:rPr>
          <w:rFonts w:ascii="Book Antiqua" w:eastAsia="Arial Unicode MS" w:hAnsi="Book Antiqua" w:cs="Arial"/>
          <w:color w:val="000000" w:themeColor="text1"/>
        </w:rPr>
        <w:t>ly</w:t>
      </w:r>
      <w:r w:rsidR="00E0536B" w:rsidRPr="00D07897">
        <w:rPr>
          <w:rFonts w:ascii="Book Antiqua" w:eastAsia="Arial Unicode MS" w:hAnsi="Book Antiqua" w:cs="Arial"/>
          <w:color w:val="000000" w:themeColor="text1"/>
        </w:rPr>
        <w:t xml:space="preserve"> appl</w:t>
      </w:r>
      <w:r w:rsidR="00DE206B" w:rsidRPr="00D07897">
        <w:rPr>
          <w:rFonts w:ascii="Book Antiqua" w:eastAsia="Arial Unicode MS" w:hAnsi="Book Antiqua" w:cs="Arial"/>
          <w:color w:val="000000" w:themeColor="text1"/>
        </w:rPr>
        <w:t>ying</w:t>
      </w:r>
      <w:r w:rsidR="00E0536B" w:rsidRPr="00D07897">
        <w:rPr>
          <w:rFonts w:ascii="Book Antiqua" w:eastAsia="Arial Unicode MS" w:hAnsi="Book Antiqua" w:cs="Arial"/>
          <w:color w:val="000000" w:themeColor="text1"/>
        </w:rPr>
        <w:t xml:space="preserve"> </w:t>
      </w:r>
      <w:r w:rsidR="00DE206B" w:rsidRPr="00D07897">
        <w:rPr>
          <w:rFonts w:ascii="Book Antiqua" w:eastAsia="Arial Unicode MS" w:hAnsi="Book Antiqua" w:cs="Arial"/>
          <w:color w:val="000000" w:themeColor="text1"/>
        </w:rPr>
        <w:t>these tools</w:t>
      </w:r>
      <w:r w:rsidR="00E0536B" w:rsidRPr="00D07897">
        <w:rPr>
          <w:rFonts w:ascii="Book Antiqua" w:eastAsia="Arial Unicode MS" w:hAnsi="Book Antiqua" w:cs="Arial"/>
          <w:color w:val="000000" w:themeColor="text1"/>
        </w:rPr>
        <w:t xml:space="preserve"> </w:t>
      </w:r>
      <w:r w:rsidR="00DE206B" w:rsidRPr="00D07897">
        <w:rPr>
          <w:rFonts w:ascii="Book Antiqua" w:eastAsia="Arial Unicode MS" w:hAnsi="Book Antiqua" w:cs="Arial"/>
          <w:color w:val="000000" w:themeColor="text1"/>
        </w:rPr>
        <w:t xml:space="preserve">we can move towards early </w:t>
      </w:r>
      <w:r w:rsidR="00E0536B" w:rsidRPr="00D07897">
        <w:rPr>
          <w:rFonts w:ascii="Book Antiqua" w:eastAsia="Arial Unicode MS" w:hAnsi="Book Antiqua" w:cs="Arial"/>
          <w:color w:val="000000" w:themeColor="text1"/>
        </w:rPr>
        <w:t>recognition</w:t>
      </w:r>
      <w:r w:rsidR="00DE206B" w:rsidRPr="00D07897">
        <w:rPr>
          <w:rFonts w:ascii="Book Antiqua" w:eastAsia="Arial Unicode MS" w:hAnsi="Book Antiqua" w:cs="Arial"/>
          <w:color w:val="000000" w:themeColor="text1"/>
        </w:rPr>
        <w:t xml:space="preserve">, </w:t>
      </w:r>
      <w:r w:rsidR="00E0536B" w:rsidRPr="00D07897">
        <w:rPr>
          <w:rFonts w:ascii="Book Antiqua" w:eastAsia="Arial Unicode MS" w:hAnsi="Book Antiqua" w:cs="Arial"/>
          <w:color w:val="000000" w:themeColor="text1"/>
        </w:rPr>
        <w:t xml:space="preserve">diagnosis </w:t>
      </w:r>
      <w:r w:rsidR="00DE206B" w:rsidRPr="00D07897">
        <w:rPr>
          <w:rFonts w:ascii="Book Antiqua" w:eastAsia="Arial Unicode MS" w:hAnsi="Book Antiqua" w:cs="Arial"/>
          <w:color w:val="000000" w:themeColor="text1"/>
        </w:rPr>
        <w:t xml:space="preserve">and management </w:t>
      </w:r>
      <w:r w:rsidR="00E0536B" w:rsidRPr="00D07897">
        <w:rPr>
          <w:rFonts w:ascii="Book Antiqua" w:eastAsia="Arial Unicode MS" w:hAnsi="Book Antiqua" w:cs="Arial"/>
          <w:color w:val="000000" w:themeColor="text1"/>
        </w:rPr>
        <w:t>of malnutrition in clinical practice</w:t>
      </w:r>
      <w:r w:rsidR="00DE206B" w:rsidRPr="00D07897">
        <w:rPr>
          <w:rFonts w:ascii="Book Antiqua" w:eastAsia="Arial Unicode MS" w:hAnsi="Book Antiqua" w:cs="Arial"/>
          <w:color w:val="000000" w:themeColor="text1"/>
        </w:rPr>
        <w:t>. F</w:t>
      </w:r>
      <w:r w:rsidR="00E0536B" w:rsidRPr="00D07897">
        <w:rPr>
          <w:rFonts w:ascii="Book Antiqua" w:eastAsia="Arial Unicode MS" w:hAnsi="Book Antiqua" w:cs="Arial"/>
          <w:color w:val="000000" w:themeColor="text1"/>
        </w:rPr>
        <w:t xml:space="preserve">urther research </w:t>
      </w:r>
      <w:r w:rsidR="00DE206B" w:rsidRPr="00D07897">
        <w:rPr>
          <w:rFonts w:ascii="Book Antiqua" w:eastAsia="Arial Unicode MS" w:hAnsi="Book Antiqua" w:cs="Arial"/>
          <w:color w:val="000000" w:themeColor="text1"/>
        </w:rPr>
        <w:t>will</w:t>
      </w:r>
      <w:r w:rsidR="00E0536B" w:rsidRPr="00D07897">
        <w:rPr>
          <w:rFonts w:ascii="Book Antiqua" w:eastAsia="Arial Unicode MS" w:hAnsi="Book Antiqua" w:cs="Arial"/>
          <w:color w:val="000000" w:themeColor="text1"/>
        </w:rPr>
        <w:t xml:space="preserve"> </w:t>
      </w:r>
      <w:r w:rsidR="00D4171E" w:rsidRPr="00D07897">
        <w:rPr>
          <w:rFonts w:ascii="Book Antiqua" w:eastAsia="Arial Unicode MS" w:hAnsi="Book Antiqua" w:cs="Arial"/>
          <w:color w:val="000000" w:themeColor="text1"/>
        </w:rPr>
        <w:t>elucidate</w:t>
      </w:r>
      <w:r w:rsidR="00E0536B" w:rsidRPr="00D07897">
        <w:rPr>
          <w:rFonts w:ascii="Book Antiqua" w:eastAsia="Arial Unicode MS" w:hAnsi="Book Antiqua" w:cs="Arial"/>
          <w:color w:val="000000" w:themeColor="text1"/>
        </w:rPr>
        <w:t xml:space="preserve"> the optimal tool</w:t>
      </w:r>
      <w:r w:rsidR="00D4171E" w:rsidRPr="00D07897">
        <w:rPr>
          <w:rFonts w:ascii="Book Antiqua" w:eastAsia="Arial Unicode MS" w:hAnsi="Book Antiqua" w:cs="Arial"/>
          <w:color w:val="000000" w:themeColor="text1"/>
        </w:rPr>
        <w:t>s and the impact of their integration into routine practice on clinical outcomes in IBD.</w:t>
      </w:r>
    </w:p>
    <w:bookmarkEnd w:id="53"/>
    <w:p w14:paraId="0ACA94DF" w14:textId="77777777" w:rsidR="00C74758" w:rsidRPr="00D07897" w:rsidRDefault="00C74758" w:rsidP="00C74758">
      <w:pPr>
        <w:spacing w:line="360" w:lineRule="auto"/>
        <w:jc w:val="both"/>
        <w:rPr>
          <w:rFonts w:ascii="Book Antiqua" w:hAnsi="Book Antiqua" w:cs="Arial"/>
          <w:i/>
          <w:color w:val="000000" w:themeColor="text1"/>
        </w:rPr>
      </w:pPr>
    </w:p>
    <w:p w14:paraId="040A6ED1" w14:textId="631BADDA" w:rsidR="00D07897" w:rsidRPr="00D07897" w:rsidRDefault="00C74758" w:rsidP="00D07897">
      <w:pPr>
        <w:adjustRightInd w:val="0"/>
        <w:snapToGrid w:val="0"/>
        <w:spacing w:line="360" w:lineRule="auto"/>
        <w:jc w:val="both"/>
        <w:rPr>
          <w:rFonts w:ascii="Book Antiqua" w:eastAsia="等线" w:hAnsi="Book Antiqua" w:hint="eastAsia"/>
          <w:color w:val="000000" w:themeColor="text1"/>
          <w:lang w:eastAsia="zh-CN"/>
        </w:rPr>
      </w:pPr>
      <w:bookmarkStart w:id="54" w:name="OLE_LINK7"/>
      <w:r w:rsidRPr="00D07897">
        <w:rPr>
          <w:rFonts w:ascii="Book Antiqua" w:hAnsi="Book Antiqua" w:cs="Arial"/>
          <w:color w:val="000000" w:themeColor="text1"/>
          <w:lang w:val="en-CA"/>
        </w:rPr>
        <w:t>Li S, Ney</w:t>
      </w:r>
      <w:r w:rsidRPr="00D07897">
        <w:rPr>
          <w:rFonts w:ascii="Book Antiqua" w:hAnsi="Book Antiqua" w:cs="Arial"/>
          <w:bCs/>
          <w:color w:val="000000" w:themeColor="text1"/>
        </w:rPr>
        <w:t xml:space="preserve"> M, </w:t>
      </w:r>
      <w:proofErr w:type="spellStart"/>
      <w:r w:rsidRPr="00D07897">
        <w:rPr>
          <w:rFonts w:ascii="Book Antiqua" w:hAnsi="Book Antiqua" w:cs="Arial"/>
          <w:color w:val="000000" w:themeColor="text1"/>
          <w:lang w:val="en-CA"/>
        </w:rPr>
        <w:t>Eslamparast</w:t>
      </w:r>
      <w:proofErr w:type="spellEnd"/>
      <w:r w:rsidRPr="00D07897">
        <w:rPr>
          <w:rFonts w:ascii="Book Antiqua" w:hAnsi="Book Antiqua" w:cs="Arial"/>
          <w:bCs/>
          <w:color w:val="000000" w:themeColor="text1"/>
        </w:rPr>
        <w:t xml:space="preserve"> T, </w:t>
      </w:r>
      <w:proofErr w:type="spellStart"/>
      <w:r w:rsidRPr="00D07897">
        <w:rPr>
          <w:rFonts w:ascii="Book Antiqua" w:hAnsi="Book Antiqua" w:cs="Arial"/>
          <w:color w:val="000000" w:themeColor="text1"/>
          <w:lang w:val="en-CA"/>
        </w:rPr>
        <w:t>Vandermeer</w:t>
      </w:r>
      <w:proofErr w:type="spellEnd"/>
      <w:r w:rsidRPr="00D07897">
        <w:rPr>
          <w:rFonts w:ascii="Book Antiqua" w:hAnsi="Book Antiqua" w:cs="Arial"/>
          <w:bCs/>
          <w:color w:val="000000" w:themeColor="text1"/>
        </w:rPr>
        <w:t xml:space="preserve"> B, </w:t>
      </w:r>
      <w:proofErr w:type="spellStart"/>
      <w:r w:rsidRPr="00D07897">
        <w:rPr>
          <w:rFonts w:ascii="Book Antiqua" w:hAnsi="Book Antiqua" w:cs="Arial"/>
          <w:color w:val="000000" w:themeColor="text1"/>
          <w:lang w:val="en-CA"/>
        </w:rPr>
        <w:t>Ismond</w:t>
      </w:r>
      <w:proofErr w:type="spellEnd"/>
      <w:r w:rsidRPr="00D07897">
        <w:rPr>
          <w:rFonts w:ascii="Book Antiqua" w:hAnsi="Book Antiqua" w:cs="Arial"/>
          <w:bCs/>
          <w:color w:val="000000" w:themeColor="text1"/>
        </w:rPr>
        <w:t xml:space="preserve"> KP, </w:t>
      </w:r>
      <w:proofErr w:type="spellStart"/>
      <w:r w:rsidRPr="00D07897">
        <w:rPr>
          <w:rFonts w:ascii="Book Antiqua" w:hAnsi="Book Antiqua" w:cs="Arial"/>
          <w:color w:val="000000" w:themeColor="text1"/>
          <w:lang w:val="en-CA"/>
        </w:rPr>
        <w:t>Kroeker</w:t>
      </w:r>
      <w:proofErr w:type="spellEnd"/>
      <w:r w:rsidRPr="00D07897">
        <w:rPr>
          <w:rFonts w:ascii="Book Antiqua" w:hAnsi="Book Antiqua" w:cs="Arial"/>
          <w:bCs/>
          <w:color w:val="000000" w:themeColor="text1"/>
        </w:rPr>
        <w:t xml:space="preserve"> K, </w:t>
      </w:r>
      <w:r w:rsidRPr="00D07897">
        <w:rPr>
          <w:rFonts w:ascii="Book Antiqua" w:hAnsi="Book Antiqua" w:cs="Arial"/>
          <w:color w:val="000000" w:themeColor="text1"/>
          <w:lang w:val="en-CA"/>
        </w:rPr>
        <w:t>Halloran</w:t>
      </w:r>
      <w:r w:rsidRPr="00D07897">
        <w:rPr>
          <w:rFonts w:ascii="Book Antiqua" w:hAnsi="Book Antiqua" w:cs="Arial"/>
          <w:bCs/>
          <w:color w:val="000000" w:themeColor="text1"/>
        </w:rPr>
        <w:t xml:space="preserve"> B, </w:t>
      </w:r>
      <w:r w:rsidRPr="00D07897">
        <w:rPr>
          <w:rFonts w:ascii="Book Antiqua" w:hAnsi="Book Antiqua" w:cs="Arial"/>
          <w:color w:val="000000" w:themeColor="text1"/>
          <w:lang w:val="en-CA"/>
        </w:rPr>
        <w:t>Raman</w:t>
      </w:r>
      <w:r w:rsidRPr="00D07897">
        <w:rPr>
          <w:rFonts w:ascii="Book Antiqua" w:hAnsi="Book Antiqua" w:cs="Arial"/>
          <w:bCs/>
          <w:color w:val="000000" w:themeColor="text1"/>
        </w:rPr>
        <w:t xml:space="preserve"> M, </w:t>
      </w:r>
      <w:proofErr w:type="spellStart"/>
      <w:r w:rsidRPr="00D07897">
        <w:rPr>
          <w:rFonts w:ascii="Book Antiqua" w:hAnsi="Book Antiqua" w:cs="Arial"/>
          <w:color w:val="000000" w:themeColor="text1"/>
          <w:lang w:val="en-CA"/>
        </w:rPr>
        <w:t>Tandon</w:t>
      </w:r>
      <w:proofErr w:type="spellEnd"/>
      <w:r w:rsidRPr="00D07897">
        <w:rPr>
          <w:rFonts w:ascii="Book Antiqua" w:hAnsi="Book Antiqua" w:cs="Arial"/>
          <w:bCs/>
          <w:color w:val="000000" w:themeColor="text1"/>
        </w:rPr>
        <w:t xml:space="preserve"> P. Systematic review of nutrition screening and assessment in inflammatory bowel disease. </w:t>
      </w:r>
      <w:r w:rsidRPr="00D07897">
        <w:rPr>
          <w:rFonts w:ascii="Book Antiqua" w:hAnsi="Book Antiqua" w:cs="Arial"/>
          <w:i/>
          <w:iCs/>
          <w:color w:val="000000" w:themeColor="text1"/>
        </w:rPr>
        <w:t xml:space="preserve">World J </w:t>
      </w:r>
      <w:proofErr w:type="spellStart"/>
      <w:r w:rsidRPr="00D07897">
        <w:rPr>
          <w:rFonts w:ascii="Book Antiqua" w:hAnsi="Book Antiqua" w:cs="Arial"/>
          <w:i/>
          <w:iCs/>
          <w:color w:val="000000" w:themeColor="text1"/>
        </w:rPr>
        <w:t>Gastroenterol</w:t>
      </w:r>
      <w:proofErr w:type="spellEnd"/>
      <w:r w:rsidRPr="00D07897">
        <w:rPr>
          <w:rFonts w:ascii="Book Antiqua" w:hAnsi="Book Antiqua" w:cs="Arial"/>
          <w:i/>
          <w:iCs/>
          <w:color w:val="000000" w:themeColor="text1"/>
        </w:rPr>
        <w:t xml:space="preserve"> </w:t>
      </w:r>
      <w:r w:rsidR="00D07897" w:rsidRPr="00D07897">
        <w:rPr>
          <w:rFonts w:ascii="Book Antiqua" w:hAnsi="Book Antiqua"/>
          <w:color w:val="000000" w:themeColor="text1"/>
        </w:rPr>
        <w:t xml:space="preserve">2019; 25(28): </w:t>
      </w:r>
      <w:r w:rsidR="00D07897" w:rsidRPr="00D07897">
        <w:rPr>
          <w:rFonts w:ascii="Book Antiqua" w:hAnsi="Book Antiqua" w:hint="eastAsia"/>
          <w:color w:val="000000" w:themeColor="text1"/>
          <w:lang w:eastAsia="zh-CN"/>
        </w:rPr>
        <w:t>38</w:t>
      </w:r>
      <w:r w:rsidR="00D07897" w:rsidRPr="00D07897">
        <w:rPr>
          <w:rFonts w:ascii="Book Antiqua" w:eastAsia="等线" w:hAnsi="Book Antiqua" w:hint="eastAsia"/>
          <w:color w:val="000000" w:themeColor="text1"/>
          <w:lang w:eastAsia="zh-CN"/>
        </w:rPr>
        <w:t>23</w:t>
      </w:r>
      <w:r w:rsidR="00D07897" w:rsidRPr="00D07897">
        <w:rPr>
          <w:rFonts w:ascii="Book Antiqua" w:hAnsi="Book Antiqua"/>
          <w:color w:val="000000" w:themeColor="text1"/>
        </w:rPr>
        <w:t>-</w:t>
      </w:r>
      <w:r w:rsidR="00D07897" w:rsidRPr="00D07897">
        <w:rPr>
          <w:rFonts w:ascii="Book Antiqua" w:hAnsi="Book Antiqua" w:hint="eastAsia"/>
          <w:color w:val="000000" w:themeColor="text1"/>
          <w:lang w:eastAsia="zh-CN"/>
        </w:rPr>
        <w:t>38</w:t>
      </w:r>
      <w:r w:rsidR="00D07897" w:rsidRPr="00D07897">
        <w:rPr>
          <w:rFonts w:ascii="Book Antiqua" w:eastAsia="等线" w:hAnsi="Book Antiqua" w:hint="eastAsia"/>
          <w:color w:val="000000" w:themeColor="text1"/>
          <w:lang w:eastAsia="zh-CN"/>
        </w:rPr>
        <w:t>37</w:t>
      </w:r>
    </w:p>
    <w:p w14:paraId="1F49F689" w14:textId="5DBC93AF" w:rsidR="00D07897" w:rsidRPr="00D07897" w:rsidRDefault="00D07897" w:rsidP="00D07897">
      <w:pPr>
        <w:adjustRightInd w:val="0"/>
        <w:snapToGrid w:val="0"/>
        <w:spacing w:line="360" w:lineRule="auto"/>
        <w:jc w:val="both"/>
        <w:rPr>
          <w:rFonts w:ascii="Book Antiqua" w:hAnsi="Book Antiqua" w:hint="eastAsia"/>
          <w:color w:val="000000" w:themeColor="text1"/>
          <w:lang w:eastAsia="zh-CN"/>
        </w:rPr>
      </w:pPr>
      <w:r w:rsidRPr="00D07897">
        <w:rPr>
          <w:rFonts w:ascii="Book Antiqua" w:hAnsi="Book Antiqua"/>
          <w:b/>
          <w:color w:val="000000" w:themeColor="text1"/>
        </w:rPr>
        <w:lastRenderedPageBreak/>
        <w:t xml:space="preserve">URL: </w:t>
      </w:r>
      <w:r w:rsidRPr="00D07897">
        <w:rPr>
          <w:rFonts w:ascii="Book Antiqua" w:hAnsi="Book Antiqua"/>
          <w:color w:val="000000" w:themeColor="text1"/>
        </w:rPr>
        <w:t>https://www.wjgnet.com/1007-9327/full/v25/i28/</w:t>
      </w:r>
      <w:r w:rsidRPr="00D07897">
        <w:rPr>
          <w:rFonts w:ascii="Book Antiqua" w:hAnsi="Book Antiqua" w:hint="eastAsia"/>
          <w:color w:val="000000" w:themeColor="text1"/>
          <w:lang w:eastAsia="zh-CN"/>
        </w:rPr>
        <w:t>38</w:t>
      </w:r>
      <w:r w:rsidRPr="00D07897">
        <w:rPr>
          <w:rFonts w:ascii="Book Antiqua" w:eastAsia="等线" w:hAnsi="Book Antiqua" w:hint="eastAsia"/>
          <w:color w:val="000000" w:themeColor="text1"/>
          <w:lang w:eastAsia="zh-CN"/>
        </w:rPr>
        <w:t>23</w:t>
      </w:r>
      <w:r w:rsidRPr="00D07897">
        <w:rPr>
          <w:rFonts w:ascii="Book Antiqua" w:hAnsi="Book Antiqua"/>
          <w:color w:val="000000" w:themeColor="text1"/>
        </w:rPr>
        <w:t>.htm</w:t>
      </w:r>
    </w:p>
    <w:p w14:paraId="62321196" w14:textId="08DAFEBA" w:rsidR="000F3677" w:rsidRPr="00D07897" w:rsidRDefault="00D07897" w:rsidP="00D07897">
      <w:pPr>
        <w:spacing w:line="360" w:lineRule="auto"/>
        <w:jc w:val="both"/>
        <w:rPr>
          <w:rFonts w:ascii="Book Antiqua" w:eastAsia="等线" w:hAnsi="Book Antiqua" w:cs="Arial"/>
          <w:bCs/>
          <w:color w:val="000000" w:themeColor="text1"/>
        </w:rPr>
      </w:pPr>
      <w:r w:rsidRPr="00D07897">
        <w:rPr>
          <w:rFonts w:ascii="Book Antiqua" w:hAnsi="Book Antiqua"/>
          <w:b/>
          <w:color w:val="000000" w:themeColor="text1"/>
        </w:rPr>
        <w:t>DOI:</w:t>
      </w:r>
      <w:r w:rsidRPr="00D07897">
        <w:rPr>
          <w:rFonts w:ascii="Book Antiqua" w:hAnsi="Book Antiqua"/>
          <w:color w:val="000000" w:themeColor="text1"/>
        </w:rPr>
        <w:t xml:space="preserve"> https://dx.doi.org/10.3748/wjg.v25.i28.</w:t>
      </w:r>
      <w:r w:rsidRPr="00D07897">
        <w:rPr>
          <w:rFonts w:ascii="Book Antiqua" w:hAnsi="Book Antiqua" w:hint="eastAsia"/>
          <w:color w:val="000000" w:themeColor="text1"/>
          <w:lang w:eastAsia="zh-CN"/>
        </w:rPr>
        <w:t>38</w:t>
      </w:r>
      <w:r w:rsidRPr="00D07897">
        <w:rPr>
          <w:rFonts w:ascii="Book Antiqua" w:eastAsia="等线" w:hAnsi="Book Antiqua" w:hint="eastAsia"/>
          <w:color w:val="000000" w:themeColor="text1"/>
          <w:lang w:eastAsia="zh-CN"/>
        </w:rPr>
        <w:t>23</w:t>
      </w:r>
    </w:p>
    <w:bookmarkEnd w:id="54"/>
    <w:p w14:paraId="5D24F166" w14:textId="571AFB20" w:rsidR="00FA1653" w:rsidRPr="00D07897" w:rsidRDefault="003B5CDF" w:rsidP="00F96F15">
      <w:pPr>
        <w:spacing w:line="360" w:lineRule="auto"/>
        <w:jc w:val="both"/>
        <w:rPr>
          <w:rFonts w:ascii="Book Antiqua" w:hAnsi="Book Antiqua" w:cs="Arial"/>
          <w:b/>
          <w:bCs/>
          <w:color w:val="000000" w:themeColor="text1"/>
        </w:rPr>
      </w:pPr>
      <w:r w:rsidRPr="00D07897">
        <w:rPr>
          <w:rFonts w:ascii="Book Antiqua" w:hAnsi="Book Antiqua" w:cs="Arial"/>
          <w:color w:val="000000" w:themeColor="text1"/>
        </w:rPr>
        <w:br w:type="page"/>
      </w:r>
      <w:r w:rsidR="004414D1" w:rsidRPr="00D07897">
        <w:rPr>
          <w:rFonts w:ascii="Book Antiqua" w:hAnsi="Book Antiqua" w:cs="Arial"/>
          <w:b/>
          <w:bCs/>
          <w:color w:val="000000" w:themeColor="text1"/>
        </w:rPr>
        <w:lastRenderedPageBreak/>
        <w:t>INTRODUCTION</w:t>
      </w:r>
    </w:p>
    <w:p w14:paraId="1DDC5949" w14:textId="64131A21" w:rsidR="00F36C98" w:rsidRPr="00D07897" w:rsidRDefault="00847E05"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Malnutrition is highly prevalent in inflammatory bowel disease (</w:t>
      </w:r>
      <w:r w:rsidR="00F070FA" w:rsidRPr="00D07897">
        <w:rPr>
          <w:rFonts w:ascii="Book Antiqua" w:hAnsi="Book Antiqua" w:cs="Arial"/>
          <w:color w:val="000000" w:themeColor="text1"/>
        </w:rPr>
        <w:t xml:space="preserve">IBD); </w:t>
      </w:r>
      <w:r w:rsidR="00F42A7F" w:rsidRPr="00D07897">
        <w:rPr>
          <w:rFonts w:ascii="Book Antiqua" w:hAnsi="Book Antiqua" w:cs="Arial"/>
          <w:color w:val="000000" w:themeColor="text1"/>
        </w:rPr>
        <w:t xml:space="preserve">present in </w:t>
      </w:r>
      <w:r w:rsidR="00F070FA" w:rsidRPr="00D07897">
        <w:rPr>
          <w:rFonts w:ascii="Book Antiqua" w:hAnsi="Book Antiqua" w:cs="Arial"/>
          <w:color w:val="000000" w:themeColor="text1"/>
        </w:rPr>
        <w:t>up to 70</w:t>
      </w:r>
      <w:r w:rsidRPr="00D07897">
        <w:rPr>
          <w:rFonts w:ascii="Book Antiqua" w:hAnsi="Book Antiqua" w:cs="Arial"/>
          <w:color w:val="000000" w:themeColor="text1"/>
        </w:rPr>
        <w:t>% of patients</w:t>
      </w:r>
      <w:r w:rsidR="00F070FA" w:rsidRPr="00D07897">
        <w:rPr>
          <w:rFonts w:ascii="Book Antiqua" w:hAnsi="Book Antiqua" w:cs="Arial"/>
          <w:color w:val="000000" w:themeColor="text1"/>
        </w:rPr>
        <w:t xml:space="preserve"> with active disease</w:t>
      </w:r>
      <w:r w:rsidRPr="00D07897">
        <w:rPr>
          <w:rFonts w:ascii="Book Antiqua" w:hAnsi="Book Antiqua" w:cs="Arial"/>
          <w:color w:val="000000" w:themeColor="text1"/>
        </w:rPr>
        <w:t xml:space="preserve"> </w:t>
      </w:r>
      <w:r w:rsidR="00F42A7F" w:rsidRPr="00D07897">
        <w:rPr>
          <w:rFonts w:ascii="Book Antiqua" w:hAnsi="Book Antiqua" w:cs="Arial"/>
          <w:color w:val="000000" w:themeColor="text1"/>
        </w:rPr>
        <w:t xml:space="preserve">and up to </w:t>
      </w:r>
      <w:r w:rsidR="00CA1C4C" w:rsidRPr="00D07897">
        <w:rPr>
          <w:rFonts w:ascii="Book Antiqua" w:hAnsi="Book Antiqua" w:cs="Arial"/>
          <w:color w:val="000000" w:themeColor="text1"/>
        </w:rPr>
        <w:t>38</w:t>
      </w:r>
      <w:r w:rsidR="00F42A7F" w:rsidRPr="00D07897">
        <w:rPr>
          <w:rFonts w:ascii="Book Antiqua" w:hAnsi="Book Antiqua" w:cs="Arial"/>
          <w:color w:val="000000" w:themeColor="text1"/>
        </w:rPr>
        <w:t>% of patients in remission</w:t>
      </w:r>
      <w:r w:rsidR="00F070FA"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{"citationItems":[{"id":"ITEM-1","itemData":{"DOI":"10.1016/j.ejim.2010.04.012","ISSN":"1879-0828 (Electronic)","PMID":"20603043","abstract":"BACKGROUND AND AIM: Malnutrition is a common feature of inflammatory bowel disease (IBD). There are numerous methods for the assessment of nutritional status, but the gold standard has not yet been established. The aims of the study were to estimate the prevalence of undernutrition and to evaluate methods for routine nutritional assessment of active IBD patients. MATERIAL AND METHODS: Twenty-three patients with active Crohn disease, 53 patients with active ulcerative colitis and 30 controls were included in the study. The nutritional status was assessed by extensive anthropometric measurements, percentage of weight loss in the past 1-6 months and biochemical markers of nutrition. RESULTS: All investigated nutritional parameters were significantly different in IBD patients compared to control subjects, except MCV, tryglicerides and serum total protein level. Serum albumin level and body mass index (BMI) were the most predictive parameters of malnutrition. According to different assessment methods the prevalence of undernutrition and severe undernutrition in patients with active IBD were 25.0%-69.7% and 1.3%-31.6%, respectively, while in the control subjects no abnormalities have been detected. There was no statistically significant difference of nutritional parameters between UC and CD patients except lower mid-arm muscle circumference in UC group. CONCLUSIONS: Malnutrition is common in IBD patients. BMI and serum albumin are simple and convenient methods for the assessment of the nutritional status in IBD patients. Further studies with larger group of patients are necessary to elucidate the prevalence of malnutrition and the most accurate assessment methods in IBD patients.","author":[{"dropping-particle":"","family":"Mijac","given":"Dragana D","non-dropping-particle":"","parse-names":false,"suffix":""},{"dropping-particle":"","family":"Jankovic","given":"Goran L J","non-dropping-particle":"","parse-names":false,"suffix":""},{"dropping-particle":"","family":"Jorga","given":"Jagoda","non-dropping-particle":"","parse-names":false,"suffix":""},{"dropping-particle":"","family":"Krstic","given":"Miodrag N","non-dropping-particle":"","parse-names":false,"suffix":""}],"container-title":"European journal of internal medicine","id":"ITEM-1","issue":"4","issued":{"date-parts":[["2010","8"]]},"language":"eng","page":"315-319","publisher-place":"Netherlands","title":"Nutritional status in patients with active inflammatory bowel disease: prevalence of malnutrition and methods for routine nutritional assessment.","type":"article-journal","volume":"21"},"uris":["http://www.mendeley.com/documents/?uuid=a5ad8efd-add5-4c07-b651-b3a955b480c3"]},{"id":"ITEM-2","itemData":{"DOI":"10.1016/j.clnu.2010.07.019","ISSN":"1532-1983 (Electronic)","PMID":"20719413","abstract":"BACKGROUND &amp; AIMS: Malnutrition is variably encountered in adult patients with Crohn's disease. We evaluated the nutritional status at the beginning and during Infliximab treatment in patients with Crohn's disease. METHODS: Patients with moderate/severe flares of disease treated with Infliximab for induction and maintenance of remission were included in a prospective observational study. Body Mass Index and Nutritional Risk Index were calculated in each patient at 0, 6 weeks and than every 8 weeks for one year. RESULTS: From 30 patients treated with Infliximab 59.3% had low BMI, 35.7% being undernourished. The severity of Crohn's disease did not correlate with low BMI but did correlate with Nutritional Risk Index (p = 0.001). In all patients that responded to Infliximab treatment progressive weight gain was observed, all but one patient reaching normal BMI after one year. Mean weight gain was significantly more elevated (p = 0.001) and time needed to reach normal BMI was longer in the undernutrition group (p = 0.01). Clinical remission was the principal factor associated with weight gain (p = 0.001), while there was no influence of endoscopic remission on nutritional status. CONCLUSIONS: In patients with moderate/severe forms of Crohn's disease malnutrition is frequently encountered. Induction and maintenance treatment with Infliximab determines weight gain and corrects malnutrition in all patients with clinical remission.","author":[{"dropping-particle":"","family":"Vadan","given":"Roxana","non-dropping-particle":"","parse-names":false,"suffix":""},{"dropping-particle":"","family":"Gheorghe","given":"Liliana Simona","non-dropping-particle":"","parse-names":false,"suffix":""},{"dropping-particle":"","family":"Constantinescu","given":"Alexandrina","non-dropping-particle":"","parse-names":false,"suffix":""},{"dropping-particle":"","family":"Gheorghe","given":"Cristian","non-dropping-particle":"","parse-names":false,"suffix":""}],"container-title":"Clinical nutrition (Edinburgh, Scotland)","id":"ITEM-2","issue":"1","issued":{"date-parts":[["2011","2"]]},"language":"eng","page":"86-91","publisher-place":"England","title":"The prevalence of malnutrition and the evolution of nutritional status in patients with moderate to severe forms of Crohn's disease treated with Infliximab.","type":"article-journal","volume":"30"},"uris":["http://www.mendeley.com/documents/?uuid=b4c9f3dd-e07f-43ef-8146-df6b3e05a6f0"]},{"id":"ITEM-3","itemData":{"ISSN":"0975-0711 (Electronic)","PMID":"19112190","abstract":"BACKGROUND AND AIM: Malnutrition is a common feature in patients with Crohn's disease (CD), which leads to frequent infections and poor prognosis. In view of the rising incidence of CD in India we planned this study to assess the nutritional status of patients with CD. METHODS: Nutritional status of 112 patients (mean age 35.9 [SD 11.7] years; 61 men) with CD was assessed by anthropometric, dietary and biochemical parameters. Patients were considered malnourished if 3 or more anthropometric parameters (% ideal body weight [IBW], % tricep skin fold [TSF], %mid upper arm circumference [MUAC], and % mid arm muscle circumference [MAMC], body mass index [BMI]) were abnormal. Dietary intake was assessed by a 24-hour dietary recall along with a semi-quantitative food frequency method. Eighty volunteers were taken as healthy controls (HC). RESULTS: At the time of assessment, 77 patients were in remission and 35 had active disease. The values of BMI, MUAC, TSF and mid arm fat area (MAFA) in patients were significantly lower than those in healthy controls. MAMC and mid arm muscle area (MAMA) of patients and controls were comparable. TSF (Rem vs HC = 10.4 [2.8-71] vs 16 [3-41]) and MAFA (Rem vs HC = 1236 [240-7757] vs 1858 [322-5650]) of the patients in the remission phase were significantly lower than those of healthy controls; the remaining parameters were comparable. There was no difference in the dietary intake of patients in the remission and active phases, and healthy controls. The percentage energy fulfillment of the patients was lower than that of healthy controls. Twenty-nine of 35 (82.8%) patients in the active and 30 of 77 (38.9%) patients in the remission phase were malnourished (OR 7.5, 95% CI 2.8-20.4). The overall prevalence of malnutrition was 52.6% among patients. CONCLUSION: The percentage of malnourished patients in the active and remission phases of the disease was 82.8% and 38.9%, respectively, possibly due to low percentage energy fulfillment.","author":[{"dropping-particle":"","family":"Benjamin","given":"Jaya","non-dropping-particle":"","parse-names":false,"suffix":""},{"dropping-particle":"","family":"Makharia","given":"Govind K","non-dropping-particle":"","parse-names":false,"suffix":""},{"dropping-particle":"","family":"Kalaivani","given":"M","non-dropping-particle":"","parse-names":false,"suffix":""},{"dropping-particle":"","family":"Joshi","given":"Yogendra K","non-dropping-particle":"","parse-names":false,"suffix":""}],"container-title":"Indian journal of gastroenterology : official journal of the Indian Society of Gastroenterology","id":"ITEM-3","issue":"5","issued":{"date-parts":[["2008"]]},"language":"eng","page":"195-200","publisher-place":"India","title":"Nutritional status of patients with Crohn's disease.","type":"article-journal","volume":"27"},"uris":["http://www.mendeley.com/documents/?uuid=9a993646-b284-4b83-adac-e0825048ba41"]}],"mendeley":{"formattedCitation":"&lt;sup&gt;[1–3]&lt;/sup&gt;","plainTextFormattedCitation":"[1–3]","previouslyFormattedCitation":"&lt;sup&gt;[1–3]&lt;/sup&gt;"},"properties":{"noteIndex":0},"schema":"https://github.com/citation-style-language/schema/raw/master/csl-citation.json"}</w:instrText>
      </w:r>
      <w:r w:rsidR="00F070FA"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w:t>
      </w:r>
      <w:r w:rsidR="004414D1" w:rsidRPr="00D07897">
        <w:rPr>
          <w:rFonts w:ascii="Book Antiqua" w:hAnsi="Book Antiqua" w:cs="Arial"/>
          <w:noProof/>
          <w:color w:val="000000" w:themeColor="text1"/>
          <w:vertAlign w:val="superscript"/>
        </w:rPr>
        <w:t>-</w:t>
      </w:r>
      <w:r w:rsidR="00596584" w:rsidRPr="00D07897">
        <w:rPr>
          <w:rFonts w:ascii="Book Antiqua" w:hAnsi="Book Antiqua" w:cs="Arial"/>
          <w:noProof/>
          <w:color w:val="000000" w:themeColor="text1"/>
          <w:vertAlign w:val="superscript"/>
        </w:rPr>
        <w:t>3]</w:t>
      </w:r>
      <w:r w:rsidR="00F070FA" w:rsidRPr="00D07897">
        <w:rPr>
          <w:rFonts w:ascii="Book Antiqua" w:hAnsi="Book Antiqua" w:cs="Arial"/>
          <w:color w:val="000000" w:themeColor="text1"/>
        </w:rPr>
        <w:fldChar w:fldCharType="end"/>
      </w:r>
      <w:r w:rsidR="00E87AEA" w:rsidRPr="00D07897">
        <w:rPr>
          <w:rFonts w:ascii="Book Antiqua" w:hAnsi="Book Antiqua" w:cs="Arial"/>
          <w:color w:val="000000" w:themeColor="text1"/>
        </w:rPr>
        <w:t xml:space="preserve">. </w:t>
      </w:r>
      <w:r w:rsidR="00F36C98" w:rsidRPr="00D07897">
        <w:rPr>
          <w:rFonts w:ascii="Book Antiqua" w:hAnsi="Book Antiqua" w:cs="Arial"/>
          <w:color w:val="000000" w:themeColor="text1"/>
        </w:rPr>
        <w:t>Closely related to malnutrition, sarcopenia is a syndrome defined by the presence of low muscle mass and either decreased muscle strength or physical performance</w:t>
      </w:r>
      <w:r w:rsidR="00F36C98"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{"citationItems":[{"id":"ITEM-1","itemData":{"DOI":"10.1093/ageing/afq034","ISSN":"1468-2834 (Electronic)","PMID":"20392703","abstract":"The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treatment.","author":[{"dropping-particle":"","family":"Cruz-Jentoft","given":"Alfonso J","non-dropping-particle":"","parse-names":false,"suffix":""},{"dropping-particle":"","family":"Baeyens","given":"Jean Pierre","non-dropping-particle":"","parse-names":false,"suffix":""},{"dropping-particle":"","family":"Bauer","given":"Jürgen M","non-dropping-particle":"","parse-names":false,"suffix":""},{"dropping-particle":"","family":"Boirie","given":"Yves","non-dropping-particle":"","parse-names":false,"suffix":""},{"dropping-particle":"","family":"Cederholm","given":"Tommy","non-dropping-particle":"","parse-names":false,"suffix":""},{"dropping-particle":"","family":"Landi","given":"Francesco","non-dropping-particle":"","parse-names":false,"suffix":""},{"dropping-particle":"","family":"Martin","given":"Finbarr C","non-dropping-particle":"","parse-names":false,"suffix":""},{"dropping-particle":"","family":"Michel","given":"Jean-Pierre","non-dropping-particle":"","parse-names":false,"suffix":""},{"dropping-particle":"","family":"Rolland","given":"Yves","non-dropping-particle":"","parse-names":false,"suffix":""},{"dropping-particle":"","family":"Schneider","given":"Stéphane M","non-dropping-particle":"","parse-names":false,"suffix":""},{"dropping-particle":"","family":"Topinková","given":"Eva","non-dropping-particle":"","parse-names":false,"suffix":""},{"dropping-particle":"","family":"Vandewoude","given":"Maurits","non-dropping-particle":"","parse-names":false,"suffix":""},{"dropping-particle":"","family":"Zamboni","given":"Mauro","non-dropping-particle":"","parse-names":false,"suffix":""}],"container-title":"Age and ageing","id":"ITEM-1","issue":"4","issued":{"date-parts":[["2010","7"]]},"language":"eng","page":"412-423","title":"Sarcopenia: European consensus on definition and diagnosis: Report of the European  Working Group on Sarcopenia in Older People.","type":"article-journal","volume":"39"},"uris":["http://www.mendeley.com/documents/?uuid=847a345b-1a6d-4cd4-9963-672a56c8619e"]}],"mendeley":{"formattedCitation":"&lt;sup&gt;[4]&lt;/sup&gt;","plainTextFormattedCitation":"[4]","previouslyFormattedCitation":"&lt;sup&gt;[4]&lt;/sup&gt;"},"properties":{"noteIndex":0},"schema":"https://github.com/citation-style-language/schema/raw/master/csl-citation.json"}</w:instrText>
      </w:r>
      <w:r w:rsidR="00F36C98"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[4]</w:t>
      </w:r>
      <w:r w:rsidR="00F36C98" w:rsidRPr="00D07897">
        <w:rPr>
          <w:rFonts w:ascii="Book Antiqua" w:hAnsi="Book Antiqua" w:cs="Arial"/>
          <w:color w:val="000000" w:themeColor="text1"/>
        </w:rPr>
        <w:fldChar w:fldCharType="end"/>
      </w:r>
      <w:r w:rsidR="00F36C98" w:rsidRPr="00D07897">
        <w:rPr>
          <w:rFonts w:ascii="Book Antiqua" w:hAnsi="Book Antiqua" w:cs="Arial"/>
          <w:color w:val="000000" w:themeColor="text1"/>
        </w:rPr>
        <w:t xml:space="preserve">. Sarcopenia and malnutrition represent separate entities but </w:t>
      </w:r>
      <w:r w:rsidR="00261ED2" w:rsidRPr="00D07897">
        <w:rPr>
          <w:rFonts w:ascii="Book Antiqua" w:hAnsi="Book Antiqua" w:cs="Arial"/>
          <w:color w:val="000000" w:themeColor="text1"/>
        </w:rPr>
        <w:t>often</w:t>
      </w:r>
      <w:r w:rsidR="00F36C98" w:rsidRPr="00D07897">
        <w:rPr>
          <w:rFonts w:ascii="Book Antiqua" w:hAnsi="Book Antiqua" w:cs="Arial"/>
          <w:color w:val="000000" w:themeColor="text1"/>
        </w:rPr>
        <w:t xml:space="preserve"> overlap; notably, </w:t>
      </w:r>
      <w:r w:rsidR="00971C22" w:rsidRPr="00D07897">
        <w:rPr>
          <w:rFonts w:ascii="Book Antiqua" w:hAnsi="Book Antiqua" w:cs="Arial"/>
          <w:color w:val="000000" w:themeColor="text1"/>
        </w:rPr>
        <w:t xml:space="preserve">the Global Leadership Initiative on </w:t>
      </w:r>
      <w:r w:rsidR="0087445B" w:rsidRPr="00D07897">
        <w:rPr>
          <w:rFonts w:ascii="Book Antiqua" w:hAnsi="Book Antiqua" w:cs="Arial"/>
          <w:color w:val="000000" w:themeColor="text1"/>
        </w:rPr>
        <w:t>Malnutrition</w:t>
      </w:r>
      <w:r w:rsidR="00F36C98" w:rsidRPr="00D07897">
        <w:rPr>
          <w:rFonts w:ascii="Book Antiqua" w:hAnsi="Book Antiqua" w:cs="Arial"/>
          <w:color w:val="000000" w:themeColor="text1"/>
        </w:rPr>
        <w:t>, American Society for Parenteral and Enteral Nutrition and European Society for Clinical Nutrition and Metabolism (ESPEN) include</w:t>
      </w:r>
      <w:r w:rsidR="00971C22" w:rsidRPr="00D07897">
        <w:rPr>
          <w:rFonts w:ascii="Book Antiqua" w:hAnsi="Book Antiqua" w:cs="Arial"/>
          <w:color w:val="000000" w:themeColor="text1"/>
        </w:rPr>
        <w:t xml:space="preserve"> </w:t>
      </w:r>
      <w:r w:rsidR="00F36C98" w:rsidRPr="00D07897">
        <w:rPr>
          <w:rFonts w:ascii="Book Antiqua" w:hAnsi="Book Antiqua" w:cs="Arial"/>
          <w:color w:val="000000" w:themeColor="text1"/>
        </w:rPr>
        <w:t>components of reduced muscle mass and impaired muscle function</w:t>
      </w:r>
      <w:r w:rsidR="00971C22" w:rsidRPr="00D07897">
        <w:rPr>
          <w:rFonts w:ascii="Book Antiqua" w:hAnsi="Book Antiqua" w:cs="Arial"/>
          <w:color w:val="000000" w:themeColor="text1"/>
        </w:rPr>
        <w:t xml:space="preserve"> in their respective consensus definitions of malnutrition</w:t>
      </w:r>
      <w:r w:rsidR="00F36C98"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{"citationItems":[{"id":"ITEM-1","itemData":{"DOI":"10.1016/j.jand.2012.03.012","ISSN":"2212-2672 (Print)","PMID":"22709779","abstract":"The Academy of Nutrition and Dietetics (Academy) and the American Society for Parenteral and Enteral Nutrition (A.S.P.E.N.) recommend that a standardized set of diagnostic characteristics be used to identify and document adult malnutrition in routine clinical practice. An etiologically based diagnostic nomenclature that incorporates a current understanding of the role of the inflammatory response on malnutrition's incidence, progression, and resolution is proposed. Universal use of a single set of diagnostic characteristics will facilitate malnutrition's recognition, contribute to more valid estimates of its prevalence and incidence, guide interventions, and influence expected outcomes. This standardized approach will also help to more accurately predict the human and financial burdens and costs associated with malnutrition's prevention and treatment, and further ensure the provision of high quality, cost effective nutritional care.","author":[{"dropping-particle":"V","family":"White","given":"Jane","non-dropping-particle":"","parse-names":false,"suffix":""},{"dropping-particle":"","family":"Guenter","given":"Peggi","non-dropping-particle":"","parse-names":false,"suffix":""},{"dropping-particle":"","family":"Jensen","given":"Gordon","non-dropping-particle":"","parse-names":false,"suffix":""},{"dropping-particle":"","family":"Malone","given":"Ainsley","non-dropping-particle":"","parse-names":false,"suffix":""},{"dropping-particle":"","family":"Schofield","given":"Marsha","non-dropping-particle":"","parse-names":false,"suffix":""}],"container-title":"Journal of the Academy of Nutrition and Dietetics","id":"ITEM-1","issue":"5","issued":{"date-parts":[["2012","5"]]},"language":"eng","page":"730-738","publisher-place":"United States","title":"Consensus statement of the Academy of Nutrition and Dietetics/American Society for Parenteral and Enteral Nutrition: characteristics recommended for the identification and documentation of adult malnutrition (undernutrition).","type":"article-journal","volume":"112"},"uris":["http://www.mendeley.com/documents/?uuid=2f0744e2-a0f6-4150-96d3-90bf8e483292"]},{"id":"ITEM-2","itemData":{"DOI":"10.1016/j.clnu.2018.08.002","ISSN":"1532-1983 (Electronic)","PMID":"30181091","abstract":"RATIONALE: This initiative is focused on building a global consensus around core  diagnostic criteria for malnutrition in adults in clinical settings. METHODS: In January 2016, the Global Leadership Initiative on Malnutrition (GLIM) was convened by several of the major global clinical nutrition societies. GLIM appointed a core leadership committee and a supporting working group with representatives bringing additional global diversity and expertise. Empirical consensus was reached through a series of face-to-face meetings, telephone conferences, and e-mail communications. RESULTS: A two-step approach for the malnutrition diagnosis was selected, i.e., first screening to identify \"at risk\" status by the use of any validated screening tool, and second, assessment for diagnosis and grading the severity of malnutrition. The malnutrition criteria for consideration were retrieved from existing approaches for screening and assessment. Potential criteria were subjected to a ballot among the GLIM core and supporting working group members. The top five ranked criteria included three phenotypic criteria (non-volitional weight loss, low body mass index, and reduced muscle mass) and two etiologic criteria (reduced food intake or assimilation, and inflammation or disease burden). To diagnose malnutrition at least one phenotypic criterion and one etiologic criterion should be present. Phenotypic metrics for grading severity as Stage 1 (moderate) and Stage 2 (severe) malnutrition are proposed. It is recommended that the etiologic criteria be used to guide intervention and anticipated outcomes. The recommended approach supports classification of malnutrition into four etiology-related diagnosis categories. CONCLUSION: A consensus scheme for diagnosing malnutrition in adults in clinical settings on a global scale is proposed. Next steps are to secure further collaboration and endorsements from leading nutrition professional societies, to identify overlaps with syndromes like cachexia and sarcopenia, and to promote dissemination, validation studies, and feedback. The diagnostic construct should be re-considered every 3-5 years.","author":[{"dropping-particle":"","family":"Cederholm","given":"T","non-dropping-particle":"","parse-names":false,"suffix":""},{"dropping-particle":"","family":"Jensen","given":"G L","non-dropping-particle":"","parse-names":false,"suffix":""},{"dropping-particle":"","family":"Correia","given":"M I T D","non-dropping-particle":"","parse-names":false,"suffix":""},{"dropping-particle":"","family":"Gonzalez","given":"M C","non-dropping-particle":"","parse-names":false,"suffix":""},{"dropping-particle":"","family":"Fukushima","given":"R","non-dropping-particle":"","parse-names":false,"suffix":""},{"dropping-particle":"","family":"Higashiguchi","given":"T","non-dropping-particle":"","parse-names":false,"suffix":""},{"dropping-particle":"","family":"Baptista","given":"G","non-dropping-particle":"","parse-names":false,"suffix":""},{"dropping-particle":"","family":"Barazzoni","given":"R","non-dropping-particle":"","parse-names":false,"suffix":""},{"dropping-particle":"","family":"Blaauw","given":"R","non-dropping-particle":"","parse-names":false,"suffix":""},{"dropping-particle":"","family":"Coats","given":"A","non-dropping-particle":"","parse-names":false,"suffix":""},{"dropping-particle":"","family":"Crivelli","given":"A","non-dropping-particle":"","parse-names":false,"suffix":""},{"dropping-particle":"","family":"Evans","given":"D C","non-dropping-particle":"","parse-names":false,"suffix":""},{"dropping-particle":"","family":"Gramlich","given":"L","non-dropping-particle":"","parse-names":false,"suffix":""},{"dropping-particle":"","family":"Fuchs-Tarlovsky","given":"V","non-dropping-particle":"","parse-names":false,"suffix":""},{"dropping-particle":"","family":"Keller","given":"H","non-dropping-particle":"","parse-names":false,"suffix":""},{"dropping-particle":"","family":"Llido","given":"L","non-dropping-particle":"","parse-names":false,"suffix":""},{"dropping-particle":"","family":"Malone","given":"A","non-dropping-particle":"","parse-names":false,"suffix":""},{"dropping-particle":"","family":"Mogensen","given":"K M","non-dropping-particle":"","parse-names":false,"suffix":""},{"dropping-particle":"","family":"Morley","given":"J E","non-dropping-particle":"","parse-names":false,"suffix":""},{"dropping-particle":"","family":"Muscaritoli","given":"M","non-dropping-particle":"","parse-names":false,"suffix":""},{"dropping-particle":"","family":"Nyulasi","given":"I","non-dropping-particle":"","parse-names":false,"suffix":""},{"dropping-particle":"","family":"Pirlich","given":"M","non-dropping-particle":"","parse-names":false,"suffix":""},{"dropping-particle":"","family":"Pisprasert","given":"V","non-dropping-particle":"","parse-names":false,"suffix":""},{"dropping-particle":"","family":"van der Schueren","given":"M A E","non-dropping-particle":"de","parse-names":false,"suffix":""},{"dropping-particle":"","family":"Siltharm","given":"S","non-dropping-particle":"","parse-names":false,"suffix":""},{"dropping-particle":"","family":"Singer","given":"P","non-dropping-particle":"","parse-names":false,"suffix":""},{"dropping-particle":"","family":"Tappenden","given":"K","non-dropping-particle":"","parse-names":false,"suffix":""},{"dropping-particle":"","family":"Velasco","given":"N","non-dropping-particle":"","parse-names":false,"suffix":""},{"dropping-particle":"","family":"Waitzberg","given":"D","non-dropping-particle":"","parse-names":false,"suffix":""},{"dropping-particle":"","family":"Yamwong","given":"P","non-dropping-particle":"","parse-names":false,"suffix":""},{"dropping-particle":"","family":"Yu","given":"J","non-dropping-particle":"","parse-names":false,"suffix":""},{"dropping-particle":"","family":"Gossum","given":"A","non-dropping-particle":"Van","parse-names":false,"suffix":""},{"dropping-particle":"","family":"Compher","given":"C","non-dropping-particle":"","parse-names":false,"suffix":""}],"container-title":"Clinical nutrition (Edinburgh, Scotland)","id":"ITEM-2","issued":{"date-parts":[["2018","9"]]},"language":"eng","publisher-place":"England","title":"GLIM criteria for the diagnosis of malnutrition - A consensus report from the global clinical nutrition community.","type":"article-journal"},"uris":["http://www.mendeley.com/documents/?uuid=91421e74-c8ec-4fd8-8def-7d98c3e47819"]},{"id":"ITEM-3","itemData":{"DOI":"10.1016/j.clnu.2015.03.001","ISSN":"1532-1983 (Electronic)","PMID":"25799486","abstract":"OBJECTIVE: To provide a consensus-based minimum set of criteria for the diagnosis of malnutrition to be applied independent of clinical setting and aetiology, and to unify international terminology. METHOD: The European Society of Clinical Nutrition and Metabolism (ESPEN) appointed a group of clinical scientists to perform a modified Delphi process, encompassing e-mail communications, face-to-face meetings, in group questionnaires and ballots, as well as a ballot for the ESPEN membership. RESULT: First, ESPEN recommends that subjects at risk of malnutrition are identified by validated screening tools, and should be assessed and treated accordingly. Risk of malnutrition should have its own ICD Code. Second, a unanimous consensus was reached to advocate two options for the diagnosis of malnutrition. Option one requires body mass index (BMI, kg/m(2)) &lt;18.5 to define malnutrition. Option two requires the combined finding of unintentional weight loss (mandatory) and at least one of either reduced BMI or a low fat free mass index (FFMI). Weight loss could be either &gt;10% of habitual weight indefinite of time, or &gt;5% over 3 months. Reduced BMI is &lt;20 or &lt;22 kg/m(2) in subjects younger and older than 70 years, respectively. Low FFMI is &lt;15 and &lt;17 kg/m(2) in females and males, respectively. About 12% of ESPEN members participated in a ballot; &gt;75% agreed; i.e. indicated &gt;/=7 on a 10-graded scale of acceptance, to this definition. CONCLUSION: In individuals identified by screening as at risk of malnutrition, the diagnosis of malnutrition should be based on either a low BMI (&lt;18.5 kg/m(2)), or on the combined finding of weight loss together with either reduced BMI (age-specific) or a low FFMI using sex-specific cut-offs.","author":[{"dropping-particle":"","family":"Cederholm","given":"T","non-dropping-particle":"","parse-names":false,"suffix":""},{"dropping-particle":"","family":"Bosaeus","given":"I","non-dropping-particle":"","parse-names":false,"suffix":""},{"dropping-particle":"","family":"Barazzoni","given":"R","non-dropping-particle":"","parse-names":false,"suffix":""},{"dropping-particle":"","family":"Bauer","given":"J","non-dropping-particle":"","parse-names":false,"suffix":""},{"dropping-particle":"","family":"Gossum","given":"A","non-dropping-particle":"Van","parse-names":false,"suffix":""},{"dropping-particle":"","family":"Klek","given":"S","non-dropping-particle":"","parse-names":false,"suffix":""},{"dropping-particle":"","family":"Muscaritoli","given":"M","non-dropping-particle":"","parse-names":false,"suffix":""},{"dropping-particle":"","family":"Nyulasi","given":"I","non-dropping-particle":"","parse-names":false,"suffix":""},{"dropping-particle":"","family":"Ockenga","given":"J","non-dropping-particle":"","parse-names":false,"suffix":""},{"dropping-particle":"","family":"Schneider","given":"S M","non-dropping-particle":"","parse-names":false,"suffix":""},{"dropping-particle":"","family":"van der Schueren","given":"M A E","non-dropping-particle":"de","parse-names":false,"suffix":""},{"dropping-particle":"","family":"Singer","given":"P","non-dropping-particle":"","parse-names":false,"suffix":""}],"container-title":"Clinical nutrition (Edinburgh, Scotland)","id":"ITEM-3","issue":"3","issued":{"date-parts":[["2015","6"]]},"language":"eng","page":"335-340","publisher-place":"England","title":"Diagnostic criteria for malnutrition - An ESPEN Consensus Statement.","type":"article-journal","volume":"34"},"uris":["http://www.mendeley.com/documents/?uuid=c8bdc4e1-796a-41ac-b24c-b7f933740449"]}],"mendeley":{"formattedCitation":"&lt;sup&gt;[5–7]&lt;/sup&gt;","plainTextFormattedCitation":"[5–7]","previouslyFormattedCitation":"&lt;sup&gt;[5–7]&lt;/sup&gt;"},"properties":{"noteIndex":0},"schema":"https://github.com/citation-style-language/schema/raw/master/csl-citation.json"}</w:instrText>
      </w:r>
      <w:r w:rsidR="00F36C98"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[5</w:t>
      </w:r>
      <w:r w:rsidR="004414D1" w:rsidRPr="00D07897">
        <w:rPr>
          <w:rFonts w:ascii="Book Antiqua" w:hAnsi="Book Antiqua" w:cs="Arial"/>
          <w:noProof/>
          <w:color w:val="000000" w:themeColor="text1"/>
          <w:vertAlign w:val="superscript"/>
        </w:rPr>
        <w:t>-</w:t>
      </w:r>
      <w:r w:rsidR="00596584" w:rsidRPr="00D07897">
        <w:rPr>
          <w:rFonts w:ascii="Book Antiqua" w:hAnsi="Book Antiqua" w:cs="Arial"/>
          <w:noProof/>
          <w:color w:val="000000" w:themeColor="text1"/>
          <w:vertAlign w:val="superscript"/>
        </w:rPr>
        <w:t>7]</w:t>
      </w:r>
      <w:r w:rsidR="00F36C98" w:rsidRPr="00D07897">
        <w:rPr>
          <w:rFonts w:ascii="Book Antiqua" w:hAnsi="Book Antiqua" w:cs="Arial"/>
          <w:color w:val="000000" w:themeColor="text1"/>
        </w:rPr>
        <w:fldChar w:fldCharType="end"/>
      </w:r>
      <w:r w:rsidR="00F36C98" w:rsidRPr="00D07897">
        <w:rPr>
          <w:rFonts w:ascii="Book Antiqua" w:hAnsi="Book Antiqua" w:cs="Arial"/>
          <w:color w:val="000000" w:themeColor="text1"/>
        </w:rPr>
        <w:t xml:space="preserve">. </w:t>
      </w:r>
    </w:p>
    <w:p w14:paraId="6D760197" w14:textId="2EAB3C41" w:rsidR="00C52422" w:rsidRPr="00D07897" w:rsidRDefault="008C170A" w:rsidP="004414D1">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t>In patients with IBD, s</w:t>
      </w:r>
      <w:r w:rsidR="00E85D7E" w:rsidRPr="00D07897">
        <w:rPr>
          <w:rFonts w:ascii="Book Antiqua" w:hAnsi="Book Antiqua" w:cs="Arial"/>
          <w:color w:val="000000" w:themeColor="text1"/>
        </w:rPr>
        <w:t>arcopenia and malnutrition have been associated with increased hospitalizations, disease flares, need for surgery</w:t>
      </w:r>
      <w:r w:rsidR="00261ED2" w:rsidRPr="00D07897">
        <w:rPr>
          <w:rFonts w:ascii="Book Antiqua" w:hAnsi="Book Antiqua" w:cs="Arial"/>
          <w:color w:val="000000" w:themeColor="text1"/>
        </w:rPr>
        <w:t>,</w:t>
      </w:r>
      <w:r w:rsidR="00E85D7E" w:rsidRPr="00D07897">
        <w:rPr>
          <w:rFonts w:ascii="Book Antiqua" w:hAnsi="Book Antiqua" w:cs="Arial"/>
          <w:color w:val="000000" w:themeColor="text1"/>
        </w:rPr>
        <w:t xml:space="preserve"> and post-operative complications</w:t>
      </w:r>
      <w:r w:rsidR="00E85D7E"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disease.","type":"article-journal","volume":"116"},"uris":["http://www.mendeley.com/documents/?uuid=7a1220e5-e4f6-481d-b52c-83a9e8be8be2"]},{"id":"ITEM-2","itemData":{"DOI":"https://dx.doi.org/10.1371/journal.pone.0180036","ISSN":"1932-6203","abstract":"The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one","id":"ITEM-2","issue":"6","issued":{"date-parts":[["2017"]]},"page":"e0180036","publisher-place":"United States","title":"Sarcopenia is a predictive factor for intestinal resection in admitted patients with Crohn's disease.","type":"article-journal","volume":"12"},"uris":["http://www.mendeley.com/documents/?uuid=73a11d92-9bee-468c-bbed-3189266c43db"]},{"id":"ITEM-3","itemData":{"DOI":"10.1177/0148607115612054","ISSN":"1941-2444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nutrition","id":"ITEM-3","issue":"4","issued":{"date-parts":[["2017","5"]]},"language":"eng","page":"592-600","publisher-place":"United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Resection.","type":"article-journal","volume":"41"},"uris":["http://www.mendeley.com/documents/?uuid=db984d59-d589-4f73-9f02-3b7ac10b008c"]},{"id":"ITEM-4","itemData":{"DOI":"10.1016/j.clnu.2016.10.004","ISSN":"1532-1983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Scotland)","id":"ITEM-4","issue":"6","issued":{"date-parts":[["2017","12"]]},"language":"eng","page":"1586-1592","publisher-place":"England","title":"Skeletal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colectomy.","type":"article-journal","volume":"36"},"uris":["http://www.mendeley.com/documents/?uuid=289f93c3-ba8a-4a99-af8c-01b5584e14b0"]},{"id":"ITEM-5","itemData":{"DOI":"10.1097/MIB.0000000000001166","ISSN":"1536-4844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diseases","id":"ITEM-5","issue":"10","issued":{"date-parts":[["2017","10"]]},"language":"eng","page":"1867-1872","publisher-place":"United States","title":"Sarcopenia is a Predictor of Surgical Morbidity in Inflammatory Bowel Disease.","type":"article-journal","volume":"23"},"uris":["http://www.mendeley.com/documents/?uuid=6853f06f-1efd-4924-a01f-3879684bf57f"]},{"id":"ITEM-6","itemData":{"DOI":"10.1159/000485637","ISSN":"1421-9697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metabolism","id":"ITEM-6","issue":"3-4","issued":{"date-parts":[["2017"]]},"language":"eng","page":"266-272","publisher-place":"Switzerland","title":"Nutritional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[8–13]&lt;/sup&gt;","plainTextFormattedCitation":"[8–13]","previouslyFormattedCitation":"&lt;sup&gt;[8–13]&lt;/sup&gt;"},"properties":{"noteIndex":0},"schema":"https://github.com/citation-style-language/schema/raw/master/csl-citation.json"}</w:instrText>
      </w:r>
      <w:r w:rsidR="00E85D7E"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[8</w:t>
      </w:r>
      <w:r w:rsidR="004414D1" w:rsidRPr="00D07897">
        <w:rPr>
          <w:rFonts w:ascii="Book Antiqua" w:hAnsi="Book Antiqua" w:cs="Arial"/>
          <w:noProof/>
          <w:color w:val="000000" w:themeColor="text1"/>
          <w:vertAlign w:val="superscript"/>
        </w:rPr>
        <w:t>-</w:t>
      </w:r>
      <w:r w:rsidR="00596584" w:rsidRPr="00D07897">
        <w:rPr>
          <w:rFonts w:ascii="Book Antiqua" w:hAnsi="Book Antiqua" w:cs="Arial"/>
          <w:noProof/>
          <w:color w:val="000000" w:themeColor="text1"/>
          <w:vertAlign w:val="superscript"/>
        </w:rPr>
        <w:t>13]</w:t>
      </w:r>
      <w:r w:rsidR="00E85D7E" w:rsidRPr="00D07897">
        <w:rPr>
          <w:rFonts w:ascii="Book Antiqua" w:hAnsi="Book Antiqua" w:cs="Arial"/>
          <w:color w:val="000000" w:themeColor="text1"/>
        </w:rPr>
        <w:fldChar w:fldCharType="end"/>
      </w:r>
      <w:r w:rsidR="00E85D7E" w:rsidRPr="00D07897">
        <w:rPr>
          <w:rFonts w:ascii="Book Antiqua" w:hAnsi="Book Antiqua" w:cs="Arial"/>
          <w:color w:val="000000" w:themeColor="text1"/>
        </w:rPr>
        <w:t xml:space="preserve">. </w:t>
      </w:r>
      <w:r w:rsidR="000D44FE" w:rsidRPr="00D07897">
        <w:rPr>
          <w:rFonts w:ascii="Book Antiqua" w:hAnsi="Book Antiqua" w:cs="Arial"/>
          <w:color w:val="000000" w:themeColor="text1"/>
        </w:rPr>
        <w:t xml:space="preserve">Early identification of malnourished patients </w:t>
      </w:r>
      <w:r w:rsidR="00D83C36" w:rsidRPr="00D07897">
        <w:rPr>
          <w:rFonts w:ascii="Book Antiqua" w:hAnsi="Book Antiqua" w:cs="Arial"/>
          <w:color w:val="000000" w:themeColor="text1"/>
        </w:rPr>
        <w:t>using a two-step approach of nutritional screening and subsequent assessment</w:t>
      </w:r>
      <w:r w:rsidR="00D83C36"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{"citationItems":[{"id":"ITEM-1","itemData":{"DOI":"10.1016/j.clnu.2018.08.002","ISSN":"1532-1983 (Electronic)","PMID":"30181091","abstract":"RATIONALE: This initiative is focused on building a global consensus around core  diagnostic criteria for malnutrition in adults in clinical settings. METHODS: In January 2016, the Global Leadership Initiative on Malnutrition (GLIM) was convened by several of the major global clinical nutrition societies. GLIM appointed a core leadership committee and a supporting working group with representatives bringing additional global diversity and expertise. Empirical consensus was reached through a series of face-to-face meetings, telephone conferences, and e-mail communications. RESULTS: A two-step approach for the malnutrition diagnosis was selected, i.e., first screening to identify \"at risk\" status by the use of any validated screening tool, and second, assessment for diagnosis and grading the severity of malnutrition. The malnutrition criteria for consideration were retrieved from existing approaches for screening and assessment. Potential criteria were subjected to a ballot among the GLIM core and supporting working group members. The top five ranked criteria included three phenotypic criteria (non-volitional weight loss, low body mass index, and reduced muscle mass) and two etiologic criteria (reduced food intake or assimilation, and inflammation or disease burden). To diagnose malnutrition at least one phenotypic criterion and one etiologic criterion should be present. Phenotypic metrics for grading severity as Stage 1 (moderate) and Stage 2 (severe) malnutrition are proposed. It is recommended that the etiologic criteria be used to guide intervention and anticipated outcomes. The recommended approach supports classification of malnutrition into four etiology-related diagnosis categories. CONCLUSION: A consensus scheme for diagnosing malnutrition in adults in clinical settings on a global scale is proposed. Next steps are to secure further collaboration and endorsements from leading nutrition professional societies, to identify overlaps with syndromes like cachexia and sarcopenia, and to promote dissemination, validation studies, and feedback. The diagnostic construct should be re-considered every 3-5 years.","author":[{"dropping-particle":"","family":"Cederholm","given":"T","non-dropping-particle":"","parse-names":false,"suffix":""},{"dropping-particle":"","family":"Jensen","given":"G L","non-dropping-particle":"","parse-names":false,"suffix":""},{"dropping-particle":"","family":"Correia","given":"M I T D","non-dropping-particle":"","parse-names":false,"suffix":""},{"dropping-particle":"","family":"Gonzalez","given":"M C","non-dropping-particle":"","parse-names":false,"suffix":""},{"dropping-particle":"","family":"Fukushima","given":"R","non-dropping-particle":"","parse-names":false,"suffix":""},{"dropping-particle":"","family":"Higashiguchi","given":"T","non-dropping-particle":"","parse-names":false,"suffix":""},{"dropping-particle":"","family":"Baptista","given":"G","non-dropping-particle":"","parse-names":false,"suffix":""},{"dropping-particle":"","family":"Barazzoni","given":"R","non-dropping-particle":"","parse-names":false,"suffix":""},{"dropping-particle":"","family":"Blaauw","given":"R","non-dropping-particle":"","parse-names":false,"suffix":""},{"dropping-particle":"","family":"Coats","given":"A","non-dropping-particle":"","parse-names":false,"suffix":""},{"dropping-particle":"","family":"Crivelli","given":"A","non-dropping-particle":"","parse-names":false,"suffix":""},{"dropping-particle":"","family":"Evans","given":"D C","non-dropping-particle":"","parse-names":false,"suffix":""},{"dropping-particle":"","family":"Gramlich","given":"L","non-dropping-particle":"","parse-names":false,"suffix":""},{"dropping-particle":"","family":"Fuchs-Tarlovsky","given":"V","non-dropping-particle":"","parse-names":false,"suffix":""},{"dropping-particle":"","family":"Keller","given":"H","non-dropping-particle":"","parse-names":false,"suffix":""},{"dropping-particle":"","family":"Llido","given":"L","non-dropping-particle":"","parse-names":false,"suffix":""},{"dropping-particle":"","family":"Malone","given":"A","non-dropping-particle":"","parse-names":false,"suffix":""},{"dropping-particle":"","family":"Mogensen","given":"K M","non-dropping-particle":"","parse-names":false,"suffix":""},{"dropping-particle":"","family":"Morley","given":"J E","non-dropping-particle":"","parse-names":false,"suffix":""},{"dropping-particle":"","family":"Muscaritoli","given":"M","non-dropping-particle":"","parse-names":false,"suffix":""},{"dropping-particle":"","family":"Nyulasi","given":"I","non-dropping-particle":"","parse-names":false,"suffix":""},{"dropping-particle":"","family":"Pirlich","given":"M","non-dropping-particle":"","parse-names":false,"suffix":""},{"dropping-particle":"","family":"Pisprasert","given":"V","non-dropping-particle":"","parse-names":false,"suffix":""},{"dropping-particle":"","family":"van der Schueren","given":"M A E","non-dropping-particle":"de","parse-names":false,"suffix":""},{"dropping-particle":"","family":"Siltharm","given":"S","non-dropping-particle":"","parse-names":false,"suffix":""},{"dropping-particle":"","family":"Singer","given":"P","non-dropping-particle":"","parse-names":false,"suffix":""},{"dropping-particle":"","family":"Tappenden","given":"K","non-dropping-particle":"","parse-names":false,"suffix":""},{"dropping-particle":"","family":"Velasco","given":"N","non-dropping-particle":"","parse-names":false,"suffix":""},{"dropping-particle":"","family":"Waitzberg","given":"D","non-dropping-particle":"","parse-names":false,"suffix":""},{"dropping-particle":"","family":"Yamwong","given":"P","non-dropping-particle":"","parse-names":false,"suffix":""},{"dropping-particle":"","family":"Yu","given":"J","non-dropping-particle":"","parse-names":false,"suffix":""},{"dropping-particle":"","family":"Gossum","given":"A","non-dropping-particle":"Van","parse-names":false,"suffix":""},{"dropping-particle":"","family":"Compher","given":"C","non-dropping-particle":"","parse-names":false,"suffix":""}],"container-title":"Clinical nutrition (Edinburgh, Scotland)","id":"ITEM-1","issued":{"date-parts":[["2018","9"]]},"language":"eng","publisher-place":"England","title":"GLIM criteria for the diagnosis of malnutrition - A consensus report from the global clinical nutrition community.","type":"article-journal"},"uris":["http://www.mendeley.com/documents/?uuid=91421e74-c8ec-4fd8-8def-7d98c3e47819"]}],"mendeley":{"formattedCitation":"&lt;sup&gt;[6]&lt;/sup&gt;","plainTextFormattedCitation":"[6]","previouslyFormattedCitation":"&lt;sup&gt;[6]&lt;/sup&gt;"},"properties":{"noteIndex":0},"schema":"https://github.com/citation-style-language/schema/raw/master/csl-citation.json"}</w:instrText>
      </w:r>
      <w:r w:rsidR="00D83C36"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[6]</w:t>
      </w:r>
      <w:r w:rsidR="00D83C36" w:rsidRPr="00D07897">
        <w:rPr>
          <w:rFonts w:ascii="Book Antiqua" w:hAnsi="Book Antiqua" w:cs="Arial"/>
          <w:color w:val="000000" w:themeColor="text1"/>
        </w:rPr>
        <w:fldChar w:fldCharType="end"/>
      </w:r>
      <w:r w:rsidR="00D83C36" w:rsidRPr="00D07897">
        <w:rPr>
          <w:rFonts w:ascii="Book Antiqua" w:hAnsi="Book Antiqua" w:cs="Arial"/>
          <w:color w:val="000000" w:themeColor="text1"/>
        </w:rPr>
        <w:t xml:space="preserve"> </w:t>
      </w:r>
      <w:r w:rsidR="000D44FE" w:rsidRPr="00D07897">
        <w:rPr>
          <w:rFonts w:ascii="Book Antiqua" w:hAnsi="Book Antiqua" w:cs="Arial"/>
          <w:color w:val="000000" w:themeColor="text1"/>
        </w:rPr>
        <w:t>may allow for earlier intervention and impact on clinical outcomes</w:t>
      </w:r>
      <w:r w:rsidR="000D44FE"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{"citationItems":[{"id":"ITEM-1","itemData":{"ISSN":"0261-5614 (Print)","PMID":"12880610","abstract":"AIM: To provide guidelines for nutrition risk screening applicable to different settings (community, hospital, elderly) based on published and validated evidence available until June 2002. NOTE: These guidelines deliberately make reference to the year 2002 in their title to indicate that this version is based on the evidence available until 2002 and that they need to be updated and adapted to current state of knowledge in the future. In order to reach this goal the Education and Clinical Practice Committee invites and welcomes all criticism and suggestions (button for mail to ECPC chairman).","author":[{"dropping-particle":"","family":"Kondrup","given":"J","non-dropping-particle":"","parse-names":false,"suffix":""},{"dropping-particle":"","family":"Allison","given":"S P","non-dropping-particle":"","parse-names":false,"suffix":""},{"dropping-particle":"","family":"Elia","given":"M","non-dropping-particle":"","parse-names":false,"suffix":""},{"dropping-particle":"","family":"Vellas","given":"B","non-dropping-particle":"","parse-names":false,"suffix":""},{"dropping-particle":"","family":"Plauth","given":"M","non-dropping-particle":"","parse-names":false,"suffix":""}],"container-title":"Clinical nutrition (Edinburgh, Scotland)","id":"ITEM-1","issue":"4","issued":{"date-parts":[["2003","8"]]},"language":"eng","page":"415-421","publisher-place":"England","title":"ESPEN guidelines for nutrition screening 2002.","type":"article-journal","volume":"22"},"uris":["http://www.mendeley.com/documents/?uuid=0a9f74d2-5034-40d1-884b-51df233b7e81"]},{"id":"ITEM-2","itemData":{"DOI":"10.1155/2018/7890161","ISSN":"1687-6121 (Print)","PMID":"30344603","abstract":"Patients with inflammatory bowel disease (IBD) commonly require surgery despite the availability of an increasingly large repertoire of powerful immunosuppressive medications for the treatment of IBD. Optimizing patients' care preoperatively is crucial to obtaining good surgical outcomes. This review discusses preoperative assessment and management principles including assessing disease location and activity with cross-sectional or endoscopic imaging, addressing modifiable risk factors (i.e., stopping smoking, weaning steroids, and correcting anemia), and properly managing medications. The major focus of our literature review is the evaluation for malnutrition, a common finding that affects up to 70% of patients with IBD and a well-known, independent risk factor for adverse postoperative outcomes. Our review confirms that whenever feasible, oral or enteral nutrition (EN) is the preferred method of nutritional support; parenteral nutrition (PN) should be reserved for nutritionally deficient IBD patients unable to tolerate EN. In selected patients, recent data demonstrated that the use of preoperative PN resulted in improved nutritional status, fewer postoperative complications, and reduced disease severity. Our review highlights the need for well-designed, prospective trials investigating perioperative nutritional support in patients with IBD. Future studies should perform modern nutritional assessment, standardize for diet, and include patients with UC since this subset of patients is underrepresented in existing studies. In addition, relevant outcome of interest specific to Crohn's disease (CD) patients such as length of small bowel resected, number of anastomoses, and need for an ostomy should be included as these patients may require repeated small bowel resections.","author":[{"dropping-particle":"","family":"Stoner","given":"Patrick L","non-dropping-particle":"","parse-names":false,"suffix":""},{"dropping-particle":"","family":"Kamel","given":"Amir","non-dropping-particle":"","parse-names":false,"suffix":""},{"dropping-particle":"","family":"Ayoub","given":"Fares","non-dropping-particle":"","parse-names":false,"suffix":""},{"dropping-particle":"","family":"Tan","given":"Sanda","non-dropping-particle":"","parse-names":false,"suffix":""},{"dropping-particle":"","family":"Iqbal","given":"Atif","non-dropping-particle":"","parse-names":false,"suffix":""},{"dropping-particle":"","family":"Glover","given":"Sarah C","non-dropping-particle":"","parse-names":false,"suffix":""},{"dropping-particle":"","family":"Zimmermann","given":"Ellen M","non-dropping-particle":"","parse-names":false,"suffix":""}],"container-title":"Gastroenterology research and practice","id":"ITEM-2","issued":{"date-parts":[["2018"]]},"language":"eng","page":"7890161","publisher-place":"Egypt","title":"Perioperative Care of Patients with Inflammatory Bowel Disease: Focus on Nutritional Support.","type":"article-journal","volume":"2018"},"uris":["http://www.mendeley.com/documents/?uuid=6adebfd9-3917-4c47-807f-4323fed6174b"]},{"id":"ITEM-3","itemData":{"DOI":"10.1097/MEG.0000000000001162","ISSN":"1473-5687 (Electronic)","PMID":"29738326","abstract":"OBJECTIVES: Crohn's disease (CD) patients frequently develop complications that require surgery for management. The high prevalence of malnutrition in CD patients presents a challenge because poor preoperative nutritional status has been shown to increase postoperative complications. In this study, we assessed whether preoperative enteral nutrition (EN) or total parenteral nutrition (TPN) decreases postoperative complications in CD patients. MATERIALS AND METHODS: A three-point systematic and comprehensive literature search was carried out on multiple databases followed by a meta-analysis with results presented as odds ratio (OR) using two models, the Mantel-Haenszel model and the DerSimonian and Laird model. The I measure of inconsistency was utilized to assess heterogeneity. If statistically significant heterogeneity was identified, the results underwent a separate sensitivity analysis. RESULTS: Five studies met inclusion criteria totaling 1111 CD patients. The rate of postoperative complications in the group receiving preoperative nutrition (EN or TPN) support was 20.0% compared with 61.3% in the group who had standard care without nutrition support [OR=0.26, 95% confidence interval (CI): 0.07-0.99, P&lt;0.001]. Postoperative complications occurred in 15.0% of patients in the group who received preoperative TPN compared with 24.4% in the group who did not (OR=0.65, 95% CI: 0.23-1.88, P=0.43). Postoperative complications occurred in 21.9% in the group who received preoperative EN compared with 73.2% in the group that did not received preoperative EN (OR=0.09, 95% CI: 0.06-0.13, P&lt;0.001). CONCLUSION: Preoperative nutrition supplementation reduces postoperative complications in CD patients. In particular, EN in CD patients before undergoing surgery is superior to standard of care without nutrition support with a number needed to treat of 2. There is a trend toward TPN being superior to standard of care without nutrition support, but this trend did not reach statistical significance. Further studies are necessary to evaluate specific components in EN or TPN that may be most beneficial for CD patients requiring surgical intervention.","author":[{"dropping-particle":"","family":"Brennan","given":"Gregory T","non-dropping-particle":"","parse-names":false,"suffix":""},{"dropping-particle":"","family":"Ha","given":"Iris","non-dropping-particle":"","parse-names":false,"suffix":""},{"dropping-particle":"","family":"Hogan","given":"Christopher","non-dropping-particle":"","parse-names":false,"suffix":""},{"dropping-particle":"","family":"Nguyen","given":"Emily","non-dropping-particle":"","parse-names":false,"suffix":""},{"dropping-particle":"","family":"Jamal","given":"M M","non-dropping-particle":"","parse-names":false,"suffix":""},{"dropping-particle":"","family":"Bechtold","given":"Matthew L","non-dropping-particle":"","parse-names":false,"suffix":""},{"dropping-particle":"","family":"Nguyen","given":"Douglas L","non-dropping-particle":"","parse-names":false,"suffix":""}],"container-title":"European journal of gastroenterology &amp; hepatology","id":"ITEM-3","issue":"9","issued":{"date-parts":[["2018","9"]]},"language":"eng","page":"997-1002","publisher-place":"England","title":"Does preoperative enteral or parenteral nutrition reduce postoperative complications in Crohn's disease patients: a meta-analysis.","type":"article-journal","volume":"30"},"uris":["http://www.mendeley.com/documents/?uuid=653f10b8-b778-4043-98a4-e7daed4e04d3"]},{"id":"ITEM-4","itemData":{"DOI":"https://dx.doi.org/10.3748/wjg.v22.i3.1045","ISSN":"2219-2840","abstract":"Inflammatory bowel diseases (IBD), including ulcerative colitis and Crohn's disease are chronic, life-long, and relapsing diseases of the gastrointestinal tract. Currently, there are no complete cure possibilities, but combined pharmacological and nutritional therapy may induce remission of the disease. Malnutrition and specific nutritional deficiencies are frequent among IBD patients, so the majority of them need nutritional treatment, which not only improves the state of nutrition of the patients but has strong anti-inflammatory activity as well. Moreover, some nutrients, from early stages of life are suspected as triggering factors in the etiopathogenesis of IBD. Both parenteral and enteral nutrition is used in IBD therapy, but their practical utility in different populations and in different countries is not clearly established, and there are sometimes conflicting theories concerning the role of nutrition in IBD. This review presents the actual data from research studies on the influence of nutrition on the etiopathogenesis of IBD and the latest findings regarding its mechanisms of action. The use of both parenteral and enteral nutrition as therapeutic methods in induction and maintenance therapy in IBD treatment is also extensively discussed. Comparison of the latest research data, scientific theories concerning the role of nutrition in IBD, and different opinions about them are also presented and discussed. Additionally, some potential future perspectives for nutritional therapy are highlighted.","author":[{"dropping-particle":"","family":"Wedrychowicz","given":"Andrzej","non-dropping-particle":"","parse-names":false,"suffix":""},{"dropping-particle":"","family":"Zajac","given":"Andrzej","non-dropping-particle":"","parse-names":false,"suffix":""},{"dropping-particle":"","family":"Tomasik","given":"Przemyslaw","non-dropping-particle":"","parse-names":false,"suffix":""}],"container-title":"World journal of gastroenterology","id":"ITEM-4","issue":"3","issued":{"date-parts":[["2016"]]},"page":"1045-1066","publisher-place":"United States","title":"Advances in nutritional therapy in inflammatory bowel diseases: Review.","type":"article-journal","volume":"22"},"uris":["http://www.mendeley.com/documents/?uuid=7b93f38d-ee8b-425c-8fe5-5926744ecfcc"]}],"mendeley":{"formattedCitation":"&lt;sup&gt;[14–17]&lt;/sup&gt;","plainTextFormattedCitation":"[14–17]","previouslyFormattedCitation":"&lt;sup&gt;[14–17]&lt;/sup&gt;"},"properties":{"noteIndex":0},"schema":"https://github.com/citation-style-language/schema/raw/master/csl-citation.json"}</w:instrText>
      </w:r>
      <w:r w:rsidR="000D44FE"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[14</w:t>
      </w:r>
      <w:r w:rsidR="004414D1" w:rsidRPr="00D07897">
        <w:rPr>
          <w:rFonts w:ascii="Book Antiqua" w:hAnsi="Book Antiqua" w:cs="Arial"/>
          <w:noProof/>
          <w:color w:val="000000" w:themeColor="text1"/>
          <w:vertAlign w:val="superscript"/>
        </w:rPr>
        <w:t>-</w:t>
      </w:r>
      <w:r w:rsidR="00596584" w:rsidRPr="00D07897">
        <w:rPr>
          <w:rFonts w:ascii="Book Antiqua" w:hAnsi="Book Antiqua" w:cs="Arial"/>
          <w:noProof/>
          <w:color w:val="000000" w:themeColor="text1"/>
          <w:vertAlign w:val="superscript"/>
        </w:rPr>
        <w:t>17]</w:t>
      </w:r>
      <w:r w:rsidR="000D44FE" w:rsidRPr="00D07897">
        <w:rPr>
          <w:rFonts w:ascii="Book Antiqua" w:hAnsi="Book Antiqua" w:cs="Arial"/>
          <w:color w:val="000000" w:themeColor="text1"/>
        </w:rPr>
        <w:fldChar w:fldCharType="end"/>
      </w:r>
      <w:r w:rsidR="000D44FE" w:rsidRPr="00D07897">
        <w:rPr>
          <w:rFonts w:ascii="Book Antiqua" w:hAnsi="Book Antiqua" w:cs="Arial"/>
          <w:color w:val="000000" w:themeColor="text1"/>
        </w:rPr>
        <w:t xml:space="preserve">. </w:t>
      </w:r>
      <w:r w:rsidR="003C4ECF" w:rsidRPr="00D07897">
        <w:rPr>
          <w:rFonts w:ascii="Book Antiqua" w:hAnsi="Book Antiqua" w:cs="Arial"/>
          <w:color w:val="000000" w:themeColor="text1"/>
        </w:rPr>
        <w:t xml:space="preserve">Recent data from Zhang </w:t>
      </w:r>
      <w:r w:rsidR="003C4ECF" w:rsidRPr="00D07897">
        <w:rPr>
          <w:rFonts w:ascii="Book Antiqua" w:hAnsi="Book Antiqua" w:cs="Arial"/>
          <w:i/>
          <w:iCs/>
          <w:color w:val="000000" w:themeColor="text1"/>
        </w:rPr>
        <w:t>et al</w:t>
      </w:r>
      <w:r w:rsidR="004414D1" w:rsidRPr="00D07897">
        <w:rPr>
          <w:rFonts w:ascii="Book Antiqua" w:hAnsi="Book Antiqua" w:cs="Arial"/>
          <w:color w:val="000000" w:themeColor="text1"/>
        </w:rPr>
        <w:fldChar w:fldCharType="begin" w:fldLock="1"/>
      </w:r>
      <w:r w:rsidR="004414D1" w:rsidRPr="00D07897">
        <w:rPr>
          <w:rFonts w:ascii="Book Antiqua" w:hAnsi="Book Antiqua" w:cs="Arial"/>
          <w:color w:val="000000" w:themeColor="text1"/>
        </w:rPr>
        <w:instrText>ADDIN CSL_CITATION {"citationItems":[{"id":"ITEM-1","itemData":{"DOI":"10.1177/0148607115612054","ISSN":"1941-2444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nutrition","id":"ITEM-1","issue":"4","issued":{"date-parts":[["2017","5"]]},"language":"eng","page":"592-600","publisher-place":"United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mendeley":{"formattedCitation":"&lt;sup&gt;[10]&lt;/sup&gt;","plainTextFormattedCitation":"[10]","previouslyFormattedCitation":"&lt;sup&gt;[10]&lt;/sup&gt;"},"properties":{"noteIndex":0},"schema":"https://github.com/citation-style-language/schema/raw/master/csl-citation.json"}</w:instrText>
      </w:r>
      <w:r w:rsidR="004414D1" w:rsidRPr="00D07897">
        <w:rPr>
          <w:rFonts w:ascii="Book Antiqua" w:hAnsi="Book Antiqua" w:cs="Arial"/>
          <w:color w:val="000000" w:themeColor="text1"/>
        </w:rPr>
        <w:fldChar w:fldCharType="separate"/>
      </w:r>
      <w:r w:rsidR="004414D1" w:rsidRPr="00D07897">
        <w:rPr>
          <w:rFonts w:ascii="Book Antiqua" w:hAnsi="Book Antiqua" w:cs="Arial"/>
          <w:noProof/>
          <w:color w:val="000000" w:themeColor="text1"/>
          <w:vertAlign w:val="superscript"/>
        </w:rPr>
        <w:t>[10]</w:t>
      </w:r>
      <w:r w:rsidR="004414D1" w:rsidRPr="00D07897">
        <w:rPr>
          <w:rFonts w:ascii="Book Antiqua" w:hAnsi="Book Antiqua" w:cs="Arial"/>
          <w:color w:val="000000" w:themeColor="text1"/>
        </w:rPr>
        <w:fldChar w:fldCharType="end"/>
      </w:r>
      <w:r w:rsidR="003C4ECF" w:rsidRPr="00D07897">
        <w:rPr>
          <w:rFonts w:ascii="Book Antiqua" w:hAnsi="Book Antiqua" w:cs="Arial"/>
          <w:color w:val="000000" w:themeColor="text1"/>
        </w:rPr>
        <w:t xml:space="preserve"> showed fewer major complications in patients who received peri-operative enteral nutrition than those who did not (6.5% </w:t>
      </w:r>
      <w:r w:rsidR="003C4ECF" w:rsidRPr="00D07897">
        <w:rPr>
          <w:rFonts w:ascii="Book Antiqua" w:hAnsi="Book Antiqua" w:cs="Arial"/>
          <w:i/>
          <w:iCs/>
          <w:color w:val="000000" w:themeColor="text1"/>
        </w:rPr>
        <w:t>vs</w:t>
      </w:r>
      <w:r w:rsidR="003C4ECF" w:rsidRPr="00D07897">
        <w:rPr>
          <w:rFonts w:ascii="Book Antiqua" w:hAnsi="Book Antiqua" w:cs="Arial"/>
          <w:color w:val="000000" w:themeColor="text1"/>
        </w:rPr>
        <w:t xml:space="preserve"> 29%, </w:t>
      </w:r>
      <w:r w:rsidR="004414D1" w:rsidRPr="00D07897">
        <w:rPr>
          <w:rFonts w:ascii="Book Antiqua" w:hAnsi="Book Antiqua" w:cs="Arial"/>
          <w:i/>
          <w:iCs/>
          <w:color w:val="000000" w:themeColor="text1"/>
        </w:rPr>
        <w:t>P</w:t>
      </w:r>
      <w:r w:rsidR="004414D1" w:rsidRPr="00D07897">
        <w:rPr>
          <w:rFonts w:ascii="Book Antiqua" w:hAnsi="Book Antiqua" w:cs="Arial"/>
          <w:color w:val="000000" w:themeColor="text1"/>
        </w:rPr>
        <w:t xml:space="preserve"> </w:t>
      </w:r>
      <w:r w:rsidR="003C4ECF" w:rsidRPr="00D07897">
        <w:rPr>
          <w:rFonts w:ascii="Book Antiqua" w:hAnsi="Book Antiqua" w:cs="Arial"/>
          <w:color w:val="000000" w:themeColor="text1"/>
        </w:rPr>
        <w:t>=</w:t>
      </w:r>
      <w:r w:rsidR="004414D1" w:rsidRPr="00D07897">
        <w:rPr>
          <w:rFonts w:ascii="Book Antiqua" w:hAnsi="Book Antiqua" w:cs="Arial"/>
          <w:color w:val="000000" w:themeColor="text1"/>
        </w:rPr>
        <w:t xml:space="preserve"> </w:t>
      </w:r>
      <w:r w:rsidR="003C4ECF" w:rsidRPr="00D07897">
        <w:rPr>
          <w:rFonts w:ascii="Book Antiqua" w:hAnsi="Book Antiqua" w:cs="Arial"/>
          <w:color w:val="000000" w:themeColor="text1"/>
        </w:rPr>
        <w:t>0.045).</w:t>
      </w:r>
      <w:r w:rsidR="007A43BB" w:rsidRPr="00D07897">
        <w:rPr>
          <w:rFonts w:ascii="Book Antiqua" w:hAnsi="Book Antiqua" w:cs="Arial"/>
          <w:color w:val="000000" w:themeColor="text1"/>
        </w:rPr>
        <w:t xml:space="preserve"> In line with these findings, ESPEN recommends implementing nutrition support therapy in malnourished peri-operative patients with IBD</w:t>
      </w:r>
      <w:r w:rsidR="007A43BB"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{"citationItems":[{"id":"ITEM-1","itemData":{"DOI":"10.1016/j.clnu.2016.12.027","ISSN":"1532-1983 (Electronic)","PMID":"28131521","abstract":"INTRODUCTION: The ESPEN guideline presents a multidisciplinary focus on clinical  nutrition in inflammatory bowel disease (IBD). METHODOLOGY: The guideline is based on extensive systematic review of the literature, but relies on expert opinion when objective data were lacking or inconclusive. The conclusions and 64 recommendations have been subject to full peer review and a Delphi process in which uniformly positive responses (agree or strongly agree) were required. RESULTS: IBD is increasingly common and potential dietary factors in its aetiology are briefly reviewed. Malnutrition is highly prevalent in IBD - especially in Crohn's disease. Increased energy and protein requirements are observed in some patients. The management of malnutrition in IBD is considered within the general context of support for malnourished patients. Treatment of iron deficiency (parenterally if necessary) is strongly recommended. Routine provision of a special diet in IBD is not however supported. Parenteral nutrition is indicated only when enteral nutrition has failed or is impossible. The recommended perioperative management of patients with IBD undergoing surgery accords with general ESPEN guidance for patients having abdominal surgery. Probiotics may be helpful in UC but not Crohn's disease. Primary therapy using nutrition to treat IBD is not supported in ulcerative colitis, but is moderately well supported in Crohn's disease, especially in children where the adverse consequences of steroid therapy are proportionally greater. However, exclusion diets are generally not recommended and there is little evidence to support any particular formula feed when nutritional regimens are constructed. CONCLUSIONS: Available objective data to guide nutritional support and primary nutritional therapy in IBD are presented as 64 recommendations, of which 9 are very strong recommendations (grade A), 22 are strong recommendations (grade B) and 12 are based only on sparse evidence (grade 0); 21 recommendations are good practice points (GPP).","author":[{"dropping-particle":"","family":"Forbes","given":"Alastair","non-dropping-particle":"","parse-names":false,"suffix":""},{"dropping-particle":"","family":"Escher","given":"Johanna","non-dropping-particle":"","parse-names":false,"suffix":""},{"dropping-particle":"","family":"Hebuterne","given":"Xavier","non-dropping-particle":"","parse-names":false,"suffix":""},{"dropping-particle":"","family":"Klek","given":"Stanislaw","non-dropping-particle":"","parse-names":false,"suffix":""},{"dropping-particle":"","family":"Krznaric","given":"Zeljko","non-dropping-particle":"","parse-names":false,"suffix":""},{"dropping-particle":"","family":"Schneider","given":"Stephane","non-dropping-particle":"","parse-names":false,"suffix":""},{"dropping-particle":"","family":"Shamir","given":"Raanan","non-dropping-particle":"","parse-names":false,"suffix":""},{"dropping-particle":"","family":"Stardelova","given":"Kalina","non-dropping-particle":"","parse-names":false,"suffix":""},{"dropping-particle":"","family":"Wierdsma","given":"Nicolette","non-dropping-particle":"","parse-names":false,"suffix":""},{"dropping-particle":"","family":"Wiskin","given":"Anthony E","non-dropping-particle":"","parse-names":false,"suffix":""},{"dropping-particle":"","family":"Bischoff","given":"Stephan C","non-dropping-particle":"","parse-names":false,"suffix":""}],"container-title":"Clinical nutrition (Edinburgh, Scotland)","id":"ITEM-1","issue":"2","issued":{"date-parts":[["2017","4"]]},"language":"eng","page":"321-347","publisher-place":"England","title":"ESPEN guideline: Clinical nutrition in inflammatory bowel disease.","type":"article-journal","volume":"36"},"uris":["http://www.mendeley.com/documents/?uuid=bc36907a-6792-45b8-a207-4fff9f66eef3"]}],"mendeley":{"formattedCitation":"&lt;sup&gt;[18]&lt;/sup&gt;","plainTextFormattedCitation":"[18]","previouslyFormattedCitation":"&lt;sup&gt;[18]&lt;/sup&gt;"},"properties":{"noteIndex":0},"schema":"https://github.com/citation-style-language/schema/raw/master/csl-citation.json"}</w:instrText>
      </w:r>
      <w:r w:rsidR="007A43BB"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[18]</w:t>
      </w:r>
      <w:r w:rsidR="007A43BB" w:rsidRPr="00D07897">
        <w:rPr>
          <w:rFonts w:ascii="Book Antiqua" w:hAnsi="Book Antiqua" w:cs="Arial"/>
          <w:color w:val="000000" w:themeColor="text1"/>
        </w:rPr>
        <w:fldChar w:fldCharType="end"/>
      </w:r>
      <w:r w:rsidR="007A43BB" w:rsidRPr="00D07897">
        <w:rPr>
          <w:rFonts w:ascii="Book Antiqua" w:hAnsi="Book Antiqua" w:cs="Arial"/>
          <w:color w:val="000000" w:themeColor="text1"/>
        </w:rPr>
        <w:t xml:space="preserve">. </w:t>
      </w:r>
    </w:p>
    <w:p w14:paraId="208B2CC6" w14:textId="1B3FC575" w:rsidR="00CC3AA1" w:rsidRPr="00D07897" w:rsidRDefault="0052323B" w:rsidP="004414D1">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t xml:space="preserve">Nutritional risk screening </w:t>
      </w:r>
      <w:r w:rsidR="00910C20" w:rsidRPr="00D07897">
        <w:rPr>
          <w:rFonts w:ascii="Book Antiqua" w:hAnsi="Book Antiqua" w:cs="Arial"/>
          <w:color w:val="000000" w:themeColor="text1"/>
        </w:rPr>
        <w:t xml:space="preserve">(NRS) </w:t>
      </w:r>
      <w:r w:rsidRPr="00D07897">
        <w:rPr>
          <w:rFonts w:ascii="Book Antiqua" w:hAnsi="Book Antiqua" w:cs="Arial"/>
          <w:color w:val="000000" w:themeColor="text1"/>
        </w:rPr>
        <w:t>is a process to predict those at risk of malnutrition so that they can be referred to a registered dietitian</w:t>
      </w:r>
      <w:r w:rsidR="00580590" w:rsidRPr="00D07897">
        <w:rPr>
          <w:rFonts w:ascii="Book Antiqua" w:hAnsi="Book Antiqua" w:cs="Arial"/>
          <w:color w:val="000000" w:themeColor="text1"/>
        </w:rPr>
        <w:t xml:space="preserve"> (RD)</w:t>
      </w:r>
      <w:r w:rsidRPr="00D07897">
        <w:rPr>
          <w:rFonts w:ascii="Book Antiqua" w:hAnsi="Book Antiqua" w:cs="Arial"/>
          <w:color w:val="000000" w:themeColor="text1"/>
        </w:rPr>
        <w:t xml:space="preserve"> for detailed nutritional assessment and intervention. </w:t>
      </w:r>
      <w:r w:rsidR="004414D1" w:rsidRPr="00D07897">
        <w:rPr>
          <w:rFonts w:ascii="Book Antiqua" w:hAnsi="Book Antiqua" w:cs="Arial"/>
          <w:color w:val="000000" w:themeColor="text1"/>
        </w:rPr>
        <w:t>Nutrition screening tools (</w:t>
      </w:r>
      <w:r w:rsidRPr="00D07897">
        <w:rPr>
          <w:rFonts w:ascii="Book Antiqua" w:hAnsi="Book Antiqua" w:cs="Arial"/>
          <w:color w:val="000000" w:themeColor="text1"/>
        </w:rPr>
        <w:t>NSTs</w:t>
      </w:r>
      <w:r w:rsidR="004414D1" w:rsidRPr="00D07897">
        <w:rPr>
          <w:rFonts w:ascii="Book Antiqua" w:hAnsi="Book Antiqua" w:cs="Arial"/>
          <w:color w:val="000000" w:themeColor="text1"/>
        </w:rPr>
        <w:t>)</w:t>
      </w:r>
      <w:r w:rsidRPr="00D07897">
        <w:rPr>
          <w:rFonts w:ascii="Book Antiqua" w:hAnsi="Book Antiqua" w:cs="Arial"/>
          <w:color w:val="000000" w:themeColor="text1"/>
        </w:rPr>
        <w:t xml:space="preserve"> </w:t>
      </w:r>
      <w:r w:rsidR="00374D4C" w:rsidRPr="00D07897">
        <w:rPr>
          <w:rFonts w:ascii="Book Antiqua" w:hAnsi="Book Antiqua" w:cs="Arial"/>
          <w:color w:val="000000" w:themeColor="text1"/>
        </w:rPr>
        <w:t>(</w:t>
      </w:r>
      <w:r w:rsidR="00374D4C" w:rsidRPr="00D07897">
        <w:rPr>
          <w:rFonts w:ascii="Book Antiqua" w:hAnsi="Book Antiqua" w:cs="Arial"/>
          <w:i/>
          <w:iCs/>
          <w:color w:val="000000" w:themeColor="text1"/>
        </w:rPr>
        <w:t>i.e</w:t>
      </w:r>
      <w:r w:rsidR="00374D4C" w:rsidRPr="00D07897">
        <w:rPr>
          <w:rFonts w:ascii="Book Antiqua" w:hAnsi="Book Antiqua" w:cs="Arial"/>
          <w:color w:val="000000" w:themeColor="text1"/>
        </w:rPr>
        <w:t>.</w:t>
      </w:r>
      <w:r w:rsidR="00261ED2" w:rsidRPr="00D07897">
        <w:rPr>
          <w:rFonts w:ascii="Book Antiqua" w:hAnsi="Book Antiqua" w:cs="Arial"/>
          <w:color w:val="000000" w:themeColor="text1"/>
        </w:rPr>
        <w:t>,</w:t>
      </w:r>
      <w:r w:rsidR="00374D4C" w:rsidRPr="00D07897">
        <w:rPr>
          <w:rFonts w:ascii="Book Antiqua" w:hAnsi="Book Antiqua" w:cs="Arial"/>
          <w:color w:val="000000" w:themeColor="text1"/>
        </w:rPr>
        <w:t xml:space="preserve"> the malnutrition universal screening tool, MUST) </w:t>
      </w:r>
      <w:r w:rsidRPr="00D07897">
        <w:rPr>
          <w:rFonts w:ascii="Book Antiqua" w:hAnsi="Book Antiqua" w:cs="Arial"/>
          <w:color w:val="000000" w:themeColor="text1"/>
        </w:rPr>
        <w:t>are rapid evaluations that can be completed by any member of the medical team whereas</w:t>
      </w:r>
      <w:r w:rsidR="00374D4C" w:rsidRPr="00D07897">
        <w:rPr>
          <w:rFonts w:ascii="Book Antiqua" w:hAnsi="Book Antiqua" w:cs="Arial"/>
          <w:color w:val="000000" w:themeColor="text1"/>
        </w:rPr>
        <w:t xml:space="preserve"> </w:t>
      </w:r>
      <w:r w:rsidR="004414D1" w:rsidRPr="00D07897">
        <w:rPr>
          <w:rFonts w:ascii="Book Antiqua" w:hAnsi="Book Antiqua" w:cs="Arial"/>
          <w:color w:val="000000" w:themeColor="text1"/>
        </w:rPr>
        <w:t>nutrition assessment tools (</w:t>
      </w:r>
      <w:r w:rsidRPr="00D07897">
        <w:rPr>
          <w:rFonts w:ascii="Book Antiqua" w:hAnsi="Book Antiqua" w:cs="Arial"/>
          <w:color w:val="000000" w:themeColor="text1"/>
        </w:rPr>
        <w:t>NATs</w:t>
      </w:r>
      <w:r w:rsidR="004414D1" w:rsidRPr="00D07897">
        <w:rPr>
          <w:rFonts w:ascii="Book Antiqua" w:hAnsi="Book Antiqua" w:cs="Arial"/>
          <w:color w:val="000000" w:themeColor="text1"/>
        </w:rPr>
        <w:t>)</w:t>
      </w:r>
      <w:r w:rsidRPr="00D07897">
        <w:rPr>
          <w:rFonts w:ascii="Book Antiqua" w:hAnsi="Book Antiqua" w:cs="Arial"/>
          <w:color w:val="000000" w:themeColor="text1"/>
        </w:rPr>
        <w:t xml:space="preserve"> </w:t>
      </w:r>
      <w:r w:rsidR="00374D4C" w:rsidRPr="00D07897">
        <w:rPr>
          <w:rFonts w:ascii="Book Antiqua" w:hAnsi="Book Antiqua" w:cs="Arial"/>
          <w:color w:val="000000" w:themeColor="text1"/>
        </w:rPr>
        <w:t>(</w:t>
      </w:r>
      <w:r w:rsidR="00374D4C" w:rsidRPr="00D07897">
        <w:rPr>
          <w:rFonts w:ascii="Book Antiqua" w:hAnsi="Book Antiqua" w:cs="Arial"/>
          <w:i/>
          <w:iCs/>
          <w:color w:val="000000" w:themeColor="text1"/>
        </w:rPr>
        <w:t>i.e</w:t>
      </w:r>
      <w:r w:rsidR="00374D4C" w:rsidRPr="00D07897">
        <w:rPr>
          <w:rFonts w:ascii="Book Antiqua" w:hAnsi="Book Antiqua" w:cs="Arial"/>
          <w:color w:val="000000" w:themeColor="text1"/>
        </w:rPr>
        <w:t>.</w:t>
      </w:r>
      <w:r w:rsidR="00261ED2" w:rsidRPr="00D07897">
        <w:rPr>
          <w:rFonts w:ascii="Book Antiqua" w:hAnsi="Book Antiqua" w:cs="Arial"/>
          <w:color w:val="000000" w:themeColor="text1"/>
        </w:rPr>
        <w:t>,</w:t>
      </w:r>
      <w:r w:rsidR="00374D4C" w:rsidRPr="00D07897">
        <w:rPr>
          <w:rFonts w:ascii="Book Antiqua" w:hAnsi="Book Antiqua" w:cs="Arial"/>
          <w:color w:val="000000" w:themeColor="text1"/>
        </w:rPr>
        <w:t xml:space="preserve"> the subjective global assessment, SGA) </w:t>
      </w:r>
      <w:r w:rsidRPr="00D07897">
        <w:rPr>
          <w:rFonts w:ascii="Book Antiqua" w:hAnsi="Book Antiqua" w:cs="Arial"/>
          <w:color w:val="000000" w:themeColor="text1"/>
        </w:rPr>
        <w:t xml:space="preserve">are usually more </w:t>
      </w:r>
      <w:r w:rsidR="003F58F1" w:rsidRPr="00D07897">
        <w:rPr>
          <w:rFonts w:ascii="Book Antiqua" w:hAnsi="Book Antiqua" w:cs="Arial"/>
          <w:color w:val="000000" w:themeColor="text1"/>
        </w:rPr>
        <w:t>detailed</w:t>
      </w:r>
      <w:r w:rsidRPr="00D07897">
        <w:rPr>
          <w:rFonts w:ascii="Book Antiqua" w:hAnsi="Book Antiqua" w:cs="Arial"/>
          <w:color w:val="000000" w:themeColor="text1"/>
        </w:rPr>
        <w:t xml:space="preserve"> and require greater specialized resources</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{"citationItems":[{"id":"ITEM-1","itemData":{"DOI":"10.1016/j.jand.2012.03.012","ISSN":"2212-2672 (Print)","PMID":"22709779","abstract":"The Academy of Nutrition and Dietetics (Academy) and the American Society for Parenteral and Enteral Nutrition (A.S.P.E.N.) recommend that a standardized set of diagnostic characteristics be used to identify and document adult malnutrition in routine clinical practice. An etiologically based diagnostic nomenclature that incorporates a current understanding of the role of the inflammatory response on malnutrition's incidence, progression, and resolution is proposed. Universal use of a single set of diagnostic characteristics will facilitate malnutrition's recognition, contribute to more valid estimates of its prevalence and incidence, guide interventions, and influence expected outcomes. This standardized approach will also help to more accurately predict the human and financial burdens and costs associated with malnutrition's prevention and treatment, and further ensure the provision of high quality, cost effective nutritional care.","author":[{"dropping-particle":"V","family":"White","given":"Jane","non-dropping-particle":"","parse-names":false,"suffix":""},{"dropping-particle":"","family":"Guenter","given":"Peggi","non-dropping-particle":"","parse-names":false,"suffix":""},{"dropping-particle":"","family":"Jensen","given":"Gordon","non-dropping-particle":"","parse-names":false,"suffix":""},{"dropping-particle":"","family":"Malone","given":"Ainsley","non-dropping-particle":"","parse-names":false,"suffix":""},{"dropping-particle":"","family":"Schofield","given":"Marsha","non-dropping-particle":"","parse-names":false,"suffix":""}],"container-title":"Journal of the Academy of Nutrition and Dietetics","id":"ITEM-1","issue":"5","issued":{"date-parts":[["2012","5"]]},"language":"eng","page":"730-738","publisher-place":"United States","title":"Consensus statement of the Academy of Nutrition and Dietetics/American Society for Parenteral and Enteral Nutrition: characteristics recommended for the identification and documentation of adult malnutrition (undernutrition).","type":"article-journal","volume":"112"},"uris":["http://www.mendeley.com/documents/?uuid=2f0744e2-a0f6-4150-96d3-90bf8e483292"]}],"mendeley":{"formattedCitation":"&lt;sup&gt;[5]&lt;/sup&gt;","plainTextFormattedCitation":"[5]","previouslyFormattedCitation":"&lt;sup&gt;[5]&lt;/sup&gt;"},"properties":{"noteIndex":0},"schema":"https://github.com/citation-style-language/schema/raw/master/csl-citation.json"}</w:instrText>
      </w:r>
      <w:r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[5]</w:t>
      </w:r>
      <w:r w:rsidRPr="00D07897">
        <w:rPr>
          <w:rFonts w:ascii="Book Antiqua" w:hAnsi="Book Antiqua" w:cs="Arial"/>
          <w:color w:val="000000" w:themeColor="text1"/>
        </w:rPr>
        <w:fldChar w:fldCharType="end"/>
      </w:r>
      <w:r w:rsidR="00E87AEA" w:rsidRPr="00D07897">
        <w:rPr>
          <w:rFonts w:ascii="Book Antiqua" w:hAnsi="Book Antiqua" w:cs="Arial"/>
          <w:color w:val="000000" w:themeColor="text1"/>
        </w:rPr>
        <w:t xml:space="preserve">. </w:t>
      </w:r>
      <w:r w:rsidR="00374D4C" w:rsidRPr="00D07897">
        <w:rPr>
          <w:rFonts w:ascii="Book Antiqua" w:hAnsi="Book Antiqua" w:cs="Arial"/>
          <w:color w:val="000000" w:themeColor="text1"/>
        </w:rPr>
        <w:t>As</w:t>
      </w:r>
      <w:r w:rsidR="00C52422" w:rsidRPr="00D07897">
        <w:rPr>
          <w:rFonts w:ascii="Book Antiqua" w:hAnsi="Book Antiqua" w:cs="Arial"/>
          <w:color w:val="000000" w:themeColor="text1"/>
        </w:rPr>
        <w:t xml:space="preserve"> recent studies have demonstrated </w:t>
      </w:r>
      <w:r w:rsidR="004E2E67" w:rsidRPr="00D07897">
        <w:rPr>
          <w:rFonts w:ascii="Book Antiqua" w:hAnsi="Book Antiqua" w:cs="Arial"/>
          <w:color w:val="000000" w:themeColor="text1"/>
        </w:rPr>
        <w:t xml:space="preserve">a </w:t>
      </w:r>
      <w:r w:rsidR="00C52422" w:rsidRPr="00D07897">
        <w:rPr>
          <w:rFonts w:ascii="Book Antiqua" w:hAnsi="Book Antiqua" w:cs="Arial"/>
          <w:color w:val="000000" w:themeColor="text1"/>
        </w:rPr>
        <w:t>close relationship between malnutrition and sarcopenia, many expert groups now incorporat</w:t>
      </w:r>
      <w:r w:rsidR="00261ED2" w:rsidRPr="00D07897">
        <w:rPr>
          <w:rFonts w:ascii="Book Antiqua" w:hAnsi="Book Antiqua" w:cs="Arial"/>
          <w:color w:val="000000" w:themeColor="text1"/>
        </w:rPr>
        <w:t>e</w:t>
      </w:r>
      <w:r w:rsidR="00C52422" w:rsidRPr="00D07897">
        <w:rPr>
          <w:rFonts w:ascii="Book Antiqua" w:hAnsi="Book Antiqua" w:cs="Arial"/>
          <w:color w:val="000000" w:themeColor="text1"/>
        </w:rPr>
        <w:t xml:space="preserve"> measures of lean muscle mass within the </w:t>
      </w:r>
      <w:r w:rsidR="00C52422" w:rsidRPr="00D07897">
        <w:rPr>
          <w:rFonts w:ascii="Book Antiqua" w:hAnsi="Book Antiqua" w:cs="Arial"/>
          <w:color w:val="000000" w:themeColor="text1"/>
        </w:rPr>
        <w:lastRenderedPageBreak/>
        <w:t>definition of malnutrition</w:t>
      </w:r>
      <w:r w:rsidR="00C52422"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{"citationItems":[{"id":"ITEM-1","itemData":{"DOI":"10.1016/j.clnu.2018.11.021","ISSN":"1532-1983 (Electronic)","PMID":"30553578","abstract":"Recent definitions of malnutrition include low muscle mass within its diagnostic  criteria. In fact, malnutrition is one of the main risk factors of skeletal muscle loss contributing to the onset of sarcopenia. However, differences in the screening and diagnosis of skeletal muscle loss, especially as a result of malnutrition in clinical and community settings, still occur mainly as techniques and thresholds used vary in clinical practice. The objectives of this position paper are firstly to emphasize the link between skeletal muscle loss and malnutrition-related conditions and secondly to raise awareness for the timely identification of loss of skeletal muscle mass and function in high risk populations. Thirdly to recognize the need to implement appropriate nutritional strategies for prevention and treatment of skeletal muscle loss and malnutrition across the healthcare continuum. Malnutrition needs to be addressed clinically as a muscle-related disorder and clinicians should integrate nutritional assessment with muscle mass measurements for optimal evaluation of these two interrelated entities to tailor interventions appropriately. The design of monitoring/evaluation and discharge plans need to include multimodal interventions with nutrition and physical exercise that are key to preserve patient's muscle mass and function in clinical and community settings.","author":[{"dropping-particle":"","family":"Landi","given":"F","non-dropping-particle":"","parse-names":false,"suffix":""},{"dropping-particle":"","family":"Camprubi-Robles","given":"M","non-dropping-particle":"","parse-names":false,"suffix":""},{"dropping-particle":"","family":"Bear","given":"D E","non-dropping-particle":"","parse-names":false,"suffix":""},{"dropping-particle":"","family":"Cederholm","given":"T","non-dropping-particle":"","parse-names":false,"suffix":""},{"dropping-particle":"","family":"Malafarina","given":"V","non-dropping-particle":"","parse-names":false,"suffix":""},{"dropping-particle":"","family":"Welch","given":"A A","non-dropping-particle":"","parse-names":false,"suffix":""},{"dropping-particle":"","family":"Cruz-Jentoft","given":"A J","non-dropping-particle":"","parse-names":false,"suffix":""}],"container-title":"Clinical nutrition (Edinburgh, Scotland)","id":"ITEM-1","issued":{"date-parts":[["2018","11"]]},"language":"eng","publisher-place":"England","title":"Muscle loss: The new malnutrition challenge in clinical practice.","type":"article-journal"},"uris":["http://www.mendeley.com/documents/?uuid=d6278a41-d383-4b45-a001-60526502a74b"]},{"id":"ITEM-2","itemData":{"DOI":"10.1155/2012/651570","ISSN":"2090-2212 (Electronic)","PMID":"23024863","abstract":"Malnutrition is common across varying patient populations, particularly older adults, and sarcopenia prevalence increases with advancing age. Both malnutrition and sarcopenia are associated with substantial adverse outcomes affecting both the patient and the healthcare system, including increased morbidity, mortality, rehospitalization rates, and healthcare costs. Healthcare practitioners may assess patients for either malnutrition or sarcopenia; however, many patients clinically present with both conditions, resulting in the syndrome, Malnutrition-Sarcopenia Syndrome, which is the clinical presentation of both malnutrition and accelerated age-associated loss of lean body mass, strength, and/or functionality. Clinicians are urged to screen, assess, and treat these conditions currently so as to adequately address the full spectrum of patients' nutritional issues. By examining aspects of both conditions, clinicians can more fully assess their patients' clinical and nutritional status and can tailor targeted therapies to meet their needs and improve outcomes. This proposed syndrome embodies the inherent association of malnutrition and sarcopenia, highlighting their combined impact on clinical outcomes. The objective of this review paper is to characterize Malnutrition-Sarcopenia Syndrome to advance clinical practice, by providing clinicians with the necessary background information to integrate nutritional assessment along with loss of muscle mass and functionality in their everyday clinical practice.","author":[{"dropping-particle":"","family":"Vandewoude","given":"Maurits F J","non-dropping-particle":"","parse-names":false,"suffix":""},{"dropping-particle":"","family":"Alish","given":"Carolyn J","non-dropping-particle":"","parse-names":false,"suffix":""},{"dropping-particle":"","family":"Sauer","given":"Abby C","non-dropping-particle":"","parse-names":false,"suffix":""},{"dropping-particle":"","family":"Hegazi","given":"Refaat A","non-dropping-particle":"","parse-names":false,"suffix":""}],"container-title":"Journal of aging research","id":"ITEM-2","issued":{"date-parts":[["2012"]]},"language":"eng","page":"651570","publisher-place":"United States","title":"Malnutrition-sarcopenia syndrome: is this the future of nutrition screening and assessment for older adults?","type":"article-journal","volume":"2012"},"uris":["http://www.mendeley.com/documents/?uuid=bb2cd57d-61f7-48d3-b024-547b1b4e045b"]}],"mendeley":{"formattedCitation":"&lt;sup&gt;[19,20]&lt;/sup&gt;","plainTextFormattedCitation":"[19,20]","previouslyFormattedCitation":"&lt;sup&gt;[19,20]&lt;/sup&gt;"},"properties":{"noteIndex":0},"schema":"https://github.com/citation-style-language/schema/raw/master/csl-citation.json"}</w:instrText>
      </w:r>
      <w:r w:rsidR="00C52422"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[19,20]</w:t>
      </w:r>
      <w:r w:rsidR="00C52422" w:rsidRPr="00D07897">
        <w:rPr>
          <w:rFonts w:ascii="Book Antiqua" w:hAnsi="Book Antiqua" w:cs="Arial"/>
          <w:color w:val="000000" w:themeColor="text1"/>
        </w:rPr>
        <w:fldChar w:fldCharType="end"/>
      </w:r>
      <w:r w:rsidR="00261ED2" w:rsidRPr="00D07897">
        <w:rPr>
          <w:rFonts w:ascii="Book Antiqua" w:hAnsi="Book Antiqua" w:cs="Arial"/>
          <w:color w:val="000000" w:themeColor="text1"/>
        </w:rPr>
        <w:t>.</w:t>
      </w:r>
      <w:r w:rsidR="00374D4C" w:rsidRPr="00D07897">
        <w:rPr>
          <w:rFonts w:ascii="Book Antiqua" w:hAnsi="Book Antiqua" w:cs="Arial"/>
          <w:color w:val="000000" w:themeColor="text1"/>
        </w:rPr>
        <w:t xml:space="preserve"> </w:t>
      </w:r>
      <w:r w:rsidR="00261ED2" w:rsidRPr="00D07897">
        <w:rPr>
          <w:rFonts w:ascii="Book Antiqua" w:hAnsi="Book Antiqua" w:cs="Arial"/>
          <w:color w:val="000000" w:themeColor="text1"/>
        </w:rPr>
        <w:t>F</w:t>
      </w:r>
      <w:r w:rsidR="00C52422" w:rsidRPr="00D07897">
        <w:rPr>
          <w:rFonts w:ascii="Book Antiqua" w:hAnsi="Book Antiqua" w:cs="Arial"/>
          <w:color w:val="000000" w:themeColor="text1"/>
        </w:rPr>
        <w:t xml:space="preserve">or the purposes of our review, measurements of lean muscle mass and sarcopenia will be classified as a </w:t>
      </w:r>
      <w:r w:rsidR="00374D4C" w:rsidRPr="00D07897">
        <w:rPr>
          <w:rFonts w:ascii="Book Antiqua" w:hAnsi="Book Antiqua" w:cs="Arial"/>
          <w:color w:val="000000" w:themeColor="text1"/>
        </w:rPr>
        <w:t>NAT</w:t>
      </w:r>
      <w:r w:rsidR="00C52422" w:rsidRPr="00D07897">
        <w:rPr>
          <w:rFonts w:ascii="Book Antiqua" w:hAnsi="Book Antiqua" w:cs="Arial"/>
          <w:color w:val="000000" w:themeColor="text1"/>
        </w:rPr>
        <w:t xml:space="preserve">. </w:t>
      </w:r>
    </w:p>
    <w:p w14:paraId="729926DF" w14:textId="53353449" w:rsidR="00633BAB" w:rsidRPr="00D07897" w:rsidRDefault="00374D4C" w:rsidP="004414D1">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t>To date</w:t>
      </w:r>
      <w:r w:rsidR="00E85D7E" w:rsidRPr="00D07897">
        <w:rPr>
          <w:rFonts w:ascii="Book Antiqua" w:hAnsi="Book Antiqua" w:cs="Arial"/>
          <w:color w:val="000000" w:themeColor="text1"/>
        </w:rPr>
        <w:t xml:space="preserve">, there are no published recommendations that exist for </w:t>
      </w:r>
      <w:r w:rsidR="00BB564A" w:rsidRPr="00D07897">
        <w:rPr>
          <w:rFonts w:ascii="Book Antiqua" w:hAnsi="Book Antiqua" w:cs="Arial"/>
          <w:color w:val="000000" w:themeColor="text1"/>
        </w:rPr>
        <w:t xml:space="preserve">use of </w:t>
      </w:r>
      <w:r w:rsidR="00E85D7E" w:rsidRPr="00D07897">
        <w:rPr>
          <w:rFonts w:ascii="Book Antiqua" w:hAnsi="Book Antiqua" w:cs="Arial"/>
          <w:color w:val="000000" w:themeColor="text1"/>
        </w:rPr>
        <w:t>a specific NST or NAT in IBD</w:t>
      </w:r>
      <w:r w:rsidR="00E85D7E"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{"citationItems":[{"id":"ITEM-1","itemData":{"ISSN":"0261-5614 (Print)","PMID":"12880610","abstract":"AIM: To provide guidelines for nutrition risk screening applicable to different settings (community, hospital, elderly) based on published and validated evidence available until June 2002. NOTE: These guidelines deliberately make reference to the year 2002 in their title to indicate that this version is based on the evidence available until 2002 and that they need to be updated and adapted to current state of knowledge in the future. In order to reach this goal the Education and Clinical Practice Committee invites and welcomes all criticism and suggestions (button for mail to ECPC chairman).","author":[{"dropping-particle":"","family":"Kondrup","given":"J","non-dropping-particle":"","parse-names":false,"suffix":""},{"dropping-particle":"","family":"Allison","given":"S P","non-dropping-particle":"","parse-names":false,"suffix":""},{"dropping-particle":"","family":"Elia","given":"M","non-dropping-particle":"","parse-names":false,"suffix":""},{"dropping-particle":"","family":"Vellas","given":"B","non-dropping-particle":"","parse-names":false,"suffix":""},{"dropping-particle":"","family":"Plauth","given":"M","non-dropping-particle":"","parse-names":false,"suffix":""}],"container-title":"Clinical nutrition (Edinburgh, Scotland)","id":"ITEM-1","issue":"4","issued":{"date-parts":[["2003","8"]]},"language":"eng","page":"415-421","publisher-place":"England","title":"ESPEN guidelines for nutrition screening 2002.","type":"article-journal","volume":"22"},"uris":["http://www.mendeley.com/documents/?uuid=0a9f74d2-5034-40d1-884b-51df233b7e81"]},{"id":"ITEM-2","itemData":{"DOI":"10.1177/0148607110389335","ISSN":"0148-6071 (Print)","PMID":"21224430","author":[{"dropping-particle":"","family":"Mueller","given":"Charles","non-dropping-particle":"","parse-names":false,"suffix":""},{"dropping-particle":"","family":"Compher","given":"Charlene","non-dropping-particle":"","parse-names":false,"suffix":""},{"dropping-particle":"","family":"Ellen","given":"Druyan Mary","non-dropping-particle":"","parse-names":false,"suffix":""}],"container-title":"JPEN. Journal of parenteral and enteral nutrition","id":"ITEM-2","issue":"1","issued":{"date-parts":[["2011","1"]]},"language":"eng","page":"16-24","publisher-place":"United States","title":"A.S.P.E.N. clinical guidelines: Nutrition screening, assessment, and intervention in adults.","type":"article-journal","volume":"35"},"uris":["http://www.mendeley.com/documents/?uuid=c5bc0463-ebe6-4508-a48f-bd4403a30713"]},{"id":"ITEM-3","itemData":{"DOI":"10.1016/j.clnu.2016.12.027","ISSN":"1532-1983 (Electronic)","PMID":"28131521","abstract":"INTRODUCTION: The ESPEN guideline presents a multidisciplinary focus on clinical  nutrition in inflammatory bowel disease (IBD). METHODOLOGY: The guideline is based on extensive systematic review of the literature, but relies on expert opinion when objective data were lacking or inconclusive. The conclusions and 64 recommendations have been subject to full peer review and a Delphi process in which uniformly positive responses (agree or strongly agree) were required. RESULTS: IBD is increasingly common and potential dietary factors in its aetiology are briefly reviewed. Malnutrition is highly prevalent in IBD - especially in Crohn's disease. Increased energy and protein requirements are observed in some patients. The management of malnutrition in IBD is considered within the general context of support for malnourished patients. Treatment of iron deficiency (parenterally if necessary) is strongly recommended. Routine provision of a special diet in IBD is not however supported. Parenteral nutrition is indicated only when enteral nutrition has failed or is impossible. The recommended perioperative management of patients with IBD undergoing surgery accords with general ESPEN guidance for patients having abdominal surgery. Probiotics may be helpful in UC but not Crohn's disease. Primary therapy using nutrition to treat IBD is not supported in ulcerative colitis, but is moderately well supported in Crohn's disease, especially in children where the adverse consequences of steroid therapy are proportionally greater. However, exclusion diets are generally not recommended and there is little evidence to support any particular formula feed when nutritional regimens are constructed. CONCLUSIONS: Available objective data to guide nutritional support and primary nutritional therapy in IBD are presented as 64 recommendations, of which 9 are very strong recommendations (grade A), 22 are strong recommendations (grade B) and 12 are based only on sparse evidence (grade 0); 21 recommendations are good practice points (GPP).","author":[{"dropping-particle":"","family":"Forbes","given":"Alastair","non-dropping-particle":"","parse-names":false,"suffix":""},{"dropping-particle":"","family":"Escher","given":"Johanna","non-dropping-particle":"","parse-names":false,"suffix":""},{"dropping-particle":"","family":"Hebuterne","given":"Xavier","non-dropping-particle":"","parse-names":false,"suffix":""},{"dropping-particle":"","family":"Klek","given":"Stanislaw","non-dropping-particle":"","parse-names":false,"suffix":""},{"dropping-particle":"","family":"Krznaric","given":"Zeljko","non-dropping-particle":"","parse-names":false,"suffix":""},{"dropping-particle":"","family":"Schneider","given":"Stephane","non-dropping-particle":"","parse-names":false,"suffix":""},{"dropping-particle":"","family":"Shamir","given":"Raanan","non-dropping-particle":"","parse-names":false,"suffix":""},{"dropping-particle":"","family":"Stardelova","given":"Kalina","non-dropping-particle":"","parse-names":false,"suffix":""},{"dropping-particle":"","family":"Wierdsma","given":"Nicolette","non-dropping-particle":"","parse-names":false,"suffix":""},{"dropping-particle":"","family":"Wiskin","given":"Anthony E","non-dropping-particle":"","parse-names":false,"suffix":""},{"dropping-particle":"","family":"Bischoff","given":"Stephan C","non-dropping-particle":"","parse-names":false,"suffix":""}],"container-title":"Clinical nutrition (Edinburgh, Scotland)","id":"ITEM-3","issue":"2","issued":{"date-parts":[["2017","4"]]},"language":"eng","page":"321-347","publisher-place":"England","title":"ESPEN guideline: Clinical nutrition in inflammatory bowel disease.","type":"article-journal","volume":"36"},"uris":["http://www.mendeley.com/documents/?uuid=bc36907a-6792-45b8-a207-4fff9f66eef3"]}],"mendeley":{"formattedCitation":"&lt;sup&gt;[14,18,21]&lt;/sup&gt;","plainTextFormattedCitation":"[14,18,21]","previouslyFormattedCitation":"&lt;sup&gt;[14,18,21]&lt;/sup&gt;"},"properties":{"noteIndex":0},"schema":"https://github.com/citation-style-language/schema/raw/master/csl-citation.json"}</w:instrText>
      </w:r>
      <w:r w:rsidR="00E85D7E"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[14,18,21]</w:t>
      </w:r>
      <w:r w:rsidR="00E85D7E" w:rsidRPr="00D07897">
        <w:rPr>
          <w:rFonts w:ascii="Book Antiqua" w:hAnsi="Book Antiqua" w:cs="Arial"/>
          <w:color w:val="000000" w:themeColor="text1"/>
        </w:rPr>
        <w:fldChar w:fldCharType="end"/>
      </w:r>
      <w:r w:rsidR="00E85D7E" w:rsidRPr="00D07897">
        <w:rPr>
          <w:rFonts w:ascii="Book Antiqua" w:hAnsi="Book Antiqua" w:cs="Arial"/>
          <w:color w:val="000000" w:themeColor="text1"/>
        </w:rPr>
        <w:t xml:space="preserve">. </w:t>
      </w:r>
      <w:r w:rsidR="00261ED2" w:rsidRPr="00D07897">
        <w:rPr>
          <w:rFonts w:ascii="Book Antiqua" w:hAnsi="Book Antiqua" w:cs="Arial"/>
          <w:color w:val="000000" w:themeColor="text1"/>
        </w:rPr>
        <w:t>A</w:t>
      </w:r>
      <w:r w:rsidR="00E85D7E" w:rsidRPr="00D07897">
        <w:rPr>
          <w:rFonts w:ascii="Book Antiqua" w:hAnsi="Book Antiqua" w:cs="Arial"/>
          <w:color w:val="000000" w:themeColor="text1"/>
        </w:rPr>
        <w:t>lthough there have been isolated reviews of sarcopenia in IBD</w:t>
      </w:r>
      <w:r w:rsidR="00E85D7E"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{"citationItems":[{"id":"ITEM-1","itemData":{"DOI":"10.1093/ibd/izy212","ISSN":"1536-4844 (Electronic)","PMID":"29889230","abstract":"Background: Sarcopenia is associated with increased morbidity and mortality in oncologic and transplant surgery. It has a high incidence in chronic inflammatory states including inflammatory bowel disease (IBD). The validity of existing data in IBD and of sarcopenia's correlation with surgical outcomes is limited. Methods: We performed a systematic review to assess the correlation of sarcopenia with the requirement for surgery and surgical outcomes in patients with IBD. Observational studies of patients with IBD in whom an assessment of sarcopenic status/skeletal muscle index was undertaken, a proportion of whom proceeded to surgical management, were selected. Results: A total of 5 studies with a combined 658 IBD patients met the inclusion criteria. The majority (70%) had a diagnosis of Crohn's disease. Median (range) body mass index and skeletal muscle index were reported in 4 studies and were 16.58 (13.66-22.50) kg/m2 and 44.52 (42.90-50.64) cm2/m2, respectively. Forty-two percent of IBD patients had sarcopenia. Notably, none of the studies assessed both the anatomical and functional component required for a correct assessment of sarcopenia. Three studies noted that sarcopenic IBD patients had a higher probability of requiring surgery. The rate of major complications (Clavien-Dindo grade &gt;/=IIIa) was significantly higher in patients with sarcopenia. Improved perioperative nutrition management may mitigate the risk of complications. Conclusion: Many IBD patients are young, may be malnourished, and commonly require emergent surgery. There is considerable heterogeneity in the assessment of sarcopenia. Sarcopenia is common in the IBD population and can predict the need for surgical intervention. Sarcopenia correlates with an increased rate of major postoperative complications. Improved perioperative intervention may diminish this risk. A formal assessment, screening by a dedicated IBD dietician, and preoperative physical therapy may facilitate early intervention.","author":[{"dropping-particle":"","family":"Ryan","given":"Eanna","non-dropping-particle":"","parse-names":false,"suffix":""},{"dropping-particle":"","family":"McNicholas","given":"Daniel","non-dropping-particle":"","parse-names":false,"suffix":""},{"dropping-particle":"","family":"Creavin","given":"Ben","non-dropping-particle":"","parse-names":false,"suffix":""},{"dropping-particle":"","family":"Kelly","given":"Michael Eamon","non-dropping-particle":"","parse-names":false,"suffix":""},{"dropping-particle":"","family":"Walsh","given":"Tom","non-dropping-particle":"","parse-names":false,"suffix":""},{"dropping-particle":"","family":"Beddy","given":"David","non-dropping-particle":"","parse-names":false,"suffix":""}],"container-title":"Inflammatory bowel diseases","id":"ITEM-1","issued":{"date-parts":[["2018","6"]]},"language":"eng","publisher-place":"United States","title":"Sarcopenia and Inflammatory Bowel Disease: A Systematic Review.","type":"article-journal"},"uris":["http://www.mendeley.com/documents/?uuid=881c4d0f-22f1-4804-905c-56a50712cb1f"]}],"mendeley":{"formattedCitation":"&lt;sup&gt;[22]&lt;/sup&gt;","plainTextFormattedCitation":"[22]","previouslyFormattedCitation":"&lt;sup&gt;[22]&lt;/sup&gt;"},"properties":{"noteIndex":0},"schema":"https://github.com/citation-style-language/schema/raw/master/csl-citation.json"}</w:instrText>
      </w:r>
      <w:r w:rsidR="00E85D7E"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[22]</w:t>
      </w:r>
      <w:r w:rsidR="00E85D7E" w:rsidRPr="00D07897">
        <w:rPr>
          <w:rFonts w:ascii="Book Antiqua" w:hAnsi="Book Antiqua" w:cs="Arial"/>
          <w:color w:val="000000" w:themeColor="text1"/>
        </w:rPr>
        <w:fldChar w:fldCharType="end"/>
      </w:r>
      <w:r w:rsidR="00E85D7E" w:rsidRPr="00D07897">
        <w:rPr>
          <w:rFonts w:ascii="Book Antiqua" w:hAnsi="Book Antiqua" w:cs="Arial"/>
          <w:color w:val="000000" w:themeColor="text1"/>
        </w:rPr>
        <w:t xml:space="preserve">, a practical approach to nutrition screening and treatment </w:t>
      </w:r>
      <w:r w:rsidR="00BB564A" w:rsidRPr="00D07897">
        <w:rPr>
          <w:rFonts w:ascii="Book Antiqua" w:hAnsi="Book Antiqua" w:cs="Arial"/>
          <w:color w:val="000000" w:themeColor="text1"/>
        </w:rPr>
        <w:t xml:space="preserve">is more </w:t>
      </w:r>
      <w:r w:rsidR="00E85D7E" w:rsidRPr="00D07897">
        <w:rPr>
          <w:rFonts w:ascii="Book Antiqua" w:hAnsi="Book Antiqua" w:cs="Arial"/>
          <w:color w:val="000000" w:themeColor="text1"/>
        </w:rPr>
        <w:t>exten</w:t>
      </w:r>
      <w:r w:rsidR="00BB564A" w:rsidRPr="00D07897">
        <w:rPr>
          <w:rFonts w:ascii="Book Antiqua" w:hAnsi="Book Antiqua" w:cs="Arial"/>
          <w:color w:val="000000" w:themeColor="text1"/>
        </w:rPr>
        <w:t>sive than</w:t>
      </w:r>
      <w:r w:rsidR="00E85D7E" w:rsidRPr="00D07897">
        <w:rPr>
          <w:rFonts w:ascii="Book Antiqua" w:hAnsi="Book Antiqua" w:cs="Arial"/>
          <w:color w:val="000000" w:themeColor="text1"/>
        </w:rPr>
        <w:t xml:space="preserve"> sarcopenia assessment</w:t>
      </w:r>
      <w:r w:rsidR="00BB564A" w:rsidRPr="00D07897">
        <w:rPr>
          <w:rFonts w:ascii="Book Antiqua" w:hAnsi="Book Antiqua" w:cs="Arial"/>
          <w:color w:val="000000" w:themeColor="text1"/>
        </w:rPr>
        <w:t xml:space="preserve"> alone</w:t>
      </w:r>
      <w:r w:rsidR="00E85D7E" w:rsidRPr="00D07897">
        <w:rPr>
          <w:rFonts w:ascii="Book Antiqua" w:hAnsi="Book Antiqua" w:cs="Arial"/>
          <w:color w:val="000000" w:themeColor="text1"/>
        </w:rPr>
        <w:t xml:space="preserve">. Given the current lack of consensus, high prevalence and the significant health and economic burden of malnutrition in IBD, we performed a systematic review of the available literature surrounding NSTs and NATs for IBD patients, including sarcopenia. </w:t>
      </w:r>
      <w:r w:rsidR="00F77755" w:rsidRPr="00D07897">
        <w:rPr>
          <w:rFonts w:ascii="Book Antiqua" w:hAnsi="Book Antiqua" w:cs="Arial"/>
          <w:color w:val="000000" w:themeColor="text1"/>
        </w:rPr>
        <w:t>In patients with IBD, o</w:t>
      </w:r>
      <w:r w:rsidR="00E85D7E" w:rsidRPr="00D07897">
        <w:rPr>
          <w:rFonts w:ascii="Book Antiqua" w:hAnsi="Book Antiqua" w:cs="Arial"/>
          <w:color w:val="000000" w:themeColor="text1"/>
        </w:rPr>
        <w:t xml:space="preserve">ur </w:t>
      </w:r>
      <w:r w:rsidRPr="00D07897">
        <w:rPr>
          <w:rFonts w:ascii="Book Antiqua" w:hAnsi="Book Antiqua" w:cs="Arial"/>
          <w:color w:val="000000" w:themeColor="text1"/>
        </w:rPr>
        <w:t>aims were to</w:t>
      </w:r>
      <w:r w:rsidR="00E85D7E" w:rsidRPr="00D07897">
        <w:rPr>
          <w:rFonts w:ascii="Book Antiqua" w:hAnsi="Book Antiqua" w:cs="Arial"/>
          <w:color w:val="000000" w:themeColor="text1"/>
        </w:rPr>
        <w:t xml:space="preserve"> provide a descriptive overview of: </w:t>
      </w:r>
      <w:r w:rsidR="00FB18BB" w:rsidRPr="00D07897">
        <w:rPr>
          <w:rFonts w:ascii="Book Antiqua" w:hAnsi="Book Antiqua" w:cs="Arial"/>
          <w:color w:val="000000" w:themeColor="text1"/>
        </w:rPr>
        <w:t>(</w:t>
      </w:r>
      <w:r w:rsidR="004414D1" w:rsidRPr="00D07897">
        <w:rPr>
          <w:rFonts w:ascii="Book Antiqua" w:hAnsi="Book Antiqua" w:cs="Arial"/>
          <w:color w:val="000000" w:themeColor="text1"/>
        </w:rPr>
        <w:t>1</w:t>
      </w:r>
      <w:r w:rsidR="00FB18BB" w:rsidRPr="00D07897">
        <w:rPr>
          <w:rFonts w:ascii="Book Antiqua" w:hAnsi="Book Antiqua" w:cs="Arial"/>
          <w:color w:val="000000" w:themeColor="text1"/>
        </w:rPr>
        <w:t xml:space="preserve">) </w:t>
      </w:r>
      <w:r w:rsidR="004414D1" w:rsidRPr="00D07897">
        <w:rPr>
          <w:rFonts w:ascii="Book Antiqua" w:hAnsi="Book Antiqua" w:cs="Arial"/>
          <w:color w:val="000000" w:themeColor="text1"/>
        </w:rPr>
        <w:t>T</w:t>
      </w:r>
      <w:r w:rsidR="00FB18BB" w:rsidRPr="00D07897">
        <w:rPr>
          <w:rFonts w:ascii="Book Antiqua" w:hAnsi="Book Antiqua" w:cs="Arial"/>
          <w:color w:val="000000" w:themeColor="text1"/>
        </w:rPr>
        <w:t>he prevalence of abnormalities on NSTs and NATs</w:t>
      </w:r>
      <w:r w:rsidR="004414D1" w:rsidRPr="00D07897">
        <w:rPr>
          <w:rFonts w:ascii="Book Antiqua" w:hAnsi="Book Antiqua" w:cs="Arial"/>
          <w:color w:val="000000" w:themeColor="text1"/>
        </w:rPr>
        <w:t>;</w:t>
      </w:r>
      <w:r w:rsidR="00FB18BB" w:rsidRPr="00D07897">
        <w:rPr>
          <w:rFonts w:ascii="Book Antiqua" w:hAnsi="Book Antiqua" w:cs="Arial"/>
          <w:color w:val="000000" w:themeColor="text1"/>
        </w:rPr>
        <w:t xml:space="preserve"> </w:t>
      </w:r>
      <w:r w:rsidR="00E85D7E" w:rsidRPr="00D07897">
        <w:rPr>
          <w:rFonts w:ascii="Book Antiqua" w:hAnsi="Book Antiqua" w:cs="Arial"/>
          <w:color w:val="000000" w:themeColor="text1"/>
        </w:rPr>
        <w:t>(</w:t>
      </w:r>
      <w:r w:rsidR="004414D1" w:rsidRPr="00D07897">
        <w:rPr>
          <w:rFonts w:ascii="Book Antiqua" w:hAnsi="Book Antiqua" w:cs="Arial"/>
          <w:color w:val="000000" w:themeColor="text1"/>
        </w:rPr>
        <w:t>2</w:t>
      </w:r>
      <w:r w:rsidR="00E85D7E" w:rsidRPr="00D07897">
        <w:rPr>
          <w:rFonts w:ascii="Book Antiqua" w:hAnsi="Book Antiqua" w:cs="Arial"/>
          <w:color w:val="000000" w:themeColor="text1"/>
        </w:rPr>
        <w:t xml:space="preserve">) </w:t>
      </w:r>
      <w:r w:rsidR="00F77755" w:rsidRPr="00D07897">
        <w:rPr>
          <w:rFonts w:ascii="Book Antiqua" w:hAnsi="Book Antiqua" w:cs="Arial"/>
          <w:color w:val="000000" w:themeColor="text1"/>
        </w:rPr>
        <w:t xml:space="preserve">whether </w:t>
      </w:r>
      <w:r w:rsidR="00FB18BB" w:rsidRPr="00D07897">
        <w:rPr>
          <w:rFonts w:ascii="Book Antiqua" w:hAnsi="Book Antiqua" w:cs="Arial"/>
          <w:color w:val="000000" w:themeColor="text1"/>
        </w:rPr>
        <w:t xml:space="preserve">the findings on </w:t>
      </w:r>
      <w:r w:rsidR="004414D1" w:rsidRPr="00D07897">
        <w:rPr>
          <w:rFonts w:ascii="Book Antiqua" w:hAnsi="Book Antiqua" w:cs="Arial"/>
          <w:color w:val="000000" w:themeColor="text1"/>
        </w:rPr>
        <w:t xml:space="preserve">NSTs </w:t>
      </w:r>
      <w:r w:rsidR="008C4AD6" w:rsidRPr="00D07897">
        <w:rPr>
          <w:rFonts w:ascii="Book Antiqua" w:hAnsi="Book Antiqua" w:cs="Arial"/>
          <w:color w:val="000000" w:themeColor="text1"/>
        </w:rPr>
        <w:t>are</w:t>
      </w:r>
      <w:r w:rsidR="00FB18BB" w:rsidRPr="00D07897">
        <w:rPr>
          <w:rFonts w:ascii="Book Antiqua" w:hAnsi="Book Antiqua" w:cs="Arial"/>
          <w:color w:val="000000" w:themeColor="text1"/>
        </w:rPr>
        <w:t xml:space="preserve"> associated with abnormalities on </w:t>
      </w:r>
      <w:r w:rsidR="004414D1" w:rsidRPr="00D07897">
        <w:rPr>
          <w:rFonts w:ascii="Book Antiqua" w:hAnsi="Book Antiqua" w:cs="Arial"/>
          <w:color w:val="000000" w:themeColor="text1"/>
        </w:rPr>
        <w:t xml:space="preserve">NATs; </w:t>
      </w:r>
      <w:r w:rsidR="00FB18BB" w:rsidRPr="00D07897">
        <w:rPr>
          <w:rFonts w:ascii="Book Antiqua" w:hAnsi="Book Antiqua" w:cs="Arial"/>
          <w:color w:val="000000" w:themeColor="text1"/>
        </w:rPr>
        <w:t xml:space="preserve">and </w:t>
      </w:r>
      <w:r w:rsidR="00F77755" w:rsidRPr="00D07897">
        <w:rPr>
          <w:rFonts w:ascii="Book Antiqua" w:hAnsi="Book Antiqua" w:cs="Arial"/>
          <w:color w:val="000000" w:themeColor="text1"/>
        </w:rPr>
        <w:t>(</w:t>
      </w:r>
      <w:r w:rsidR="004414D1" w:rsidRPr="00D07897">
        <w:rPr>
          <w:rFonts w:ascii="Book Antiqua" w:hAnsi="Book Antiqua" w:cs="Arial"/>
          <w:color w:val="000000" w:themeColor="text1"/>
        </w:rPr>
        <w:t>3</w:t>
      </w:r>
      <w:r w:rsidR="00F77755" w:rsidRPr="00D07897">
        <w:rPr>
          <w:rFonts w:ascii="Book Antiqua" w:hAnsi="Book Antiqua" w:cs="Arial"/>
          <w:color w:val="000000" w:themeColor="text1"/>
        </w:rPr>
        <w:t xml:space="preserve">) whether </w:t>
      </w:r>
      <w:r w:rsidR="00E85D7E" w:rsidRPr="00D07897">
        <w:rPr>
          <w:rFonts w:ascii="Book Antiqua" w:hAnsi="Book Antiqua" w:cs="Arial"/>
          <w:color w:val="000000" w:themeColor="text1"/>
        </w:rPr>
        <w:t xml:space="preserve">NSTs or NATs </w:t>
      </w:r>
      <w:r w:rsidR="008C4AD6" w:rsidRPr="00D07897">
        <w:rPr>
          <w:rFonts w:ascii="Book Antiqua" w:hAnsi="Book Antiqua" w:cs="Arial"/>
          <w:color w:val="000000" w:themeColor="text1"/>
        </w:rPr>
        <w:t>are</w:t>
      </w:r>
      <w:r w:rsidR="00F77755" w:rsidRPr="00D07897">
        <w:rPr>
          <w:rFonts w:ascii="Book Antiqua" w:hAnsi="Book Antiqua" w:cs="Arial"/>
          <w:color w:val="000000" w:themeColor="text1"/>
        </w:rPr>
        <w:t xml:space="preserve"> associated with </w:t>
      </w:r>
      <w:r w:rsidR="00E85D7E" w:rsidRPr="00D07897">
        <w:rPr>
          <w:rFonts w:ascii="Book Antiqua" w:hAnsi="Book Antiqua" w:cs="Arial"/>
          <w:color w:val="000000" w:themeColor="text1"/>
        </w:rPr>
        <w:t>clinical outcomes</w:t>
      </w:r>
      <w:r w:rsidR="00261ED2" w:rsidRPr="00D07897">
        <w:rPr>
          <w:rFonts w:ascii="Book Antiqua" w:hAnsi="Book Antiqua" w:cs="Arial"/>
          <w:color w:val="000000" w:themeColor="text1"/>
        </w:rPr>
        <w:t>.</w:t>
      </w:r>
      <w:r w:rsidR="00E85D7E" w:rsidRPr="00D07897">
        <w:rPr>
          <w:rFonts w:ascii="Book Antiqua" w:hAnsi="Book Antiqua" w:cs="Arial"/>
          <w:color w:val="000000" w:themeColor="text1"/>
        </w:rPr>
        <w:t xml:space="preserve"> </w:t>
      </w:r>
      <w:r w:rsidR="004723B1" w:rsidRPr="00D07897">
        <w:rPr>
          <w:rFonts w:ascii="Book Antiqua" w:hAnsi="Book Antiqua" w:cs="Arial"/>
          <w:color w:val="000000" w:themeColor="text1"/>
        </w:rPr>
        <w:t>Evidence of clear associations between NSTs and NATs may simplify the nutrition care process</w:t>
      </w:r>
      <w:r w:rsidR="00311B8A" w:rsidRPr="00D07897">
        <w:rPr>
          <w:rFonts w:ascii="Book Antiqua" w:hAnsi="Book Antiqua" w:cs="Arial"/>
          <w:color w:val="000000" w:themeColor="text1"/>
        </w:rPr>
        <w:t>, allow for much needed risk stratification</w:t>
      </w:r>
      <w:r w:rsidR="004A3076" w:rsidRPr="00D07897">
        <w:rPr>
          <w:rFonts w:ascii="Book Antiqua" w:hAnsi="Book Antiqua" w:cs="Arial"/>
          <w:color w:val="000000" w:themeColor="text1"/>
        </w:rPr>
        <w:t xml:space="preserve"> </w:t>
      </w:r>
      <w:r w:rsidR="00FB18BB" w:rsidRPr="00D07897">
        <w:rPr>
          <w:rFonts w:ascii="Book Antiqua" w:hAnsi="Book Antiqua" w:cs="Arial"/>
          <w:color w:val="000000" w:themeColor="text1"/>
        </w:rPr>
        <w:t>and targeted use of</w:t>
      </w:r>
      <w:r w:rsidR="004A3076" w:rsidRPr="00D07897">
        <w:rPr>
          <w:rFonts w:ascii="Book Antiqua" w:hAnsi="Book Antiqua" w:cs="Arial"/>
          <w:color w:val="000000" w:themeColor="text1"/>
        </w:rPr>
        <w:t xml:space="preserve"> limited </w:t>
      </w:r>
      <w:r w:rsidR="00FB18BB" w:rsidRPr="00D07897">
        <w:rPr>
          <w:rFonts w:ascii="Book Antiqua" w:hAnsi="Book Antiqua" w:cs="Arial"/>
          <w:color w:val="000000" w:themeColor="text1"/>
        </w:rPr>
        <w:t xml:space="preserve">dietitian </w:t>
      </w:r>
      <w:r w:rsidR="004A3076" w:rsidRPr="00D07897">
        <w:rPr>
          <w:rFonts w:ascii="Book Antiqua" w:hAnsi="Book Antiqua" w:cs="Arial"/>
          <w:color w:val="000000" w:themeColor="text1"/>
        </w:rPr>
        <w:t>resources.</w:t>
      </w:r>
    </w:p>
    <w:p w14:paraId="40B6EC0B" w14:textId="77777777" w:rsidR="00245E2A" w:rsidRPr="00D07897" w:rsidRDefault="00245E2A" w:rsidP="00F96F15">
      <w:pPr>
        <w:spacing w:line="360" w:lineRule="auto"/>
        <w:jc w:val="both"/>
        <w:rPr>
          <w:rFonts w:ascii="Book Antiqua" w:hAnsi="Book Antiqua" w:cs="Arial"/>
          <w:color w:val="000000" w:themeColor="text1"/>
        </w:rPr>
      </w:pPr>
    </w:p>
    <w:p w14:paraId="289C71BC" w14:textId="77777777" w:rsidR="004414D1" w:rsidRPr="00D07897" w:rsidRDefault="004414D1" w:rsidP="004414D1">
      <w:pPr>
        <w:adjustRightInd w:val="0"/>
        <w:snapToGrid w:val="0"/>
        <w:spacing w:line="360" w:lineRule="auto"/>
        <w:jc w:val="both"/>
        <w:rPr>
          <w:rFonts w:ascii="Book Antiqua" w:hAnsi="Book Antiqua"/>
        </w:rPr>
      </w:pPr>
      <w:r w:rsidRPr="00D07897">
        <w:rPr>
          <w:rFonts w:ascii="Book Antiqua" w:hAnsi="Book Antiqua"/>
          <w:b/>
          <w:bCs/>
        </w:rPr>
        <w:t>MATERIALS AND METHODS</w:t>
      </w:r>
    </w:p>
    <w:p w14:paraId="7393825A" w14:textId="2FDCCE07" w:rsidR="004E768A" w:rsidRPr="00D07897" w:rsidRDefault="00847E05" w:rsidP="00F96F15">
      <w:pPr>
        <w:spacing w:line="360" w:lineRule="auto"/>
        <w:jc w:val="both"/>
        <w:rPr>
          <w:rFonts w:ascii="Book Antiqua" w:hAnsi="Book Antiqua" w:cs="Arial"/>
          <w:b/>
          <w:bCs/>
          <w:i/>
          <w:color w:val="000000" w:themeColor="text1"/>
        </w:rPr>
      </w:pPr>
      <w:r w:rsidRPr="00D07897">
        <w:rPr>
          <w:rFonts w:ascii="Book Antiqua" w:hAnsi="Book Antiqua" w:cs="Arial"/>
          <w:b/>
          <w:bCs/>
          <w:i/>
          <w:color w:val="000000" w:themeColor="text1"/>
        </w:rPr>
        <w:t xml:space="preserve">Data </w:t>
      </w:r>
      <w:r w:rsidR="004414D1" w:rsidRPr="00D07897">
        <w:rPr>
          <w:rFonts w:ascii="Book Antiqua" w:hAnsi="Book Antiqua" w:cs="Arial"/>
          <w:b/>
          <w:bCs/>
          <w:i/>
          <w:color w:val="000000" w:themeColor="text1"/>
        </w:rPr>
        <w:t>s</w:t>
      </w:r>
      <w:r w:rsidRPr="00D07897">
        <w:rPr>
          <w:rFonts w:ascii="Book Antiqua" w:hAnsi="Book Antiqua" w:cs="Arial"/>
          <w:b/>
          <w:bCs/>
          <w:i/>
          <w:color w:val="000000" w:themeColor="text1"/>
        </w:rPr>
        <w:t>ources/</w:t>
      </w:r>
      <w:r w:rsidR="004414D1" w:rsidRPr="00D07897">
        <w:rPr>
          <w:rFonts w:ascii="Book Antiqua" w:hAnsi="Book Antiqua" w:cs="Arial"/>
          <w:b/>
          <w:bCs/>
          <w:i/>
          <w:color w:val="000000" w:themeColor="text1"/>
        </w:rPr>
        <w:t xml:space="preserve">search strategy </w:t>
      </w:r>
      <w:r w:rsidR="009E4DA4" w:rsidRPr="00D07897">
        <w:rPr>
          <w:rFonts w:ascii="Book Antiqua" w:hAnsi="Book Antiqua" w:cs="Arial"/>
          <w:b/>
          <w:bCs/>
          <w:i/>
          <w:color w:val="000000" w:themeColor="text1"/>
        </w:rPr>
        <w:t>(Appendix S1)</w:t>
      </w:r>
    </w:p>
    <w:p w14:paraId="7CFCB28C" w14:textId="446ACA13" w:rsidR="00847E05" w:rsidRPr="00D07897" w:rsidRDefault="00261ED2"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The i</w:t>
      </w:r>
      <w:r w:rsidR="00197706" w:rsidRPr="00D07897">
        <w:rPr>
          <w:rFonts w:ascii="Book Antiqua" w:hAnsi="Book Antiqua" w:cs="Arial"/>
          <w:color w:val="000000" w:themeColor="text1"/>
        </w:rPr>
        <w:t>nitial</w:t>
      </w:r>
      <w:r w:rsidR="004E768A" w:rsidRPr="00D07897">
        <w:rPr>
          <w:rFonts w:ascii="Book Antiqua" w:hAnsi="Book Antiqua" w:cs="Arial"/>
          <w:color w:val="000000" w:themeColor="text1"/>
        </w:rPr>
        <w:t xml:space="preserve"> literature review was </w:t>
      </w:r>
      <w:r w:rsidR="009F2A6C" w:rsidRPr="00D07897">
        <w:rPr>
          <w:rFonts w:ascii="Book Antiqua" w:hAnsi="Book Antiqua" w:cs="Arial"/>
          <w:color w:val="000000" w:themeColor="text1"/>
        </w:rPr>
        <w:t>completed</w:t>
      </w:r>
      <w:r w:rsidR="004E768A" w:rsidRPr="00D07897">
        <w:rPr>
          <w:rFonts w:ascii="Book Antiqua" w:hAnsi="Book Antiqua" w:cs="Arial"/>
          <w:color w:val="000000" w:themeColor="text1"/>
        </w:rPr>
        <w:t xml:space="preserve"> on December 20, 2017 using the following databases: National Institutes of Health PubM</w:t>
      </w:r>
      <w:r w:rsidR="00AA3D56" w:rsidRPr="00D07897">
        <w:rPr>
          <w:rFonts w:ascii="Book Antiqua" w:hAnsi="Book Antiqua" w:cs="Arial"/>
          <w:color w:val="000000" w:themeColor="text1"/>
        </w:rPr>
        <w:t>ed</w:t>
      </w:r>
      <w:r w:rsidR="004E768A" w:rsidRPr="00D07897">
        <w:rPr>
          <w:rFonts w:ascii="Book Antiqua" w:hAnsi="Book Antiqua" w:cs="Arial"/>
          <w:color w:val="000000" w:themeColor="text1"/>
        </w:rPr>
        <w:t xml:space="preserve"> </w:t>
      </w:r>
      <w:r w:rsidR="00FF1FCC" w:rsidRPr="00D07897">
        <w:rPr>
          <w:rFonts w:ascii="Book Antiqua" w:hAnsi="Book Antiqua" w:cs="Arial"/>
          <w:color w:val="000000" w:themeColor="text1"/>
        </w:rPr>
        <w:t>(1946</w:t>
      </w:r>
      <w:r w:rsidR="004414D1" w:rsidRPr="00D07897">
        <w:rPr>
          <w:rFonts w:ascii="Book Antiqua" w:hAnsi="Book Antiqua" w:cs="Arial"/>
          <w:color w:val="000000" w:themeColor="text1"/>
        </w:rPr>
        <w:t>-</w:t>
      </w:r>
      <w:r w:rsidR="00FF1FCC" w:rsidRPr="00D07897">
        <w:rPr>
          <w:rFonts w:ascii="Book Antiqua" w:hAnsi="Book Antiqua" w:cs="Arial"/>
          <w:color w:val="000000" w:themeColor="text1"/>
        </w:rPr>
        <w:t>present), Ovid MEDLINE (1946</w:t>
      </w:r>
      <w:r w:rsidR="004414D1" w:rsidRPr="00D07897">
        <w:rPr>
          <w:rFonts w:ascii="Book Antiqua" w:hAnsi="Book Antiqua" w:cs="Arial"/>
          <w:color w:val="000000" w:themeColor="text1"/>
        </w:rPr>
        <w:t>-</w:t>
      </w:r>
      <w:r w:rsidR="00FF1FCC" w:rsidRPr="00D07897">
        <w:rPr>
          <w:rFonts w:ascii="Book Antiqua" w:hAnsi="Book Antiqua" w:cs="Arial"/>
          <w:color w:val="000000" w:themeColor="text1"/>
        </w:rPr>
        <w:t>present) and CINAHL Plus (1937</w:t>
      </w:r>
      <w:r w:rsidR="004414D1" w:rsidRPr="00D07897">
        <w:rPr>
          <w:rFonts w:ascii="Book Antiqua" w:hAnsi="Book Antiqua" w:cs="Arial"/>
          <w:color w:val="000000" w:themeColor="text1"/>
        </w:rPr>
        <w:t>-</w:t>
      </w:r>
      <w:r w:rsidR="00FF1FCC" w:rsidRPr="00D07897">
        <w:rPr>
          <w:rFonts w:ascii="Book Antiqua" w:hAnsi="Book Antiqua" w:cs="Arial"/>
          <w:color w:val="000000" w:themeColor="text1"/>
        </w:rPr>
        <w:t>present). Medical library search heading terms were used to combine “nutrition screening”, “nutrition assessment”, “malnutrition”</w:t>
      </w:r>
      <w:r w:rsidRPr="00D07897">
        <w:rPr>
          <w:rFonts w:ascii="Book Antiqua" w:hAnsi="Book Antiqua" w:cs="Arial"/>
          <w:color w:val="000000" w:themeColor="text1"/>
        </w:rPr>
        <w:t>,</w:t>
      </w:r>
      <w:r w:rsidR="00FF1FCC" w:rsidRPr="00D07897">
        <w:rPr>
          <w:rFonts w:ascii="Book Antiqua" w:hAnsi="Book Antiqua" w:cs="Arial"/>
          <w:color w:val="000000" w:themeColor="text1"/>
        </w:rPr>
        <w:t xml:space="preserve"> or “sarcopenia” with either terms of “inflammatory bowel disease”, </w:t>
      </w:r>
      <w:r w:rsidRPr="00D07897">
        <w:rPr>
          <w:rFonts w:ascii="Book Antiqua" w:hAnsi="Book Antiqua" w:cs="Arial"/>
          <w:color w:val="000000" w:themeColor="text1"/>
        </w:rPr>
        <w:t>C</w:t>
      </w:r>
      <w:r w:rsidR="00FF1FCC" w:rsidRPr="00D07897">
        <w:rPr>
          <w:rFonts w:ascii="Book Antiqua" w:hAnsi="Book Antiqua" w:cs="Arial"/>
          <w:color w:val="000000" w:themeColor="text1"/>
        </w:rPr>
        <w:t>rohn’s/</w:t>
      </w:r>
      <w:r w:rsidRPr="00D07897">
        <w:rPr>
          <w:rFonts w:ascii="Book Antiqua" w:hAnsi="Book Antiqua" w:cs="Arial"/>
          <w:color w:val="000000" w:themeColor="text1"/>
        </w:rPr>
        <w:t>C</w:t>
      </w:r>
      <w:r w:rsidR="00FF1FCC" w:rsidRPr="00D07897">
        <w:rPr>
          <w:rFonts w:ascii="Book Antiqua" w:hAnsi="Book Antiqua" w:cs="Arial"/>
          <w:color w:val="000000" w:themeColor="text1"/>
        </w:rPr>
        <w:t>rohn disease” or “ulcerative colitis”. Filters applied included human subjects, English language and</w:t>
      </w:r>
      <w:r w:rsidR="008147BF" w:rsidRPr="00D07897">
        <w:rPr>
          <w:rFonts w:ascii="Book Antiqua" w:hAnsi="Book Antiqua" w:cs="Arial"/>
          <w:color w:val="000000" w:themeColor="text1"/>
        </w:rPr>
        <w:t xml:space="preserve"> adult population (age 16</w:t>
      </w:r>
      <w:r w:rsidR="00FF1FCC" w:rsidRPr="00D07897">
        <w:rPr>
          <w:rFonts w:ascii="Book Antiqua" w:hAnsi="Book Antiqua" w:cs="Arial"/>
          <w:color w:val="000000" w:themeColor="text1"/>
        </w:rPr>
        <w:t xml:space="preserve"> </w:t>
      </w:r>
      <w:r w:rsidR="00B35CEA" w:rsidRPr="00D07897">
        <w:rPr>
          <w:rFonts w:ascii="Book Antiqua" w:hAnsi="Book Antiqua" w:cs="Arial"/>
          <w:color w:val="000000" w:themeColor="text1"/>
        </w:rPr>
        <w:t xml:space="preserve">years </w:t>
      </w:r>
      <w:r w:rsidR="00FF1FCC" w:rsidRPr="00D07897">
        <w:rPr>
          <w:rFonts w:ascii="Book Antiqua" w:hAnsi="Book Antiqua" w:cs="Arial"/>
          <w:color w:val="000000" w:themeColor="text1"/>
        </w:rPr>
        <w:t xml:space="preserve">and above). </w:t>
      </w:r>
      <w:r w:rsidR="006E7BF3" w:rsidRPr="00D07897">
        <w:rPr>
          <w:rFonts w:ascii="Book Antiqua" w:hAnsi="Book Antiqua" w:cs="Arial"/>
          <w:color w:val="000000" w:themeColor="text1"/>
        </w:rPr>
        <w:t xml:space="preserve">An updated search was conducted to </w:t>
      </w:r>
      <w:r w:rsidR="00197706" w:rsidRPr="00D07897">
        <w:rPr>
          <w:rFonts w:ascii="Book Antiqua" w:hAnsi="Book Antiqua" w:cs="Arial"/>
          <w:color w:val="000000" w:themeColor="text1"/>
        </w:rPr>
        <w:t>identify articles published between December 20, 2017</w:t>
      </w:r>
      <w:r w:rsidR="002F4313" w:rsidRPr="00D07897">
        <w:rPr>
          <w:rFonts w:ascii="Book Antiqua" w:hAnsi="Book Antiqua" w:cs="Arial"/>
          <w:color w:val="000000" w:themeColor="text1"/>
        </w:rPr>
        <w:t xml:space="preserve"> and </w:t>
      </w:r>
      <w:r w:rsidR="00197706" w:rsidRPr="00D07897">
        <w:rPr>
          <w:rFonts w:ascii="Book Antiqua" w:hAnsi="Book Antiqua" w:cs="Arial"/>
          <w:color w:val="000000" w:themeColor="text1"/>
        </w:rPr>
        <w:t>J</w:t>
      </w:r>
      <w:r w:rsidR="002263AA" w:rsidRPr="00D07897">
        <w:rPr>
          <w:rFonts w:ascii="Book Antiqua" w:hAnsi="Book Antiqua" w:cs="Arial"/>
          <w:color w:val="000000" w:themeColor="text1"/>
        </w:rPr>
        <w:t xml:space="preserve">anuary </w:t>
      </w:r>
      <w:r w:rsidR="00B35CEA" w:rsidRPr="00D07897">
        <w:rPr>
          <w:rFonts w:ascii="Book Antiqua" w:hAnsi="Book Antiqua" w:cs="Arial"/>
          <w:color w:val="000000" w:themeColor="text1"/>
        </w:rPr>
        <w:t xml:space="preserve">14, </w:t>
      </w:r>
      <w:r w:rsidR="002263AA" w:rsidRPr="00D07897">
        <w:rPr>
          <w:rFonts w:ascii="Book Antiqua" w:hAnsi="Book Antiqua" w:cs="Arial"/>
          <w:color w:val="000000" w:themeColor="text1"/>
        </w:rPr>
        <w:t>2019</w:t>
      </w:r>
      <w:r w:rsidR="00EB7392" w:rsidRPr="00D07897">
        <w:rPr>
          <w:rFonts w:ascii="Book Antiqua" w:hAnsi="Book Antiqua" w:cs="Arial"/>
          <w:color w:val="000000" w:themeColor="text1"/>
        </w:rPr>
        <w:t xml:space="preserve"> on PubM</w:t>
      </w:r>
      <w:r w:rsidR="002F4313" w:rsidRPr="00D07897">
        <w:rPr>
          <w:rFonts w:ascii="Book Antiqua" w:hAnsi="Book Antiqua" w:cs="Arial"/>
          <w:color w:val="000000" w:themeColor="text1"/>
        </w:rPr>
        <w:t>ed</w:t>
      </w:r>
      <w:r w:rsidR="00EB7392" w:rsidRPr="00D07897">
        <w:rPr>
          <w:rFonts w:ascii="Book Antiqua" w:hAnsi="Book Antiqua" w:cs="Arial"/>
          <w:color w:val="000000" w:themeColor="text1"/>
        </w:rPr>
        <w:t xml:space="preserve">. </w:t>
      </w:r>
      <w:r w:rsidR="007A3146" w:rsidRPr="00D07897">
        <w:rPr>
          <w:rFonts w:ascii="Book Antiqua" w:hAnsi="Book Antiqua" w:cs="Arial"/>
          <w:color w:val="000000" w:themeColor="text1"/>
        </w:rPr>
        <w:t xml:space="preserve">Further eligible studies were </w:t>
      </w:r>
      <w:r w:rsidR="00515B0E" w:rsidRPr="00D07897">
        <w:rPr>
          <w:rFonts w:ascii="Book Antiqua" w:hAnsi="Book Antiqua" w:cs="Arial"/>
          <w:color w:val="000000" w:themeColor="text1"/>
        </w:rPr>
        <w:t>extracted</w:t>
      </w:r>
      <w:r w:rsidR="007A3146" w:rsidRPr="00D07897">
        <w:rPr>
          <w:rFonts w:ascii="Book Antiqua" w:hAnsi="Book Antiqua" w:cs="Arial"/>
          <w:color w:val="000000" w:themeColor="text1"/>
        </w:rPr>
        <w:t xml:space="preserve"> from</w:t>
      </w:r>
      <w:r w:rsidR="00B35CEA" w:rsidRPr="00D07897">
        <w:rPr>
          <w:rFonts w:ascii="Book Antiqua" w:hAnsi="Book Antiqua" w:cs="Arial"/>
          <w:color w:val="000000" w:themeColor="text1"/>
        </w:rPr>
        <w:t xml:space="preserve"> a</w:t>
      </w:r>
      <w:r w:rsidR="007A3146" w:rsidRPr="00D07897">
        <w:rPr>
          <w:rFonts w:ascii="Book Antiqua" w:hAnsi="Book Antiqua" w:cs="Arial"/>
          <w:color w:val="000000" w:themeColor="text1"/>
        </w:rPr>
        <w:t xml:space="preserve"> review of reference lists of full texts retrieved after initial screening of search results.</w:t>
      </w:r>
    </w:p>
    <w:p w14:paraId="055AAECE" w14:textId="77777777" w:rsidR="00E77CD0" w:rsidRPr="00D07897" w:rsidRDefault="00E77CD0" w:rsidP="00F96F15">
      <w:pPr>
        <w:spacing w:line="360" w:lineRule="auto"/>
        <w:jc w:val="both"/>
        <w:rPr>
          <w:rFonts w:ascii="Book Antiqua" w:hAnsi="Book Antiqua" w:cs="Arial"/>
          <w:color w:val="000000" w:themeColor="text1"/>
        </w:rPr>
      </w:pPr>
    </w:p>
    <w:p w14:paraId="02F0D7C0" w14:textId="419B2470" w:rsidR="00B527CF" w:rsidRPr="00D07897" w:rsidRDefault="00847E05" w:rsidP="00F96F15">
      <w:pPr>
        <w:spacing w:line="360" w:lineRule="auto"/>
        <w:jc w:val="both"/>
        <w:rPr>
          <w:rFonts w:ascii="Book Antiqua" w:hAnsi="Book Antiqua" w:cs="Arial"/>
          <w:b/>
          <w:bCs/>
          <w:i/>
          <w:color w:val="000000" w:themeColor="text1"/>
        </w:rPr>
      </w:pPr>
      <w:r w:rsidRPr="00D07897">
        <w:rPr>
          <w:rFonts w:ascii="Book Antiqua" w:hAnsi="Book Antiqua" w:cs="Arial"/>
          <w:b/>
          <w:bCs/>
          <w:i/>
          <w:color w:val="000000" w:themeColor="text1"/>
        </w:rPr>
        <w:t xml:space="preserve">Study </w:t>
      </w:r>
      <w:r w:rsidR="002F4313" w:rsidRPr="00D07897">
        <w:rPr>
          <w:rFonts w:ascii="Book Antiqua" w:hAnsi="Book Antiqua" w:cs="Arial"/>
          <w:b/>
          <w:bCs/>
          <w:i/>
          <w:color w:val="000000" w:themeColor="text1"/>
        </w:rPr>
        <w:t>s</w:t>
      </w:r>
      <w:r w:rsidRPr="00D07897">
        <w:rPr>
          <w:rFonts w:ascii="Book Antiqua" w:hAnsi="Book Antiqua" w:cs="Arial"/>
          <w:b/>
          <w:bCs/>
          <w:i/>
          <w:color w:val="000000" w:themeColor="text1"/>
        </w:rPr>
        <w:t>election</w:t>
      </w:r>
    </w:p>
    <w:p w14:paraId="291E192B" w14:textId="4D027AFA" w:rsidR="009F2A6C" w:rsidRPr="00D07897" w:rsidRDefault="00917C87"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Initial search results were screened against inclusion and exclusion criteria</w:t>
      </w:r>
      <w:r w:rsidR="005D786E" w:rsidRPr="00D07897">
        <w:rPr>
          <w:rFonts w:ascii="Book Antiqua" w:hAnsi="Book Antiqua" w:cs="Arial"/>
          <w:color w:val="000000" w:themeColor="text1"/>
        </w:rPr>
        <w:t xml:space="preserve"> </w:t>
      </w:r>
      <w:r w:rsidRPr="00D07897">
        <w:rPr>
          <w:rFonts w:ascii="Book Antiqua" w:hAnsi="Book Antiqua" w:cs="Arial"/>
          <w:color w:val="000000" w:themeColor="text1"/>
        </w:rPr>
        <w:t xml:space="preserve">through review of article titles and abstracts. </w:t>
      </w:r>
      <w:r w:rsidR="005D786E" w:rsidRPr="00D07897">
        <w:rPr>
          <w:rFonts w:ascii="Book Antiqua" w:hAnsi="Book Antiqua" w:cs="Arial"/>
          <w:color w:val="000000" w:themeColor="text1"/>
        </w:rPr>
        <w:t>Inclusion criteria encompassed</w:t>
      </w:r>
      <w:r w:rsidR="008147BF" w:rsidRPr="00D07897">
        <w:rPr>
          <w:rFonts w:ascii="Book Antiqua" w:hAnsi="Book Antiqua" w:cs="Arial"/>
          <w:color w:val="000000" w:themeColor="text1"/>
        </w:rPr>
        <w:t xml:space="preserve"> studies whose population was &gt;</w:t>
      </w:r>
      <w:r w:rsidR="00910C20" w:rsidRPr="00D07897">
        <w:rPr>
          <w:rFonts w:ascii="Book Antiqua" w:hAnsi="Book Antiqua" w:cs="Arial"/>
          <w:color w:val="000000" w:themeColor="text1"/>
        </w:rPr>
        <w:t xml:space="preserve"> </w:t>
      </w:r>
      <w:r w:rsidR="008147BF" w:rsidRPr="00D07897">
        <w:rPr>
          <w:rFonts w:ascii="Book Antiqua" w:hAnsi="Book Antiqua" w:cs="Arial"/>
          <w:color w:val="000000" w:themeColor="text1"/>
        </w:rPr>
        <w:t xml:space="preserve">16 years old, had a confirmed diagnosis of IBD </w:t>
      </w:r>
      <w:r w:rsidR="00910C20" w:rsidRPr="00D07897">
        <w:rPr>
          <w:rFonts w:ascii="Book Antiqua" w:hAnsi="Book Antiqua" w:cs="Arial"/>
          <w:color w:val="000000" w:themeColor="text1"/>
        </w:rPr>
        <w:t>[</w:t>
      </w:r>
      <w:r w:rsidR="006D697A" w:rsidRPr="00D07897">
        <w:rPr>
          <w:rFonts w:ascii="Book Antiqua" w:hAnsi="Book Antiqua" w:cs="Arial"/>
          <w:color w:val="000000" w:themeColor="text1"/>
        </w:rPr>
        <w:t xml:space="preserve">either Crohn’s disease </w:t>
      </w:r>
      <w:r w:rsidR="00910C20" w:rsidRPr="00D07897">
        <w:rPr>
          <w:rFonts w:ascii="Book Antiqua" w:hAnsi="Book Antiqua" w:cs="Arial"/>
          <w:color w:val="000000" w:themeColor="text1"/>
        </w:rPr>
        <w:t>(</w:t>
      </w:r>
      <w:r w:rsidR="008147BF" w:rsidRPr="00D07897">
        <w:rPr>
          <w:rFonts w:ascii="Book Antiqua" w:hAnsi="Book Antiqua" w:cs="Arial"/>
          <w:color w:val="000000" w:themeColor="text1"/>
        </w:rPr>
        <w:t>CD</w:t>
      </w:r>
      <w:r w:rsidR="00910C20" w:rsidRPr="00D07897">
        <w:rPr>
          <w:rFonts w:ascii="Book Antiqua" w:hAnsi="Book Antiqua" w:cs="Arial"/>
          <w:color w:val="000000" w:themeColor="text1"/>
        </w:rPr>
        <w:t>)</w:t>
      </w:r>
      <w:r w:rsidR="006D697A" w:rsidRPr="00D07897">
        <w:rPr>
          <w:rFonts w:ascii="Book Antiqua" w:hAnsi="Book Antiqua" w:cs="Arial"/>
          <w:color w:val="000000" w:themeColor="text1"/>
        </w:rPr>
        <w:t xml:space="preserve"> or ulcerative colitis </w:t>
      </w:r>
      <w:r w:rsidR="00910C20" w:rsidRPr="00D07897">
        <w:rPr>
          <w:rFonts w:ascii="Book Antiqua" w:hAnsi="Book Antiqua" w:cs="Arial"/>
          <w:color w:val="000000" w:themeColor="text1"/>
        </w:rPr>
        <w:t>(</w:t>
      </w:r>
      <w:r w:rsidR="008147BF" w:rsidRPr="00D07897">
        <w:rPr>
          <w:rFonts w:ascii="Book Antiqua" w:hAnsi="Book Antiqua" w:cs="Arial"/>
          <w:color w:val="000000" w:themeColor="text1"/>
        </w:rPr>
        <w:t>UC</w:t>
      </w:r>
      <w:r w:rsidR="00910C20" w:rsidRPr="00D07897">
        <w:rPr>
          <w:rFonts w:ascii="Book Antiqua" w:hAnsi="Book Antiqua" w:cs="Arial"/>
          <w:color w:val="000000" w:themeColor="text1"/>
        </w:rPr>
        <w:t>)]</w:t>
      </w:r>
      <w:r w:rsidR="008147BF" w:rsidRPr="00D07897">
        <w:rPr>
          <w:rFonts w:ascii="Book Antiqua" w:hAnsi="Book Antiqua" w:cs="Arial"/>
          <w:color w:val="000000" w:themeColor="text1"/>
        </w:rPr>
        <w:t xml:space="preserve">, and </w:t>
      </w:r>
      <w:r w:rsidR="005D111A" w:rsidRPr="00D07897">
        <w:rPr>
          <w:rFonts w:ascii="Book Antiqua" w:hAnsi="Book Antiqua" w:cs="Arial"/>
          <w:color w:val="000000" w:themeColor="text1"/>
        </w:rPr>
        <w:t>(</w:t>
      </w:r>
      <w:r w:rsidR="00910C20" w:rsidRPr="00D07897">
        <w:rPr>
          <w:rFonts w:ascii="Book Antiqua" w:hAnsi="Book Antiqua" w:cs="Arial"/>
          <w:color w:val="000000" w:themeColor="text1"/>
        </w:rPr>
        <w:t>1</w:t>
      </w:r>
      <w:r w:rsidR="005D111A" w:rsidRPr="00D07897">
        <w:rPr>
          <w:rFonts w:ascii="Book Antiqua" w:hAnsi="Book Antiqua" w:cs="Arial"/>
          <w:color w:val="000000" w:themeColor="text1"/>
        </w:rPr>
        <w:t xml:space="preserve">) associated </w:t>
      </w:r>
      <w:r w:rsidR="008147BF" w:rsidRPr="00D07897">
        <w:rPr>
          <w:rFonts w:ascii="Book Antiqua" w:hAnsi="Book Antiqua" w:cs="Arial"/>
          <w:color w:val="000000" w:themeColor="text1"/>
        </w:rPr>
        <w:t xml:space="preserve">NSTs with </w:t>
      </w:r>
      <w:r w:rsidR="005D111A" w:rsidRPr="00D07897">
        <w:rPr>
          <w:rFonts w:ascii="Book Antiqua" w:hAnsi="Book Antiqua" w:cs="Arial"/>
          <w:color w:val="000000" w:themeColor="text1"/>
        </w:rPr>
        <w:t xml:space="preserve">a diagnosis of malnutrition using </w:t>
      </w:r>
      <w:r w:rsidR="00A43821" w:rsidRPr="00D07897">
        <w:rPr>
          <w:rFonts w:ascii="Book Antiqua" w:hAnsi="Book Antiqua" w:cs="Arial"/>
          <w:color w:val="000000" w:themeColor="text1"/>
        </w:rPr>
        <w:t>NATs</w:t>
      </w:r>
      <w:r w:rsidR="00910C20" w:rsidRPr="00D07897">
        <w:rPr>
          <w:rFonts w:ascii="Book Antiqua" w:hAnsi="Book Antiqua" w:cs="Arial"/>
          <w:color w:val="000000" w:themeColor="text1"/>
        </w:rPr>
        <w:t>;</w:t>
      </w:r>
      <w:r w:rsidR="008147BF" w:rsidRPr="00D07897">
        <w:rPr>
          <w:rFonts w:ascii="Book Antiqua" w:hAnsi="Book Antiqua" w:cs="Arial"/>
          <w:color w:val="000000" w:themeColor="text1"/>
        </w:rPr>
        <w:t xml:space="preserve"> or </w:t>
      </w:r>
      <w:r w:rsidR="005D111A" w:rsidRPr="00D07897">
        <w:rPr>
          <w:rFonts w:ascii="Book Antiqua" w:hAnsi="Book Antiqua" w:cs="Arial"/>
          <w:color w:val="000000" w:themeColor="text1"/>
        </w:rPr>
        <w:t>(</w:t>
      </w:r>
      <w:r w:rsidR="00910C20" w:rsidRPr="00D07897">
        <w:rPr>
          <w:rFonts w:ascii="Book Antiqua" w:hAnsi="Book Antiqua" w:cs="Arial"/>
          <w:color w:val="000000" w:themeColor="text1"/>
        </w:rPr>
        <w:t>2</w:t>
      </w:r>
      <w:r w:rsidR="005D111A" w:rsidRPr="00D07897">
        <w:rPr>
          <w:rFonts w:ascii="Book Antiqua" w:hAnsi="Book Antiqua" w:cs="Arial"/>
          <w:color w:val="000000" w:themeColor="text1"/>
        </w:rPr>
        <w:t xml:space="preserve">) associated either </w:t>
      </w:r>
      <w:r w:rsidR="008147BF" w:rsidRPr="00D07897">
        <w:rPr>
          <w:rFonts w:ascii="Book Antiqua" w:hAnsi="Book Antiqua" w:cs="Arial"/>
          <w:color w:val="000000" w:themeColor="text1"/>
        </w:rPr>
        <w:t>NST</w:t>
      </w:r>
      <w:r w:rsidR="0091529F" w:rsidRPr="00D07897">
        <w:rPr>
          <w:rFonts w:ascii="Book Antiqua" w:hAnsi="Book Antiqua" w:cs="Arial"/>
          <w:color w:val="000000" w:themeColor="text1"/>
        </w:rPr>
        <w:t xml:space="preserve"> or </w:t>
      </w:r>
      <w:r w:rsidR="008147BF" w:rsidRPr="00D07897">
        <w:rPr>
          <w:rFonts w:ascii="Book Antiqua" w:hAnsi="Book Antiqua" w:cs="Arial"/>
          <w:color w:val="000000" w:themeColor="text1"/>
        </w:rPr>
        <w:t xml:space="preserve">NATs with prospective clinical outcomes. Study designs eligible for inclusion included randomized controlled trials, </w:t>
      </w:r>
      <w:r w:rsidR="009A3449" w:rsidRPr="00D07897">
        <w:rPr>
          <w:rFonts w:ascii="Book Antiqua" w:hAnsi="Book Antiqua" w:cs="Arial"/>
          <w:color w:val="000000" w:themeColor="text1"/>
        </w:rPr>
        <w:t>cross-sectional studies, cohort studies and case control studies.</w:t>
      </w:r>
    </w:p>
    <w:p w14:paraId="607AFA3A" w14:textId="20DCA8E7" w:rsidR="00917C87" w:rsidRPr="00D07897" w:rsidRDefault="009A3449" w:rsidP="00910C20">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t>Records were excluded if a formal NST/NAT was not utilized</w:t>
      </w:r>
      <w:r w:rsidR="00E73F13" w:rsidRPr="00D07897">
        <w:rPr>
          <w:rFonts w:ascii="Book Antiqua" w:hAnsi="Book Antiqua" w:cs="Arial"/>
          <w:color w:val="000000" w:themeColor="text1"/>
        </w:rPr>
        <w:t xml:space="preserve">, if there were </w:t>
      </w:r>
      <w:r w:rsidRPr="00D07897">
        <w:rPr>
          <w:rFonts w:ascii="Book Antiqua" w:hAnsi="Book Antiqua" w:cs="Arial"/>
          <w:color w:val="000000" w:themeColor="text1"/>
        </w:rPr>
        <w:t>no prospective clinical outcomes</w:t>
      </w:r>
      <w:r w:rsidR="0091529F" w:rsidRPr="00D07897">
        <w:rPr>
          <w:rFonts w:ascii="Book Antiqua" w:hAnsi="Book Antiqua" w:cs="Arial"/>
          <w:color w:val="000000" w:themeColor="text1"/>
        </w:rPr>
        <w:t xml:space="preserve"> evaluated</w:t>
      </w:r>
      <w:r w:rsidR="00D761F0" w:rsidRPr="00D07897">
        <w:rPr>
          <w:rFonts w:ascii="Book Antiqua" w:hAnsi="Book Antiqua" w:cs="Arial"/>
          <w:color w:val="000000" w:themeColor="text1"/>
        </w:rPr>
        <w:t xml:space="preserve"> and/or </w:t>
      </w:r>
      <w:r w:rsidR="00E73F13" w:rsidRPr="00D07897">
        <w:rPr>
          <w:rFonts w:ascii="Book Antiqua" w:hAnsi="Book Antiqua" w:cs="Arial"/>
          <w:color w:val="000000" w:themeColor="text1"/>
        </w:rPr>
        <w:t xml:space="preserve">the study lacked </w:t>
      </w:r>
      <w:r w:rsidR="00D761F0" w:rsidRPr="00D07897">
        <w:rPr>
          <w:rFonts w:ascii="Book Antiqua" w:hAnsi="Book Antiqua" w:cs="Arial"/>
          <w:color w:val="000000" w:themeColor="text1"/>
        </w:rPr>
        <w:t>comparisons between NSTs and NATs</w:t>
      </w:r>
      <w:r w:rsidRPr="00D07897">
        <w:rPr>
          <w:rFonts w:ascii="Book Antiqua" w:hAnsi="Book Antiqua" w:cs="Arial"/>
          <w:color w:val="000000" w:themeColor="text1"/>
        </w:rPr>
        <w:t>. Additionally</w:t>
      </w:r>
      <w:r w:rsidR="008537A5" w:rsidRPr="00D07897">
        <w:rPr>
          <w:rFonts w:ascii="Book Antiqua" w:hAnsi="Book Antiqua" w:cs="Arial"/>
          <w:color w:val="000000" w:themeColor="text1"/>
        </w:rPr>
        <w:t>,</w:t>
      </w:r>
      <w:r w:rsidRPr="00D07897">
        <w:rPr>
          <w:rFonts w:ascii="Book Antiqua" w:hAnsi="Book Antiqua" w:cs="Arial"/>
          <w:color w:val="000000" w:themeColor="text1"/>
        </w:rPr>
        <w:t xml:space="preserve"> stu</w:t>
      </w:r>
      <w:r w:rsidR="008537A5" w:rsidRPr="00D07897">
        <w:rPr>
          <w:rFonts w:ascii="Book Antiqua" w:hAnsi="Book Antiqua" w:cs="Arial"/>
          <w:color w:val="000000" w:themeColor="text1"/>
        </w:rPr>
        <w:t>dies that utilized</w:t>
      </w:r>
      <w:r w:rsidRPr="00D07897">
        <w:rPr>
          <w:rFonts w:ascii="Book Antiqua" w:hAnsi="Book Antiqua" w:cs="Arial"/>
          <w:color w:val="000000" w:themeColor="text1"/>
        </w:rPr>
        <w:t xml:space="preserve"> body mass index (BMI) </w:t>
      </w:r>
      <w:r w:rsidR="008537A5" w:rsidRPr="00D07897">
        <w:rPr>
          <w:rFonts w:ascii="Book Antiqua" w:hAnsi="Book Antiqua" w:cs="Arial"/>
          <w:color w:val="000000" w:themeColor="text1"/>
        </w:rPr>
        <w:t xml:space="preserve">as the sole NAT </w:t>
      </w:r>
      <w:r w:rsidR="00CA724F" w:rsidRPr="00D07897">
        <w:rPr>
          <w:rFonts w:ascii="Book Antiqua" w:hAnsi="Book Antiqua" w:cs="Arial"/>
          <w:color w:val="000000" w:themeColor="text1"/>
        </w:rPr>
        <w:t>were excluded</w:t>
      </w:r>
      <w:r w:rsidR="00A16E16" w:rsidRPr="00D07897">
        <w:rPr>
          <w:rFonts w:ascii="Book Antiqua" w:hAnsi="Book Antiqua" w:cs="Arial"/>
          <w:color w:val="000000" w:themeColor="text1"/>
        </w:rPr>
        <w:t xml:space="preserve"> as previous studies have shown that BMI does not accurately predict body composition in IBD patients</w:t>
      </w:r>
      <w:r w:rsidR="00A16E16"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{"citationItems":[{"id":"ITEM-1","itemData":{"DOI":"10.1111/apt.12372","ISSN":"1365-2036 (Electronic)","PMID":"23763279","abstract":"BACKGROUND: There is a paucity of data on body composition in patients with inflammatory bowel disease (IBD). Alterations of fat and muscle may affect bone health, muscle performance, quality of life (QoL) and overall morbidity. AIMS: To systematically review the literature on body composition in adults with IBD, and to discuss potential contributory factors and associations. METHODS: A systematic search was performed in July 2012 of OVID SP MEDLINE, OVID EMBASE and National Library of Medicine's PubMed Central Medline (Limitations: English, humans, from 1992). A total of 19 articles comparing body composition in patients with IBD with healthy age- and sex-matched control populations were included in the primary analysis. RESULTS: A total of 631 patients with Crohn's disease (CD) and 295 with ulcerative colitis (UC), mean age 37.1 (s.d. +/- 9.2) years; 485 (52%) female, were reported upon. Data were heterogeneous and methodology varied. Compared with controls, a statistically significant reduction in body mass index (BMI) was reported in 37% of CD and 20% of UC patients; reduced fat-free mass in 28% CD and 13% UC patients, and reduced fat mass in 31% CD and 13% UC patients. There was no consistent association between body composition and disease activity, duration, extent or therapies. BMI did not accurately predict body composition. CONCLUSIONS: Current data, although heterogeneous, suggest that many patients with IBD are affected by aberrations in fat and lean mass, which may not be detected during routine clinical assessment. The prevalence and impact of altered body composition amongst this population warrant further investigation.","author":[{"dropping-particle":"V","family":"Bryant","given":"R","non-dropping-particle":"","parse-names":false,"suffix":""},{"dropping-particle":"","family":"Trott","given":"M J","non-dropping-particle":"","parse-names":false,"suffix":""},{"dropping-particle":"","family":"Bartholomeusz","given":"F D","non-dropping-particle":"","parse-names":false,"suffix":""},{"dropping-particle":"","family":"Andrews","given":"J M","non-dropping-particle":"","parse-names":false,"suffix":""}],"container-title":"Alimentary pharmacology &amp; therapeutics","id":"ITEM-1","issue":"3","issued":{"date-parts":[["2013","8"]]},"language":"eng","page":"213-225","publisher-place":"England","title":"Systematic review: body composition in adults with inflammatory bowel disease.","type":"article-journal","volume":"38"},"uris":["http://www.mendeley.com/documents/?uuid=994bda2b-ac99-4de7-a1ed-b242e90c5917"]}],"mendeley":{"formattedCitation":"&lt;sup&gt;[23]&lt;/sup&gt;","plainTextFormattedCitation":"[23]","previouslyFormattedCitation":"&lt;sup&gt;[23]&lt;/sup&gt;"},"properties":{"noteIndex":0},"schema":"https://github.com/citation-style-language/schema/raw/master/csl-citation.json"}</w:instrText>
      </w:r>
      <w:r w:rsidR="00A16E16"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[23]</w:t>
      </w:r>
      <w:r w:rsidR="00A16E16" w:rsidRPr="00D07897">
        <w:rPr>
          <w:rFonts w:ascii="Book Antiqua" w:hAnsi="Book Antiqua" w:cs="Arial"/>
          <w:color w:val="000000" w:themeColor="text1"/>
        </w:rPr>
        <w:fldChar w:fldCharType="end"/>
      </w:r>
      <w:r w:rsidR="00CA724F" w:rsidRPr="00D07897">
        <w:rPr>
          <w:rFonts w:ascii="Book Antiqua" w:hAnsi="Book Antiqua" w:cs="Arial"/>
          <w:color w:val="000000" w:themeColor="text1"/>
        </w:rPr>
        <w:t xml:space="preserve">. </w:t>
      </w:r>
      <w:proofErr w:type="gramStart"/>
      <w:r w:rsidR="00CA724F" w:rsidRPr="00D07897">
        <w:rPr>
          <w:rFonts w:ascii="Book Antiqua" w:hAnsi="Book Antiqua" w:cs="Arial"/>
          <w:color w:val="000000" w:themeColor="text1"/>
        </w:rPr>
        <w:t xml:space="preserve">Studies that </w:t>
      </w:r>
      <w:r w:rsidR="005F08A8" w:rsidRPr="00D07897">
        <w:rPr>
          <w:rFonts w:ascii="Book Antiqua" w:hAnsi="Book Antiqua" w:cs="Arial"/>
          <w:color w:val="000000" w:themeColor="text1"/>
        </w:rPr>
        <w:t xml:space="preserve">used </w:t>
      </w:r>
      <w:r w:rsidR="008537A5" w:rsidRPr="00D07897">
        <w:rPr>
          <w:rFonts w:ascii="Book Antiqua" w:hAnsi="Book Antiqua" w:cs="Arial"/>
          <w:color w:val="000000" w:themeColor="text1"/>
        </w:rPr>
        <w:t>NST/NATs</w:t>
      </w:r>
      <w:r w:rsidRPr="00D07897">
        <w:rPr>
          <w:rFonts w:ascii="Book Antiqua" w:hAnsi="Book Antiqua" w:cs="Arial"/>
          <w:color w:val="000000" w:themeColor="text1"/>
        </w:rPr>
        <w:t xml:space="preserve"> based only on laboratory para</w:t>
      </w:r>
      <w:r w:rsidR="00CA724F" w:rsidRPr="00D07897">
        <w:rPr>
          <w:rFonts w:ascii="Book Antiqua" w:hAnsi="Book Antiqua" w:cs="Arial"/>
          <w:color w:val="000000" w:themeColor="text1"/>
        </w:rPr>
        <w:t>meters (</w:t>
      </w:r>
      <w:r w:rsidR="00CA724F" w:rsidRPr="00D07897">
        <w:rPr>
          <w:rFonts w:ascii="Book Antiqua" w:hAnsi="Book Antiqua" w:cs="Arial"/>
          <w:i/>
          <w:iCs/>
          <w:color w:val="000000" w:themeColor="text1"/>
        </w:rPr>
        <w:t>i.e</w:t>
      </w:r>
      <w:r w:rsidR="00CA724F" w:rsidRPr="00D07897">
        <w:rPr>
          <w:rFonts w:ascii="Book Antiqua" w:hAnsi="Book Antiqua" w:cs="Arial"/>
          <w:color w:val="000000" w:themeColor="text1"/>
        </w:rPr>
        <w:t>.</w:t>
      </w:r>
      <w:r w:rsidR="00B35CEA" w:rsidRPr="00D07897">
        <w:rPr>
          <w:rFonts w:ascii="Book Antiqua" w:hAnsi="Book Antiqua" w:cs="Arial"/>
          <w:color w:val="000000" w:themeColor="text1"/>
        </w:rPr>
        <w:t>,</w:t>
      </w:r>
      <w:r w:rsidR="00CA724F" w:rsidRPr="00D07897">
        <w:rPr>
          <w:rFonts w:ascii="Book Antiqua" w:hAnsi="Book Antiqua" w:cs="Arial"/>
          <w:color w:val="000000" w:themeColor="text1"/>
        </w:rPr>
        <w:t xml:space="preserve"> </w:t>
      </w:r>
      <w:r w:rsidR="008537A5" w:rsidRPr="00D07897">
        <w:rPr>
          <w:rFonts w:ascii="Book Antiqua" w:hAnsi="Book Antiqua" w:cs="Arial"/>
          <w:color w:val="000000" w:themeColor="text1"/>
        </w:rPr>
        <w:t xml:space="preserve">CONUT, OPNI) </w:t>
      </w:r>
      <w:r w:rsidR="00CA724F" w:rsidRPr="00D07897">
        <w:rPr>
          <w:rFonts w:ascii="Book Antiqua" w:hAnsi="Book Antiqua" w:cs="Arial"/>
          <w:color w:val="000000" w:themeColor="text1"/>
        </w:rPr>
        <w:t xml:space="preserve">were </w:t>
      </w:r>
      <w:r w:rsidR="005D111A" w:rsidRPr="00D07897">
        <w:rPr>
          <w:rFonts w:ascii="Book Antiqua" w:hAnsi="Book Antiqua" w:cs="Arial"/>
          <w:color w:val="000000" w:themeColor="text1"/>
        </w:rPr>
        <w:t xml:space="preserve">also </w:t>
      </w:r>
      <w:r w:rsidR="00CA724F" w:rsidRPr="00D07897">
        <w:rPr>
          <w:rFonts w:ascii="Book Antiqua" w:hAnsi="Book Antiqua" w:cs="Arial"/>
          <w:color w:val="000000" w:themeColor="text1"/>
        </w:rPr>
        <w:t>excluded</w:t>
      </w:r>
      <w:r w:rsidR="00302194" w:rsidRPr="00D07897">
        <w:rPr>
          <w:rFonts w:ascii="Book Antiqua" w:hAnsi="Book Antiqua" w:cs="Arial"/>
          <w:color w:val="000000" w:themeColor="text1"/>
        </w:rPr>
        <w:t>.</w:t>
      </w:r>
      <w:proofErr w:type="gramEnd"/>
      <w:r w:rsidR="00CA724F" w:rsidRPr="00D07897">
        <w:rPr>
          <w:rFonts w:ascii="Book Antiqua" w:hAnsi="Book Antiqua" w:cs="Arial"/>
          <w:color w:val="000000" w:themeColor="text1"/>
        </w:rPr>
        <w:t xml:space="preserve"> </w:t>
      </w:r>
      <w:r w:rsidR="00E73F13" w:rsidRPr="00D07897">
        <w:rPr>
          <w:rFonts w:ascii="Book Antiqua" w:hAnsi="Book Antiqua" w:cs="Arial"/>
          <w:color w:val="000000" w:themeColor="text1"/>
        </w:rPr>
        <w:t>S</w:t>
      </w:r>
      <w:r w:rsidR="00302194" w:rsidRPr="00D07897">
        <w:rPr>
          <w:rFonts w:ascii="Book Antiqua" w:hAnsi="Book Antiqua" w:cs="Arial"/>
          <w:color w:val="000000" w:themeColor="text1"/>
        </w:rPr>
        <w:t xml:space="preserve">ignificant laboratory abnormalities can be seen in IBD patients at baseline due to the inflammatory nature of their illness </w:t>
      </w:r>
      <w:r w:rsidR="005F0C54" w:rsidRPr="00D07897">
        <w:rPr>
          <w:rFonts w:ascii="Book Antiqua" w:hAnsi="Book Antiqua" w:cs="Arial"/>
          <w:color w:val="000000" w:themeColor="text1"/>
        </w:rPr>
        <w:t xml:space="preserve">that </w:t>
      </w:r>
      <w:r w:rsidR="00CA724F" w:rsidRPr="00D07897">
        <w:rPr>
          <w:rFonts w:ascii="Book Antiqua" w:hAnsi="Book Antiqua" w:cs="Arial"/>
          <w:color w:val="000000" w:themeColor="text1"/>
        </w:rPr>
        <w:t xml:space="preserve">do not necessarily </w:t>
      </w:r>
      <w:r w:rsidR="00843EB9" w:rsidRPr="00D07897">
        <w:rPr>
          <w:rFonts w:ascii="Book Antiqua" w:hAnsi="Book Antiqua" w:cs="Arial"/>
          <w:color w:val="000000" w:themeColor="text1"/>
        </w:rPr>
        <w:t xml:space="preserve">accurately </w:t>
      </w:r>
      <w:r w:rsidR="00CA724F" w:rsidRPr="00D07897">
        <w:rPr>
          <w:rFonts w:ascii="Book Antiqua" w:hAnsi="Book Antiqua" w:cs="Arial"/>
          <w:color w:val="000000" w:themeColor="text1"/>
        </w:rPr>
        <w:t>reflect nutrition status</w:t>
      </w:r>
      <w:r w:rsidR="00462D8B"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{"citationItems":[{"id":"ITEM-1","itemData":{"DOI":"https://dx.doi.org/10.1016/j.ejim.2010.07.021","ISSN":"1879-0828","abstract":"Protein-energy malnutrition (PEM) is defined as a \"state of nutrition in which a deficiency or excess (or imbalance) of energy, protein, and other nutrients causes measurable adverse effects on tissue/body form (body shape, size and composition) and function, and clinical outcome\". Although this definition resulted from a long discussion among experts, it lacks concise assessment criteria. Essential to an effective practice of nutrition support, however, is the ability to identify who actually needs medical nutrition therapy. Patients with active inflammatory bowel disease (IBD) are a high risk group for protein-energy malnutrition, with a prevalence ranging up to 75%., Copyright © 2010 European Federation of Internal Medicine. Published by Elsevier B.V. All rights reserved.","author":[{"dropping-particle":"","family":"Valentini","given":"Luzia","non-dropping-particle":"","parse-names":false,"suffix":""},{"dropping-particle":"","family":"Schulzke","given":"Jorg-Dieter","non-dropping-particle":"","parse-names":false,"suffix":""}],"container-title":"European journal of internal medicine","id":"ITEM-1","issue":"1","issued":{"date-parts":[["2011"]]},"note":"Comment on: Eur J Intern Med. 2010 Aug;21(4):320-3; PMID: 20603044, Comment on: Eur J Intern Med. 2010 Aug;21(4):315-9; PMID: 20603043","page":"13-15","publisher-place":"Netherlands","title":"Mundane, yet challenging: the assessment of malnutrition in inflammatory bowel disease.","type":"article-journal","volume":"22"},"uris":["http://www.mendeley.com/documents/?uuid=d3893ad5-332b-4047-9e49-8c4af68247f2"]}],"mendeley":{"formattedCitation":"&lt;sup&gt;[24]&lt;/sup&gt;","plainTextFormattedCitation":"[24]","previouslyFormattedCitation":"&lt;sup&gt;[24]&lt;/sup&gt;"},"properties":{"noteIndex":0},"schema":"https://github.com/citation-style-language/schema/raw/master/csl-citation.json"}</w:instrText>
      </w:r>
      <w:r w:rsidR="00462D8B"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[24]</w:t>
      </w:r>
      <w:r w:rsidR="00462D8B" w:rsidRPr="00D07897">
        <w:rPr>
          <w:rFonts w:ascii="Book Antiqua" w:hAnsi="Book Antiqua" w:cs="Arial"/>
          <w:color w:val="000000" w:themeColor="text1"/>
        </w:rPr>
        <w:fldChar w:fldCharType="end"/>
      </w:r>
      <w:r w:rsidR="00CA724F" w:rsidRPr="00D07897">
        <w:rPr>
          <w:rFonts w:ascii="Book Antiqua" w:hAnsi="Book Antiqua" w:cs="Arial"/>
          <w:color w:val="000000" w:themeColor="text1"/>
        </w:rPr>
        <w:t>. Articles</w:t>
      </w:r>
      <w:r w:rsidRPr="00D07897">
        <w:rPr>
          <w:rFonts w:ascii="Book Antiqua" w:hAnsi="Book Antiqua" w:cs="Arial"/>
          <w:color w:val="000000" w:themeColor="text1"/>
        </w:rPr>
        <w:t xml:space="preserve"> that did not have an English translation available were excluded.</w:t>
      </w:r>
      <w:r w:rsidR="00CA724F" w:rsidRPr="00D07897">
        <w:rPr>
          <w:rFonts w:ascii="Book Antiqua" w:hAnsi="Book Antiqua" w:cs="Arial"/>
          <w:color w:val="000000" w:themeColor="text1"/>
        </w:rPr>
        <w:t xml:space="preserve"> </w:t>
      </w:r>
      <w:r w:rsidR="00917C87" w:rsidRPr="00D07897">
        <w:rPr>
          <w:rFonts w:ascii="Book Antiqua" w:hAnsi="Book Antiqua" w:cs="Arial"/>
          <w:color w:val="000000" w:themeColor="text1"/>
        </w:rPr>
        <w:t xml:space="preserve">Articles of interest or that were unclear as to meeting inclusion/exclusion criteria </w:t>
      </w:r>
      <w:r w:rsidR="00A84890" w:rsidRPr="00D07897">
        <w:rPr>
          <w:rFonts w:ascii="Book Antiqua" w:hAnsi="Book Antiqua" w:cs="Arial"/>
          <w:color w:val="000000" w:themeColor="text1"/>
        </w:rPr>
        <w:t>had their</w:t>
      </w:r>
      <w:r w:rsidR="00917C87" w:rsidRPr="00D07897">
        <w:rPr>
          <w:rFonts w:ascii="Book Antiqua" w:hAnsi="Book Antiqua" w:cs="Arial"/>
          <w:color w:val="000000" w:themeColor="text1"/>
        </w:rPr>
        <w:t xml:space="preserve"> full text retrieved and reviewed by two independent reviewers</w:t>
      </w:r>
      <w:r w:rsidR="00B41568" w:rsidRPr="00D07897">
        <w:rPr>
          <w:rFonts w:ascii="Book Antiqua" w:hAnsi="Book Antiqua" w:cs="Arial"/>
          <w:color w:val="000000" w:themeColor="text1"/>
        </w:rPr>
        <w:t xml:space="preserve"> (SL and MN)</w:t>
      </w:r>
      <w:r w:rsidR="00917C87" w:rsidRPr="00D07897">
        <w:rPr>
          <w:rFonts w:ascii="Book Antiqua" w:hAnsi="Book Antiqua" w:cs="Arial"/>
          <w:color w:val="000000" w:themeColor="text1"/>
        </w:rPr>
        <w:t xml:space="preserve"> for eligibility. </w:t>
      </w:r>
      <w:r w:rsidR="00134237" w:rsidRPr="00D07897">
        <w:rPr>
          <w:rFonts w:ascii="Book Antiqua" w:hAnsi="Book Antiqua" w:cs="Arial"/>
          <w:color w:val="000000" w:themeColor="text1"/>
        </w:rPr>
        <w:t>Disagreements between reviewers were settled through discussions with a third reviewer</w:t>
      </w:r>
      <w:r w:rsidR="00B41568" w:rsidRPr="00D07897">
        <w:rPr>
          <w:rFonts w:ascii="Book Antiqua" w:hAnsi="Book Antiqua" w:cs="Arial"/>
          <w:color w:val="000000" w:themeColor="text1"/>
        </w:rPr>
        <w:t xml:space="preserve"> (PT)</w:t>
      </w:r>
      <w:r w:rsidR="00134237" w:rsidRPr="00D07897">
        <w:rPr>
          <w:rFonts w:ascii="Book Antiqua" w:hAnsi="Book Antiqua" w:cs="Arial"/>
          <w:color w:val="000000" w:themeColor="text1"/>
        </w:rPr>
        <w:t xml:space="preserve">. </w:t>
      </w:r>
    </w:p>
    <w:p w14:paraId="68DE7D20" w14:textId="77777777" w:rsidR="00847E05" w:rsidRPr="00D07897" w:rsidRDefault="00847E05" w:rsidP="00F96F15">
      <w:pPr>
        <w:spacing w:line="360" w:lineRule="auto"/>
        <w:jc w:val="both"/>
        <w:rPr>
          <w:rFonts w:ascii="Book Antiqua" w:hAnsi="Book Antiqua" w:cs="Arial"/>
          <w:i/>
          <w:color w:val="000000" w:themeColor="text1"/>
        </w:rPr>
      </w:pPr>
    </w:p>
    <w:p w14:paraId="3A7330B5" w14:textId="0F74BF8A" w:rsidR="00A24844" w:rsidRPr="00D07897" w:rsidRDefault="00A24844" w:rsidP="00F96F15">
      <w:pPr>
        <w:spacing w:line="360" w:lineRule="auto"/>
        <w:jc w:val="both"/>
        <w:rPr>
          <w:rFonts w:ascii="Book Antiqua" w:hAnsi="Book Antiqua" w:cs="Arial"/>
          <w:b/>
          <w:bCs/>
          <w:i/>
          <w:color w:val="000000" w:themeColor="text1"/>
        </w:rPr>
      </w:pPr>
      <w:r w:rsidRPr="00D07897">
        <w:rPr>
          <w:rFonts w:ascii="Book Antiqua" w:hAnsi="Book Antiqua" w:cs="Arial"/>
          <w:b/>
          <w:bCs/>
          <w:i/>
          <w:color w:val="000000" w:themeColor="text1"/>
        </w:rPr>
        <w:t xml:space="preserve">Data </w:t>
      </w:r>
      <w:r w:rsidR="00910C20" w:rsidRPr="00D07897">
        <w:rPr>
          <w:rFonts w:ascii="Book Antiqua" w:hAnsi="Book Antiqua" w:cs="Arial"/>
          <w:b/>
          <w:bCs/>
          <w:i/>
          <w:color w:val="000000" w:themeColor="text1"/>
        </w:rPr>
        <w:t>e</w:t>
      </w:r>
      <w:r w:rsidRPr="00D07897">
        <w:rPr>
          <w:rFonts w:ascii="Book Antiqua" w:hAnsi="Book Antiqua" w:cs="Arial"/>
          <w:b/>
          <w:bCs/>
          <w:i/>
          <w:color w:val="000000" w:themeColor="text1"/>
        </w:rPr>
        <w:t>xtraction</w:t>
      </w:r>
    </w:p>
    <w:p w14:paraId="702061CC" w14:textId="26E11C07" w:rsidR="00A84890" w:rsidRPr="00D07897" w:rsidRDefault="00A84890"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The following data was extracted from each study where possible</w:t>
      </w:r>
      <w:r w:rsidR="00292008" w:rsidRPr="00D07897">
        <w:rPr>
          <w:rFonts w:ascii="Book Antiqua" w:hAnsi="Book Antiqua" w:cs="Arial"/>
          <w:color w:val="000000" w:themeColor="text1"/>
        </w:rPr>
        <w:t xml:space="preserve"> by an independent reviewer</w:t>
      </w:r>
      <w:r w:rsidRPr="00D07897">
        <w:rPr>
          <w:rFonts w:ascii="Book Antiqua" w:hAnsi="Book Antiqua" w:cs="Arial"/>
          <w:color w:val="000000" w:themeColor="text1"/>
        </w:rPr>
        <w:t>: first author</w:t>
      </w:r>
      <w:r w:rsidR="00B35CEA" w:rsidRPr="00D07897">
        <w:rPr>
          <w:rFonts w:ascii="Book Antiqua" w:hAnsi="Book Antiqua" w:cs="Arial"/>
          <w:color w:val="000000" w:themeColor="text1"/>
        </w:rPr>
        <w:t>’</w:t>
      </w:r>
      <w:r w:rsidRPr="00D07897">
        <w:rPr>
          <w:rFonts w:ascii="Book Antiqua" w:hAnsi="Book Antiqua" w:cs="Arial"/>
          <w:color w:val="000000" w:themeColor="text1"/>
        </w:rPr>
        <w:t xml:space="preserve">s </w:t>
      </w:r>
      <w:r w:rsidR="00B35CEA" w:rsidRPr="00D07897">
        <w:rPr>
          <w:rFonts w:ascii="Book Antiqua" w:hAnsi="Book Antiqua" w:cs="Arial"/>
          <w:color w:val="000000" w:themeColor="text1"/>
        </w:rPr>
        <w:t>sur</w:t>
      </w:r>
      <w:r w:rsidRPr="00D07897">
        <w:rPr>
          <w:rFonts w:ascii="Book Antiqua" w:hAnsi="Book Antiqua" w:cs="Arial"/>
          <w:color w:val="000000" w:themeColor="text1"/>
        </w:rPr>
        <w:t xml:space="preserve">name, journal, year of publication, study design (patient selection) and duration, number of participants, underlying disease (CD or UC), patient demographics (age, duration of disease, severity of </w:t>
      </w:r>
      <w:r w:rsidRPr="00D07897">
        <w:rPr>
          <w:rFonts w:ascii="Book Antiqua" w:hAnsi="Book Antiqua" w:cs="Arial"/>
          <w:color w:val="000000" w:themeColor="text1"/>
        </w:rPr>
        <w:lastRenderedPageBreak/>
        <w:t xml:space="preserve">disease, concomitant treatments), type of NST or NAT used, reported </w:t>
      </w:r>
      <w:r w:rsidR="0091529F" w:rsidRPr="00D07897">
        <w:rPr>
          <w:rFonts w:ascii="Book Antiqua" w:hAnsi="Book Antiqua" w:cs="Arial"/>
          <w:color w:val="000000" w:themeColor="text1"/>
        </w:rPr>
        <w:t xml:space="preserve">correlations </w:t>
      </w:r>
      <w:r w:rsidRPr="00D07897">
        <w:rPr>
          <w:rFonts w:ascii="Book Antiqua" w:hAnsi="Book Antiqua" w:cs="Arial"/>
          <w:color w:val="000000" w:themeColor="text1"/>
        </w:rPr>
        <w:t>between NST and NAT or NST/NAT</w:t>
      </w:r>
      <w:r w:rsidR="008817C2" w:rsidRPr="00D07897">
        <w:rPr>
          <w:rFonts w:ascii="Book Antiqua" w:hAnsi="Book Antiqua" w:cs="Arial"/>
          <w:color w:val="000000" w:themeColor="text1"/>
        </w:rPr>
        <w:t>,</w:t>
      </w:r>
      <w:r w:rsidRPr="00D07897">
        <w:rPr>
          <w:rFonts w:ascii="Book Antiqua" w:hAnsi="Book Antiqua" w:cs="Arial"/>
          <w:color w:val="000000" w:themeColor="text1"/>
        </w:rPr>
        <w:t xml:space="preserve"> and clinical outcomes. </w:t>
      </w:r>
    </w:p>
    <w:p w14:paraId="2554CB58" w14:textId="77777777" w:rsidR="00A84890" w:rsidRPr="00D07897" w:rsidRDefault="00A84890" w:rsidP="00F96F15">
      <w:pPr>
        <w:spacing w:line="360" w:lineRule="auto"/>
        <w:jc w:val="both"/>
        <w:rPr>
          <w:rFonts w:ascii="Book Antiqua" w:hAnsi="Book Antiqua" w:cs="Arial"/>
          <w:color w:val="000000" w:themeColor="text1"/>
        </w:rPr>
      </w:pPr>
    </w:p>
    <w:p w14:paraId="4109A8BD" w14:textId="3E54B1FC" w:rsidR="00A24844" w:rsidRPr="00D07897" w:rsidRDefault="00847E05" w:rsidP="00F96F15">
      <w:pPr>
        <w:spacing w:line="360" w:lineRule="auto"/>
        <w:jc w:val="both"/>
        <w:rPr>
          <w:rFonts w:ascii="Book Antiqua" w:hAnsi="Book Antiqua" w:cs="Arial"/>
          <w:b/>
          <w:bCs/>
          <w:i/>
          <w:color w:val="000000" w:themeColor="text1"/>
        </w:rPr>
      </w:pPr>
      <w:r w:rsidRPr="00D07897">
        <w:rPr>
          <w:rFonts w:ascii="Book Antiqua" w:hAnsi="Book Antiqua" w:cs="Arial"/>
          <w:b/>
          <w:bCs/>
          <w:i/>
          <w:color w:val="000000" w:themeColor="text1"/>
        </w:rPr>
        <w:t xml:space="preserve">Quality </w:t>
      </w:r>
      <w:r w:rsidR="00910C20" w:rsidRPr="00D07897">
        <w:rPr>
          <w:rFonts w:ascii="Book Antiqua" w:hAnsi="Book Antiqua" w:cs="Arial"/>
          <w:b/>
          <w:bCs/>
          <w:i/>
          <w:color w:val="000000" w:themeColor="text1"/>
        </w:rPr>
        <w:t>a</w:t>
      </w:r>
      <w:r w:rsidRPr="00D07897">
        <w:rPr>
          <w:rFonts w:ascii="Book Antiqua" w:hAnsi="Book Antiqua" w:cs="Arial"/>
          <w:b/>
          <w:bCs/>
          <w:i/>
          <w:color w:val="000000" w:themeColor="text1"/>
        </w:rPr>
        <w:t>ssessment</w:t>
      </w:r>
    </w:p>
    <w:p w14:paraId="2A9B3639" w14:textId="03FEC067" w:rsidR="004601E1" w:rsidRPr="00D07897" w:rsidRDefault="004601E1"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As </w:t>
      </w:r>
      <w:r w:rsidR="001B7C5F" w:rsidRPr="00D07897">
        <w:rPr>
          <w:rFonts w:ascii="Book Antiqua" w:hAnsi="Book Antiqua" w:cs="Arial"/>
          <w:color w:val="000000" w:themeColor="text1"/>
        </w:rPr>
        <w:t xml:space="preserve">most </w:t>
      </w:r>
      <w:r w:rsidRPr="00D07897">
        <w:rPr>
          <w:rFonts w:ascii="Book Antiqua" w:hAnsi="Book Antiqua" w:cs="Arial"/>
          <w:color w:val="000000" w:themeColor="text1"/>
        </w:rPr>
        <w:t>studies were observational non-randomized</w:t>
      </w:r>
      <w:r w:rsidR="005C33DF" w:rsidRPr="00D07897">
        <w:rPr>
          <w:rFonts w:ascii="Book Antiqua" w:hAnsi="Book Antiqua" w:cs="Arial"/>
          <w:color w:val="000000" w:themeColor="text1"/>
        </w:rPr>
        <w:t xml:space="preserve"> non-interventional</w:t>
      </w:r>
      <w:r w:rsidRPr="00D07897">
        <w:rPr>
          <w:rFonts w:ascii="Book Antiqua" w:hAnsi="Book Antiqua" w:cs="Arial"/>
          <w:color w:val="000000" w:themeColor="text1"/>
        </w:rPr>
        <w:t xml:space="preserve"> studies without control groups, quality was assessed with a modified Newcastle-Ottawa assessment scale (NOS)</w:t>
      </w:r>
      <w:r w:rsidR="00CA3A09"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author":[{"dropping-particle":"","family":"Wells","given":"George","non-dropping-particle":"","parse-names":false,"suffix":""},{"dropping-particle":"","family":"Shea","given":"Beverley","non-dropping-particle":"","parse-names":false,"suffix":""},{"dropping-particle":"","family":"O'Connell","given":"Dianne","non-dropping-particle":"","parse-names":false,"suffix":""},{"dropping-particle":"","family":"Peterson","given":"je","non-dropping-particle":"","parse-names":false,"suffix":""},{"dropping-particle":"","family":"Welch","given":"Vivian","non-dropping-particle":"","parse-names":false,"suffix":""},{"dropping-particle":"","family":"Losos","given":"M","non-dropping-particle":"","parse-names":false,"suffix":""},{"dropping-particle":"","family":"Tugwell","given":"Peter","non-dropping-particle":"","parse-names":false,"suffix":""}],"container-title":"</w:instrText>
      </w:r>
      <w:r w:rsidR="001B7C5F" w:rsidRPr="00D07897">
        <w:rPr>
          <w:rFonts w:ascii="Book Antiqua" w:eastAsia="Malgun Gothic" w:hAnsi="Book Antiqua" w:cs="Arial"/>
          <w:color w:val="000000" w:themeColor="text1"/>
        </w:rPr>
        <w:instrText>ᅟ</w:instrText>
      </w:r>
      <w:r w:rsidR="001B7C5F" w:rsidRPr="00D07897">
        <w:rPr>
          <w:rFonts w:ascii="Book Antiqua" w:hAnsi="Book Antiqua" w:cs="Arial"/>
          <w:color w:val="000000" w:themeColor="text1"/>
        </w:rPr>
        <w:instrText>","id":"ITEM-1","issued":{"date-parts":[["2000","1","1"]]},"title":"The Newcastle–Ottawa Scale (NOS) for Assessing the Quality of Non-Randomized Studies in Meta-Analysis","type":"book","volume":"</w:instrText>
      </w:r>
      <w:r w:rsidR="001B7C5F" w:rsidRPr="00D07897">
        <w:rPr>
          <w:rFonts w:ascii="Book Antiqua" w:eastAsia="Malgun Gothic" w:hAnsi="Book Antiqua" w:cs="Arial"/>
          <w:color w:val="000000" w:themeColor="text1"/>
        </w:rPr>
        <w:instrText>ᅟ</w:instrText>
      </w:r>
      <w:r w:rsidR="001B7C5F" w:rsidRPr="00D07897">
        <w:rPr>
          <w:rFonts w:ascii="Book Antiqua" w:hAnsi="Book Antiqua" w:cs="Arial"/>
          <w:color w:val="000000" w:themeColor="text1"/>
        </w:rPr>
        <w:instrText>"},"uris":["http://www.mendeley.com/documents/?uuid=d15a38b0-14f8-48dc-aac2-4161c007fee9"]}],"mendeley":{"formattedCitation":"&lt;sup&gt;[25]&lt;/sup&gt;","plainTextFormattedCitation":"[25]","previouslyFormattedCitation":"&lt;sup&gt;[25]&lt;/sup&gt;"},"properties":{"noteIndex":0},"schema":"https://github.com/citation-style-language/schema/raw/master/csl-citation.json"}</w:instrText>
      </w:r>
      <w:r w:rsidR="00CA3A09"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[25]</w:t>
      </w:r>
      <w:r w:rsidR="00CA3A09" w:rsidRPr="00D07897">
        <w:rPr>
          <w:rFonts w:ascii="Book Antiqua" w:hAnsi="Book Antiqua" w:cs="Arial"/>
          <w:color w:val="000000" w:themeColor="text1"/>
        </w:rPr>
        <w:fldChar w:fldCharType="end"/>
      </w:r>
      <w:r w:rsidRPr="00D07897">
        <w:rPr>
          <w:rFonts w:ascii="Book Antiqua" w:hAnsi="Book Antiqua" w:cs="Arial"/>
          <w:color w:val="000000" w:themeColor="text1"/>
        </w:rPr>
        <w:t xml:space="preserve">. </w:t>
      </w:r>
      <w:r w:rsidR="001B7C5F" w:rsidRPr="00D07897">
        <w:rPr>
          <w:rFonts w:ascii="Book Antiqua" w:hAnsi="Book Antiqua" w:cs="Arial"/>
          <w:color w:val="000000" w:themeColor="text1"/>
        </w:rPr>
        <w:t>Of available instruments, the NOS is highlighted as one of the most useful tools for assessing methodological quality and risk of bias in non-randomized studies in the Cochrane Handbook for Systematic Review of Interventions</w:t>
      </w:r>
      <w:r w:rsidR="001B7C5F"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{"citationItems":[{"id":"ITEM-1","itemData":{"ISBN":"978-0-470-69951-5","abstract":"Higgins JPT, Green S (editors). Cochrane Handbook for Systematic Reviews of Interventions Version 5.1.0 updated March 2011. The Cochrane Collaboration, 2011. Available from www.cochrane-handbook.org.","author":[{"dropping-particle":"","family":"Higgins","given":"JPT","non-dropping-particle":"","parse-names":false,"suffix":""},{"dropping-particle":"","family":"Green","given":"S (editors)","non-dropping-particle":"","parse-names":false,"suffix":""}],"container-title":"Cochrane Collaboration","id":"ITEM-1","issued":{"date-parts":[["2011"]]},"title":"Cochrane Handbook for Systematic Reviews of Interventions Version 5.1.0","type":"book"},"uris":["http://www.mendeley.com/documents/?uuid=cfebc12a-0460-45cd-98c0-ca3c379d83ad"]}],"mendeley":{"formattedCitation":"&lt;sup&gt;[26]&lt;/sup&gt;","plainTextFormattedCitation":"[26]"},"properties":{"noteIndex":0},"schema":"https://github.com/citation-style-language/schema/raw/master/csl-citation.json"}</w:instrText>
      </w:r>
      <w:r w:rsidR="001B7C5F"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[26]</w:t>
      </w:r>
      <w:r w:rsidR="001B7C5F" w:rsidRPr="00D07897">
        <w:rPr>
          <w:rFonts w:ascii="Book Antiqua" w:hAnsi="Book Antiqua" w:cs="Arial"/>
          <w:color w:val="000000" w:themeColor="text1"/>
        </w:rPr>
        <w:fldChar w:fldCharType="end"/>
      </w:r>
      <w:r w:rsidR="001B7C5F" w:rsidRPr="00D07897">
        <w:rPr>
          <w:rFonts w:ascii="Book Antiqua" w:hAnsi="Book Antiqua" w:cs="Arial"/>
          <w:color w:val="000000" w:themeColor="text1"/>
        </w:rPr>
        <w:t>.</w:t>
      </w:r>
      <w:r w:rsidR="00910C20" w:rsidRPr="00D07897">
        <w:rPr>
          <w:rFonts w:ascii="Book Antiqua" w:eastAsia="等线" w:hAnsi="Book Antiqua" w:cs="Arial" w:hint="eastAsia"/>
          <w:color w:val="000000" w:themeColor="text1"/>
          <w:lang w:eastAsia="zh-CN"/>
        </w:rPr>
        <w:t xml:space="preserve"> </w:t>
      </w:r>
      <w:r w:rsidRPr="00D07897">
        <w:rPr>
          <w:rFonts w:ascii="Book Antiqua" w:hAnsi="Book Antiqua" w:cs="Arial"/>
          <w:color w:val="000000" w:themeColor="text1"/>
        </w:rPr>
        <w:t xml:space="preserve">Study quality was assessed by two independent reviewers utilizing the </w:t>
      </w:r>
      <w:r w:rsidR="00CA3A09" w:rsidRPr="00D07897">
        <w:rPr>
          <w:rFonts w:ascii="Book Antiqua" w:hAnsi="Book Antiqua" w:cs="Arial"/>
          <w:color w:val="000000" w:themeColor="text1"/>
        </w:rPr>
        <w:t xml:space="preserve">modified </w:t>
      </w:r>
      <w:r w:rsidRPr="00D07897">
        <w:rPr>
          <w:rFonts w:ascii="Book Antiqua" w:hAnsi="Book Antiqua" w:cs="Arial"/>
          <w:color w:val="000000" w:themeColor="text1"/>
        </w:rPr>
        <w:t>NOS</w:t>
      </w:r>
      <w:r w:rsidR="00CA3A09" w:rsidRPr="00D07897">
        <w:rPr>
          <w:rFonts w:ascii="Book Antiqua" w:hAnsi="Book Antiqua" w:cs="Arial"/>
          <w:color w:val="000000" w:themeColor="text1"/>
        </w:rPr>
        <w:t xml:space="preserve"> (SL and MN)</w:t>
      </w:r>
      <w:r w:rsidRPr="00D07897">
        <w:rPr>
          <w:rFonts w:ascii="Book Antiqua" w:hAnsi="Book Antiqua" w:cs="Arial"/>
          <w:color w:val="000000" w:themeColor="text1"/>
        </w:rPr>
        <w:t>. Disagreements between reviewers were settled through discussions with a third reviewer</w:t>
      </w:r>
      <w:r w:rsidR="00CA3A09" w:rsidRPr="00D07897">
        <w:rPr>
          <w:rFonts w:ascii="Book Antiqua" w:hAnsi="Book Antiqua" w:cs="Arial"/>
          <w:color w:val="000000" w:themeColor="text1"/>
        </w:rPr>
        <w:t xml:space="preserve"> (PT)</w:t>
      </w:r>
      <w:r w:rsidRPr="00D07897">
        <w:rPr>
          <w:rFonts w:ascii="Book Antiqua" w:hAnsi="Book Antiqua" w:cs="Arial"/>
          <w:color w:val="000000" w:themeColor="text1"/>
        </w:rPr>
        <w:t>.</w:t>
      </w:r>
    </w:p>
    <w:p w14:paraId="1F7C0133" w14:textId="77777777" w:rsidR="004601E1" w:rsidRPr="00D07897" w:rsidRDefault="004601E1" w:rsidP="00F96F15">
      <w:pPr>
        <w:spacing w:line="360" w:lineRule="auto"/>
        <w:jc w:val="both"/>
        <w:rPr>
          <w:rFonts w:ascii="Book Antiqua" w:hAnsi="Book Antiqua" w:cs="Arial"/>
          <w:color w:val="000000" w:themeColor="text1"/>
        </w:rPr>
      </w:pPr>
    </w:p>
    <w:p w14:paraId="7346C8DB" w14:textId="179D03DA" w:rsidR="005D36AC" w:rsidRPr="00D07897" w:rsidRDefault="00AE0632" w:rsidP="00F96F15">
      <w:pPr>
        <w:spacing w:line="360" w:lineRule="auto"/>
        <w:jc w:val="both"/>
        <w:rPr>
          <w:rFonts w:ascii="Book Antiqua" w:hAnsi="Book Antiqua" w:cs="Arial"/>
          <w:b/>
          <w:bCs/>
          <w:i/>
          <w:color w:val="000000" w:themeColor="text1"/>
        </w:rPr>
      </w:pPr>
      <w:r w:rsidRPr="00D07897">
        <w:rPr>
          <w:rFonts w:ascii="Book Antiqua" w:hAnsi="Book Antiqua" w:cs="Arial"/>
          <w:b/>
          <w:bCs/>
          <w:i/>
          <w:color w:val="000000" w:themeColor="text1"/>
        </w:rPr>
        <w:t xml:space="preserve">Data </w:t>
      </w:r>
      <w:r w:rsidR="00910C20" w:rsidRPr="00D07897">
        <w:rPr>
          <w:rFonts w:ascii="Book Antiqua" w:hAnsi="Book Antiqua" w:cs="Arial"/>
          <w:b/>
          <w:bCs/>
          <w:i/>
          <w:color w:val="000000" w:themeColor="text1"/>
        </w:rPr>
        <w:t>s</w:t>
      </w:r>
      <w:r w:rsidRPr="00D07897">
        <w:rPr>
          <w:rFonts w:ascii="Book Antiqua" w:hAnsi="Book Antiqua" w:cs="Arial"/>
          <w:b/>
          <w:bCs/>
          <w:i/>
          <w:color w:val="000000" w:themeColor="text1"/>
        </w:rPr>
        <w:t>ynthesis</w:t>
      </w:r>
    </w:p>
    <w:p w14:paraId="7D9476C3" w14:textId="327C021A" w:rsidR="005D36AC" w:rsidRPr="00D07897" w:rsidRDefault="005D36AC"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Statistical results relating to outcomes of interest were retrieved from each study and </w:t>
      </w:r>
      <w:r w:rsidR="00C4363A" w:rsidRPr="00D07897">
        <w:rPr>
          <w:rFonts w:ascii="Book Antiqua" w:hAnsi="Book Antiqua" w:cs="Arial"/>
          <w:color w:val="000000" w:themeColor="text1"/>
        </w:rPr>
        <w:t xml:space="preserve">categorized as per objectives. </w:t>
      </w:r>
      <w:r w:rsidR="00573D81" w:rsidRPr="00D07897">
        <w:rPr>
          <w:rFonts w:ascii="Book Antiqua" w:hAnsi="Book Antiqua" w:cs="Arial"/>
          <w:color w:val="000000" w:themeColor="text1"/>
        </w:rPr>
        <w:t xml:space="preserve">Authors and a third-party statistician </w:t>
      </w:r>
      <w:r w:rsidR="002367AD" w:rsidRPr="00D07897">
        <w:rPr>
          <w:rFonts w:ascii="Book Antiqua" w:hAnsi="Book Antiqua" w:cs="Arial"/>
          <w:color w:val="000000" w:themeColor="text1"/>
        </w:rPr>
        <w:t xml:space="preserve">(BV) </w:t>
      </w:r>
      <w:r w:rsidR="00573D81" w:rsidRPr="00D07897">
        <w:rPr>
          <w:rFonts w:ascii="Book Antiqua" w:hAnsi="Book Antiqua" w:cs="Arial"/>
          <w:color w:val="000000" w:themeColor="text1"/>
        </w:rPr>
        <w:t xml:space="preserve">reviewed all data. </w:t>
      </w:r>
      <w:r w:rsidR="00C4363A" w:rsidRPr="00D07897">
        <w:rPr>
          <w:rFonts w:ascii="Book Antiqua" w:hAnsi="Book Antiqua" w:cs="Arial"/>
          <w:color w:val="000000" w:themeColor="text1"/>
        </w:rPr>
        <w:t>Given the heterogeneity of results</w:t>
      </w:r>
      <w:r w:rsidR="008817C2" w:rsidRPr="00D07897">
        <w:rPr>
          <w:rFonts w:ascii="Book Antiqua" w:hAnsi="Book Antiqua" w:cs="Arial"/>
          <w:color w:val="000000" w:themeColor="text1"/>
        </w:rPr>
        <w:t xml:space="preserve">, </w:t>
      </w:r>
      <w:r w:rsidR="005D111A" w:rsidRPr="00D07897">
        <w:rPr>
          <w:rFonts w:ascii="Book Antiqua" w:hAnsi="Book Antiqua" w:cs="Arial"/>
          <w:color w:val="000000" w:themeColor="text1"/>
        </w:rPr>
        <w:t>the</w:t>
      </w:r>
      <w:r w:rsidR="008817C2" w:rsidRPr="00D07897">
        <w:rPr>
          <w:rFonts w:ascii="Book Antiqua" w:hAnsi="Book Antiqua" w:cs="Arial"/>
          <w:color w:val="000000" w:themeColor="text1"/>
        </w:rPr>
        <w:t>y</w:t>
      </w:r>
      <w:r w:rsidR="005D111A" w:rsidRPr="00D07897">
        <w:rPr>
          <w:rFonts w:ascii="Book Antiqua" w:hAnsi="Book Antiqua" w:cs="Arial"/>
          <w:color w:val="000000" w:themeColor="text1"/>
        </w:rPr>
        <w:t xml:space="preserve"> were not suitable for </w:t>
      </w:r>
      <w:r w:rsidR="004601E1" w:rsidRPr="00D07897">
        <w:rPr>
          <w:rFonts w:ascii="Book Antiqua" w:hAnsi="Book Antiqua" w:cs="Arial"/>
          <w:color w:val="000000" w:themeColor="text1"/>
        </w:rPr>
        <w:t xml:space="preserve">a formal meta-analysis. </w:t>
      </w:r>
    </w:p>
    <w:p w14:paraId="439D04C2" w14:textId="77777777" w:rsidR="00AE0632" w:rsidRPr="00D07897" w:rsidRDefault="00AE0632" w:rsidP="00F96F15">
      <w:pPr>
        <w:spacing w:line="360" w:lineRule="auto"/>
        <w:jc w:val="both"/>
        <w:rPr>
          <w:rFonts w:ascii="Book Antiqua" w:hAnsi="Book Antiqua" w:cs="Arial"/>
          <w:i/>
          <w:color w:val="000000" w:themeColor="text1"/>
        </w:rPr>
      </w:pPr>
    </w:p>
    <w:p w14:paraId="3349B60F" w14:textId="22378C0D" w:rsidR="00CA4888" w:rsidRPr="00D07897" w:rsidRDefault="00910C20" w:rsidP="00F96F15">
      <w:pPr>
        <w:spacing w:line="360" w:lineRule="auto"/>
        <w:jc w:val="both"/>
        <w:rPr>
          <w:rFonts w:ascii="Book Antiqua" w:hAnsi="Book Antiqua" w:cs="Arial"/>
          <w:b/>
          <w:bCs/>
          <w:color w:val="000000" w:themeColor="text1"/>
        </w:rPr>
      </w:pPr>
      <w:r w:rsidRPr="00D07897">
        <w:rPr>
          <w:rFonts w:ascii="Book Antiqua" w:hAnsi="Book Antiqua" w:cs="Arial"/>
          <w:b/>
          <w:bCs/>
          <w:color w:val="000000" w:themeColor="text1"/>
        </w:rPr>
        <w:t>RESULTS</w:t>
      </w:r>
    </w:p>
    <w:p w14:paraId="2DDA3F62" w14:textId="1793E51A" w:rsidR="00BC10DB" w:rsidRPr="00D07897" w:rsidRDefault="005F08A8" w:rsidP="00F96F15">
      <w:pPr>
        <w:spacing w:line="360" w:lineRule="auto"/>
        <w:jc w:val="both"/>
        <w:rPr>
          <w:rFonts w:ascii="Book Antiqua" w:hAnsi="Book Antiqua" w:cs="Arial"/>
          <w:b/>
          <w:bCs/>
          <w:i/>
          <w:iCs/>
          <w:color w:val="000000" w:themeColor="text1"/>
        </w:rPr>
      </w:pPr>
      <w:r w:rsidRPr="00D07897">
        <w:rPr>
          <w:rFonts w:ascii="Book Antiqua" w:hAnsi="Book Antiqua" w:cs="Arial"/>
          <w:b/>
          <w:bCs/>
          <w:i/>
          <w:iCs/>
          <w:color w:val="000000" w:themeColor="text1"/>
        </w:rPr>
        <w:t xml:space="preserve">Literature </w:t>
      </w:r>
      <w:r w:rsidR="00910C20" w:rsidRPr="00D07897">
        <w:rPr>
          <w:rFonts w:ascii="Book Antiqua" w:hAnsi="Book Antiqua" w:cs="Arial"/>
          <w:b/>
          <w:bCs/>
          <w:i/>
          <w:iCs/>
          <w:color w:val="000000" w:themeColor="text1"/>
        </w:rPr>
        <w:t>search results</w:t>
      </w:r>
    </w:p>
    <w:p w14:paraId="24D1F5F2" w14:textId="741F9E1A" w:rsidR="00BC10DB" w:rsidRPr="00D07897" w:rsidRDefault="008817C2"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The s</w:t>
      </w:r>
      <w:r w:rsidR="00BC10DB" w:rsidRPr="00D07897">
        <w:rPr>
          <w:rFonts w:ascii="Book Antiqua" w:hAnsi="Book Antiqua" w:cs="Arial"/>
          <w:color w:val="000000" w:themeColor="text1"/>
        </w:rPr>
        <w:t xml:space="preserve">ummary of </w:t>
      </w:r>
      <w:r w:rsidRPr="00D07897">
        <w:rPr>
          <w:rFonts w:ascii="Book Antiqua" w:hAnsi="Book Antiqua" w:cs="Arial"/>
          <w:color w:val="000000" w:themeColor="text1"/>
        </w:rPr>
        <w:t xml:space="preserve">the </w:t>
      </w:r>
      <w:r w:rsidR="00BC10DB" w:rsidRPr="00D07897">
        <w:rPr>
          <w:rFonts w:ascii="Book Antiqua" w:hAnsi="Book Antiqua" w:cs="Arial"/>
          <w:color w:val="000000" w:themeColor="text1"/>
        </w:rPr>
        <w:t xml:space="preserve">literature search and selection process is shown in </w:t>
      </w:r>
      <w:r w:rsidR="002367AD" w:rsidRPr="00D07897">
        <w:rPr>
          <w:rFonts w:ascii="Book Antiqua" w:hAnsi="Book Antiqua" w:cs="Arial"/>
          <w:color w:val="000000" w:themeColor="text1"/>
        </w:rPr>
        <w:t>F</w:t>
      </w:r>
      <w:r w:rsidR="00BC10DB" w:rsidRPr="00D07897">
        <w:rPr>
          <w:rFonts w:ascii="Book Antiqua" w:hAnsi="Book Antiqua" w:cs="Arial"/>
          <w:color w:val="000000" w:themeColor="text1"/>
        </w:rPr>
        <w:t>igure 1. In total</w:t>
      </w:r>
      <w:r w:rsidR="005F08A8" w:rsidRPr="00D07897">
        <w:rPr>
          <w:rFonts w:ascii="Book Antiqua" w:hAnsi="Book Antiqua" w:cs="Arial"/>
          <w:color w:val="000000" w:themeColor="text1"/>
        </w:rPr>
        <w:t>,</w:t>
      </w:r>
      <w:r w:rsidR="00BC10DB" w:rsidRPr="00D07897">
        <w:rPr>
          <w:rFonts w:ascii="Book Antiqua" w:hAnsi="Book Antiqua" w:cs="Arial"/>
          <w:color w:val="000000" w:themeColor="text1"/>
        </w:rPr>
        <w:t xml:space="preserve"> 1</w:t>
      </w:r>
      <w:r w:rsidR="00BB0A36" w:rsidRPr="00D07897">
        <w:rPr>
          <w:rFonts w:ascii="Book Antiqua" w:hAnsi="Book Antiqua" w:cs="Arial"/>
          <w:color w:val="000000" w:themeColor="text1"/>
        </w:rPr>
        <w:t>782</w:t>
      </w:r>
      <w:r w:rsidR="00BC10DB" w:rsidRPr="00D07897">
        <w:rPr>
          <w:rFonts w:ascii="Book Antiqua" w:hAnsi="Book Antiqua" w:cs="Arial"/>
          <w:color w:val="000000" w:themeColor="text1"/>
        </w:rPr>
        <w:t xml:space="preserve"> studies were identified from the initial search after removal of duplicates. An a</w:t>
      </w:r>
      <w:r w:rsidR="00480D5A" w:rsidRPr="00D07897">
        <w:rPr>
          <w:rFonts w:ascii="Book Antiqua" w:hAnsi="Book Antiqua" w:cs="Arial"/>
          <w:color w:val="000000" w:themeColor="text1"/>
        </w:rPr>
        <w:t xml:space="preserve">dditional </w:t>
      </w:r>
      <w:r w:rsidRPr="00D07897">
        <w:rPr>
          <w:rFonts w:ascii="Book Antiqua" w:hAnsi="Book Antiqua" w:cs="Arial"/>
          <w:color w:val="000000" w:themeColor="text1"/>
        </w:rPr>
        <w:t>9</w:t>
      </w:r>
      <w:r w:rsidR="00480D5A" w:rsidRPr="00D07897">
        <w:rPr>
          <w:rFonts w:ascii="Book Antiqua" w:hAnsi="Book Antiqua" w:cs="Arial"/>
          <w:color w:val="000000" w:themeColor="text1"/>
        </w:rPr>
        <w:t xml:space="preserve"> studies </w:t>
      </w:r>
      <w:r w:rsidR="00BC10DB" w:rsidRPr="00D07897">
        <w:rPr>
          <w:rFonts w:ascii="Book Antiqua" w:hAnsi="Book Antiqua" w:cs="Arial"/>
          <w:color w:val="000000" w:themeColor="text1"/>
        </w:rPr>
        <w:t xml:space="preserve">were identified through review of </w:t>
      </w:r>
      <w:r w:rsidR="005D111A" w:rsidRPr="00D07897">
        <w:rPr>
          <w:rFonts w:ascii="Book Antiqua" w:hAnsi="Book Antiqua" w:cs="Arial"/>
          <w:color w:val="000000" w:themeColor="text1"/>
        </w:rPr>
        <w:t xml:space="preserve">the </w:t>
      </w:r>
      <w:r w:rsidR="00BC10DB" w:rsidRPr="00D07897">
        <w:rPr>
          <w:rFonts w:ascii="Book Antiqua" w:hAnsi="Book Antiqua" w:cs="Arial"/>
          <w:color w:val="000000" w:themeColor="text1"/>
        </w:rPr>
        <w:t xml:space="preserve">full-text of </w:t>
      </w:r>
      <w:r w:rsidR="001E45ED" w:rsidRPr="00D07897">
        <w:rPr>
          <w:rFonts w:ascii="Book Antiqua" w:hAnsi="Book Antiqua" w:cs="Arial"/>
          <w:color w:val="000000" w:themeColor="text1"/>
        </w:rPr>
        <w:t xml:space="preserve">articles of interest. </w:t>
      </w:r>
      <w:r w:rsidR="00BB0A36" w:rsidRPr="00D07897">
        <w:rPr>
          <w:rFonts w:ascii="Book Antiqua" w:hAnsi="Book Antiqua" w:cs="Arial"/>
          <w:color w:val="000000" w:themeColor="text1"/>
        </w:rPr>
        <w:t>62</w:t>
      </w:r>
      <w:r w:rsidR="003D5C51" w:rsidRPr="00D07897">
        <w:rPr>
          <w:rFonts w:ascii="Book Antiqua" w:hAnsi="Book Antiqua" w:cs="Arial"/>
          <w:color w:val="000000" w:themeColor="text1"/>
        </w:rPr>
        <w:t xml:space="preserve"> </w:t>
      </w:r>
      <w:r w:rsidR="001E45ED" w:rsidRPr="00D07897">
        <w:rPr>
          <w:rFonts w:ascii="Book Antiqua" w:hAnsi="Book Antiqua" w:cs="Arial"/>
          <w:color w:val="000000" w:themeColor="text1"/>
        </w:rPr>
        <w:t xml:space="preserve">studies were identified for full-text review of which </w:t>
      </w:r>
      <w:r w:rsidRPr="00D07897">
        <w:rPr>
          <w:rFonts w:ascii="Book Antiqua" w:hAnsi="Book Antiqua" w:cs="Arial"/>
          <w:color w:val="000000" w:themeColor="text1"/>
        </w:rPr>
        <w:t>16</w:t>
      </w:r>
      <w:r w:rsidR="006779B5" w:rsidRPr="00D07897">
        <w:rPr>
          <w:rFonts w:ascii="Book Antiqua" w:hAnsi="Book Antiqua" w:cs="Arial"/>
          <w:color w:val="000000" w:themeColor="text1"/>
        </w:rPr>
        <w:t xml:space="preserve"> </w:t>
      </w:r>
      <w:r w:rsidR="001E45ED" w:rsidRPr="00D07897">
        <w:rPr>
          <w:rFonts w:ascii="Book Antiqua" w:hAnsi="Book Antiqua" w:cs="Arial"/>
          <w:color w:val="000000" w:themeColor="text1"/>
        </w:rPr>
        <w:t xml:space="preserve">studies met inclusion/exclusion criteria. </w:t>
      </w:r>
      <w:r w:rsidR="00BB0A36" w:rsidRPr="00D07897">
        <w:rPr>
          <w:rFonts w:ascii="Book Antiqua" w:hAnsi="Book Antiqua" w:cs="Arial"/>
          <w:color w:val="000000" w:themeColor="text1"/>
        </w:rPr>
        <w:t>31</w:t>
      </w:r>
      <w:r w:rsidR="001E45ED" w:rsidRPr="00D07897">
        <w:rPr>
          <w:rFonts w:ascii="Book Antiqua" w:hAnsi="Book Antiqua" w:cs="Arial"/>
          <w:color w:val="000000" w:themeColor="text1"/>
        </w:rPr>
        <w:t xml:space="preserve"> studies were excluded </w:t>
      </w:r>
      <w:r w:rsidR="005D111A" w:rsidRPr="00D07897">
        <w:rPr>
          <w:rFonts w:ascii="Book Antiqua" w:hAnsi="Book Antiqua" w:cs="Arial"/>
          <w:color w:val="000000" w:themeColor="text1"/>
        </w:rPr>
        <w:t>because they lacked</w:t>
      </w:r>
      <w:r w:rsidR="001E45ED" w:rsidRPr="00D07897">
        <w:rPr>
          <w:rFonts w:ascii="Book Antiqua" w:hAnsi="Book Antiqua" w:cs="Arial"/>
          <w:color w:val="000000" w:themeColor="text1"/>
        </w:rPr>
        <w:t xml:space="preserve"> predictive outcomes or comparisons between NST/NATs</w:t>
      </w:r>
      <w:r w:rsidR="003D5C51" w:rsidRPr="00D07897">
        <w:rPr>
          <w:rFonts w:ascii="Book Antiqua" w:hAnsi="Book Antiqua" w:cs="Arial"/>
          <w:color w:val="000000" w:themeColor="text1"/>
        </w:rPr>
        <w:t>.</w:t>
      </w:r>
      <w:r w:rsidR="001E45ED" w:rsidRPr="00D07897">
        <w:rPr>
          <w:rFonts w:ascii="Book Antiqua" w:hAnsi="Book Antiqua" w:cs="Arial"/>
          <w:color w:val="000000" w:themeColor="text1"/>
        </w:rPr>
        <w:t xml:space="preserve"> </w:t>
      </w:r>
      <w:r w:rsidR="00BB0A36" w:rsidRPr="00D07897">
        <w:rPr>
          <w:rFonts w:ascii="Book Antiqua" w:hAnsi="Book Antiqua" w:cs="Arial"/>
          <w:color w:val="000000" w:themeColor="text1"/>
        </w:rPr>
        <w:t>15</w:t>
      </w:r>
      <w:r w:rsidR="009F61EB" w:rsidRPr="00D07897">
        <w:rPr>
          <w:rFonts w:ascii="Book Antiqua" w:hAnsi="Book Antiqua" w:cs="Arial"/>
          <w:color w:val="000000" w:themeColor="text1"/>
        </w:rPr>
        <w:t xml:space="preserve"> studies were excluded as </w:t>
      </w:r>
      <w:r w:rsidR="005D111A" w:rsidRPr="00D07897">
        <w:rPr>
          <w:rFonts w:ascii="Book Antiqua" w:hAnsi="Book Antiqua" w:cs="Arial"/>
          <w:color w:val="000000" w:themeColor="text1"/>
        </w:rPr>
        <w:t xml:space="preserve">there was </w:t>
      </w:r>
      <w:r w:rsidR="009F61EB" w:rsidRPr="00D07897">
        <w:rPr>
          <w:rFonts w:ascii="Book Antiqua" w:hAnsi="Book Antiqua" w:cs="Arial"/>
          <w:color w:val="000000" w:themeColor="text1"/>
        </w:rPr>
        <w:t>no formal NST or NAT utilized in the study</w:t>
      </w:r>
      <w:r w:rsidR="003D5C51" w:rsidRPr="00D07897">
        <w:rPr>
          <w:rFonts w:ascii="Book Antiqua" w:hAnsi="Book Antiqua" w:cs="Arial"/>
          <w:color w:val="000000" w:themeColor="text1"/>
        </w:rPr>
        <w:t xml:space="preserve"> or the </w:t>
      </w:r>
      <w:r w:rsidR="003D5C51" w:rsidRPr="00D07897">
        <w:rPr>
          <w:rFonts w:ascii="Book Antiqua" w:hAnsi="Book Antiqua" w:cs="Arial"/>
          <w:color w:val="000000" w:themeColor="text1"/>
        </w:rPr>
        <w:lastRenderedPageBreak/>
        <w:t xml:space="preserve">NST/NAT utilized included only laboratory parameters or was based solely on BMI. </w:t>
      </w:r>
    </w:p>
    <w:p w14:paraId="25D513F7" w14:textId="77777777" w:rsidR="004601E1" w:rsidRPr="00D07897" w:rsidRDefault="004601E1" w:rsidP="00F96F15">
      <w:pPr>
        <w:spacing w:line="360" w:lineRule="auto"/>
        <w:jc w:val="both"/>
        <w:rPr>
          <w:rFonts w:ascii="Book Antiqua" w:hAnsi="Book Antiqua" w:cs="Arial"/>
          <w:color w:val="000000" w:themeColor="text1"/>
        </w:rPr>
      </w:pPr>
    </w:p>
    <w:p w14:paraId="1D838040" w14:textId="2736FA7B" w:rsidR="00C43060" w:rsidRPr="00D07897" w:rsidRDefault="00C43060" w:rsidP="00F96F15">
      <w:pPr>
        <w:spacing w:line="360" w:lineRule="auto"/>
        <w:jc w:val="both"/>
        <w:rPr>
          <w:rFonts w:ascii="Book Antiqua" w:hAnsi="Book Antiqua" w:cs="Arial"/>
          <w:b/>
          <w:bCs/>
          <w:i/>
          <w:color w:val="000000" w:themeColor="text1"/>
        </w:rPr>
      </w:pPr>
      <w:r w:rsidRPr="00D07897">
        <w:rPr>
          <w:rFonts w:ascii="Book Antiqua" w:hAnsi="Book Antiqua" w:cs="Arial"/>
          <w:b/>
          <w:bCs/>
          <w:i/>
          <w:color w:val="000000" w:themeColor="text1"/>
        </w:rPr>
        <w:t xml:space="preserve">Study </w:t>
      </w:r>
      <w:r w:rsidR="00910C20" w:rsidRPr="00D07897">
        <w:rPr>
          <w:rFonts w:ascii="Book Antiqua" w:hAnsi="Book Antiqua" w:cs="Arial"/>
          <w:b/>
          <w:bCs/>
          <w:i/>
          <w:color w:val="000000" w:themeColor="text1"/>
        </w:rPr>
        <w:t>p</w:t>
      </w:r>
      <w:r w:rsidRPr="00D07897">
        <w:rPr>
          <w:rFonts w:ascii="Book Antiqua" w:hAnsi="Book Antiqua" w:cs="Arial"/>
          <w:b/>
          <w:bCs/>
          <w:i/>
          <w:color w:val="000000" w:themeColor="text1"/>
        </w:rPr>
        <w:t>opulations</w:t>
      </w:r>
      <w:r w:rsidR="00FE484C" w:rsidRPr="00D07897">
        <w:rPr>
          <w:rFonts w:ascii="Book Antiqua" w:hAnsi="Book Antiqua" w:cs="Arial"/>
          <w:b/>
          <w:bCs/>
          <w:i/>
          <w:color w:val="000000" w:themeColor="text1"/>
        </w:rPr>
        <w:t xml:space="preserve"> </w:t>
      </w:r>
    </w:p>
    <w:p w14:paraId="58DBCC00" w14:textId="00889CC1" w:rsidR="0004541A" w:rsidRPr="00D07897" w:rsidRDefault="0004541A"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Included studies were</w:t>
      </w:r>
      <w:r w:rsidR="00E047E9" w:rsidRPr="00D07897">
        <w:rPr>
          <w:rFonts w:ascii="Book Antiqua" w:hAnsi="Book Antiqua" w:cs="Arial"/>
          <w:color w:val="000000" w:themeColor="text1"/>
        </w:rPr>
        <w:t xml:space="preserve"> published </w:t>
      </w:r>
      <w:proofErr w:type="gramStart"/>
      <w:r w:rsidR="00E047E9" w:rsidRPr="00D07897">
        <w:rPr>
          <w:rFonts w:ascii="Book Antiqua" w:hAnsi="Book Antiqua" w:cs="Arial"/>
          <w:color w:val="000000" w:themeColor="text1"/>
        </w:rPr>
        <w:t>between 2015-</w:t>
      </w:r>
      <w:r w:rsidRPr="00D07897">
        <w:rPr>
          <w:rFonts w:ascii="Book Antiqua" w:hAnsi="Book Antiqua" w:cs="Arial"/>
          <w:color w:val="000000" w:themeColor="text1"/>
        </w:rPr>
        <w:t>201</w:t>
      </w:r>
      <w:r w:rsidR="00BE4C86" w:rsidRPr="00D07897">
        <w:rPr>
          <w:rFonts w:ascii="Book Antiqua" w:hAnsi="Book Antiqua" w:cs="Arial"/>
          <w:color w:val="000000" w:themeColor="text1"/>
        </w:rPr>
        <w:t>8</w:t>
      </w:r>
      <w:proofErr w:type="gramEnd"/>
      <w:r w:rsidR="00E047E9" w:rsidRPr="00D07897">
        <w:rPr>
          <w:rFonts w:ascii="Book Antiqua" w:hAnsi="Book Antiqua" w:cs="Arial"/>
          <w:color w:val="000000" w:themeColor="text1"/>
        </w:rPr>
        <w:t xml:space="preserve">. </w:t>
      </w:r>
      <w:r w:rsidR="00746AC9" w:rsidRPr="00D07897">
        <w:rPr>
          <w:rFonts w:ascii="Book Antiqua" w:hAnsi="Book Antiqua" w:cs="Arial"/>
          <w:color w:val="000000" w:themeColor="text1"/>
        </w:rPr>
        <w:t>Seven</w:t>
      </w:r>
      <w:r w:rsidR="00EE7189" w:rsidRPr="00D07897">
        <w:rPr>
          <w:rFonts w:ascii="Book Antiqua" w:hAnsi="Book Antiqua" w:cs="Arial"/>
          <w:color w:val="000000" w:themeColor="text1"/>
        </w:rPr>
        <w:t xml:space="preserve"> studies were conducted in Asia</w:t>
      </w:r>
      <w:r w:rsidR="00C3671B"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today","id":"ITEM-2","issue":"8","issued":{"date-parts":[["2016"]]},"page":"922-929","publisher-place":"Japan","title":"Influence of nutritional status on the therapeutic effect of infliximab in patients with Crohn's disease.","type":"article-journal","volume":"46"},"uris":["http://www.mendeley.com/documents/?uuid=6cc80495-0e41-4013-8604-780a0cfc9b33"]},{"id":"ITEM-3","itemData":{"DOI":"10.1159/000485637","ISSN":"1421-9697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metabolism","id":"ITEM-3","issue":"3-4","issued":{"date-parts":[["2017"]]},"language":"eng","page":"266-272","publisher-place":"Switzerland","title":"Nutritional Screening and Clinical Outcome in Hospitalized Patients with Crohn's  Disease.","type":"article-journal","volume":"71"},"uris":["http://www.mendeley.com/documents/?uuid=cd857bcf-f832-4ca4-aa54-3d63c71b8d64"]},{"id":"ITEM-4","itemData":{"DOI":"10.1016/j.clnu.2016.10.004","ISSN":"1532-1983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Scotland)","id":"ITEM-4","issue":"6","issued":{"date-parts":[["2017","12"]]},"language":"eng","page":"1586-1592","publisher-place":"England","title":"Skeletal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colectomy.","type":"article-journal","volume":"36"},"uris":["http://www.mendeley.com/documents/?uuid=289f93c3-ba8a-4a99-af8c-01b5584e14b0"]},{"id":"ITEM-5","itemData":{"DOI":"10.1177/0148607115612054","ISSN":"1941-2444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nutrition","id":"ITEM-5","issue":"4","issued":{"date-parts":[["2017","5"]]},"language":"eng","page":"592-600","publisher-place":"United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Resection.","type":"article-journal","volume":"41"},"uris":["http://www.mendeley.com/documents/?uuid=db984d59-d589-4f73-9f02-3b7ac10b008c"]},{"id":"ITEM-6","itemData":{"DOI":"https://dx.doi.org/10.1007/s11605-015-2763-x","ISSN":"1873-4626","abstract":"BACKGROUND: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Tract","id":"ITEM-6","issue":"4","issued":{"date-parts":[["2015"]]},"page":"715-721","publisher-place":"United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malnutrition.","type":"article-journal","volume":"19"},"uris":["http://www.mendeley.com/documents/?uuid=bce9beff-5643-45ff-bd09-fffc819a41d0"]},{"id":"ITEM-7","itemData":{"DOI":"10.1007/s00595-016-1357-x","ISSN":"1436-2813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today","id":"ITEM-7","issue":"1","issued":{"date-parts":[["2017","1"]]},"language":"eng","page":"92-98","publisher-place":"Japan","title":"Impact of sarcopenia on surgical site infection after restorative proctocolectomy for ulcerative colitis.","type":"article-journal","volume":"47"},"uris":["http://www.mendeley.com/documents/?uuid=a3ecc717-75fe-4b70-b40a-518331ec5a8e"]}],"mendeley":{"formattedCitation":"&lt;sup&gt;[9–11,13,27–29]&lt;/sup&gt;","plainTextFormattedCitation":"[9–11,13,27–29]","previouslyFormattedCitation":"&lt;sup&gt;[9–11,13,26–28]&lt;/sup&gt;"},"properties":{"noteIndex":0},"schema":"https://github.com/citation-style-language/schema/raw/master/csl-citation.json"}</w:instrText>
      </w:r>
      <w:r w:rsidR="00C3671B"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[9</w:t>
      </w:r>
      <w:r w:rsidR="00910C20" w:rsidRPr="00D07897">
        <w:rPr>
          <w:rFonts w:ascii="Book Antiqua" w:hAnsi="Book Antiqua" w:cs="Arial"/>
          <w:noProof/>
          <w:color w:val="000000" w:themeColor="text1"/>
          <w:vertAlign w:val="superscript"/>
        </w:rPr>
        <w:t>-</w:t>
      </w:r>
      <w:r w:rsidR="001B7C5F" w:rsidRPr="00D07897">
        <w:rPr>
          <w:rFonts w:ascii="Book Antiqua" w:hAnsi="Book Antiqua" w:cs="Arial"/>
          <w:noProof/>
          <w:color w:val="000000" w:themeColor="text1"/>
          <w:vertAlign w:val="superscript"/>
        </w:rPr>
        <w:t>11,13,27</w:t>
      </w:r>
      <w:r w:rsidR="00910C20" w:rsidRPr="00D07897">
        <w:rPr>
          <w:rFonts w:ascii="Book Antiqua" w:hAnsi="Book Antiqua" w:cs="Arial"/>
          <w:noProof/>
          <w:color w:val="000000" w:themeColor="text1"/>
          <w:vertAlign w:val="superscript"/>
        </w:rPr>
        <w:t>-</w:t>
      </w:r>
      <w:r w:rsidR="001B7C5F" w:rsidRPr="00D07897">
        <w:rPr>
          <w:rFonts w:ascii="Book Antiqua" w:hAnsi="Book Antiqua" w:cs="Arial"/>
          <w:noProof/>
          <w:color w:val="000000" w:themeColor="text1"/>
          <w:vertAlign w:val="superscript"/>
        </w:rPr>
        <w:t>29]</w:t>
      </w:r>
      <w:r w:rsidR="00C3671B" w:rsidRPr="00D07897">
        <w:rPr>
          <w:rFonts w:ascii="Book Antiqua" w:hAnsi="Book Antiqua" w:cs="Arial"/>
          <w:color w:val="000000" w:themeColor="text1"/>
        </w:rPr>
        <w:fldChar w:fldCharType="end"/>
      </w:r>
      <w:r w:rsidR="00EE7189" w:rsidRPr="00D07897">
        <w:rPr>
          <w:rFonts w:ascii="Book Antiqua" w:hAnsi="Book Antiqua" w:cs="Arial"/>
          <w:color w:val="000000" w:themeColor="text1"/>
        </w:rPr>
        <w:t xml:space="preserve">, </w:t>
      </w:r>
      <w:r w:rsidR="00746AC9" w:rsidRPr="00D07897">
        <w:rPr>
          <w:rFonts w:ascii="Book Antiqua" w:hAnsi="Book Antiqua" w:cs="Arial"/>
          <w:color w:val="000000" w:themeColor="text1"/>
        </w:rPr>
        <w:t>four</w:t>
      </w:r>
      <w:r w:rsidR="00EE7189" w:rsidRPr="00D07897">
        <w:rPr>
          <w:rFonts w:ascii="Book Antiqua" w:hAnsi="Book Antiqua" w:cs="Arial"/>
          <w:color w:val="000000" w:themeColor="text1"/>
        </w:rPr>
        <w:t xml:space="preserve"> in Europe</w:t>
      </w:r>
      <w:r w:rsidR="00C3671B"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disease.","type":"article-journal","volume":"109"},"uris":["http://www.mendeley.com/documents/?uuid=a2e30909-7161-4f77-ba2e-199b14c8197c"]},{"id":"ITEM-2","itemData":{"DOI":"10.1017/S0007114516003044","ISSN":"1475-2662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nutrition","id":"ITEM-2","issue":"6","issued":{"date-parts":[["2016","9"]]},"language":"eng","page":"1061-1067","publisher-place":"England","title":"Inflammation-driven malnutrition: a new screening tool predicts outcome in Crohn's disease.","type":"article-journal","volume":"116"},"uris":["http://www.mendeley.com/documents/?uuid=7a1220e5-e4f6-481d-b52c-83a9e8be8be2"]},{"id":"ITEM-3","itemData":{"DOI":"10.1186/s41747-018-0072-3","ISSN":"2509-9280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experimental","id":"ITEM-3","issue":"1","issued":{"date-parts":[["2018","11"]]},"language":"eng","page":"37","publisher-place":"England","title":"The impact of sarcopenia and myosteatosis on postoperative outcomes in patients with inflammatory bowel disease.","type":"article-journal","volume":"2"},"uris":["http://www.mendeley.com/documents/?uuid=e0b53979-80b7-49e6-bb0a-439e8ff7d904"]},{"id":"ITEM-4","itemData":{"DOI":"10.1093/ecco-jcc/jjy124","ISSN":"1876-4479","abstract":"BACKGROUND AND AIMS: Changes in body composition have been described in patients with Crohn's disease, but their predictive performances on disease evolution remain undefined. The aims of our study were to assess, in patients with Crohn's disease requiring abdominal computed tomography, body composition by computed tomography, and to study the outcome according to various body composition parameters at the time of the computed tomography. METHODS: Patients with Crohn's disease who underwent abdominal computed tomography for suspected complications were retrospectively included. The definition of adverse outcome included death or need for surgery within 6 months of the computed tomography. Skeletal muscle index and visceral and subcutaneous adiposity indexes were calculated from tissue surface areas measured at the third lumbar vertebra, divided by the height squared. RESULTS: The prevalence of underweight was 26.8% and the prevalence of sarcopenia was 33.6%. After gender adjustment, skeletal muscle index tended to be reduced in patients with adverse outcome, compared with patients without surgery or death [p = 0.07]. Moreover, subcutaneous adiposity index and visceral adiposity index were significantly lower in patients with surgery or death [p = 0.009 and p &lt; 0.001, respectively]. These differences were almost equivalent in both genders for the subcutaneous adiposity index but were clearly stronger in men for the visceral adiposity index. CONCLUSIONS: Subcutaneous and visceral adiposity indexes correlate inversely with adverse outcome in patients with Crohn's disease. Alteration of body composition assessed by computed tomography in these patients appears to be a marker of disease severity.","author":[{"dropping-particle":"","family":"Thiberge","given":"Claire","non-dropping-particle":"","parse-names":false,"suffix":""},{"dropping-particle":"","family":"Charpentier","given":"Cloé","non-dropping-particle":"","parse-names":false,"suffix":""},{"dropping-particle":"","family":"Gillibert","given":"André","non-dropping-particle":"","parse-names":false,"suffix":""},{"dropping-particle":"","family":"Modzelewski","given":"Romain","non-dropping-particle":"","parse-names":false,"suffix":""},{"dropping-particle":"","family":"Dacher","given":"Jean-Nicolas","non-dropping-particle":"","parse-names":false,"suffix":""},{"dropping-particle":"","family":"Savoye","given":"Guillaume","non-dropping-particle":"","parse-names":false,"suffix":""},{"dropping-particle":"","family":"Savoye-Collet","given":"Céline","non-dropping-particle":"","parse-names":false,"suffix":""}],"container-title":"Journal of Crohn's &amp; colitis","id":"ITEM-4","issue":"12","issued":{"date-parts":[["2018","11","28"]]},"page":"1429-1437","publisher-place":"England","title":"Lower Subcutaneous or Visceral Adiposity Assessed by Abdominal Computed Tomography Could Predict Adverse Outcome in Patients With Crohn's Disease","type":"article-journal","volume":"12"},"uris":["http://www.mendeley.com/documents/?uuid=24be24ce-8d64-4a00-ba9d-1bda6687be41"]}],"mendeley":{"formattedCitation":"&lt;sup&gt;[8,30–32]&lt;/sup&gt;","plainTextFormattedCitation":"[8,30–32]","previouslyFormattedCitation":"&lt;sup&gt;[8,29–31]&lt;/sup&gt;"},"properties":{"noteIndex":0},"schema":"https://github.com/citation-style-language/schema/raw/master/csl-citation.json"}</w:instrText>
      </w:r>
      <w:r w:rsidR="00C3671B"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[8,30</w:t>
      </w:r>
      <w:r w:rsidR="00910C20" w:rsidRPr="00D07897">
        <w:rPr>
          <w:rFonts w:ascii="Book Antiqua" w:hAnsi="Book Antiqua" w:cs="Arial"/>
          <w:noProof/>
          <w:color w:val="000000" w:themeColor="text1"/>
          <w:vertAlign w:val="superscript"/>
        </w:rPr>
        <w:t>-</w:t>
      </w:r>
      <w:r w:rsidR="001B7C5F" w:rsidRPr="00D07897">
        <w:rPr>
          <w:rFonts w:ascii="Book Antiqua" w:hAnsi="Book Antiqua" w:cs="Arial"/>
          <w:noProof/>
          <w:color w:val="000000" w:themeColor="text1"/>
          <w:vertAlign w:val="superscript"/>
        </w:rPr>
        <w:t>32]</w:t>
      </w:r>
      <w:r w:rsidR="00C3671B" w:rsidRPr="00D07897">
        <w:rPr>
          <w:rFonts w:ascii="Book Antiqua" w:hAnsi="Book Antiqua" w:cs="Arial"/>
          <w:color w:val="000000" w:themeColor="text1"/>
        </w:rPr>
        <w:fldChar w:fldCharType="end"/>
      </w:r>
      <w:r w:rsidR="00EE7189" w:rsidRPr="00D07897">
        <w:rPr>
          <w:rFonts w:ascii="Book Antiqua" w:hAnsi="Book Antiqua" w:cs="Arial"/>
          <w:color w:val="000000" w:themeColor="text1"/>
        </w:rPr>
        <w:t xml:space="preserve">, </w:t>
      </w:r>
      <w:r w:rsidR="00746AC9" w:rsidRPr="00D07897">
        <w:rPr>
          <w:rFonts w:ascii="Book Antiqua" w:hAnsi="Book Antiqua" w:cs="Arial"/>
          <w:color w:val="000000" w:themeColor="text1"/>
        </w:rPr>
        <w:t>four</w:t>
      </w:r>
      <w:r w:rsidR="00EE7189" w:rsidRPr="00D07897">
        <w:rPr>
          <w:rFonts w:ascii="Book Antiqua" w:hAnsi="Book Antiqua" w:cs="Arial"/>
          <w:color w:val="000000" w:themeColor="text1"/>
        </w:rPr>
        <w:t xml:space="preserve"> in North America</w:t>
      </w:r>
      <w:r w:rsidR="00C3671B"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diseases","id":"ITEM-1","issue":"7","issued":{"date-parts":[["2017","7"]]},"language":"eng","page":"1182-1186","publisher-place":"United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Surgery.","type":"article-journal","volume":"23"},"uris":["http://www.mendeley.com/documents/?uuid=6b4f2d39-091b-48c7-a8f9-3935125eeaf6"]},{"id":"ITEM-2","itemData":{"DOI":"10.1097/MIB.0000000000001166","ISSN":"1536-4844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diseases","id":"ITEM-2","issue":"10","issued":{"date-parts":[["2017","10"]]},"language":"eng","page":"1867-1872","publisher-place":"United States","title":"Sarcopenia is a Predictor of Surgical Morbidity in Inflammatory Bowel Disease.","type":"article-journal","volume":"23"},"uris":["http://www.mendeley.com/documents/?uuid=6853f06f-1efd-4924-a01f-3879684bf57f"]},{"id":"ITEM-3","itemData":{"DOI":"10.1093/ecco-jcc/jjy064","ISSN":"1876-4479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colitis","id":"ITEM-3","issued":{"date-parts":[["2018","5"]]},"language":"eng","publisher-place":"England","title":"Sarcopenia is a Novel Predictor of the Need for Rescue Therapy in Hospitalized Ulcerative Colitis Patients.","type":"article-journal"},"uris":["http://www.mendeley.com/documents/?uuid=e255b58f-95e7-489e-b9af-18a0b87f7525"]},{"id":"ITEM-4","itemData":{"DOI":"10.6133/apjcn.112017.01","ISSN":"0964-7058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nutrition","id":"ITEM-4","issue":"4","issued":{"date-parts":[["2018"]]},"language":"eng","page":"756-762","publisher-place":"Australia","title":"Development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[12,33–35]&lt;/sup&gt;","plainTextFormattedCitation":"[12,33–35]","previouslyFormattedCitation":"&lt;sup&gt;[12,32–34]&lt;/sup&gt;"},"properties":{"noteIndex":0},"schema":"https://github.com/citation-style-language/schema/raw/master/csl-citation.json"}</w:instrText>
      </w:r>
      <w:r w:rsidR="00C3671B"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[12,33</w:t>
      </w:r>
      <w:r w:rsidR="00910C20" w:rsidRPr="00D07897">
        <w:rPr>
          <w:rFonts w:ascii="Book Antiqua" w:hAnsi="Book Antiqua" w:cs="Arial"/>
          <w:noProof/>
          <w:color w:val="000000" w:themeColor="text1"/>
          <w:vertAlign w:val="superscript"/>
        </w:rPr>
        <w:t>-</w:t>
      </w:r>
      <w:r w:rsidR="001B7C5F" w:rsidRPr="00D07897">
        <w:rPr>
          <w:rFonts w:ascii="Book Antiqua" w:hAnsi="Book Antiqua" w:cs="Arial"/>
          <w:noProof/>
          <w:color w:val="000000" w:themeColor="text1"/>
          <w:vertAlign w:val="superscript"/>
        </w:rPr>
        <w:t>35]</w:t>
      </w:r>
      <w:r w:rsidR="00C3671B" w:rsidRPr="00D07897">
        <w:rPr>
          <w:rFonts w:ascii="Book Antiqua" w:hAnsi="Book Antiqua" w:cs="Arial"/>
          <w:color w:val="000000" w:themeColor="text1"/>
        </w:rPr>
        <w:fldChar w:fldCharType="end"/>
      </w:r>
      <w:r w:rsidR="008817C2" w:rsidRPr="00D07897">
        <w:rPr>
          <w:rFonts w:ascii="Book Antiqua" w:hAnsi="Book Antiqua" w:cs="Arial"/>
          <w:color w:val="000000" w:themeColor="text1"/>
        </w:rPr>
        <w:t>,</w:t>
      </w:r>
      <w:r w:rsidR="00EE7189" w:rsidRPr="00D07897">
        <w:rPr>
          <w:rFonts w:ascii="Book Antiqua" w:hAnsi="Book Antiqua" w:cs="Arial"/>
          <w:color w:val="000000" w:themeColor="text1"/>
        </w:rPr>
        <w:t xml:space="preserve"> and one in Oceania</w:t>
      </w:r>
      <w:r w:rsidR="00C3671B"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therapeutics","id":"ITEM-1","issue":"9","issued":{"date-parts":[["2017"]]},"page":"1255-1264","publisher-place":"England","title":"Visceral adiposity predicts post-operative Crohn's disease recurrence.","type":"article-journal","volume":"45"},"uris":["http://www.mendeley.com/documents/?uuid=2f42bc0f-c075-4ed5-ae3f-d90c75e83b1a"]}],"mendeley":{"formattedCitation":"&lt;sup&gt;[36]&lt;/sup&gt;","plainTextFormattedCitation":"[36]","previouslyFormattedCitation":"&lt;sup&gt;[35]&lt;/sup&gt;"},"properties":{"noteIndex":0},"schema":"https://github.com/citation-style-language/schema/raw/master/csl-citation.json"}</w:instrText>
      </w:r>
      <w:r w:rsidR="00C3671B"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[36]</w:t>
      </w:r>
      <w:r w:rsidR="00C3671B" w:rsidRPr="00D07897">
        <w:rPr>
          <w:rFonts w:ascii="Book Antiqua" w:hAnsi="Book Antiqua" w:cs="Arial"/>
          <w:color w:val="000000" w:themeColor="text1"/>
        </w:rPr>
        <w:fldChar w:fldCharType="end"/>
      </w:r>
      <w:r w:rsidR="00EE7189" w:rsidRPr="00D07897">
        <w:rPr>
          <w:rFonts w:ascii="Book Antiqua" w:hAnsi="Book Antiqua" w:cs="Arial"/>
          <w:color w:val="000000" w:themeColor="text1"/>
        </w:rPr>
        <w:t>.</w:t>
      </w:r>
      <w:r w:rsidR="00D8054B" w:rsidRPr="00D07897">
        <w:rPr>
          <w:rFonts w:ascii="Book Antiqua" w:hAnsi="Book Antiqua" w:cs="Arial"/>
          <w:color w:val="000000" w:themeColor="text1"/>
        </w:rPr>
        <w:t xml:space="preserve"> In total</w:t>
      </w:r>
      <w:r w:rsidR="008817C2" w:rsidRPr="00D07897">
        <w:rPr>
          <w:rFonts w:ascii="Book Antiqua" w:hAnsi="Book Antiqua" w:cs="Arial"/>
          <w:color w:val="000000" w:themeColor="text1"/>
        </w:rPr>
        <w:t>,</w:t>
      </w:r>
      <w:r w:rsidR="00D8054B" w:rsidRPr="00D07897">
        <w:rPr>
          <w:rFonts w:ascii="Book Antiqua" w:hAnsi="Book Antiqua" w:cs="Arial"/>
          <w:color w:val="000000" w:themeColor="text1"/>
        </w:rPr>
        <w:t xml:space="preserve"> 1</w:t>
      </w:r>
      <w:r w:rsidR="00746AC9" w:rsidRPr="00D07897">
        <w:rPr>
          <w:rFonts w:ascii="Book Antiqua" w:hAnsi="Book Antiqua" w:cs="Arial"/>
          <w:color w:val="000000" w:themeColor="text1"/>
        </w:rPr>
        <w:t>618</w:t>
      </w:r>
      <w:r w:rsidR="00D8054B" w:rsidRPr="00D07897">
        <w:rPr>
          <w:rFonts w:ascii="Book Antiqua" w:hAnsi="Book Antiqua" w:cs="Arial"/>
          <w:color w:val="000000" w:themeColor="text1"/>
        </w:rPr>
        <w:t xml:space="preserve"> patients </w:t>
      </w:r>
      <w:r w:rsidR="00F960BF" w:rsidRPr="00D07897">
        <w:rPr>
          <w:rFonts w:ascii="Book Antiqua" w:hAnsi="Book Antiqua" w:cs="Arial"/>
          <w:color w:val="000000" w:themeColor="text1"/>
        </w:rPr>
        <w:t xml:space="preserve">with IBD </w:t>
      </w:r>
      <w:r w:rsidR="00D8054B" w:rsidRPr="00D07897">
        <w:rPr>
          <w:rFonts w:ascii="Book Antiqua" w:hAnsi="Book Antiqua" w:cs="Arial"/>
          <w:color w:val="000000" w:themeColor="text1"/>
        </w:rPr>
        <w:t xml:space="preserve">were included from all studies, </w:t>
      </w:r>
      <w:r w:rsidR="00746AC9" w:rsidRPr="00D07897">
        <w:rPr>
          <w:rFonts w:ascii="Book Antiqua" w:hAnsi="Book Antiqua" w:cs="Arial"/>
          <w:color w:val="000000" w:themeColor="text1"/>
        </w:rPr>
        <w:t>1158</w:t>
      </w:r>
      <w:r w:rsidR="00D8054B" w:rsidRPr="00D07897">
        <w:rPr>
          <w:rFonts w:ascii="Book Antiqua" w:hAnsi="Book Antiqua" w:cs="Arial"/>
          <w:color w:val="000000" w:themeColor="text1"/>
        </w:rPr>
        <w:t xml:space="preserve"> (7</w:t>
      </w:r>
      <w:r w:rsidR="00DA4759" w:rsidRPr="00D07897">
        <w:rPr>
          <w:rFonts w:ascii="Book Antiqua" w:hAnsi="Book Antiqua" w:cs="Arial"/>
          <w:color w:val="000000" w:themeColor="text1"/>
        </w:rPr>
        <w:t>2</w:t>
      </w:r>
      <w:r w:rsidR="00D8054B" w:rsidRPr="00D07897">
        <w:rPr>
          <w:rFonts w:ascii="Book Antiqua" w:hAnsi="Book Antiqua" w:cs="Arial"/>
          <w:color w:val="000000" w:themeColor="text1"/>
        </w:rPr>
        <w:t>%) had the diagnosis of CD</w:t>
      </w:r>
      <w:r w:rsidR="00746AC9" w:rsidRPr="00D07897">
        <w:rPr>
          <w:rFonts w:ascii="Book Antiqua" w:hAnsi="Book Antiqua" w:cs="Arial"/>
          <w:color w:val="000000" w:themeColor="text1"/>
        </w:rPr>
        <w:t>, 454</w:t>
      </w:r>
      <w:r w:rsidR="00D8054B" w:rsidRPr="00D07897">
        <w:rPr>
          <w:rFonts w:ascii="Book Antiqua" w:hAnsi="Book Antiqua" w:cs="Arial"/>
          <w:color w:val="000000" w:themeColor="text1"/>
        </w:rPr>
        <w:t xml:space="preserve"> (</w:t>
      </w:r>
      <w:r w:rsidR="00E00EDF" w:rsidRPr="00D07897">
        <w:rPr>
          <w:rFonts w:ascii="Book Antiqua" w:hAnsi="Book Antiqua" w:cs="Arial"/>
          <w:color w:val="000000" w:themeColor="text1"/>
        </w:rPr>
        <w:t>2</w:t>
      </w:r>
      <w:r w:rsidR="00746AC9" w:rsidRPr="00D07897">
        <w:rPr>
          <w:rFonts w:ascii="Book Antiqua" w:hAnsi="Book Antiqua" w:cs="Arial"/>
          <w:color w:val="000000" w:themeColor="text1"/>
        </w:rPr>
        <w:t>8</w:t>
      </w:r>
      <w:r w:rsidR="00D8054B" w:rsidRPr="00D07897">
        <w:rPr>
          <w:rFonts w:ascii="Book Antiqua" w:hAnsi="Book Antiqua" w:cs="Arial"/>
          <w:color w:val="000000" w:themeColor="text1"/>
        </w:rPr>
        <w:t>%) were UC patients</w:t>
      </w:r>
      <w:r w:rsidR="00746AC9" w:rsidRPr="00D07897">
        <w:rPr>
          <w:rFonts w:ascii="Book Antiqua" w:hAnsi="Book Antiqua" w:cs="Arial"/>
          <w:color w:val="000000" w:themeColor="text1"/>
        </w:rPr>
        <w:t xml:space="preserve"> and 4 (0.2%) had indeterminate colitis</w:t>
      </w:r>
      <w:r w:rsidR="00D8054B" w:rsidRPr="00D07897">
        <w:rPr>
          <w:rFonts w:ascii="Book Antiqua" w:hAnsi="Book Antiqua" w:cs="Arial"/>
          <w:color w:val="000000" w:themeColor="text1"/>
        </w:rPr>
        <w:t>.</w:t>
      </w:r>
      <w:r w:rsidR="00F15E5C" w:rsidRPr="00D07897">
        <w:rPr>
          <w:rFonts w:ascii="Book Antiqua" w:hAnsi="Book Antiqua" w:cs="Arial"/>
          <w:color w:val="000000" w:themeColor="text1"/>
        </w:rPr>
        <w:t xml:space="preserve"> The age of pa</w:t>
      </w:r>
      <w:r w:rsidR="00D8054B" w:rsidRPr="00D07897">
        <w:rPr>
          <w:rFonts w:ascii="Book Antiqua" w:hAnsi="Book Antiqua" w:cs="Arial"/>
          <w:color w:val="000000" w:themeColor="text1"/>
        </w:rPr>
        <w:t xml:space="preserve">rticipants ranged from 16 </w:t>
      </w:r>
      <w:r w:rsidR="00F15E5C" w:rsidRPr="00D07897">
        <w:rPr>
          <w:rFonts w:ascii="Book Antiqua" w:hAnsi="Book Antiqua" w:cs="Arial"/>
          <w:color w:val="000000" w:themeColor="text1"/>
        </w:rPr>
        <w:t xml:space="preserve">to </w:t>
      </w:r>
      <w:r w:rsidR="0034119C" w:rsidRPr="00D07897">
        <w:rPr>
          <w:rFonts w:ascii="Book Antiqua" w:hAnsi="Book Antiqua" w:cs="Arial"/>
          <w:color w:val="000000" w:themeColor="text1"/>
        </w:rPr>
        <w:t>86</w:t>
      </w:r>
      <w:r w:rsidR="00D8054B" w:rsidRPr="00D07897">
        <w:rPr>
          <w:rFonts w:ascii="Book Antiqua" w:hAnsi="Book Antiqua" w:cs="Arial"/>
          <w:color w:val="000000" w:themeColor="text1"/>
        </w:rPr>
        <w:t xml:space="preserve"> years</w:t>
      </w:r>
      <w:r w:rsidR="00C10906" w:rsidRPr="00D07897">
        <w:rPr>
          <w:rFonts w:ascii="Book Antiqua" w:hAnsi="Book Antiqua" w:cs="Arial"/>
          <w:color w:val="000000" w:themeColor="text1"/>
        </w:rPr>
        <w:t xml:space="preserve"> </w:t>
      </w:r>
      <w:r w:rsidR="00C10906" w:rsidRPr="00D07897">
        <w:rPr>
          <w:rFonts w:ascii="Book Antiqua" w:hAnsi="Book Antiqua" w:cs="Arial"/>
          <w:iCs/>
          <w:color w:val="000000" w:themeColor="text1"/>
        </w:rPr>
        <w:t>(Table 1)</w:t>
      </w:r>
      <w:r w:rsidR="00D8054B" w:rsidRPr="00D07897">
        <w:rPr>
          <w:rFonts w:ascii="Book Antiqua" w:hAnsi="Book Antiqua" w:cs="Arial"/>
          <w:iCs/>
          <w:color w:val="000000" w:themeColor="text1"/>
        </w:rPr>
        <w:t>.</w:t>
      </w:r>
      <w:r w:rsidR="000B7FFD" w:rsidRPr="00D07897">
        <w:rPr>
          <w:rFonts w:ascii="Book Antiqua" w:hAnsi="Book Antiqua" w:cs="Arial"/>
          <w:color w:val="000000" w:themeColor="text1"/>
        </w:rPr>
        <w:t xml:space="preserve"> </w:t>
      </w:r>
    </w:p>
    <w:p w14:paraId="032DF10C" w14:textId="77777777" w:rsidR="003C1931" w:rsidRPr="00D07897" w:rsidRDefault="003C1931" w:rsidP="00F96F15">
      <w:pPr>
        <w:spacing w:line="360" w:lineRule="auto"/>
        <w:jc w:val="both"/>
        <w:rPr>
          <w:rFonts w:ascii="Book Antiqua" w:hAnsi="Book Antiqua" w:cs="Arial"/>
          <w:color w:val="000000" w:themeColor="text1"/>
        </w:rPr>
      </w:pPr>
    </w:p>
    <w:p w14:paraId="1485130F" w14:textId="2DA7591D" w:rsidR="00142174" w:rsidRPr="00D07897" w:rsidRDefault="00C43060" w:rsidP="00F96F15">
      <w:pPr>
        <w:spacing w:line="360" w:lineRule="auto"/>
        <w:jc w:val="both"/>
        <w:rPr>
          <w:rFonts w:ascii="Book Antiqua" w:hAnsi="Book Antiqua" w:cs="Arial"/>
          <w:b/>
          <w:bCs/>
          <w:i/>
          <w:color w:val="000000" w:themeColor="text1"/>
        </w:rPr>
      </w:pPr>
      <w:r w:rsidRPr="00D07897">
        <w:rPr>
          <w:rFonts w:ascii="Book Antiqua" w:hAnsi="Book Antiqua" w:cs="Arial"/>
          <w:b/>
          <w:bCs/>
          <w:i/>
          <w:color w:val="000000" w:themeColor="text1"/>
        </w:rPr>
        <w:t xml:space="preserve">Nutrition </w:t>
      </w:r>
      <w:r w:rsidR="00910C20" w:rsidRPr="00D07897">
        <w:rPr>
          <w:rFonts w:ascii="Book Antiqua" w:hAnsi="Book Antiqua" w:cs="Arial"/>
          <w:b/>
          <w:bCs/>
          <w:i/>
          <w:color w:val="000000" w:themeColor="text1"/>
        </w:rPr>
        <w:t xml:space="preserve">screening or assessment tools </w:t>
      </w:r>
    </w:p>
    <w:p w14:paraId="5038D4AF" w14:textId="3D9C3B9A" w:rsidR="00142174" w:rsidRPr="00D07897" w:rsidRDefault="00E036D1"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NSTs that were examined in the </w:t>
      </w:r>
      <w:r w:rsidR="009E5F7C" w:rsidRPr="00D07897">
        <w:rPr>
          <w:rFonts w:ascii="Book Antiqua" w:hAnsi="Book Antiqua" w:cs="Arial"/>
          <w:color w:val="000000" w:themeColor="text1"/>
        </w:rPr>
        <w:t xml:space="preserve">included </w:t>
      </w:r>
      <w:r w:rsidRPr="00D07897">
        <w:rPr>
          <w:rFonts w:ascii="Book Antiqua" w:hAnsi="Book Antiqua" w:cs="Arial"/>
          <w:color w:val="000000" w:themeColor="text1"/>
        </w:rPr>
        <w:t xml:space="preserve">studies </w:t>
      </w:r>
      <w:r w:rsidR="009E5F7C" w:rsidRPr="00D07897">
        <w:rPr>
          <w:rFonts w:ascii="Book Antiqua" w:hAnsi="Book Antiqua" w:cs="Arial"/>
          <w:color w:val="000000" w:themeColor="text1"/>
        </w:rPr>
        <w:t>were</w:t>
      </w:r>
      <w:r w:rsidRPr="00D07897">
        <w:rPr>
          <w:rFonts w:ascii="Book Antiqua" w:hAnsi="Book Antiqua" w:cs="Arial"/>
          <w:color w:val="000000" w:themeColor="text1"/>
        </w:rPr>
        <w:t xml:space="preserve"> the NRS-2002, MUST, </w:t>
      </w:r>
      <w:r w:rsidR="00DA4759" w:rsidRPr="00D07897">
        <w:rPr>
          <w:rFonts w:ascii="Book Antiqua" w:hAnsi="Book Antiqua" w:cs="Arial"/>
          <w:color w:val="000000" w:themeColor="text1"/>
        </w:rPr>
        <w:t>Nutritional Risk Index (</w:t>
      </w:r>
      <w:r w:rsidRPr="00D07897">
        <w:rPr>
          <w:rFonts w:ascii="Book Antiqua" w:hAnsi="Book Antiqua" w:cs="Arial"/>
          <w:color w:val="000000" w:themeColor="text1"/>
        </w:rPr>
        <w:t>NRI</w:t>
      </w:r>
      <w:r w:rsidR="00DA4759" w:rsidRPr="00D07897">
        <w:rPr>
          <w:rFonts w:ascii="Book Antiqua" w:hAnsi="Book Antiqua" w:cs="Arial"/>
          <w:color w:val="000000" w:themeColor="text1"/>
        </w:rPr>
        <w:t>)</w:t>
      </w:r>
      <w:r w:rsidR="00746AC9" w:rsidRPr="00D07897">
        <w:rPr>
          <w:rFonts w:ascii="Book Antiqua" w:hAnsi="Book Antiqua" w:cs="Arial"/>
          <w:color w:val="000000" w:themeColor="text1"/>
        </w:rPr>
        <w:t xml:space="preserve">, </w:t>
      </w:r>
      <w:r w:rsidRPr="00D07897">
        <w:rPr>
          <w:rFonts w:ascii="Book Antiqua" w:hAnsi="Book Antiqua" w:cs="Arial"/>
          <w:color w:val="000000" w:themeColor="text1"/>
        </w:rPr>
        <w:t>Malnutrition Inflammation Risk Tool (MIRT)</w:t>
      </w:r>
      <w:r w:rsidR="008817C2" w:rsidRPr="00D07897">
        <w:rPr>
          <w:rFonts w:ascii="Book Antiqua" w:hAnsi="Book Antiqua" w:cs="Arial"/>
          <w:color w:val="000000" w:themeColor="text1"/>
        </w:rPr>
        <w:t>,</w:t>
      </w:r>
      <w:r w:rsidR="00746AC9" w:rsidRPr="00D07897">
        <w:rPr>
          <w:rFonts w:ascii="Book Antiqua" w:hAnsi="Book Antiqua" w:cs="Arial"/>
          <w:color w:val="000000" w:themeColor="text1"/>
        </w:rPr>
        <w:t xml:space="preserve"> and the Saskatchewan Inflammatory Bowel Disease Nutrition Risk Tool (</w:t>
      </w:r>
      <w:proofErr w:type="spellStart"/>
      <w:r w:rsidR="00746AC9" w:rsidRPr="00D07897">
        <w:rPr>
          <w:rFonts w:ascii="Book Antiqua" w:hAnsi="Book Antiqua" w:cs="Arial"/>
          <w:color w:val="000000" w:themeColor="text1"/>
        </w:rPr>
        <w:t>SaskIBD</w:t>
      </w:r>
      <w:proofErr w:type="spellEnd"/>
      <w:r w:rsidR="00746AC9" w:rsidRPr="00D07897">
        <w:rPr>
          <w:rFonts w:ascii="Book Antiqua" w:hAnsi="Book Antiqua" w:cs="Arial"/>
          <w:color w:val="000000" w:themeColor="text1"/>
        </w:rPr>
        <w:t>-NRT)</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Digestiva","id":"ITEM-2","issue":"1","issued":{"date-parts":[["2017"]]},"page":"26-32","publisher-place":"Spain","title":"Malnutrition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disease.","type":"article-journal","volume":"109"},"uris":["http://www.mendeley.com/documents/?uuid=a2e30909-7161-4f77-ba2e-199b14c8197c"]},{"id":"ITEM-3","itemData":{"DOI":"10.1017/S0007114516003044","ISSN":"1475-2662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nutrition","id":"ITEM-3","issue":"6","issued":{"date-parts":[["2016","9"]]},"language":"eng","page":"1061-1067","publisher-place":"England","title":"Inflammation-driven malnutrition: a new screening tool predicts outcome in Crohn's disease.","type":"article-journal","volume":"116"},"uris":["http://www.mendeley.com/documents/?uuid=7a1220e5-e4f6-481d-b52c-83a9e8be8be2"]},{"id":"ITEM-4","itemData":{"DOI":"https://dx.doi.org/10.1007/s00595-015-1257-5","ISSN":"1436-2813","abstract":"PURPOSE: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today","id":"ITEM-4","issue":"8","issued":{"date-parts":[["2016"]]},"page":"922-929","publisher-place":"Japan","title":"Influence of nutritional status on the therapeutic effect of infliximab in patients with Crohn's disease.","type":"article-journal","volume":"46"},"uris":["http://www.mendeley.com/documents/?uuid=6cc80495-0e41-4013-8604-780a0cfc9b33"]},{"id":"ITEM-5","itemData":{"DOI":"10.1159/000485637","ISSN":"1421-9697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metabolism","id":"ITEM-5","issue":"3-4","issued":{"date-parts":[["2017"]]},"language":"eng","page":"266-272","publisher-place":"Switzerland","title":"Nutritional Screening and Clinical Outcome in Hospitalized Patients with Crohn's  Disease.","type":"article-journal","volume":"71"},"uris":["http://www.mendeley.com/documents/?uuid=cd857bcf-f832-4ca4-aa54-3d63c71b8d64"]},{"id":"ITEM-6","itemData":{"DOI":"10.6133/apjcn.112017.01","ISSN":"0964-7058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nutrition","id":"ITEM-6","issue":"4","issued":{"date-parts":[["2018"]]},"language":"eng","page":"756-762","publisher-place":"Australia","title":"Development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[8,9,13,27,30,35]&lt;/sup&gt;","plainTextFormattedCitation":"[8,9,13,27,30,35]","previouslyFormattedCitation":"&lt;sup&gt;[8,9,13,26,29,34]&lt;/sup&gt;"},"properties":{"noteIndex":0},"schema":"https://github.com/citation-style-language/schema/raw/master/csl-citation.json"}</w:instrText>
      </w:r>
      <w:r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[8,9,13,27,30,35]</w:t>
      </w:r>
      <w:r w:rsidRPr="00D07897">
        <w:rPr>
          <w:rFonts w:ascii="Book Antiqua" w:hAnsi="Book Antiqua" w:cs="Arial"/>
          <w:color w:val="000000" w:themeColor="text1"/>
        </w:rPr>
        <w:fldChar w:fldCharType="end"/>
      </w:r>
      <w:r w:rsidRPr="00D07897">
        <w:rPr>
          <w:rFonts w:ascii="Book Antiqua" w:hAnsi="Book Antiqua" w:cs="Arial"/>
          <w:color w:val="000000" w:themeColor="text1"/>
        </w:rPr>
        <w:t xml:space="preserve">. </w:t>
      </w:r>
      <w:r w:rsidR="00DB1946" w:rsidRPr="00D07897">
        <w:rPr>
          <w:rFonts w:ascii="Book Antiqua" w:hAnsi="Book Antiqua" w:cs="Arial"/>
          <w:color w:val="000000" w:themeColor="text1"/>
        </w:rPr>
        <w:t>Table 2 illustrates the basic components</w:t>
      </w:r>
      <w:r w:rsidR="00626249" w:rsidRPr="00D07897">
        <w:rPr>
          <w:rFonts w:ascii="Book Antiqua" w:hAnsi="Book Antiqua" w:cs="Arial"/>
          <w:color w:val="000000" w:themeColor="text1"/>
        </w:rPr>
        <w:t>, categories</w:t>
      </w:r>
      <w:r w:rsidR="00DB1946" w:rsidRPr="00D07897">
        <w:rPr>
          <w:rFonts w:ascii="Book Antiqua" w:hAnsi="Book Antiqua" w:cs="Arial"/>
          <w:color w:val="000000" w:themeColor="text1"/>
        </w:rPr>
        <w:t xml:space="preserve"> and interpretations of included NSTs. </w:t>
      </w:r>
    </w:p>
    <w:p w14:paraId="35B2D824" w14:textId="75CCB7A9" w:rsidR="00EA1F6D" w:rsidRPr="00D07897" w:rsidRDefault="009E5F7C" w:rsidP="00910C20">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t xml:space="preserve">The NATs evaluated in the studies in this review </w:t>
      </w:r>
      <w:r w:rsidR="00D910E9" w:rsidRPr="00D07897">
        <w:rPr>
          <w:rFonts w:ascii="Book Antiqua" w:hAnsi="Book Antiqua" w:cs="Arial"/>
          <w:color w:val="000000" w:themeColor="text1"/>
        </w:rPr>
        <w:t>included the SGA,</w:t>
      </w:r>
      <w:r w:rsidR="00A70CC8" w:rsidRPr="00D07897">
        <w:rPr>
          <w:rFonts w:ascii="Book Antiqua" w:hAnsi="Book Antiqua" w:cs="Arial"/>
          <w:color w:val="000000" w:themeColor="text1"/>
        </w:rPr>
        <w:t xml:space="preserve"> comprehensive RD and gastroenterologist</w:t>
      </w:r>
      <w:r w:rsidR="00891356" w:rsidRPr="00D07897">
        <w:rPr>
          <w:rFonts w:ascii="Book Antiqua" w:hAnsi="Book Antiqua" w:cs="Arial"/>
          <w:color w:val="000000" w:themeColor="text1"/>
        </w:rPr>
        <w:t xml:space="preserve"> (GI)</w:t>
      </w:r>
      <w:r w:rsidR="00A70CC8" w:rsidRPr="00D07897">
        <w:rPr>
          <w:rFonts w:ascii="Book Antiqua" w:hAnsi="Book Antiqua" w:cs="Arial"/>
          <w:color w:val="000000" w:themeColor="text1"/>
        </w:rPr>
        <w:t xml:space="preserve"> assessment,</w:t>
      </w:r>
      <w:r w:rsidR="00D910E9" w:rsidRPr="00D07897">
        <w:rPr>
          <w:rFonts w:ascii="Book Antiqua" w:hAnsi="Book Antiqua" w:cs="Arial"/>
          <w:color w:val="000000" w:themeColor="text1"/>
        </w:rPr>
        <w:t xml:space="preserve"> Skeletal Muscle Percentage (SMP), Fat Free Mass Index (FFMI), L3</w:t>
      </w:r>
      <w:r w:rsidR="00CB5CC5" w:rsidRPr="00D07897">
        <w:rPr>
          <w:rFonts w:ascii="Book Antiqua" w:hAnsi="Book Antiqua" w:cs="Arial"/>
          <w:color w:val="000000" w:themeColor="text1"/>
        </w:rPr>
        <w:t xml:space="preserve"> Skeletal</w:t>
      </w:r>
      <w:r w:rsidR="00D910E9" w:rsidRPr="00D07897">
        <w:rPr>
          <w:rFonts w:ascii="Book Antiqua" w:hAnsi="Book Antiqua" w:cs="Arial"/>
          <w:color w:val="000000" w:themeColor="text1"/>
        </w:rPr>
        <w:t xml:space="preserve"> Muscle Index</w:t>
      </w:r>
      <w:r w:rsidR="00CB5CC5" w:rsidRPr="00D07897">
        <w:rPr>
          <w:rFonts w:ascii="Book Antiqua" w:hAnsi="Book Antiqua" w:cs="Arial"/>
          <w:color w:val="000000" w:themeColor="text1"/>
        </w:rPr>
        <w:t xml:space="preserve"> (L3 SMI)</w:t>
      </w:r>
      <w:r w:rsidR="00D910E9" w:rsidRPr="00D07897">
        <w:rPr>
          <w:rFonts w:ascii="Book Antiqua" w:hAnsi="Book Antiqua" w:cs="Arial"/>
          <w:color w:val="000000" w:themeColor="text1"/>
        </w:rPr>
        <w:t>, Appendicular Ske</w:t>
      </w:r>
      <w:r w:rsidR="00CB5CC5" w:rsidRPr="00D07897">
        <w:rPr>
          <w:rFonts w:ascii="Book Antiqua" w:hAnsi="Book Antiqua" w:cs="Arial"/>
          <w:color w:val="000000" w:themeColor="text1"/>
        </w:rPr>
        <w:t>letal Mu</w:t>
      </w:r>
      <w:r w:rsidR="003864E6" w:rsidRPr="00D07897">
        <w:rPr>
          <w:rFonts w:ascii="Book Antiqua" w:hAnsi="Book Antiqua" w:cs="Arial"/>
          <w:color w:val="000000" w:themeColor="text1"/>
        </w:rPr>
        <w:t xml:space="preserve">scle Indices, </w:t>
      </w:r>
      <w:r w:rsidR="00D910E9" w:rsidRPr="00D07897">
        <w:rPr>
          <w:rFonts w:ascii="Book Antiqua" w:hAnsi="Book Antiqua" w:cs="Arial"/>
          <w:color w:val="000000" w:themeColor="text1"/>
        </w:rPr>
        <w:t>Skeletal Muscle Area (SMA)</w:t>
      </w:r>
      <w:r w:rsidR="006F1282" w:rsidRPr="00D07897">
        <w:rPr>
          <w:rFonts w:ascii="Book Antiqua" w:hAnsi="Book Antiqua" w:cs="Arial"/>
          <w:color w:val="000000" w:themeColor="text1"/>
        </w:rPr>
        <w:t>, Total Psoas Muscle Area</w:t>
      </w:r>
      <w:r w:rsidR="008817C2" w:rsidRPr="00D07897">
        <w:rPr>
          <w:rFonts w:ascii="Book Antiqua" w:hAnsi="Book Antiqua" w:cs="Arial"/>
          <w:color w:val="000000" w:themeColor="text1"/>
        </w:rPr>
        <w:t>,</w:t>
      </w:r>
      <w:r w:rsidR="006F1282" w:rsidRPr="00D07897">
        <w:rPr>
          <w:rFonts w:ascii="Book Antiqua" w:hAnsi="Book Antiqua" w:cs="Arial"/>
          <w:color w:val="000000" w:themeColor="text1"/>
        </w:rPr>
        <w:t xml:space="preserve"> </w:t>
      </w:r>
      <w:r w:rsidR="003864E6" w:rsidRPr="00D07897">
        <w:rPr>
          <w:rFonts w:ascii="Book Antiqua" w:hAnsi="Book Antiqua" w:cs="Arial"/>
          <w:color w:val="000000" w:themeColor="text1"/>
        </w:rPr>
        <w:t>and the mean Houn</w:t>
      </w:r>
      <w:r w:rsidR="00AE731E" w:rsidRPr="00D07897">
        <w:rPr>
          <w:rFonts w:ascii="Book Antiqua" w:hAnsi="Book Antiqua" w:cs="Arial"/>
          <w:color w:val="000000" w:themeColor="text1"/>
        </w:rPr>
        <w:t>s</w:t>
      </w:r>
      <w:r w:rsidR="003864E6" w:rsidRPr="00D07897">
        <w:rPr>
          <w:rFonts w:ascii="Book Antiqua" w:hAnsi="Book Antiqua" w:cs="Arial"/>
          <w:color w:val="000000" w:themeColor="text1"/>
        </w:rPr>
        <w:t>field unit average</w:t>
      </w:r>
      <w:r w:rsidR="005C4B05" w:rsidRPr="00D07897">
        <w:rPr>
          <w:rFonts w:ascii="Book Antiqua" w:hAnsi="Book Antiqua" w:cs="Arial"/>
          <w:color w:val="000000" w:themeColor="text1"/>
        </w:rPr>
        <w:t xml:space="preserve"> calculation</w:t>
      </w:r>
      <w:r w:rsidR="003864E6" w:rsidRPr="00D07897">
        <w:rPr>
          <w:rFonts w:ascii="Book Antiqua" w:hAnsi="Book Antiqua" w:cs="Arial"/>
          <w:color w:val="000000" w:themeColor="text1"/>
        </w:rPr>
        <w:t xml:space="preserve"> </w:t>
      </w:r>
      <w:r w:rsidR="00C9019B" w:rsidRPr="00D07897">
        <w:rPr>
          <w:rFonts w:ascii="Book Antiqua" w:hAnsi="Book Antiqua" w:cs="Arial"/>
          <w:color w:val="000000" w:themeColor="text1"/>
        </w:rPr>
        <w:t>(</w:t>
      </w:r>
      <w:proofErr w:type="spellStart"/>
      <w:r w:rsidR="003864E6" w:rsidRPr="00D07897">
        <w:rPr>
          <w:rFonts w:ascii="Book Antiqua" w:hAnsi="Book Antiqua" w:cs="Arial"/>
          <w:color w:val="000000" w:themeColor="text1"/>
        </w:rPr>
        <w:t>mHUA</w:t>
      </w:r>
      <w:r w:rsidR="005C4B05" w:rsidRPr="00D07897">
        <w:rPr>
          <w:rFonts w:ascii="Book Antiqua" w:hAnsi="Book Antiqua" w:cs="Arial"/>
          <w:color w:val="000000" w:themeColor="text1"/>
        </w:rPr>
        <w:t>C</w:t>
      </w:r>
      <w:proofErr w:type="spellEnd"/>
      <w:r w:rsidR="003864E6" w:rsidRPr="00D07897">
        <w:rPr>
          <w:rFonts w:ascii="Book Antiqua" w:hAnsi="Book Antiqua" w:cs="Arial"/>
          <w:color w:val="000000" w:themeColor="text1"/>
        </w:rPr>
        <w:t>) at L3</w:t>
      </w:r>
      <w:r w:rsidR="00C415E7"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diseases","id":"ITEM-1","issue":"7","issued":{"date-parts":[["2017","7"]]},"language":"eng","page":"1182-1186","publisher-place":"United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Surgery.","type":"article-journal","volume":"23"},"uris":["http://www.mendeley.com/documents/?uuid=6b4f2d39-091b-48c7-a8f9-3935125eeaf6"]},{"id":"ITEM-2","itemData":{"DOI":"https://dx.doi.org/10.1371/journal.pone.0180036","ISSN":"1932-6203","abstract":"The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one","id":"ITEM-2","issue":"6","issued":{"date-parts":[["2017"]]},"page":"e0180036","publisher-place":"United States","title":"Sarcopenia is a predictive factor for intestinal resection in admitted patients with Crohn's disease.","type":"article-journal","volume":"12"},"uris":["http://www.mendeley.com/documents/?uuid=73a11d92-9bee-468c-bbed-3189266c43db"]},{"id":"ITEM-3","itemData":{"DOI":"https://dx.doi.org/10.17235/reed.2016.4557/2016","ISSN":"1130-0108","abstract":"The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Digestiva","id":"ITEM-3","issue":"1","issued":{"date-parts":[["2017"]]},"page":"26-32","publisher-place":"Spain","title":"Malnutrition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disease.","type":"article-journal","volume":"109"},"uris":["http://www.mendeley.com/documents/?uuid=a2e30909-7161-4f77-ba2e-199b14c8197c"]},{"id":"ITEM-4","itemData":{"DOI":"https://dx.doi.org/10.1111/apt.14018","ISSN":"1365-2036","abstract":"BACKGROUND: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therapeutics","id":"ITEM-4","issue":"9","issued":{"date-parts":[["2017"]]},"page":"1255-1264","publisher-place":"England","title":"Visceral adiposity predicts post-operative Crohn's disease recurrence.","type":"article-journal","volume":"45"},"uris":["http://www.mendeley.com/documents/?uuid=2f42bc0f-c075-4ed5-ae3f-d90c75e83b1a"]},{"id":"ITEM-5","itemData":{"DOI":"10.1017/S0007114516003044","ISSN":"1475-2662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nutrition","id":"ITEM-5","issue":"6","issued":{"date-parts":[["2016","9"]]},"language":"eng","page":"1061-1067","publisher-place":"England","title":"Inflammation-driven malnutrition: a new screening tool predicts outcome in Crohn's disease.","type":"article-journal","volume":"116"},"uris":["http://www.mendeley.com/documents/?uuid=7a1220e5-e4f6-481d-b52c-83a9e8be8be2"]},{"id":"ITEM-6","itemData":{"DOI":"10.1159/000485637","ISSN":"1421-9697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metabolism","id":"ITEM-6","issue":"3-4","issued":{"date-parts":[["2017"]]},"language":"eng","page":"266-272","publisher-place":"Switzerland","title":"Nutritional Screening and Clinical Outcome in Hospitalized Patients with Crohn's  Disease.","type":"article-journal","volume":"71"},"uris":["http://www.mendeley.com/documents/?uuid=cd857bcf-f832-4ca4-aa54-3d63c71b8d64"]},{"id":"ITEM-7","itemData":{"DOI":"10.1016/j.clnu.2016.10.004","ISSN":"1532-1983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Scotland)","id":"ITEM-7","issue":"6","issued":{"date-parts":[["2017","12"]]},"language":"eng","page":"1586-1592","publisher-place":"England","title":"Skeletal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colectomy.","type":"article-journal","volume":"36"},"uris":["http://www.mendeley.com/documents/?uuid=289f93c3-ba8a-4a99-af8c-01b5584e14b0"]},{"id":"ITEM-8","itemData":{"DOI":"10.1177/0148607115612054","ISSN":"1941-2444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nutrition","id":"ITEM-8","issue":"4","issued":{"date-parts":[["2017","5"]]},"language":"eng","page":"592-600","publisher-place":"United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Resection.","type":"article-journal","volume":"41"},"uris":["http://www.mendeley.com/documents/?uuid=db984d59-d589-4f73-9f02-3b7ac10b008c"]},{"id":"ITEM-9","itemData":{"DOI":"https://dx.doi.org/10.1007/s11605-015-2763-x","ISSN":"1873-4626","abstract":"BACKGROUND: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Tract","id":"ITEM-9","issue":"4","issued":{"date-parts":[["2015"]]},"page":"715-721","publisher-place":"United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malnutrition.","type":"article-journal","volume":"19"},"uris":["http://www.mendeley.com/documents/?uuid=bce9beff-5643-45ff-bd09-fffc819a41d0"]},{"id":"ITEM-10","itemData":{"DOI":"10.1097/MIB.0000000000001166","ISSN":"1536-4844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diseases","id":"ITEM-10","issue":"10","issued":{"date-parts":[["2017","10"]]},"language":"eng","page":"1867-1872","publisher-place":"United States","title":"Sarcopenia is a Predictor of Surgical Morbidity in Inflammatory Bowel Disease.","type":"article-journal","volume":"23"},"uris":["http://www.mendeley.com/documents/?uuid=6853f06f-1efd-4924-a01f-3879684bf57f"]},{"id":"ITEM-11","itemData":{"DOI":"10.1007/s00595-016-1357-x","ISSN":"1436-2813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today","id":"ITEM-11","issue":"1","issued":{"date-parts":[["2017","1"]]},"language":"eng","page":"92-98","publisher-place":"Japan","title":"Impact of sarcopenia on surgical site infection after restorative proctocolectomy for ulcerative colitis.","type":"article-journal","volume":"47"},"uris":["http://www.mendeley.com/documents/?uuid=a3ecc717-75fe-4b70-b40a-518331ec5a8e"]},{"id":"ITEM-12","itemData":{"DOI":"10.6133/apjcn.112017.01","ISSN":"0964-7058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nutrition","id":"ITEM-12","issue":"4","issued":{"date-parts":[["2018"]]},"language":"eng","page":"756-762","publisher-place":"Australia","title":"Development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[8,9,35,36,10–13,28–30,33]&lt;/sup&gt;","plainTextFormattedCitation":"[8,9,35,36,10–13,28–30,33]","previouslyFormattedCitation":"&lt;sup&gt;[8,9,34,35,10–13,27–29,32]&lt;/sup&gt;"},"properties":{"noteIndex":0},"schema":"https://github.com/citation-style-language/schema/raw/master/csl-citation.json"}</w:instrText>
      </w:r>
      <w:r w:rsidR="00C415E7" w:rsidRPr="00D07897">
        <w:rPr>
          <w:rFonts w:ascii="Book Antiqua" w:hAnsi="Book Antiqua" w:cs="Arial"/>
          <w:color w:val="000000" w:themeColor="text1"/>
        </w:rPr>
        <w:fldChar w:fldCharType="separate"/>
      </w:r>
      <w:proofErr w:type="gramStart"/>
      <w:r w:rsidR="001B7C5F" w:rsidRPr="00D07897">
        <w:rPr>
          <w:rFonts w:ascii="Book Antiqua" w:hAnsi="Book Antiqua" w:cs="Arial"/>
          <w:noProof/>
          <w:color w:val="000000" w:themeColor="text1"/>
          <w:vertAlign w:val="superscript"/>
        </w:rPr>
        <w:t>[</w:t>
      </w:r>
      <w:r w:rsidR="00AB78C6" w:rsidRPr="00D07897">
        <w:rPr>
          <w:rFonts w:ascii="Book Antiqua" w:hAnsi="Book Antiqua" w:cs="Arial"/>
          <w:noProof/>
          <w:color w:val="000000" w:themeColor="text1"/>
          <w:vertAlign w:val="superscript"/>
        </w:rPr>
        <w:t>8-13,28-30,33,</w:t>
      </w:r>
      <w:r w:rsidR="001B7C5F" w:rsidRPr="00D07897">
        <w:rPr>
          <w:rFonts w:ascii="Book Antiqua" w:hAnsi="Book Antiqua" w:cs="Arial"/>
          <w:noProof/>
          <w:color w:val="000000" w:themeColor="text1"/>
          <w:vertAlign w:val="superscript"/>
        </w:rPr>
        <w:t>35,36]</w:t>
      </w:r>
      <w:r w:rsidR="00C415E7" w:rsidRPr="00D07897">
        <w:rPr>
          <w:rFonts w:ascii="Book Antiqua" w:hAnsi="Book Antiqua" w:cs="Arial"/>
          <w:color w:val="000000" w:themeColor="text1"/>
        </w:rPr>
        <w:fldChar w:fldCharType="end"/>
      </w:r>
      <w:r w:rsidR="00D910E9" w:rsidRPr="00D07897">
        <w:rPr>
          <w:rFonts w:ascii="Book Antiqua" w:hAnsi="Book Antiqua" w:cs="Arial"/>
          <w:color w:val="000000" w:themeColor="text1"/>
        </w:rPr>
        <w:t>.</w:t>
      </w:r>
      <w:proofErr w:type="gramEnd"/>
      <w:r w:rsidR="00C415E7" w:rsidRPr="00D07897">
        <w:rPr>
          <w:rFonts w:ascii="Book Antiqua" w:hAnsi="Book Antiqua" w:cs="Arial"/>
          <w:color w:val="000000" w:themeColor="text1"/>
        </w:rPr>
        <w:t xml:space="preserve"> </w:t>
      </w:r>
      <w:r w:rsidR="00BE1C1F" w:rsidRPr="00D07897">
        <w:rPr>
          <w:rFonts w:ascii="Book Antiqua" w:hAnsi="Book Antiqua" w:cs="Arial"/>
          <w:color w:val="000000" w:themeColor="text1"/>
        </w:rPr>
        <w:t xml:space="preserve">Table </w:t>
      </w:r>
      <w:r w:rsidR="00C10906" w:rsidRPr="00D07897">
        <w:rPr>
          <w:rFonts w:ascii="Book Antiqua" w:hAnsi="Book Antiqua" w:cs="Arial"/>
          <w:color w:val="000000" w:themeColor="text1"/>
        </w:rPr>
        <w:t>3</w:t>
      </w:r>
      <w:r w:rsidR="00BE1C1F" w:rsidRPr="00D07897">
        <w:rPr>
          <w:rFonts w:ascii="Book Antiqua" w:hAnsi="Book Antiqua" w:cs="Arial"/>
          <w:color w:val="000000" w:themeColor="text1"/>
        </w:rPr>
        <w:t xml:space="preserve"> illustrates the basic components, categories and interpretations of included NATs. </w:t>
      </w:r>
    </w:p>
    <w:p w14:paraId="2A765419" w14:textId="77777777" w:rsidR="005D786E" w:rsidRPr="00D07897" w:rsidRDefault="005D786E" w:rsidP="00F96F15">
      <w:pPr>
        <w:spacing w:line="360" w:lineRule="auto"/>
        <w:jc w:val="both"/>
        <w:rPr>
          <w:rFonts w:ascii="Book Antiqua" w:hAnsi="Book Antiqua" w:cs="Arial"/>
          <w:color w:val="000000" w:themeColor="text1"/>
        </w:rPr>
      </w:pPr>
    </w:p>
    <w:p w14:paraId="01FF7E49" w14:textId="75292CAC" w:rsidR="00A4046A" w:rsidRPr="00D07897" w:rsidRDefault="005D786E" w:rsidP="00F96F15">
      <w:pPr>
        <w:spacing w:line="360" w:lineRule="auto"/>
        <w:jc w:val="both"/>
        <w:rPr>
          <w:rFonts w:ascii="Book Antiqua" w:hAnsi="Book Antiqua" w:cs="Arial"/>
          <w:b/>
          <w:bCs/>
          <w:i/>
          <w:iCs/>
          <w:color w:val="000000" w:themeColor="text1"/>
        </w:rPr>
      </w:pPr>
      <w:r w:rsidRPr="00D07897">
        <w:rPr>
          <w:rFonts w:ascii="Book Antiqua" w:hAnsi="Book Antiqua" w:cs="Arial"/>
          <w:b/>
          <w:bCs/>
          <w:i/>
          <w:iCs/>
          <w:color w:val="000000" w:themeColor="text1"/>
        </w:rPr>
        <w:t>Qua</w:t>
      </w:r>
      <w:r w:rsidR="00FE484C" w:rsidRPr="00D07897">
        <w:rPr>
          <w:rFonts w:ascii="Book Antiqua" w:hAnsi="Book Antiqua" w:cs="Arial"/>
          <w:b/>
          <w:bCs/>
          <w:i/>
          <w:iCs/>
          <w:color w:val="000000" w:themeColor="text1"/>
        </w:rPr>
        <w:t xml:space="preserve">lity </w:t>
      </w:r>
      <w:r w:rsidR="00AB78C6" w:rsidRPr="00D07897">
        <w:rPr>
          <w:rFonts w:ascii="Book Antiqua" w:hAnsi="Book Antiqua" w:cs="Arial"/>
          <w:b/>
          <w:bCs/>
          <w:i/>
          <w:iCs/>
          <w:color w:val="000000" w:themeColor="text1"/>
        </w:rPr>
        <w:t xml:space="preserve">assessment results </w:t>
      </w:r>
    </w:p>
    <w:p w14:paraId="3CD23DF1" w14:textId="47A3BDBE" w:rsidR="003C1931" w:rsidRPr="00D07897" w:rsidRDefault="00A4046A" w:rsidP="00F96F15">
      <w:pPr>
        <w:spacing w:line="360" w:lineRule="auto"/>
        <w:jc w:val="both"/>
        <w:rPr>
          <w:rFonts w:ascii="Book Antiqua" w:hAnsi="Book Antiqua" w:cs="Arial"/>
          <w:i/>
          <w:color w:val="000000" w:themeColor="text1"/>
        </w:rPr>
      </w:pPr>
      <w:r w:rsidRPr="00D07897">
        <w:rPr>
          <w:rFonts w:ascii="Book Antiqua" w:hAnsi="Book Antiqua" w:cs="Arial"/>
          <w:color w:val="000000" w:themeColor="text1"/>
        </w:rPr>
        <w:t xml:space="preserve">Given the non-randomized observational design of all studies, with the majority lacking well-defined cohorts, </w:t>
      </w:r>
      <w:r w:rsidR="005610DD" w:rsidRPr="00D07897">
        <w:rPr>
          <w:rFonts w:ascii="Book Antiqua" w:hAnsi="Book Antiqua" w:cs="Arial"/>
          <w:color w:val="000000" w:themeColor="text1"/>
        </w:rPr>
        <w:t>all studies carry a high relative inherent risk of bias. U</w:t>
      </w:r>
      <w:r w:rsidRPr="00D07897">
        <w:rPr>
          <w:rFonts w:ascii="Book Antiqua" w:hAnsi="Book Antiqua" w:cs="Arial"/>
          <w:color w:val="000000" w:themeColor="text1"/>
        </w:rPr>
        <w:t xml:space="preserve">tilizing the modified NOS scale, half of the studies (8/16) were assessed to be </w:t>
      </w:r>
      <w:r w:rsidRPr="00D07897">
        <w:rPr>
          <w:rFonts w:ascii="Book Antiqua" w:hAnsi="Book Antiqua" w:cs="Arial"/>
          <w:color w:val="000000" w:themeColor="text1"/>
        </w:rPr>
        <w:lastRenderedPageBreak/>
        <w:t xml:space="preserve">of acceptable quality, scoring four or more stars out of five, with the other half </w:t>
      </w:r>
      <w:r w:rsidR="005610DD" w:rsidRPr="00D07897">
        <w:rPr>
          <w:rFonts w:ascii="Book Antiqua" w:hAnsi="Book Antiqua" w:cs="Arial"/>
          <w:color w:val="000000" w:themeColor="text1"/>
        </w:rPr>
        <w:t>assessed to be</w:t>
      </w:r>
      <w:r w:rsidRPr="00D07897">
        <w:rPr>
          <w:rFonts w:ascii="Book Antiqua" w:hAnsi="Book Antiqua" w:cs="Arial"/>
          <w:color w:val="000000" w:themeColor="text1"/>
        </w:rPr>
        <w:t xml:space="preserve"> of relatively </w:t>
      </w:r>
      <w:r w:rsidR="005610DD" w:rsidRPr="00D07897">
        <w:rPr>
          <w:rFonts w:ascii="Book Antiqua" w:hAnsi="Book Antiqua" w:cs="Arial"/>
          <w:color w:val="000000" w:themeColor="text1"/>
        </w:rPr>
        <w:t>poor-quality scoring three or less stars</w:t>
      </w:r>
      <w:r w:rsidR="00C10906" w:rsidRPr="00D07897">
        <w:rPr>
          <w:rFonts w:ascii="Book Antiqua" w:hAnsi="Book Antiqua" w:cs="Arial"/>
          <w:color w:val="000000" w:themeColor="text1"/>
        </w:rPr>
        <w:t xml:space="preserve"> (Table S2)</w:t>
      </w:r>
      <w:r w:rsidRPr="00D07897">
        <w:rPr>
          <w:rFonts w:ascii="Book Antiqua" w:hAnsi="Book Antiqua" w:cs="Arial"/>
          <w:color w:val="000000" w:themeColor="text1"/>
        </w:rPr>
        <w:t xml:space="preserve">. </w:t>
      </w:r>
    </w:p>
    <w:p w14:paraId="787FBE0E" w14:textId="69A55546" w:rsidR="00EA1F6D" w:rsidRPr="00D07897" w:rsidRDefault="00EA1F6D" w:rsidP="00F96F15">
      <w:pPr>
        <w:spacing w:line="360" w:lineRule="auto"/>
        <w:jc w:val="both"/>
        <w:rPr>
          <w:rFonts w:ascii="Book Antiqua" w:hAnsi="Book Antiqua" w:cs="Arial"/>
          <w:i/>
          <w:color w:val="000000" w:themeColor="text1"/>
        </w:rPr>
      </w:pPr>
    </w:p>
    <w:p w14:paraId="63204A96" w14:textId="7C2FDA3B" w:rsidR="00EA1F6D" w:rsidRPr="00D07897" w:rsidRDefault="00EA1F6D" w:rsidP="00F96F15">
      <w:pPr>
        <w:spacing w:line="360" w:lineRule="auto"/>
        <w:jc w:val="both"/>
        <w:rPr>
          <w:rFonts w:ascii="Book Antiqua" w:hAnsi="Book Antiqua" w:cs="Arial"/>
          <w:b/>
          <w:bCs/>
          <w:i/>
          <w:color w:val="000000" w:themeColor="text1"/>
        </w:rPr>
      </w:pPr>
      <w:r w:rsidRPr="00D07897">
        <w:rPr>
          <w:rFonts w:ascii="Book Antiqua" w:hAnsi="Book Antiqua" w:cs="Arial"/>
          <w:b/>
          <w:bCs/>
          <w:i/>
          <w:color w:val="000000" w:themeColor="text1"/>
        </w:rPr>
        <w:t xml:space="preserve">What is the prevalence of abnormalities on </w:t>
      </w:r>
      <w:r w:rsidR="00AB78C6" w:rsidRPr="00D07897">
        <w:rPr>
          <w:rFonts w:ascii="Book Antiqua" w:hAnsi="Book Antiqua" w:cs="Arial"/>
          <w:b/>
          <w:bCs/>
          <w:i/>
          <w:color w:val="000000" w:themeColor="text1"/>
        </w:rPr>
        <w:t>nutrition screening and assessment</w:t>
      </w:r>
      <w:r w:rsidRPr="00D07897">
        <w:rPr>
          <w:rFonts w:ascii="Book Antiqua" w:hAnsi="Book Antiqua" w:cs="Arial"/>
          <w:b/>
          <w:bCs/>
          <w:i/>
          <w:color w:val="000000" w:themeColor="text1"/>
        </w:rPr>
        <w:t xml:space="preserve">? </w:t>
      </w:r>
    </w:p>
    <w:p w14:paraId="44A88C6E" w14:textId="5409D68D" w:rsidR="00910399" w:rsidRPr="00D07897" w:rsidRDefault="00EA1F6D"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Five studies utilized various NSTs (MUST, NRI, NRS-2002</w:t>
      </w:r>
      <w:r w:rsidR="008817C2" w:rsidRPr="00D07897">
        <w:rPr>
          <w:rFonts w:ascii="Book Antiqua" w:hAnsi="Book Antiqua" w:cs="Arial"/>
          <w:color w:val="000000" w:themeColor="text1"/>
        </w:rPr>
        <w:t>,</w:t>
      </w:r>
      <w:r w:rsidRPr="00D07897">
        <w:rPr>
          <w:rFonts w:ascii="Book Antiqua" w:hAnsi="Book Antiqua" w:cs="Arial"/>
          <w:color w:val="000000" w:themeColor="text1"/>
        </w:rPr>
        <w:t xml:space="preserve"> and </w:t>
      </w:r>
      <w:proofErr w:type="spellStart"/>
      <w:r w:rsidRPr="00D07897">
        <w:rPr>
          <w:rFonts w:ascii="Book Antiqua" w:hAnsi="Book Antiqua" w:cs="Arial"/>
          <w:color w:val="000000" w:themeColor="text1"/>
        </w:rPr>
        <w:t>SaskIBD</w:t>
      </w:r>
      <w:proofErr w:type="spellEnd"/>
      <w:r w:rsidRPr="00D07897">
        <w:rPr>
          <w:rFonts w:ascii="Book Antiqua" w:hAnsi="Book Antiqua" w:cs="Arial"/>
          <w:color w:val="000000" w:themeColor="text1"/>
        </w:rPr>
        <w:t>-NRT) to categorize patients ordinally into low</w:t>
      </w:r>
      <w:r w:rsidR="0024077F" w:rsidRPr="00D07897">
        <w:rPr>
          <w:rFonts w:ascii="Book Antiqua" w:hAnsi="Book Antiqua" w:cs="Arial"/>
          <w:color w:val="000000" w:themeColor="text1"/>
        </w:rPr>
        <w:t xml:space="preserve">, moderate </w:t>
      </w:r>
      <w:r w:rsidRPr="00D07897">
        <w:rPr>
          <w:rFonts w:ascii="Book Antiqua" w:hAnsi="Book Antiqua" w:cs="Arial"/>
          <w:color w:val="000000" w:themeColor="text1"/>
        </w:rPr>
        <w:t>and high nutrition risk categories</w:t>
      </w:r>
      <w:r w:rsidR="004B51B8"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metabolism","id":"ITEM-2","issue":"3-4","issued":{"date-parts":[["2017"]]},"language":"eng","page":"266-272","publisher-place":"Switzerland","title":"Nutritional Screening and Clinical Outcome in Hospitalized Patients with Crohn's  Disease.","type":"article-journal","volume":"71"},"uris":["http://www.mendeley.com/documents/?uuid=cd857bcf-f832-4ca4-aa54-3d63c71b8d64"]},{"id":"ITEM-3","itemData":{"DOI":"https://dx.doi.org/10.17235/reed.2016.4557/2016","ISSN":"1130-0108","abstract":"The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Digestiva","id":"ITEM-3","issue":"1","issued":{"date-parts":[["2017"]]},"page":"26-32","publisher-place":"Spain","title":"Malnutrition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disease.","type":"article-journal","volume":"109"},"uris":["http://www.mendeley.com/documents/?uuid=a2e30909-7161-4f77-ba2e-199b14c8197c"]},{"id":"ITEM-4","itemData":{"DOI":"10.6133/apjcn.112017.01","ISSN":"0964-7058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nutrition","id":"ITEM-4","issue":"4","issued":{"date-parts":[["2018"]]},"language":"eng","page":"756-762","publisher-place":"Australia","title":"Development of a screening tool to detect nutrition risk in patients with inflammatory bowel disease.","type":"article-journal","volume":"27"},"uris":["http://www.mendeley.com/documents/?uuid=e52d4073-2a21-491f-bee7-5614c6147365"]},{"id":"ITEM-5","itemData":{"DOI":"https://dx.doi.org/10.1007/s00595-015-1257-5","ISSN":"1436-2813","abstract":"PURPOSE: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today","id":"ITEM-5","issue":"8","issued":{"date-parts":[["2016"]]},"page":"922-929","publisher-place":"Japan","title":"Influence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[9,13,27,30,35]&lt;/sup&gt;","plainTextFormattedCitation":"[9,13,27,30,35]","previouslyFormattedCitation":"&lt;sup&gt;[9,13,26,29,34]&lt;/sup&gt;"},"properties":{"noteIndex":0},"schema":"https://github.com/citation-style-language/schema/raw/master/csl-citation.json"}</w:instrText>
      </w:r>
      <w:r w:rsidR="004B51B8"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[9,13,27,30,35]</w:t>
      </w:r>
      <w:r w:rsidR="004B51B8" w:rsidRPr="00D07897">
        <w:rPr>
          <w:rFonts w:ascii="Book Antiqua" w:hAnsi="Book Antiqua" w:cs="Arial"/>
          <w:color w:val="000000" w:themeColor="text1"/>
        </w:rPr>
        <w:fldChar w:fldCharType="end"/>
      </w:r>
      <w:r w:rsidRPr="00D07897">
        <w:rPr>
          <w:rFonts w:ascii="Book Antiqua" w:hAnsi="Book Antiqua" w:cs="Arial"/>
          <w:color w:val="000000" w:themeColor="text1"/>
        </w:rPr>
        <w:t xml:space="preserve">. The most commonly utilized NST was the MUST (4/5 studies) </w:t>
      </w:r>
      <w:r w:rsidR="0024077F" w:rsidRPr="00D07897">
        <w:rPr>
          <w:rFonts w:ascii="Book Antiqua" w:hAnsi="Book Antiqua" w:cs="Arial"/>
          <w:color w:val="000000" w:themeColor="text1"/>
        </w:rPr>
        <w:t>showing</w:t>
      </w:r>
      <w:r w:rsidR="00280F99" w:rsidRPr="00D07897">
        <w:rPr>
          <w:rFonts w:ascii="Book Antiqua" w:hAnsi="Book Antiqua" w:cs="Arial"/>
          <w:color w:val="000000" w:themeColor="text1"/>
        </w:rPr>
        <w:t xml:space="preserve"> </w:t>
      </w:r>
      <w:r w:rsidR="00055D1A" w:rsidRPr="00D07897">
        <w:rPr>
          <w:rFonts w:ascii="Book Antiqua" w:hAnsi="Book Antiqua" w:cs="Arial"/>
          <w:color w:val="000000" w:themeColor="text1"/>
        </w:rPr>
        <w:t>28.0%</w:t>
      </w:r>
      <w:r w:rsidR="00280F99" w:rsidRPr="00D07897">
        <w:rPr>
          <w:rFonts w:ascii="Book Antiqua" w:hAnsi="Book Antiqua" w:cs="Arial"/>
          <w:color w:val="000000" w:themeColor="text1"/>
        </w:rPr>
        <w:t xml:space="preserve"> (</w:t>
      </w:r>
      <w:r w:rsidR="00280F99" w:rsidRPr="00D07897">
        <w:rPr>
          <w:rFonts w:ascii="Book Antiqua" w:hAnsi="Book Antiqua" w:cs="Arial"/>
          <w:i/>
          <w:iCs/>
          <w:color w:val="000000" w:themeColor="text1"/>
        </w:rPr>
        <w:t>n</w:t>
      </w:r>
      <w:r w:rsidR="00AB78C6" w:rsidRPr="00D07897">
        <w:rPr>
          <w:rFonts w:ascii="Book Antiqua" w:hAnsi="Book Antiqua" w:cs="Arial"/>
          <w:color w:val="000000" w:themeColor="text1"/>
        </w:rPr>
        <w:t xml:space="preserve"> </w:t>
      </w:r>
      <w:r w:rsidR="00280F99"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280F99" w:rsidRPr="00D07897">
        <w:rPr>
          <w:rFonts w:ascii="Book Antiqua" w:hAnsi="Book Antiqua" w:cs="Arial"/>
          <w:color w:val="000000" w:themeColor="text1"/>
        </w:rPr>
        <w:t>115</w:t>
      </w:r>
      <w:r w:rsidR="00055D1A" w:rsidRPr="00D07897">
        <w:rPr>
          <w:rFonts w:ascii="Book Antiqua" w:hAnsi="Book Antiqua" w:cs="Arial"/>
          <w:color w:val="000000" w:themeColor="text1"/>
        </w:rPr>
        <w:t xml:space="preserve">) </w:t>
      </w:r>
      <w:r w:rsidR="0024077F" w:rsidRPr="00D07897">
        <w:rPr>
          <w:rFonts w:ascii="Book Antiqua" w:hAnsi="Book Antiqua" w:cs="Arial"/>
          <w:color w:val="000000" w:themeColor="text1"/>
        </w:rPr>
        <w:t xml:space="preserve">to be </w:t>
      </w:r>
      <w:r w:rsidR="00055D1A" w:rsidRPr="00D07897">
        <w:rPr>
          <w:rFonts w:ascii="Book Antiqua" w:hAnsi="Book Antiqua" w:cs="Arial"/>
          <w:color w:val="000000" w:themeColor="text1"/>
        </w:rPr>
        <w:t xml:space="preserve">at high nutrition risk (MUST </w:t>
      </w:r>
      <w:r w:rsidR="00055D1A" w:rsidRPr="00D07897">
        <w:rPr>
          <w:rFonts w:ascii="Book Antiqua" w:hAnsi="Book Antiqua" w:cs="Arial"/>
          <w:color w:val="000000" w:themeColor="text1"/>
        </w:rPr>
        <w:sym w:font="Symbol" w:char="F0B3"/>
      </w:r>
      <w:r w:rsidR="00AB78C6" w:rsidRPr="00D07897">
        <w:rPr>
          <w:rFonts w:ascii="Book Antiqua" w:hAnsi="Book Antiqua" w:cs="Arial"/>
          <w:color w:val="000000" w:themeColor="text1"/>
        </w:rPr>
        <w:t xml:space="preserve"> </w:t>
      </w:r>
      <w:r w:rsidR="00055D1A" w:rsidRPr="00D07897">
        <w:rPr>
          <w:rFonts w:ascii="Book Antiqua" w:hAnsi="Book Antiqua" w:cs="Arial"/>
          <w:color w:val="000000" w:themeColor="text1"/>
        </w:rPr>
        <w:t>2) across a composite of inpatient/outpatient studies</w:t>
      </w:r>
      <w:r w:rsidR="004B51B8"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Digestiva","id":"ITEM-2","issue":"1","issued":{"date-parts":[["2017"]]},"page":"26-32","publisher-place":"Spain","title":"Malnutrition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disease.","type":"article-journal","volume":"109"},"uris":["http://www.mendeley.com/documents/?uuid=a2e30909-7161-4f77-ba2e-199b14c8197c"]},{"id":"ITEM-3","itemData":{"DOI":"10.6133/apjcn.112017.01","ISSN":"0964-7058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nutrition","id":"ITEM-3","issue":"4","issued":{"date-parts":[["2018"]]},"language":"eng","page":"756-762","publisher-place":"Australia","title":"Development of a screening tool to detect nutrition risk in patients with inflammatory bowel disease.","type":"article-journal","volume":"27"},"uris":["http://www.mendeley.com/documents/?uuid=e52d4073-2a21-491f-bee7-5614c6147365"]},{"id":"ITEM-4","itemData":{"DOI":"10.1159/000485637","ISSN":"1421-9697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metabolism","id":"ITEM-4","issue":"3-4","issued":{"date-parts":[["2017"]]},"language":"eng","page":"266-272","publisher-place":"Switzerland","title":"Nutritional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[9,13,30,35]&lt;/sup&gt;","plainTextFormattedCitation":"[9,13,30,35]","previouslyFormattedCitation":"&lt;sup&gt;[9,13,29,34]&lt;/sup&gt;"},"properties":{"noteIndex":0},"schema":"https://github.com/citation-style-language/schema/raw/master/csl-citation.json"}</w:instrText>
      </w:r>
      <w:r w:rsidR="004B51B8"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[9,13,30,35]</w:t>
      </w:r>
      <w:r w:rsidR="004B51B8" w:rsidRPr="00D07897">
        <w:rPr>
          <w:rFonts w:ascii="Book Antiqua" w:hAnsi="Book Antiqua" w:cs="Arial"/>
          <w:color w:val="000000" w:themeColor="text1"/>
        </w:rPr>
        <w:fldChar w:fldCharType="end"/>
      </w:r>
      <w:r w:rsidR="00280F99" w:rsidRPr="00D07897">
        <w:rPr>
          <w:rFonts w:ascii="Book Antiqua" w:hAnsi="Book Antiqua" w:cs="Arial"/>
          <w:color w:val="000000" w:themeColor="text1"/>
        </w:rPr>
        <w:t xml:space="preserve">. </w:t>
      </w:r>
      <w:r w:rsidR="00055D1A" w:rsidRPr="00D07897">
        <w:rPr>
          <w:rFonts w:ascii="Book Antiqua" w:hAnsi="Book Antiqua" w:cs="Arial"/>
          <w:color w:val="000000" w:themeColor="text1"/>
        </w:rPr>
        <w:t>Of the two inpatient studies</w:t>
      </w:r>
      <w:r w:rsidR="00910399" w:rsidRPr="00D07897">
        <w:rPr>
          <w:rFonts w:ascii="Book Antiqua" w:hAnsi="Book Antiqua" w:cs="Arial"/>
          <w:color w:val="000000" w:themeColor="text1"/>
        </w:rPr>
        <w:t>, both</w:t>
      </w:r>
      <w:r w:rsidR="00055D1A" w:rsidRPr="00D07897">
        <w:rPr>
          <w:rFonts w:ascii="Book Antiqua" w:hAnsi="Book Antiqua" w:cs="Arial"/>
          <w:color w:val="000000" w:themeColor="text1"/>
        </w:rPr>
        <w:t xml:space="preserve"> utilizing the NRS-2002,</w:t>
      </w:r>
      <w:r w:rsidR="00280F99" w:rsidRPr="00D07897">
        <w:rPr>
          <w:rFonts w:ascii="Book Antiqua" w:hAnsi="Book Antiqua" w:cs="Arial"/>
          <w:color w:val="000000" w:themeColor="text1"/>
        </w:rPr>
        <w:t xml:space="preserve"> </w:t>
      </w:r>
      <w:r w:rsidR="00055D1A" w:rsidRPr="00D07897">
        <w:rPr>
          <w:rFonts w:ascii="Book Antiqua" w:hAnsi="Book Antiqua" w:cs="Arial"/>
          <w:color w:val="000000" w:themeColor="text1"/>
        </w:rPr>
        <w:t>67.0%</w:t>
      </w:r>
      <w:r w:rsidR="00280F99" w:rsidRPr="00D07897">
        <w:rPr>
          <w:rFonts w:ascii="Book Antiqua" w:hAnsi="Book Antiqua" w:cs="Arial"/>
          <w:color w:val="000000" w:themeColor="text1"/>
        </w:rPr>
        <w:t xml:space="preserve"> (</w:t>
      </w:r>
      <w:r w:rsidR="00280F99" w:rsidRPr="00D07897">
        <w:rPr>
          <w:rFonts w:ascii="Book Antiqua" w:hAnsi="Book Antiqua" w:cs="Arial"/>
          <w:i/>
          <w:iCs/>
          <w:color w:val="000000" w:themeColor="text1"/>
        </w:rPr>
        <w:t>n</w:t>
      </w:r>
      <w:r w:rsidR="00AB78C6" w:rsidRPr="00D07897">
        <w:rPr>
          <w:rFonts w:ascii="Book Antiqua" w:hAnsi="Book Antiqua" w:cs="Arial"/>
          <w:color w:val="000000" w:themeColor="text1"/>
        </w:rPr>
        <w:t xml:space="preserve"> </w:t>
      </w:r>
      <w:r w:rsidR="00280F99"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280F99" w:rsidRPr="00D07897">
        <w:rPr>
          <w:rFonts w:ascii="Book Antiqua" w:hAnsi="Book Antiqua" w:cs="Arial"/>
          <w:color w:val="000000" w:themeColor="text1"/>
        </w:rPr>
        <w:t>75) of patients</w:t>
      </w:r>
      <w:r w:rsidR="00055D1A" w:rsidRPr="00D07897">
        <w:rPr>
          <w:rFonts w:ascii="Book Antiqua" w:hAnsi="Book Antiqua" w:cs="Arial"/>
          <w:color w:val="000000" w:themeColor="text1"/>
        </w:rPr>
        <w:t xml:space="preserve"> were found to be at high nutrition risk (NRS-2002 </w:t>
      </w:r>
      <w:r w:rsidR="00055D1A" w:rsidRPr="00D07897">
        <w:rPr>
          <w:rFonts w:ascii="Book Antiqua" w:hAnsi="Book Antiqua" w:cs="Arial"/>
          <w:color w:val="000000" w:themeColor="text1"/>
        </w:rPr>
        <w:sym w:font="Symbol" w:char="F0B3"/>
      </w:r>
      <w:r w:rsidR="00AB78C6" w:rsidRPr="00D07897">
        <w:rPr>
          <w:rFonts w:ascii="Book Antiqua" w:hAnsi="Book Antiqua" w:cs="Arial"/>
          <w:color w:val="000000" w:themeColor="text1"/>
        </w:rPr>
        <w:t xml:space="preserve"> </w:t>
      </w:r>
      <w:r w:rsidR="00055D1A" w:rsidRPr="00D07897">
        <w:rPr>
          <w:rFonts w:ascii="Book Antiqua" w:hAnsi="Book Antiqua" w:cs="Arial"/>
          <w:color w:val="000000" w:themeColor="text1"/>
        </w:rPr>
        <w:t>3)</w:t>
      </w:r>
      <w:r w:rsidR="004B51B8"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metabolism","id":"ITEM-2","issue":"3-4","issued":{"date-parts":[["2017"]]},"language":"eng","page":"266-272","publisher-place":"Switzerland","title":"Nutritional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[9,13]&lt;/sup&gt;","plainTextFormattedCitation":"[9,13]","previouslyFormattedCitation":"&lt;sup&gt;[9,13]&lt;/sup&gt;"},"properties":{"noteIndex":0},"schema":"https://github.com/citation-style-language/schema/raw/master/csl-citation.json"}</w:instrText>
      </w:r>
      <w:r w:rsidR="004B51B8"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[9,13]</w:t>
      </w:r>
      <w:r w:rsidR="004B51B8" w:rsidRPr="00D07897">
        <w:rPr>
          <w:rFonts w:ascii="Book Antiqua" w:hAnsi="Book Antiqua" w:cs="Arial"/>
          <w:color w:val="000000" w:themeColor="text1"/>
        </w:rPr>
        <w:fldChar w:fldCharType="end"/>
      </w:r>
      <w:r w:rsidR="00055D1A" w:rsidRPr="00D07897">
        <w:rPr>
          <w:rFonts w:ascii="Book Antiqua" w:hAnsi="Book Antiqua" w:cs="Arial"/>
          <w:color w:val="000000" w:themeColor="text1"/>
        </w:rPr>
        <w:t xml:space="preserve">. Of the </w:t>
      </w:r>
      <w:r w:rsidR="00910399" w:rsidRPr="00D07897">
        <w:rPr>
          <w:rFonts w:ascii="Book Antiqua" w:hAnsi="Book Antiqua" w:cs="Arial"/>
          <w:color w:val="000000" w:themeColor="text1"/>
        </w:rPr>
        <w:t xml:space="preserve">three </w:t>
      </w:r>
      <w:r w:rsidR="00055D1A" w:rsidRPr="00D07897">
        <w:rPr>
          <w:rFonts w:ascii="Book Antiqua" w:hAnsi="Book Antiqua" w:cs="Arial"/>
          <w:color w:val="000000" w:themeColor="text1"/>
        </w:rPr>
        <w:t>outpatient studies, 29.1%</w:t>
      </w:r>
      <w:r w:rsidR="00280F99" w:rsidRPr="00D07897">
        <w:rPr>
          <w:rFonts w:ascii="Book Antiqua" w:hAnsi="Book Antiqua" w:cs="Arial"/>
          <w:color w:val="000000" w:themeColor="text1"/>
        </w:rPr>
        <w:t xml:space="preserve"> (</w:t>
      </w:r>
      <w:r w:rsidR="00280F99" w:rsidRPr="00D07897">
        <w:rPr>
          <w:rFonts w:ascii="Book Antiqua" w:hAnsi="Book Antiqua" w:cs="Arial"/>
          <w:i/>
          <w:iCs/>
          <w:color w:val="000000" w:themeColor="text1"/>
        </w:rPr>
        <w:t>n</w:t>
      </w:r>
      <w:r w:rsidR="00AB78C6" w:rsidRPr="00D07897">
        <w:rPr>
          <w:rFonts w:ascii="Book Antiqua" w:hAnsi="Book Antiqua" w:cs="Arial"/>
          <w:color w:val="000000" w:themeColor="text1"/>
        </w:rPr>
        <w:t xml:space="preserve"> </w:t>
      </w:r>
      <w:r w:rsidR="00280F99"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280F99" w:rsidRPr="00D07897">
        <w:rPr>
          <w:rFonts w:ascii="Book Antiqua" w:hAnsi="Book Antiqua" w:cs="Arial"/>
          <w:color w:val="000000" w:themeColor="text1"/>
        </w:rPr>
        <w:t>87) of</w:t>
      </w:r>
      <w:r w:rsidR="00055D1A" w:rsidRPr="00D07897">
        <w:rPr>
          <w:rFonts w:ascii="Book Antiqua" w:hAnsi="Book Antiqua" w:cs="Arial"/>
          <w:color w:val="000000" w:themeColor="text1"/>
        </w:rPr>
        <w:t xml:space="preserve"> patients were found to have at least a mild/moderate degree of nutrition risk </w:t>
      </w:r>
      <w:r w:rsidR="00055D1A" w:rsidRPr="00D07897">
        <w:rPr>
          <w:rFonts w:ascii="Book Antiqua" w:hAnsi="Book Antiqua" w:cs="Arial"/>
          <w:i/>
          <w:iCs/>
          <w:color w:val="000000" w:themeColor="text1"/>
        </w:rPr>
        <w:t>via</w:t>
      </w:r>
      <w:r w:rsidR="00055D1A" w:rsidRPr="00D07897">
        <w:rPr>
          <w:rFonts w:ascii="Book Antiqua" w:hAnsi="Book Antiqua" w:cs="Arial"/>
          <w:color w:val="000000" w:themeColor="text1"/>
        </w:rPr>
        <w:t xml:space="preserve"> MUST (</w:t>
      </w:r>
      <w:r w:rsidR="00910399" w:rsidRPr="00D07897">
        <w:rPr>
          <w:rFonts w:ascii="Book Antiqua" w:hAnsi="Book Antiqua" w:cs="Arial"/>
          <w:color w:val="000000" w:themeColor="text1"/>
        </w:rPr>
        <w:t xml:space="preserve">score </w:t>
      </w:r>
      <w:r w:rsidR="00055D1A" w:rsidRPr="00D07897">
        <w:rPr>
          <w:rFonts w:ascii="Book Antiqua" w:hAnsi="Book Antiqua" w:cs="Arial"/>
          <w:color w:val="000000" w:themeColor="text1"/>
        </w:rPr>
        <w:sym w:font="Symbol" w:char="F0B3"/>
      </w:r>
      <w:r w:rsidR="00AB78C6" w:rsidRPr="00D07897">
        <w:rPr>
          <w:rFonts w:ascii="Book Antiqua" w:hAnsi="Book Antiqua" w:cs="Arial"/>
          <w:color w:val="000000" w:themeColor="text1"/>
        </w:rPr>
        <w:t xml:space="preserve"> </w:t>
      </w:r>
      <w:r w:rsidR="00055D1A" w:rsidRPr="00D07897">
        <w:rPr>
          <w:rFonts w:ascii="Book Antiqua" w:hAnsi="Book Antiqua" w:cs="Arial"/>
          <w:color w:val="000000" w:themeColor="text1"/>
        </w:rPr>
        <w:t>1), NRI (</w:t>
      </w:r>
      <w:r w:rsidR="00910399" w:rsidRPr="00D07897">
        <w:rPr>
          <w:rFonts w:ascii="Book Antiqua" w:hAnsi="Book Antiqua" w:cs="Arial"/>
          <w:color w:val="000000" w:themeColor="text1"/>
        </w:rPr>
        <w:t xml:space="preserve">score </w:t>
      </w:r>
      <w:r w:rsidR="00055D1A" w:rsidRPr="00D07897">
        <w:rPr>
          <w:rFonts w:ascii="Book Antiqua" w:hAnsi="Book Antiqua" w:cs="Arial"/>
          <w:color w:val="000000" w:themeColor="text1"/>
        </w:rPr>
        <w:sym w:font="Symbol" w:char="F0B3"/>
      </w:r>
      <w:r w:rsidR="00AB78C6" w:rsidRPr="00D07897">
        <w:rPr>
          <w:rFonts w:ascii="Book Antiqua" w:hAnsi="Book Antiqua" w:cs="Arial"/>
          <w:color w:val="000000" w:themeColor="text1"/>
        </w:rPr>
        <w:t xml:space="preserve"> </w:t>
      </w:r>
      <w:r w:rsidR="00055D1A" w:rsidRPr="00D07897">
        <w:rPr>
          <w:rFonts w:ascii="Book Antiqua" w:hAnsi="Book Antiqua" w:cs="Arial"/>
          <w:color w:val="000000" w:themeColor="text1"/>
        </w:rPr>
        <w:t xml:space="preserve">97.5) and </w:t>
      </w:r>
      <w:proofErr w:type="spellStart"/>
      <w:r w:rsidR="00055D1A" w:rsidRPr="00D07897">
        <w:rPr>
          <w:rFonts w:ascii="Book Antiqua" w:hAnsi="Book Antiqua" w:cs="Arial"/>
          <w:color w:val="000000" w:themeColor="text1"/>
        </w:rPr>
        <w:t>SaskIBD</w:t>
      </w:r>
      <w:proofErr w:type="spellEnd"/>
      <w:r w:rsidR="00055D1A" w:rsidRPr="00D07897">
        <w:rPr>
          <w:rFonts w:ascii="Book Antiqua" w:hAnsi="Book Antiqua" w:cs="Arial"/>
          <w:color w:val="000000" w:themeColor="text1"/>
        </w:rPr>
        <w:t>-NRT</w:t>
      </w:r>
      <w:r w:rsidR="00910399" w:rsidRPr="00D07897">
        <w:rPr>
          <w:rFonts w:ascii="Book Antiqua" w:hAnsi="Book Antiqua" w:cs="Arial"/>
          <w:color w:val="000000" w:themeColor="text1"/>
        </w:rPr>
        <w:t xml:space="preserve"> (score </w:t>
      </w:r>
      <w:r w:rsidR="00910399" w:rsidRPr="00D07897">
        <w:rPr>
          <w:rFonts w:ascii="Book Antiqua" w:hAnsi="Book Antiqua" w:cs="Arial"/>
          <w:color w:val="000000" w:themeColor="text1"/>
        </w:rPr>
        <w:sym w:font="Symbol" w:char="F0B3"/>
      </w:r>
      <w:r w:rsidR="00AB78C6" w:rsidRPr="00D07897">
        <w:rPr>
          <w:rFonts w:ascii="Book Antiqua" w:hAnsi="Book Antiqua" w:cs="Arial"/>
          <w:color w:val="000000" w:themeColor="text1"/>
        </w:rPr>
        <w:t xml:space="preserve"> </w:t>
      </w:r>
      <w:r w:rsidR="00910399" w:rsidRPr="00D07897">
        <w:rPr>
          <w:rFonts w:ascii="Book Antiqua" w:hAnsi="Book Antiqua" w:cs="Arial"/>
          <w:color w:val="000000" w:themeColor="text1"/>
        </w:rPr>
        <w:t>3)</w:t>
      </w:r>
      <w:r w:rsidR="004B51B8"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disease.","type":"article-journal","volume":"109"},"uris":["http://www.mendeley.com/documents/?uuid=a2e30909-7161-4f77-ba2e-199b14c8197c"]},{"id":"ITEM-2","itemData":{"DOI":"10.6133/apjcn.112017.01","ISSN":"0964-7058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nutrition","id":"ITEM-2","issue":"4","issued":{"date-parts":[["2018"]]},"language":"eng","page":"756-762","publisher-place":"Australia","title":"Development of a screening tool to detect nutrition risk in patients with inflammatory bowel disease.","type":"article-journal","volume":"27"},"uris":["http://www.mendeley.com/documents/?uuid=e52d4073-2a21-491f-bee7-5614c6147365"]},{"id":"ITEM-3","itemData":{"DOI":"https://dx.doi.org/10.1007/s00595-015-1257-5","ISSN":"1436-2813","abstract":"PURPOSE: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today","id":"ITEM-3","issue":"8","issued":{"date-parts":[["2016"]]},"page":"922-929","publisher-place":"Japan","title":"Influence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[27,30,35]&lt;/sup&gt;","plainTextFormattedCitation":"[27,30,35]","previouslyFormattedCitation":"&lt;sup&gt;[26,29,34]&lt;/sup&gt;"},"properties":{"noteIndex":0},"schema":"https://github.com/citation-style-language/schema/raw/master/csl-citation.json"}</w:instrText>
      </w:r>
      <w:r w:rsidR="004B51B8"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[27,30,35]</w:t>
      </w:r>
      <w:r w:rsidR="004B51B8" w:rsidRPr="00D07897">
        <w:rPr>
          <w:rFonts w:ascii="Book Antiqua" w:hAnsi="Book Antiqua" w:cs="Arial"/>
          <w:color w:val="000000" w:themeColor="text1"/>
        </w:rPr>
        <w:fldChar w:fldCharType="end"/>
      </w:r>
      <w:r w:rsidR="00C10906" w:rsidRPr="00D07897">
        <w:rPr>
          <w:rFonts w:ascii="Book Antiqua" w:hAnsi="Book Antiqua" w:cs="Arial"/>
          <w:color w:val="000000" w:themeColor="text1"/>
        </w:rPr>
        <w:t xml:space="preserve"> </w:t>
      </w:r>
      <w:r w:rsidR="00C10906" w:rsidRPr="00D07897">
        <w:rPr>
          <w:rFonts w:ascii="Book Antiqua" w:hAnsi="Book Antiqua" w:cs="Arial"/>
          <w:iCs/>
          <w:color w:val="000000" w:themeColor="text1"/>
        </w:rPr>
        <w:t>(Table 4)</w:t>
      </w:r>
      <w:r w:rsidR="00055D1A" w:rsidRPr="00D07897">
        <w:rPr>
          <w:rFonts w:ascii="Book Antiqua" w:hAnsi="Book Antiqua" w:cs="Arial"/>
          <w:color w:val="000000" w:themeColor="text1"/>
        </w:rPr>
        <w:t xml:space="preserve">. </w:t>
      </w:r>
    </w:p>
    <w:p w14:paraId="3DAFBFD7" w14:textId="193FED30" w:rsidR="00910399" w:rsidRPr="00D07897" w:rsidRDefault="00910399" w:rsidP="00AB78C6">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t>Ten studies evaluated the presence of sarcopenia in their respective populations, with a total prevalence of 39.5% (</w:t>
      </w:r>
      <w:r w:rsidRPr="00D07897">
        <w:rPr>
          <w:rFonts w:ascii="Book Antiqua" w:hAnsi="Book Antiqua" w:cs="Arial"/>
          <w:i/>
          <w:iCs/>
          <w:color w:val="000000" w:themeColor="text1"/>
        </w:rPr>
        <w:t>n</w:t>
      </w:r>
      <w:r w:rsidR="00AB78C6"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Pr="00D07897">
        <w:rPr>
          <w:rFonts w:ascii="Book Antiqua" w:hAnsi="Book Antiqua" w:cs="Arial"/>
          <w:color w:val="000000" w:themeColor="text1"/>
        </w:rPr>
        <w:t>477) across all studies</w:t>
      </w:r>
      <w:r w:rsidR="004B51B8"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diseases","id":"ITEM-1","issue":"7","issued":{"date-parts":[["2017","7"]]},"language":"eng","page":"1182-1186","publisher-place":"United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Surgery.","type":"article-journal","volume":"23"},"uris":["http://www.mendeley.com/documents/?uuid=6b4f2d39-091b-48c7-a8f9-3935125eeaf6"]},{"id":"ITEM-2","itemData":{"DOI":"https://dx.doi.org/10.1371/journal.pone.0180036","ISSN":"1932-6203","abstract":"The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one","id":"ITEM-2","issue":"6","issued":{"date-parts":[["2017"]]},"page":"e0180036","publisher-place":"United States","title":"Sarcopenia is a predictive factor for intestinal resection in admitted patients with Crohn's disease.","type":"article-journal","volume":"12"},"uris":["http://www.mendeley.com/documents/?uuid=73a11d92-9bee-468c-bbed-3189266c43db"]},{"id":"ITEM-3","itemData":{"DOI":"https://dx.doi.org/10.17235/reed.2016.4557/2016","ISSN":"1130-0108","abstract":"The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Digestiva","id":"ITEM-3","issue":"1","issued":{"date-parts":[["2017"]]},"page":"26-32","publisher-place":"Spain","title":"Malnutrition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disease.","type":"article-journal","volume":"109"},"uris":["http://www.mendeley.com/documents/?uuid=a2e30909-7161-4f77-ba2e-199b14c8197c"]},{"id":"ITEM-4","itemData":{"DOI":"10.1093/ecco-jcc/jjy064","ISSN":"1876-4479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colitis","id":"ITEM-4","issued":{"date-parts":[["2018","5"]]},"language":"eng","publisher-place":"England","title":"Sarcopenia is a Novel Predictor of the Need for Rescue Therapy in Hospitalized Ulcerative Colitis Patients.","type":"article-journal"},"uris":["http://www.mendeley.com/documents/?uuid=e255b58f-95e7-489e-b9af-18a0b87f7525"]},{"id":"ITEM-5","itemData":{"DOI":"10.1007/s00595-016-1357-x","ISSN":"1436-2813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today","id":"ITEM-5","issue":"1","issued":{"date-parts":[["2017","1"]]},"language":"eng","page":"92-98","publisher-place":"Japan","title":"Impact of sarcopenia on surgical site infection after restorative proctocolectomy for ulcerative colitis.","type":"article-journal","volume":"47"},"uris":["http://www.mendeley.com/documents/?uuid=a3ecc717-75fe-4b70-b40a-518331ec5a8e"]},{"id":"ITEM-6","itemData":{"DOI":"10.1186/s41747-018-0072-3","ISSN":"2509-9280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experimental","id":"ITEM-6","issue":"1","issued":{"date-parts":[["2018","11"]]},"language":"eng","page":"37","publisher-place":"England","title":"The impact of sarcopenia and myosteatosis on postoperative outcomes in patients with inflammatory bowel disease.","type":"article-journal","volume":"2"},"uris":["http://www.mendeley.com/documents/?uuid=e0b53979-80b7-49e6-bb0a-439e8ff7d904"]},{"id":"ITEM-7","itemData":{"DOI":"10.1097/MIB.0000000000001166","ISSN":"1536-4844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diseases","id":"ITEM-7","issue":"10","issued":{"date-parts":[["2017","10"]]},"language":"eng","page":"1867-1872","publisher-place":"United States","title":"Sarcopenia is a Predictor of Surgical Morbidity in Inflammatory Bowel Disease.","type":"article-journal","volume":"23"},"uris":["http://www.mendeley.com/documents/?uuid=6853f06f-1efd-4924-a01f-3879684bf57f"]},{"id":"ITEM-8","itemData":{"DOI":"10.1093/ecco-jcc/jjy124","ISSN":"1876-4479","abstract":"BACKGROUND AND AIMS: Changes in body composition have been described in patients with Crohn's disease, but their predictive performances on disease evolution remain undefined. The aims of our study were to assess, in patients with Crohn's disease requiring abdominal computed tomography, body composition by computed tomography, and to study the outcome according to various body composition parameters at the time of the computed tomography. METHODS: Patients with Crohn's disease who underwent abdominal computed tomography for suspected complications were retrospectively included. The definition of adverse outcome included death or need for surgery within 6 months of the computed tomography. Skeletal muscle index and visceral and subcutaneous adiposity indexes were calculated from tissue surface areas measured at the third lumbar vertebra, divided by the height squared. RESULTS: The prevalence of underweight was 26.8% and the prevalence of sarcopenia was 33.6%. After gender adjustment, skeletal muscle index tended to be reduced in patients with adverse outcome, compared with patients without surgery or death [p = 0.07]. Moreover, subcutaneous adiposity index and visceral adiposity index were significantly lower in patients with surgery or death [p = 0.009 and p &lt; 0.001, respectively]. These differences were almost equivalent in both genders for the subcutaneous adiposity index but were clearly stronger in men for the visceral adiposity index. CONCLUSIONS: Subcutaneous and visceral adiposity indexes correlate inversely with adverse outcome in patients with Crohn's disease. Alteration of body composition assessed by computed tomography in these patients appears to be a marker of disease severity.","author":[{"dropping-particle":"","family":"Thiberge","given":"Claire","non-dropping-particle":"","parse-names":false,"suffix":""},{"dropping-particle":"","family":"Charpentier","given":"Cloé","non-dropping-particle":"","parse-names":false,"suffix":""},{"dropping-particle":"","family":"Gillibert","given":"André","non-dropping-particle":"","parse-names":false,"suffix":""},{"dropping-particle":"","family":"Modzelewski","given":"Romain","non-dropping-particle":"","parse-names":false,"suffix":""},{"dropping-particle":"","family":"Dacher","given":"Jean-Nicolas","non-dropping-particle":"","parse-names":false,"suffix":""},{"dropping-particle":"","family":"Savoye","given":"Guillaume","non-dropping-particle":"","parse-names":false,"suffix":""},{"dropping-particle":"","family":"Savoye-Collet","given":"Céline","non-dropping-particle":"","parse-names":false,"suffix":""}],"container-title":"Journal of Crohn's &amp; colitis","id":"ITEM-8","issue":"12","issued":{"date-parts":[["2018","11","28"]]},"page":"1429-1437","publisher-place":"England","title":"Lower Subcutaneous or Visceral Adiposity Assessed by Abdominal Computed Tomography Could Predict Adverse Outcome in Patients With Crohn's Disease","type":"article-journal","volume":"12"},"uris":["http://www.mendeley.com/documents/?uuid=24be24ce-8d64-4a00-ba9d-1bda6687be41"]},{"id":"ITEM-9","itemData":{"DOI":"10.1016/j.clnu.2016.10.004","ISSN":"1532-1983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Scotland)","id":"ITEM-9","issue":"6","issued":{"date-parts":[["2017","12"]]},"language":"eng","page":"1586-1592","publisher-place":"England","title":"Skeletal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colectomy.","type":"article-journal","volume":"36"},"uris":["http://www.mendeley.com/documents/?uuid=289f93c3-ba8a-4a99-af8c-01b5584e14b0"]},{"id":"ITEM-10","itemData":{"DOI":"10.1177/0148607115612054","ISSN":"1941-2444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nutrition","id":"ITEM-10","issue":"4","issued":{"date-parts":[["2017","5"]]},"language":"eng","page":"592-600","publisher-place":"United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mendeley":{"formattedCitation":"&lt;sup&gt;[9–12,29–34]&lt;/sup&gt;","plainTextFormattedCitation":"[9–12,29–34]","previouslyFormattedCitation":"&lt;sup&gt;[9–12,28–33]&lt;/sup&gt;"},"properties":{"noteIndex":0},"schema":"https://github.com/citation-style-language/schema/raw/master/csl-citation.json"}</w:instrText>
      </w:r>
      <w:r w:rsidR="004B51B8"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[9</w:t>
      </w:r>
      <w:r w:rsidR="00AB78C6" w:rsidRPr="00D07897">
        <w:rPr>
          <w:rFonts w:ascii="Book Antiqua" w:hAnsi="Book Antiqua" w:cs="Arial"/>
          <w:noProof/>
          <w:color w:val="000000" w:themeColor="text1"/>
          <w:vertAlign w:val="superscript"/>
        </w:rPr>
        <w:t>-</w:t>
      </w:r>
      <w:r w:rsidR="001B7C5F" w:rsidRPr="00D07897">
        <w:rPr>
          <w:rFonts w:ascii="Book Antiqua" w:hAnsi="Book Antiqua" w:cs="Arial"/>
          <w:noProof/>
          <w:color w:val="000000" w:themeColor="text1"/>
          <w:vertAlign w:val="superscript"/>
        </w:rPr>
        <w:t>12,29</w:t>
      </w:r>
      <w:r w:rsidR="00AB78C6" w:rsidRPr="00D07897">
        <w:rPr>
          <w:rFonts w:ascii="Book Antiqua" w:hAnsi="Book Antiqua" w:cs="Arial"/>
          <w:noProof/>
          <w:color w:val="000000" w:themeColor="text1"/>
          <w:vertAlign w:val="superscript"/>
        </w:rPr>
        <w:t>-</w:t>
      </w:r>
      <w:r w:rsidR="001B7C5F" w:rsidRPr="00D07897">
        <w:rPr>
          <w:rFonts w:ascii="Book Antiqua" w:hAnsi="Book Antiqua" w:cs="Arial"/>
          <w:noProof/>
          <w:color w:val="000000" w:themeColor="text1"/>
          <w:vertAlign w:val="superscript"/>
        </w:rPr>
        <w:t>34]</w:t>
      </w:r>
      <w:r w:rsidR="004B51B8" w:rsidRPr="00D07897">
        <w:rPr>
          <w:rFonts w:ascii="Book Antiqua" w:hAnsi="Book Antiqua" w:cs="Arial"/>
          <w:color w:val="000000" w:themeColor="text1"/>
        </w:rPr>
        <w:fldChar w:fldCharType="end"/>
      </w:r>
      <w:r w:rsidRPr="00D07897">
        <w:rPr>
          <w:rFonts w:ascii="Book Antiqua" w:hAnsi="Book Antiqua" w:cs="Arial"/>
          <w:color w:val="000000" w:themeColor="text1"/>
        </w:rPr>
        <w:t xml:space="preserve">. Three studies utilized the SGA in categorizing patients into </w:t>
      </w:r>
      <w:r w:rsidR="00280F99" w:rsidRPr="00D07897">
        <w:rPr>
          <w:rFonts w:ascii="Book Antiqua" w:hAnsi="Book Antiqua" w:cs="Arial"/>
          <w:color w:val="000000" w:themeColor="text1"/>
        </w:rPr>
        <w:t>well-nourished (SGA-A), mild/moderately malnourished (SGA-B) and severely malnourished (SGA-C) with two of the studies based on an inpatient IBD population. The total proportion of patients diagnosed with some degree of malnutrition based on SGA (SGA B/C) was 61.7% (</w:t>
      </w:r>
      <w:r w:rsidR="00280F99" w:rsidRPr="00D07897">
        <w:rPr>
          <w:rFonts w:ascii="Book Antiqua" w:hAnsi="Book Antiqua" w:cs="Arial"/>
          <w:i/>
          <w:iCs/>
          <w:color w:val="000000" w:themeColor="text1"/>
        </w:rPr>
        <w:t>n</w:t>
      </w:r>
      <w:r w:rsidR="00AB78C6" w:rsidRPr="00D07897">
        <w:rPr>
          <w:rFonts w:ascii="Book Antiqua" w:hAnsi="Book Antiqua" w:cs="Arial"/>
          <w:color w:val="000000" w:themeColor="text1"/>
        </w:rPr>
        <w:t xml:space="preserve"> </w:t>
      </w:r>
      <w:r w:rsidR="00280F99"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280F99" w:rsidRPr="00D07897">
        <w:rPr>
          <w:rFonts w:ascii="Book Antiqua" w:hAnsi="Book Antiqua" w:cs="Arial"/>
          <w:color w:val="000000" w:themeColor="text1"/>
        </w:rPr>
        <w:t>103)</w:t>
      </w:r>
      <w:r w:rsidR="004B51B8"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metabolism","id":"ITEM-2","issue":"3-4","issued":{"date-parts":[["2017"]]},"language":"eng","page":"266-272","publisher-place":"Switzerland","title":"Nutritional Screening and Clinical Outcome in Hospitalized Patients with Crohn's  Disease.","type":"article-journal","volume":"71"},"uris":["http://www.mendeley.com/documents/?uuid=cd857bcf-f832-4ca4-aa54-3d63c71b8d64"]},{"id":"ITEM-3","itemData":{"DOI":"10.1017/S0007114516003044","ISSN":"1475-2662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nutrition","id":"ITEM-3","issue":"6","issued":{"date-parts":[["2016","9"]]},"language":"eng","page":"1061-1067","publisher-place":"England","title":"Inflammation-driven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[8,9,13]&lt;/sup&gt;","plainTextFormattedCitation":"[8,9,13]","previouslyFormattedCitation":"&lt;sup&gt;[8,9,13]&lt;/sup&gt;"},"properties":{"noteIndex":0},"schema":"https://github.com/citation-style-language/schema/raw/master/csl-citation.json"}</w:instrText>
      </w:r>
      <w:r w:rsidR="004B51B8"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[8,9,13]</w:t>
      </w:r>
      <w:r w:rsidR="004B51B8" w:rsidRPr="00D07897">
        <w:rPr>
          <w:rFonts w:ascii="Book Antiqua" w:hAnsi="Book Antiqua" w:cs="Arial"/>
          <w:color w:val="000000" w:themeColor="text1"/>
        </w:rPr>
        <w:fldChar w:fldCharType="end"/>
      </w:r>
      <w:r w:rsidR="00C10906" w:rsidRPr="00D07897">
        <w:rPr>
          <w:rFonts w:ascii="Book Antiqua" w:hAnsi="Book Antiqua" w:cs="Arial"/>
          <w:color w:val="000000" w:themeColor="text1"/>
        </w:rPr>
        <w:t xml:space="preserve"> </w:t>
      </w:r>
      <w:r w:rsidR="00C10906" w:rsidRPr="00D07897">
        <w:rPr>
          <w:rFonts w:ascii="Book Antiqua" w:hAnsi="Book Antiqua" w:cs="Arial"/>
          <w:iCs/>
          <w:color w:val="000000" w:themeColor="text1"/>
        </w:rPr>
        <w:t>(Table 5)</w:t>
      </w:r>
      <w:r w:rsidR="00280F99" w:rsidRPr="00D07897">
        <w:rPr>
          <w:rFonts w:ascii="Book Antiqua" w:hAnsi="Book Antiqua" w:cs="Arial"/>
          <w:color w:val="000000" w:themeColor="text1"/>
        </w:rPr>
        <w:t>.</w:t>
      </w:r>
    </w:p>
    <w:p w14:paraId="32BFB71C" w14:textId="77777777" w:rsidR="00910399" w:rsidRPr="00D07897" w:rsidRDefault="00910399" w:rsidP="00F96F15">
      <w:pPr>
        <w:spacing w:line="360" w:lineRule="auto"/>
        <w:jc w:val="both"/>
        <w:rPr>
          <w:rFonts w:ascii="Book Antiqua" w:hAnsi="Book Antiqua" w:cs="Arial"/>
          <w:b/>
          <w:bCs/>
          <w:color w:val="000000" w:themeColor="text1"/>
        </w:rPr>
      </w:pPr>
    </w:p>
    <w:p w14:paraId="689F22EF" w14:textId="447B027C" w:rsidR="003C1931" w:rsidRPr="00D07897" w:rsidRDefault="00B147EA" w:rsidP="00F96F15">
      <w:pPr>
        <w:spacing w:line="360" w:lineRule="auto"/>
        <w:jc w:val="both"/>
        <w:rPr>
          <w:rFonts w:ascii="Book Antiqua" w:hAnsi="Book Antiqua" w:cs="Arial"/>
          <w:b/>
          <w:bCs/>
          <w:color w:val="000000" w:themeColor="text1"/>
        </w:rPr>
      </w:pPr>
      <w:r w:rsidRPr="00D07897">
        <w:rPr>
          <w:rFonts w:ascii="Book Antiqua" w:hAnsi="Book Antiqua" w:cs="Arial"/>
          <w:b/>
          <w:bCs/>
          <w:i/>
          <w:color w:val="000000" w:themeColor="text1"/>
        </w:rPr>
        <w:t xml:space="preserve">How did findings on </w:t>
      </w:r>
      <w:r w:rsidR="00AB78C6" w:rsidRPr="00D07897">
        <w:rPr>
          <w:rFonts w:ascii="Book Antiqua" w:hAnsi="Book Antiqua" w:cs="Arial"/>
          <w:b/>
          <w:bCs/>
          <w:i/>
          <w:color w:val="000000" w:themeColor="text1"/>
        </w:rPr>
        <w:t>nutrition screening compare to those on nutrition assessment</w:t>
      </w:r>
      <w:r w:rsidRPr="00D07897">
        <w:rPr>
          <w:rFonts w:ascii="Book Antiqua" w:hAnsi="Book Antiqua" w:cs="Arial"/>
          <w:b/>
          <w:bCs/>
          <w:i/>
          <w:color w:val="000000" w:themeColor="text1"/>
        </w:rPr>
        <w:t xml:space="preserve">? </w:t>
      </w:r>
    </w:p>
    <w:p w14:paraId="3C0C299A" w14:textId="3B7A123F" w:rsidR="00404C7B" w:rsidRPr="00D07897" w:rsidRDefault="000F5BD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Four studies (25%) included comparisons between an abnormal score on an NST and how that compared to a diagnosis of malnutrition using a NAT</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disease.","type":"article-journal","volume":"109"},"uris":["http://www.mendeley.com/documents/?uuid=a2e30909-7161-4f77-ba2e-199b14c8197c"]},{"id":"ITEM-2","itemData":{"DOI":"https://dx.doi.org/10.1371/journal.pone.0180036","ISSN":"1932-6203","abstract":"The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one","id":"ITEM-2","issue":"6","issued":{"date-parts":[["2017"]]},"page":"e0180036","publisher-place":"United States","title":"Sarcopenia is a predictive factor for intestinal resection in admitted patients with Crohn's disease.","type":"article-journal","volume":"12"},"uris":["http://www.mendeley.com/documents/?uuid=73a11d92-9bee-468c-bbed-3189266c43db"]},{"id":"ITEM-3","itemData":{"DOI":"10.1017/S0007114516003044","ISSN":"1475-2662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nutrition","id":"ITEM-3","issue":"6","issued":{"date-parts":[["2016","9"]]},"language":"eng","page":"1061-1067","publisher-place":"England","title":"Inflammation-driven malnutrition: a new screening tool predicts outcome in Crohn's disease.","type":"article-journal","volume":"116"},"uris":["http://www.mendeley.com/documents/?uuid=7a1220e5-e4f6-481d-b52c-83a9e8be8be2"]},{"id":"ITEM-4","itemData":{"DOI":"10.6133/apjcn.112017.01","ISSN":"0964-7058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nutrition","id":"ITEM-4","issue":"4","issued":{"date-parts":[["2018"]]},"language":"eng","page":"756-762","publisher-place":"Australia","title":"Development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[8,9,30,35]&lt;/sup&gt;","plainTextFormattedCitation":"[8,9,30,35]","previouslyFormattedCitation":"&lt;sup&gt;[8,9,29,34]&lt;/sup&gt;"},"properties":{"noteIndex":0},"schema":"https://github.com/citation-style-language/schema/raw/master/csl-citation.json"}</w:instrText>
      </w:r>
      <w:r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[8,9,30,35]</w:t>
      </w:r>
      <w:r w:rsidRPr="00D07897">
        <w:rPr>
          <w:rFonts w:ascii="Book Antiqua" w:hAnsi="Book Antiqua" w:cs="Arial"/>
          <w:color w:val="000000" w:themeColor="text1"/>
        </w:rPr>
        <w:fldChar w:fldCharType="end"/>
      </w:r>
      <w:r w:rsidRPr="00D07897">
        <w:rPr>
          <w:rFonts w:ascii="Book Antiqua" w:hAnsi="Book Antiqua" w:cs="Arial"/>
          <w:color w:val="000000" w:themeColor="text1"/>
        </w:rPr>
        <w:t xml:space="preserve">. </w:t>
      </w:r>
      <w:r w:rsidR="00404C7B" w:rsidRPr="00D07897">
        <w:rPr>
          <w:rFonts w:ascii="Book Antiqua" w:hAnsi="Book Antiqua" w:cs="Arial"/>
          <w:color w:val="000000" w:themeColor="text1"/>
        </w:rPr>
        <w:t xml:space="preserve">All </w:t>
      </w:r>
      <w:r w:rsidR="00B5755D" w:rsidRPr="00D07897">
        <w:rPr>
          <w:rFonts w:ascii="Book Antiqua" w:hAnsi="Book Antiqua" w:cs="Arial"/>
          <w:color w:val="000000" w:themeColor="text1"/>
        </w:rPr>
        <w:t>four</w:t>
      </w:r>
      <w:r w:rsidR="00404C7B" w:rsidRPr="00D07897">
        <w:rPr>
          <w:rFonts w:ascii="Book Antiqua" w:hAnsi="Book Antiqua" w:cs="Arial"/>
          <w:color w:val="000000" w:themeColor="text1"/>
        </w:rPr>
        <w:t xml:space="preserve"> NST</w:t>
      </w:r>
      <w:r w:rsidR="00CB253C" w:rsidRPr="00D07897">
        <w:rPr>
          <w:rFonts w:ascii="Book Antiqua" w:hAnsi="Book Antiqua" w:cs="Arial"/>
          <w:color w:val="000000" w:themeColor="text1"/>
        </w:rPr>
        <w:t>s</w:t>
      </w:r>
      <w:r w:rsidR="00404C7B" w:rsidRPr="00D07897">
        <w:rPr>
          <w:rFonts w:ascii="Book Antiqua" w:hAnsi="Book Antiqua" w:cs="Arial"/>
          <w:color w:val="000000" w:themeColor="text1"/>
        </w:rPr>
        <w:t xml:space="preserve"> (MUST, NRS-2002</w:t>
      </w:r>
      <w:r w:rsidR="00B5755D" w:rsidRPr="00D07897">
        <w:rPr>
          <w:rFonts w:ascii="Book Antiqua" w:hAnsi="Book Antiqua" w:cs="Arial"/>
          <w:color w:val="000000" w:themeColor="text1"/>
        </w:rPr>
        <w:t xml:space="preserve">, </w:t>
      </w:r>
      <w:r w:rsidR="00404C7B" w:rsidRPr="00D07897">
        <w:rPr>
          <w:rFonts w:ascii="Book Antiqua" w:hAnsi="Book Antiqua" w:cs="Arial"/>
          <w:color w:val="000000" w:themeColor="text1"/>
        </w:rPr>
        <w:t>MIRT</w:t>
      </w:r>
      <w:r w:rsidR="008817C2" w:rsidRPr="00D07897">
        <w:rPr>
          <w:rFonts w:ascii="Book Antiqua" w:hAnsi="Book Antiqua" w:cs="Arial"/>
          <w:color w:val="000000" w:themeColor="text1"/>
        </w:rPr>
        <w:t>,</w:t>
      </w:r>
      <w:r w:rsidR="00B5755D" w:rsidRPr="00D07897">
        <w:rPr>
          <w:rFonts w:ascii="Book Antiqua" w:hAnsi="Book Antiqua" w:cs="Arial"/>
          <w:color w:val="000000" w:themeColor="text1"/>
        </w:rPr>
        <w:t xml:space="preserve"> and </w:t>
      </w:r>
      <w:proofErr w:type="spellStart"/>
      <w:r w:rsidR="00B5755D" w:rsidRPr="00D07897">
        <w:rPr>
          <w:rFonts w:ascii="Book Antiqua" w:hAnsi="Book Antiqua" w:cs="Arial"/>
          <w:color w:val="000000" w:themeColor="text1"/>
        </w:rPr>
        <w:t>SaskIBD</w:t>
      </w:r>
      <w:proofErr w:type="spellEnd"/>
      <w:r w:rsidR="00B5755D" w:rsidRPr="00D07897">
        <w:rPr>
          <w:rFonts w:ascii="Book Antiqua" w:hAnsi="Book Antiqua" w:cs="Arial"/>
          <w:color w:val="000000" w:themeColor="text1"/>
        </w:rPr>
        <w:t>-NRT</w:t>
      </w:r>
      <w:r w:rsidR="00404C7B"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showed significan</w:t>
      </w:r>
      <w:r w:rsidR="0072008B" w:rsidRPr="00D07897">
        <w:rPr>
          <w:rFonts w:ascii="Book Antiqua" w:hAnsi="Book Antiqua" w:cs="Arial"/>
          <w:color w:val="000000" w:themeColor="text1"/>
        </w:rPr>
        <w:t xml:space="preserve">t association </w:t>
      </w:r>
      <w:r w:rsidR="00503B65" w:rsidRPr="00D07897">
        <w:rPr>
          <w:rFonts w:ascii="Book Antiqua" w:hAnsi="Book Antiqua" w:cs="Arial"/>
          <w:color w:val="000000" w:themeColor="text1"/>
        </w:rPr>
        <w:t>with</w:t>
      </w:r>
      <w:r w:rsidR="00D516CF" w:rsidRPr="00D07897">
        <w:rPr>
          <w:rFonts w:ascii="Book Antiqua" w:hAnsi="Book Antiqua" w:cs="Arial"/>
          <w:color w:val="000000" w:themeColor="text1"/>
        </w:rPr>
        <w:t xml:space="preserve"> NAT measures</w:t>
      </w:r>
      <w:r w:rsidR="00973889"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disease.","type":"article-journal","volume":"109"},"uris":["http://www.mendeley.com/documents/?uuid=a2e30909-7161-4f77-ba2e-199b14c8197c"]},{"id":"ITEM-2","itemData":{"DOI":"https://dx.doi.org/10.1371/journal.pone.0180036","ISSN":"1932-6203","abstract":"The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one","id":"ITEM-2","issue":"6","issued":{"date-parts":[["2017"]]},"page":"e0180036","publisher-place":"United States","title":"Sarcopenia is a predictive factor for intestinal resection in admitted patients with Crohn's disease.","type":"article-journal","volume":"12"},"uris":["http://www.mendeley.com/documents/?uuid=73a11d92-9bee-468c-bbed-3189266c43db"]},{"id":"ITEM-3","itemData":{"DOI":"10.1017/S0007114516003044","ISSN":"1475-2662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nutrition","id":"ITEM-3","issue":"6","issued":{"date-parts":[["2016","9"]]},"language":"eng","page":"1061-1067","publisher-place":"England","title":"Inflammation-driven malnutrition: a new screening tool predicts outcome in Crohn's disease.","type":"article-journal","volume":"116"},"uris":["http://www.mendeley.com/documents/?uuid=7a1220e5-e4f6-481d-b52c-83a9e8be8be2"]},{"id":"ITEM-4","itemData":{"DOI":"10.6133/apjcn.112017.01","ISSN":"0964-7058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nutrition","id":"ITEM-4","issue":"4","issued":{"date-parts":[["2018"]]},"language":"eng","page":"756-762","publisher-place":"Australia","title":"Development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[8,9,30,35]&lt;/sup&gt;","plainTextFormattedCitation":"[8,9,30,35]","previouslyFormattedCitation":"&lt;sup&gt;[8,9,29,34]&lt;/sup&gt;"},"properties":{"noteIndex":0},"schema":"https://github.com/citation-style-language/schema/raw/master/csl-citation.json"}</w:instrText>
      </w:r>
      <w:r w:rsidR="00973889"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[8,9,30,35]</w:t>
      </w:r>
      <w:r w:rsidR="00973889" w:rsidRPr="00D07897">
        <w:rPr>
          <w:rFonts w:ascii="Book Antiqua" w:hAnsi="Book Antiqua" w:cs="Arial"/>
          <w:color w:val="000000" w:themeColor="text1"/>
        </w:rPr>
        <w:fldChar w:fldCharType="end"/>
      </w:r>
      <w:r w:rsidR="00D516CF" w:rsidRPr="00D07897">
        <w:rPr>
          <w:rFonts w:ascii="Book Antiqua" w:hAnsi="Book Antiqua" w:cs="Arial"/>
          <w:color w:val="000000" w:themeColor="text1"/>
        </w:rPr>
        <w:t xml:space="preserve">. </w:t>
      </w:r>
      <w:r w:rsidR="00251572" w:rsidRPr="00D07897">
        <w:rPr>
          <w:rFonts w:ascii="Book Antiqua" w:hAnsi="Book Antiqua" w:cs="Arial"/>
          <w:color w:val="000000" w:themeColor="text1"/>
        </w:rPr>
        <w:t>In both inpatients and outpatients from two separate studies</w:t>
      </w:r>
      <w:r w:rsidR="00251572"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disease.","type":"article-journal","volume":"109"},"uris":["http://www.mendeley.com/documents/?uuid=a2e30909-7161-4f77-ba2e-199b14c8197c"]},{"id":"ITEM-2","itemData":{"DOI":"https://dx.doi.org/10.1371/journal.pone.0180036","ISSN":"1932-6203","abstract":"The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one","id":"ITEM-2","issue":"6","issued":{"date-parts":[["2017"]]},"page":"e0180036","publisher-place":"United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[9,30]&lt;/sup&gt;","plainTextFormattedCitation":"[9,30]","previouslyFormattedCitation":"&lt;sup&gt;[9,29]&lt;/sup&gt;"},"properties":{"noteIndex":0},"schema":"https://github.com/citation-style-language/schema/raw/master/csl-citation.json"}</w:instrText>
      </w:r>
      <w:r w:rsidR="00251572"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[9,30]</w:t>
      </w:r>
      <w:r w:rsidR="00251572" w:rsidRPr="00D07897">
        <w:rPr>
          <w:rFonts w:ascii="Book Antiqua" w:hAnsi="Book Antiqua" w:cs="Arial"/>
          <w:color w:val="000000" w:themeColor="text1"/>
        </w:rPr>
        <w:fldChar w:fldCharType="end"/>
      </w:r>
      <w:r w:rsidR="00251572" w:rsidRPr="00D07897">
        <w:rPr>
          <w:rFonts w:ascii="Book Antiqua" w:hAnsi="Book Antiqua" w:cs="Arial"/>
          <w:color w:val="000000" w:themeColor="text1"/>
        </w:rPr>
        <w:t>, t</w:t>
      </w:r>
      <w:r w:rsidR="00D516CF" w:rsidRPr="00D07897">
        <w:rPr>
          <w:rFonts w:ascii="Book Antiqua" w:hAnsi="Book Antiqua" w:cs="Arial"/>
          <w:color w:val="000000" w:themeColor="text1"/>
        </w:rPr>
        <w:t xml:space="preserve">he MUST showed </w:t>
      </w:r>
      <w:r w:rsidR="002367AD" w:rsidRPr="00D07897">
        <w:rPr>
          <w:rFonts w:ascii="Book Antiqua" w:hAnsi="Book Antiqua" w:cs="Arial"/>
          <w:color w:val="000000" w:themeColor="text1"/>
        </w:rPr>
        <w:t xml:space="preserve">a </w:t>
      </w:r>
      <w:r w:rsidR="00D516CF" w:rsidRPr="00D07897">
        <w:rPr>
          <w:rFonts w:ascii="Book Antiqua" w:hAnsi="Book Antiqua" w:cs="Arial"/>
          <w:color w:val="000000" w:themeColor="text1"/>
        </w:rPr>
        <w:t xml:space="preserve">significant </w:t>
      </w:r>
      <w:r w:rsidR="00E66A06" w:rsidRPr="00D07897">
        <w:rPr>
          <w:rFonts w:ascii="Book Antiqua" w:hAnsi="Book Antiqua" w:cs="Arial"/>
          <w:color w:val="000000" w:themeColor="text1"/>
        </w:rPr>
        <w:t xml:space="preserve">association </w:t>
      </w:r>
      <w:r w:rsidR="00CB253C" w:rsidRPr="00D07897">
        <w:rPr>
          <w:rFonts w:ascii="Book Antiqua" w:hAnsi="Book Antiqua" w:cs="Arial"/>
          <w:i/>
          <w:iCs/>
          <w:color w:val="000000" w:themeColor="text1"/>
        </w:rPr>
        <w:t>via</w:t>
      </w:r>
      <w:r w:rsidR="00CB253C" w:rsidRPr="00D07897">
        <w:rPr>
          <w:rFonts w:ascii="Book Antiqua" w:hAnsi="Book Antiqua" w:cs="Arial"/>
          <w:color w:val="000000" w:themeColor="text1"/>
        </w:rPr>
        <w:t xml:space="preserve"> logistic </w:t>
      </w:r>
      <w:r w:rsidR="00CB253C" w:rsidRPr="00D07897">
        <w:rPr>
          <w:rFonts w:ascii="Book Antiqua" w:hAnsi="Book Antiqua" w:cs="Arial"/>
          <w:color w:val="000000" w:themeColor="text1"/>
        </w:rPr>
        <w:lastRenderedPageBreak/>
        <w:t>regression</w:t>
      </w:r>
      <w:r w:rsidR="00D516CF" w:rsidRPr="00D07897">
        <w:rPr>
          <w:rFonts w:ascii="Book Antiqua" w:hAnsi="Book Antiqua" w:cs="Arial"/>
          <w:color w:val="000000" w:themeColor="text1"/>
        </w:rPr>
        <w:t xml:space="preserve"> </w:t>
      </w:r>
      <w:bookmarkStart w:id="55" w:name="_Hlk7441911"/>
      <w:r w:rsidR="00AB78C6" w:rsidRPr="00D07897">
        <w:rPr>
          <w:rFonts w:ascii="Book Antiqua" w:hAnsi="Book Antiqua" w:cs="Arial"/>
          <w:color w:val="000000" w:themeColor="text1"/>
        </w:rPr>
        <w:t>[</w:t>
      </w:r>
      <w:r w:rsidR="00AB78C6" w:rsidRPr="00D07897">
        <w:rPr>
          <w:rFonts w:ascii="Book Antiqua" w:hAnsi="Book Antiqua"/>
        </w:rPr>
        <w:t>odds ratio</w:t>
      </w:r>
      <w:bookmarkEnd w:id="55"/>
      <w:r w:rsidR="00AB78C6" w:rsidRPr="00D07897">
        <w:rPr>
          <w:rFonts w:ascii="Book Antiqua" w:hAnsi="Book Antiqua"/>
        </w:rPr>
        <w:t xml:space="preserve"> (</w:t>
      </w:r>
      <w:r w:rsidR="00D516CF" w:rsidRPr="00D07897">
        <w:rPr>
          <w:rFonts w:ascii="Book Antiqua" w:hAnsi="Book Antiqua" w:cs="Arial"/>
          <w:color w:val="000000" w:themeColor="text1"/>
        </w:rPr>
        <w:t>OR</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 xml:space="preserve">0.934, </w:t>
      </w:r>
      <w:r w:rsidR="00AB78C6" w:rsidRPr="00D07897">
        <w:rPr>
          <w:rFonts w:ascii="Book Antiqua" w:hAnsi="Book Antiqua" w:cs="Arial"/>
          <w:i/>
          <w:iCs/>
          <w:color w:val="000000" w:themeColor="text1"/>
        </w:rPr>
        <w:t>P</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0.014</w:t>
      </w:r>
      <w:r w:rsidR="00AB78C6" w:rsidRPr="00D07897">
        <w:rPr>
          <w:rFonts w:ascii="Book Antiqua" w:hAnsi="Book Antiqua" w:cs="Arial"/>
          <w:color w:val="000000" w:themeColor="text1"/>
        </w:rPr>
        <w:t>]</w:t>
      </w:r>
      <w:r w:rsidR="00D516CF" w:rsidRPr="00D07897">
        <w:rPr>
          <w:rFonts w:ascii="Book Antiqua" w:hAnsi="Book Antiqua" w:cs="Arial"/>
          <w:color w:val="000000" w:themeColor="text1"/>
        </w:rPr>
        <w:t xml:space="preserve"> and fair inter-rater </w:t>
      </w:r>
      <w:r w:rsidR="00F760BB" w:rsidRPr="00D07897">
        <w:rPr>
          <w:rFonts w:ascii="Book Antiqua" w:hAnsi="Book Antiqua" w:cs="Arial"/>
          <w:color w:val="000000" w:themeColor="text1"/>
        </w:rPr>
        <w:t>agreement</w:t>
      </w:r>
      <w:r w:rsidR="00D516CF" w:rsidRPr="00D07897">
        <w:rPr>
          <w:rFonts w:ascii="Book Antiqua" w:hAnsi="Book Antiqua" w:cs="Arial"/>
          <w:color w:val="000000" w:themeColor="text1"/>
        </w:rPr>
        <w:t xml:space="preserve"> (Cohen’s kappa=0.53) to SMI and FFMI. </w:t>
      </w:r>
      <w:r w:rsidR="004B2725" w:rsidRPr="00D07897">
        <w:rPr>
          <w:rFonts w:ascii="Book Antiqua" w:hAnsi="Book Antiqua" w:cs="Arial"/>
          <w:color w:val="000000" w:themeColor="text1"/>
        </w:rPr>
        <w:t>O</w:t>
      </w:r>
      <w:r w:rsidR="00B5755D" w:rsidRPr="00D07897">
        <w:rPr>
          <w:rFonts w:ascii="Book Antiqua" w:hAnsi="Book Antiqua" w:cs="Arial"/>
          <w:color w:val="000000" w:themeColor="text1"/>
        </w:rPr>
        <w:t xml:space="preserve">ne study demonstrated poor inter-rater </w:t>
      </w:r>
      <w:r w:rsidR="00F760BB" w:rsidRPr="00D07897">
        <w:rPr>
          <w:rFonts w:ascii="Book Antiqua" w:hAnsi="Book Antiqua" w:cs="Arial"/>
          <w:color w:val="000000" w:themeColor="text1"/>
        </w:rPr>
        <w:t>agreement</w:t>
      </w:r>
      <w:r w:rsidR="00B5755D" w:rsidRPr="00D07897">
        <w:rPr>
          <w:rFonts w:ascii="Book Antiqua" w:hAnsi="Book Antiqua" w:cs="Arial"/>
          <w:color w:val="000000" w:themeColor="text1"/>
        </w:rPr>
        <w:t xml:space="preserve"> (Cohen’s kappa</w:t>
      </w:r>
      <w:r w:rsidR="00AB78C6" w:rsidRPr="00D07897">
        <w:rPr>
          <w:rFonts w:ascii="Book Antiqua" w:hAnsi="Book Antiqua" w:cs="Arial"/>
          <w:color w:val="000000" w:themeColor="text1"/>
        </w:rPr>
        <w:t xml:space="preserve"> </w:t>
      </w:r>
      <w:r w:rsidR="00B5755D"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B5755D" w:rsidRPr="00D07897">
        <w:rPr>
          <w:rFonts w:ascii="Book Antiqua" w:hAnsi="Book Antiqua" w:cs="Arial"/>
          <w:color w:val="000000" w:themeColor="text1"/>
        </w:rPr>
        <w:t xml:space="preserve">0.15) of MUST with comprehensive RD/GI </w:t>
      </w:r>
      <w:r w:rsidR="004B2725" w:rsidRPr="00D07897">
        <w:rPr>
          <w:rFonts w:ascii="Book Antiqua" w:hAnsi="Book Antiqua" w:cs="Arial"/>
          <w:color w:val="000000" w:themeColor="text1"/>
        </w:rPr>
        <w:t xml:space="preserve">nutritional </w:t>
      </w:r>
      <w:r w:rsidR="00B5755D" w:rsidRPr="00D07897">
        <w:rPr>
          <w:rFonts w:ascii="Book Antiqua" w:hAnsi="Book Antiqua" w:cs="Arial"/>
          <w:color w:val="000000" w:themeColor="text1"/>
        </w:rPr>
        <w:t>assessment</w:t>
      </w:r>
      <w:r w:rsidR="006A0CCF" w:rsidRPr="00D07897">
        <w:rPr>
          <w:rFonts w:ascii="Book Antiqua" w:hAnsi="Book Antiqua" w:cs="Arial"/>
          <w:color w:val="000000" w:themeColor="text1"/>
        </w:rPr>
        <w:t xml:space="preserve"> among outpatients</w:t>
      </w:r>
      <w:r w:rsidR="00B5755D"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B5755D"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[35]</w:t>
      </w:r>
      <w:r w:rsidR="00B5755D" w:rsidRPr="00D07897">
        <w:rPr>
          <w:rFonts w:ascii="Book Antiqua" w:hAnsi="Book Antiqua" w:cs="Arial"/>
          <w:color w:val="000000" w:themeColor="text1"/>
        </w:rPr>
        <w:fldChar w:fldCharType="end"/>
      </w:r>
      <w:r w:rsidR="00B5755D"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 xml:space="preserve">NRS-2002 </w:t>
      </w:r>
      <w:r w:rsidR="004B2725" w:rsidRPr="00D07897">
        <w:rPr>
          <w:rFonts w:ascii="Book Antiqua" w:hAnsi="Book Antiqua" w:cs="Arial"/>
          <w:color w:val="000000" w:themeColor="text1"/>
        </w:rPr>
        <w:t xml:space="preserve">was </w:t>
      </w:r>
      <w:r w:rsidR="00D516CF" w:rsidRPr="00D07897">
        <w:rPr>
          <w:rFonts w:ascii="Book Antiqua" w:hAnsi="Book Antiqua" w:cs="Arial"/>
          <w:color w:val="000000" w:themeColor="text1"/>
        </w:rPr>
        <w:t xml:space="preserve">significantly </w:t>
      </w:r>
      <w:r w:rsidR="004B2725" w:rsidRPr="00D07897">
        <w:rPr>
          <w:rFonts w:ascii="Book Antiqua" w:hAnsi="Book Antiqua" w:cs="Arial"/>
          <w:color w:val="000000" w:themeColor="text1"/>
        </w:rPr>
        <w:t>associated</w:t>
      </w:r>
      <w:r w:rsidR="00D516CF" w:rsidRPr="00D07897">
        <w:rPr>
          <w:rFonts w:ascii="Book Antiqua" w:hAnsi="Book Antiqua" w:cs="Arial"/>
          <w:color w:val="000000" w:themeColor="text1"/>
        </w:rPr>
        <w:t xml:space="preserve"> </w:t>
      </w:r>
      <w:r w:rsidR="000A5533" w:rsidRPr="00D07897">
        <w:rPr>
          <w:rFonts w:ascii="Book Antiqua" w:hAnsi="Book Antiqua" w:cs="Arial"/>
          <w:color w:val="000000" w:themeColor="text1"/>
        </w:rPr>
        <w:t xml:space="preserve">with </w:t>
      </w:r>
      <w:r w:rsidR="00D516CF" w:rsidRPr="00D07897">
        <w:rPr>
          <w:rFonts w:ascii="Book Antiqua" w:hAnsi="Book Antiqua" w:cs="Arial"/>
          <w:color w:val="000000" w:themeColor="text1"/>
        </w:rPr>
        <w:t>SMI (OR</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 xml:space="preserve">0.928, </w:t>
      </w:r>
      <w:r w:rsidR="00AB78C6" w:rsidRPr="00D07897">
        <w:rPr>
          <w:rFonts w:ascii="Book Antiqua" w:hAnsi="Book Antiqua" w:cs="Arial"/>
          <w:i/>
          <w:iCs/>
          <w:color w:val="000000" w:themeColor="text1"/>
        </w:rPr>
        <w:t>P</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0.008) in one</w:t>
      </w:r>
      <w:r w:rsidR="006A0CCF" w:rsidRPr="00D07897">
        <w:rPr>
          <w:rFonts w:ascii="Book Antiqua" w:hAnsi="Book Antiqua" w:cs="Arial"/>
          <w:color w:val="000000" w:themeColor="text1"/>
        </w:rPr>
        <w:t xml:space="preserve"> inpatient</w:t>
      </w:r>
      <w:r w:rsidR="00D516CF" w:rsidRPr="00D07897">
        <w:rPr>
          <w:rFonts w:ascii="Book Antiqua" w:hAnsi="Book Antiqua" w:cs="Arial"/>
          <w:color w:val="000000" w:themeColor="text1"/>
        </w:rPr>
        <w:t xml:space="preserve"> study</w:t>
      </w:r>
      <w:r w:rsidR="00973889"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973889"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[9]</w:t>
      </w:r>
      <w:r w:rsidR="00973889" w:rsidRPr="00D07897">
        <w:rPr>
          <w:rFonts w:ascii="Book Antiqua" w:hAnsi="Book Antiqua" w:cs="Arial"/>
          <w:color w:val="000000" w:themeColor="text1"/>
        </w:rPr>
        <w:fldChar w:fldCharType="end"/>
      </w:r>
      <w:r w:rsidR="00D516CF" w:rsidRPr="00D07897">
        <w:rPr>
          <w:rFonts w:ascii="Book Antiqua" w:hAnsi="Book Antiqua" w:cs="Arial"/>
          <w:color w:val="000000" w:themeColor="text1"/>
        </w:rPr>
        <w:t xml:space="preserve">. MIRT also demonstrated significance </w:t>
      </w:r>
      <w:r w:rsidR="0072008B" w:rsidRPr="00D07897">
        <w:rPr>
          <w:rFonts w:ascii="Book Antiqua" w:hAnsi="Book Antiqua" w:cs="Arial"/>
          <w:color w:val="000000" w:themeColor="text1"/>
        </w:rPr>
        <w:t>with a moderate</w:t>
      </w:r>
      <w:r w:rsidR="00D516CF" w:rsidRPr="00D07897">
        <w:rPr>
          <w:rFonts w:ascii="Book Antiqua" w:hAnsi="Book Antiqua" w:cs="Arial"/>
          <w:color w:val="000000" w:themeColor="text1"/>
        </w:rPr>
        <w:t xml:space="preserve"> correlat</w:t>
      </w:r>
      <w:r w:rsidR="0072008B" w:rsidRPr="00D07897">
        <w:rPr>
          <w:rFonts w:ascii="Book Antiqua" w:hAnsi="Book Antiqua" w:cs="Arial"/>
          <w:color w:val="000000" w:themeColor="text1"/>
        </w:rPr>
        <w:t>ion t</w:t>
      </w:r>
      <w:r w:rsidR="00D516CF" w:rsidRPr="00D07897">
        <w:rPr>
          <w:rFonts w:ascii="Book Antiqua" w:hAnsi="Book Antiqua" w:cs="Arial"/>
          <w:color w:val="000000" w:themeColor="text1"/>
        </w:rPr>
        <w:t>o SGA in one</w:t>
      </w:r>
      <w:r w:rsidR="006A0CCF" w:rsidRPr="00D07897">
        <w:rPr>
          <w:rFonts w:ascii="Book Antiqua" w:hAnsi="Book Antiqua" w:cs="Arial"/>
          <w:color w:val="000000" w:themeColor="text1"/>
        </w:rPr>
        <w:t xml:space="preserve"> outpatient</w:t>
      </w:r>
      <w:r w:rsidR="00D516CF" w:rsidRPr="00D07897">
        <w:rPr>
          <w:rFonts w:ascii="Book Antiqua" w:hAnsi="Book Antiqua" w:cs="Arial"/>
          <w:color w:val="000000" w:themeColor="text1"/>
        </w:rPr>
        <w:t xml:space="preserve"> study </w:t>
      </w:r>
      <w:r w:rsidR="00176D7C" w:rsidRPr="00D07897">
        <w:rPr>
          <w:rFonts w:ascii="Book Antiqua" w:hAnsi="Book Antiqua" w:cs="Arial"/>
          <w:color w:val="000000" w:themeColor="text1"/>
        </w:rPr>
        <w:t>(</w:t>
      </w:r>
      <w:r w:rsidR="0072008B" w:rsidRPr="00D07897">
        <w:rPr>
          <w:rFonts w:ascii="Book Antiqua" w:hAnsi="Book Antiqua" w:cs="Arial"/>
          <w:color w:val="000000" w:themeColor="text1"/>
        </w:rPr>
        <w:t>Spearman Rank Correlation</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 xml:space="preserve">0.394, </w:t>
      </w:r>
      <w:r w:rsidR="00AB78C6" w:rsidRPr="00D07897">
        <w:rPr>
          <w:rFonts w:ascii="Book Antiqua" w:hAnsi="Book Antiqua" w:cs="Arial"/>
          <w:i/>
          <w:iCs/>
          <w:color w:val="000000" w:themeColor="text1"/>
        </w:rPr>
        <w:t>P</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0.005)</w:t>
      </w:r>
      <w:r w:rsidR="00973889"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00973889"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[8]</w:t>
      </w:r>
      <w:r w:rsidR="00973889" w:rsidRPr="00D07897">
        <w:rPr>
          <w:rFonts w:ascii="Book Antiqua" w:hAnsi="Book Antiqua" w:cs="Arial"/>
          <w:color w:val="000000" w:themeColor="text1"/>
        </w:rPr>
        <w:fldChar w:fldCharType="end"/>
      </w:r>
      <w:r w:rsidR="00D516CF" w:rsidRPr="00D07897">
        <w:rPr>
          <w:rFonts w:ascii="Book Antiqua" w:hAnsi="Book Antiqua" w:cs="Arial"/>
          <w:color w:val="000000" w:themeColor="text1"/>
        </w:rPr>
        <w:t xml:space="preserve">. </w:t>
      </w:r>
      <w:r w:rsidR="00F760BB" w:rsidRPr="00D07897">
        <w:rPr>
          <w:rFonts w:ascii="Book Antiqua" w:hAnsi="Book Antiqua" w:cs="Arial"/>
          <w:color w:val="000000" w:themeColor="text1"/>
        </w:rPr>
        <w:t xml:space="preserve">The </w:t>
      </w:r>
      <w:proofErr w:type="spellStart"/>
      <w:r w:rsidR="00F760BB" w:rsidRPr="00D07897">
        <w:rPr>
          <w:rFonts w:ascii="Book Antiqua" w:hAnsi="Book Antiqua" w:cs="Arial"/>
          <w:color w:val="000000" w:themeColor="text1"/>
        </w:rPr>
        <w:t>SaskIBD</w:t>
      </w:r>
      <w:proofErr w:type="spellEnd"/>
      <w:r w:rsidR="00F760BB" w:rsidRPr="00D07897">
        <w:rPr>
          <w:rFonts w:ascii="Book Antiqua" w:hAnsi="Book Antiqua" w:cs="Arial"/>
          <w:color w:val="000000" w:themeColor="text1"/>
        </w:rPr>
        <w:t xml:space="preserve">-NRT showed strong inter-rater agreement </w:t>
      </w:r>
      <w:r w:rsidR="00F56BD5" w:rsidRPr="00D07897">
        <w:rPr>
          <w:rFonts w:ascii="Book Antiqua" w:hAnsi="Book Antiqua" w:cs="Arial"/>
          <w:color w:val="000000" w:themeColor="text1"/>
        </w:rPr>
        <w:t>(</w:t>
      </w:r>
      <w:r w:rsidR="00176D7C" w:rsidRPr="00D07897">
        <w:rPr>
          <w:rFonts w:ascii="Book Antiqua" w:hAnsi="Book Antiqua" w:cs="Arial"/>
          <w:color w:val="000000" w:themeColor="text1"/>
        </w:rPr>
        <w:t>Cohen’s kappa</w:t>
      </w:r>
      <w:r w:rsidR="00AB78C6" w:rsidRPr="00D07897">
        <w:rPr>
          <w:rFonts w:ascii="Book Antiqua" w:hAnsi="Book Antiqua" w:cs="Arial"/>
          <w:color w:val="000000" w:themeColor="text1"/>
        </w:rPr>
        <w:t xml:space="preserve"> </w:t>
      </w:r>
      <w:r w:rsidR="00F56BD5"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F56BD5" w:rsidRPr="00D07897">
        <w:rPr>
          <w:rFonts w:ascii="Book Antiqua" w:hAnsi="Book Antiqua" w:cs="Arial"/>
          <w:color w:val="000000" w:themeColor="text1"/>
        </w:rPr>
        <w:t xml:space="preserve">0.73) </w:t>
      </w:r>
      <w:r w:rsidR="00F760BB" w:rsidRPr="00D07897">
        <w:rPr>
          <w:rFonts w:ascii="Book Antiqua" w:hAnsi="Book Antiqua" w:cs="Arial"/>
          <w:color w:val="000000" w:themeColor="text1"/>
        </w:rPr>
        <w:t>with comprehensive RD/GI assessment</w:t>
      </w:r>
      <w:r w:rsidR="006A0CCF" w:rsidRPr="00D07897">
        <w:rPr>
          <w:rFonts w:ascii="Book Antiqua" w:hAnsi="Book Antiqua" w:cs="Arial"/>
          <w:color w:val="000000" w:themeColor="text1"/>
        </w:rPr>
        <w:t xml:space="preserve"> in outpatients</w:t>
      </w:r>
      <w:r w:rsidR="00F760BB"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F760BB"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[35]</w:t>
      </w:r>
      <w:r w:rsidR="00F760BB" w:rsidRPr="00D07897">
        <w:rPr>
          <w:rFonts w:ascii="Book Antiqua" w:hAnsi="Book Antiqua" w:cs="Arial"/>
          <w:color w:val="000000" w:themeColor="text1"/>
        </w:rPr>
        <w:fldChar w:fldCharType="end"/>
      </w:r>
      <w:r w:rsidR="00C10906" w:rsidRPr="00D07897">
        <w:rPr>
          <w:rFonts w:ascii="Book Antiqua" w:hAnsi="Book Antiqua" w:cs="Arial"/>
          <w:color w:val="000000" w:themeColor="text1"/>
        </w:rPr>
        <w:t xml:space="preserve"> </w:t>
      </w:r>
      <w:r w:rsidR="00C10906" w:rsidRPr="00D07897">
        <w:rPr>
          <w:rFonts w:ascii="Book Antiqua" w:hAnsi="Book Antiqua" w:cs="Arial"/>
          <w:iCs/>
          <w:color w:val="000000" w:themeColor="text1"/>
        </w:rPr>
        <w:t>(Table 6)</w:t>
      </w:r>
      <w:r w:rsidR="00F760BB" w:rsidRPr="00D07897">
        <w:rPr>
          <w:rFonts w:ascii="Book Antiqua" w:hAnsi="Book Antiqua" w:cs="Arial"/>
          <w:color w:val="000000" w:themeColor="text1"/>
        </w:rPr>
        <w:t>.</w:t>
      </w:r>
    </w:p>
    <w:p w14:paraId="39A4DFAC" w14:textId="77777777" w:rsidR="00D0444C" w:rsidRPr="00D07897" w:rsidRDefault="00D0444C" w:rsidP="00F96F15">
      <w:pPr>
        <w:spacing w:line="360" w:lineRule="auto"/>
        <w:jc w:val="both"/>
        <w:rPr>
          <w:rFonts w:ascii="Book Antiqua" w:hAnsi="Book Antiqua" w:cs="Arial"/>
          <w:i/>
          <w:color w:val="000000" w:themeColor="text1"/>
        </w:rPr>
      </w:pPr>
    </w:p>
    <w:p w14:paraId="0525A474" w14:textId="122F81C2" w:rsidR="005E6ECD" w:rsidRPr="00D07897" w:rsidRDefault="00B147EA" w:rsidP="00F96F15">
      <w:pPr>
        <w:spacing w:line="360" w:lineRule="auto"/>
        <w:jc w:val="both"/>
        <w:rPr>
          <w:rFonts w:ascii="Book Antiqua" w:hAnsi="Book Antiqua" w:cs="Arial"/>
          <w:b/>
          <w:bCs/>
          <w:i/>
          <w:color w:val="000000" w:themeColor="text1"/>
        </w:rPr>
      </w:pPr>
      <w:r w:rsidRPr="00D07897">
        <w:rPr>
          <w:rFonts w:ascii="Book Antiqua" w:hAnsi="Book Antiqua" w:cs="Arial"/>
          <w:b/>
          <w:bCs/>
          <w:i/>
          <w:color w:val="000000" w:themeColor="text1"/>
        </w:rPr>
        <w:t>Were</w:t>
      </w:r>
      <w:r w:rsidR="00EC0228" w:rsidRPr="00D07897">
        <w:rPr>
          <w:rFonts w:ascii="Book Antiqua" w:hAnsi="Book Antiqua" w:cs="Arial"/>
          <w:b/>
          <w:bCs/>
          <w:i/>
          <w:color w:val="000000" w:themeColor="text1"/>
        </w:rPr>
        <w:t xml:space="preserve"> </w:t>
      </w:r>
      <w:r w:rsidR="00AB78C6" w:rsidRPr="00D07897">
        <w:rPr>
          <w:rFonts w:ascii="Book Antiqua" w:hAnsi="Book Antiqua" w:cs="Arial"/>
          <w:b/>
          <w:bCs/>
          <w:i/>
          <w:color w:val="000000" w:themeColor="text1"/>
        </w:rPr>
        <w:t>nutrition screening tools associated with clinical outcomes</w:t>
      </w:r>
      <w:r w:rsidR="00EC0228" w:rsidRPr="00D07897">
        <w:rPr>
          <w:rFonts w:ascii="Book Antiqua" w:hAnsi="Book Antiqua" w:cs="Arial"/>
          <w:b/>
          <w:bCs/>
          <w:i/>
          <w:color w:val="000000" w:themeColor="text1"/>
        </w:rPr>
        <w:t>?</w:t>
      </w:r>
      <w:r w:rsidR="00AF71E4" w:rsidRPr="00D07897">
        <w:rPr>
          <w:rFonts w:ascii="Book Antiqua" w:hAnsi="Book Antiqua" w:cs="Arial"/>
          <w:b/>
          <w:bCs/>
          <w:i/>
          <w:color w:val="000000" w:themeColor="text1"/>
        </w:rPr>
        <w:t xml:space="preserve"> </w:t>
      </w:r>
    </w:p>
    <w:p w14:paraId="5A8FF574" w14:textId="301EA642" w:rsidR="00EC0228" w:rsidRPr="00D07897" w:rsidRDefault="000F5BD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Three studies (18.8%) associated NSTs with clinical outcomes. The NSTs utilized in these studies included the </w:t>
      </w:r>
      <w:r w:rsidR="004B2725" w:rsidRPr="00D07897">
        <w:rPr>
          <w:rFonts w:ascii="Book Antiqua" w:hAnsi="Book Antiqua" w:cs="Arial"/>
          <w:color w:val="000000" w:themeColor="text1"/>
        </w:rPr>
        <w:t xml:space="preserve">MUST, MIRT, </w:t>
      </w:r>
      <w:r w:rsidRPr="00D07897">
        <w:rPr>
          <w:rFonts w:ascii="Book Antiqua" w:hAnsi="Book Antiqua" w:cs="Arial"/>
          <w:color w:val="000000" w:themeColor="text1"/>
        </w:rPr>
        <w:t>NRS-2002</w:t>
      </w:r>
      <w:r w:rsidR="008817C2" w:rsidRPr="00D07897">
        <w:rPr>
          <w:rFonts w:ascii="Book Antiqua" w:hAnsi="Book Antiqua" w:cs="Arial"/>
          <w:color w:val="000000" w:themeColor="text1"/>
        </w:rPr>
        <w:t>,</w:t>
      </w:r>
      <w:r w:rsidRPr="00D07897">
        <w:rPr>
          <w:rFonts w:ascii="Book Antiqua" w:hAnsi="Book Antiqua" w:cs="Arial"/>
          <w:color w:val="000000" w:themeColor="text1"/>
        </w:rPr>
        <w:t xml:space="preserve"> and NRI</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disease.","type":"article-journal","volume":"116"},"uris":["http://www.mendeley.com/documents/?uuid=7a1220e5-e4f6-481d-b52c-83a9e8be8be2"]},{"id":"ITEM-2","itemData":{"DOI":"10.1159/000485637","ISSN":"1421-9697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metabolism","id":"ITEM-2","issue":"3-4","issued":{"date-parts":[["2017"]]},"language":"eng","page":"266-272","publisher-place":"Switzerland","title":"Nutritional Screening and Clinical Outcome in Hospitalized Patients with Crohn's  Disease.","type":"article-journal","volume":"71"},"uris":["http://www.mendeley.com/documents/?uuid=cd857bcf-f832-4ca4-aa54-3d63c71b8d64"]},{"id":"ITEM-3","itemData":{"DOI":"https://dx.doi.org/10.1007/s00595-015-1257-5","ISSN":"1436-2813","abstract":"PURPOSE: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today","id":"ITEM-3","issue":"8","issued":{"date-parts":[["2016"]]},"page":"922-929","publisher-place":"Japan","title":"Influence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[8,13,27]&lt;/sup&gt;","plainTextFormattedCitation":"[8,13,27]","previouslyFormattedCitation":"&lt;sup&gt;[8,13,26]&lt;/sup&gt;"},"properties":{"noteIndex":0},"schema":"https://github.com/citation-style-language/schema/raw/master/csl-citation.json"}</w:instrText>
      </w:r>
      <w:r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[8,13,27]</w:t>
      </w:r>
      <w:r w:rsidRPr="00D07897">
        <w:rPr>
          <w:rFonts w:ascii="Book Antiqua" w:hAnsi="Book Antiqua" w:cs="Arial"/>
          <w:color w:val="000000" w:themeColor="text1"/>
        </w:rPr>
        <w:fldChar w:fldCharType="end"/>
      </w:r>
      <w:r w:rsidR="004B2725" w:rsidRPr="00D07897">
        <w:rPr>
          <w:rFonts w:ascii="Book Antiqua" w:hAnsi="Book Antiqua" w:cs="Arial"/>
          <w:color w:val="000000" w:themeColor="text1"/>
        </w:rPr>
        <w:t xml:space="preserve">, the latter three </w:t>
      </w:r>
      <w:r w:rsidR="00D516CF" w:rsidRPr="00D07897">
        <w:rPr>
          <w:rFonts w:ascii="Book Antiqua" w:hAnsi="Book Antiqua" w:cs="Arial"/>
          <w:color w:val="000000" w:themeColor="text1"/>
        </w:rPr>
        <w:t>show</w:t>
      </w:r>
      <w:r w:rsidR="004B2725" w:rsidRPr="00D07897">
        <w:rPr>
          <w:rFonts w:ascii="Book Antiqua" w:hAnsi="Book Antiqua" w:cs="Arial"/>
          <w:color w:val="000000" w:themeColor="text1"/>
        </w:rPr>
        <w:t>ing</w:t>
      </w:r>
      <w:r w:rsidR="00D516CF" w:rsidRPr="00D07897">
        <w:rPr>
          <w:rFonts w:ascii="Book Antiqua" w:hAnsi="Book Antiqua" w:cs="Arial"/>
          <w:color w:val="000000" w:themeColor="text1"/>
        </w:rPr>
        <w:t xml:space="preserve"> significance</w:t>
      </w:r>
      <w:r w:rsidR="00973889"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disease.","type":"article-journal","volume":"116"},"uris":["http://www.mendeley.com/documents/?uuid=7a1220e5-e4f6-481d-b52c-83a9e8be8be2"]},{"id":"ITEM-2","itemData":{"DOI":"10.1159/000485637","ISSN":"1421-9697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metabolism","id":"ITEM-2","issue":"3-4","issued":{"date-parts":[["2017"]]},"language":"eng","page":"266-272","publisher-place":"Switzerland","title":"Nutritional Screening and Clinical Outcome in Hospitalized Patients with Crohn's  Disease.","type":"article-journal","volume":"71"},"uris":["http://www.mendeley.com/documents/?uuid=cd857bcf-f832-4ca4-aa54-3d63c71b8d64"]},{"id":"ITEM-3","itemData":{"DOI":"https://dx.doi.org/10.1007/s00595-015-1257-5","ISSN":"1436-2813","abstract":"PURPOSE: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today","id":"ITEM-3","issue":"8","issued":{"date-parts":[["2016"]]},"page":"922-929","publisher-place":"Japan","title":"Influence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[8,13,27]&lt;/sup&gt;","plainTextFormattedCitation":"[8,13,27]","previouslyFormattedCitation":"&lt;sup&gt;[8,13,26]&lt;/sup&gt;"},"properties":{"noteIndex":0},"schema":"https://github.com/citation-style-language/schema/raw/master/csl-citation.json"}</w:instrText>
      </w:r>
      <w:r w:rsidR="00973889"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[8,13,27]</w:t>
      </w:r>
      <w:r w:rsidR="00973889" w:rsidRPr="00D07897">
        <w:rPr>
          <w:rFonts w:ascii="Book Antiqua" w:hAnsi="Book Antiqua" w:cs="Arial"/>
          <w:color w:val="000000" w:themeColor="text1"/>
        </w:rPr>
        <w:fldChar w:fldCharType="end"/>
      </w:r>
      <w:r w:rsidR="00D516CF" w:rsidRPr="00D07897">
        <w:rPr>
          <w:rFonts w:ascii="Book Antiqua" w:hAnsi="Book Antiqua" w:cs="Arial"/>
          <w:color w:val="000000" w:themeColor="text1"/>
        </w:rPr>
        <w:t xml:space="preserve">. </w:t>
      </w:r>
      <w:r w:rsidR="00902A9C" w:rsidRPr="00D07897">
        <w:rPr>
          <w:rFonts w:ascii="Book Antiqua" w:hAnsi="Book Antiqua" w:cs="Arial"/>
          <w:color w:val="000000" w:themeColor="text1"/>
        </w:rPr>
        <w:t xml:space="preserve">Baseline </w:t>
      </w:r>
      <w:r w:rsidR="00D516CF" w:rsidRPr="00D07897">
        <w:rPr>
          <w:rFonts w:ascii="Book Antiqua" w:hAnsi="Book Antiqua" w:cs="Arial"/>
          <w:color w:val="000000" w:themeColor="text1"/>
        </w:rPr>
        <w:t>MIRT was significantly correlated</w:t>
      </w:r>
      <w:r w:rsidR="00902A9C" w:rsidRPr="00D07897">
        <w:rPr>
          <w:rFonts w:ascii="Book Antiqua" w:hAnsi="Book Antiqua" w:cs="Arial"/>
          <w:color w:val="000000" w:themeColor="text1"/>
        </w:rPr>
        <w:t xml:space="preserve"> </w:t>
      </w:r>
      <w:r w:rsidR="00E66A06" w:rsidRPr="00D07897">
        <w:rPr>
          <w:rFonts w:ascii="Book Antiqua" w:hAnsi="Book Antiqua" w:cs="Arial"/>
          <w:i/>
          <w:iCs/>
          <w:color w:val="000000" w:themeColor="text1"/>
        </w:rPr>
        <w:t>via</w:t>
      </w:r>
      <w:r w:rsidR="00E66A06" w:rsidRPr="00D07897">
        <w:rPr>
          <w:rFonts w:ascii="Book Antiqua" w:hAnsi="Book Antiqua" w:cs="Arial"/>
          <w:color w:val="000000" w:themeColor="text1"/>
        </w:rPr>
        <w:t xml:space="preserve"> Spearman rank correlation </w:t>
      </w:r>
      <w:r w:rsidR="00902A9C" w:rsidRPr="00D07897">
        <w:rPr>
          <w:rFonts w:ascii="Book Antiqua" w:hAnsi="Book Antiqua" w:cs="Arial"/>
          <w:color w:val="000000" w:themeColor="text1"/>
        </w:rPr>
        <w:t xml:space="preserve">at 6 </w:t>
      </w:r>
      <w:proofErr w:type="spellStart"/>
      <w:r w:rsidR="00902A9C" w:rsidRPr="00D07897">
        <w:rPr>
          <w:rFonts w:ascii="Book Antiqua" w:hAnsi="Book Antiqua" w:cs="Arial"/>
          <w:color w:val="000000" w:themeColor="text1"/>
        </w:rPr>
        <w:t>mo</w:t>
      </w:r>
      <w:proofErr w:type="spellEnd"/>
      <w:r w:rsidR="00D516CF" w:rsidRPr="00D07897">
        <w:rPr>
          <w:rFonts w:ascii="Book Antiqua" w:hAnsi="Book Antiqua" w:cs="Arial"/>
          <w:color w:val="000000" w:themeColor="text1"/>
        </w:rPr>
        <w:t xml:space="preserve"> with hospitalizations (</w:t>
      </w:r>
      <w:r w:rsidR="00AB78C6" w:rsidRPr="00D07897">
        <w:rPr>
          <w:rFonts w:ascii="Book Antiqua" w:hAnsi="Book Antiqua" w:cs="Arial"/>
          <w:color w:val="000000" w:themeColor="text1"/>
        </w:rPr>
        <w:t>ρ</w:t>
      </w:r>
      <w:r w:rsidR="00AB78C6" w:rsidRPr="00D07897">
        <w:rPr>
          <w:rFonts w:ascii="Book Antiqua" w:hAnsi="Book Antiqua" w:cs="Arial"/>
          <w:i/>
          <w:iCs/>
          <w:color w:val="000000" w:themeColor="text1"/>
        </w:rPr>
        <w:t xml:space="preserve"> </w:t>
      </w:r>
      <w:r w:rsidR="00D516CF"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 xml:space="preserve">0.398, </w:t>
      </w:r>
      <w:r w:rsidR="00AB78C6" w:rsidRPr="00D07897">
        <w:rPr>
          <w:rFonts w:ascii="Book Antiqua" w:hAnsi="Book Antiqua" w:cs="Arial"/>
          <w:i/>
          <w:iCs/>
          <w:color w:val="000000" w:themeColor="text1"/>
        </w:rPr>
        <w:t xml:space="preserve">Ρ </w:t>
      </w:r>
      <w:r w:rsidR="00D516CF"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0.003), disease flares (</w:t>
      </w:r>
      <w:r w:rsidR="00AB78C6" w:rsidRPr="00D07897">
        <w:rPr>
          <w:rFonts w:ascii="Book Antiqua" w:hAnsi="Book Antiqua" w:cs="Arial"/>
          <w:color w:val="000000" w:themeColor="text1"/>
        </w:rPr>
        <w:t xml:space="preserve">ρ </w:t>
      </w:r>
      <w:r w:rsidR="00D516CF"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 xml:space="preserve">0.299, </w:t>
      </w:r>
      <w:r w:rsidR="00AB78C6" w:rsidRPr="00D07897">
        <w:rPr>
          <w:rFonts w:ascii="Book Antiqua" w:hAnsi="Book Antiqua" w:cs="Arial"/>
          <w:i/>
          <w:iCs/>
          <w:color w:val="000000" w:themeColor="text1"/>
        </w:rPr>
        <w:t xml:space="preserve">Ρ </w:t>
      </w:r>
      <w:r w:rsidR="00614A66"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0.030), disease complications (ρ</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 xml:space="preserve">0.333, </w:t>
      </w:r>
      <w:r w:rsidR="00AB78C6" w:rsidRPr="00D07897">
        <w:rPr>
          <w:rFonts w:ascii="Book Antiqua" w:hAnsi="Book Antiqua" w:cs="Arial"/>
          <w:i/>
          <w:iCs/>
          <w:color w:val="000000" w:themeColor="text1"/>
        </w:rPr>
        <w:t>Ρ</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0.015)</w:t>
      </w:r>
      <w:r w:rsidR="008817C2" w:rsidRPr="00D07897">
        <w:rPr>
          <w:rFonts w:ascii="Book Antiqua" w:hAnsi="Book Antiqua" w:cs="Arial"/>
          <w:color w:val="000000" w:themeColor="text1"/>
        </w:rPr>
        <w:t>,</w:t>
      </w:r>
      <w:r w:rsidR="00D516CF" w:rsidRPr="00D07897">
        <w:rPr>
          <w:rFonts w:ascii="Book Antiqua" w:hAnsi="Book Antiqua" w:cs="Arial"/>
          <w:color w:val="000000" w:themeColor="text1"/>
        </w:rPr>
        <w:t xml:space="preserve"> and need for surgery (ρ</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 xml:space="preserve">0.371, </w:t>
      </w:r>
      <w:r w:rsidR="00AB78C6" w:rsidRPr="00D07897">
        <w:rPr>
          <w:rFonts w:ascii="Book Antiqua" w:hAnsi="Book Antiqua" w:cs="Arial"/>
          <w:i/>
          <w:iCs/>
          <w:color w:val="000000" w:themeColor="text1"/>
        </w:rPr>
        <w:t xml:space="preserve">Ρ </w:t>
      </w:r>
      <w:r w:rsidR="00D516CF"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0.006)</w:t>
      </w:r>
      <w:r w:rsidR="00973889"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00973889"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[8]</w:t>
      </w:r>
      <w:r w:rsidR="00973889" w:rsidRPr="00D07897">
        <w:rPr>
          <w:rFonts w:ascii="Book Antiqua" w:hAnsi="Book Antiqua" w:cs="Arial"/>
          <w:color w:val="000000" w:themeColor="text1"/>
        </w:rPr>
        <w:fldChar w:fldCharType="end"/>
      </w:r>
      <w:r w:rsidR="00D516CF" w:rsidRPr="00D07897">
        <w:rPr>
          <w:rFonts w:ascii="Book Antiqua" w:hAnsi="Book Antiqua" w:cs="Arial"/>
          <w:color w:val="000000" w:themeColor="text1"/>
        </w:rPr>
        <w:t xml:space="preserve">. </w:t>
      </w:r>
      <w:r w:rsidR="00F8249C" w:rsidRPr="00D07897">
        <w:rPr>
          <w:rFonts w:ascii="Book Antiqua" w:hAnsi="Book Antiqua" w:cs="Arial"/>
          <w:color w:val="000000" w:themeColor="text1"/>
        </w:rPr>
        <w:t xml:space="preserve">Interestingly, the </w:t>
      </w:r>
      <w:r w:rsidR="00DE68F2" w:rsidRPr="00D07897">
        <w:rPr>
          <w:rFonts w:ascii="Book Antiqua" w:hAnsi="Book Antiqua" w:cs="Arial"/>
          <w:color w:val="000000" w:themeColor="text1"/>
        </w:rPr>
        <w:t>study did not find a</w:t>
      </w:r>
      <w:r w:rsidR="0088264E"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 xml:space="preserve">significant association between MIRT and CDAI or </w:t>
      </w:r>
      <w:r w:rsidR="006E7C6A" w:rsidRPr="00D07897">
        <w:rPr>
          <w:rFonts w:ascii="Book Antiqua" w:hAnsi="Book Antiqua" w:cs="Arial"/>
          <w:color w:val="000000" w:themeColor="text1"/>
        </w:rPr>
        <w:t>Harvey-Bradshaw index (</w:t>
      </w:r>
      <w:r w:rsidR="00D516CF" w:rsidRPr="00D07897">
        <w:rPr>
          <w:rFonts w:ascii="Book Antiqua" w:hAnsi="Book Antiqua" w:cs="Arial"/>
          <w:color w:val="000000" w:themeColor="text1"/>
        </w:rPr>
        <w:t>HBI</w:t>
      </w:r>
      <w:r w:rsidR="006E7C6A" w:rsidRPr="00D07897">
        <w:rPr>
          <w:rFonts w:ascii="Book Antiqua" w:hAnsi="Book Antiqua" w:cs="Arial"/>
          <w:color w:val="000000" w:themeColor="text1"/>
        </w:rPr>
        <w:t>)</w:t>
      </w:r>
      <w:r w:rsidR="00D516CF" w:rsidRPr="00D07897">
        <w:rPr>
          <w:rFonts w:ascii="Book Antiqua" w:hAnsi="Book Antiqua" w:cs="Arial"/>
          <w:color w:val="000000" w:themeColor="text1"/>
        </w:rPr>
        <w:t xml:space="preserve"> scores </w:t>
      </w:r>
      <w:r w:rsidR="00DE68F2" w:rsidRPr="00D07897">
        <w:rPr>
          <w:rFonts w:ascii="Book Antiqua" w:hAnsi="Book Antiqua" w:cs="Arial"/>
          <w:color w:val="000000" w:themeColor="text1"/>
        </w:rPr>
        <w:t xml:space="preserve">at 6 </w:t>
      </w:r>
      <w:proofErr w:type="spellStart"/>
      <w:r w:rsidR="00DE68F2" w:rsidRPr="00D07897">
        <w:rPr>
          <w:rFonts w:ascii="Book Antiqua" w:hAnsi="Book Antiqua" w:cs="Arial"/>
          <w:color w:val="000000" w:themeColor="text1"/>
        </w:rPr>
        <w:t>mo</w:t>
      </w:r>
      <w:proofErr w:type="spellEnd"/>
      <w:r w:rsidR="00DE68F2" w:rsidRPr="00D07897">
        <w:rPr>
          <w:rFonts w:ascii="Book Antiqua" w:hAnsi="Book Antiqua" w:cs="Arial"/>
          <w:color w:val="000000" w:themeColor="text1"/>
        </w:rPr>
        <w:t xml:space="preserve"> </w:t>
      </w:r>
      <w:r w:rsidR="00D516CF" w:rsidRPr="00D07897">
        <w:rPr>
          <w:rFonts w:ascii="Book Antiqua" w:hAnsi="Book Antiqua" w:cs="Arial"/>
          <w:color w:val="000000" w:themeColor="text1"/>
        </w:rPr>
        <w:t>(</w:t>
      </w:r>
      <w:r w:rsidR="00AB78C6" w:rsidRPr="00D07897">
        <w:rPr>
          <w:rFonts w:ascii="Book Antiqua" w:hAnsi="Book Antiqua" w:cs="Arial"/>
          <w:i/>
          <w:iCs/>
          <w:color w:val="000000" w:themeColor="text1"/>
        </w:rPr>
        <w:t xml:space="preserve">Ρ </w:t>
      </w:r>
      <w:r w:rsidR="00552C67" w:rsidRPr="00D07897">
        <w:rPr>
          <w:rFonts w:ascii="Book Antiqua" w:hAnsi="Book Antiqua" w:cs="Arial"/>
          <w:color w:val="000000" w:themeColor="text1"/>
        </w:rPr>
        <w:t>=</w:t>
      </w:r>
      <w:r w:rsidR="00AB78C6" w:rsidRPr="00D07897">
        <w:rPr>
          <w:rFonts w:ascii="Book Antiqua" w:hAnsi="Book Antiqua" w:cs="Arial"/>
          <w:color w:val="000000" w:themeColor="text1"/>
        </w:rPr>
        <w:t xml:space="preserve"> </w:t>
      </w:r>
      <w:r w:rsidR="00552C67" w:rsidRPr="00D07897">
        <w:rPr>
          <w:rFonts w:ascii="Book Antiqua" w:hAnsi="Book Antiqua" w:cs="Arial"/>
          <w:color w:val="000000" w:themeColor="text1"/>
        </w:rPr>
        <w:t>0.077 and 0.195 respectively)</w:t>
      </w:r>
      <w:r w:rsidR="00973889"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00973889"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[8]</w:t>
      </w:r>
      <w:r w:rsidR="00973889" w:rsidRPr="00D07897">
        <w:rPr>
          <w:rFonts w:ascii="Book Antiqua" w:hAnsi="Book Antiqua" w:cs="Arial"/>
          <w:color w:val="000000" w:themeColor="text1"/>
        </w:rPr>
        <w:fldChar w:fldCharType="end"/>
      </w:r>
      <w:r w:rsidR="00C10906" w:rsidRPr="00D07897">
        <w:rPr>
          <w:rFonts w:ascii="Book Antiqua" w:hAnsi="Book Antiqua" w:cs="Arial"/>
          <w:color w:val="000000" w:themeColor="text1"/>
        </w:rPr>
        <w:t xml:space="preserve"> </w:t>
      </w:r>
      <w:r w:rsidR="00C10906" w:rsidRPr="00D07897">
        <w:rPr>
          <w:rFonts w:ascii="Book Antiqua" w:hAnsi="Book Antiqua" w:cs="Arial"/>
          <w:iCs/>
          <w:color w:val="000000" w:themeColor="text1"/>
        </w:rPr>
        <w:t>(Table 7)</w:t>
      </w:r>
      <w:r w:rsidR="00552C67" w:rsidRPr="00D07897">
        <w:rPr>
          <w:rFonts w:ascii="Book Antiqua" w:hAnsi="Book Antiqua" w:cs="Arial"/>
          <w:color w:val="000000" w:themeColor="text1"/>
        </w:rPr>
        <w:t>.</w:t>
      </w:r>
    </w:p>
    <w:p w14:paraId="188D0872" w14:textId="70F8C1CB" w:rsidR="00552C67" w:rsidRPr="00D07897" w:rsidRDefault="00552C67" w:rsidP="00B94984">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t xml:space="preserve">NRS-2002 </w:t>
      </w:r>
      <w:r w:rsidR="00A02724" w:rsidRPr="00D07897">
        <w:rPr>
          <w:rFonts w:ascii="Book Antiqua" w:hAnsi="Book Antiqua" w:cs="Arial"/>
          <w:color w:val="000000" w:themeColor="text1"/>
        </w:rPr>
        <w:t>(scores ≥</w:t>
      </w:r>
      <w:r w:rsidR="00B94984" w:rsidRPr="00D07897">
        <w:rPr>
          <w:rFonts w:ascii="Book Antiqua" w:hAnsi="Book Antiqua" w:cs="Arial"/>
          <w:color w:val="000000" w:themeColor="text1"/>
        </w:rPr>
        <w:t xml:space="preserve"> </w:t>
      </w:r>
      <w:r w:rsidR="00A02724" w:rsidRPr="00D07897">
        <w:rPr>
          <w:rFonts w:ascii="Book Antiqua" w:hAnsi="Book Antiqua" w:cs="Arial"/>
          <w:color w:val="000000" w:themeColor="text1"/>
        </w:rPr>
        <w:t xml:space="preserve">3 </w:t>
      </w:r>
      <w:r w:rsidR="00A02724" w:rsidRPr="00D07897">
        <w:rPr>
          <w:rFonts w:ascii="Book Antiqua" w:hAnsi="Book Antiqua" w:cs="Arial"/>
          <w:i/>
          <w:iCs/>
          <w:color w:val="000000" w:themeColor="text1"/>
        </w:rPr>
        <w:t>vs</w:t>
      </w:r>
      <w:r w:rsidR="00A02724" w:rsidRPr="00D07897">
        <w:rPr>
          <w:rFonts w:ascii="Book Antiqua" w:hAnsi="Book Antiqua" w:cs="Arial"/>
          <w:color w:val="000000" w:themeColor="text1"/>
        </w:rPr>
        <w:t xml:space="preserve"> ≤</w:t>
      </w:r>
      <w:r w:rsidR="00B94984" w:rsidRPr="00D07897">
        <w:rPr>
          <w:rFonts w:ascii="Book Antiqua" w:hAnsi="Book Antiqua" w:cs="Arial"/>
          <w:color w:val="000000" w:themeColor="text1"/>
        </w:rPr>
        <w:t xml:space="preserve"> </w:t>
      </w:r>
      <w:r w:rsidR="00A02724" w:rsidRPr="00D07897">
        <w:rPr>
          <w:rFonts w:ascii="Book Antiqua" w:hAnsi="Book Antiqua" w:cs="Arial"/>
          <w:color w:val="000000" w:themeColor="text1"/>
        </w:rPr>
        <w:t xml:space="preserve">2) </w:t>
      </w:r>
      <w:r w:rsidR="00697D20" w:rsidRPr="00D07897">
        <w:rPr>
          <w:rFonts w:ascii="Book Antiqua" w:hAnsi="Book Antiqua" w:cs="Arial"/>
          <w:color w:val="000000" w:themeColor="text1"/>
        </w:rPr>
        <w:t xml:space="preserve">significantly </w:t>
      </w:r>
      <w:r w:rsidRPr="00D07897">
        <w:rPr>
          <w:rFonts w:ascii="Book Antiqua" w:hAnsi="Book Antiqua" w:cs="Arial"/>
          <w:color w:val="000000" w:themeColor="text1"/>
        </w:rPr>
        <w:t>predict</w:t>
      </w:r>
      <w:r w:rsidR="00697D20" w:rsidRPr="00D07897">
        <w:rPr>
          <w:rFonts w:ascii="Book Antiqua" w:hAnsi="Book Antiqua" w:cs="Arial"/>
          <w:color w:val="000000" w:themeColor="text1"/>
        </w:rPr>
        <w:t>ed</w:t>
      </w:r>
      <w:r w:rsidRPr="00D07897">
        <w:rPr>
          <w:rFonts w:ascii="Book Antiqua" w:hAnsi="Book Antiqua" w:cs="Arial"/>
          <w:color w:val="000000" w:themeColor="text1"/>
        </w:rPr>
        <w:t xml:space="preserve"> </w:t>
      </w:r>
      <w:r w:rsidR="00F47E20" w:rsidRPr="00D07897">
        <w:rPr>
          <w:rFonts w:ascii="Book Antiqua" w:hAnsi="Book Antiqua" w:cs="Arial"/>
          <w:color w:val="000000" w:themeColor="text1"/>
        </w:rPr>
        <w:t xml:space="preserve">hospital </w:t>
      </w:r>
      <w:r w:rsidRPr="00D07897">
        <w:rPr>
          <w:rFonts w:ascii="Book Antiqua" w:hAnsi="Book Antiqua" w:cs="Arial"/>
          <w:color w:val="000000" w:themeColor="text1"/>
        </w:rPr>
        <w:t>length of stay</w:t>
      </w:r>
      <w:r w:rsidR="00697D20" w:rsidRPr="00D07897">
        <w:rPr>
          <w:rFonts w:ascii="Book Antiqua" w:hAnsi="Book Antiqua" w:cs="Arial"/>
          <w:color w:val="000000" w:themeColor="text1"/>
        </w:rPr>
        <w:t xml:space="preserve"> (</w:t>
      </w:r>
      <w:r w:rsidR="00B94984" w:rsidRPr="00D07897">
        <w:rPr>
          <w:rFonts w:ascii="Book Antiqua" w:hAnsi="Book Antiqua" w:cs="Arial"/>
          <w:i/>
          <w:iCs/>
          <w:color w:val="000000" w:themeColor="text1"/>
        </w:rPr>
        <w:t xml:space="preserve">Ρ </w:t>
      </w:r>
      <w:r w:rsidR="00697D20" w:rsidRPr="00D07897">
        <w:rPr>
          <w:rFonts w:ascii="Book Antiqua" w:hAnsi="Book Antiqua" w:cs="Arial"/>
          <w:color w:val="000000" w:themeColor="text1"/>
        </w:rPr>
        <w:t>=</w:t>
      </w:r>
      <w:r w:rsidR="00B94984" w:rsidRPr="00D07897">
        <w:rPr>
          <w:rFonts w:ascii="Book Antiqua" w:hAnsi="Book Antiqua" w:cs="Arial"/>
          <w:color w:val="000000" w:themeColor="text1"/>
        </w:rPr>
        <w:t xml:space="preserve"> </w:t>
      </w:r>
      <w:r w:rsidR="00697D20" w:rsidRPr="00D07897">
        <w:rPr>
          <w:rFonts w:ascii="Book Antiqua" w:hAnsi="Book Antiqua" w:cs="Arial"/>
          <w:color w:val="000000" w:themeColor="text1"/>
        </w:rPr>
        <w:t>0.032)</w:t>
      </w:r>
      <w:r w:rsidRPr="00D07897">
        <w:rPr>
          <w:rFonts w:ascii="Book Antiqua" w:hAnsi="Book Antiqua" w:cs="Arial"/>
          <w:color w:val="000000" w:themeColor="text1"/>
        </w:rPr>
        <w:t xml:space="preserve">, however </w:t>
      </w:r>
      <w:r w:rsidR="00697D20" w:rsidRPr="00D07897">
        <w:rPr>
          <w:rFonts w:ascii="Book Antiqua" w:hAnsi="Book Antiqua" w:cs="Arial"/>
          <w:color w:val="000000" w:themeColor="text1"/>
        </w:rPr>
        <w:t>did not significantly predict</w:t>
      </w:r>
      <w:r w:rsidRPr="00D07897">
        <w:rPr>
          <w:rFonts w:ascii="Book Antiqua" w:hAnsi="Book Antiqua" w:cs="Arial"/>
          <w:color w:val="000000" w:themeColor="text1"/>
        </w:rPr>
        <w:t xml:space="preserve"> the need for surgery (</w:t>
      </w:r>
      <w:r w:rsidR="00B94984" w:rsidRPr="00D07897">
        <w:rPr>
          <w:rFonts w:ascii="Book Antiqua" w:hAnsi="Book Antiqua" w:cs="Arial"/>
          <w:i/>
          <w:iCs/>
          <w:color w:val="000000" w:themeColor="text1"/>
        </w:rPr>
        <w:t xml:space="preserve">Ρ </w:t>
      </w:r>
      <w:r w:rsidRPr="00D07897">
        <w:rPr>
          <w:rFonts w:ascii="Book Antiqua" w:hAnsi="Book Antiqua" w:cs="Arial"/>
          <w:color w:val="000000" w:themeColor="text1"/>
        </w:rPr>
        <w:t>=</w:t>
      </w:r>
      <w:r w:rsidR="00B94984" w:rsidRPr="00D07897">
        <w:rPr>
          <w:rFonts w:ascii="Book Antiqua" w:hAnsi="Book Antiqua" w:cs="Arial"/>
          <w:color w:val="000000" w:themeColor="text1"/>
        </w:rPr>
        <w:t xml:space="preserve"> </w:t>
      </w:r>
      <w:r w:rsidRPr="00D07897">
        <w:rPr>
          <w:rFonts w:ascii="Book Antiqua" w:hAnsi="Book Antiqua" w:cs="Arial"/>
          <w:color w:val="000000" w:themeColor="text1"/>
        </w:rPr>
        <w:t>0.109)</w:t>
      </w:r>
      <w:r w:rsidR="00814E0A"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814E0A"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[13]</w:t>
      </w:r>
      <w:r w:rsidR="00814E0A" w:rsidRPr="00D07897">
        <w:rPr>
          <w:rFonts w:ascii="Book Antiqua" w:hAnsi="Book Antiqua" w:cs="Arial"/>
          <w:color w:val="000000" w:themeColor="text1"/>
        </w:rPr>
        <w:fldChar w:fldCharType="end"/>
      </w:r>
      <w:r w:rsidRPr="00D07897">
        <w:rPr>
          <w:rFonts w:ascii="Book Antiqua" w:hAnsi="Book Antiqua" w:cs="Arial"/>
          <w:color w:val="000000" w:themeColor="text1"/>
        </w:rPr>
        <w:t xml:space="preserve">. </w:t>
      </w:r>
      <w:r w:rsidR="00E12C42" w:rsidRPr="00D07897">
        <w:rPr>
          <w:rFonts w:ascii="Book Antiqua" w:hAnsi="Book Antiqua" w:cs="Arial"/>
          <w:color w:val="000000" w:themeColor="text1"/>
        </w:rPr>
        <w:t>A h</w:t>
      </w:r>
      <w:r w:rsidRPr="00D07897">
        <w:rPr>
          <w:rFonts w:ascii="Book Antiqua" w:hAnsi="Book Antiqua" w:cs="Arial"/>
          <w:color w:val="000000" w:themeColor="text1"/>
        </w:rPr>
        <w:t>igh NRI score (&gt;</w:t>
      </w:r>
      <w:r w:rsidR="00B94984" w:rsidRPr="00D07897">
        <w:rPr>
          <w:rFonts w:ascii="Book Antiqua" w:hAnsi="Book Antiqua" w:cs="Arial"/>
          <w:color w:val="000000" w:themeColor="text1"/>
        </w:rPr>
        <w:t xml:space="preserve"> </w:t>
      </w:r>
      <w:r w:rsidRPr="00D07897">
        <w:rPr>
          <w:rFonts w:ascii="Book Antiqua" w:hAnsi="Book Antiqua" w:cs="Arial"/>
          <w:color w:val="000000" w:themeColor="text1"/>
        </w:rPr>
        <w:t xml:space="preserve">97.5) </w:t>
      </w:r>
      <w:r w:rsidR="00697D20" w:rsidRPr="00D07897">
        <w:rPr>
          <w:rFonts w:ascii="Book Antiqua" w:hAnsi="Book Antiqua" w:cs="Arial"/>
          <w:color w:val="000000" w:themeColor="text1"/>
        </w:rPr>
        <w:t xml:space="preserve">significantly </w:t>
      </w:r>
      <w:r w:rsidRPr="00D07897">
        <w:rPr>
          <w:rFonts w:ascii="Book Antiqua" w:hAnsi="Book Antiqua" w:cs="Arial"/>
          <w:color w:val="000000" w:themeColor="text1"/>
        </w:rPr>
        <w:t>predict</w:t>
      </w:r>
      <w:r w:rsidR="00697D20" w:rsidRPr="00D07897">
        <w:rPr>
          <w:rFonts w:ascii="Book Antiqua" w:hAnsi="Book Antiqua" w:cs="Arial"/>
          <w:color w:val="000000" w:themeColor="text1"/>
        </w:rPr>
        <w:t>ed</w:t>
      </w:r>
      <w:r w:rsidRPr="00D07897">
        <w:rPr>
          <w:rFonts w:ascii="Book Antiqua" w:hAnsi="Book Antiqua" w:cs="Arial"/>
          <w:color w:val="000000" w:themeColor="text1"/>
        </w:rPr>
        <w:t xml:space="preserve"> response to infliximab among CD patients (</w:t>
      </w:r>
      <w:r w:rsidR="00B94984" w:rsidRPr="00D07897">
        <w:rPr>
          <w:rFonts w:ascii="Book Antiqua" w:hAnsi="Book Antiqua" w:cs="Arial"/>
          <w:i/>
          <w:iCs/>
          <w:color w:val="000000" w:themeColor="text1"/>
        </w:rPr>
        <w:t>Ρ</w:t>
      </w:r>
      <w:r w:rsidR="00B94984"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B94984" w:rsidRPr="00D07897">
        <w:rPr>
          <w:rFonts w:ascii="Book Antiqua" w:hAnsi="Book Antiqua" w:cs="Arial"/>
          <w:color w:val="000000" w:themeColor="text1"/>
        </w:rPr>
        <w:t xml:space="preserve"> </w:t>
      </w:r>
      <w:r w:rsidRPr="00D07897">
        <w:rPr>
          <w:rFonts w:ascii="Book Antiqua" w:hAnsi="Book Antiqua" w:cs="Arial"/>
          <w:color w:val="000000" w:themeColor="text1"/>
        </w:rPr>
        <w:t>0.037)</w:t>
      </w:r>
      <w:r w:rsidR="00814E0A"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today","id":"ITEM-1","issue":"8","issued":{"date-parts":[["2016"]]},"page":"922-929","publisher-place":"Japan","title":"Influence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[27]&lt;/sup&gt;","plainTextFormattedCitation":"[27]","previouslyFormattedCitation":"&lt;sup&gt;[26]&lt;/sup&gt;"},"properties":{"noteIndex":0},"schema":"https://github.com/citation-style-language/schema/raw/master/csl-citation.json"}</w:instrText>
      </w:r>
      <w:r w:rsidR="00814E0A"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[27]</w:t>
      </w:r>
      <w:r w:rsidR="00814E0A" w:rsidRPr="00D07897">
        <w:rPr>
          <w:rFonts w:ascii="Book Antiqua" w:hAnsi="Book Antiqua" w:cs="Arial"/>
          <w:color w:val="000000" w:themeColor="text1"/>
        </w:rPr>
        <w:fldChar w:fldCharType="end"/>
      </w:r>
      <w:r w:rsidRPr="00D07897">
        <w:rPr>
          <w:rFonts w:ascii="Book Antiqua" w:hAnsi="Book Antiqua" w:cs="Arial"/>
          <w:color w:val="000000" w:themeColor="text1"/>
        </w:rPr>
        <w:t>.</w:t>
      </w:r>
      <w:r w:rsidR="00B94984" w:rsidRPr="00D07897">
        <w:rPr>
          <w:rFonts w:ascii="Book Antiqua" w:eastAsia="等线" w:hAnsi="Book Antiqua" w:cs="Arial" w:hint="eastAsia"/>
          <w:color w:val="000000" w:themeColor="text1"/>
          <w:lang w:eastAsia="zh-CN"/>
        </w:rPr>
        <w:t xml:space="preserve"> </w:t>
      </w:r>
      <w:r w:rsidRPr="00D07897">
        <w:rPr>
          <w:rFonts w:ascii="Book Antiqua" w:hAnsi="Book Antiqua" w:cs="Arial"/>
          <w:color w:val="000000" w:themeColor="text1"/>
        </w:rPr>
        <w:t xml:space="preserve">MUST was examined in only one study </w:t>
      </w:r>
      <w:r w:rsidR="00DE68F2" w:rsidRPr="00D07897">
        <w:rPr>
          <w:rFonts w:ascii="Book Antiqua" w:hAnsi="Book Antiqua" w:cs="Arial"/>
          <w:color w:val="000000" w:themeColor="text1"/>
        </w:rPr>
        <w:t>and showed a trend towards significance in predicting length of stay (</w:t>
      </w:r>
      <w:r w:rsidR="00B94984" w:rsidRPr="00D07897">
        <w:rPr>
          <w:rFonts w:ascii="Book Antiqua" w:hAnsi="Book Antiqua" w:cs="Arial"/>
          <w:i/>
          <w:iCs/>
          <w:color w:val="000000" w:themeColor="text1"/>
        </w:rPr>
        <w:t xml:space="preserve">Ρ </w:t>
      </w:r>
      <w:r w:rsidR="00DE68F2" w:rsidRPr="00D07897">
        <w:rPr>
          <w:rFonts w:ascii="Book Antiqua" w:hAnsi="Book Antiqua" w:cs="Arial"/>
          <w:color w:val="000000" w:themeColor="text1"/>
        </w:rPr>
        <w:t>=</w:t>
      </w:r>
      <w:r w:rsidR="00B94984" w:rsidRPr="00D07897">
        <w:rPr>
          <w:rFonts w:ascii="Book Antiqua" w:hAnsi="Book Antiqua" w:cs="Arial"/>
          <w:color w:val="000000" w:themeColor="text1"/>
        </w:rPr>
        <w:t xml:space="preserve"> </w:t>
      </w:r>
      <w:r w:rsidR="00DE68F2" w:rsidRPr="00D07897">
        <w:rPr>
          <w:rFonts w:ascii="Book Antiqua" w:hAnsi="Book Antiqua" w:cs="Arial"/>
          <w:color w:val="000000" w:themeColor="text1"/>
        </w:rPr>
        <w:t>0.058) and had no significance in predicting need for intestinal resection</w:t>
      </w:r>
      <w:r w:rsidRPr="00D07897">
        <w:rPr>
          <w:rFonts w:ascii="Book Antiqua" w:hAnsi="Book Antiqua" w:cs="Arial"/>
          <w:color w:val="000000" w:themeColor="text1"/>
        </w:rPr>
        <w:t xml:space="preserve"> (</w:t>
      </w:r>
      <w:r w:rsidR="00B94984" w:rsidRPr="00D07897">
        <w:rPr>
          <w:rFonts w:ascii="Book Antiqua" w:hAnsi="Book Antiqua" w:cs="Arial"/>
          <w:i/>
          <w:iCs/>
          <w:color w:val="000000" w:themeColor="text1"/>
        </w:rPr>
        <w:t xml:space="preserve">Ρ </w:t>
      </w:r>
      <w:r w:rsidRPr="00D07897">
        <w:rPr>
          <w:rFonts w:ascii="Book Antiqua" w:hAnsi="Book Antiqua" w:cs="Arial"/>
          <w:color w:val="000000" w:themeColor="text1"/>
        </w:rPr>
        <w:t>=</w:t>
      </w:r>
      <w:r w:rsidR="00B94984" w:rsidRPr="00D07897">
        <w:rPr>
          <w:rFonts w:ascii="Book Antiqua" w:hAnsi="Book Antiqua" w:cs="Arial"/>
          <w:color w:val="000000" w:themeColor="text1"/>
        </w:rPr>
        <w:t xml:space="preserve"> </w:t>
      </w:r>
      <w:r w:rsidRPr="00D07897">
        <w:rPr>
          <w:rFonts w:ascii="Book Antiqua" w:hAnsi="Book Antiqua" w:cs="Arial"/>
          <w:color w:val="000000" w:themeColor="text1"/>
        </w:rPr>
        <w:t>0.314</w:t>
      </w:r>
      <w:r w:rsidR="00A93AEE" w:rsidRPr="00D07897">
        <w:rPr>
          <w:rFonts w:ascii="Book Antiqua" w:hAnsi="Book Antiqua" w:cs="Arial"/>
          <w:color w:val="000000" w:themeColor="text1"/>
        </w:rPr>
        <w:t>)</w:t>
      </w:r>
      <w:r w:rsidR="00814E0A"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814E0A"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[13]</w:t>
      </w:r>
      <w:r w:rsidR="00814E0A" w:rsidRPr="00D07897">
        <w:rPr>
          <w:rFonts w:ascii="Book Antiqua" w:hAnsi="Book Antiqua" w:cs="Arial"/>
          <w:color w:val="000000" w:themeColor="text1"/>
        </w:rPr>
        <w:fldChar w:fldCharType="end"/>
      </w:r>
      <w:r w:rsidR="00C10906" w:rsidRPr="00D07897">
        <w:rPr>
          <w:rFonts w:ascii="Book Antiqua" w:hAnsi="Book Antiqua" w:cs="Arial"/>
          <w:color w:val="000000" w:themeColor="text1"/>
        </w:rPr>
        <w:t xml:space="preserve"> </w:t>
      </w:r>
      <w:r w:rsidR="00C10906" w:rsidRPr="00D07897">
        <w:rPr>
          <w:rFonts w:ascii="Book Antiqua" w:hAnsi="Book Antiqua" w:cs="Arial"/>
          <w:iCs/>
          <w:color w:val="000000" w:themeColor="text1"/>
        </w:rPr>
        <w:t>(Table S3)</w:t>
      </w:r>
      <w:r w:rsidRPr="00D07897">
        <w:rPr>
          <w:rFonts w:ascii="Book Antiqua" w:hAnsi="Book Antiqua" w:cs="Arial"/>
          <w:color w:val="000000" w:themeColor="text1"/>
        </w:rPr>
        <w:t>.</w:t>
      </w:r>
    </w:p>
    <w:p w14:paraId="7589ADAA" w14:textId="77777777" w:rsidR="00552C67" w:rsidRPr="00D07897" w:rsidRDefault="00552C67" w:rsidP="00F96F15">
      <w:pPr>
        <w:spacing w:line="360" w:lineRule="auto"/>
        <w:jc w:val="both"/>
        <w:rPr>
          <w:rFonts w:ascii="Book Antiqua" w:hAnsi="Book Antiqua" w:cs="Arial"/>
          <w:color w:val="000000" w:themeColor="text1"/>
        </w:rPr>
      </w:pPr>
    </w:p>
    <w:p w14:paraId="3DD85210" w14:textId="47ACBF61" w:rsidR="005E6ECD" w:rsidRPr="00D07897" w:rsidRDefault="00B147EA" w:rsidP="00F96F15">
      <w:pPr>
        <w:spacing w:line="360" w:lineRule="auto"/>
        <w:jc w:val="both"/>
        <w:rPr>
          <w:rFonts w:ascii="Book Antiqua" w:hAnsi="Book Antiqua" w:cs="Arial"/>
          <w:b/>
          <w:bCs/>
          <w:color w:val="000000" w:themeColor="text1"/>
        </w:rPr>
      </w:pPr>
      <w:r w:rsidRPr="00D07897">
        <w:rPr>
          <w:rFonts w:ascii="Book Antiqua" w:hAnsi="Book Antiqua" w:cs="Arial"/>
          <w:b/>
          <w:bCs/>
          <w:i/>
          <w:color w:val="000000" w:themeColor="text1"/>
        </w:rPr>
        <w:t>Were</w:t>
      </w:r>
      <w:r w:rsidR="005D1F17" w:rsidRPr="00D07897">
        <w:rPr>
          <w:rFonts w:ascii="Book Antiqua" w:hAnsi="Book Antiqua" w:cs="Arial"/>
          <w:b/>
          <w:bCs/>
          <w:i/>
          <w:color w:val="000000" w:themeColor="text1"/>
        </w:rPr>
        <w:t xml:space="preserve"> </w:t>
      </w:r>
      <w:r w:rsidR="00B94984" w:rsidRPr="00D07897">
        <w:rPr>
          <w:rFonts w:ascii="Book Antiqua" w:hAnsi="Book Antiqua" w:cs="Arial"/>
          <w:b/>
          <w:bCs/>
          <w:i/>
          <w:color w:val="000000" w:themeColor="text1"/>
        </w:rPr>
        <w:t>nutrition assessment tools associated with clinical outcomes</w:t>
      </w:r>
      <w:r w:rsidR="005D1F17" w:rsidRPr="00D07897">
        <w:rPr>
          <w:rFonts w:ascii="Book Antiqua" w:hAnsi="Book Antiqua" w:cs="Arial"/>
          <w:b/>
          <w:bCs/>
          <w:i/>
          <w:color w:val="000000" w:themeColor="text1"/>
        </w:rPr>
        <w:t>?</w:t>
      </w:r>
      <w:r w:rsidR="00BF6091" w:rsidRPr="00D07897">
        <w:rPr>
          <w:rFonts w:ascii="Book Antiqua" w:hAnsi="Book Antiqua" w:cs="Arial"/>
          <w:b/>
          <w:bCs/>
          <w:i/>
          <w:color w:val="000000" w:themeColor="text1"/>
        </w:rPr>
        <w:t xml:space="preserve"> </w:t>
      </w:r>
    </w:p>
    <w:p w14:paraId="3EEAE684" w14:textId="00186EDE" w:rsidR="006A0CCF" w:rsidRPr="00D07897" w:rsidRDefault="000F5BD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Thirteen studies (81.3%) examined NATs for the prediction of clinical outcomes</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Scotland)","id":"ITEM-2","issue":"6","issued":{"date-parts":[["2017","12"]]},"language":"eng","page":"1586-1592","publisher-place":"England","title":"Skeletal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colectomy.","type":"article-journal","volume":"36"},"uris":["http://www.mendeley.com/documents/?uuid=289f93c3-ba8a-4a99-af8c-01b5584e14b0"]},{"id":"ITEM-3","itemData":{"DOI":"10.1177/0148607115612054","ISSN":"1941-2444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nutrition","id":"ITEM-3","issue":"4","issued":{"date-parts":[["2017","5"]]},"language":"eng","page":"592-600","publisher-place":"United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Resection.","type":"article-journal","volume":"41"},"uris":["http://www.mendeley.com/documents/?uuid=db984d59-d589-4f73-9f02-3b7ac10b008c"]},{"id":"ITEM-4","itemData":{"DOI":"10.1097/MIB.0000000000001128","ISSN":"1536-4844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diseases","id":"ITEM-4","issue":"7","issued":{"date-parts":[["2017","7"]]},"language":"eng","page":"1182-1186","publisher-place":"United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Surgery.","type":"article-journal","volume":"23"},"uris":["http://www.mendeley.com/documents/?uuid=6b4f2d39-091b-48c7-a8f9-3935125eeaf6"]},{"id":"ITEM-5","itemData":{"DOI":"https://dx.doi.org/10.1111/apt.14018","ISSN":"1365-2036","abstract":"BACKGROUND: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therapeutics","id":"ITEM-5","issue":"9","issued":{"date-parts":[["2017"]]},"page":"1255-1264","publisher-place":"England","title":"Visceral adiposity predicts post-operative Crohn's disease recurrence.","type":"article-journal","volume":"45"},"uris":["http://www.mendeley.com/documents/?uuid=2f42bc0f-c075-4ed5-ae3f-d90c75e83b1a"]},{"id":"ITEM-6","itemData":{"DOI":"https://dx.doi.org/10.1007/s11605-015-2763-x","ISSN":"1873-4626","abstract":"BACKGROUND: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Tract","id":"ITEM-6","issue":"4","issued":{"date-parts":[["2015"]]},"page":"715-721","publisher-place":"United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malnutrition.","type":"article-journal","volume":"19"},"uris":["http://www.mendeley.com/documents/?uuid=bce9beff-5643-45ff-bd09-fffc819a41d0"]},{"id":"ITEM-7","itemData":{"DOI":"10.1159/000485637","ISSN":"1421-9697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metabolism","id":"ITEM-7","issue":"3-4","issued":{"date-parts":[["2017"]]},"language":"eng","page":"266-272","publisher-place":"Switzerland","title":"Nutritional Screening and Clinical Outcome in Hospitalized Patients with Crohn's  Disease.","type":"article-journal","volume":"71"},"uris":["http://www.mendeley.com/documents/?uuid=cd857bcf-f832-4ca4-aa54-3d63c71b8d64"]},{"id":"ITEM-8","itemData":{"DOI":"10.1017/S0007114516003044","ISSN":"1475-2662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nutrition","id":"ITEM-8","issue":"6","issued":{"date-parts":[["2016","9"]]},"language":"eng","page":"1061-1067","publisher-place":"England","title":"Inflammation-driven malnutrition: a new screening tool predicts outcome in Crohn's disease.","type":"article-journal","volume":"116"},"uris":["http://www.mendeley.com/documents/?uuid=7a1220e5-e4f6-481d-b52c-83a9e8be8be2"]},{"id":"ITEM-9","itemData":{"DOI":"10.1097/MIB.0000000000001166","ISSN":"1536-4844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diseases","id":"ITEM-9","issue":"10","issued":{"date-parts":[["2017","10"]]},"language":"eng","page":"1867-1872","publisher-place":"United States","title":"Sarcopenia is a Predictor of Surgical Morbidity in Inflammatory Bowel Disease.","type":"article-journal","volume":"23"},"uris":["http://www.mendeley.com/documents/?uuid=6853f06f-1efd-4924-a01f-3879684bf57f"]},{"id":"ITEM-10","itemData":{"DOI":"10.1093/ecco-jcc/jjy124","ISSN":"1876-4479","abstract":"BACKGROUND AND AIMS: Changes in body composition have been described in patients with Crohn's disease, but their predictive performances on disease evolution remain undefined. The aims of our study were to assess, in patients with Crohn's disease requiring abdominal computed tomography, body composition by computed tomography, and to study the outcome according to various body composition parameters at the time of the computed tomography. METHODS: Patients with Crohn's disease who underwent abdominal computed tomography for suspected complications were retrospectively included. The definition of adverse outcome included death or need for surgery within 6 months of the computed tomography. Skeletal muscle index and visceral and subcutaneous adiposity indexes were calculated from tissue surface areas measured at the third lumbar vertebra, divided by the height squared. RESULTS: The prevalence of underweight was 26.8% and the prevalence of sarcopenia was 33.6%. After gender adjustment, skeletal muscle index tended to be reduced in patients with adverse outcome, compared with patients without surgery or death [p = 0.07]. Moreover, subcutaneous adiposity index and visceral adiposity index were significantly lower in patients with surgery or death [p = 0.009 and p &lt; 0.001, respectively]. These differences were almost equivalent in both genders for the subcutaneous adiposity index but were clearly stronger in men for the visceral adiposity index. CONCLUSIONS: Subcutaneous and visceral adiposity indexes correlate inversely with adverse outcome in patients with Crohn's disease. Alteration of body composition assessed by computed tomography in these patients appears to be a marker of disease severity.","author":[{"dropping-particle":"","family":"Thiberge","given":"Claire","non-dropping-particle":"","parse-names":false,"suffix":""},{"dropping-particle":"","family":"Charpentier","given":"Cloé","non-dropping-particle":"","parse-names":false,"suffix":""},{"dropping-particle":"","family":"Gillibert","given":"André","non-dropping-particle":"","parse-names":false,"suffix":""},{"dropping-particle":"","family":"Modzelewski","given":"Romain","non-dropping-particle":"","parse-names":false,"suffix":""},{"dropping-particle":"","family":"Dacher","given":"Jean-Nicolas","non-dropping-particle":"","parse-names":false,"suffix":""},{"dropping-particle":"","family":"Savoye","given":"Guillaume","non-dropping-particle":"","parse-names":false,"suffix":""},{"dropping-particle":"","family":"Savoye-Collet","given":"Céline","non-dropping-particle":"","parse-names":false,"suffix":""}],"container-title":"Journal of Crohn's &amp; colitis","id":"ITEM-10","issue":"12","issued":{"date-parts":[["2018","11","28"]]},"page":"1429-1437","publisher-place":"England","title":"Lower Subcutaneous or Visceral Adiposity Assessed by Abdominal Computed Tomography Could Predict Adverse Outcome in Patients With Crohn's Disease","type":"article-journal","volume":"12"},"uris":["http://www.mendeley.com/documents/?uuid=24be24ce-8d64-4a00-ba9d-1bda6687be41"]},{"id":"ITEM-11","itemData":{"DOI":"10.1093/ecco-jcc/jjy064","ISSN":"1876-4479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colitis","id":"ITEM-11","issued":{"date-parts":[["2018","5"]]},"language":"eng","publisher-place":"England","title":"Sarcopenia is a Novel Predictor of the Need for Rescue Therapy in Hospitalized Ulcerative Colitis Patients.","type":"article-journal"},"uris":["http://www.mendeley.com/documents/?uuid=e255b58f-95e7-489e-b9af-18a0b87f7525"]},{"id":"ITEM-12","itemData":{"DOI":"10.1186/s41747-018-0072-3","ISSN":"2509-9280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experimental","id":"ITEM-12","issue":"1","issued":{"date-parts":[["2018","11"]]},"language":"eng","page":"37","publisher-place":"England","title":"The impact of sarcopenia and myosteatosis on postoperative outcomes in patients with inflammatory bowel disease.","type":"article-journal","volume":"2"},"uris":["http://www.mendeley.com/documents/?uuid=e0b53979-80b7-49e6-bb0a-439e8ff7d904"]},{"id":"ITEM-13","itemData":{"DOI":"10.1007/s00595-016-1357-x","ISSN":"1436-2813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today","id":"ITEM-13","issue":"1","issued":{"date-parts":[["2017","1"]]},"language":"eng","page":"92-98","publisher-place":"Japan","title":"Impact of sarcopenia on surgical site infection after restorative proctocolectomy for ulcerative colitis.","type":"article-journal","volume":"47"},"uris":["http://www.mendeley.com/documents/?uuid=a3ecc717-75fe-4b70-b40a-518331ec5a8e"]}],"mendeley":{"formattedCitation":"&lt;sup&gt;[8,9,33,34,36,10–13,28,29,31,32]&lt;/sup&gt;","plainTextFormattedCitation":"[8,9,33,34,36,10–13,28,29,31,32]","previouslyFormattedCitation":"&lt;sup&gt;[8,9,32,33,35,10–13,27,28,30,31]&lt;/sup&gt;"},"properties":{"noteIndex":0},"schema":"https://github.com/citation-style-language/schema/raw/master/csl-citation.json"}</w:instrText>
      </w:r>
      <w:r w:rsidRPr="00D07897">
        <w:rPr>
          <w:rFonts w:ascii="Book Antiqua" w:hAnsi="Book Antiqua" w:cs="Arial"/>
          <w:color w:val="000000" w:themeColor="text1"/>
        </w:rPr>
        <w:fldChar w:fldCharType="separate"/>
      </w:r>
      <w:proofErr w:type="gramStart"/>
      <w:r w:rsidR="001B7C5F" w:rsidRPr="00D07897">
        <w:rPr>
          <w:rFonts w:ascii="Book Antiqua" w:hAnsi="Book Antiqua" w:cs="Arial"/>
          <w:noProof/>
          <w:color w:val="000000" w:themeColor="text1"/>
          <w:vertAlign w:val="superscript"/>
        </w:rPr>
        <w:t>[</w:t>
      </w:r>
      <w:r w:rsidR="00B94984" w:rsidRPr="00D07897">
        <w:rPr>
          <w:rFonts w:ascii="Book Antiqua" w:hAnsi="Book Antiqua" w:cs="Arial"/>
          <w:noProof/>
          <w:color w:val="000000" w:themeColor="text1"/>
          <w:vertAlign w:val="superscript"/>
        </w:rPr>
        <w:t>8-13</w:t>
      </w:r>
      <w:r w:rsidR="001B7C5F" w:rsidRPr="00D07897">
        <w:rPr>
          <w:rFonts w:ascii="Book Antiqua" w:hAnsi="Book Antiqua" w:cs="Arial"/>
          <w:noProof/>
          <w:color w:val="000000" w:themeColor="text1"/>
          <w:vertAlign w:val="superscript"/>
        </w:rPr>
        <w:t>,</w:t>
      </w:r>
      <w:r w:rsidR="00B94984" w:rsidRPr="00D07897">
        <w:rPr>
          <w:rFonts w:ascii="Book Antiqua" w:hAnsi="Book Antiqua" w:cs="Arial"/>
          <w:noProof/>
          <w:color w:val="000000" w:themeColor="text1"/>
          <w:vertAlign w:val="superscript"/>
        </w:rPr>
        <w:t>28,29,31-</w:t>
      </w:r>
      <w:r w:rsidR="001B7C5F" w:rsidRPr="00D07897">
        <w:rPr>
          <w:rFonts w:ascii="Book Antiqua" w:hAnsi="Book Antiqua" w:cs="Arial"/>
          <w:noProof/>
          <w:color w:val="000000" w:themeColor="text1"/>
          <w:vertAlign w:val="superscript"/>
        </w:rPr>
        <w:t>34,36]</w:t>
      </w:r>
      <w:r w:rsidRPr="00D07897">
        <w:rPr>
          <w:rFonts w:ascii="Book Antiqua" w:hAnsi="Book Antiqua" w:cs="Arial"/>
          <w:color w:val="000000" w:themeColor="text1"/>
        </w:rPr>
        <w:fldChar w:fldCharType="end"/>
      </w:r>
      <w:r w:rsidRPr="00D07897">
        <w:rPr>
          <w:rFonts w:ascii="Book Antiqua" w:hAnsi="Book Antiqua" w:cs="Arial"/>
          <w:color w:val="000000" w:themeColor="text1"/>
        </w:rPr>
        <w:t>.</w:t>
      </w:r>
      <w:proofErr w:type="gramEnd"/>
      <w:r w:rsidRPr="00D07897">
        <w:rPr>
          <w:rFonts w:ascii="Book Antiqua" w:hAnsi="Book Antiqua" w:cs="Arial"/>
          <w:color w:val="000000" w:themeColor="text1"/>
        </w:rPr>
        <w:t xml:space="preserve"> </w:t>
      </w:r>
      <w:r w:rsidR="00E12C42" w:rsidRPr="00D07897">
        <w:rPr>
          <w:rFonts w:ascii="Book Antiqua" w:hAnsi="Book Antiqua" w:cs="Arial"/>
          <w:color w:val="000000" w:themeColor="text1"/>
        </w:rPr>
        <w:t>The majority of studies (</w:t>
      </w:r>
      <w:r w:rsidR="00F56BD5" w:rsidRPr="00D07897">
        <w:rPr>
          <w:rFonts w:ascii="Book Antiqua" w:hAnsi="Book Antiqua" w:cs="Arial"/>
          <w:color w:val="000000" w:themeColor="text1"/>
        </w:rPr>
        <w:t>11</w:t>
      </w:r>
      <w:r w:rsidR="00E12C42" w:rsidRPr="00D07897">
        <w:rPr>
          <w:rFonts w:ascii="Book Antiqua" w:hAnsi="Book Antiqua" w:cs="Arial"/>
          <w:color w:val="000000" w:themeColor="text1"/>
        </w:rPr>
        <w:t>/</w:t>
      </w:r>
      <w:r w:rsidR="00F56BD5" w:rsidRPr="00D07897">
        <w:rPr>
          <w:rFonts w:ascii="Book Antiqua" w:hAnsi="Book Antiqua" w:cs="Arial"/>
          <w:color w:val="000000" w:themeColor="text1"/>
        </w:rPr>
        <w:t>13</w:t>
      </w:r>
      <w:r w:rsidR="00E12C42" w:rsidRPr="00D07897">
        <w:rPr>
          <w:rFonts w:ascii="Book Antiqua" w:hAnsi="Book Antiqua" w:cs="Arial"/>
          <w:color w:val="000000" w:themeColor="text1"/>
        </w:rPr>
        <w:t xml:space="preserve">) that evaluated </w:t>
      </w:r>
      <w:r w:rsidR="00AD0B8F" w:rsidRPr="00D07897">
        <w:rPr>
          <w:rFonts w:ascii="Book Antiqua" w:hAnsi="Book Antiqua" w:cs="Arial"/>
          <w:color w:val="000000" w:themeColor="text1"/>
        </w:rPr>
        <w:t>NAT</w:t>
      </w:r>
      <w:r w:rsidR="00E12C42" w:rsidRPr="00D07897">
        <w:rPr>
          <w:rFonts w:ascii="Book Antiqua" w:hAnsi="Book Antiqua" w:cs="Arial"/>
          <w:color w:val="000000" w:themeColor="text1"/>
        </w:rPr>
        <w:t>s</w:t>
      </w:r>
      <w:r w:rsidR="00AD0B8F" w:rsidRPr="00D07897">
        <w:rPr>
          <w:rFonts w:ascii="Book Antiqua" w:hAnsi="Book Antiqua" w:cs="Arial"/>
          <w:color w:val="000000" w:themeColor="text1"/>
        </w:rPr>
        <w:t xml:space="preserve"> </w:t>
      </w:r>
      <w:r w:rsidR="00E12C42" w:rsidRPr="00D07897">
        <w:rPr>
          <w:rFonts w:ascii="Book Antiqua" w:hAnsi="Book Antiqua" w:cs="Arial"/>
          <w:color w:val="000000" w:themeColor="text1"/>
        </w:rPr>
        <w:t xml:space="preserve">utilized </w:t>
      </w:r>
      <w:r w:rsidR="00AD0B8F" w:rsidRPr="00D07897">
        <w:rPr>
          <w:rFonts w:ascii="Book Antiqua" w:hAnsi="Book Antiqua" w:cs="Arial"/>
          <w:color w:val="000000" w:themeColor="text1"/>
        </w:rPr>
        <w:lastRenderedPageBreak/>
        <w:t xml:space="preserve">measures of sarcopenia </w:t>
      </w:r>
      <w:r w:rsidR="00AD0B8F" w:rsidRPr="00D07897">
        <w:rPr>
          <w:rFonts w:ascii="Book Antiqua" w:hAnsi="Book Antiqua" w:cs="Arial"/>
          <w:i/>
          <w:iCs/>
          <w:color w:val="000000" w:themeColor="text1"/>
        </w:rPr>
        <w:t>via</w:t>
      </w:r>
      <w:r w:rsidR="00AD0B8F" w:rsidRPr="00D07897">
        <w:rPr>
          <w:rFonts w:ascii="Book Antiqua" w:hAnsi="Book Antiqua" w:cs="Arial"/>
          <w:color w:val="000000" w:themeColor="text1"/>
        </w:rPr>
        <w:t xml:space="preserve"> </w:t>
      </w:r>
      <w:bookmarkStart w:id="56" w:name="_Hlk7423448"/>
      <w:bookmarkStart w:id="57" w:name="OLE_LINK865"/>
      <w:r w:rsidR="00B94984" w:rsidRPr="00D07897">
        <w:rPr>
          <w:rFonts w:ascii="Book Antiqua" w:hAnsi="Book Antiqua"/>
        </w:rPr>
        <w:t>computed tomography</w:t>
      </w:r>
      <w:bookmarkEnd w:id="56"/>
      <w:bookmarkEnd w:id="57"/>
      <w:r w:rsidR="00AD0B8F" w:rsidRPr="00D07897">
        <w:rPr>
          <w:rFonts w:ascii="Book Antiqua" w:hAnsi="Book Antiqua" w:cs="Arial"/>
          <w:color w:val="000000" w:themeColor="text1"/>
        </w:rPr>
        <w:t xml:space="preserve"> of the L3</w:t>
      </w:r>
      <w:r w:rsidR="00F56BD5" w:rsidRPr="00D07897">
        <w:rPr>
          <w:rFonts w:ascii="Book Antiqua" w:hAnsi="Book Antiqua" w:cs="Arial"/>
          <w:color w:val="000000" w:themeColor="text1"/>
        </w:rPr>
        <w:t>/4</w:t>
      </w:r>
      <w:r w:rsidR="00AD0B8F" w:rsidRPr="00D07897">
        <w:rPr>
          <w:rFonts w:ascii="Book Antiqua" w:hAnsi="Book Antiqua" w:cs="Arial"/>
          <w:color w:val="000000" w:themeColor="text1"/>
        </w:rPr>
        <w:t xml:space="preserve"> vertebrae or BIA</w:t>
      </w:r>
      <w:r w:rsidR="003E66A3"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Scotland)","id":"ITEM-2","issue":"6","issued":{"date-parts":[["2017","12"]]},"language":"eng","page":"1586-1592","publisher-place":"England","title":"Skeletal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colectomy.","type":"article-journal","volume":"36"},"uris":["http://www.mendeley.com/documents/?uuid=289f93c3-ba8a-4a99-af8c-01b5584e14b0"]},{"id":"ITEM-3","itemData":{"DOI":"10.1177/0148607115612054","ISSN":"1941-2444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nutrition","id":"ITEM-3","issue":"4","issued":{"date-parts":[["2017","5"]]},"language":"eng","page":"592-600","publisher-place":"United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Resection.","type":"article-journal","volume":"41"},"uris":["http://www.mendeley.com/documents/?uuid=db984d59-d589-4f73-9f02-3b7ac10b008c"]},{"id":"ITEM-4","itemData":{"DOI":"10.1097/MIB.0000000000001128","ISSN":"1536-4844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diseases","id":"ITEM-4","issue":"7","issued":{"date-parts":[["2017","7"]]},"language":"eng","page":"1182-1186","publisher-place":"United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Surgery.","type":"article-journal","volume":"23"},"uris":["http://www.mendeley.com/documents/?uuid=6b4f2d39-091b-48c7-a8f9-3935125eeaf6"]},{"id":"ITEM-5","itemData":{"DOI":"https://dx.doi.org/10.1111/apt.14018","ISSN":"1365-2036","abstract":"BACKGROUND: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therapeutics","id":"ITEM-5","issue":"9","issued":{"date-parts":[["2017"]]},"page":"1255-1264","publisher-place":"England","title":"Visceral adiposity predicts post-operative Crohn's disease recurrence.","type":"article-journal","volume":"45"},"uris":["http://www.mendeley.com/documents/?uuid=2f42bc0f-c075-4ed5-ae3f-d90c75e83b1a"]},{"id":"ITEM-6","itemData":{"DOI":"https://dx.doi.org/10.1007/s11605-015-2763-x","ISSN":"1873-4626","abstract":"BACKGROUND: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Tract","id":"ITEM-6","issue":"4","issued":{"date-parts":[["2015"]]},"page":"715-721","publisher-place":"United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malnutrition.","type":"article-journal","volume":"19"},"uris":["http://www.mendeley.com/documents/?uuid=bce9beff-5643-45ff-bd09-fffc819a41d0"]},{"id":"ITEM-7","itemData":{"DOI":"10.1159/000485637","ISSN":"1421-9697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metabolism","id":"ITEM-7","issue":"3-4","issued":{"date-parts":[["2017"]]},"language":"eng","page":"266-272","publisher-place":"Switzerland","title":"Nutritional Screening and Clinical Outcome in Hospitalized Patients with Crohn's  Disease.","type":"article-journal","volume":"71"},"uris":["http://www.mendeley.com/documents/?uuid=cd857bcf-f832-4ca4-aa54-3d63c71b8d64"]},{"id":"ITEM-8","itemData":{"DOI":"10.1017/S0007114516003044","ISSN":"1475-2662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nutrition","id":"ITEM-8","issue":"6","issued":{"date-parts":[["2016","9"]]},"language":"eng","page":"1061-1067","publisher-place":"England","title":"Inflammation-driven malnutrition: a new screening tool predicts outcome in Crohn's disease.","type":"article-journal","volume":"116"},"uris":["http://www.mendeley.com/documents/?uuid=7a1220e5-e4f6-481d-b52c-83a9e8be8be2"]},{"id":"ITEM-9","itemData":{"DOI":"10.1097/MIB.0000000000001166","ISSN":"1536-4844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diseases","id":"ITEM-9","issue":"10","issued":{"date-parts":[["2017","10"]]},"language":"eng","page":"1867-1872","publisher-place":"United States","title":"Sarcopenia is a Predictor of Surgical Morbidity in Inflammatory Bowel Disease.","type":"article-journal","volume":"23"},"uris":["http://www.mendeley.com/documents/?uuid=6853f06f-1efd-4924-a01f-3879684bf57f"]},{"id":"ITEM-10","itemData":{"DOI":"10.1093/ecco-jcc/jjy064","ISSN":"1876-4479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colitis","id":"ITEM-10","issued":{"date-parts":[["2018","5"]]},"language":"eng","publisher-place":"England","title":"Sarcopenia is a Novel Predictor of the Need for Rescue Therapy in Hospitalized Ulcerative Colitis Patients.","type":"article-journal"},"uris":["http://www.mendeley.com/documents/?uuid=e255b58f-95e7-489e-b9af-18a0b87f7525"]},{"id":"ITEM-11","itemData":{"DOI":"10.1007/s00595-016-1357-x","ISSN":"1436-2813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today","id":"ITEM-11","issue":"1","issued":{"date-parts":[["2017","1"]]},"language":"eng","page":"92-98","publisher-place":"Japan","title":"Impact of sarcopenia on surgical site infection after restorative proctocolectomy for ulcerative colitis.","type":"article-journal","volume":"47"},"uris":["http://www.mendeley.com/documents/?uuid=a3ecc717-75fe-4b70-b40a-518331ec5a8e"]},{"id":"ITEM-12","itemData":{"DOI":"10.1186/s41747-018-0072-3","ISSN":"2509-9280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experimental","id":"ITEM-12","issue":"1","issued":{"date-parts":[["2018","11"]]},"language":"eng","page":"37","publisher-place":"England","title":"The impact of sarcopenia and myosteatosis on postoperative outcomes in patients with inflammatory bowel disease.","type":"article-journal","volume":"2"},"uris":["http://www.mendeley.com/documents/?uuid=e0b53979-80b7-49e6-bb0a-439e8ff7d904"]},{"id":"ITEM-13","itemData":{"DOI":"10.1093/ecco-jcc/jjy124","ISSN":"1876-4479","abstract":"BACKGROUND AND AIMS: Changes in body composition have been described in patients with Crohn's disease, but their predictive performances on disease evolution remain undefined. The aims of our study were to assess, in patients with Crohn's disease requiring abdominal computed tomography, body composition by computed tomography, and to study the outcome according to various body composition parameters at the time of the computed tomography. METHODS: Patients with Crohn's disease who underwent abdominal computed tomography for suspected complications were retrospectively included. The definition of adverse outcome included death or need for surgery within 6 months of the computed tomography. Skeletal muscle index and visceral and subcutaneous adiposity indexes were calculated from tissue surface areas measured at the third lumbar vertebra, divided by the height squared. RESULTS: The prevalence of underweight was 26.8% and the prevalence of sarcopenia was 33.6%. After gender adjustment, skeletal muscle index tended to be reduced in patients with adverse outcome, compared with patients without surgery or death [p = 0.07]. Moreover, subcutaneous adiposity index and visceral adiposity index were significantly lower in patients with surgery or death [p = 0.009 and p &lt; 0.001, respectively]. These differences were almost equivalent in both genders for the subcutaneous adiposity index but were clearly stronger in men for the visceral adiposity index. CONCLUSIONS: Subcutaneous and visceral adiposity indexes correlate inversely with adverse outcome in patients with Crohn's disease. Alteration of body composition assessed by computed tomography in these patients appears to be a marker of disease severity.","author":[{"dropping-particle":"","family":"Thiberge","given":"Claire","non-dropping-particle":"","parse-names":false,"suffix":""},{"dropping-particle":"","family":"Charpentier","given":"Cloé","non-dropping-particle":"","parse-names":false,"suffix":""},{"dropping-particle":"","family":"Gillibert","given":"André","non-dropping-particle":"","parse-names":false,"suffix":""},{"dropping-particle":"","family":"Modzelewski","given":"Romain","non-dropping-particle":"","parse-names":false,"suffix":""},{"dropping-particle":"","family":"Dacher","given":"Jean-Nicolas","non-dropping-particle":"","parse-names":false,"suffix":""},{"dropping-particle":"","family":"Savoye","given":"Guillaume","non-dropping-particle":"","parse-names":false,"suffix":""},{"dropping-particle":"","family":"Savoye-Collet","given":"Céline","non-dropping-particle":"","parse-names":false,"suffix":""}],"container-title":"Journal of Crohn's &amp; colitis","id":"ITEM-13","issue":"12","issued":{"date-parts":[["2018","11","28"]]},"page":"1429-1437","publisher-place":"England","title":"Lower Subcutaneous or Visceral Adiposity Assessed by Abdominal Computed Tomography Could Predict Adverse Outcome in Patients With Crohn's Disease","type":"article-journal","volume":"12"},"uris":["http://www.mendeley.com/documents/?uuid=24be24ce-8d64-4a00-ba9d-1bda6687be41"]}],"mendeley":{"formattedCitation":"&lt;sup&gt;[8,9,33,34,36,10–13,28,29,31,32]&lt;/sup&gt;","plainTextFormattedCitation":"[8,9,33,34,36,10–13,28,29,31,32]","previouslyFormattedCitation":"&lt;sup&gt;[8,9,32,33,35,10–13,27,28,30,31]&lt;/sup&gt;"},"properties":{"noteIndex":0},"schema":"https://github.com/citation-style-language/schema/raw/master/csl-citation.json"}</w:instrText>
      </w:r>
      <w:r w:rsidR="003E66A3" w:rsidRPr="00D07897">
        <w:rPr>
          <w:rFonts w:ascii="Book Antiqua" w:hAnsi="Book Antiqua" w:cs="Arial"/>
          <w:color w:val="000000" w:themeColor="text1"/>
        </w:rPr>
        <w:fldChar w:fldCharType="separate"/>
      </w:r>
      <w:proofErr w:type="gramStart"/>
      <w:r w:rsidR="001B7C5F" w:rsidRPr="00D07897">
        <w:rPr>
          <w:rFonts w:ascii="Book Antiqua" w:hAnsi="Book Antiqua" w:cs="Arial"/>
          <w:noProof/>
          <w:color w:val="000000" w:themeColor="text1"/>
          <w:vertAlign w:val="superscript"/>
        </w:rPr>
        <w:t>[8</w:t>
      </w:r>
      <w:r w:rsidR="00B94984" w:rsidRPr="00D07897">
        <w:rPr>
          <w:rFonts w:ascii="Book Antiqua" w:hAnsi="Book Antiqua" w:cs="Arial"/>
          <w:noProof/>
          <w:color w:val="000000" w:themeColor="text1"/>
          <w:vertAlign w:val="superscript"/>
        </w:rPr>
        <w:t>-13,28,29,31-</w:t>
      </w:r>
      <w:r w:rsidR="001B7C5F" w:rsidRPr="00D07897">
        <w:rPr>
          <w:rFonts w:ascii="Book Antiqua" w:hAnsi="Book Antiqua" w:cs="Arial"/>
          <w:noProof/>
          <w:color w:val="000000" w:themeColor="text1"/>
          <w:vertAlign w:val="superscript"/>
        </w:rPr>
        <w:t>34,36]</w:t>
      </w:r>
      <w:r w:rsidR="003E66A3" w:rsidRPr="00D07897">
        <w:rPr>
          <w:rFonts w:ascii="Book Antiqua" w:hAnsi="Book Antiqua" w:cs="Arial"/>
          <w:color w:val="000000" w:themeColor="text1"/>
        </w:rPr>
        <w:fldChar w:fldCharType="end"/>
      </w:r>
      <w:r w:rsidR="00C1621D" w:rsidRPr="00D07897">
        <w:rPr>
          <w:rFonts w:ascii="Book Antiqua" w:hAnsi="Book Antiqua" w:cs="Arial"/>
          <w:color w:val="000000" w:themeColor="text1"/>
        </w:rPr>
        <w:t>.</w:t>
      </w:r>
      <w:proofErr w:type="gramEnd"/>
      <w:r w:rsidR="00C1621D" w:rsidRPr="00D07897">
        <w:rPr>
          <w:rFonts w:ascii="Book Antiqua" w:hAnsi="Book Antiqua" w:cs="Arial"/>
          <w:color w:val="000000" w:themeColor="text1"/>
        </w:rPr>
        <w:t xml:space="preserve"> </w:t>
      </w:r>
      <w:r w:rsidR="008A1D12" w:rsidRPr="00D07897">
        <w:rPr>
          <w:rFonts w:ascii="Book Antiqua" w:hAnsi="Book Antiqua" w:cs="Arial"/>
          <w:color w:val="000000" w:themeColor="text1"/>
        </w:rPr>
        <w:t>Five</w:t>
      </w:r>
      <w:r w:rsidR="00E12C42" w:rsidRPr="00D07897">
        <w:rPr>
          <w:rFonts w:ascii="Book Antiqua" w:hAnsi="Book Antiqua" w:cs="Arial"/>
          <w:color w:val="000000" w:themeColor="text1"/>
        </w:rPr>
        <w:t xml:space="preserve"> studies evaluated th</w:t>
      </w:r>
      <w:r w:rsidR="00C1621D" w:rsidRPr="00D07897">
        <w:rPr>
          <w:rFonts w:ascii="Book Antiqua" w:hAnsi="Book Antiqua" w:cs="Arial"/>
          <w:color w:val="000000" w:themeColor="text1"/>
        </w:rPr>
        <w:t>e correlation of sarcopenia with the need for intestinal resection</w:t>
      </w:r>
      <w:r w:rsidR="00614A66"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Scotland)","id":"ITEM-2","issue":"6","issued":{"date-parts":[["2017","12"]]},"language":"eng","page":"1586-1592","publisher-place":"England","title":"Skeletal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colectomy.","type":"article-journal","volume":"36"},"uris":["http://www.mendeley.com/documents/?uuid=289f93c3-ba8a-4a99-af8c-01b5584e14b0"]},{"id":"ITEM-3","itemData":{"DOI":"10.1097/MIB.0000000000001128","ISSN":"1536-4844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diseases","id":"ITEM-3","issue":"7","issued":{"date-parts":[["2017","7"]]},"language":"eng","page":"1182-1186","publisher-place":"United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Surgery.","type":"article-journal","volume":"23"},"uris":["http://www.mendeley.com/documents/?uuid=6b4f2d39-091b-48c7-a8f9-3935125eeaf6"]},{"id":"ITEM-4","itemData":{"DOI":"10.1093/ecco-jcc/jjy064","ISSN":"1876-4479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colitis","id":"ITEM-4","issued":{"date-parts":[["2018","5"]]},"language":"eng","publisher-place":"England","title":"Sarcopenia is a Novel Predictor of the Need for Rescue Therapy in Hospitalized Ulcerative Colitis Patients.","type":"article-journal"},"uris":["http://www.mendeley.com/documents/?uuid=e255b58f-95e7-489e-b9af-18a0b87f7525"]},{"id":"ITEM-5","itemData":{"DOI":"10.1186/s41747-018-0072-3","ISSN":"2509-9280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experimental","id":"ITEM-5","issue":"1","issued":{"date-parts":[["2018","11"]]},"language":"eng","page":"37","publisher-place":"England","title":"The impact of sarcopenia and myosteatosis on postoperative outcomes in patients with inflammatory bowel disease.","type":"article-journal","volume":"2"},"uris":["http://www.mendeley.com/documents/?uuid=e0b53979-80b7-49e6-bb0a-439e8ff7d904"]}],"mendeley":{"formattedCitation":"&lt;sup&gt;[9,11,31,33,34]&lt;/sup&gt;","plainTextFormattedCitation":"[9,11,31,33,34]","previouslyFormattedCitation":"&lt;sup&gt;[9,11,30,32,33]&lt;/sup&gt;"},"properties":{"noteIndex":0},"schema":"https://github.com/citation-style-language/schema/raw/master/csl-citation.json"}</w:instrText>
      </w:r>
      <w:r w:rsidR="00614A66"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[9,11,31,33,34]</w:t>
      </w:r>
      <w:r w:rsidR="00614A66" w:rsidRPr="00D07897">
        <w:rPr>
          <w:rFonts w:ascii="Book Antiqua" w:hAnsi="Book Antiqua" w:cs="Arial"/>
          <w:color w:val="000000" w:themeColor="text1"/>
        </w:rPr>
        <w:fldChar w:fldCharType="end"/>
      </w:r>
      <w:r w:rsidR="00E12C42" w:rsidRPr="00D07897">
        <w:rPr>
          <w:rFonts w:ascii="Book Antiqua" w:hAnsi="Book Antiqua" w:cs="Arial"/>
          <w:color w:val="000000" w:themeColor="text1"/>
        </w:rPr>
        <w:t xml:space="preserve">, </w:t>
      </w:r>
      <w:r w:rsidR="008A1D12" w:rsidRPr="00D07897">
        <w:rPr>
          <w:rFonts w:ascii="Book Antiqua" w:hAnsi="Book Antiqua" w:cs="Arial"/>
          <w:color w:val="000000" w:themeColor="text1"/>
        </w:rPr>
        <w:t>with</w:t>
      </w:r>
      <w:r w:rsidR="00E23668" w:rsidRPr="00D07897">
        <w:rPr>
          <w:rFonts w:ascii="Book Antiqua" w:hAnsi="Book Antiqua" w:cs="Arial"/>
          <w:color w:val="000000" w:themeColor="text1"/>
        </w:rPr>
        <w:t xml:space="preserve"> only</w:t>
      </w:r>
      <w:r w:rsidR="008A1D12" w:rsidRPr="00D07897">
        <w:rPr>
          <w:rFonts w:ascii="Book Antiqua" w:hAnsi="Book Antiqua" w:cs="Arial"/>
          <w:color w:val="000000" w:themeColor="text1"/>
        </w:rPr>
        <w:t xml:space="preserve"> </w:t>
      </w:r>
      <w:r w:rsidR="00E12C42" w:rsidRPr="00D07897">
        <w:rPr>
          <w:rFonts w:ascii="Book Antiqua" w:hAnsi="Book Antiqua" w:cs="Arial"/>
          <w:color w:val="000000" w:themeColor="text1"/>
        </w:rPr>
        <w:t>t</w:t>
      </w:r>
      <w:r w:rsidR="00C1621D" w:rsidRPr="00D07897">
        <w:rPr>
          <w:rFonts w:ascii="Book Antiqua" w:hAnsi="Book Antiqua" w:cs="Arial"/>
          <w:color w:val="000000" w:themeColor="text1"/>
        </w:rPr>
        <w:t xml:space="preserve">wo </w:t>
      </w:r>
      <w:r w:rsidR="00E12C42" w:rsidRPr="00D07897">
        <w:rPr>
          <w:rFonts w:ascii="Book Antiqua" w:hAnsi="Book Antiqua" w:cs="Arial"/>
          <w:color w:val="000000" w:themeColor="text1"/>
        </w:rPr>
        <w:t xml:space="preserve">demonstrating a </w:t>
      </w:r>
      <w:r w:rsidR="00C1621D" w:rsidRPr="00D07897">
        <w:rPr>
          <w:rFonts w:ascii="Book Antiqua" w:hAnsi="Book Antiqua" w:cs="Arial"/>
          <w:color w:val="000000" w:themeColor="text1"/>
        </w:rPr>
        <w:t>significant correlation with need for intestinal resection (</w:t>
      </w:r>
      <w:r w:rsidR="00B94984" w:rsidRPr="00D07897">
        <w:rPr>
          <w:rFonts w:ascii="Book Antiqua" w:hAnsi="Book Antiqua" w:cs="Arial"/>
          <w:i/>
          <w:iCs/>
          <w:color w:val="000000" w:themeColor="text1"/>
        </w:rPr>
        <w:t xml:space="preserve">P </w:t>
      </w:r>
      <w:r w:rsidR="00C1621D" w:rsidRPr="00D07897">
        <w:rPr>
          <w:rFonts w:ascii="Book Antiqua" w:hAnsi="Book Antiqua" w:cs="Arial"/>
          <w:color w:val="000000" w:themeColor="text1"/>
        </w:rPr>
        <w:t>=</w:t>
      </w:r>
      <w:r w:rsidR="00B94984" w:rsidRPr="00D07897">
        <w:rPr>
          <w:rFonts w:ascii="Book Antiqua" w:hAnsi="Book Antiqua" w:cs="Arial"/>
          <w:color w:val="000000" w:themeColor="text1"/>
        </w:rPr>
        <w:t xml:space="preserve"> </w:t>
      </w:r>
      <w:r w:rsidR="00C1621D" w:rsidRPr="00D07897">
        <w:rPr>
          <w:rFonts w:ascii="Book Antiqua" w:hAnsi="Book Antiqua" w:cs="Arial"/>
          <w:color w:val="000000" w:themeColor="text1"/>
        </w:rPr>
        <w:t xml:space="preserve">0.003 </w:t>
      </w:r>
      <w:r w:rsidR="008A1D12" w:rsidRPr="00D07897">
        <w:rPr>
          <w:rFonts w:ascii="Book Antiqua" w:hAnsi="Book Antiqua" w:cs="Arial"/>
          <w:color w:val="000000" w:themeColor="text1"/>
        </w:rPr>
        <w:t>on operation free survival curves</w:t>
      </w:r>
      <w:r w:rsidR="00C1621D" w:rsidRPr="00D07897">
        <w:rPr>
          <w:rFonts w:ascii="Book Antiqua" w:hAnsi="Book Antiqua" w:cs="Arial"/>
          <w:color w:val="000000" w:themeColor="text1"/>
        </w:rPr>
        <w:t>)</w:t>
      </w:r>
      <w:r w:rsidR="003E66A3"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Scotland)","id":"ITEM-2","issue":"6","issued":{"date-parts":[["2017","12"]]},"language":"eng","page":"1586-1592","publisher-place":"England","title":"Skeletal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mendeley":{"formattedCitation":"&lt;sup&gt;[9,11]&lt;/sup&gt;","plainTextFormattedCitation":"[9,11]","previouslyFormattedCitation":"&lt;sup&gt;[9,11]&lt;/sup&gt;"},"properties":{"noteIndex":0},"schema":"https://github.com/citation-style-language/schema/raw/master/csl-citation.json"}</w:instrText>
      </w:r>
      <w:r w:rsidR="003E66A3"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[9,11]</w:t>
      </w:r>
      <w:r w:rsidR="003E66A3" w:rsidRPr="00D07897">
        <w:rPr>
          <w:rFonts w:ascii="Book Antiqua" w:hAnsi="Book Antiqua" w:cs="Arial"/>
          <w:color w:val="000000" w:themeColor="text1"/>
        </w:rPr>
        <w:fldChar w:fldCharType="end"/>
      </w:r>
      <w:r w:rsidR="00C10906" w:rsidRPr="00D07897">
        <w:rPr>
          <w:rFonts w:ascii="Book Antiqua" w:hAnsi="Book Antiqua" w:cs="Arial"/>
          <w:color w:val="000000" w:themeColor="text1"/>
        </w:rPr>
        <w:t xml:space="preserve"> </w:t>
      </w:r>
      <w:r w:rsidR="00C10906" w:rsidRPr="00D07897">
        <w:rPr>
          <w:rFonts w:ascii="Book Antiqua" w:hAnsi="Book Antiqua" w:cs="Arial"/>
          <w:iCs/>
          <w:color w:val="000000" w:themeColor="text1"/>
        </w:rPr>
        <w:t>(Table 8)</w:t>
      </w:r>
      <w:r w:rsidR="00C1621D" w:rsidRPr="00D07897">
        <w:rPr>
          <w:rFonts w:ascii="Book Antiqua" w:hAnsi="Book Antiqua" w:cs="Arial"/>
          <w:color w:val="000000" w:themeColor="text1"/>
        </w:rPr>
        <w:t xml:space="preserve">. </w:t>
      </w:r>
    </w:p>
    <w:p w14:paraId="16FA9EF1" w14:textId="2D8AFA30" w:rsidR="006A0CCF" w:rsidRPr="00D07897" w:rsidRDefault="006A0CCF" w:rsidP="006E7C6A">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t>The presence of sarcopenia (</w:t>
      </w:r>
      <w:r w:rsidRPr="00D07897">
        <w:rPr>
          <w:rFonts w:ascii="Book Antiqua" w:hAnsi="Book Antiqua" w:cs="Arial"/>
          <w:i/>
          <w:iCs/>
          <w:color w:val="000000" w:themeColor="text1"/>
        </w:rPr>
        <w:t>via</w:t>
      </w:r>
      <w:r w:rsidRPr="00D07897">
        <w:rPr>
          <w:rFonts w:ascii="Book Antiqua" w:hAnsi="Book Antiqua" w:cs="Arial"/>
          <w:color w:val="000000" w:themeColor="text1"/>
        </w:rPr>
        <w:t xml:space="preserve"> L3 SMI or </w:t>
      </w:r>
      <w:proofErr w:type="spellStart"/>
      <w:r w:rsidRPr="00D07897">
        <w:rPr>
          <w:rFonts w:ascii="Book Antiqua" w:hAnsi="Book Antiqua" w:cs="Arial"/>
          <w:color w:val="000000" w:themeColor="text1"/>
        </w:rPr>
        <w:t>mHUAC</w:t>
      </w:r>
      <w:proofErr w:type="spellEnd"/>
      <w:r w:rsidRPr="00D07897">
        <w:rPr>
          <w:rFonts w:ascii="Book Antiqua" w:hAnsi="Book Antiqua" w:cs="Arial"/>
          <w:color w:val="000000" w:themeColor="text1"/>
        </w:rPr>
        <w:t xml:space="preserve">) was significantly associated with major post-operative complications with </w:t>
      </w:r>
      <w:proofErr w:type="spellStart"/>
      <w:r w:rsidRPr="00D07897">
        <w:rPr>
          <w:rFonts w:ascii="Book Antiqua" w:hAnsi="Book Antiqua" w:cs="Arial"/>
          <w:color w:val="000000" w:themeColor="text1"/>
        </w:rPr>
        <w:t>Clavien-Dindo</w:t>
      </w:r>
      <w:proofErr w:type="spellEnd"/>
      <w:r w:rsidRPr="00D07897">
        <w:rPr>
          <w:rFonts w:ascii="Book Antiqua" w:hAnsi="Book Antiqua" w:cs="Arial"/>
          <w:color w:val="000000" w:themeColor="text1"/>
        </w:rPr>
        <w:t xml:space="preserve"> grade (CDG) ≥</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3 in one study (OR</w:t>
      </w:r>
      <w:r w:rsidR="006E7C6A" w:rsidRPr="00D07897">
        <w:rPr>
          <w:rFonts w:ascii="Book Antiqua" w:hAnsi="Book Antiqua" w:cs="Arial"/>
          <w:color w:val="000000" w:themeColor="text1"/>
        </w:rPr>
        <w:t xml:space="preserve"> = </w:t>
      </w:r>
      <w:r w:rsidRPr="00D07897">
        <w:rPr>
          <w:rFonts w:ascii="Book Antiqua" w:hAnsi="Book Antiqua" w:cs="Arial"/>
          <w:color w:val="000000" w:themeColor="text1"/>
        </w:rPr>
        <w:t xml:space="preserve">9.24, </w:t>
      </w:r>
      <w:r w:rsidR="006E7C6A" w:rsidRPr="00D07897">
        <w:rPr>
          <w:rFonts w:ascii="Book Antiqua" w:hAnsi="Book Antiqua" w:cs="Arial"/>
          <w:i/>
          <w:iCs/>
          <w:color w:val="000000" w:themeColor="text1"/>
        </w:rPr>
        <w:t xml:space="preserve">P </w:t>
      </w:r>
      <w:r w:rsidRPr="00D07897">
        <w:rPr>
          <w:rFonts w:ascii="Book Antiqua" w:hAnsi="Book Antiqua" w:cs="Arial"/>
          <w:color w:val="000000" w:themeColor="text1"/>
        </w:rPr>
        <w:t>=</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0.04) and life-threatening complications (CDG</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4) in another</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nutrition","id":"ITEM-1","issue":"4","issued":{"date-parts":[["2017","5"]]},"language":"eng","page":"592-600","publisher-place":"United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Resection.","type":"article-journal","volume":"41"},"uris":["http://www.mendeley.com/documents/?uuid=db984d59-d589-4f73-9f02-3b7ac10b008c"]},{"id":"ITEM-2","itemData":{"DOI":"10.1097/MIB.0000000000001166","ISSN":"1536-4844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diseases","id":"ITEM-2","issue":"10","issued":{"date-parts":[["2017","10"]]},"language":"eng","page":"1867-1872","publisher-place":"United States","title":"Sarcopenia is a Predictor of Surgical Morbidity in Inflammatory Bowel Disease.","type":"article-journal","volume":"23"},"uris":["http://www.mendeley.com/documents/?uuid=6853f06f-1efd-4924-a01f-3879684bf57f"]}],"mendeley":{"formattedCitation":"&lt;sup&gt;[10,12]&lt;/sup&gt;","plainTextFormattedCitation":"[10,12]","previouslyFormattedCitation":"&lt;sup&gt;[10,12]&lt;/sup&gt;"},"properties":{"noteIndex":0},"schema":"https://github.com/citation-style-language/schema/raw/master/csl-citation.json"}</w:instrText>
      </w:r>
      <w:r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[10,12]</w:t>
      </w:r>
      <w:r w:rsidRPr="00D07897">
        <w:rPr>
          <w:rFonts w:ascii="Book Antiqua" w:hAnsi="Book Antiqua" w:cs="Arial"/>
          <w:color w:val="000000" w:themeColor="text1"/>
        </w:rPr>
        <w:fldChar w:fldCharType="end"/>
      </w:r>
      <w:r w:rsidRPr="00D07897">
        <w:rPr>
          <w:rFonts w:ascii="Book Antiqua" w:hAnsi="Book Antiqua" w:cs="Arial"/>
          <w:color w:val="000000" w:themeColor="text1"/>
        </w:rPr>
        <w:t xml:space="preserve">. SMP was protective against major (OR 0.588, </w:t>
      </w:r>
      <w:r w:rsidR="006E7C6A" w:rsidRPr="00D07897">
        <w:rPr>
          <w:rFonts w:ascii="Book Antiqua" w:hAnsi="Book Antiqua" w:cs="Arial"/>
          <w:i/>
          <w:iCs/>
          <w:color w:val="000000" w:themeColor="text1"/>
        </w:rPr>
        <w:t>P</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0.002) and overall (OR</w:t>
      </w:r>
      <w:r w:rsidR="006E7C6A" w:rsidRPr="00D07897">
        <w:rPr>
          <w:rFonts w:ascii="Book Antiqua" w:hAnsi="Book Antiqua" w:cs="Arial"/>
          <w:color w:val="000000" w:themeColor="text1"/>
        </w:rPr>
        <w:t xml:space="preserve"> = </w:t>
      </w:r>
      <w:r w:rsidRPr="00D07897">
        <w:rPr>
          <w:rFonts w:ascii="Book Antiqua" w:hAnsi="Book Antiqua" w:cs="Arial"/>
          <w:color w:val="000000" w:themeColor="text1"/>
        </w:rPr>
        <w:t xml:space="preserve">0.487, </w:t>
      </w:r>
      <w:r w:rsidR="006E7C6A" w:rsidRPr="00D07897">
        <w:rPr>
          <w:rFonts w:ascii="Book Antiqua" w:hAnsi="Book Antiqua" w:cs="Arial"/>
          <w:i/>
          <w:iCs/>
          <w:color w:val="000000" w:themeColor="text1"/>
        </w:rPr>
        <w:t>P</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0.002) post-operative complications in one study</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Tract","id":"ITEM-1","issue":"4","issued":{"date-parts":[["2015"]]},"page":"715-721","publisher-place":"United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mendeley":{"formattedCitation":"&lt;sup&gt;[28]&lt;/sup&gt;","plainTextFormattedCitation":"[28]","previouslyFormattedCitation":"&lt;sup&gt;[27]&lt;/sup&gt;"},"properties":{"noteIndex":0},"schema":"https://github.com/citation-style-language/schema/raw/master/csl-citation.json"}</w:instrText>
      </w:r>
      <w:r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[28]</w:t>
      </w:r>
      <w:r w:rsidRPr="00D07897">
        <w:rPr>
          <w:rFonts w:ascii="Book Antiqua" w:hAnsi="Book Antiqua" w:cs="Arial"/>
          <w:color w:val="000000" w:themeColor="text1"/>
        </w:rPr>
        <w:fldChar w:fldCharType="end"/>
      </w:r>
      <w:r w:rsidRPr="00D07897">
        <w:rPr>
          <w:rFonts w:ascii="Book Antiqua" w:hAnsi="Book Antiqua" w:cs="Arial"/>
          <w:color w:val="000000" w:themeColor="text1"/>
        </w:rPr>
        <w:t xml:space="preserve"> but not another</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experimental","id":"ITEM-1","issue":"1","issued":{"date-parts":[["2018","11"]]},"language":"eng","page":"37","publisher-place":"England","title":"The impact of sarcopenia and myosteatosis on postoperative outcomes in patients with inflammatory bowel disease.","type":"article-journal","volume":"2"},"uris":["http://www.mendeley.com/documents/?uuid=e0b53979-80b7-49e6-bb0a-439e8ff7d904"]}],"mendeley":{"formattedCitation":"&lt;sup&gt;[31]&lt;/sup&gt;","plainTextFormattedCitation":"[31]","previouslyFormattedCitation":"&lt;sup&gt;[30]&lt;/sup&gt;"},"properties":{"noteIndex":0},"schema":"https://github.com/citation-style-language/schema/raw/master/csl-citation.json"}</w:instrText>
      </w:r>
      <w:r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[31]</w:t>
      </w:r>
      <w:r w:rsidRPr="00D07897">
        <w:rPr>
          <w:rFonts w:ascii="Book Antiqua" w:hAnsi="Book Antiqua" w:cs="Arial"/>
          <w:color w:val="000000" w:themeColor="text1"/>
        </w:rPr>
        <w:fldChar w:fldCharType="end"/>
      </w:r>
      <w:r w:rsidRPr="00D07897">
        <w:rPr>
          <w:rFonts w:ascii="Book Antiqua" w:hAnsi="Book Antiqua" w:cs="Arial"/>
          <w:color w:val="000000" w:themeColor="text1"/>
        </w:rPr>
        <w:t>. Additionally the need for post-operative blood transfusions (OR</w:t>
      </w:r>
      <w:r w:rsidR="006E7C6A" w:rsidRPr="00D07897">
        <w:rPr>
          <w:rFonts w:ascii="Book Antiqua" w:hAnsi="Book Antiqua" w:cs="Arial"/>
          <w:color w:val="000000" w:themeColor="text1"/>
        </w:rPr>
        <w:t xml:space="preserve"> = </w:t>
      </w:r>
      <w:r w:rsidRPr="00D07897">
        <w:rPr>
          <w:rFonts w:ascii="Book Antiqua" w:hAnsi="Book Antiqua" w:cs="Arial"/>
          <w:color w:val="000000" w:themeColor="text1"/>
        </w:rPr>
        <w:t xml:space="preserve">1.31, </w:t>
      </w:r>
      <w:r w:rsidR="006E7C6A" w:rsidRPr="00D07897">
        <w:rPr>
          <w:rFonts w:ascii="Book Antiqua" w:hAnsi="Book Antiqua" w:cs="Arial"/>
          <w:i/>
          <w:iCs/>
          <w:color w:val="000000" w:themeColor="text1"/>
        </w:rPr>
        <w:t>P</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0.014), ICU admissions (OR</w:t>
      </w:r>
      <w:r w:rsidR="006E7C6A" w:rsidRPr="00D07897">
        <w:rPr>
          <w:rFonts w:ascii="Book Antiqua" w:hAnsi="Book Antiqua" w:cs="Arial"/>
          <w:color w:val="000000" w:themeColor="text1"/>
        </w:rPr>
        <w:t xml:space="preserve"> = </w:t>
      </w:r>
      <w:r w:rsidRPr="00D07897">
        <w:rPr>
          <w:rFonts w:ascii="Book Antiqua" w:hAnsi="Book Antiqua" w:cs="Arial"/>
          <w:color w:val="000000" w:themeColor="text1"/>
        </w:rPr>
        <w:t xml:space="preserve">1.32, </w:t>
      </w:r>
      <w:r w:rsidR="006E7C6A" w:rsidRPr="00D07897">
        <w:rPr>
          <w:rFonts w:ascii="Book Antiqua" w:hAnsi="Book Antiqua" w:cs="Arial"/>
          <w:i/>
          <w:iCs/>
          <w:color w:val="000000" w:themeColor="text1"/>
        </w:rPr>
        <w:t>P</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C10906" w:rsidRPr="00D07897">
        <w:rPr>
          <w:rFonts w:ascii="Book Antiqua" w:hAnsi="Book Antiqua" w:cs="Arial"/>
          <w:color w:val="000000" w:themeColor="text1"/>
        </w:rPr>
        <w:t xml:space="preserve"> </w:t>
      </w:r>
      <w:r w:rsidRPr="00D07897">
        <w:rPr>
          <w:rFonts w:ascii="Book Antiqua" w:hAnsi="Book Antiqua" w:cs="Arial"/>
          <w:color w:val="000000" w:themeColor="text1"/>
        </w:rPr>
        <w:t>0.016), post-operative sepsis (OR</w:t>
      </w:r>
      <w:r w:rsidR="006E7C6A" w:rsidRPr="00D07897">
        <w:rPr>
          <w:rFonts w:ascii="Book Antiqua" w:hAnsi="Book Antiqua" w:cs="Arial"/>
          <w:color w:val="000000" w:themeColor="text1"/>
        </w:rPr>
        <w:t xml:space="preserve"> = </w:t>
      </w:r>
      <w:r w:rsidRPr="00D07897">
        <w:rPr>
          <w:rFonts w:ascii="Book Antiqua" w:hAnsi="Book Antiqua" w:cs="Arial"/>
          <w:color w:val="000000" w:themeColor="text1"/>
        </w:rPr>
        <w:t xml:space="preserve">1.325, </w:t>
      </w:r>
      <w:r w:rsidR="006E7C6A" w:rsidRPr="00D07897">
        <w:rPr>
          <w:rFonts w:ascii="Book Antiqua" w:hAnsi="Book Antiqua" w:cs="Arial"/>
          <w:i/>
          <w:iCs/>
          <w:color w:val="000000" w:themeColor="text1"/>
        </w:rPr>
        <w:t>P</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0.009), post-operative surgical site infections (OR</w:t>
      </w:r>
      <w:r w:rsidR="006E7C6A" w:rsidRPr="00D07897">
        <w:rPr>
          <w:rFonts w:ascii="Book Antiqua" w:hAnsi="Book Antiqua" w:cs="Arial"/>
          <w:color w:val="000000" w:themeColor="text1"/>
        </w:rPr>
        <w:t xml:space="preserve"> = </w:t>
      </w:r>
      <w:r w:rsidRPr="00D07897">
        <w:rPr>
          <w:rFonts w:ascii="Book Antiqua" w:hAnsi="Book Antiqua" w:cs="Arial"/>
          <w:color w:val="000000" w:themeColor="text1"/>
        </w:rPr>
        <w:t xml:space="preserve">4.91, </w:t>
      </w:r>
      <w:r w:rsidR="006E7C6A" w:rsidRPr="00D07897">
        <w:rPr>
          <w:rFonts w:ascii="Book Antiqua" w:hAnsi="Book Antiqua" w:cs="Arial"/>
          <w:i/>
          <w:iCs/>
          <w:color w:val="000000" w:themeColor="text1"/>
        </w:rPr>
        <w:t>P</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0.03) and  deep vein thrombosis (OR</w:t>
      </w:r>
      <w:r w:rsidR="006E7C6A" w:rsidRPr="00D07897">
        <w:rPr>
          <w:rFonts w:ascii="Book Antiqua" w:hAnsi="Book Antiqua" w:cs="Arial"/>
          <w:color w:val="000000" w:themeColor="text1"/>
        </w:rPr>
        <w:t xml:space="preserve"> = </w:t>
      </w:r>
      <w:r w:rsidRPr="00D07897">
        <w:rPr>
          <w:rFonts w:ascii="Book Antiqua" w:hAnsi="Book Antiqua" w:cs="Arial"/>
          <w:color w:val="000000" w:themeColor="text1"/>
        </w:rPr>
        <w:t>1.265,</w:t>
      </w:r>
      <w:r w:rsidR="006E7C6A" w:rsidRPr="00D07897">
        <w:rPr>
          <w:rFonts w:ascii="Book Antiqua" w:hAnsi="Book Antiqua" w:cs="Arial"/>
          <w:i/>
          <w:iCs/>
          <w:color w:val="000000" w:themeColor="text1"/>
        </w:rPr>
        <w:t xml:space="preserve"> P</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0.017) was found to be significantly associated with sarcopenia</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diseases","id":"ITEM-1","issue":"10","issued":{"date-parts":[["2017","10"]]},"language":"eng","page":"1867-1872","publisher-place":"United States","title":"Sarcopenia is a Predictor of Surgical Morbidity in Inflammatory Bowel Disease.","type":"article-journal","volume":"23"},"uris":["http://www.mendeley.com/documents/?uuid=6853f06f-1efd-4924-a01f-3879684bf57f"]},{"id":"ITEM-2","itemData":{"DOI":"10.1007/s00595-016-1357-x","ISSN":"1436-2813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today","id":"ITEM-2","issue":"1","issued":{"date-parts":[["2017","1"]]},"language":"eng","page":"92-98","publisher-place":"Japan","title":"Impact of sarcopenia on surgical site infection after restorative proctocolectomy for ulcerative colitis.","type":"article-journal","volume":"47"},"uris":["http://www.mendeley.com/documents/?uuid=a3ecc717-75fe-4b70-b40a-518331ec5a8e"]}],"mendeley":{"formattedCitation":"&lt;sup&gt;[12,29]&lt;/sup&gt;","plainTextFormattedCitation":"[12,29]","previouslyFormattedCitation":"&lt;sup&gt;[12,28]&lt;/sup&gt;"},"properties":{"noteIndex":0},"schema":"https://github.com/citation-style-language/schema/raw/master/csl-citation.json"}</w:instrText>
      </w:r>
      <w:r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[12,29]</w:t>
      </w:r>
      <w:r w:rsidRPr="00D07897">
        <w:rPr>
          <w:rFonts w:ascii="Book Antiqua" w:hAnsi="Book Antiqua" w:cs="Arial"/>
          <w:color w:val="000000" w:themeColor="text1"/>
        </w:rPr>
        <w:fldChar w:fldCharType="end"/>
      </w:r>
      <w:r w:rsidRPr="00D07897">
        <w:rPr>
          <w:rFonts w:ascii="Book Antiqua" w:hAnsi="Book Antiqua" w:cs="Arial"/>
          <w:color w:val="000000" w:themeColor="text1"/>
        </w:rPr>
        <w:t>. The need for either surgical or medical rescue therapy (</w:t>
      </w:r>
      <w:r w:rsidR="006E7C6A" w:rsidRPr="00D07897">
        <w:rPr>
          <w:rFonts w:ascii="Book Antiqua" w:hAnsi="Book Antiqua" w:cs="Arial"/>
          <w:i/>
          <w:iCs/>
          <w:color w:val="000000" w:themeColor="text1"/>
        </w:rPr>
        <w:t>P</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0.02) in patients with acute severe UC was significantly associated with the presence of sarcopenia</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colitis","id":"ITEM-1","issued":{"date-parts":[["2018","5"]]},"language":"eng","publisher-place":"England","title":"Sarcopenia is a Novel Predictor of the Need for Rescue Therapy in Hospitalized Ulcerative Colitis Patients.","type":"article-journal"},"uris":["http://www.mendeley.com/documents/?uuid=e255b58f-95e7-489e-b9af-18a0b87f7525"]}],"mendeley":{"formattedCitation":"&lt;sup&gt;[34]&lt;/sup&gt;","plainTextFormattedCitation":"[34]","previouslyFormattedCitation":"&lt;sup&gt;[33]&lt;/sup&gt;"},"properties":{"noteIndex":0},"schema":"https://github.com/citation-style-language/schema/raw/master/csl-citation.json"}</w:instrText>
      </w:r>
      <w:r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[34]</w:t>
      </w:r>
      <w:r w:rsidRPr="00D07897">
        <w:rPr>
          <w:rFonts w:ascii="Book Antiqua" w:hAnsi="Book Antiqua" w:cs="Arial"/>
          <w:color w:val="000000" w:themeColor="text1"/>
        </w:rPr>
        <w:fldChar w:fldCharType="end"/>
      </w:r>
      <w:r w:rsidR="00C10906" w:rsidRPr="00D07897">
        <w:rPr>
          <w:rFonts w:ascii="Book Antiqua" w:hAnsi="Book Antiqua" w:cs="Arial"/>
          <w:color w:val="000000" w:themeColor="text1"/>
        </w:rPr>
        <w:t xml:space="preserve"> </w:t>
      </w:r>
      <w:r w:rsidR="00C10906" w:rsidRPr="00D07897">
        <w:rPr>
          <w:rFonts w:ascii="Book Antiqua" w:hAnsi="Book Antiqua" w:cs="Arial"/>
          <w:iCs/>
          <w:color w:val="000000" w:themeColor="text1"/>
        </w:rPr>
        <w:t>(Table S4)</w:t>
      </w:r>
      <w:r w:rsidRPr="00D07897">
        <w:rPr>
          <w:rFonts w:ascii="Book Antiqua" w:hAnsi="Book Antiqua" w:cs="Arial"/>
          <w:color w:val="000000" w:themeColor="text1"/>
        </w:rPr>
        <w:t>.</w:t>
      </w:r>
    </w:p>
    <w:p w14:paraId="0073C070" w14:textId="0EB6B29E" w:rsidR="003C5684" w:rsidRPr="00D07897" w:rsidRDefault="006A0CCF" w:rsidP="006E7C6A">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t>One study demonstrated that various measures of sarcopenia (SMI, SMA) correlated significantly with Mayo disease activity scores</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Scotland)","id":"ITEM-1","issue":"6","issued":{"date-parts":[["2017","12"]]},"language":"eng","page":"1586-1592","publisher-place":"England","title":"Skeletal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mendeley":{"formattedCitation":"&lt;sup&gt;[11]&lt;/sup&gt;","plainTextFormattedCitation":"[11]","previouslyFormattedCitation":"&lt;sup&gt;[11]&lt;/sup&gt;"},"properties":{"noteIndex":0},"schema":"https://github.com/citation-style-language/schema/raw/master/csl-citation.json"}</w:instrText>
      </w:r>
      <w:r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[11]</w:t>
      </w:r>
      <w:r w:rsidRPr="00D07897">
        <w:rPr>
          <w:rFonts w:ascii="Book Antiqua" w:hAnsi="Book Antiqua" w:cs="Arial"/>
          <w:color w:val="000000" w:themeColor="text1"/>
        </w:rPr>
        <w:fldChar w:fldCharType="end"/>
      </w:r>
      <w:r w:rsidRPr="00D07897">
        <w:rPr>
          <w:rFonts w:ascii="Book Antiqua" w:hAnsi="Book Antiqua" w:cs="Arial"/>
          <w:color w:val="000000" w:themeColor="text1"/>
        </w:rPr>
        <w:t>. A separate study showed that SMA did not significantly predict endoscopic recurrence (</w:t>
      </w:r>
      <w:r w:rsidR="006E7C6A" w:rsidRPr="00D07897">
        <w:rPr>
          <w:rFonts w:ascii="Book Antiqua" w:hAnsi="Book Antiqua" w:cs="Arial"/>
          <w:i/>
          <w:iCs/>
          <w:color w:val="000000" w:themeColor="text1"/>
        </w:rPr>
        <w:t>P</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E7C6A" w:rsidRPr="00D07897">
        <w:rPr>
          <w:rFonts w:ascii="Book Antiqua" w:hAnsi="Book Antiqua" w:cs="Arial"/>
          <w:color w:val="000000" w:themeColor="text1"/>
        </w:rPr>
        <w:t xml:space="preserve"> </w:t>
      </w:r>
      <w:r w:rsidRPr="00D07897">
        <w:rPr>
          <w:rFonts w:ascii="Book Antiqua" w:hAnsi="Book Antiqua" w:cs="Arial"/>
          <w:color w:val="000000" w:themeColor="text1"/>
        </w:rPr>
        <w:t>0.096)</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therapeutics","id":"ITEM-1","issue":"9","issued":{"date-parts":[["2017"]]},"page":"1255-1264","publisher-place":"England","title":"Visceral adiposity predicts post-operative Crohn's disease recurrence.","type":"article-journal","volume":"45"},"uris":["http://www.mendeley.com/documents/?uuid=2f42bc0f-c075-4ed5-ae3f-d90c75e83b1a"]}],"mendeley":{"formattedCitation":"&lt;sup&gt;[36]&lt;/sup&gt;","plainTextFormattedCitation":"[36]","previouslyFormattedCitation":"&lt;sup&gt;[35]&lt;/sup&gt;"},"properties":{"noteIndex":0},"schema":"https://github.com/citation-style-language/schema/raw/master/csl-citation.json"}</w:instrText>
      </w:r>
      <w:r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[36]</w:t>
      </w:r>
      <w:r w:rsidRPr="00D07897">
        <w:rPr>
          <w:rFonts w:ascii="Book Antiqua" w:hAnsi="Book Antiqua" w:cs="Arial"/>
          <w:color w:val="000000" w:themeColor="text1"/>
        </w:rPr>
        <w:fldChar w:fldCharType="end"/>
      </w:r>
      <w:r w:rsidRPr="00D07897">
        <w:rPr>
          <w:rFonts w:ascii="Book Antiqua" w:hAnsi="Book Antiqua" w:cs="Arial"/>
          <w:color w:val="000000" w:themeColor="text1"/>
        </w:rPr>
        <w:t xml:space="preserve">. </w:t>
      </w:r>
      <w:r w:rsidR="005D1F17" w:rsidRPr="00D07897">
        <w:rPr>
          <w:rFonts w:ascii="Book Antiqua" w:hAnsi="Book Antiqua" w:cs="Arial"/>
          <w:color w:val="000000" w:themeColor="text1"/>
        </w:rPr>
        <w:t>Two studies associated SGA with clinical outcomes based on SGA score</w:t>
      </w:r>
      <w:r w:rsidR="005D1F17"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Disease.","type":"article-journal","volume":"71"},"uris":["http://www.mendeley.com/documents/?uuid=cd857bcf-f832-4ca4-aa54-3d63c71b8d64"]},{"id":"ITEM-2","itemData":{"DOI":"10.1017/S0007114516003044","ISSN":"1475-2662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nutrition","id":"ITEM-2","issue":"6","issued":{"date-parts":[["2016","9"]]},"language":"eng","page":"1061-1067","publisher-place":"England","title":"Inflammation-driven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[8,13]&lt;/sup&gt;","plainTextFormattedCitation":"[8,13]","previouslyFormattedCitation":"&lt;sup&gt;[8,13]&lt;/sup&gt;"},"properties":{"noteIndex":0},"schema":"https://github.com/citation-style-language/schema/raw/master/csl-citation.json"}</w:instrText>
      </w:r>
      <w:r w:rsidR="005D1F17"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[8,13]</w:t>
      </w:r>
      <w:r w:rsidR="005D1F17" w:rsidRPr="00D07897">
        <w:rPr>
          <w:rFonts w:ascii="Book Antiqua" w:hAnsi="Book Antiqua" w:cs="Arial"/>
          <w:color w:val="000000" w:themeColor="text1"/>
        </w:rPr>
        <w:fldChar w:fldCharType="end"/>
      </w:r>
      <w:r w:rsidR="005D1F17" w:rsidRPr="00D07897">
        <w:rPr>
          <w:rFonts w:ascii="Book Antiqua" w:hAnsi="Book Antiqua" w:cs="Arial"/>
          <w:color w:val="000000" w:themeColor="text1"/>
        </w:rPr>
        <w:t xml:space="preserve"> with </w:t>
      </w:r>
      <w:r w:rsidR="00E12C42" w:rsidRPr="00D07897">
        <w:rPr>
          <w:rFonts w:ascii="Book Antiqua" w:hAnsi="Book Antiqua" w:cs="Arial"/>
          <w:color w:val="000000" w:themeColor="text1"/>
        </w:rPr>
        <w:t>discordant</w:t>
      </w:r>
      <w:r w:rsidR="005D1F17" w:rsidRPr="00D07897">
        <w:rPr>
          <w:rFonts w:ascii="Book Antiqua" w:hAnsi="Book Antiqua" w:cs="Arial"/>
          <w:color w:val="000000" w:themeColor="text1"/>
        </w:rPr>
        <w:t xml:space="preserve"> results</w:t>
      </w:r>
      <w:r w:rsidR="00E12C42" w:rsidRPr="00D07897">
        <w:rPr>
          <w:rFonts w:ascii="Book Antiqua" w:hAnsi="Book Antiqua" w:cs="Arial"/>
          <w:color w:val="000000" w:themeColor="text1"/>
        </w:rPr>
        <w:t xml:space="preserve">. </w:t>
      </w:r>
      <w:r w:rsidR="00C1621D" w:rsidRPr="00D07897">
        <w:rPr>
          <w:rFonts w:ascii="Book Antiqua" w:hAnsi="Book Antiqua" w:cs="Arial"/>
          <w:color w:val="000000" w:themeColor="text1"/>
        </w:rPr>
        <w:t xml:space="preserve">One </w:t>
      </w:r>
      <w:r w:rsidRPr="00D07897">
        <w:rPr>
          <w:rFonts w:ascii="Book Antiqua" w:hAnsi="Book Antiqua" w:cs="Arial"/>
          <w:color w:val="000000" w:themeColor="text1"/>
        </w:rPr>
        <w:t xml:space="preserve">inpatient </w:t>
      </w:r>
      <w:r w:rsidR="00C1621D" w:rsidRPr="00D07897">
        <w:rPr>
          <w:rFonts w:ascii="Book Antiqua" w:hAnsi="Book Antiqua" w:cs="Arial"/>
          <w:color w:val="000000" w:themeColor="text1"/>
        </w:rPr>
        <w:t>study found that SGA did not predict the need</w:t>
      </w:r>
      <w:r w:rsidR="00657CD6" w:rsidRPr="00D07897">
        <w:rPr>
          <w:rFonts w:ascii="Book Antiqua" w:hAnsi="Book Antiqua" w:cs="Arial"/>
          <w:color w:val="000000" w:themeColor="text1"/>
        </w:rPr>
        <w:t xml:space="preserve"> for surgery (</w:t>
      </w:r>
      <w:r w:rsidR="006E7C6A" w:rsidRPr="00D07897">
        <w:rPr>
          <w:rFonts w:ascii="Book Antiqua" w:hAnsi="Book Antiqua" w:cs="Arial"/>
          <w:i/>
          <w:iCs/>
          <w:color w:val="000000" w:themeColor="text1"/>
        </w:rPr>
        <w:t>P</w:t>
      </w:r>
      <w:r w:rsidR="006E7C6A" w:rsidRPr="00D07897">
        <w:rPr>
          <w:rFonts w:ascii="Book Antiqua" w:hAnsi="Book Antiqua" w:cs="Arial"/>
          <w:color w:val="000000" w:themeColor="text1"/>
        </w:rPr>
        <w:t xml:space="preserve"> </w:t>
      </w:r>
      <w:r w:rsidR="00657CD6" w:rsidRPr="00D07897">
        <w:rPr>
          <w:rFonts w:ascii="Book Antiqua" w:hAnsi="Book Antiqua" w:cs="Arial"/>
          <w:color w:val="000000" w:themeColor="text1"/>
        </w:rPr>
        <w:t>=</w:t>
      </w:r>
      <w:r w:rsidR="006E7C6A" w:rsidRPr="00D07897">
        <w:rPr>
          <w:rFonts w:ascii="Book Antiqua" w:hAnsi="Book Antiqua" w:cs="Arial"/>
          <w:color w:val="000000" w:themeColor="text1"/>
        </w:rPr>
        <w:t xml:space="preserve"> </w:t>
      </w:r>
      <w:r w:rsidR="00657CD6" w:rsidRPr="00D07897">
        <w:rPr>
          <w:rFonts w:ascii="Book Antiqua" w:hAnsi="Book Antiqua" w:cs="Arial"/>
          <w:color w:val="000000" w:themeColor="text1"/>
        </w:rPr>
        <w:t>0.071)</w:t>
      </w:r>
      <w:r w:rsidR="003E66A3"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3E66A3"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[13]</w:t>
      </w:r>
      <w:r w:rsidR="003E66A3" w:rsidRPr="00D07897">
        <w:rPr>
          <w:rFonts w:ascii="Book Antiqua" w:hAnsi="Book Antiqua" w:cs="Arial"/>
          <w:color w:val="000000" w:themeColor="text1"/>
        </w:rPr>
        <w:fldChar w:fldCharType="end"/>
      </w:r>
      <w:r w:rsidR="00E12C42" w:rsidRPr="00D07897">
        <w:rPr>
          <w:rFonts w:ascii="Book Antiqua" w:hAnsi="Book Antiqua" w:cs="Arial"/>
          <w:color w:val="000000" w:themeColor="text1"/>
        </w:rPr>
        <w:t xml:space="preserve"> but </w:t>
      </w:r>
      <w:r w:rsidR="00640FFF" w:rsidRPr="00D07897">
        <w:rPr>
          <w:rFonts w:ascii="Book Antiqua" w:hAnsi="Book Antiqua" w:cs="Arial"/>
          <w:color w:val="000000" w:themeColor="text1"/>
        </w:rPr>
        <w:t xml:space="preserve">it </w:t>
      </w:r>
      <w:r w:rsidR="00657CD6" w:rsidRPr="00D07897">
        <w:rPr>
          <w:rFonts w:ascii="Book Antiqua" w:hAnsi="Book Antiqua" w:cs="Arial"/>
          <w:color w:val="000000" w:themeColor="text1"/>
        </w:rPr>
        <w:t>did predict length of stay (</w:t>
      </w:r>
      <w:r w:rsidR="006E7C6A" w:rsidRPr="00D07897">
        <w:rPr>
          <w:rFonts w:ascii="Book Antiqua" w:hAnsi="Book Antiqua" w:cs="Arial"/>
          <w:i/>
          <w:iCs/>
          <w:color w:val="000000" w:themeColor="text1"/>
        </w:rPr>
        <w:t>P</w:t>
      </w:r>
      <w:r w:rsidR="006E7C6A" w:rsidRPr="00D07897">
        <w:rPr>
          <w:rFonts w:ascii="Book Antiqua" w:hAnsi="Book Antiqua" w:cs="Arial"/>
          <w:color w:val="000000" w:themeColor="text1"/>
        </w:rPr>
        <w:t xml:space="preserve"> </w:t>
      </w:r>
      <w:r w:rsidR="00657CD6" w:rsidRPr="00D07897">
        <w:rPr>
          <w:rFonts w:ascii="Book Antiqua" w:hAnsi="Book Antiqua" w:cs="Arial"/>
          <w:color w:val="000000" w:themeColor="text1"/>
        </w:rPr>
        <w:t>=</w:t>
      </w:r>
      <w:r w:rsidR="006E7C6A" w:rsidRPr="00D07897">
        <w:rPr>
          <w:rFonts w:ascii="Book Antiqua" w:hAnsi="Book Antiqua" w:cs="Arial"/>
          <w:color w:val="000000" w:themeColor="text1"/>
        </w:rPr>
        <w:t xml:space="preserve"> </w:t>
      </w:r>
      <w:r w:rsidR="00657CD6" w:rsidRPr="00D07897">
        <w:rPr>
          <w:rFonts w:ascii="Book Antiqua" w:hAnsi="Book Antiqua" w:cs="Arial"/>
          <w:color w:val="000000" w:themeColor="text1"/>
        </w:rPr>
        <w:t>0.008)</w:t>
      </w:r>
      <w:r w:rsidR="003E66A3"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3E66A3"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[13]</w:t>
      </w:r>
      <w:r w:rsidR="003E66A3" w:rsidRPr="00D07897">
        <w:rPr>
          <w:rFonts w:ascii="Book Antiqua" w:hAnsi="Book Antiqua" w:cs="Arial"/>
          <w:color w:val="000000" w:themeColor="text1"/>
        </w:rPr>
        <w:fldChar w:fldCharType="end"/>
      </w:r>
      <w:r w:rsidR="00657CD6" w:rsidRPr="00D07897">
        <w:rPr>
          <w:rFonts w:ascii="Book Antiqua" w:hAnsi="Book Antiqua" w:cs="Arial"/>
          <w:color w:val="000000" w:themeColor="text1"/>
        </w:rPr>
        <w:t xml:space="preserve">. </w:t>
      </w:r>
      <w:r w:rsidR="0010594D" w:rsidRPr="00D07897">
        <w:rPr>
          <w:rFonts w:ascii="Book Antiqua" w:hAnsi="Book Antiqua" w:cs="Arial"/>
          <w:color w:val="000000" w:themeColor="text1"/>
        </w:rPr>
        <w:t xml:space="preserve">A second </w:t>
      </w:r>
      <w:r w:rsidRPr="00D07897">
        <w:rPr>
          <w:rFonts w:ascii="Book Antiqua" w:hAnsi="Book Antiqua" w:cs="Arial"/>
          <w:color w:val="000000" w:themeColor="text1"/>
        </w:rPr>
        <w:t xml:space="preserve">outpatient </w:t>
      </w:r>
      <w:r w:rsidR="0010594D" w:rsidRPr="00D07897">
        <w:rPr>
          <w:rFonts w:ascii="Book Antiqua" w:hAnsi="Book Antiqua" w:cs="Arial"/>
          <w:color w:val="000000" w:themeColor="text1"/>
        </w:rPr>
        <w:t>study did not find any correlation between SGA and hospitalizations, disease flares, disease complications</w:t>
      </w:r>
      <w:r w:rsidR="00D006B8" w:rsidRPr="00D07897">
        <w:rPr>
          <w:rFonts w:ascii="Book Antiqua" w:hAnsi="Book Antiqua" w:cs="Arial"/>
          <w:color w:val="000000" w:themeColor="text1"/>
        </w:rPr>
        <w:t>,</w:t>
      </w:r>
      <w:r w:rsidR="0010594D" w:rsidRPr="00D07897">
        <w:rPr>
          <w:rFonts w:ascii="Book Antiqua" w:hAnsi="Book Antiqua" w:cs="Arial"/>
          <w:color w:val="000000" w:themeColor="text1"/>
        </w:rPr>
        <w:t xml:space="preserve"> or need for surgery</w:t>
      </w:r>
      <w:r w:rsidR="003E66A3"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003E66A3"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[8]</w:t>
      </w:r>
      <w:r w:rsidR="003E66A3" w:rsidRPr="00D07897">
        <w:rPr>
          <w:rFonts w:ascii="Book Antiqua" w:hAnsi="Book Antiqua" w:cs="Arial"/>
          <w:color w:val="000000" w:themeColor="text1"/>
        </w:rPr>
        <w:fldChar w:fldCharType="end"/>
      </w:r>
      <w:r w:rsidR="0010594D" w:rsidRPr="00D07897">
        <w:rPr>
          <w:rFonts w:ascii="Book Antiqua" w:hAnsi="Book Antiqua" w:cs="Arial"/>
          <w:color w:val="000000" w:themeColor="text1"/>
        </w:rPr>
        <w:t xml:space="preserve">. </w:t>
      </w:r>
    </w:p>
    <w:p w14:paraId="2157283A" w14:textId="77777777" w:rsidR="00657CD6" w:rsidRPr="00D07897" w:rsidRDefault="00657CD6" w:rsidP="00F96F15">
      <w:pPr>
        <w:spacing w:line="360" w:lineRule="auto"/>
        <w:jc w:val="both"/>
        <w:rPr>
          <w:rFonts w:ascii="Book Antiqua" w:hAnsi="Book Antiqua" w:cs="Arial"/>
          <w:color w:val="000000" w:themeColor="text1"/>
        </w:rPr>
      </w:pPr>
    </w:p>
    <w:p w14:paraId="27AF0AAB" w14:textId="2CAF057B" w:rsidR="00847E05" w:rsidRPr="00D07897" w:rsidRDefault="006E7C6A" w:rsidP="00F96F15">
      <w:pPr>
        <w:spacing w:line="360" w:lineRule="auto"/>
        <w:jc w:val="both"/>
        <w:rPr>
          <w:rFonts w:ascii="Book Antiqua" w:hAnsi="Book Antiqua" w:cs="Arial"/>
          <w:b/>
          <w:bCs/>
          <w:color w:val="000000" w:themeColor="text1"/>
        </w:rPr>
      </w:pPr>
      <w:r w:rsidRPr="00D07897">
        <w:rPr>
          <w:rFonts w:ascii="Book Antiqua" w:hAnsi="Book Antiqua" w:cs="Arial"/>
          <w:b/>
          <w:bCs/>
          <w:color w:val="000000" w:themeColor="text1"/>
        </w:rPr>
        <w:t xml:space="preserve">DISCUSSION </w:t>
      </w:r>
    </w:p>
    <w:p w14:paraId="4761FED4" w14:textId="2D03369B" w:rsidR="00C33817" w:rsidRPr="00D07897" w:rsidRDefault="007C0F86"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T</w:t>
      </w:r>
      <w:r w:rsidR="00943D40" w:rsidRPr="00D07897">
        <w:rPr>
          <w:rFonts w:ascii="Book Antiqua" w:hAnsi="Book Antiqua" w:cs="Arial"/>
          <w:color w:val="000000" w:themeColor="text1"/>
        </w:rPr>
        <w:t xml:space="preserve">his review of the literature is the first to </w:t>
      </w:r>
      <w:r w:rsidR="000D20AF" w:rsidRPr="00D07897">
        <w:rPr>
          <w:rFonts w:ascii="Book Antiqua" w:hAnsi="Book Antiqua" w:cs="Arial"/>
          <w:color w:val="000000" w:themeColor="text1"/>
        </w:rPr>
        <w:t xml:space="preserve">systematically </w:t>
      </w:r>
      <w:r w:rsidR="00943D40" w:rsidRPr="00D07897">
        <w:rPr>
          <w:rFonts w:ascii="Book Antiqua" w:hAnsi="Book Antiqua" w:cs="Arial"/>
          <w:color w:val="000000" w:themeColor="text1"/>
        </w:rPr>
        <w:t xml:space="preserve">evaluate </w:t>
      </w:r>
      <w:r w:rsidR="00694A8B" w:rsidRPr="00D07897">
        <w:rPr>
          <w:rFonts w:ascii="Book Antiqua" w:hAnsi="Book Antiqua" w:cs="Arial"/>
          <w:color w:val="000000" w:themeColor="text1"/>
        </w:rPr>
        <w:t xml:space="preserve">the </w:t>
      </w:r>
      <w:r w:rsidR="005538EA" w:rsidRPr="00D07897">
        <w:rPr>
          <w:rFonts w:ascii="Book Antiqua" w:hAnsi="Book Antiqua" w:cs="Arial"/>
          <w:color w:val="000000" w:themeColor="text1"/>
        </w:rPr>
        <w:t>use of</w:t>
      </w:r>
      <w:r w:rsidR="00694A8B" w:rsidRPr="00D07897">
        <w:rPr>
          <w:rFonts w:ascii="Book Antiqua" w:hAnsi="Book Antiqua" w:cs="Arial"/>
          <w:color w:val="000000" w:themeColor="text1"/>
        </w:rPr>
        <w:t xml:space="preserve"> NSTs and NATs </w:t>
      </w:r>
      <w:r w:rsidR="005538EA" w:rsidRPr="00D07897">
        <w:rPr>
          <w:rFonts w:ascii="Book Antiqua" w:hAnsi="Book Antiqua" w:cs="Arial"/>
          <w:color w:val="000000" w:themeColor="text1"/>
        </w:rPr>
        <w:t xml:space="preserve">in </w:t>
      </w:r>
      <w:r w:rsidR="0088264E" w:rsidRPr="00D07897">
        <w:rPr>
          <w:rFonts w:ascii="Book Antiqua" w:hAnsi="Book Antiqua" w:cs="Arial"/>
          <w:color w:val="000000" w:themeColor="text1"/>
        </w:rPr>
        <w:t>IBD</w:t>
      </w:r>
      <w:r w:rsidR="006E7C6A" w:rsidRPr="00D07897">
        <w:rPr>
          <w:rFonts w:ascii="Book Antiqua" w:hAnsi="Book Antiqua" w:cs="Arial"/>
          <w:color w:val="000000" w:themeColor="text1"/>
        </w:rPr>
        <w:t>-</w:t>
      </w:r>
      <w:r w:rsidR="0088264E" w:rsidRPr="00D07897">
        <w:rPr>
          <w:rFonts w:ascii="Book Antiqua" w:hAnsi="Book Antiqua" w:cs="Arial"/>
          <w:color w:val="000000" w:themeColor="text1"/>
        </w:rPr>
        <w:t xml:space="preserve">their performance in </w:t>
      </w:r>
      <w:r w:rsidR="005538EA" w:rsidRPr="00D07897">
        <w:rPr>
          <w:rFonts w:ascii="Book Antiqua" w:hAnsi="Book Antiqua" w:cs="Arial"/>
          <w:color w:val="000000" w:themeColor="text1"/>
        </w:rPr>
        <w:t xml:space="preserve">relation to </w:t>
      </w:r>
      <w:r w:rsidR="0088264E" w:rsidRPr="00D07897">
        <w:rPr>
          <w:rFonts w:ascii="Book Antiqua" w:hAnsi="Book Antiqua" w:cs="Arial"/>
          <w:color w:val="000000" w:themeColor="text1"/>
        </w:rPr>
        <w:t xml:space="preserve">each other and to </w:t>
      </w:r>
      <w:r w:rsidR="00943D40" w:rsidRPr="00D07897">
        <w:rPr>
          <w:rFonts w:ascii="Book Antiqua" w:hAnsi="Book Antiqua" w:cs="Arial"/>
          <w:color w:val="000000" w:themeColor="text1"/>
        </w:rPr>
        <w:t xml:space="preserve">clinical </w:t>
      </w:r>
      <w:r w:rsidR="00943D40" w:rsidRPr="00D07897">
        <w:rPr>
          <w:rFonts w:ascii="Book Antiqua" w:hAnsi="Book Antiqua" w:cs="Arial"/>
          <w:color w:val="000000" w:themeColor="text1"/>
        </w:rPr>
        <w:lastRenderedPageBreak/>
        <w:t>outcomes.</w:t>
      </w:r>
      <w:r w:rsidR="00DB35CE" w:rsidRPr="00D07897">
        <w:rPr>
          <w:rFonts w:ascii="Book Antiqua" w:hAnsi="Book Antiqua" w:cs="Arial"/>
          <w:color w:val="000000" w:themeColor="text1"/>
        </w:rPr>
        <w:t xml:space="preserve"> Our review highlights </w:t>
      </w:r>
      <w:r w:rsidR="00E73F13" w:rsidRPr="00D07897">
        <w:rPr>
          <w:rFonts w:ascii="Book Antiqua" w:hAnsi="Book Antiqua" w:cs="Arial"/>
          <w:color w:val="000000" w:themeColor="text1"/>
        </w:rPr>
        <w:t xml:space="preserve">both </w:t>
      </w:r>
      <w:r w:rsidR="00DB35CE" w:rsidRPr="00D07897">
        <w:rPr>
          <w:rFonts w:ascii="Book Antiqua" w:hAnsi="Book Antiqua" w:cs="Arial"/>
          <w:color w:val="000000" w:themeColor="text1"/>
        </w:rPr>
        <w:t>the adverse clinical implications of malnutrition in IBD</w:t>
      </w:r>
      <w:r w:rsidR="00E73F13" w:rsidRPr="00D07897">
        <w:rPr>
          <w:rFonts w:ascii="Book Antiqua" w:hAnsi="Book Antiqua" w:cs="Arial"/>
          <w:color w:val="000000" w:themeColor="text1"/>
        </w:rPr>
        <w:t xml:space="preserve"> as well as the paucity of NST and NAT data available in this population in comparison to other chronic disease populations</w:t>
      </w:r>
      <w:r w:rsidR="00201631"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{"citationItems":[{"id":"ITEM-1","itemData":{"ISSN":"0931-0509","abstract":"Background. Many patients with end</w:instrText>
      </w:r>
      <w:r w:rsidR="001B7C5F" w:rsidRPr="00D07897">
        <w:rPr>
          <w:rFonts w:ascii="宋体" w:eastAsia="宋体" w:hAnsi="宋体" w:cs="宋体" w:hint="eastAsia"/>
          <w:color w:val="000000" w:themeColor="text1"/>
        </w:rPr>
        <w:instrText>‐</w:instrText>
      </w:r>
      <w:r w:rsidR="001B7C5F" w:rsidRPr="00D07897">
        <w:rPr>
          <w:rFonts w:ascii="Book Antiqua" w:hAnsi="Book Antiqua" w:cs="Arial"/>
          <w:color w:val="000000" w:themeColor="text1"/>
        </w:rPr>
        <w:instrText>stage renal disease (ESRD) are malnourished and cross</w:instrText>
      </w:r>
      <w:r w:rsidR="001B7C5F" w:rsidRPr="00D07897">
        <w:rPr>
          <w:rFonts w:ascii="宋体" w:eastAsia="宋体" w:hAnsi="宋体" w:cs="宋体" w:hint="eastAsia"/>
          <w:color w:val="000000" w:themeColor="text1"/>
        </w:rPr>
        <w:instrText>‐</w:instrText>
      </w:r>
      <w:r w:rsidR="001B7C5F" w:rsidRPr="00D07897">
        <w:rPr>
          <w:rFonts w:ascii="Book Antiqua" w:hAnsi="Book Antiqua" w:cs="Arial"/>
          <w:color w:val="000000" w:themeColor="text1"/>
        </w:rPr>
        <w:instrText>sectional studies show that markers of malnutrition may predict death. Serum albumin (S</w:instrText>
      </w:r>
      <w:r w:rsidR="001B7C5F" w:rsidRPr="00D07897">
        <w:rPr>
          <w:rFonts w:ascii="宋体" w:eastAsia="宋体" w:hAnsi="宋体" w:cs="宋体" w:hint="eastAsia"/>
          <w:color w:val="000000" w:themeColor="text1"/>
        </w:rPr>
        <w:instrText>‐</w:instrText>
      </w:r>
      <w:r w:rsidR="001B7C5F" w:rsidRPr="00D07897">
        <w:rPr>
          <w:rFonts w:ascii="Book Antiqua" w:hAnsi="Book Antiqua" w:cs="Arial"/>
          <w:color w:val="000000" w:themeColor="text1"/>
        </w:rPr>
        <w:instrText>albumin), the commonest nutritional marker, has been criticized because it is so closely related to the effects of inflammation and other non</w:instrText>
      </w:r>
      <w:r w:rsidR="001B7C5F" w:rsidRPr="00D07897">
        <w:rPr>
          <w:rFonts w:ascii="宋体" w:eastAsia="宋体" w:hAnsi="宋体" w:cs="宋体" w:hint="eastAsia"/>
          <w:color w:val="000000" w:themeColor="text1"/>
        </w:rPr>
        <w:instrText>‐</w:instrText>
      </w:r>
      <w:r w:rsidR="001B7C5F" w:rsidRPr="00D07897">
        <w:rPr>
          <w:rFonts w:ascii="Book Antiqua" w:hAnsi="Book Antiqua" w:cs="Arial"/>
          <w:color w:val="000000" w:themeColor="text1"/>
        </w:rPr>
        <w:instrText>nutritional factors. Consequently, we need other nutritional markers that can predict outcome. However, males and females differ as regards body composition and it is not known how this may influence the predictive power of different nutritional markers.Methods. In 206 ESRD patients (126 males) aged 52±1 years, we evaluated the relationship between survival and five estimates of nutritional status (S</w:instrText>
      </w:r>
      <w:r w:rsidR="001B7C5F" w:rsidRPr="00D07897">
        <w:rPr>
          <w:rFonts w:ascii="宋体" w:eastAsia="宋体" w:hAnsi="宋体" w:cs="宋体" w:hint="eastAsia"/>
          <w:color w:val="000000" w:themeColor="text1"/>
        </w:rPr>
        <w:instrText>‐</w:instrText>
      </w:r>
      <w:r w:rsidR="001B7C5F" w:rsidRPr="00D07897">
        <w:rPr>
          <w:rFonts w:ascii="Book Antiqua" w:hAnsi="Book Antiqua" w:cs="Arial"/>
          <w:color w:val="000000" w:themeColor="text1"/>
        </w:rPr>
        <w:instrText>albumin, subjective global assessment (SGA), lean body mass (LBM), body fat mass (FM) assessed by dual</w:instrText>
      </w:r>
      <w:r w:rsidR="001B7C5F" w:rsidRPr="00D07897">
        <w:rPr>
          <w:rFonts w:ascii="宋体" w:eastAsia="宋体" w:hAnsi="宋体" w:cs="宋体" w:hint="eastAsia"/>
          <w:color w:val="000000" w:themeColor="text1"/>
        </w:rPr>
        <w:instrText>‐</w:instrText>
      </w:r>
      <w:r w:rsidR="001B7C5F" w:rsidRPr="00D07897">
        <w:rPr>
          <w:rFonts w:ascii="Book Antiqua" w:hAnsi="Book Antiqua" w:cs="Arial"/>
          <w:color w:val="000000" w:themeColor="text1"/>
        </w:rPr>
        <w:instrText>energy X</w:instrText>
      </w:r>
      <w:r w:rsidR="001B7C5F" w:rsidRPr="00D07897">
        <w:rPr>
          <w:rFonts w:ascii="宋体" w:eastAsia="宋体" w:hAnsi="宋体" w:cs="宋体" w:hint="eastAsia"/>
          <w:color w:val="000000" w:themeColor="text1"/>
        </w:rPr>
        <w:instrText>‐</w:instrText>
      </w:r>
      <w:r w:rsidR="001B7C5F" w:rsidRPr="00D07897">
        <w:rPr>
          <w:rFonts w:ascii="Book Antiqua" w:hAnsi="Book Antiqua" w:cs="Arial"/>
          <w:color w:val="000000" w:themeColor="text1"/>
        </w:rPr>
        <w:instrText>ray absorptiometry, and handgrip strength (HGS)) close to start of renal replacement therapy (RRT). The patients were also classified as regards the presence of cardiovascular disease (CVD), diabetes mellitus (DM), and inflammation (CRP≥10</w:instrText>
      </w:r>
      <w:r w:rsidR="001B7C5F" w:rsidRPr="00D07897">
        <w:rPr>
          <w:rFonts w:ascii="Times New Roman" w:hAnsi="Times New Roman"/>
          <w:color w:val="000000" w:themeColor="text1"/>
        </w:rPr>
        <w:instrText> </w:instrText>
      </w:r>
      <w:r w:rsidR="001B7C5F" w:rsidRPr="00D07897">
        <w:rPr>
          <w:rFonts w:ascii="Book Antiqua" w:hAnsi="Book Antiqua" w:cs="Arial"/>
          <w:color w:val="000000" w:themeColor="text1"/>
        </w:rPr>
        <w:instrText>mg/l). Mortality was monitored over mean follow</w:instrText>
      </w:r>
      <w:r w:rsidR="001B7C5F" w:rsidRPr="00D07897">
        <w:rPr>
          <w:rFonts w:ascii="宋体" w:eastAsia="宋体" w:hAnsi="宋体" w:cs="宋体" w:hint="eastAsia"/>
          <w:color w:val="000000" w:themeColor="text1"/>
        </w:rPr>
        <w:instrText>‐</w:instrText>
      </w:r>
      <w:r w:rsidR="001B7C5F" w:rsidRPr="00D07897">
        <w:rPr>
          <w:rFonts w:ascii="Book Antiqua" w:hAnsi="Book Antiqua" w:cs="Arial"/>
          <w:color w:val="000000" w:themeColor="text1"/>
        </w:rPr>
        <w:instrText>up period of 37±2 months.Results. In the whole patient group, the presence of CVD, DM, inflammation, and malnutrition (SGA &amp;gt;1) close to start of RRT all predicted poor outcome. However, whereas inflammation strongly predicted (P&amp;lt;0.0001) poor outcome in males, no such effect was observed in females. Also, differences were found between males and females regarding the predictive value of the five different nutritional estimates. Whereas HGS, SGA, and S</w:instrText>
      </w:r>
      <w:r w:rsidR="001B7C5F" w:rsidRPr="00D07897">
        <w:rPr>
          <w:rFonts w:ascii="宋体" w:eastAsia="宋体" w:hAnsi="宋体" w:cs="宋体" w:hint="eastAsia"/>
          <w:color w:val="000000" w:themeColor="text1"/>
        </w:rPr>
        <w:instrText>‐</w:instrText>
      </w:r>
      <w:r w:rsidR="001B7C5F" w:rsidRPr="00D07897">
        <w:rPr>
          <w:rFonts w:ascii="Book Antiqua" w:hAnsi="Book Antiqua" w:cs="Arial"/>
          <w:color w:val="000000" w:themeColor="text1"/>
        </w:rPr>
        <w:instrText>albumin independently predicted poor outcome in males, only SGA predicted outcome (independently of age, CVD, and DM) in females.Conclusions. Mild to moderate malnutrition, as assessed by SGA, was present in 39% of the patients and predicted outcome independently of age and co</w:instrText>
      </w:r>
      <w:r w:rsidR="001B7C5F" w:rsidRPr="00D07897">
        <w:rPr>
          <w:rFonts w:ascii="宋体" w:eastAsia="宋体" w:hAnsi="宋体" w:cs="宋体" w:hint="eastAsia"/>
          <w:color w:val="000000" w:themeColor="text1"/>
        </w:rPr>
        <w:instrText>‐</w:instrText>
      </w:r>
      <w:r w:rsidR="001B7C5F" w:rsidRPr="00D07897">
        <w:rPr>
          <w:rFonts w:ascii="Book Antiqua" w:hAnsi="Book Antiqua" w:cs="Arial"/>
          <w:color w:val="000000" w:themeColor="text1"/>
        </w:rPr>
        <w:instrText>morbidity in both males and females. However, the predictive power of various other nutritional markers differed markedly between male and female patients. Whereas a low HGS was an excellent independent outcome predictor in males, no predictive power of this parameter was found in females. S</w:instrText>
      </w:r>
      <w:r w:rsidR="001B7C5F" w:rsidRPr="00D07897">
        <w:rPr>
          <w:rFonts w:ascii="宋体" w:eastAsia="宋体" w:hAnsi="宋体" w:cs="宋体" w:hint="eastAsia"/>
          <w:color w:val="000000" w:themeColor="text1"/>
        </w:rPr>
        <w:instrText>‐</w:instrText>
      </w:r>
      <w:r w:rsidR="001B7C5F" w:rsidRPr="00D07897">
        <w:rPr>
          <w:rFonts w:ascii="Book Antiqua" w:hAnsi="Book Antiqua" w:cs="Arial"/>
          <w:color w:val="000000" w:themeColor="text1"/>
        </w:rPr>
        <w:instrText>albumin is more closely related to co</w:instrText>
      </w:r>
      <w:r w:rsidR="001B7C5F" w:rsidRPr="00D07897">
        <w:rPr>
          <w:rFonts w:ascii="宋体" w:eastAsia="宋体" w:hAnsi="宋体" w:cs="宋体" w:hint="eastAsia"/>
          <w:color w:val="000000" w:themeColor="text1"/>
        </w:rPr>
        <w:instrText>‐</w:instrText>
      </w:r>
      <w:r w:rsidR="001B7C5F" w:rsidRPr="00D07897">
        <w:rPr>
          <w:rFonts w:ascii="Book Antiqua" w:hAnsi="Book Antiqua" w:cs="Arial"/>
          <w:color w:val="000000" w:themeColor="text1"/>
        </w:rPr>
        <w:instrText>morbidity and inflammation than nutritional status in patients close to start of RRT. We conclude that sex is an important factor that must be taken into account in studies on nutrition and nutritional interventions in ESRD patients.","author":[{"dropping-particle":"","family":"Stenvinkel","given":"Peter","non-dropping-particle":"","parse-names":false,"suffix":""},{"dropping-particle":"","family":"Barany","given":"Peter","non-dropping-particle":"","parse-names":false,"suffix":""},{"dropping-particle":"","family":"Chung","given":"Sung Hee","non-dropping-particle":"","parse-names":false,"suffix":""},{"dropping-particle":"","family":"Lindholm","given":"Bengt","non-dropping-particle":"","parse-names":false,"suffix":""},{"dropping-particle":"","family":"Heimbürger","given":"Olof","non-dropping-particle":"","parse-names":false,"suffix":""}],"container-title":"Nephrology Dialysis Transplantation","id":"ITEM-1","issue":"7","issued":{"date-parts":[["2002","7","1"]]},"note":"10.1093/ndt/17.7.1266","page":"1266-1274","title":"A comparative analysis of nutritional parameters as predictors of outcome in male and female ESRD patients","type":"article-journal","volume":"17"},"uris":["http://www.mendeley.com/documents/?uuid=2c26e33a-d65f-4a56-a912-7f5dad2637d1"]},{"id":"ITEM-2","itemData":{"DOI":"10.1007/s10741-016-9540-0","ISSN":"1573-7322 (Electronic)","PMID":"26920682","abstract":"Recent studies have suggested that undernutrition as defined using multidimensional nutritional evaluation tools may affect clinical outcomes in heart failure (HF). The evidence supporting this correlation is unclear. Therefore, we conducted this systematic review to critically appraise the use of multidimensional evaluation tools in the prediction of clinical outcomes in HF. We performed descriptive analyses of all identified articles involving qualitative analyses. We used STATA to conduct meta-analyses when at least three studies that tested the same type of nutritional assessment or screening tools and used the same outcome were identified. Sensitivity analyses were conducted to validate our positive results. We identified 17 articles with qualitative analyses and 11 with quantitative analysis after comprehensive literature searching and screening. We determined that the prevalence of malnutrition is high in HF (range 16-90 %), particularly in advanced and acute decompensated HF (approximate range 75-90 %). Undernutrition as identified by multidimensional evaluation tools may be significantly associated with hospitalization, length of stay and complications and is particularly strongly associated with high mortality. The meta-analysis revealed that compared with other tools, Mini Nutritional Assessment (MNA) scores were the strongest predictors of mortality in HF [HR (4.32, 95 % CI 2.30-8.11)]. Our results remained reliable after conducting sensitivity analyses. The prevalence of malnutrition is high in HF, particularly in advanced and acute decompensated HF. Moreover, undernutrition as identified by multidimensional evaluation tools is significantly associated with unfavourable prognoses and high mortality in HF.","author":[{"dropping-particle":"","family":"Lin","given":"Hong","non-dropping-particle":"","parse-names":false,"suffix":""},{"dropping-particle":"","family":"Zhang","given":"Haifeng","non-dropping-particle":"","parse-names":false,"suffix":""},{"dropping-particle":"","family":"Lin","given":"Zheng","non-dropping-particle":"","parse-names":false,"suffix":""},{"dropping-particle":"","family":"Li","given":"Xinli","non-dropping-particle":"","parse-names":false,"suffix":""},{"dropping-particle":"","family":"Kong","given":"Xiangqin","non-dropping-particle":"","parse-names":false,"suffix":""},{"dropping-particle":"","family":"Sun","given":"Gouzhen","non-dropping-particle":"","parse-names":false,"suffix":""}],"container-title":"Heart failure reviews","id":"ITEM-2","issue":"5","issued":{"date-parts":[["2016","9"]]},"language":"eng","page":"549-565","publisher-place":"United States","title":"Review of nutritional screening and assessment tools and clinical outcomes in heart failure.","type":"article-journal","volume":"21"},"uris":["http://www.mendeley.com/documents/?uuid=99157e80-9074-41bf-baa1-bb62baf1e8d9"]},{"id":"ITEM-3","itemData":{"DOI":"10.1177/0148607115625638","ISSN":"1941-2444 (Electronic)","PMID":"26838530","abstract":"Malnutrition is associated with poor clinical outcomes among hospitalized patients. However, studies linking malnutrition with poor clinical outcomes in the intensive care unit (ICU) often have conflicting findings due in part to the inappropriate diagnosis of malnutrition. We primarily aimed to determine whether malnutrition diagnosed by validated nutrition assessment tools such as the Subjective Global Assessment (SGA) or Mini Nutritional Assessment (MNA) is independently associated with poorer clinical outcomes in the ICU and if the use of nutrition screening tools demonstrate a similar association. PubMed, CINAHL, Scopus, and Cochrane Library were systematically searched for eligible studies. Search terms included were synonyms of malnutrition, nutritional status, screening, assessment, and intensive care unit. Eligible studies were case-control or cohort studies that recruited adults in the ICU; conducted the SGA, MNA, or used nutrition screening tools before or within 48 hours of ICU admission; and reported the prevalence of malnutrition and relevant clinical outcomes including mortality, length of stay (LOS), and incidence of infection (IOI). Twenty of 1168 studies were eligible. The prevalence of malnutrition ranged from 38% to 78%. Malnutrition diagnosed by nutrition assessments was independently associated with increased ICU LOS, ICU readmission, IOI, and the risk of hospital mortality. The SGA clearly had better predictive validity than the MNA. The association between malnutrition risk determined by nutrition screening was less consistent. Malnutrition is independently associated with poorer clinical outcomes in the ICU. Compared with nutrition assessment tools, the predictive validity of nutrition screening tools were less consistent.","author":[{"dropping-particle":"","family":"Lew","given":"Charles Chin Han","non-dropping-particle":"","parse-names":false,"suffix":""},{"dropping-particle":"","family":"Yandell","given":"Rosalie","non-dropping-particle":"","parse-names":false,"suffix":""},{"dropping-particle":"","family":"Fraser","given":"Robert J L","non-dropping-particle":"","parse-names":false,"suffix":""},{"dropping-particle":"","family":"Chua","given":"Ai Ping","non-dropping-particle":"","parse-names":false,"suffix":""},{"dropping-particle":"","family":"Chong","given":"Mary Foong Fong","non-dropping-particle":"","parse-names":false,"suffix":""},{"dropping-particle":"","family":"Miller","given":"Michelle","non-dropping-particle":"","parse-names":false,"suffix":""}],"container-title":"JPEN. Journal of parenteral and enteral nutrition","id":"ITEM-3","issue":"5","issued":{"date-parts":[["2017","7"]]},"language":"eng","page":"744-758","publisher-place":"United States","title":"Association Between Malnutrition and Clinical Outcomes in the Intensive Care Unit: A Systematic Review [Formula: see text].","type":"article-journal","volume":"41"},"uris":["http://www.mendeley.com/documents/?uuid=8a86c478-4e05-4c7c-a64f-4e8c519a1668"]},{"id":"ITEM-4","itemData":{"DOI":"10.7762/cnr.2016.5.2.65","ISSN":"2287-3732 (Print)","PMID":"27152296","abstract":"The incidence and mortality of gastric cancer have been steadily decreased over the past few decades. However, gastric cancer is still one of the leading causes of cancer deaths across many regions of the world, particularly in Asian countries. In previous studies, nutrition has been considered one of significant risk factors in gastric cancer patients. Especially, malnourished patients are at greater risk of adverse clinical outcomes (e.g., longer hospital stay) and higher incidence of complications (e.g., wound/infectious complications) compared to well-nourished patients. Malnutrition is commonly found in advanced gastric cancer patients due to poor absorption of essential nutrients after surgery. Therefore, nutritional support protocols, such as early oral and enternal feeding, have been proposed in many studies, to improve unfavorable clinical outcomes and to reduce complications due to delayed application of oral nutritional support or parental feeding. Also, the supplied with enternal immune-enriched diet had more benefits in improving clinical outcomes and fewer complications compared to a group supplied with control formula. Using nutritional screening tools, such as nutritional risk index (NRI) and nutritional risk screening (NRS 2002), malnourished patients showed higher incidence of complications and lower survival rates than non-malnourished patients. However, a long-term nutritional intervention, such as nutritional counseling, was not effective in the patients. Therefore, early assessment of nutritional status in patients using a proper nutritional screening tool is suggested to prevent malnutrition and adverse health outcomes. Further studies with numerous ethnic groups may provide stronger scientific evidences in association between nutritional care and recovery from surgery in patients with gastric cancer. ","author":[{"dropping-particle":"","family":"Choi","given":"Wook Jin","non-dropping-particle":"","parse-names":false,"suffix":""},{"dropping-particle":"","family":"Kim","given":"Jeongseon","non-dropping-particle":"","parse-names":false,"suffix":""}],"container-title":"Clinical Nutrition Research","id":"ITEM-4","issue":"2","issued":{"date-parts":[["2016","4"]]},"language":"eng","page":"65-78","title":"Nutritional Care of Gastric Cancer Patients with Clinical Outcomes and Complications: A Review","type":"article","volume":"5"},"uris":["http://www.mendeley.com/documents/?uuid=0bbc0029-dd60-43c3-a240-58aec3e37755"]}],"mendeley":{"formattedCitation":"&lt;sup&gt;[37–40]&lt;/sup&gt;","plainTextFormattedCitation":"[37–40]","previouslyFormattedCitation":"&lt;sup&gt;[36–39]&lt;/sup&gt;"},"properties":{"noteIndex":0},"schema":"https://github.com/citation-style-language/schema/raw/master/csl-citation.json"}</w:instrText>
      </w:r>
      <w:r w:rsidR="00201631"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[37</w:t>
      </w:r>
      <w:r w:rsidR="006E7C6A" w:rsidRPr="00D07897">
        <w:rPr>
          <w:rFonts w:ascii="Book Antiqua" w:hAnsi="Book Antiqua" w:cs="Arial"/>
          <w:noProof/>
          <w:color w:val="000000" w:themeColor="text1"/>
          <w:vertAlign w:val="superscript"/>
        </w:rPr>
        <w:t>-</w:t>
      </w:r>
      <w:r w:rsidR="001B7C5F" w:rsidRPr="00D07897">
        <w:rPr>
          <w:rFonts w:ascii="Book Antiqua" w:hAnsi="Book Antiqua" w:cs="Arial"/>
          <w:noProof/>
          <w:color w:val="000000" w:themeColor="text1"/>
          <w:vertAlign w:val="superscript"/>
        </w:rPr>
        <w:t>40]</w:t>
      </w:r>
      <w:r w:rsidR="00201631" w:rsidRPr="00D07897">
        <w:rPr>
          <w:rFonts w:ascii="Book Antiqua" w:hAnsi="Book Antiqua" w:cs="Arial"/>
          <w:color w:val="000000" w:themeColor="text1"/>
        </w:rPr>
        <w:fldChar w:fldCharType="end"/>
      </w:r>
      <w:r w:rsidR="00201631" w:rsidRPr="00D07897">
        <w:rPr>
          <w:rFonts w:ascii="Book Antiqua" w:hAnsi="Book Antiqua" w:cs="Arial"/>
          <w:color w:val="000000" w:themeColor="text1"/>
        </w:rPr>
        <w:t xml:space="preserve">. </w:t>
      </w:r>
      <w:r w:rsidR="00305B76" w:rsidRPr="00D07897">
        <w:rPr>
          <w:rFonts w:ascii="Book Antiqua" w:hAnsi="Book Antiqua" w:cs="Arial"/>
          <w:color w:val="000000" w:themeColor="text1"/>
        </w:rPr>
        <w:t xml:space="preserve">Although the </w:t>
      </w:r>
      <w:r w:rsidR="00F8249C" w:rsidRPr="00D07897">
        <w:rPr>
          <w:rFonts w:ascii="Book Antiqua" w:hAnsi="Book Antiqua" w:cs="Arial"/>
          <w:color w:val="000000" w:themeColor="text1"/>
        </w:rPr>
        <w:t xml:space="preserve">reviewed </w:t>
      </w:r>
      <w:r w:rsidR="00305B76" w:rsidRPr="00D07897">
        <w:rPr>
          <w:rFonts w:ascii="Book Antiqua" w:hAnsi="Book Antiqua" w:cs="Arial"/>
          <w:color w:val="000000" w:themeColor="text1"/>
        </w:rPr>
        <w:t xml:space="preserve">studies </w:t>
      </w:r>
      <w:r w:rsidR="00E73F13" w:rsidRPr="00D07897">
        <w:rPr>
          <w:rFonts w:ascii="Book Antiqua" w:hAnsi="Book Antiqua" w:cs="Arial"/>
          <w:color w:val="000000" w:themeColor="text1"/>
        </w:rPr>
        <w:t xml:space="preserve">were </w:t>
      </w:r>
      <w:r w:rsidR="00305B76" w:rsidRPr="00D07897">
        <w:rPr>
          <w:rFonts w:ascii="Book Antiqua" w:hAnsi="Book Antiqua" w:cs="Arial"/>
          <w:color w:val="000000" w:themeColor="text1"/>
        </w:rPr>
        <w:t>not amenable to meta-analysis due to</w:t>
      </w:r>
      <w:r w:rsidR="000D20AF" w:rsidRPr="00D07897">
        <w:rPr>
          <w:rFonts w:ascii="Book Antiqua" w:hAnsi="Book Antiqua" w:cs="Arial"/>
          <w:color w:val="000000" w:themeColor="text1"/>
        </w:rPr>
        <w:t xml:space="preserve"> heterogene</w:t>
      </w:r>
      <w:r w:rsidR="00305B76" w:rsidRPr="00D07897">
        <w:rPr>
          <w:rFonts w:ascii="Book Antiqua" w:hAnsi="Book Antiqua" w:cs="Arial"/>
          <w:color w:val="000000" w:themeColor="text1"/>
        </w:rPr>
        <w:t>ity</w:t>
      </w:r>
      <w:r w:rsidR="000D20AF" w:rsidRPr="00D07897">
        <w:rPr>
          <w:rFonts w:ascii="Book Antiqua" w:hAnsi="Book Antiqua" w:cs="Arial"/>
          <w:color w:val="000000" w:themeColor="text1"/>
        </w:rPr>
        <w:t xml:space="preserve"> </w:t>
      </w:r>
      <w:r w:rsidR="00305B76" w:rsidRPr="00D07897">
        <w:rPr>
          <w:rFonts w:ascii="Book Antiqua" w:hAnsi="Book Antiqua" w:cs="Arial"/>
          <w:color w:val="000000" w:themeColor="text1"/>
        </w:rPr>
        <w:t>and</w:t>
      </w:r>
      <w:r w:rsidR="000D20AF" w:rsidRPr="00D07897">
        <w:rPr>
          <w:rFonts w:ascii="Book Antiqua" w:hAnsi="Book Antiqua" w:cs="Arial"/>
          <w:color w:val="000000" w:themeColor="text1"/>
        </w:rPr>
        <w:t xml:space="preserve"> observational non-randomized</w:t>
      </w:r>
      <w:r w:rsidR="00254830" w:rsidRPr="00D07897">
        <w:rPr>
          <w:rFonts w:ascii="Book Antiqua" w:hAnsi="Book Antiqua" w:cs="Arial"/>
          <w:color w:val="000000" w:themeColor="text1"/>
        </w:rPr>
        <w:t>,</w:t>
      </w:r>
      <w:r w:rsidR="000D20AF" w:rsidRPr="00D07897">
        <w:rPr>
          <w:rFonts w:ascii="Book Antiqua" w:hAnsi="Book Antiqua" w:cs="Arial"/>
          <w:color w:val="000000" w:themeColor="text1"/>
        </w:rPr>
        <w:t xml:space="preserve"> non</w:t>
      </w:r>
      <w:r w:rsidR="00305B76" w:rsidRPr="00D07897">
        <w:rPr>
          <w:rFonts w:ascii="Book Antiqua" w:hAnsi="Book Antiqua" w:cs="Arial"/>
          <w:color w:val="000000" w:themeColor="text1"/>
        </w:rPr>
        <w:t xml:space="preserve">-controlled </w:t>
      </w:r>
      <w:r w:rsidR="00E73F13" w:rsidRPr="00D07897">
        <w:rPr>
          <w:rFonts w:ascii="Book Antiqua" w:hAnsi="Book Antiqua" w:cs="Arial"/>
          <w:color w:val="000000" w:themeColor="text1"/>
        </w:rPr>
        <w:t xml:space="preserve">study </w:t>
      </w:r>
      <w:r w:rsidR="00305B76" w:rsidRPr="00D07897">
        <w:rPr>
          <w:rFonts w:ascii="Book Antiqua" w:hAnsi="Book Antiqua" w:cs="Arial"/>
          <w:color w:val="000000" w:themeColor="text1"/>
        </w:rPr>
        <w:t>design</w:t>
      </w:r>
      <w:r w:rsidR="008F6E8C" w:rsidRPr="00D07897">
        <w:rPr>
          <w:rFonts w:ascii="Book Antiqua" w:hAnsi="Book Antiqua" w:cs="Arial"/>
          <w:color w:val="000000" w:themeColor="text1"/>
        </w:rPr>
        <w:t>s</w:t>
      </w:r>
      <w:r w:rsidR="00305B76" w:rsidRPr="00D07897">
        <w:rPr>
          <w:rFonts w:ascii="Book Antiqua" w:hAnsi="Book Antiqua" w:cs="Arial"/>
          <w:color w:val="000000" w:themeColor="text1"/>
        </w:rPr>
        <w:t>,</w:t>
      </w:r>
      <w:r w:rsidR="000D20AF" w:rsidRPr="00D07897">
        <w:rPr>
          <w:rFonts w:ascii="Book Antiqua" w:hAnsi="Book Antiqua" w:cs="Arial"/>
          <w:color w:val="000000" w:themeColor="text1"/>
        </w:rPr>
        <w:t xml:space="preserve"> </w:t>
      </w:r>
      <w:r w:rsidR="006D5C73" w:rsidRPr="00D07897">
        <w:rPr>
          <w:rFonts w:ascii="Book Antiqua" w:hAnsi="Book Antiqua" w:cs="Arial"/>
          <w:color w:val="000000" w:themeColor="text1"/>
        </w:rPr>
        <w:t xml:space="preserve">multiple </w:t>
      </w:r>
      <w:r w:rsidR="000D20AF" w:rsidRPr="00D07897">
        <w:rPr>
          <w:rFonts w:ascii="Book Antiqua" w:hAnsi="Book Antiqua" w:cs="Arial"/>
          <w:color w:val="000000" w:themeColor="text1"/>
        </w:rPr>
        <w:t xml:space="preserve">conclusions can </w:t>
      </w:r>
      <w:r w:rsidR="001C17B2" w:rsidRPr="00D07897">
        <w:rPr>
          <w:rFonts w:ascii="Book Antiqua" w:hAnsi="Book Antiqua" w:cs="Arial"/>
          <w:color w:val="000000" w:themeColor="text1"/>
        </w:rPr>
        <w:t xml:space="preserve">still </w:t>
      </w:r>
      <w:r w:rsidR="000D20AF" w:rsidRPr="00D07897">
        <w:rPr>
          <w:rFonts w:ascii="Book Antiqua" w:hAnsi="Book Antiqua" w:cs="Arial"/>
          <w:color w:val="000000" w:themeColor="text1"/>
        </w:rPr>
        <w:t>be drawn</w:t>
      </w:r>
      <w:r w:rsidR="00105953" w:rsidRPr="00D07897">
        <w:rPr>
          <w:rFonts w:ascii="Book Antiqua" w:hAnsi="Book Antiqua" w:cs="Arial"/>
          <w:color w:val="000000" w:themeColor="text1"/>
        </w:rPr>
        <w:t xml:space="preserve"> to </w:t>
      </w:r>
      <w:r w:rsidR="00E73F13" w:rsidRPr="00D07897">
        <w:rPr>
          <w:rFonts w:ascii="Book Antiqua" w:hAnsi="Book Antiqua" w:cs="Arial"/>
          <w:color w:val="000000" w:themeColor="text1"/>
        </w:rPr>
        <w:t xml:space="preserve">summarize the current state and </w:t>
      </w:r>
      <w:r w:rsidR="00105953" w:rsidRPr="00D07897">
        <w:rPr>
          <w:rFonts w:ascii="Book Antiqua" w:hAnsi="Book Antiqua" w:cs="Arial"/>
          <w:color w:val="000000" w:themeColor="text1"/>
        </w:rPr>
        <w:t xml:space="preserve">guide future </w:t>
      </w:r>
      <w:r w:rsidR="00526844" w:rsidRPr="00D07897">
        <w:rPr>
          <w:rFonts w:ascii="Book Antiqua" w:hAnsi="Book Antiqua" w:cs="Arial"/>
          <w:color w:val="000000" w:themeColor="text1"/>
        </w:rPr>
        <w:t xml:space="preserve">work </w:t>
      </w:r>
      <w:r w:rsidR="00105953" w:rsidRPr="00D07897">
        <w:rPr>
          <w:rFonts w:ascii="Book Antiqua" w:hAnsi="Book Antiqua" w:cs="Arial"/>
          <w:color w:val="000000" w:themeColor="text1"/>
        </w:rPr>
        <w:t>in the area</w:t>
      </w:r>
      <w:r w:rsidR="00694A8B" w:rsidRPr="00D07897">
        <w:rPr>
          <w:rFonts w:ascii="Book Antiqua" w:hAnsi="Book Antiqua" w:cs="Arial"/>
          <w:color w:val="000000" w:themeColor="text1"/>
        </w:rPr>
        <w:t>.</w:t>
      </w:r>
    </w:p>
    <w:p w14:paraId="09B01113" w14:textId="0616BF8A" w:rsidR="00EF60E1" w:rsidRPr="00D07897" w:rsidRDefault="006D5C73" w:rsidP="006E7C6A">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t>First,</w:t>
      </w:r>
      <w:r w:rsidR="00DA2BD3" w:rsidRPr="00D07897">
        <w:rPr>
          <w:rFonts w:ascii="Book Antiqua" w:hAnsi="Book Antiqua" w:cs="Arial"/>
          <w:color w:val="000000" w:themeColor="text1"/>
        </w:rPr>
        <w:t xml:space="preserve"> our review reinforces the high prevalence of malnutrition in patients with IBD. </w:t>
      </w:r>
      <w:r w:rsidR="003A4C79" w:rsidRPr="00D07897">
        <w:rPr>
          <w:rFonts w:ascii="Book Antiqua" w:hAnsi="Book Antiqua" w:cs="Arial"/>
          <w:color w:val="000000" w:themeColor="text1"/>
        </w:rPr>
        <w:t xml:space="preserve">One in four outpatients and </w:t>
      </w:r>
      <w:r w:rsidR="006C5FB5" w:rsidRPr="00D07897">
        <w:rPr>
          <w:rFonts w:ascii="Book Antiqua" w:hAnsi="Book Antiqua" w:cs="Arial"/>
          <w:color w:val="000000" w:themeColor="text1"/>
        </w:rPr>
        <w:t xml:space="preserve">approximately </w:t>
      </w:r>
      <w:r w:rsidR="003A4C79" w:rsidRPr="00D07897">
        <w:rPr>
          <w:rFonts w:ascii="Book Antiqua" w:hAnsi="Book Antiqua" w:cs="Arial"/>
          <w:color w:val="000000" w:themeColor="text1"/>
        </w:rPr>
        <w:t xml:space="preserve">two in three inpatients were found to be at </w:t>
      </w:r>
      <w:r w:rsidR="00DA2BD3" w:rsidRPr="00D07897">
        <w:rPr>
          <w:rFonts w:ascii="Book Antiqua" w:hAnsi="Book Antiqua" w:cs="Arial"/>
          <w:color w:val="000000" w:themeColor="text1"/>
        </w:rPr>
        <w:t xml:space="preserve">nutritional risk. These results are consistent with prior studies </w:t>
      </w:r>
      <w:r w:rsidR="00F8249C" w:rsidRPr="00D07897">
        <w:rPr>
          <w:rFonts w:ascii="Book Antiqua" w:hAnsi="Book Antiqua" w:cs="Arial"/>
          <w:color w:val="000000" w:themeColor="text1"/>
        </w:rPr>
        <w:t xml:space="preserve">confirming </w:t>
      </w:r>
      <w:r w:rsidR="00DA2BD3" w:rsidRPr="00D07897">
        <w:rPr>
          <w:rFonts w:ascii="Book Antiqua" w:hAnsi="Book Antiqua" w:cs="Arial"/>
          <w:color w:val="000000" w:themeColor="text1"/>
        </w:rPr>
        <w:t xml:space="preserve">the </w:t>
      </w:r>
      <w:r w:rsidR="00F8249C" w:rsidRPr="00D07897">
        <w:rPr>
          <w:rFonts w:ascii="Book Antiqua" w:hAnsi="Book Antiqua" w:cs="Arial"/>
          <w:color w:val="000000" w:themeColor="text1"/>
        </w:rPr>
        <w:t xml:space="preserve">substantial </w:t>
      </w:r>
      <w:r w:rsidR="00DA2BD3" w:rsidRPr="00D07897">
        <w:rPr>
          <w:rFonts w:ascii="Book Antiqua" w:hAnsi="Book Antiqua" w:cs="Arial"/>
          <w:color w:val="000000" w:themeColor="text1"/>
        </w:rPr>
        <w:t>prevalence of malnutrition in IBD</w:t>
      </w:r>
      <w:r w:rsidR="00DA2BD3"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{"citationItems":[{"id":"ITEM-1","itemData":{"DOI":"10.1016/j.ejim.2010.04.012","ISSN":"1879-0828 (Electronic)","PMID":"20603043","abstract":"BACKGROUND AND AIM: Malnutrition is a common feature of inflammatory bowel disease (IBD). There are numerous methods for the assessment of nutritional status, but the gold standard has not yet been established. The aims of the study were to estimate the prevalence of undernutrition and to evaluate methods for routine nutritional assessment of active IBD patients. MATERIAL AND METHODS: Twenty-three patients with active Crohn disease, 53 patients with active ulcerative colitis and 30 controls were included in the study. The nutritional status was assessed by extensive anthropometric measurements, percentage of weight loss in the past 1-6 months and biochemical markers of nutrition. RESULTS: All investigated nutritional parameters were significantly different in IBD patients compared to control subjects, except MCV, tryglicerides and serum total protein level. Serum albumin level and body mass index (BMI) were the most predictive parameters of malnutrition. According to different assessment methods the prevalence of undernutrition and severe undernutrition in patients with active IBD were 25.0%-69.7% and 1.3%-31.6%, respectively, while in the control subjects no abnormalities have been detected. There was no statistically significant difference of nutritional parameters between UC and CD patients except lower mid-arm muscle circumference in UC group. CONCLUSIONS: Malnutrition is common in IBD patients. BMI and serum albumin are simple and convenient methods for the assessment of the nutritional status in IBD patients. Further studies with larger group of patients are necessary to elucidate the prevalence of malnutrition and the most accurate assessment methods in IBD patients.","author":[{"dropping-particle":"","family":"Mijac","given":"Dragana D","non-dropping-particle":"","parse-names":false,"suffix":""},{"dropping-particle":"","family":"Jankovic","given":"Goran L J","non-dropping-particle":"","parse-names":false,"suffix":""},{"dropping-particle":"","family":"Jorga","given":"Jagoda","non-dropping-particle":"","parse-names":false,"suffix":""},{"dropping-particle":"","family":"Krstic","given":"Miodrag N","non-dropping-particle":"","parse-names":false,"suffix":""}],"container-title":"European journal of internal medicine","id":"ITEM-1","issue":"4","issued":{"date-parts":[["2010","8"]]},"language":"eng","page":"315-319","publisher-place":"Netherlands","title":"Nutritional status in patients with active inflammatory bowel disease: prevalence of malnutrition and methods for routine nutritional assessment.","type":"article-journal","volume":"21"},"uris":["http://www.mendeley.com/documents/?uuid=a5ad8efd-add5-4c07-b651-b3a955b480c3"]},{"id":"ITEM-2","itemData":{"ISSN":"0975-0711 (Electronic)","PMID":"19112190","abstract":"BACKGROUND AND AIM: Malnutrition is a common feature in patients with Crohn's disease (CD), which leads to frequent infections and poor prognosis. In view of the rising incidence of CD in India we planned this study to assess the nutritional status of patients with CD. METHODS: Nutritional status of 112 patients (mean age 35.9 [SD 11.7] years; 61 men) with CD was assessed by anthropometric, dietary and biochemical parameters. Patients were considered malnourished if 3 or more anthropometric parameters (% ideal body weight [IBW], % tricep skin fold [TSF], %mid upper arm circumference [MUAC], and % mid arm muscle circumference [MAMC], body mass index [BMI]) were abnormal. Dietary intake was assessed by a 24-hour dietary recall along with a semi-quantitative food frequency method. Eighty volunteers were taken as healthy controls (HC). RESULTS: At the time of assessment, 77 patients were in remission and 35 had active disease. The values of BMI, MUAC, TSF and mid arm fat area (MAFA) in patients were significantly lower than those in healthy controls. MAMC and mid arm muscle area (MAMA) of patients and controls were comparable. TSF (Rem vs HC = 10.4 [2.8-71] vs 16 [3-41]) and MAFA (Rem vs HC = 1236 [240-7757] vs 1858 [322-5650]) of the patients in the remission phase were significantly lower than those of healthy controls; the remaining parameters were comparable. There was no difference in the dietary intake of patients in the remission and active phases, and healthy controls. The percentage energy fulfillment of the patients was lower than that of healthy controls. Twenty-nine of 35 (82.8%) patients in the active and 30 of 77 (38.9%) patients in the remission phase were malnourished (OR 7.5, 95% CI 2.8-20.4). The overall prevalence of malnutrition was 52.6% among patients. CONCLUSION: The percentage of malnourished patients in the active and remission phases of the disease was 82.8% and 38.9%, respectively, possibly due to low percentage energy fulfillment.","author":[{"dropping-particle":"","family":"Benjamin","given":"Jaya","non-dropping-particle":"","parse-names":false,"suffix":""},{"dropping-particle":"","family":"Makharia","given":"Govind K","non-dropping-particle":"","parse-names":false,"suffix":""},{"dropping-particle":"","family":"Kalaivani","given":"M","non-dropping-particle":"","parse-names":false,"suffix":""},{"dropping-particle":"","family":"Joshi","given":"Yogendra K","non-dropping-particle":"","parse-names":false,"suffix":""}],"container-title":"Indian journal of gastroenterology : official journal of the Indian Society of Gastroenterology","id":"ITEM-2","issue":"5","issued":{"date-parts":[["2008"]]},"language":"eng","page":"195-200","publisher-place":"India","title":"Nutritional status of patients with Crohn's disease.","type":"article-journal","volume":"27"},"uris":["http://www.mendeley.com/documents/?uuid=9a993646-b284-4b83-adac-e0825048ba41"]},{"id":"ITEM-3","itemData":{"DOI":"10.1093/ibd/izy212","ISSN":"1536-4844 (Electronic)","PMID":"29889230","abstract":"Background: Sarcopenia is associated with increased morbidity and mortality in oncologic and transplant surgery. It has a high incidence in chronic inflammatory states including inflammatory bowel disease (IBD). The validity of existing data in IBD and of sarcopenia's correlation with surgical outcomes is limited. Methods: We performed a systematic review to assess the correlation of sarcopenia with the requirement for surgery and surgical outcomes in patients with IBD. Observational studies of patients with IBD in whom an assessment of sarcopenic status/skeletal muscle index was undertaken, a proportion of whom proceeded to surgical management, were selected. Results: A total of 5 studies with a combined 658 IBD patients met the inclusion criteria. The majority (70%) had a diagnosis of Crohn's disease. Median (range) body mass index and skeletal muscle index were reported in 4 studies and were 16.58 (13.66-22.50) kg/m2 and 44.52 (42.90-50.64) cm2/m2, respectively. Forty-two percent of IBD patients had sarcopenia. Notably, none of the studies assessed both the anatomical and functional component required for a correct assessment of sarcopenia. Three studies noted that sarcopenic IBD patients had a higher probability of requiring surgery. The rate of major complications (Clavien-Dindo grade &gt;/=IIIa) was significantly higher in patients with sarcopenia. Improved perioperative nutrition management may mitigate the risk of complications. Conclusion: Many IBD patients are young, may be malnourished, and commonly require emergent surgery. There is considerable heterogeneity in the assessment of sarcopenia. Sarcopenia is common in the IBD population and can predict the need for surgical intervention. Sarcopenia correlates with an increased rate of major postoperative complications. Improved perioperative intervention may diminish this risk. A formal assessment, screening by a dedicated IBD dietician, and preoperative physical therapy may facilitate early intervention.","author":[{"dropping-particle":"","family":"Ryan","given":"Eanna","non-dropping-particle":"","parse-names":false,"suffix":""},{"dropping-particle":"","family":"McNicholas","given":"Daniel","non-dropping-particle":"","parse-names":false,"suffix":""},{"dropping-particle":"","family":"Creavin","given":"Ben","non-dropping-particle":"","parse-names":false,"suffix":""},{"dropping-particle":"","family":"Kelly","given":"Michael Eamon","non-dropping-particle":"","parse-names":false,"suffix":""},{"dropping-particle":"","family":"Walsh","given":"Tom","non-dropping-particle":"","parse-names":false,"suffix":""},{"dropping-particle":"","family":"Beddy","given":"David","non-dropping-particle":"","parse-names":false,"suffix":""}],"container-title":"Inflammatory bowel diseases","id":"ITEM-3","issued":{"date-parts":[["2018","6"]]},"language":"eng","publisher-place":"United States","title":"Sarcopenia and Inflammatory Bowel Disease: A Systematic Review.","type":"article-journal"},"uris":["http://www.mendeley.com/documents/?uuid=881c4d0f-22f1-4804-905c-56a50712cb1f"]}],"mendeley":{"formattedCitation":"&lt;sup&gt;[1,3,22]&lt;/sup&gt;","plainTextFormattedCitation":"[1,3,22]","previouslyFormattedCitation":"&lt;sup&gt;[1,3,22]&lt;/sup&gt;"},"properties":{"noteIndex":0},"schema":"https://github.com/citation-style-language/schema/raw/master/csl-citation.json"}</w:instrText>
      </w:r>
      <w:r w:rsidR="00DA2BD3"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[1,3,22]</w:t>
      </w:r>
      <w:r w:rsidR="00DA2BD3" w:rsidRPr="00D07897">
        <w:rPr>
          <w:rFonts w:ascii="Book Antiqua" w:hAnsi="Book Antiqua" w:cs="Arial"/>
          <w:color w:val="000000" w:themeColor="text1"/>
        </w:rPr>
        <w:fldChar w:fldCharType="end"/>
      </w:r>
      <w:r w:rsidR="00DA2BD3" w:rsidRPr="00D07897">
        <w:rPr>
          <w:rFonts w:ascii="Book Antiqua" w:hAnsi="Book Antiqua" w:cs="Arial"/>
          <w:color w:val="000000" w:themeColor="text1"/>
        </w:rPr>
        <w:t xml:space="preserve">. </w:t>
      </w:r>
      <w:r w:rsidR="006711DA" w:rsidRPr="00D07897">
        <w:rPr>
          <w:rFonts w:ascii="Book Antiqua" w:hAnsi="Book Antiqua" w:cs="Arial"/>
          <w:color w:val="000000" w:themeColor="text1"/>
        </w:rPr>
        <w:t>Secondly,</w:t>
      </w:r>
      <w:r w:rsidRPr="00D07897">
        <w:rPr>
          <w:rFonts w:ascii="Book Antiqua" w:hAnsi="Book Antiqua" w:cs="Arial"/>
          <w:color w:val="000000" w:themeColor="text1"/>
        </w:rPr>
        <w:t xml:space="preserve"> we evaluated how the findings on Nutrition Screening compared to th</w:t>
      </w:r>
      <w:r w:rsidR="003A4C79" w:rsidRPr="00D07897">
        <w:rPr>
          <w:rFonts w:ascii="Book Antiqua" w:hAnsi="Book Antiqua" w:cs="Arial"/>
          <w:color w:val="000000" w:themeColor="text1"/>
        </w:rPr>
        <w:t xml:space="preserve">e findings </w:t>
      </w:r>
      <w:r w:rsidRPr="00D07897">
        <w:rPr>
          <w:rFonts w:ascii="Book Antiqua" w:hAnsi="Book Antiqua" w:cs="Arial"/>
          <w:color w:val="000000" w:themeColor="text1"/>
        </w:rPr>
        <w:t>on Nutrition Assessment. Th</w:t>
      </w:r>
      <w:r w:rsidR="00456B1D" w:rsidRPr="00D07897">
        <w:rPr>
          <w:rFonts w:ascii="Book Antiqua" w:hAnsi="Book Antiqua" w:cs="Arial"/>
          <w:color w:val="000000" w:themeColor="text1"/>
        </w:rPr>
        <w:t>is</w:t>
      </w:r>
      <w:r w:rsidRPr="00D07897">
        <w:rPr>
          <w:rFonts w:ascii="Book Antiqua" w:hAnsi="Book Antiqua" w:cs="Arial"/>
          <w:color w:val="000000" w:themeColor="text1"/>
        </w:rPr>
        <w:t xml:space="preserve"> demonstration of an association</w:t>
      </w:r>
      <w:r w:rsidR="00EF60E1" w:rsidRPr="00D07897">
        <w:rPr>
          <w:rFonts w:ascii="Book Antiqua" w:hAnsi="Book Antiqua" w:cs="Arial"/>
          <w:color w:val="000000" w:themeColor="text1"/>
        </w:rPr>
        <w:t xml:space="preserve"> between NSTs and NATs </w:t>
      </w:r>
      <w:r w:rsidRPr="00D07897">
        <w:rPr>
          <w:rFonts w:ascii="Book Antiqua" w:hAnsi="Book Antiqua" w:cs="Arial"/>
          <w:color w:val="000000" w:themeColor="text1"/>
        </w:rPr>
        <w:t xml:space="preserve">is required, </w:t>
      </w:r>
      <w:r w:rsidR="00EF60E1" w:rsidRPr="00D07897">
        <w:rPr>
          <w:rFonts w:ascii="Book Antiqua" w:hAnsi="Book Antiqua" w:cs="Arial"/>
          <w:color w:val="000000" w:themeColor="text1"/>
        </w:rPr>
        <w:t xml:space="preserve">to demonstrate </w:t>
      </w:r>
      <w:r w:rsidR="006679EE" w:rsidRPr="00D07897">
        <w:rPr>
          <w:rFonts w:ascii="Book Antiqua" w:hAnsi="Book Antiqua" w:cs="Arial"/>
          <w:color w:val="000000" w:themeColor="text1"/>
        </w:rPr>
        <w:t xml:space="preserve">face and content validity of </w:t>
      </w:r>
      <w:r w:rsidRPr="00D07897">
        <w:rPr>
          <w:rFonts w:ascii="Book Antiqua" w:hAnsi="Book Antiqua" w:cs="Arial"/>
          <w:color w:val="000000" w:themeColor="text1"/>
        </w:rPr>
        <w:t>the</w:t>
      </w:r>
      <w:r w:rsidR="00EF60E1" w:rsidRPr="00D07897">
        <w:rPr>
          <w:rFonts w:ascii="Book Antiqua" w:hAnsi="Book Antiqua" w:cs="Arial"/>
          <w:color w:val="000000" w:themeColor="text1"/>
        </w:rPr>
        <w:t xml:space="preserve"> NST</w:t>
      </w:r>
      <w:r w:rsidRPr="00D07897">
        <w:rPr>
          <w:rFonts w:ascii="Book Antiqua" w:hAnsi="Book Antiqua" w:cs="Arial"/>
          <w:color w:val="000000" w:themeColor="text1"/>
        </w:rPr>
        <w:t xml:space="preserve"> </w:t>
      </w:r>
      <w:r w:rsidR="00456B1D" w:rsidRPr="00D07897">
        <w:rPr>
          <w:rFonts w:ascii="Book Antiqua" w:hAnsi="Book Antiqua" w:cs="Arial"/>
          <w:color w:val="000000" w:themeColor="text1"/>
        </w:rPr>
        <w:t xml:space="preserve">for use </w:t>
      </w:r>
      <w:r w:rsidRPr="00D07897">
        <w:rPr>
          <w:rFonts w:ascii="Book Antiqua" w:hAnsi="Book Antiqua" w:cs="Arial"/>
          <w:color w:val="000000" w:themeColor="text1"/>
        </w:rPr>
        <w:t>in screening</w:t>
      </w:r>
      <w:r w:rsidR="00456B1D" w:rsidRPr="00D07897">
        <w:rPr>
          <w:rFonts w:ascii="Book Antiqua" w:hAnsi="Book Antiqua" w:cs="Arial"/>
          <w:color w:val="000000" w:themeColor="text1"/>
        </w:rPr>
        <w:fldChar w:fldCharType="begin" w:fldLock="1"/>
      </w:r>
      <w:r w:rsidR="00456B1D" w:rsidRPr="00D07897">
        <w:rPr>
          <w:rFonts w:ascii="Book Antiqua" w:hAnsi="Book Antiqua" w:cs="Arial"/>
          <w:color w:val="000000" w:themeColor="text1"/>
        </w:rPr>
        <w:instrText>ADDIN CSL_CITATION {"citationItems":[{"id":"ITEM-1","itemData":{"DOI":"10.1177/0884533617719669","ISSN":"1941-2452 (Electronic)","PMID":"28727954","abstract":"Screening and assessment imply different processes, with the former indicating risk factors for a deprived nutrition condition and the latter providing the nutrition diagnosis. Both should be routinely performed at hospital admission according to recommended guidelines; however, this is not the reality worldwide, and undernutrition remains highly prevalent in the hospital setting. Therefore, the objective of the current review is to delve into the principles leading to nutrition status deficiencies and how they should be addressed by screening and assessment. A critical appraisal for the reasons associated with the misunderstanding between screening and assessing is proposed without further discussing the many available screening tools while approaching some of the assessment instruments.","author":[{"dropping-particle":"","family":"Correia","given":"Maria Isabel Toulson Davisson","non-dropping-particle":"","parse-names":false,"suffix":""}],"container-title":"Nutrition in clinical practice : official publication of the American Society for Parenteral and Enteral Nutrition","id":"ITEM-1","issued":{"date-parts":[["2017","7"]]},"language":"eng","page":"884533617719669","publisher-place":"United States","title":"Nutrition Screening vs Nutrition Assessment: What's the Difference?","type":"article-journal"},"uris":["http://www.mendeley.com/documents/?uuid=3e191a03-2c0a-4301-8a42-d283440f2a6a"]}],"mendeley":{"formattedCitation":"&lt;sup&gt;[41]&lt;/sup&gt;","plainTextFormattedCitation":"[41]","previouslyFormattedCitation":"&lt;sup&gt;[40]&lt;/sup&gt;"},"properties":{"noteIndex":0},"schema":"https://github.com/citation-style-language/schema/raw/master/csl-citation.json"}</w:instrText>
      </w:r>
      <w:r w:rsidR="00456B1D" w:rsidRPr="00D07897">
        <w:rPr>
          <w:rFonts w:ascii="Book Antiqua" w:hAnsi="Book Antiqua" w:cs="Arial"/>
          <w:color w:val="000000" w:themeColor="text1"/>
        </w:rPr>
        <w:fldChar w:fldCharType="separate"/>
      </w:r>
      <w:r w:rsidR="00456B1D" w:rsidRPr="00D07897">
        <w:rPr>
          <w:rFonts w:ascii="Book Antiqua" w:hAnsi="Book Antiqua" w:cs="Arial"/>
          <w:noProof/>
          <w:color w:val="000000" w:themeColor="text1"/>
          <w:vertAlign w:val="superscript"/>
        </w:rPr>
        <w:t>[41]</w:t>
      </w:r>
      <w:r w:rsidR="00456B1D" w:rsidRPr="00D07897">
        <w:rPr>
          <w:rFonts w:ascii="Book Antiqua" w:hAnsi="Book Antiqua" w:cs="Arial"/>
          <w:color w:val="000000" w:themeColor="text1"/>
        </w:rPr>
        <w:fldChar w:fldCharType="end"/>
      </w:r>
      <w:r w:rsidRPr="00D07897">
        <w:rPr>
          <w:rFonts w:ascii="Book Antiqua" w:hAnsi="Book Antiqua" w:cs="Arial"/>
          <w:color w:val="000000" w:themeColor="text1"/>
        </w:rPr>
        <w:t>.</w:t>
      </w:r>
      <w:r w:rsidR="00EF60E1" w:rsidRPr="00D07897">
        <w:rPr>
          <w:rFonts w:ascii="Book Antiqua" w:hAnsi="Book Antiqua" w:cs="Arial"/>
          <w:color w:val="000000" w:themeColor="text1"/>
        </w:rPr>
        <w:t xml:space="preserve"> </w:t>
      </w:r>
    </w:p>
    <w:p w14:paraId="382B4B44" w14:textId="7EE28255" w:rsidR="008704B4" w:rsidRPr="00D07897" w:rsidRDefault="00456B1D" w:rsidP="006E7C6A">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t>There is a</w:t>
      </w:r>
      <w:r w:rsidR="003A4C79" w:rsidRPr="00D07897">
        <w:rPr>
          <w:rFonts w:ascii="Book Antiqua" w:hAnsi="Book Antiqua" w:cs="Arial"/>
          <w:color w:val="000000" w:themeColor="text1"/>
        </w:rPr>
        <w:t xml:space="preserve"> limited amount of data available to</w:t>
      </w:r>
      <w:r w:rsidR="001F2184" w:rsidRPr="00D07897">
        <w:rPr>
          <w:rFonts w:ascii="Book Antiqua" w:hAnsi="Book Antiqua" w:cs="Arial"/>
          <w:color w:val="000000" w:themeColor="text1"/>
        </w:rPr>
        <w:t xml:space="preserve"> </w:t>
      </w:r>
      <w:r w:rsidR="00694A8B" w:rsidRPr="00D07897">
        <w:rPr>
          <w:rFonts w:ascii="Book Antiqua" w:hAnsi="Book Antiqua" w:cs="Arial"/>
          <w:color w:val="000000" w:themeColor="text1"/>
        </w:rPr>
        <w:t>compar</w:t>
      </w:r>
      <w:r w:rsidR="003A4C79" w:rsidRPr="00D07897">
        <w:rPr>
          <w:rFonts w:ascii="Book Antiqua" w:hAnsi="Book Antiqua" w:cs="Arial"/>
          <w:color w:val="000000" w:themeColor="text1"/>
        </w:rPr>
        <w:t>e</w:t>
      </w:r>
      <w:r w:rsidR="00694A8B" w:rsidRPr="00D07897">
        <w:rPr>
          <w:rFonts w:ascii="Book Antiqua" w:hAnsi="Book Antiqua" w:cs="Arial"/>
          <w:color w:val="000000" w:themeColor="text1"/>
        </w:rPr>
        <w:t xml:space="preserve"> </w:t>
      </w:r>
      <w:r w:rsidR="00105953" w:rsidRPr="00D07897">
        <w:rPr>
          <w:rFonts w:ascii="Book Antiqua" w:hAnsi="Book Antiqua" w:cs="Arial"/>
          <w:color w:val="000000" w:themeColor="text1"/>
        </w:rPr>
        <w:t>NSTs to NATs</w:t>
      </w:r>
      <w:r w:rsidR="00F47D22" w:rsidRPr="00D07897">
        <w:rPr>
          <w:rFonts w:ascii="Book Antiqua" w:hAnsi="Book Antiqua" w:cs="Arial"/>
          <w:color w:val="000000" w:themeColor="text1"/>
        </w:rPr>
        <w:t>.</w:t>
      </w:r>
      <w:r w:rsidR="003A4C79" w:rsidRPr="00D07897">
        <w:rPr>
          <w:rFonts w:ascii="Book Antiqua" w:hAnsi="Book Antiqua" w:cs="Arial"/>
          <w:color w:val="000000" w:themeColor="text1"/>
        </w:rPr>
        <w:t xml:space="preserve"> </w:t>
      </w:r>
      <w:r w:rsidR="001F2184" w:rsidRPr="00D07897">
        <w:rPr>
          <w:rFonts w:ascii="Book Antiqua" w:hAnsi="Book Antiqua" w:cs="Arial"/>
          <w:color w:val="000000" w:themeColor="text1"/>
        </w:rPr>
        <w:t>F</w:t>
      </w:r>
      <w:r w:rsidR="00F51E10" w:rsidRPr="00D07897">
        <w:rPr>
          <w:rFonts w:ascii="Book Antiqua" w:hAnsi="Book Antiqua" w:cs="Arial"/>
          <w:color w:val="000000" w:themeColor="text1"/>
        </w:rPr>
        <w:t>our</w:t>
      </w:r>
      <w:r w:rsidR="00105953" w:rsidRPr="00D07897">
        <w:rPr>
          <w:rFonts w:ascii="Book Antiqua" w:hAnsi="Book Antiqua" w:cs="Arial"/>
          <w:color w:val="000000" w:themeColor="text1"/>
        </w:rPr>
        <w:t xml:space="preserve"> </w:t>
      </w:r>
      <w:r w:rsidR="0012494D" w:rsidRPr="00D07897">
        <w:rPr>
          <w:rFonts w:ascii="Book Antiqua" w:hAnsi="Book Antiqua" w:cs="Arial"/>
          <w:color w:val="000000" w:themeColor="text1"/>
        </w:rPr>
        <w:t>NSTs</w:t>
      </w:r>
      <w:r w:rsidR="00105953" w:rsidRPr="00D07897">
        <w:rPr>
          <w:rFonts w:ascii="Book Antiqua" w:hAnsi="Book Antiqua" w:cs="Arial"/>
          <w:color w:val="000000" w:themeColor="text1"/>
        </w:rPr>
        <w:t xml:space="preserve"> </w:t>
      </w:r>
      <w:r w:rsidR="00412E61" w:rsidRPr="00D07897">
        <w:rPr>
          <w:rFonts w:ascii="Book Antiqua" w:hAnsi="Book Antiqua" w:cs="Arial"/>
          <w:color w:val="000000" w:themeColor="text1"/>
        </w:rPr>
        <w:t>(</w:t>
      </w:r>
      <w:r w:rsidR="00105953" w:rsidRPr="00D07897">
        <w:rPr>
          <w:rFonts w:ascii="Book Antiqua" w:hAnsi="Book Antiqua" w:cs="Arial"/>
          <w:color w:val="000000" w:themeColor="text1"/>
        </w:rPr>
        <w:t>the</w:t>
      </w:r>
      <w:r w:rsidR="00694A8B" w:rsidRPr="00D07897">
        <w:rPr>
          <w:rFonts w:ascii="Book Antiqua" w:hAnsi="Book Antiqua" w:cs="Arial"/>
          <w:color w:val="000000" w:themeColor="text1"/>
        </w:rPr>
        <w:t xml:space="preserve"> MUST, NRS-2</w:t>
      </w:r>
      <w:r w:rsidR="00BC4CE6" w:rsidRPr="00D07897">
        <w:rPr>
          <w:rFonts w:ascii="Book Antiqua" w:hAnsi="Book Antiqua" w:cs="Arial"/>
          <w:color w:val="000000" w:themeColor="text1"/>
        </w:rPr>
        <w:t>002</w:t>
      </w:r>
      <w:r w:rsidR="00E33E42" w:rsidRPr="00D07897">
        <w:rPr>
          <w:rFonts w:ascii="Book Antiqua" w:hAnsi="Book Antiqua" w:cs="Arial"/>
          <w:color w:val="000000" w:themeColor="text1"/>
        </w:rPr>
        <w:t xml:space="preserve">, </w:t>
      </w:r>
      <w:r w:rsidR="00BC4CE6" w:rsidRPr="00D07897">
        <w:rPr>
          <w:rFonts w:ascii="Book Antiqua" w:hAnsi="Book Antiqua" w:cs="Arial"/>
          <w:color w:val="000000" w:themeColor="text1"/>
        </w:rPr>
        <w:t>MIRT</w:t>
      </w:r>
      <w:r w:rsidR="00E33E42" w:rsidRPr="00D07897">
        <w:rPr>
          <w:rFonts w:ascii="Book Antiqua" w:hAnsi="Book Antiqua" w:cs="Arial"/>
          <w:color w:val="000000" w:themeColor="text1"/>
        </w:rPr>
        <w:t xml:space="preserve"> and </w:t>
      </w:r>
      <w:proofErr w:type="spellStart"/>
      <w:r w:rsidR="00E33E42" w:rsidRPr="00D07897">
        <w:rPr>
          <w:rFonts w:ascii="Book Antiqua" w:hAnsi="Book Antiqua" w:cs="Arial"/>
          <w:color w:val="000000" w:themeColor="text1"/>
        </w:rPr>
        <w:t>SaskIBD</w:t>
      </w:r>
      <w:proofErr w:type="spellEnd"/>
      <w:r w:rsidR="00E33E42" w:rsidRPr="00D07897">
        <w:rPr>
          <w:rFonts w:ascii="Book Antiqua" w:hAnsi="Book Antiqua" w:cs="Arial"/>
          <w:color w:val="000000" w:themeColor="text1"/>
        </w:rPr>
        <w:t>-NRT</w:t>
      </w:r>
      <w:r w:rsidR="00412E61" w:rsidRPr="00D07897">
        <w:rPr>
          <w:rFonts w:ascii="Book Antiqua" w:hAnsi="Book Antiqua" w:cs="Arial"/>
          <w:color w:val="000000" w:themeColor="text1"/>
        </w:rPr>
        <w:t>)</w:t>
      </w:r>
      <w:r w:rsidR="00BC4CE6" w:rsidRPr="00D07897">
        <w:rPr>
          <w:rFonts w:ascii="Book Antiqua" w:hAnsi="Book Antiqua" w:cs="Arial"/>
          <w:color w:val="000000" w:themeColor="text1"/>
        </w:rPr>
        <w:t xml:space="preserve"> showed </w:t>
      </w:r>
      <w:r w:rsidR="008F7B6C" w:rsidRPr="00D07897">
        <w:rPr>
          <w:rFonts w:ascii="Book Antiqua" w:hAnsi="Book Antiqua" w:cs="Arial"/>
          <w:color w:val="000000" w:themeColor="text1"/>
        </w:rPr>
        <w:t>promise</w:t>
      </w:r>
      <w:r w:rsidR="00E041C0" w:rsidRPr="00D07897">
        <w:rPr>
          <w:rFonts w:ascii="Book Antiqua" w:hAnsi="Book Antiqua" w:cs="Arial"/>
          <w:color w:val="000000" w:themeColor="text1"/>
        </w:rPr>
        <w:t xml:space="preserve">. </w:t>
      </w:r>
      <w:r w:rsidR="00496317" w:rsidRPr="00D07897">
        <w:rPr>
          <w:rFonts w:ascii="Book Antiqua" w:hAnsi="Book Antiqua" w:cs="Arial"/>
          <w:color w:val="000000" w:themeColor="text1"/>
        </w:rPr>
        <w:t xml:space="preserve">The MUST </w:t>
      </w:r>
      <w:proofErr w:type="spellStart"/>
      <w:r w:rsidR="00496317" w:rsidRPr="00D07897">
        <w:rPr>
          <w:rFonts w:ascii="Book Antiqua" w:hAnsi="Book Antiqua" w:cs="Arial"/>
          <w:color w:val="000000" w:themeColor="text1"/>
        </w:rPr>
        <w:t>includes</w:t>
      </w:r>
      <w:proofErr w:type="spellEnd"/>
      <w:r w:rsidR="00496317" w:rsidRPr="00D07897">
        <w:rPr>
          <w:rFonts w:ascii="Book Antiqua" w:hAnsi="Book Antiqua" w:cs="Arial"/>
          <w:color w:val="000000" w:themeColor="text1"/>
        </w:rPr>
        <w:t xml:space="preserve"> BMI, unplanned weight loss in the past 3-6 </w:t>
      </w:r>
      <w:proofErr w:type="spellStart"/>
      <w:r w:rsidR="00496317" w:rsidRPr="00D07897">
        <w:rPr>
          <w:rFonts w:ascii="Book Antiqua" w:hAnsi="Book Antiqua" w:cs="Arial"/>
          <w:color w:val="000000" w:themeColor="text1"/>
        </w:rPr>
        <w:t>mo</w:t>
      </w:r>
      <w:proofErr w:type="spellEnd"/>
      <w:r w:rsidR="00496317" w:rsidRPr="00D07897">
        <w:rPr>
          <w:rFonts w:ascii="Book Antiqua" w:hAnsi="Book Antiqua" w:cs="Arial"/>
          <w:color w:val="000000" w:themeColor="text1"/>
        </w:rPr>
        <w:t xml:space="preserve"> and an acute disease effect score. The MIRT measures similar criteria, including BMI, unintentional weight loss and CRP. Therefore, these two tools vary only in the method that acute disease is assessed. The NRS-2002 differs from the two previous tools, as it captures reduced dietary intake in addition to BMI, weight loss and ICU admission status</w:t>
      </w:r>
      <w:r w:rsidR="00EB07BA" w:rsidRPr="00D07897">
        <w:rPr>
          <w:rFonts w:ascii="Book Antiqua" w:hAnsi="Book Antiqua" w:cs="Arial"/>
          <w:color w:val="000000" w:themeColor="text1"/>
        </w:rPr>
        <w:t xml:space="preserve">, and has </w:t>
      </w:r>
      <w:r w:rsidR="00B0451E" w:rsidRPr="00D07897">
        <w:rPr>
          <w:rFonts w:ascii="Book Antiqua" w:hAnsi="Book Antiqua" w:cs="Arial"/>
          <w:color w:val="000000" w:themeColor="text1"/>
        </w:rPr>
        <w:t xml:space="preserve">been </w:t>
      </w:r>
      <w:r w:rsidR="006C5E22" w:rsidRPr="00D07897">
        <w:rPr>
          <w:rFonts w:ascii="Book Antiqua" w:hAnsi="Book Antiqua" w:cs="Arial"/>
          <w:color w:val="000000" w:themeColor="text1"/>
        </w:rPr>
        <w:t>validated</w:t>
      </w:r>
      <w:r w:rsidR="00EB07BA" w:rsidRPr="00D07897">
        <w:rPr>
          <w:rFonts w:ascii="Book Antiqua" w:hAnsi="Book Antiqua" w:cs="Arial"/>
          <w:color w:val="000000" w:themeColor="text1"/>
        </w:rPr>
        <w:t xml:space="preserve"> </w:t>
      </w:r>
      <w:r w:rsidR="00F8249C" w:rsidRPr="00D07897">
        <w:rPr>
          <w:rFonts w:ascii="Book Antiqua" w:hAnsi="Book Antiqua" w:cs="Arial"/>
          <w:color w:val="000000" w:themeColor="text1"/>
        </w:rPr>
        <w:t xml:space="preserve">only </w:t>
      </w:r>
      <w:r w:rsidR="00EB07BA" w:rsidRPr="00D07897">
        <w:rPr>
          <w:rFonts w:ascii="Book Antiqua" w:hAnsi="Book Antiqua" w:cs="Arial"/>
          <w:color w:val="000000" w:themeColor="text1"/>
        </w:rPr>
        <w:t>in the inpatient population</w:t>
      </w:r>
      <w:r w:rsidR="00496317" w:rsidRPr="00D07897">
        <w:rPr>
          <w:rFonts w:ascii="Book Antiqua" w:hAnsi="Book Antiqua" w:cs="Arial"/>
          <w:color w:val="000000" w:themeColor="text1"/>
        </w:rPr>
        <w:t xml:space="preserve">. </w:t>
      </w:r>
      <w:r w:rsidR="008704B4" w:rsidRPr="00D07897">
        <w:rPr>
          <w:rFonts w:ascii="Book Antiqua" w:hAnsi="Book Antiqua" w:cs="Arial"/>
          <w:color w:val="000000" w:themeColor="text1"/>
        </w:rPr>
        <w:t xml:space="preserve">The </w:t>
      </w:r>
      <w:proofErr w:type="spellStart"/>
      <w:r w:rsidR="008704B4" w:rsidRPr="00D07897">
        <w:rPr>
          <w:rFonts w:ascii="Book Antiqua" w:hAnsi="Book Antiqua" w:cs="Arial"/>
          <w:color w:val="000000" w:themeColor="text1"/>
        </w:rPr>
        <w:t>SaskIBD</w:t>
      </w:r>
      <w:proofErr w:type="spellEnd"/>
      <w:r w:rsidR="008704B4" w:rsidRPr="00D07897">
        <w:rPr>
          <w:rFonts w:ascii="Book Antiqua" w:hAnsi="Book Antiqua" w:cs="Arial"/>
          <w:color w:val="000000" w:themeColor="text1"/>
        </w:rPr>
        <w:t xml:space="preserve">-NRT is </w:t>
      </w:r>
      <w:r w:rsidR="00F8249C" w:rsidRPr="00D07897">
        <w:rPr>
          <w:rFonts w:ascii="Book Antiqua" w:hAnsi="Book Antiqua" w:cs="Arial"/>
          <w:color w:val="000000" w:themeColor="text1"/>
        </w:rPr>
        <w:t xml:space="preserve">a novel tool </w:t>
      </w:r>
      <w:r w:rsidR="008704B4" w:rsidRPr="00D07897">
        <w:rPr>
          <w:rFonts w:ascii="Book Antiqua" w:hAnsi="Book Antiqua" w:cs="Arial"/>
          <w:color w:val="000000" w:themeColor="text1"/>
        </w:rPr>
        <w:t>based on patient history evaluating gastrointestinal symptoms and food restriction behaviors commonly seen in the IBD population in addition to the more common screening questions of weight loss and poor oral intake</w:t>
      </w:r>
      <w:r w:rsidR="008704B4"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8704B4"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[35]</w:t>
      </w:r>
      <w:r w:rsidR="008704B4" w:rsidRPr="00D07897">
        <w:rPr>
          <w:rFonts w:ascii="Book Antiqua" w:hAnsi="Book Antiqua" w:cs="Arial"/>
          <w:color w:val="000000" w:themeColor="text1"/>
        </w:rPr>
        <w:fldChar w:fldCharType="end"/>
      </w:r>
      <w:r w:rsidR="008704B4" w:rsidRPr="00D07897">
        <w:rPr>
          <w:rFonts w:ascii="Book Antiqua" w:hAnsi="Book Antiqua" w:cs="Arial"/>
          <w:color w:val="000000" w:themeColor="text1"/>
        </w:rPr>
        <w:t>.</w:t>
      </w:r>
      <w:r w:rsidR="006679EE" w:rsidRPr="00D07897">
        <w:rPr>
          <w:rFonts w:ascii="Book Antiqua" w:hAnsi="Book Antiqua" w:cs="Arial"/>
          <w:color w:val="000000" w:themeColor="text1"/>
        </w:rPr>
        <w:t xml:space="preserve"> The </w:t>
      </w:r>
      <w:proofErr w:type="spellStart"/>
      <w:r w:rsidR="006679EE" w:rsidRPr="00D07897">
        <w:rPr>
          <w:rFonts w:ascii="Book Antiqua" w:hAnsi="Book Antiqua" w:cs="Arial"/>
          <w:color w:val="000000" w:themeColor="text1"/>
        </w:rPr>
        <w:t>SaskIBD</w:t>
      </w:r>
      <w:proofErr w:type="spellEnd"/>
      <w:r w:rsidR="006679EE" w:rsidRPr="00D07897">
        <w:rPr>
          <w:rFonts w:ascii="Book Antiqua" w:hAnsi="Book Antiqua" w:cs="Arial"/>
          <w:color w:val="000000" w:themeColor="text1"/>
        </w:rPr>
        <w:t xml:space="preserve">-NRT does not capture disease </w:t>
      </w:r>
      <w:r w:rsidR="006711DA" w:rsidRPr="00D07897">
        <w:rPr>
          <w:rFonts w:ascii="Book Antiqua" w:hAnsi="Book Antiqua" w:cs="Arial"/>
          <w:color w:val="000000" w:themeColor="text1"/>
        </w:rPr>
        <w:t>severity and</w:t>
      </w:r>
      <w:r w:rsidR="006679EE" w:rsidRPr="00D07897">
        <w:rPr>
          <w:rFonts w:ascii="Book Antiqua" w:hAnsi="Book Antiqua" w:cs="Arial"/>
          <w:color w:val="000000" w:themeColor="text1"/>
        </w:rPr>
        <w:t xml:space="preserve"> is reliant only on nutrition specific data points to assess risk.</w:t>
      </w:r>
    </w:p>
    <w:p w14:paraId="46398622" w14:textId="1B52A8EF" w:rsidR="00694A8B" w:rsidRPr="00D07897" w:rsidRDefault="00BC3077" w:rsidP="006E7C6A">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lastRenderedPageBreak/>
        <w:t xml:space="preserve">The MIRT and </w:t>
      </w:r>
      <w:proofErr w:type="spellStart"/>
      <w:r w:rsidRPr="00D07897">
        <w:rPr>
          <w:rFonts w:ascii="Book Antiqua" w:hAnsi="Book Antiqua" w:cs="Arial"/>
          <w:color w:val="000000" w:themeColor="text1"/>
        </w:rPr>
        <w:t>SaskIBD</w:t>
      </w:r>
      <w:proofErr w:type="spellEnd"/>
      <w:r w:rsidRPr="00D07897">
        <w:rPr>
          <w:rFonts w:ascii="Book Antiqua" w:hAnsi="Book Antiqua" w:cs="Arial"/>
          <w:color w:val="000000" w:themeColor="text1"/>
        </w:rPr>
        <w:t xml:space="preserve">-NRT </w:t>
      </w:r>
      <w:r w:rsidR="001F2184" w:rsidRPr="00D07897">
        <w:rPr>
          <w:rFonts w:ascii="Book Antiqua" w:hAnsi="Book Antiqua" w:cs="Arial"/>
          <w:color w:val="000000" w:themeColor="text1"/>
        </w:rPr>
        <w:t xml:space="preserve">although not yet </w:t>
      </w:r>
      <w:r w:rsidRPr="00D07897">
        <w:rPr>
          <w:rFonts w:ascii="Book Antiqua" w:hAnsi="Book Antiqua" w:cs="Arial"/>
          <w:color w:val="000000" w:themeColor="text1"/>
        </w:rPr>
        <w:t xml:space="preserve">compared to SMI in IBD, have shown significant associations with more comprehensive nutritional assessment methods. The MIRT </w:t>
      </w:r>
      <w:r w:rsidR="001F2184" w:rsidRPr="00D07897">
        <w:rPr>
          <w:rFonts w:ascii="Book Antiqua" w:hAnsi="Book Antiqua" w:cs="Arial"/>
          <w:color w:val="000000" w:themeColor="text1"/>
        </w:rPr>
        <w:t>for example demonstrating an association</w:t>
      </w:r>
      <w:r w:rsidRPr="00D07897">
        <w:rPr>
          <w:rFonts w:ascii="Book Antiqua" w:hAnsi="Book Antiqua" w:cs="Arial"/>
          <w:color w:val="000000" w:themeColor="text1"/>
        </w:rPr>
        <w:t xml:space="preserve"> with </w:t>
      </w:r>
      <w:r w:rsidR="001F2184" w:rsidRPr="00D07897">
        <w:rPr>
          <w:rFonts w:ascii="Book Antiqua" w:hAnsi="Book Antiqua" w:cs="Arial"/>
          <w:color w:val="000000" w:themeColor="text1"/>
        </w:rPr>
        <w:t>an abnormal SGA</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[8]</w:t>
      </w:r>
      <w:r w:rsidRPr="00D07897">
        <w:rPr>
          <w:rFonts w:ascii="Book Antiqua" w:hAnsi="Book Antiqua" w:cs="Arial"/>
          <w:color w:val="000000" w:themeColor="text1"/>
        </w:rPr>
        <w:fldChar w:fldCharType="end"/>
      </w:r>
      <w:r w:rsidRPr="00D07897">
        <w:rPr>
          <w:rFonts w:ascii="Book Antiqua" w:hAnsi="Book Antiqua" w:cs="Arial"/>
          <w:color w:val="000000" w:themeColor="text1"/>
        </w:rPr>
        <w:t xml:space="preserve">. </w:t>
      </w:r>
      <w:r w:rsidR="001F2184" w:rsidRPr="00D07897">
        <w:rPr>
          <w:rFonts w:ascii="Book Antiqua" w:hAnsi="Book Antiqua" w:cs="Arial"/>
          <w:color w:val="000000" w:themeColor="text1"/>
        </w:rPr>
        <w:t>Similarly,</w:t>
      </w:r>
      <w:r w:rsidRPr="00D07897">
        <w:rPr>
          <w:rFonts w:ascii="Book Antiqua" w:hAnsi="Book Antiqua" w:cs="Arial"/>
          <w:color w:val="000000" w:themeColor="text1"/>
        </w:rPr>
        <w:t xml:space="preserve"> the </w:t>
      </w:r>
      <w:proofErr w:type="spellStart"/>
      <w:r w:rsidRPr="00D07897">
        <w:rPr>
          <w:rFonts w:ascii="Book Antiqua" w:hAnsi="Book Antiqua" w:cs="Arial"/>
          <w:color w:val="000000" w:themeColor="text1"/>
        </w:rPr>
        <w:t>SaskIBD</w:t>
      </w:r>
      <w:proofErr w:type="spellEnd"/>
      <w:r w:rsidRPr="00D07897">
        <w:rPr>
          <w:rFonts w:ascii="Book Antiqua" w:hAnsi="Book Antiqua" w:cs="Arial"/>
          <w:color w:val="000000" w:themeColor="text1"/>
        </w:rPr>
        <w:t>-NRT showed strong agreement to subsequent comprehensive assessment by RD/GI</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[35]</w:t>
      </w:r>
      <w:r w:rsidRPr="00D07897">
        <w:rPr>
          <w:rFonts w:ascii="Book Antiqua" w:hAnsi="Book Antiqua" w:cs="Arial"/>
          <w:color w:val="000000" w:themeColor="text1"/>
        </w:rPr>
        <w:fldChar w:fldCharType="end"/>
      </w:r>
      <w:r w:rsidRPr="00D07897">
        <w:rPr>
          <w:rFonts w:ascii="Book Antiqua" w:hAnsi="Book Antiqua" w:cs="Arial"/>
          <w:color w:val="000000" w:themeColor="text1"/>
        </w:rPr>
        <w:t xml:space="preserve">. This association has not been consistent with one study noting </w:t>
      </w:r>
      <w:r w:rsidR="008704B4" w:rsidRPr="00D07897">
        <w:rPr>
          <w:rFonts w:ascii="Book Antiqua" w:hAnsi="Book Antiqua" w:cs="Arial"/>
          <w:color w:val="000000" w:themeColor="text1"/>
        </w:rPr>
        <w:t>poor inter-rater agreement between MUST and a comprehensive RD/GI assessment</w:t>
      </w:r>
      <w:r w:rsidR="008704B4"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8704B4"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[35]</w:t>
      </w:r>
      <w:r w:rsidR="008704B4" w:rsidRPr="00D07897">
        <w:rPr>
          <w:rFonts w:ascii="Book Antiqua" w:hAnsi="Book Antiqua" w:cs="Arial"/>
          <w:color w:val="000000" w:themeColor="text1"/>
        </w:rPr>
        <w:fldChar w:fldCharType="end"/>
      </w:r>
      <w:r w:rsidR="008704B4" w:rsidRPr="00D07897">
        <w:rPr>
          <w:rFonts w:ascii="Book Antiqua" w:hAnsi="Book Antiqua" w:cs="Arial"/>
          <w:color w:val="000000" w:themeColor="text1"/>
        </w:rPr>
        <w:t>.</w:t>
      </w:r>
      <w:r w:rsidR="00105953" w:rsidRPr="00D07897">
        <w:rPr>
          <w:rFonts w:ascii="Book Antiqua" w:hAnsi="Book Antiqua" w:cs="Arial"/>
          <w:color w:val="000000" w:themeColor="text1"/>
        </w:rPr>
        <w:t xml:space="preserve"> </w:t>
      </w:r>
      <w:r w:rsidR="003A4C79" w:rsidRPr="00D07897">
        <w:rPr>
          <w:rFonts w:ascii="Book Antiqua" w:hAnsi="Book Antiqua" w:cs="Arial"/>
          <w:color w:val="000000" w:themeColor="text1"/>
        </w:rPr>
        <w:t>Recognizing sarcopenia as an integral, objective component of malnutrition, both the MUST and NRS-2002 demonstrated a significant association with sarcopenia as measured by the SMI</w:t>
      </w:r>
      <w:r w:rsidR="003A4C79" w:rsidRPr="00D07897">
        <w:rPr>
          <w:rFonts w:ascii="Book Antiqua" w:hAnsi="Book Antiqua" w:cs="Arial"/>
          <w:color w:val="000000" w:themeColor="text1"/>
        </w:rPr>
        <w:fldChar w:fldCharType="begin" w:fldLock="1"/>
      </w:r>
      <w:r w:rsidR="003A4C79"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3A4C79" w:rsidRPr="00D07897">
        <w:rPr>
          <w:rFonts w:ascii="Book Antiqua" w:hAnsi="Book Antiqua" w:cs="Arial"/>
          <w:color w:val="000000" w:themeColor="text1"/>
        </w:rPr>
        <w:fldChar w:fldCharType="separate"/>
      </w:r>
      <w:r w:rsidR="003A4C79" w:rsidRPr="00D07897">
        <w:rPr>
          <w:rFonts w:ascii="Book Antiqua" w:hAnsi="Book Antiqua" w:cs="Arial"/>
          <w:noProof/>
          <w:color w:val="000000" w:themeColor="text1"/>
          <w:vertAlign w:val="superscript"/>
        </w:rPr>
        <w:t>[9]</w:t>
      </w:r>
      <w:r w:rsidR="003A4C79" w:rsidRPr="00D07897">
        <w:rPr>
          <w:rFonts w:ascii="Book Antiqua" w:hAnsi="Book Antiqua" w:cs="Arial"/>
          <w:color w:val="000000" w:themeColor="text1"/>
        </w:rPr>
        <w:fldChar w:fldCharType="end"/>
      </w:r>
      <w:r w:rsidR="003A4C79" w:rsidRPr="00D07897">
        <w:rPr>
          <w:rFonts w:ascii="Book Antiqua" w:hAnsi="Book Antiqua" w:cs="Arial"/>
          <w:color w:val="000000" w:themeColor="text1"/>
        </w:rPr>
        <w:t xml:space="preserve">. </w:t>
      </w:r>
      <w:r w:rsidR="00456B1D" w:rsidRPr="00D07897">
        <w:rPr>
          <w:rFonts w:ascii="Book Antiqua" w:hAnsi="Book Antiqua" w:cs="Arial"/>
          <w:color w:val="000000" w:themeColor="text1"/>
        </w:rPr>
        <w:t>To summarize, a</w:t>
      </w:r>
      <w:r w:rsidR="001F2184" w:rsidRPr="00D07897">
        <w:rPr>
          <w:rFonts w:ascii="Book Antiqua" w:hAnsi="Book Antiqua" w:cs="Arial"/>
          <w:color w:val="000000" w:themeColor="text1"/>
        </w:rPr>
        <w:t>lthough limited,</w:t>
      </w:r>
      <w:r w:rsidRPr="00D07897">
        <w:rPr>
          <w:rFonts w:ascii="Book Antiqua" w:hAnsi="Book Antiqua" w:cs="Arial"/>
          <w:color w:val="000000" w:themeColor="text1"/>
        </w:rPr>
        <w:t xml:space="preserve"> the data on NSTs is encouraging </w:t>
      </w:r>
      <w:r w:rsidR="001F2184" w:rsidRPr="00D07897">
        <w:rPr>
          <w:rFonts w:ascii="Book Antiqua" w:hAnsi="Book Antiqua" w:cs="Arial"/>
          <w:color w:val="000000" w:themeColor="text1"/>
        </w:rPr>
        <w:t>for a strong association with</w:t>
      </w:r>
      <w:r w:rsidRPr="00D07897">
        <w:rPr>
          <w:rFonts w:ascii="Book Antiqua" w:hAnsi="Book Antiqua" w:cs="Arial"/>
          <w:color w:val="000000" w:themeColor="text1"/>
        </w:rPr>
        <w:t xml:space="preserve"> a diagnosis of malnutrition by NATs</w:t>
      </w:r>
      <w:r w:rsidR="001F2184" w:rsidRPr="00D07897">
        <w:rPr>
          <w:rFonts w:ascii="Book Antiqua" w:hAnsi="Book Antiqua" w:cs="Arial"/>
          <w:color w:val="000000" w:themeColor="text1"/>
        </w:rPr>
        <w:t xml:space="preserve"> (both sarcopenia and more comprehensive NATs)</w:t>
      </w:r>
      <w:r w:rsidRPr="00D07897">
        <w:rPr>
          <w:rFonts w:ascii="Book Antiqua" w:hAnsi="Book Antiqua" w:cs="Arial"/>
          <w:color w:val="000000" w:themeColor="text1"/>
        </w:rPr>
        <w:t xml:space="preserve">. </w:t>
      </w:r>
    </w:p>
    <w:p w14:paraId="4055064A" w14:textId="2E2862D2" w:rsidR="00F959B5" w:rsidRPr="00D07897" w:rsidRDefault="001F2184" w:rsidP="006E7C6A">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t>Thirdly</w:t>
      </w:r>
      <w:r w:rsidR="00412E61" w:rsidRPr="00D07897">
        <w:rPr>
          <w:rFonts w:ascii="Book Antiqua" w:hAnsi="Book Antiqua" w:cs="Arial"/>
          <w:color w:val="000000" w:themeColor="text1"/>
        </w:rPr>
        <w:t>,</w:t>
      </w:r>
      <w:r w:rsidRPr="00D07897">
        <w:rPr>
          <w:rFonts w:ascii="Book Antiqua" w:hAnsi="Book Antiqua" w:cs="Arial"/>
          <w:color w:val="000000" w:themeColor="text1"/>
        </w:rPr>
        <w:t xml:space="preserve"> we evaluated whether </w:t>
      </w:r>
      <w:r w:rsidR="004414D1" w:rsidRPr="00D07897">
        <w:rPr>
          <w:rFonts w:ascii="Book Antiqua" w:hAnsi="Book Antiqua" w:cs="Arial"/>
          <w:color w:val="000000" w:themeColor="text1"/>
        </w:rPr>
        <w:t xml:space="preserve">NSTs </w:t>
      </w:r>
      <w:r w:rsidRPr="00D07897">
        <w:rPr>
          <w:rFonts w:ascii="Book Antiqua" w:hAnsi="Book Antiqua" w:cs="Arial"/>
          <w:color w:val="000000" w:themeColor="text1"/>
        </w:rPr>
        <w:t xml:space="preserve">were associated with clinical outcomes. </w:t>
      </w:r>
      <w:r w:rsidR="00BC3077" w:rsidRPr="00D07897">
        <w:rPr>
          <w:rFonts w:ascii="Book Antiqua" w:hAnsi="Book Antiqua" w:cs="Arial"/>
          <w:color w:val="000000" w:themeColor="text1"/>
        </w:rPr>
        <w:t>Although</w:t>
      </w:r>
      <w:r w:rsidR="00D2382C" w:rsidRPr="00D07897">
        <w:rPr>
          <w:rFonts w:ascii="Book Antiqua" w:hAnsi="Book Antiqua" w:cs="Arial"/>
          <w:color w:val="000000" w:themeColor="text1"/>
        </w:rPr>
        <w:t xml:space="preserve"> traditionally used to determine which patients require further nutritional assessment</w:t>
      </w:r>
      <w:r w:rsidR="00795E83" w:rsidRPr="00D07897">
        <w:rPr>
          <w:rFonts w:ascii="Book Antiqua" w:hAnsi="Book Antiqua" w:cs="Arial"/>
          <w:color w:val="000000" w:themeColor="text1"/>
        </w:rPr>
        <w:t xml:space="preserve"> and therapy</w:t>
      </w:r>
      <w:r w:rsidR="00BC3077" w:rsidRPr="00D07897">
        <w:rPr>
          <w:rFonts w:ascii="Book Antiqua" w:hAnsi="Book Antiqua" w:cs="Arial"/>
          <w:color w:val="000000" w:themeColor="text1"/>
        </w:rPr>
        <w:t>, t</w:t>
      </w:r>
      <w:r w:rsidR="00D2382C" w:rsidRPr="00D07897">
        <w:rPr>
          <w:rFonts w:ascii="Book Antiqua" w:hAnsi="Book Antiqua" w:cs="Arial"/>
          <w:color w:val="000000" w:themeColor="text1"/>
        </w:rPr>
        <w:t xml:space="preserve">he summary of findings from the current review would suggest that </w:t>
      </w:r>
      <w:r w:rsidR="00BC3077" w:rsidRPr="00D07897">
        <w:rPr>
          <w:rFonts w:ascii="Book Antiqua" w:hAnsi="Book Antiqua" w:cs="Arial"/>
          <w:color w:val="000000" w:themeColor="text1"/>
        </w:rPr>
        <w:t xml:space="preserve">NSTs </w:t>
      </w:r>
      <w:r w:rsidR="00D2382C" w:rsidRPr="00D07897">
        <w:rPr>
          <w:rFonts w:ascii="Book Antiqua" w:hAnsi="Book Antiqua" w:cs="Arial"/>
          <w:color w:val="000000" w:themeColor="text1"/>
        </w:rPr>
        <w:t xml:space="preserve">also hold promise in the prediction of clinical outcomes. Notably, all studies were performed in patients with CD and </w:t>
      </w:r>
      <w:r w:rsidR="003A4C79" w:rsidRPr="00D07897">
        <w:rPr>
          <w:rFonts w:ascii="Book Antiqua" w:hAnsi="Book Antiqua" w:cs="Arial"/>
          <w:color w:val="000000" w:themeColor="text1"/>
        </w:rPr>
        <w:t xml:space="preserve">therefore </w:t>
      </w:r>
      <w:r w:rsidR="00D2382C" w:rsidRPr="00D07897">
        <w:rPr>
          <w:rFonts w:ascii="Book Antiqua" w:hAnsi="Book Antiqua" w:cs="Arial"/>
          <w:color w:val="000000" w:themeColor="text1"/>
        </w:rPr>
        <w:t xml:space="preserve">the results are </w:t>
      </w:r>
      <w:r w:rsidR="00456B1D" w:rsidRPr="00D07897">
        <w:rPr>
          <w:rFonts w:ascii="Book Antiqua" w:hAnsi="Book Antiqua" w:cs="Arial"/>
          <w:color w:val="000000" w:themeColor="text1"/>
        </w:rPr>
        <w:t xml:space="preserve">at this time </w:t>
      </w:r>
      <w:r w:rsidR="00D2382C" w:rsidRPr="00D07897">
        <w:rPr>
          <w:rFonts w:ascii="Book Antiqua" w:hAnsi="Book Antiqua" w:cs="Arial"/>
          <w:color w:val="000000" w:themeColor="text1"/>
        </w:rPr>
        <w:t>only generalizable to this population.</w:t>
      </w:r>
      <w:r w:rsidR="00496317" w:rsidRPr="00D07897">
        <w:rPr>
          <w:rFonts w:ascii="Book Antiqua" w:hAnsi="Book Antiqua" w:cs="Arial"/>
          <w:color w:val="000000" w:themeColor="text1"/>
        </w:rPr>
        <w:t xml:space="preserve"> </w:t>
      </w:r>
      <w:r w:rsidR="00D2382C" w:rsidRPr="00D07897">
        <w:rPr>
          <w:rFonts w:ascii="Book Antiqua" w:hAnsi="Book Antiqua" w:cs="Arial"/>
          <w:color w:val="000000" w:themeColor="text1"/>
        </w:rPr>
        <w:t>T</w:t>
      </w:r>
      <w:r w:rsidR="00E031C7" w:rsidRPr="00D07897">
        <w:rPr>
          <w:rFonts w:ascii="Book Antiqua" w:hAnsi="Book Antiqua" w:cs="Arial"/>
          <w:color w:val="000000" w:themeColor="text1"/>
        </w:rPr>
        <w:t xml:space="preserve">he outcomes </w:t>
      </w:r>
      <w:r w:rsidR="006D5C73" w:rsidRPr="00D07897">
        <w:rPr>
          <w:rFonts w:ascii="Book Antiqua" w:hAnsi="Book Antiqua" w:cs="Arial"/>
          <w:color w:val="000000" w:themeColor="text1"/>
        </w:rPr>
        <w:t xml:space="preserve">associated with </w:t>
      </w:r>
      <w:r w:rsidR="00B06C23" w:rsidRPr="00D07897">
        <w:rPr>
          <w:rFonts w:ascii="Book Antiqua" w:hAnsi="Book Antiqua" w:cs="Arial"/>
          <w:color w:val="000000" w:themeColor="text1"/>
        </w:rPr>
        <w:t>the three</w:t>
      </w:r>
      <w:r w:rsidR="00E031C7" w:rsidRPr="00D07897">
        <w:rPr>
          <w:rFonts w:ascii="Book Antiqua" w:hAnsi="Book Antiqua" w:cs="Arial"/>
          <w:color w:val="000000" w:themeColor="text1"/>
        </w:rPr>
        <w:t xml:space="preserve"> NSTs </w:t>
      </w:r>
      <w:r w:rsidR="00D2382C" w:rsidRPr="00D07897">
        <w:rPr>
          <w:rFonts w:ascii="Book Antiqua" w:hAnsi="Book Antiqua" w:cs="Arial"/>
          <w:color w:val="000000" w:themeColor="text1"/>
        </w:rPr>
        <w:t xml:space="preserve">(NRS-2002, NRI and MIRT) </w:t>
      </w:r>
      <w:r w:rsidR="00E031C7" w:rsidRPr="00D07897">
        <w:rPr>
          <w:rFonts w:ascii="Book Antiqua" w:hAnsi="Book Antiqua" w:cs="Arial"/>
          <w:color w:val="000000" w:themeColor="text1"/>
        </w:rPr>
        <w:t xml:space="preserve">were </w:t>
      </w:r>
      <w:r w:rsidRPr="00D07897">
        <w:rPr>
          <w:rFonts w:ascii="Book Antiqua" w:hAnsi="Book Antiqua" w:cs="Arial"/>
          <w:color w:val="000000" w:themeColor="text1"/>
        </w:rPr>
        <w:t>all of clinical</w:t>
      </w:r>
      <w:r w:rsidR="006E7C6A" w:rsidRPr="00D07897">
        <w:rPr>
          <w:rFonts w:ascii="Book Antiqua" w:hAnsi="Book Antiqua" w:cs="Arial"/>
          <w:color w:val="000000" w:themeColor="text1"/>
        </w:rPr>
        <w:t xml:space="preserve"> </w:t>
      </w:r>
      <w:r w:rsidR="00456B1D" w:rsidRPr="00D07897">
        <w:rPr>
          <w:rFonts w:ascii="Book Antiqua" w:hAnsi="Book Antiqua" w:cs="Arial"/>
          <w:color w:val="000000" w:themeColor="text1"/>
        </w:rPr>
        <w:t xml:space="preserve">were of </w:t>
      </w:r>
      <w:r w:rsidR="003A4C79" w:rsidRPr="00D07897">
        <w:rPr>
          <w:rFonts w:ascii="Book Antiqua" w:hAnsi="Book Antiqua" w:cs="Arial"/>
          <w:color w:val="000000" w:themeColor="text1"/>
        </w:rPr>
        <w:t>clinical</w:t>
      </w:r>
      <w:r w:rsidR="006D5C73" w:rsidRPr="00D07897">
        <w:rPr>
          <w:rFonts w:ascii="Book Antiqua" w:hAnsi="Book Antiqua" w:cs="Arial"/>
          <w:color w:val="000000" w:themeColor="text1"/>
        </w:rPr>
        <w:t xml:space="preserve"> </w:t>
      </w:r>
      <w:r w:rsidR="00E031C7" w:rsidRPr="00D07897">
        <w:rPr>
          <w:rFonts w:ascii="Book Antiqua" w:hAnsi="Book Antiqua" w:cs="Arial"/>
          <w:color w:val="000000" w:themeColor="text1"/>
        </w:rPr>
        <w:t>relevan</w:t>
      </w:r>
      <w:r w:rsidRPr="00D07897">
        <w:rPr>
          <w:rFonts w:ascii="Book Antiqua" w:hAnsi="Book Antiqua" w:cs="Arial"/>
          <w:color w:val="000000" w:themeColor="text1"/>
        </w:rPr>
        <w:t>ce</w:t>
      </w:r>
      <w:r w:rsidR="00E031C7" w:rsidRPr="00D07897">
        <w:rPr>
          <w:rFonts w:ascii="Book Antiqua" w:hAnsi="Book Antiqua" w:cs="Arial"/>
          <w:color w:val="000000" w:themeColor="text1"/>
        </w:rPr>
        <w:t xml:space="preserve">. </w:t>
      </w:r>
      <w:r w:rsidR="007B2A41" w:rsidRPr="00D07897">
        <w:rPr>
          <w:rFonts w:ascii="Book Antiqua" w:hAnsi="Book Antiqua" w:cs="Arial"/>
          <w:color w:val="000000" w:themeColor="text1"/>
        </w:rPr>
        <w:t xml:space="preserve">For </w:t>
      </w:r>
      <w:r w:rsidR="00101BE3" w:rsidRPr="00D07897">
        <w:rPr>
          <w:rFonts w:ascii="Book Antiqua" w:hAnsi="Book Antiqua" w:cs="Arial"/>
          <w:color w:val="000000" w:themeColor="text1"/>
        </w:rPr>
        <w:t xml:space="preserve">inpatients, the </w:t>
      </w:r>
      <w:r w:rsidR="00810708" w:rsidRPr="00D07897">
        <w:rPr>
          <w:rFonts w:ascii="Book Antiqua" w:hAnsi="Book Antiqua" w:cs="Arial"/>
          <w:color w:val="000000" w:themeColor="text1"/>
        </w:rPr>
        <w:t xml:space="preserve">NRS-2002 </w:t>
      </w:r>
      <w:r w:rsidR="00101BE3" w:rsidRPr="00D07897">
        <w:rPr>
          <w:rFonts w:ascii="Book Antiqua" w:hAnsi="Book Antiqua" w:cs="Arial"/>
          <w:color w:val="000000" w:themeColor="text1"/>
        </w:rPr>
        <w:t>predicted</w:t>
      </w:r>
      <w:r w:rsidR="00810708" w:rsidRPr="00D07897">
        <w:rPr>
          <w:rFonts w:ascii="Book Antiqua" w:hAnsi="Book Antiqua" w:cs="Arial"/>
          <w:color w:val="000000" w:themeColor="text1"/>
        </w:rPr>
        <w:t xml:space="preserve"> </w:t>
      </w:r>
      <w:r w:rsidR="00F33160" w:rsidRPr="00D07897">
        <w:rPr>
          <w:rFonts w:ascii="Book Antiqua" w:hAnsi="Book Antiqua" w:cs="Arial"/>
          <w:color w:val="000000" w:themeColor="text1"/>
        </w:rPr>
        <w:t xml:space="preserve">hospital </w:t>
      </w:r>
      <w:r w:rsidR="00810708" w:rsidRPr="00D07897">
        <w:rPr>
          <w:rFonts w:ascii="Book Antiqua" w:hAnsi="Book Antiqua" w:cs="Arial"/>
          <w:color w:val="000000" w:themeColor="text1"/>
        </w:rPr>
        <w:t>length of stay</w:t>
      </w:r>
      <w:r w:rsidR="00336FF1"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336FF1"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[13]</w:t>
      </w:r>
      <w:r w:rsidR="00336FF1" w:rsidRPr="00D07897">
        <w:rPr>
          <w:rFonts w:ascii="Book Antiqua" w:hAnsi="Book Antiqua" w:cs="Arial"/>
          <w:color w:val="000000" w:themeColor="text1"/>
        </w:rPr>
        <w:fldChar w:fldCharType="end"/>
      </w:r>
      <w:r w:rsidR="00810708" w:rsidRPr="00D07897">
        <w:rPr>
          <w:rFonts w:ascii="Book Antiqua" w:hAnsi="Book Antiqua" w:cs="Arial"/>
          <w:color w:val="000000" w:themeColor="text1"/>
        </w:rPr>
        <w:t xml:space="preserve">. </w:t>
      </w:r>
      <w:r w:rsidR="008A62FA" w:rsidRPr="00D07897">
        <w:rPr>
          <w:rFonts w:ascii="Book Antiqua" w:hAnsi="Book Antiqua" w:cs="Arial"/>
          <w:color w:val="000000" w:themeColor="text1"/>
        </w:rPr>
        <w:t>For outpatient</w:t>
      </w:r>
      <w:r w:rsidR="009D7956" w:rsidRPr="00D07897">
        <w:rPr>
          <w:rFonts w:ascii="Book Antiqua" w:hAnsi="Book Antiqua" w:cs="Arial"/>
          <w:color w:val="000000" w:themeColor="text1"/>
        </w:rPr>
        <w:t>s</w:t>
      </w:r>
      <w:r w:rsidR="008A62FA" w:rsidRPr="00D07897">
        <w:rPr>
          <w:rFonts w:ascii="Book Antiqua" w:hAnsi="Book Antiqua" w:cs="Arial"/>
          <w:color w:val="000000" w:themeColor="text1"/>
        </w:rPr>
        <w:t>, the MIRT correlated well wit</w:t>
      </w:r>
      <w:r w:rsidR="00E031C7" w:rsidRPr="00D07897">
        <w:rPr>
          <w:rFonts w:ascii="Book Antiqua" w:hAnsi="Book Antiqua" w:cs="Arial"/>
          <w:color w:val="000000" w:themeColor="text1"/>
        </w:rPr>
        <w:t>h</w:t>
      </w:r>
      <w:r w:rsidR="008A62FA" w:rsidRPr="00D07897">
        <w:rPr>
          <w:rFonts w:ascii="Book Antiqua" w:hAnsi="Book Antiqua" w:cs="Arial"/>
          <w:color w:val="000000" w:themeColor="text1"/>
        </w:rPr>
        <w:t xml:space="preserve"> hospitalizations, disease flares and need for surgery</w:t>
      </w:r>
      <w:r w:rsidR="00BA3BFC"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today","id":"ITEM-1","issue":"8","issued":{"date-parts":[["2016"]]},"page":"922-929","publisher-place":"Japan","title":"Influence of nutritional status on the therapeutic effect of infliximab in patients with Crohn's disease.","type":"article-journal","volume":"46"},"uris":["http://www.mendeley.com/documents/?uuid=6cc80495-0e41-4013-8604-780a0cfc9b33"]},{"id":"ITEM-2","itemData":{"DOI":"10.1017/S0007114516003044","ISSN":"1475-2662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nutrition","id":"ITEM-2","issue":"6","issued":{"date-parts":[["2016","9"]]},"language":"eng","page":"1061-1067","publisher-place":"England","title":"Inflammation-driven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[8,27]&lt;/sup&gt;","plainTextFormattedCitation":"[8,27]","previouslyFormattedCitation":"&lt;sup&gt;[8,26]&lt;/sup&gt;"},"properties":{"noteIndex":0},"schema":"https://github.com/citation-style-language/schema/raw/master/csl-citation.json"}</w:instrText>
      </w:r>
      <w:r w:rsidR="00BA3BFC"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[8,27]</w:t>
      </w:r>
      <w:r w:rsidR="00BA3BFC" w:rsidRPr="00D07897">
        <w:rPr>
          <w:rFonts w:ascii="Book Antiqua" w:hAnsi="Book Antiqua" w:cs="Arial"/>
          <w:color w:val="000000" w:themeColor="text1"/>
        </w:rPr>
        <w:fldChar w:fldCharType="end"/>
      </w:r>
      <w:r w:rsidR="008A62FA" w:rsidRPr="00D07897">
        <w:rPr>
          <w:rFonts w:ascii="Book Antiqua" w:hAnsi="Book Antiqua" w:cs="Arial"/>
          <w:color w:val="000000" w:themeColor="text1"/>
        </w:rPr>
        <w:t xml:space="preserve">. </w:t>
      </w:r>
      <w:r w:rsidR="00186933" w:rsidRPr="00D07897">
        <w:rPr>
          <w:rFonts w:ascii="Book Antiqua" w:hAnsi="Book Antiqua" w:cs="Arial"/>
          <w:color w:val="000000" w:themeColor="text1"/>
        </w:rPr>
        <w:t>All</w:t>
      </w:r>
      <w:r w:rsidR="00F959B5" w:rsidRPr="00D07897">
        <w:rPr>
          <w:rFonts w:ascii="Book Antiqua" w:hAnsi="Book Antiqua" w:cs="Arial"/>
          <w:color w:val="000000" w:themeColor="text1"/>
        </w:rPr>
        <w:t xml:space="preserve"> three NSTs included a component to reflect disease severity. </w:t>
      </w:r>
      <w:r w:rsidR="00186933" w:rsidRPr="00D07897">
        <w:rPr>
          <w:rFonts w:ascii="Book Antiqua" w:hAnsi="Book Antiqua" w:cs="Arial"/>
          <w:color w:val="000000" w:themeColor="text1"/>
        </w:rPr>
        <w:t xml:space="preserve">Although this parameter itself can correlate with adverse clinical outcomes, its inclusion in </w:t>
      </w:r>
      <w:r w:rsidR="00B06C23" w:rsidRPr="00D07897">
        <w:rPr>
          <w:rFonts w:ascii="Book Antiqua" w:hAnsi="Book Antiqua" w:cs="Arial"/>
          <w:color w:val="000000" w:themeColor="text1"/>
        </w:rPr>
        <w:t>IBD nutrition screening and assessment</w:t>
      </w:r>
      <w:r w:rsidR="00186933" w:rsidRPr="00D07897">
        <w:rPr>
          <w:rFonts w:ascii="Book Antiqua" w:hAnsi="Book Antiqua" w:cs="Arial"/>
          <w:color w:val="000000" w:themeColor="text1"/>
        </w:rPr>
        <w:t xml:space="preserve"> is appropriate</w:t>
      </w:r>
      <w:r w:rsidR="00B06C23" w:rsidRPr="00D07897">
        <w:rPr>
          <w:rFonts w:ascii="Book Antiqua" w:hAnsi="Book Antiqua" w:cs="Arial"/>
          <w:color w:val="000000" w:themeColor="text1"/>
        </w:rPr>
        <w:t xml:space="preserve">, as disease severity may exacerbate poor oral intake, malabsorption and catabolism. </w:t>
      </w:r>
      <w:r w:rsidR="00EE133F" w:rsidRPr="00D07897">
        <w:rPr>
          <w:rFonts w:ascii="Book Antiqua" w:hAnsi="Book Antiqua" w:cs="Arial"/>
          <w:color w:val="000000" w:themeColor="text1"/>
        </w:rPr>
        <w:t xml:space="preserve">The </w:t>
      </w:r>
      <w:proofErr w:type="spellStart"/>
      <w:r w:rsidR="00EE133F" w:rsidRPr="00D07897">
        <w:rPr>
          <w:rFonts w:ascii="Book Antiqua" w:hAnsi="Book Antiqua" w:cs="Arial"/>
          <w:color w:val="000000" w:themeColor="text1"/>
        </w:rPr>
        <w:t>SaskIBD</w:t>
      </w:r>
      <w:proofErr w:type="spellEnd"/>
      <w:r w:rsidR="00EE133F" w:rsidRPr="00D07897">
        <w:rPr>
          <w:rFonts w:ascii="Book Antiqua" w:hAnsi="Book Antiqua" w:cs="Arial"/>
          <w:color w:val="000000" w:themeColor="text1"/>
        </w:rPr>
        <w:t>-NRT (did not include measure of disease severity) has not yet been studied with reference to clinical outcomes.</w:t>
      </w:r>
    </w:p>
    <w:p w14:paraId="42A4B123" w14:textId="0884536E" w:rsidR="003D0B17" w:rsidRPr="00D07897" w:rsidRDefault="001B381D" w:rsidP="006E7C6A">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t>Notably, the</w:t>
      </w:r>
      <w:r w:rsidR="00327D7C" w:rsidRPr="00D07897">
        <w:rPr>
          <w:rFonts w:ascii="Book Antiqua" w:hAnsi="Book Antiqua" w:cs="Arial"/>
          <w:color w:val="000000" w:themeColor="text1"/>
        </w:rPr>
        <w:t xml:space="preserve"> MUST </w:t>
      </w:r>
      <w:r w:rsidR="006D5C73" w:rsidRPr="00D07897">
        <w:rPr>
          <w:rFonts w:ascii="Book Antiqua" w:hAnsi="Book Antiqua" w:cs="Arial"/>
          <w:color w:val="000000" w:themeColor="text1"/>
        </w:rPr>
        <w:t xml:space="preserve">was not associated </w:t>
      </w:r>
      <w:r w:rsidR="00327D7C" w:rsidRPr="00D07897">
        <w:rPr>
          <w:rFonts w:ascii="Book Antiqua" w:hAnsi="Book Antiqua" w:cs="Arial"/>
          <w:color w:val="000000" w:themeColor="text1"/>
        </w:rPr>
        <w:t xml:space="preserve">with clinical outcomes </w:t>
      </w:r>
      <w:r w:rsidR="00BA3BFC" w:rsidRPr="00D07897">
        <w:rPr>
          <w:rFonts w:ascii="Book Antiqua" w:hAnsi="Book Antiqua" w:cs="Arial"/>
          <w:color w:val="000000" w:themeColor="text1"/>
        </w:rPr>
        <w:t xml:space="preserve">among </w:t>
      </w:r>
      <w:r w:rsidR="00327D7C" w:rsidRPr="00D07897">
        <w:rPr>
          <w:rFonts w:ascii="Book Antiqua" w:hAnsi="Book Antiqua" w:cs="Arial"/>
          <w:color w:val="000000" w:themeColor="text1"/>
        </w:rPr>
        <w:t>inpatients</w:t>
      </w:r>
      <w:r w:rsidRPr="00D07897">
        <w:rPr>
          <w:rFonts w:ascii="Book Antiqua" w:hAnsi="Book Antiqua" w:cs="Arial"/>
          <w:color w:val="000000" w:themeColor="text1"/>
        </w:rPr>
        <w:t xml:space="preserve">. This is perhaps not surprising as the European </w:t>
      </w:r>
      <w:r w:rsidR="00EE0539" w:rsidRPr="00D07897">
        <w:rPr>
          <w:rFonts w:ascii="Book Antiqua" w:hAnsi="Book Antiqua" w:cs="Arial"/>
          <w:color w:val="000000" w:themeColor="text1"/>
        </w:rPr>
        <w:t xml:space="preserve">Society for Clinical </w:t>
      </w:r>
      <w:r w:rsidR="00EE0539" w:rsidRPr="00D07897">
        <w:rPr>
          <w:rFonts w:ascii="Book Antiqua" w:hAnsi="Book Antiqua" w:cs="Arial"/>
          <w:color w:val="000000" w:themeColor="text1"/>
        </w:rPr>
        <w:lastRenderedPageBreak/>
        <w:t xml:space="preserve">Nutrition and Metabolism </w:t>
      </w:r>
      <w:r w:rsidRPr="00D07897">
        <w:rPr>
          <w:rFonts w:ascii="Book Antiqua" w:hAnsi="Book Antiqua" w:cs="Arial"/>
          <w:color w:val="000000" w:themeColor="text1"/>
        </w:rPr>
        <w:t>has recommended against the use of MUST in inpatients, citing concern regarding confounde</w:t>
      </w:r>
      <w:r w:rsidR="00AB78BA" w:rsidRPr="00D07897">
        <w:rPr>
          <w:rFonts w:ascii="Book Antiqua" w:hAnsi="Book Antiqua" w:cs="Arial"/>
          <w:color w:val="000000" w:themeColor="text1"/>
        </w:rPr>
        <w:t>rs</w:t>
      </w:r>
      <w:r w:rsidR="00EF60E1" w:rsidRPr="00D07897">
        <w:rPr>
          <w:rFonts w:ascii="Book Antiqua" w:hAnsi="Book Antiqua" w:cs="Arial"/>
          <w:color w:val="000000" w:themeColor="text1"/>
        </w:rPr>
        <w:t xml:space="preserve"> from the lack of</w:t>
      </w:r>
      <w:r w:rsidR="00AB78BA" w:rsidRPr="00D07897">
        <w:rPr>
          <w:rFonts w:ascii="Book Antiqua" w:hAnsi="Book Antiqua" w:cs="Arial"/>
          <w:color w:val="000000" w:themeColor="text1"/>
        </w:rPr>
        <w:t xml:space="preserve"> grading </w:t>
      </w:r>
      <w:r w:rsidR="00514FE4" w:rsidRPr="00D07897">
        <w:rPr>
          <w:rFonts w:ascii="Book Antiqua" w:hAnsi="Book Antiqua" w:cs="Arial"/>
          <w:color w:val="000000" w:themeColor="text1"/>
        </w:rPr>
        <w:t>the severity of the acute illness</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{"citationItems":[{"id":"ITEM-1","itemData":{"ISSN":"0261-5614 (Print)","PMID":"12880610","abstract":"AIM: To provide guidelines for nutrition risk screening applicable to different settings (community, hospital, elderly) based on published and validated evidence available until June 2002. NOTE: These guidelines deliberately make reference to the year 2002 in their title to indicate that this version is based on the evidence available until 2002 and that they need to be updated and adapted to current state of knowledge in the future. In order to reach this goal the Education and Clinical Practice Committee invites and welcomes all criticism and suggestions (button for mail to ECPC chairman).","author":[{"dropping-particle":"","family":"Kondrup","given":"J","non-dropping-particle":"","parse-names":false,"suffix":""},{"dropping-particle":"","family":"Allison","given":"S P","non-dropping-particle":"","parse-names":false,"suffix":""},{"dropping-particle":"","family":"Elia","given":"M","non-dropping-particle":"","parse-names":false,"suffix":""},{"dropping-particle":"","family":"Vellas","given":"B","non-dropping-particle":"","parse-names":false,"suffix":""},{"dropping-particle":"","family":"Plauth","given":"M","non-dropping-particle":"","parse-names":false,"suffix":""}],"container-title":"Clinical nutrition (Edinburgh, Scotland)","id":"ITEM-1","issue":"4","issued":{"date-parts":[["2003","8"]]},"language":"eng","page":"415-421","publisher-place":"England","title":"ESPEN guidelines for nutrition screening 2002.","type":"article-journal","volume":"22"},"uris":["http://www.mendeley.com/documents/?uuid=0a9f74d2-5034-40d1-884b-51df233b7e81"]}],"mendeley":{"formattedCitation":"&lt;sup&gt;[14]&lt;/sup&gt;","plainTextFormattedCitation":"[14]","previouslyFormattedCitation":"&lt;sup&gt;[14]&lt;/sup&gt;"},"properties":{"noteIndex":0},"schema":"https://github.com/citation-style-language/schema/raw/master/csl-citation.json"}</w:instrText>
      </w:r>
      <w:r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[14]</w:t>
      </w:r>
      <w:r w:rsidRPr="00D07897">
        <w:rPr>
          <w:rFonts w:ascii="Book Antiqua" w:hAnsi="Book Antiqua" w:cs="Arial"/>
          <w:color w:val="000000" w:themeColor="text1"/>
        </w:rPr>
        <w:fldChar w:fldCharType="end"/>
      </w:r>
      <w:r w:rsidRPr="00D07897">
        <w:rPr>
          <w:rFonts w:ascii="Book Antiqua" w:hAnsi="Book Antiqua" w:cs="Arial"/>
          <w:color w:val="000000" w:themeColor="text1"/>
        </w:rPr>
        <w:t>.</w:t>
      </w:r>
      <w:r w:rsidR="00275519" w:rsidRPr="00D07897">
        <w:rPr>
          <w:rFonts w:ascii="Book Antiqua" w:hAnsi="Book Antiqua" w:cs="Arial"/>
          <w:color w:val="000000" w:themeColor="text1"/>
        </w:rPr>
        <w:t xml:space="preserve"> </w:t>
      </w:r>
      <w:r w:rsidRPr="00D07897">
        <w:rPr>
          <w:rFonts w:ascii="Book Antiqua" w:hAnsi="Book Antiqua" w:cs="Arial"/>
          <w:color w:val="000000" w:themeColor="text1"/>
        </w:rPr>
        <w:t xml:space="preserve">In other studies, the MUST </w:t>
      </w:r>
      <w:r w:rsidR="00F246D8" w:rsidRPr="00D07897">
        <w:rPr>
          <w:rFonts w:ascii="Book Antiqua" w:hAnsi="Book Antiqua" w:cs="Arial"/>
          <w:color w:val="000000" w:themeColor="text1"/>
        </w:rPr>
        <w:t xml:space="preserve">has been associated </w:t>
      </w:r>
      <w:r w:rsidR="000C68BA" w:rsidRPr="00D07897">
        <w:rPr>
          <w:rFonts w:ascii="Book Antiqua" w:hAnsi="Book Antiqua" w:cs="Arial"/>
          <w:color w:val="000000" w:themeColor="text1"/>
        </w:rPr>
        <w:t>with CD severity as measured by the HBI (</w:t>
      </w:r>
      <w:r w:rsidR="006E7C6A" w:rsidRPr="00D07897">
        <w:rPr>
          <w:rFonts w:ascii="Book Antiqua" w:hAnsi="Book Antiqua" w:cs="Arial"/>
          <w:i/>
          <w:iCs/>
          <w:color w:val="000000" w:themeColor="text1"/>
        </w:rPr>
        <w:t>P</w:t>
      </w:r>
      <w:r w:rsidR="006E7C6A" w:rsidRPr="00D07897">
        <w:rPr>
          <w:rFonts w:ascii="Book Antiqua" w:hAnsi="Book Antiqua" w:cs="Arial"/>
          <w:color w:val="000000" w:themeColor="text1"/>
        </w:rPr>
        <w:t xml:space="preserve"> </w:t>
      </w:r>
      <w:r w:rsidR="000C68BA" w:rsidRPr="00D07897">
        <w:rPr>
          <w:rFonts w:ascii="Book Antiqua" w:hAnsi="Book Antiqua" w:cs="Arial"/>
          <w:color w:val="000000" w:themeColor="text1"/>
        </w:rPr>
        <w:t>=</w:t>
      </w:r>
      <w:r w:rsidR="006E7C6A" w:rsidRPr="00D07897">
        <w:rPr>
          <w:rFonts w:ascii="Book Antiqua" w:hAnsi="Book Antiqua" w:cs="Arial"/>
          <w:color w:val="000000" w:themeColor="text1"/>
        </w:rPr>
        <w:t xml:space="preserve"> </w:t>
      </w:r>
      <w:r w:rsidR="000C68BA" w:rsidRPr="00D07897">
        <w:rPr>
          <w:rFonts w:ascii="Book Antiqua" w:hAnsi="Book Antiqua" w:cs="Arial"/>
          <w:color w:val="000000" w:themeColor="text1"/>
        </w:rPr>
        <w:t>0.005) on cross-sectional analysis</w:t>
      </w:r>
      <w:r w:rsidR="000C68BA"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10.22433/2016/09/1","ISSN":"23714808","author":[{"dropping-particle":"","family":"Rahman","given":"Adam","non-dropping-particle":"","parse-names":false,"suffix":""},{"dropping-particle":"","family":"Williams","given":"Phil","non-dropping-particle":"","parse-names":false,"suffix":""},{"dropping-particle":"","family":"Sandhu","given":"Amindeep","non-dropping-particle":"","parse-names":false,"suffix":""},{"dropping-particle":"","family":"Mosli","given":"Mahmoud","non-dropping-particle":"","parse-names":false,"suffix":""}],"container-title":"Canadian Journal of Nutrition","id":"ITEM-1","issue":"November","issued":{"date-parts":[["2016"]]},"page":"1-5","title":"Malnutrition Universal Screening Tool (MUST) predicts disease activity in patients with Crohn’s disease","type":"article-journal","volume":"1"},"uris":["http://www.mendeley.com/documents/?uuid=3b86eeaa-2f87-49fc-813f-4bec9d99345a"]}],"mendeley":{"formattedCitation":"&lt;sup&gt;[42]&lt;/sup&gt;","plainTextFormattedCitation":"[42]","previouslyFormattedCitation":"&lt;sup&gt;[41]&lt;/sup&gt;"},"properties":{"noteIndex":0},"schema":"https://github.com/citation-style-language/schema/raw/master/csl-citation.json"}</w:instrText>
      </w:r>
      <w:r w:rsidR="000C68BA"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[42]</w:t>
      </w:r>
      <w:r w:rsidR="000C68BA" w:rsidRPr="00D07897">
        <w:rPr>
          <w:rFonts w:ascii="Book Antiqua" w:hAnsi="Book Antiqua" w:cs="Arial"/>
          <w:color w:val="000000" w:themeColor="text1"/>
        </w:rPr>
        <w:fldChar w:fldCharType="end"/>
      </w:r>
      <w:r w:rsidR="000C68BA" w:rsidRPr="00D07897">
        <w:rPr>
          <w:rFonts w:ascii="Book Antiqua" w:hAnsi="Book Antiqua" w:cs="Arial"/>
          <w:color w:val="000000" w:themeColor="text1"/>
        </w:rPr>
        <w:t xml:space="preserve">. </w:t>
      </w:r>
      <w:r w:rsidR="002807A7" w:rsidRPr="00D07897">
        <w:rPr>
          <w:rFonts w:ascii="Book Antiqua" w:hAnsi="Book Antiqua" w:cs="Arial"/>
          <w:color w:val="000000" w:themeColor="text1"/>
        </w:rPr>
        <w:t>F</w:t>
      </w:r>
      <w:r w:rsidR="00327D7C" w:rsidRPr="00D07897">
        <w:rPr>
          <w:rFonts w:ascii="Book Antiqua" w:hAnsi="Book Antiqua" w:cs="Arial"/>
          <w:color w:val="000000" w:themeColor="text1"/>
        </w:rPr>
        <w:t xml:space="preserve">urther studies utilizing </w:t>
      </w:r>
      <w:r w:rsidRPr="00D07897">
        <w:rPr>
          <w:rFonts w:ascii="Book Antiqua" w:hAnsi="Book Antiqua" w:cs="Arial"/>
          <w:color w:val="000000" w:themeColor="text1"/>
        </w:rPr>
        <w:t xml:space="preserve">this tool </w:t>
      </w:r>
      <w:r w:rsidR="00327D7C" w:rsidRPr="00D07897">
        <w:rPr>
          <w:rFonts w:ascii="Book Antiqua" w:hAnsi="Book Antiqua" w:cs="Arial"/>
          <w:color w:val="000000" w:themeColor="text1"/>
        </w:rPr>
        <w:t xml:space="preserve">are </w:t>
      </w:r>
      <w:r w:rsidR="00D2382C" w:rsidRPr="00D07897">
        <w:rPr>
          <w:rFonts w:ascii="Book Antiqua" w:hAnsi="Book Antiqua" w:cs="Arial"/>
          <w:color w:val="000000" w:themeColor="text1"/>
        </w:rPr>
        <w:t>required</w:t>
      </w:r>
      <w:r w:rsidR="00327D7C" w:rsidRPr="00D07897">
        <w:rPr>
          <w:rFonts w:ascii="Book Antiqua" w:hAnsi="Book Antiqua" w:cs="Arial"/>
          <w:color w:val="000000" w:themeColor="text1"/>
        </w:rPr>
        <w:t xml:space="preserve"> </w:t>
      </w:r>
      <w:r w:rsidR="001835DF" w:rsidRPr="00D07897">
        <w:rPr>
          <w:rFonts w:ascii="Book Antiqua" w:hAnsi="Book Antiqua" w:cs="Arial"/>
          <w:color w:val="000000" w:themeColor="text1"/>
        </w:rPr>
        <w:t>to evaluate its</w:t>
      </w:r>
      <w:r w:rsidR="00327D7C" w:rsidRPr="00D07897">
        <w:rPr>
          <w:rFonts w:ascii="Book Antiqua" w:hAnsi="Book Antiqua" w:cs="Arial"/>
          <w:color w:val="000000" w:themeColor="text1"/>
        </w:rPr>
        <w:t xml:space="preserve"> use </w:t>
      </w:r>
      <w:r w:rsidR="001835DF" w:rsidRPr="00D07897">
        <w:rPr>
          <w:rFonts w:ascii="Book Antiqua" w:hAnsi="Book Antiqua" w:cs="Arial"/>
          <w:color w:val="000000" w:themeColor="text1"/>
        </w:rPr>
        <w:t xml:space="preserve">in </w:t>
      </w:r>
      <w:r w:rsidR="00327D7C" w:rsidRPr="00D07897">
        <w:rPr>
          <w:rFonts w:ascii="Book Antiqua" w:hAnsi="Book Antiqua" w:cs="Arial"/>
          <w:color w:val="000000" w:themeColor="text1"/>
        </w:rPr>
        <w:t xml:space="preserve">outpatient </w:t>
      </w:r>
      <w:r w:rsidR="00FF543F" w:rsidRPr="00D07897">
        <w:rPr>
          <w:rFonts w:ascii="Book Antiqua" w:hAnsi="Book Antiqua" w:cs="Arial"/>
          <w:color w:val="000000" w:themeColor="text1"/>
        </w:rPr>
        <w:t>IBD population</w:t>
      </w:r>
      <w:r w:rsidR="00275519" w:rsidRPr="00D07897">
        <w:rPr>
          <w:rFonts w:ascii="Book Antiqua" w:hAnsi="Book Antiqua" w:cs="Arial"/>
          <w:color w:val="000000" w:themeColor="text1"/>
        </w:rPr>
        <w:t>s</w:t>
      </w:r>
      <w:r w:rsidR="00327D7C" w:rsidRPr="00D07897">
        <w:rPr>
          <w:rFonts w:ascii="Book Antiqua" w:hAnsi="Book Antiqua" w:cs="Arial"/>
          <w:color w:val="000000" w:themeColor="text1"/>
        </w:rPr>
        <w:t xml:space="preserve">. </w:t>
      </w:r>
    </w:p>
    <w:p w14:paraId="086CBC77" w14:textId="178A7C1D" w:rsidR="00333D8B" w:rsidRPr="00D07897" w:rsidRDefault="00D2382C" w:rsidP="006E7C6A">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t>From</w:t>
      </w:r>
      <w:r w:rsidR="00F95FA5" w:rsidRPr="00D07897">
        <w:rPr>
          <w:rFonts w:ascii="Book Antiqua" w:hAnsi="Book Antiqua" w:cs="Arial"/>
          <w:color w:val="000000" w:themeColor="text1"/>
        </w:rPr>
        <w:t xml:space="preserve"> the available </w:t>
      </w:r>
      <w:r w:rsidR="001F2184" w:rsidRPr="00D07897">
        <w:rPr>
          <w:rFonts w:ascii="Book Antiqua" w:hAnsi="Book Antiqua" w:cs="Arial"/>
          <w:color w:val="000000" w:themeColor="text1"/>
        </w:rPr>
        <w:t xml:space="preserve">NST </w:t>
      </w:r>
      <w:r w:rsidR="00F95FA5" w:rsidRPr="00D07897">
        <w:rPr>
          <w:rFonts w:ascii="Book Antiqua" w:hAnsi="Book Antiqua" w:cs="Arial"/>
          <w:color w:val="000000" w:themeColor="text1"/>
        </w:rPr>
        <w:t>data</w:t>
      </w:r>
      <w:r w:rsidRPr="00D07897">
        <w:rPr>
          <w:rFonts w:ascii="Book Antiqua" w:hAnsi="Book Antiqua" w:cs="Arial"/>
          <w:color w:val="000000" w:themeColor="text1"/>
        </w:rPr>
        <w:t xml:space="preserve"> therefore</w:t>
      </w:r>
      <w:r w:rsidR="00F95FA5" w:rsidRPr="00D07897">
        <w:rPr>
          <w:rFonts w:ascii="Book Antiqua" w:hAnsi="Book Antiqua" w:cs="Arial"/>
          <w:color w:val="000000" w:themeColor="text1"/>
        </w:rPr>
        <w:t xml:space="preserve">, the NRS-2002 in inpatients, and the MIRT and MUST in outpatients, are promising candidates for further evaluation. This is consistent with previous reviews suggesting NSTs </w:t>
      </w:r>
      <w:r w:rsidR="001F2184" w:rsidRPr="00D07897">
        <w:rPr>
          <w:rFonts w:ascii="Book Antiqua" w:hAnsi="Book Antiqua" w:cs="Arial"/>
          <w:color w:val="000000" w:themeColor="text1"/>
        </w:rPr>
        <w:t xml:space="preserve">such as the NRS-2002 which use </w:t>
      </w:r>
      <w:r w:rsidR="00F95FA5" w:rsidRPr="00D07897">
        <w:rPr>
          <w:rFonts w:ascii="Book Antiqua" w:hAnsi="Book Antiqua" w:cs="Arial"/>
          <w:color w:val="000000" w:themeColor="text1"/>
        </w:rPr>
        <w:t>combined simple measures of malnutrition are most appropriate to assess malnutrition in IBD</w:t>
      </w:r>
      <w:r w:rsidR="00F95FA5"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{"citationItems":[{"id":"ITEM-1","itemData":{"DOI":"https://dx.doi.org/10.1016/j.ejim.2010.07.021","ISSN":"1879-0828","abstract":"Protein-energy malnutrition (PEM) is defined as a \"state of nutrition in which a deficiency or excess (or imbalance) of energy, protein, and other nutrients causes measurable adverse effects on tissue/body form (body shape, size and composition) and function, and clinical outcome\". Although this definition resulted from a long discussion among experts, it lacks concise assessment criteria. Essential to an effective practice of nutrition support, however, is the ability to identify who actually needs medical nutrition therapy. Patients with active inflammatory bowel disease (IBD) are a high risk group for protein-energy malnutrition, with a prevalence ranging up to 75%., Copyright © 2010 European Federation of Internal Medicine. Published by Elsevier B.V. All rights reserved.","author":[{"dropping-particle":"","family":"Valentini","given":"Luzia","non-dropping-particle":"","parse-names":false,"suffix":""},{"dropping-particle":"","family":"Schulzke","given":"Jorg-Dieter","non-dropping-particle":"","parse-names":false,"suffix":""}],"container-title":"European journal of internal medicine","id":"ITEM-1","issue":"1","issued":{"date-parts":[["2011"]]},"note":"Comment on: Eur J Intern Med. 2010 Aug;21(4):320-3; PMID: 20603044, Comment on: Eur J Intern Med. 2010 Aug;21(4):315-9; PMID: 20603043","page":"13-15","publisher-place":"Netherlands","title":"Mundane, yet challenging: the assessment of malnutrition in inflammatory bowel disease.","type":"article-journal","volume":"22"},"uris":["http://www.mendeley.com/documents/?uuid=d3893ad5-332b-4047-9e49-8c4af68247f2"]}],"mendeley":{"formattedCitation":"&lt;sup&gt;[24]&lt;/sup&gt;","plainTextFormattedCitation":"[24]","previouslyFormattedCitation":"&lt;sup&gt;[24]&lt;/sup&gt;"},"properties":{"noteIndex":0},"schema":"https://github.com/citation-style-language/schema/raw/master/csl-citation.json"}</w:instrText>
      </w:r>
      <w:r w:rsidR="00F95FA5"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[24]</w:t>
      </w:r>
      <w:r w:rsidR="00F95FA5" w:rsidRPr="00D07897">
        <w:rPr>
          <w:rFonts w:ascii="Book Antiqua" w:hAnsi="Book Antiqua" w:cs="Arial"/>
          <w:color w:val="000000" w:themeColor="text1"/>
        </w:rPr>
        <w:fldChar w:fldCharType="end"/>
      </w:r>
      <w:r w:rsidR="00F95FA5" w:rsidRPr="00D07897">
        <w:rPr>
          <w:rFonts w:ascii="Book Antiqua" w:hAnsi="Book Antiqua" w:cs="Arial"/>
          <w:color w:val="000000" w:themeColor="text1"/>
        </w:rPr>
        <w:t>. F</w:t>
      </w:r>
      <w:r w:rsidR="00E443C5" w:rsidRPr="00D07897">
        <w:rPr>
          <w:rFonts w:ascii="Book Antiqua" w:hAnsi="Book Antiqua" w:cs="Arial"/>
          <w:color w:val="000000" w:themeColor="text1"/>
        </w:rPr>
        <w:t xml:space="preserve">urther evaluation is </w:t>
      </w:r>
      <w:r w:rsidR="00F95FA5" w:rsidRPr="00D07897">
        <w:rPr>
          <w:rFonts w:ascii="Book Antiqua" w:hAnsi="Book Antiqua" w:cs="Arial"/>
          <w:color w:val="000000" w:themeColor="text1"/>
        </w:rPr>
        <w:t xml:space="preserve">needed as it remains </w:t>
      </w:r>
      <w:r w:rsidR="00E443C5" w:rsidRPr="00D07897">
        <w:rPr>
          <w:rFonts w:ascii="Book Antiqua" w:hAnsi="Book Antiqua" w:cs="Arial"/>
          <w:color w:val="000000" w:themeColor="text1"/>
        </w:rPr>
        <w:t>unclear whether the associations noted in CD patients will be generalizable to the UC popu</w:t>
      </w:r>
      <w:r w:rsidR="00083B79" w:rsidRPr="00D07897">
        <w:rPr>
          <w:rFonts w:ascii="Book Antiqua" w:hAnsi="Book Antiqua" w:cs="Arial"/>
          <w:color w:val="000000" w:themeColor="text1"/>
        </w:rPr>
        <w:t>lation and, furthermore, if these findings</w:t>
      </w:r>
      <w:r w:rsidR="00E443C5" w:rsidRPr="00D07897">
        <w:rPr>
          <w:rFonts w:ascii="Book Antiqua" w:hAnsi="Book Antiqua" w:cs="Arial"/>
          <w:color w:val="000000" w:themeColor="text1"/>
        </w:rPr>
        <w:t xml:space="preserve"> </w:t>
      </w:r>
      <w:r w:rsidR="00456B1D" w:rsidRPr="00D07897">
        <w:rPr>
          <w:rFonts w:ascii="Book Antiqua" w:hAnsi="Book Antiqua" w:cs="Arial"/>
          <w:color w:val="000000" w:themeColor="text1"/>
        </w:rPr>
        <w:t xml:space="preserve">will </w:t>
      </w:r>
      <w:r w:rsidR="003A4C79" w:rsidRPr="00D07897">
        <w:rPr>
          <w:rFonts w:ascii="Book Antiqua" w:hAnsi="Book Antiqua" w:cs="Arial"/>
          <w:color w:val="000000" w:themeColor="text1"/>
        </w:rPr>
        <w:t>apply across</w:t>
      </w:r>
      <w:r w:rsidR="00E443C5" w:rsidRPr="00D07897">
        <w:rPr>
          <w:rFonts w:ascii="Book Antiqua" w:hAnsi="Book Antiqua" w:cs="Arial"/>
          <w:color w:val="000000" w:themeColor="text1"/>
        </w:rPr>
        <w:t xml:space="preserve"> inpatient and outpatient populations. </w:t>
      </w:r>
      <w:r w:rsidR="00FF0EA0" w:rsidRPr="00D07897">
        <w:rPr>
          <w:rFonts w:ascii="Book Antiqua" w:hAnsi="Book Antiqua" w:cs="Arial"/>
          <w:color w:val="000000" w:themeColor="text1"/>
        </w:rPr>
        <w:t>It is also important to recognize that there are other NSTs that have not yet been explored in the IBD setting, including the patient-generated SGA, and Canadian Nutrition Risk Screening Tool</w:t>
      </w:r>
      <w:r w:rsidR="00E86046" w:rsidRPr="00D07897">
        <w:rPr>
          <w:rFonts w:ascii="Book Antiqua" w:hAnsi="Book Antiqua" w:cs="Arial"/>
          <w:color w:val="000000" w:themeColor="text1"/>
        </w:rPr>
        <w:t xml:space="preserve">. These screening tools </w:t>
      </w:r>
      <w:r w:rsidR="00D22BFA" w:rsidRPr="00D07897">
        <w:rPr>
          <w:rFonts w:ascii="Book Antiqua" w:hAnsi="Book Antiqua" w:cs="Arial"/>
          <w:color w:val="000000" w:themeColor="text1"/>
        </w:rPr>
        <w:t xml:space="preserve">have </w:t>
      </w:r>
      <w:r w:rsidR="00E86046" w:rsidRPr="00D07897">
        <w:rPr>
          <w:rFonts w:ascii="Book Antiqua" w:hAnsi="Book Antiqua" w:cs="Arial"/>
          <w:color w:val="000000" w:themeColor="text1"/>
        </w:rPr>
        <w:t>perform</w:t>
      </w:r>
      <w:r w:rsidR="00D22BFA" w:rsidRPr="00D07897">
        <w:rPr>
          <w:rFonts w:ascii="Book Antiqua" w:hAnsi="Book Antiqua" w:cs="Arial"/>
          <w:color w:val="000000" w:themeColor="text1"/>
        </w:rPr>
        <w:t>ed</w:t>
      </w:r>
      <w:r w:rsidR="00E86046" w:rsidRPr="00D07897">
        <w:rPr>
          <w:rFonts w:ascii="Book Antiqua" w:hAnsi="Book Antiqua" w:cs="Arial"/>
          <w:color w:val="000000" w:themeColor="text1"/>
        </w:rPr>
        <w:t xml:space="preserve"> well in other chronic disease populations</w:t>
      </w:r>
      <w:r w:rsidR="00633E70"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{"citationItems":[{"id":"ITEM-1","itemData":{"DOI":"10.3978/j.issn.1000-9604.2013.10.04","ISSN":"1000-9604 (Print)","PMID":"24255578","abstract":"OBJECTIVE: To validate malnutrition screening tool of nutrition risk index (NRI)  against patient-generated subjective global assessment (PG-SGA) as a gold standard tool in colorectal cancer patients before radiotherapy. METHODS: Nutritional status of 52 volunteer colorectal cancer patients with a mean age of 54.1+/-16.8 years who referred to radiotherapy center were assessed by PG-SGA (gold standard method) and NRI. Serum albumin levels of patients were determined by colorimetric method. A contingency table was used to determine the sensitivity, specificity, and predictive value of the NRI in screening patients at risk of malnutrition, in comparison with the PG-SGA in patients before radiotherapy. RESULTS: The findings of PG-SGA and NRI showed that 52% and 45% of patients in our study were moderately or severely malnourished respectively. The NRI had a sensitivity of 66% and a specificity of 60% against PG-SGA. The positive predictive value was 64% and the negative predicative value was 62%. The agreement between NRI and PG-SGA was statistically insignificant (kappa =0.267; P&gt;0.05). CONCLUSIONS: The findings of present study showed that the prevalence of malnutrition was high in patients with colorectal cancer. Moreover, NRI method had low sensitivity and specificity in assessing nutritional status of patients with cancer. It seems that the combination of anthropometric, laboratory parameters and a subjective scoring system may be helpful tools in screening of malnutrition in cancer patients.","author":[{"dropping-particle":"","family":"Faramarzi","given":"Elnaz","non-dropping-particle":"","parse-names":false,"suffix":""},{"dropping-particle":"","family":"Mahdavi","given":"Reza","non-dropping-particle":"","parse-names":false,"suffix":""},{"dropping-particle":"","family":"Mohammad-Zadeh","given":"Mohammad","non-dropping-particle":"","parse-names":false,"suffix":""},{"dropping-particle":"","family":"Nasirimotlagh","given":"Behnam","non-dropping-particle":"","parse-names":false,"suffix":""}],"container-title":"Chinese journal of cancer research = Chung-kuo yen cheng yen chiu","id":"ITEM-1","issue":"5","issued":{"date-parts":[["2013","10"]]},"language":"eng","page":"544-548","publisher-place":"China","title":"Validation of nutritional risk index method against patient-generated subjective  global assessment in screening malnutrition in colorectal cancer patients.","type":"article-journal","volume":"25"},"uris":["http://www.mendeley.com/documents/?uuid=5860c04e-2df1-4810-9891-00e81b74d7a4"]},{"id":"ITEM-2","itemData":{"DOI":"10.1097/GOX.0000000000001342","ISSN":"2169-7574 (Print)","PMID":"28831332","abstract":"Plastic surgeons routinely see patients with complex or chronic wounds of all  etiology. In a previous study, we found that up to 1 in 4 of these patients is at risk for malnutrition, which may be influencing their ability to heal. The goal of this study was to develop and validate a universal screening protocol that would be fast and accurate and allow for effective intervention and optimization of nutrition before plastic surgery. METHODS: To accomplish these goals, we adopted a 2-part screening algorithm using the Canadian Nutritional Screening Tool (CNST) to triage patients in our outpatient clinics and then further screened those identified as being at risk using the Subjective Global Assessment (SGA) tool and blood work. RESULTS: We screened 111 patients with diagnoses related to breast cancer (n = 10; 9.01%), elective surgery (n = 38; 34.23%), emergency surgery (n = 8; 7.21%), fractures (n = 15; 13.51%), and wounds (n = 40; 36.04%). Of the screened subjects, 15.32% (n = 17) were found to be at nutritional risk using the CNST, and 13 were confirmed to be moderately or severely malnourished using the SGA. Importantly, there were no positive correlations between nutritional status and smoking, diabetes, body mass index, or age, indicating that a universal screening protocol is needed to effectively screen a diverse plastic surgery population for malnutrition. CONCLUSIONS: Screening patients with both the CNST and the SGA is an effective way to identify patients before surgery to improve outcomes.","author":[{"dropping-particle":"","family":"Roy","given":"Melissa","non-dropping-particle":"","parse-names":false,"suffix":""},{"dropping-particle":"","family":"Hunter","given":"Paul","non-dropping-particle":"","parse-names":false,"suffix":""},{"dropping-particle":"","family":"Perry","given":"Julie A","non-dropping-particle":"","parse-names":false,"suffix":""},{"dropping-particle":"","family":"Cross","given":"Karen M","non-dropping-particle":"","parse-names":false,"suffix":""}],"container-title":"Plastic and reconstructive surgery. Global open","id":"ITEM-2","issue":"7","issued":{"date-parts":[["2017","7"]]},"language":"eng","page":"e1342","title":"Development of a Universal Nutritional Screening Platform for Plastic Surgery  Patients.","type":"article-journal","volume":"5"},"uris":["http://www.mendeley.com/documents/?uuid=8b15c284-c0b2-4d8c-ac61-6c21eaf102de"]}],"mendeley":{"formattedCitation":"&lt;sup&gt;[43,44]&lt;/sup&gt;","plainTextFormattedCitation":"[43,44]","previouslyFormattedCitation":"&lt;sup&gt;[42,43]&lt;/sup&gt;"},"properties":{"noteIndex":0},"schema":"https://github.com/citation-style-language/schema/raw/master/csl-citation.json"}</w:instrText>
      </w:r>
      <w:r w:rsidR="00633E70"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[43,44]</w:t>
      </w:r>
      <w:r w:rsidR="00633E70" w:rsidRPr="00D07897">
        <w:rPr>
          <w:rFonts w:ascii="Book Antiqua" w:hAnsi="Book Antiqua" w:cs="Arial"/>
          <w:color w:val="000000" w:themeColor="text1"/>
        </w:rPr>
        <w:fldChar w:fldCharType="end"/>
      </w:r>
      <w:r w:rsidR="00E86046" w:rsidRPr="00D07897">
        <w:rPr>
          <w:rFonts w:ascii="Book Antiqua" w:hAnsi="Book Antiqua" w:cs="Arial"/>
          <w:color w:val="000000" w:themeColor="text1"/>
        </w:rPr>
        <w:t xml:space="preserve">. </w:t>
      </w:r>
      <w:r w:rsidR="001F2184" w:rsidRPr="00D07897">
        <w:rPr>
          <w:rFonts w:ascii="Book Antiqua" w:hAnsi="Book Antiqua" w:cs="Arial"/>
          <w:color w:val="000000" w:themeColor="text1"/>
        </w:rPr>
        <w:t>Further research into the</w:t>
      </w:r>
      <w:r w:rsidR="00710662" w:rsidRPr="00D07897">
        <w:rPr>
          <w:rFonts w:ascii="Book Antiqua" w:hAnsi="Book Antiqua" w:cs="Arial"/>
          <w:color w:val="000000" w:themeColor="text1"/>
        </w:rPr>
        <w:t xml:space="preserve"> </w:t>
      </w:r>
      <w:r w:rsidR="00480DEC" w:rsidRPr="00D07897">
        <w:rPr>
          <w:rFonts w:ascii="Book Antiqua" w:hAnsi="Book Antiqua" w:cs="Arial"/>
          <w:color w:val="000000" w:themeColor="text1"/>
        </w:rPr>
        <w:t>use of patient-led versions of malnutrition screens</w:t>
      </w:r>
      <w:r w:rsidR="001F2184" w:rsidRPr="00D07897">
        <w:rPr>
          <w:rFonts w:ascii="Book Antiqua" w:hAnsi="Book Antiqua" w:cs="Arial"/>
          <w:color w:val="000000" w:themeColor="text1"/>
        </w:rPr>
        <w:t xml:space="preserve"> would also be of interest</w:t>
      </w:r>
      <w:r w:rsidR="00480DEC" w:rsidRPr="00D07897">
        <w:rPr>
          <w:rFonts w:ascii="Book Antiqua" w:hAnsi="Book Antiqua" w:cs="Arial"/>
          <w:color w:val="000000" w:themeColor="text1"/>
        </w:rPr>
        <w:t xml:space="preserve">. </w:t>
      </w:r>
      <w:r w:rsidR="002F6975" w:rsidRPr="00D07897">
        <w:rPr>
          <w:rFonts w:ascii="Book Antiqua" w:hAnsi="Book Antiqua" w:cs="Arial"/>
          <w:color w:val="000000" w:themeColor="text1"/>
        </w:rPr>
        <w:t>Although the</w:t>
      </w:r>
      <w:r w:rsidR="001B381D" w:rsidRPr="00D07897">
        <w:rPr>
          <w:rFonts w:ascii="Book Antiqua" w:hAnsi="Book Antiqua" w:cs="Arial"/>
          <w:color w:val="000000" w:themeColor="text1"/>
        </w:rPr>
        <w:t xml:space="preserve"> studies evaluating patient-led</w:t>
      </w:r>
      <w:r w:rsidR="002F6975" w:rsidRPr="00D07897">
        <w:rPr>
          <w:rFonts w:ascii="Book Antiqua" w:hAnsi="Book Antiqua" w:cs="Arial"/>
          <w:color w:val="000000" w:themeColor="text1"/>
        </w:rPr>
        <w:t xml:space="preserve"> NSTs</w:t>
      </w:r>
      <w:r w:rsidR="00DF7265" w:rsidRPr="00D07897">
        <w:rPr>
          <w:rFonts w:ascii="Book Antiqua" w:hAnsi="Book Antiqua" w:cs="Arial"/>
          <w:color w:val="000000" w:themeColor="text1"/>
        </w:rPr>
        <w:t xml:space="preserve"> did not meet </w:t>
      </w:r>
      <w:r w:rsidR="00206AFE" w:rsidRPr="00D07897">
        <w:rPr>
          <w:rFonts w:ascii="Book Antiqua" w:hAnsi="Book Antiqua" w:cs="Arial"/>
          <w:color w:val="000000" w:themeColor="text1"/>
        </w:rPr>
        <w:t xml:space="preserve">eligibility </w:t>
      </w:r>
      <w:r w:rsidR="00DF7265" w:rsidRPr="00D07897">
        <w:rPr>
          <w:rFonts w:ascii="Book Antiqua" w:hAnsi="Book Antiqua" w:cs="Arial"/>
          <w:color w:val="000000" w:themeColor="text1"/>
        </w:rPr>
        <w:t xml:space="preserve">criteria for this review, </w:t>
      </w:r>
      <w:r w:rsidR="002F6975" w:rsidRPr="00D07897">
        <w:rPr>
          <w:rFonts w:ascii="Book Antiqua" w:hAnsi="Book Antiqua" w:cs="Arial"/>
          <w:color w:val="000000" w:themeColor="text1"/>
        </w:rPr>
        <w:t xml:space="preserve">the </w:t>
      </w:r>
      <w:r w:rsidR="00206AFE" w:rsidRPr="00D07897">
        <w:rPr>
          <w:rFonts w:ascii="Book Antiqua" w:hAnsi="Book Antiqua" w:cs="Arial"/>
          <w:color w:val="000000" w:themeColor="text1"/>
        </w:rPr>
        <w:t>patient-</w:t>
      </w:r>
      <w:r w:rsidR="002F6975" w:rsidRPr="00D07897">
        <w:rPr>
          <w:rFonts w:ascii="Book Antiqua" w:hAnsi="Book Antiqua" w:cs="Arial"/>
          <w:color w:val="000000" w:themeColor="text1"/>
        </w:rPr>
        <w:t xml:space="preserve">led MUST has correlated with a </w:t>
      </w:r>
      <w:r w:rsidR="00206AFE" w:rsidRPr="00D07897">
        <w:rPr>
          <w:rFonts w:ascii="Book Antiqua" w:hAnsi="Book Antiqua" w:cs="Arial"/>
          <w:color w:val="000000" w:themeColor="text1"/>
        </w:rPr>
        <w:t>practitioner-</w:t>
      </w:r>
      <w:r w:rsidR="002F6975" w:rsidRPr="00D07897">
        <w:rPr>
          <w:rFonts w:ascii="Book Antiqua" w:hAnsi="Book Antiqua" w:cs="Arial"/>
          <w:color w:val="000000" w:themeColor="text1"/>
        </w:rPr>
        <w:t>led MUST in IBD</w:t>
      </w:r>
      <w:r w:rsidR="000D203D"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{"citationItems":[{"id":"ITEM-1","itemData":{"DOI":"10.1111/jhn.12481","ISSN":"1365-277X (Electronic)","PMID":"28585266","abstract":"BACKGROUND: Malnutrition is common in inflammatory bowel disease (IBD) and is associated with poor health outcomes. Despite this, screening for malnutrition in the outpatient-setting is not routine and research in the area is limited. The present study aimed to evaluate whether agreement between malnutrition screening completed by patients and healthcare professionals (HCPs) could be achieved by comparing patient self-administered 'MUST' ('MUST'-P) with HCP administered 'MUST' ('MUST'-HCP) in a single tertiary IBD outpatient clinic. METHODS: We conducted a feasibility and validity study on adult outpatients with IBD. We collected anthropometric, nutritional and clinical data from patients. All patients completed 'MUST'-P using a self-administered questionnaire, followed by 'MUST'-HCP. 'MUST'-P was timed and feedback on ease-of-use was obtained. The risk of malnutrition was classified as low (score = 0), medium (score = 1) and high (score &gt;/= 2) and agreement was tested using kappa statistics (kappa). RESULTS: Eighty patients were recruited (Crohn's disease: n = 49, ulcerative colitis: n = 29, unclassified: n = 2), with a mean (SD) age of 39.9 (15.1) years (51.2% were males). Seventy-one (92%) of patients found 'MUST'-P either easy or very easy. The mean (SD) time to complete 'MUST'-P was 3.1 (1.8) min (range 1-10 min). Sixty-eight (85%) of patients were at low risk of malnutrition when screened by the HCP. There was moderate agreement (kappa = 0.486, P &lt; 0.001) between 'MUST'-P and 'MUST'-HCP, with 100% agreement in scoring for medium- and high-risk categories. CONCLUSIONS: The results of the present study suggests that self-screening using 'MUST' could be effectively used in an IBD outpatient clinic to identify those at medium and high risk of malnutrition. The patient friendly version of 'MUST' ('MUST'-P) was considered quick and easy to use by patients. Implementation of self-screening with 'MUST' could improve the nutritional management of IBD patients.","author":[{"dropping-particle":"","family":"Keetarut","given":"K","non-dropping-particle":"","parse-names":false,"suffix":""},{"dropping-particle":"","family":"Zacharopoulou-Otapasidou","given":"S","non-dropping-particle":"","parse-names":false,"suffix":""},{"dropping-particle":"","family":"Bloom","given":"S","non-dropping-particle":"","parse-names":false,"suffix":""},{"dropping-particle":"","family":"Majumdar","given":"A","non-dropping-particle":"","parse-names":false,"suffix":""},{"dropping-particle":"","family":"Patel","given":"P S","non-dropping-particle":"","parse-names":false,"suffix":""}],"container-title":"Journal of human nutrition and dietetics : the official journal of the British Dietetic Association","id":"ITEM-1","issue":"6","issued":{"date-parts":[["2017","12"]]},"language":"eng","page":"737-745","publisher-place":"England","title":"An evaluation of the feasibility and validity of a patient-administered malnutrition universal screening tool ('MUST') compared to healthcare professional screening in an inflammatory bowel disease (IBD) outpatient clinic.","type":"article-journal","volume":"30"},"uris":["http://www.mendeley.com/documents/?uuid=1e341027-4634-4a80-be9c-cc775242a55d","http://www.mendeley.com/documents/?uuid=5945a0b0-028d-470a-a580-7b0b19a9eb43"]},{"id":"ITEM-2","itemData":{"DOI":"https://dx.doi.org/10.1177/0148607114566656","ISSN":"0148-6071","abstract":"BACKGROUND AND AIMS: Malnutrition is common in patients with inflammatory bowel disease (IBD) and is associated with poor outcomes. Our aim is to determine if patient self-administered malnutrition screening using the malnutrition universal screening tool (MUST) is reliable by comparing patient scores with those derived from the healthcare practitioner (HCP), the gold standard., METHODS: We conducted a prospective validation study at a tertiary Canadian academic center that included 154 adult outpatients with IBD. All patients with IBD completed a self-administered nutrition screening assessment using the MUST score followed by an independent MUST assessment performed by HCPs. The main outcome measure was chance-corrected agreement (kappa) of malnutrition risk categorization., RESULTS: For patient-administered MUST, the chance-corrected agreement kappa (95% confidence interval [CI]) was 0.83 (0.74-0.92) when comparing low-risk and combined medium- and high-risk patients with HCP screening. Weighted kappa analysis comparing all 3 risks groups yielded a kappa (95% CI) of 0.85 (0.77-0.93) between patient and HCP screening. All patients were able to screen themselves. Overall, 96% of patients reported the MUST questionnaire as either very easy or easy to understand and to complete., CONCLUSION: Self-administered nutrition screening in outpatients with IBD is valid using the MUST screening tool and is easy to use. If adopted, this tool will increase utilization of malnutrition screening in hectic outpatient clinic settings and will help HCPs determine which patients require additional nutrition support.Copyright © 2015 American Society for Parenteral and Enteral Nutrition.","author":[{"dropping-particle":"","family":"Sandhu","given":"Amindeep","non-dropping-particle":"","parse-names":false,"suffix":""},{"dropping-particle":"","family":"Mosli","given":"Mahmoud","non-dropping-particle":"","parse-names":false,"suffix":""},{"dropping-particle":"","family":"Yan","given":"Brian","non-dropping-particle":"","parse-names":false,"suffix":""},{"dropping-particle":"","family":"Wu","given":"Thomas","non-dropping-particle":"","parse-names":false,"suffix":""},{"dropping-particle":"","family":"Gregor","given":"Jamie","non-dropping-particle":"","parse-names":false,"suffix":""},{"dropping-particle":"","family":"Chande","given":"Nilesh","non-dropping-particle":"","parse-names":false,"suffix":""},{"dropping-particle":"","family":"Ponich","given":"Terry","non-dropping-particle":"","parse-names":false,"suffix":""},{"dropping-particle":"","family":"Beaton","given":"Melanie","non-dropping-particle":"","parse-names":false,"suffix":""},{"dropping-particle":"","family":"Rahman","given":"Adam","non-dropping-particle":"","parse-names":false,"suffix":""}],"container-title":"JPEN. Journal of parenteral and enteral nutrition","id":"ITEM-2","issue":"4","issued":{"date-parts":[["2016"]]},"page":"507-510","publisher-place":"United States","title":"Self-Screening for Malnutrition Risk in Outpatient Inflammatory Bowel Disease Patients Using the Malnutrition Universal Screening Tool (MUST).","type":"article-journal","volume":"40"},"uris":["http://www.mendeley.com/documents/?uuid=28400480-2699-4d58-9732-af9c5c0e9eba"]}],"mendeley":{"formattedCitation":"&lt;sup&gt;[45,46]&lt;/sup&gt;","plainTextFormattedCitation":"[45,46]","previouslyFormattedCitation":"&lt;sup&gt;[44,45]&lt;/sup&gt;"},"properties":{"noteIndex":0},"schema":"https://github.com/citation-style-language/schema/raw/master/csl-citation.json"}</w:instrText>
      </w:r>
      <w:r w:rsidR="000D203D"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[45,46]</w:t>
      </w:r>
      <w:r w:rsidR="000D203D" w:rsidRPr="00D07897">
        <w:rPr>
          <w:rFonts w:ascii="Book Antiqua" w:hAnsi="Book Antiqua" w:cs="Arial"/>
          <w:color w:val="000000" w:themeColor="text1"/>
        </w:rPr>
        <w:fldChar w:fldCharType="end"/>
      </w:r>
      <w:r w:rsidR="00CD3AEA" w:rsidRPr="00D07897">
        <w:rPr>
          <w:rFonts w:ascii="Book Antiqua" w:hAnsi="Book Antiqua" w:cs="Arial"/>
          <w:color w:val="000000" w:themeColor="text1"/>
        </w:rPr>
        <w:t xml:space="preserve"> and is in keeping with the utility of these screens</w:t>
      </w:r>
      <w:r w:rsidR="002F6975" w:rsidRPr="00D07897">
        <w:rPr>
          <w:rFonts w:ascii="Book Antiqua" w:hAnsi="Book Antiqua" w:cs="Arial"/>
          <w:color w:val="000000" w:themeColor="text1"/>
        </w:rPr>
        <w:t xml:space="preserve"> in other chronic disease populations</w:t>
      </w:r>
      <w:r w:rsidR="000D203D"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{"citationItems":[{"id":"ITEM-1","itemData":{"DOI":"10.1080/01635581.2013.755554","ISSN":"1532-7914 (Electronic)","PMID":"23441610","abstract":"The scored Patient-Generated Subjective Global Assessment tool (PG-SGA), regarded as the most appropriate means of identifying malnutrition in cancer patients, is often challenging to implement in a busy outpatient setting. We assessed the validity of an abridged version of the PG-SGA (abPG-SGA), which forgoes the physical examination, and compared its usefulness in discerning malnutrition to the full PG-SGA and Malnutrition Screening Tool (MST). The nutritional status of 90 oncology outpatients receiving chemotherapy was assessed according to SGA global rating, PG-SGA, and MST. Receiver operating characteristic (ROC) curves were generated to estimate the sensitivity and specificity of various cut-off scores for malnutrition. Thirty-six percent of patients were malnourished (SGA). The abPG-SGA yielded 94% sensitivity and 78% specificity and area under the curve (AUC) = 0.956, which was slightly lower than PG-SGA (97% sensitivity, 86% specificity, AUC = 0.967) and higher than MST (81% sensitivity, 72% specificity, AUC = 0.823). Patient reported symptoms included loss of appetite (30%), altered taste (31%), fatigue (30%), and decreased ability to perform activities of daily living (53%). In conclusion, the abPG-SGA is a practical, informative and valid tool for detecting malnutrition in the outpatient oncology setting.","author":[{"dropping-particle":"","family":"Gabrielson","given":"Denise K","non-dropping-particle":"","parse-names":false,"suffix":""},{"dropping-particle":"","family":"Scaffidi","given":"Donna","non-dropping-particle":"","parse-names":false,"suffix":""},{"dropping-particle":"","family":"Leung","given":"Elizabeth","non-dropping-particle":"","parse-names":false,"suffix":""},{"dropping-particle":"","family":"Stoyanoff","given":"Linda","non-dropping-particle":"","parse-names":false,"suffix":""},{"dropping-particle":"","family":"Robinson","given":"Jennifer","non-dropping-particle":"","parse-names":false,"suffix":""},{"dropping-particle":"","family":"Nisenbaum","given":"Rosane","non-dropping-particle":"","parse-names":false,"suffix":""},{"dropping-particle":"","family":"Brezden-Masley","given":"Christine","non-dropping-particle":"","parse-names":false,"suffix":""},{"dropping-particle":"","family":"Darling","given":"Pauline B","non-dropping-particle":"","parse-names":false,"suffix":""}],"container-title":"Nutrition and cancer","id":"ITEM-1","issue":"2","issued":{"date-parts":[["2013"]]},"language":"eng","page":"234-239","publisher-place":"United States","title":"Use of an abridged scored Patient-Generated Subjective Global Assessment (abPG-SGA) as a nutritional screening tool for cancer patients in an outpatient setting.","type":"article-journal","volume":"65"},"uris":["http://www.mendeley.com/documents/?uuid=4ed00dc3-2026-4c04-8705-76733d31184e","http://www.mendeley.com/documents/?uuid=ad4e7e0e-f37f-4609-a043-d0b8e0d9298b"]},{"id":"ITEM-2","itemData":{"DOI":"10.1016/j.jand.2013.09.027","ISSN":"2212-2672 (Print)","PMID":"24462323","abstract":"Cancer cachexia (CC) is a syndrome characterized by wasting of lean body mass and fat, often driven by decreased food intake, hypermetabolism, and inflammation resulting in decreased lifespan and quality of life. Classification of cancer cachexia has improved, but few clinically relevant diagnostic tools exist for its early identification and characterization. The abridged Patient-Generated Subjective Global Assessment (aPG-SGA) is a modification of the original Patient-Generated Subjective Global Assessment, and consists of a four-part questionnaire that scores patients' weight history, food intake, appetite, and performance status. The purpose of this study was to determine whether the aPG-SGA is associated with both features and clinical sequelae of cancer cachexia. In this prospective cohort study, 207 advanced lung and gastrointestinal cancer patients completed the following tests: aPG-SGA, Edmonton Symptom Assessment System, handgrip strength, a complete blood count, albumin, apolipoprotein A and B, and C-reactive protein. Ninety-four participants with good performance status as assessed by the Eastern Cooperative Oncology Group Performance Status completed additional questionnaires and underwent body composition testing. Of these, 68 patients tested for quadriceps strength and completed a 3-day food recall. Multivariable regression models revealed that higher aPG-SGA scores (&gt;/=9 vs 0 to 1) are significantly associated (P&lt;0.05) with the following: unfavorable biological markers of cancer cachexia, such as higher white blood cell counts (10.0 vs 6.7x10(9)/L; lower hemoglobin (115.6 vs 127.7 g/L), elevated C-reactive protein (42.7 vs 18.2 mg/L [406.7 vs 173.3 nmol/L]); decreased anthropometric and physical measures, such as body mass index (22.5 vs 27.1); fat mass (14.4 vs 26.0 kg), handgrip (24.7 vs 34.9 kg) and leg strength; an average 12% greater length of hospital stay; a dose reduction in chemotherapy; and increased mortality. Given its association with the main features of cancer cachexia and its ease of use, the aPG-SGA appears to be a useful tool for detecting and predicting outcomes of cancer cachexia. Additional research is required to determine what impact the aPG-SGA has on quality of care when used in the clinical setting.","author":[{"dropping-particle":"","family":"Vigano","given":"Antonio L","non-dropping-particle":"","parse-names":false,"suffix":""},{"dropping-particle":"","family":"Tomasso","given":"Jonathan","non-dropping-particle":"di","parse-names":false,"suffix":""},{"dropping-particle":"","family":"Kilgour","given":"Robert D","non-dropping-particle":"","parse-names":false,"suffix":""},{"dropping-particle":"","family":"Trutschnigg","given":"Barbara","non-dropping-particle":"","parse-names":false,"suffix":""},{"dropping-particle":"","family":"Lucar","given":"Enriqueta","non-dropping-particle":"","parse-names":false,"suffix":""},{"dropping-particle":"","family":"Morais","given":"Jose A","non-dropping-particle":"","parse-names":false,"suffix":""},{"dropping-particle":"","family":"Borod","given":"Manuel","non-dropping-particle":"","parse-names":false,"suffix":""}],"container-title":"Journal of the Academy of Nutrition and Dietetics","id":"ITEM-2","issue":"7","issued":{"date-parts":[["2014","7"]]},"language":"eng","page":"1088-1098","publisher-place":"United States","title":"The abridged patient-generated subjective global assessment is a useful tool for  early detection and characterization of cancer cachexia.","type":"article-journal","volume":"114"},"uris":["http://www.mendeley.com/documents/?uuid=3e0c1147-c0c7-45e4-957a-3d3a34dddd4b","http://www.mendeley.com/documents/?uuid=aeefc0d9-1434-44ca-a642-9d4a0d380147"]}],"mendeley":{"formattedCitation":"&lt;sup&gt;[47,48]&lt;/sup&gt;","plainTextFormattedCitation":"[47,48]","previouslyFormattedCitation":"&lt;sup&gt;[46,47]&lt;/sup&gt;"},"properties":{"noteIndex":0},"schema":"https://github.com/citation-style-language/schema/raw/master/csl-citation.json"}</w:instrText>
      </w:r>
      <w:r w:rsidR="000D203D"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[47,48]</w:t>
      </w:r>
      <w:r w:rsidR="000D203D" w:rsidRPr="00D07897">
        <w:rPr>
          <w:rFonts w:ascii="Book Antiqua" w:hAnsi="Book Antiqua" w:cs="Arial"/>
          <w:color w:val="000000" w:themeColor="text1"/>
        </w:rPr>
        <w:fldChar w:fldCharType="end"/>
      </w:r>
      <w:r w:rsidR="002F6975" w:rsidRPr="00D07897">
        <w:rPr>
          <w:rFonts w:ascii="Book Antiqua" w:hAnsi="Book Antiqua" w:cs="Arial"/>
          <w:color w:val="000000" w:themeColor="text1"/>
        </w:rPr>
        <w:t xml:space="preserve">. </w:t>
      </w:r>
      <w:r w:rsidR="00984E7E" w:rsidRPr="00D07897">
        <w:rPr>
          <w:rFonts w:ascii="Book Antiqua" w:hAnsi="Book Antiqua" w:cs="Arial"/>
          <w:color w:val="000000" w:themeColor="text1"/>
        </w:rPr>
        <w:t>As</w:t>
      </w:r>
      <w:r w:rsidR="001F2184" w:rsidRPr="00D07897">
        <w:rPr>
          <w:rFonts w:ascii="Book Antiqua" w:hAnsi="Book Antiqua" w:cs="Arial"/>
          <w:color w:val="000000" w:themeColor="text1"/>
        </w:rPr>
        <w:t xml:space="preserve"> a </w:t>
      </w:r>
      <w:r w:rsidR="00984E7E" w:rsidRPr="00D07897">
        <w:rPr>
          <w:rFonts w:ascii="Book Antiqua" w:hAnsi="Book Antiqua" w:cs="Arial"/>
          <w:color w:val="000000" w:themeColor="text1"/>
        </w:rPr>
        <w:t xml:space="preserve">direct </w:t>
      </w:r>
      <w:r w:rsidR="001F2184" w:rsidRPr="00D07897">
        <w:rPr>
          <w:rFonts w:ascii="Book Antiqua" w:hAnsi="Book Antiqua" w:cs="Arial"/>
          <w:color w:val="000000" w:themeColor="text1"/>
        </w:rPr>
        <w:t xml:space="preserve">translation to clinical </w:t>
      </w:r>
      <w:r w:rsidR="00984E7E" w:rsidRPr="00D07897">
        <w:rPr>
          <w:rFonts w:ascii="Book Antiqua" w:hAnsi="Book Antiqua" w:cs="Arial"/>
          <w:color w:val="000000" w:themeColor="text1"/>
        </w:rPr>
        <w:t>practice</w:t>
      </w:r>
      <w:r w:rsidR="001F2184" w:rsidRPr="00D07897">
        <w:rPr>
          <w:rFonts w:ascii="Book Antiqua" w:hAnsi="Book Antiqua" w:cs="Arial"/>
          <w:color w:val="000000" w:themeColor="text1"/>
        </w:rPr>
        <w:t xml:space="preserve">, the </w:t>
      </w:r>
      <w:r w:rsidR="00CD4D69" w:rsidRPr="00D07897">
        <w:rPr>
          <w:rFonts w:ascii="Book Antiqua" w:hAnsi="Book Antiqua" w:cs="Arial"/>
          <w:color w:val="000000" w:themeColor="text1"/>
        </w:rPr>
        <w:t>signal that</w:t>
      </w:r>
      <w:r w:rsidR="00795E83" w:rsidRPr="00D07897">
        <w:rPr>
          <w:rFonts w:ascii="Book Antiqua" w:hAnsi="Book Antiqua" w:cs="Arial"/>
          <w:color w:val="000000" w:themeColor="text1"/>
        </w:rPr>
        <w:t xml:space="preserve"> NSTs</w:t>
      </w:r>
      <w:r w:rsidR="00CD4D69" w:rsidRPr="00D07897">
        <w:rPr>
          <w:rFonts w:ascii="Book Antiqua" w:hAnsi="Book Antiqua" w:cs="Arial"/>
          <w:color w:val="000000" w:themeColor="text1"/>
        </w:rPr>
        <w:t xml:space="preserve"> </w:t>
      </w:r>
      <w:r w:rsidR="00795E83" w:rsidRPr="00D07897">
        <w:rPr>
          <w:rFonts w:ascii="Book Antiqua" w:hAnsi="Book Antiqua" w:cs="Arial"/>
          <w:color w:val="000000" w:themeColor="text1"/>
        </w:rPr>
        <w:t xml:space="preserve">predict clinical outcomes </w:t>
      </w:r>
      <w:r w:rsidR="00CD4D69" w:rsidRPr="00D07897">
        <w:rPr>
          <w:rFonts w:ascii="Book Antiqua" w:hAnsi="Book Antiqua" w:cs="Arial"/>
          <w:color w:val="000000" w:themeColor="text1"/>
        </w:rPr>
        <w:t>supports their importance</w:t>
      </w:r>
      <w:r w:rsidR="003B4A72" w:rsidRPr="00D07897">
        <w:rPr>
          <w:rFonts w:ascii="Book Antiqua" w:hAnsi="Book Antiqua" w:cs="Arial"/>
          <w:color w:val="000000" w:themeColor="text1"/>
        </w:rPr>
        <w:t xml:space="preserve">. </w:t>
      </w:r>
      <w:r w:rsidR="00CD4D69" w:rsidRPr="00D07897">
        <w:rPr>
          <w:rFonts w:ascii="Book Antiqua" w:hAnsi="Book Antiqua" w:cs="Arial"/>
          <w:color w:val="000000" w:themeColor="text1"/>
        </w:rPr>
        <w:t>In</w:t>
      </w:r>
      <w:r w:rsidR="003B4A72" w:rsidRPr="00D07897">
        <w:rPr>
          <w:rFonts w:ascii="Book Antiqua" w:hAnsi="Book Antiqua" w:cs="Arial"/>
          <w:color w:val="000000" w:themeColor="text1"/>
        </w:rPr>
        <w:t xml:space="preserve"> f</w:t>
      </w:r>
      <w:r w:rsidR="00984E7E" w:rsidRPr="00D07897">
        <w:rPr>
          <w:rFonts w:ascii="Book Antiqua" w:hAnsi="Book Antiqua" w:cs="Arial"/>
          <w:color w:val="000000" w:themeColor="text1"/>
        </w:rPr>
        <w:t xml:space="preserve">uture studies </w:t>
      </w:r>
      <w:r w:rsidR="00CD4D69" w:rsidRPr="00D07897">
        <w:rPr>
          <w:rFonts w:ascii="Book Antiqua" w:hAnsi="Book Antiqua" w:cs="Arial"/>
          <w:color w:val="000000" w:themeColor="text1"/>
        </w:rPr>
        <w:t xml:space="preserve">it will be of interest </w:t>
      </w:r>
      <w:r w:rsidR="003B4A72" w:rsidRPr="00D07897">
        <w:rPr>
          <w:rFonts w:ascii="Book Antiqua" w:hAnsi="Book Antiqua" w:cs="Arial"/>
          <w:color w:val="000000" w:themeColor="text1"/>
        </w:rPr>
        <w:t>to</w:t>
      </w:r>
      <w:r w:rsidR="00984E7E" w:rsidRPr="00D07897">
        <w:rPr>
          <w:rFonts w:ascii="Book Antiqua" w:hAnsi="Book Antiqua" w:cs="Arial"/>
          <w:color w:val="000000" w:themeColor="text1"/>
        </w:rPr>
        <w:t xml:space="preserve"> evaluate the impact of </w:t>
      </w:r>
      <w:r w:rsidR="003B4A72" w:rsidRPr="00D07897">
        <w:rPr>
          <w:rFonts w:ascii="Book Antiqua" w:hAnsi="Book Antiqua" w:cs="Arial"/>
          <w:color w:val="000000" w:themeColor="text1"/>
        </w:rPr>
        <w:t>nutrition</w:t>
      </w:r>
      <w:r w:rsidR="00795E83" w:rsidRPr="00D07897">
        <w:rPr>
          <w:rFonts w:ascii="Book Antiqua" w:hAnsi="Book Antiqua" w:cs="Arial"/>
          <w:color w:val="000000" w:themeColor="text1"/>
        </w:rPr>
        <w:t xml:space="preserve"> therapies on NST results</w:t>
      </w:r>
      <w:r w:rsidR="003B4A72" w:rsidRPr="00D07897">
        <w:rPr>
          <w:rFonts w:ascii="Book Antiqua" w:hAnsi="Book Antiqua" w:cs="Arial"/>
          <w:color w:val="000000" w:themeColor="text1"/>
        </w:rPr>
        <w:t xml:space="preserve"> </w:t>
      </w:r>
      <w:r w:rsidR="00795E83" w:rsidRPr="00D07897">
        <w:rPr>
          <w:rFonts w:ascii="Book Antiqua" w:hAnsi="Book Antiqua" w:cs="Arial"/>
          <w:color w:val="000000" w:themeColor="text1"/>
        </w:rPr>
        <w:t>and on clinical outcomes.</w:t>
      </w:r>
    </w:p>
    <w:p w14:paraId="38E0632D" w14:textId="35E655E9" w:rsidR="00E8093F" w:rsidRPr="00D07897" w:rsidRDefault="003B4A72" w:rsidP="006E7C6A">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t>Lastly, we explored the association between NATs and clinical outcome measures. Notably, m</w:t>
      </w:r>
      <w:r w:rsidR="00840E9A" w:rsidRPr="00D07897">
        <w:rPr>
          <w:rFonts w:ascii="Book Antiqua" w:hAnsi="Book Antiqua" w:cs="Arial"/>
          <w:color w:val="000000" w:themeColor="text1"/>
        </w:rPr>
        <w:t>ost</w:t>
      </w:r>
      <w:r w:rsidR="00ED1D4D" w:rsidRPr="00D07897">
        <w:rPr>
          <w:rFonts w:ascii="Book Antiqua" w:hAnsi="Book Antiqua" w:cs="Arial"/>
          <w:color w:val="000000" w:themeColor="text1"/>
        </w:rPr>
        <w:t xml:space="preserve"> studies correlating NATs and clinical outcomes </w:t>
      </w:r>
      <w:r w:rsidR="007B2363" w:rsidRPr="00D07897">
        <w:rPr>
          <w:rFonts w:ascii="Book Antiqua" w:hAnsi="Book Antiqua" w:cs="Arial"/>
          <w:color w:val="000000" w:themeColor="text1"/>
        </w:rPr>
        <w:t xml:space="preserve">used </w:t>
      </w:r>
      <w:r w:rsidR="00ED1D4D" w:rsidRPr="00D07897">
        <w:rPr>
          <w:rFonts w:ascii="Book Antiqua" w:hAnsi="Book Antiqua" w:cs="Arial"/>
          <w:color w:val="000000" w:themeColor="text1"/>
        </w:rPr>
        <w:t>measures of sarcopenia as the primary assessment method</w:t>
      </w:r>
      <w:r w:rsidR="00603D59" w:rsidRPr="00D07897">
        <w:rPr>
          <w:rFonts w:ascii="Book Antiqua" w:hAnsi="Book Antiqua" w:cs="Arial"/>
          <w:color w:val="000000" w:themeColor="text1"/>
        </w:rPr>
        <w:t xml:space="preserve">, in particular the L3 </w:t>
      </w:r>
      <w:r w:rsidR="00D53B04" w:rsidRPr="00D07897">
        <w:rPr>
          <w:rFonts w:ascii="Book Antiqua" w:hAnsi="Book Antiqua" w:cs="Arial"/>
          <w:color w:val="000000" w:themeColor="text1"/>
        </w:rPr>
        <w:t>SMI</w:t>
      </w:r>
      <w:r w:rsidR="007A43BB"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Scotland)","id":"ITEM-2","issue":"6","issued":{"date-parts":[["2017","12"]]},"language":"eng","page":"1586-1592","publisher-place":"England","title":"Skeletal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colectomy.","type":"article-journal","volume":"36"},"uris":["http://www.mendeley.com/documents/?uuid=289f93c3-ba8a-4a99-af8c-01b5584e14b0"]},{"id":"ITEM-3","itemData":{"DOI":"https://dx.doi.org/10.1007/s11605-015-2763-x","ISSN":"1873-4626","abstract":"BACKGROUND: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Tract","id":"ITEM-3","issue":"4","issued":{"date-parts":[["2015"]]},"page":"715-721","publisher-place":"United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malnutrition.","type":"article-journal","volume":"19"},"uris":["http://www.mendeley.com/documents/?uuid=bce9beff-5643-45ff-bd09-fffc819a41d0"]},{"id":"ITEM-4","itemData":{"DOI":"10.1007/s00595-016-1357-x","ISSN":"1436-2813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today","id":"ITEM-4","issue":"1","issued":{"date-parts":[["2017","1"]]},"language":"eng","page":"92-98","publisher-place":"Japan","title":"Impact of sarcopenia on surgical site infection after restorative proctocolectomy for ulcerative colitis.","type":"article-journal","volume":"47"},"uris":["http://www.mendeley.com/documents/?uuid=a3ecc717-75fe-4b70-b40a-518331ec5a8e"]}],"mendeley":{"formattedCitation":"&lt;sup&gt;[9,11,28,29]&lt;/sup&gt;","plainTextFormattedCitation":"[9,11,28,29]","previouslyFormattedCitation":"&lt;sup&gt;[9,11,27,28]&lt;/sup&gt;"},"properties":{"noteIndex":0},"schema":"https://github.com/citation-style-language/schema/raw/master/csl-citation.json"}</w:instrText>
      </w:r>
      <w:r w:rsidR="007A43BB"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[9,11,28,29]</w:t>
      </w:r>
      <w:r w:rsidR="007A43BB" w:rsidRPr="00D07897">
        <w:rPr>
          <w:rFonts w:ascii="Book Antiqua" w:hAnsi="Book Antiqua" w:cs="Arial"/>
          <w:color w:val="000000" w:themeColor="text1"/>
        </w:rPr>
        <w:fldChar w:fldCharType="end"/>
      </w:r>
      <w:r w:rsidR="00ED1D4D" w:rsidRPr="00D07897">
        <w:rPr>
          <w:rFonts w:ascii="Book Antiqua" w:hAnsi="Book Antiqua" w:cs="Arial"/>
          <w:color w:val="000000" w:themeColor="text1"/>
        </w:rPr>
        <w:t>.</w:t>
      </w:r>
      <w:r w:rsidR="00603D59" w:rsidRPr="00D07897">
        <w:rPr>
          <w:rFonts w:ascii="Book Antiqua" w:hAnsi="Book Antiqua" w:cs="Arial"/>
          <w:color w:val="000000" w:themeColor="text1"/>
        </w:rPr>
        <w:t xml:space="preserve"> </w:t>
      </w:r>
      <w:r w:rsidR="003A630E" w:rsidRPr="00D07897">
        <w:rPr>
          <w:rFonts w:ascii="Book Antiqua" w:hAnsi="Book Antiqua" w:cs="Arial"/>
          <w:color w:val="000000" w:themeColor="text1"/>
        </w:rPr>
        <w:t xml:space="preserve">By adding an additional 6 studies (Zhang 2015, Holt 2017, Cushing </w:t>
      </w:r>
      <w:r w:rsidR="003A630E" w:rsidRPr="00D07897">
        <w:rPr>
          <w:rFonts w:ascii="Book Antiqua" w:hAnsi="Book Antiqua" w:cs="Arial"/>
          <w:color w:val="000000" w:themeColor="text1"/>
        </w:rPr>
        <w:lastRenderedPageBreak/>
        <w:t>2018, Fujikawa 2017, O’Brien 2018</w:t>
      </w:r>
      <w:r w:rsidR="00412C46" w:rsidRPr="00D07897">
        <w:rPr>
          <w:rFonts w:ascii="Book Antiqua" w:hAnsi="Book Antiqua" w:cs="Arial"/>
          <w:color w:val="000000" w:themeColor="text1"/>
        </w:rPr>
        <w:t>,</w:t>
      </w:r>
      <w:r w:rsidR="003A630E" w:rsidRPr="00D07897">
        <w:rPr>
          <w:rFonts w:ascii="Book Antiqua" w:hAnsi="Book Antiqua" w:cs="Arial"/>
          <w:color w:val="000000" w:themeColor="text1"/>
        </w:rPr>
        <w:t xml:space="preserve"> and </w:t>
      </w:r>
      <w:proofErr w:type="spellStart"/>
      <w:r w:rsidR="003A630E" w:rsidRPr="00D07897">
        <w:rPr>
          <w:rFonts w:ascii="Book Antiqua" w:hAnsi="Book Antiqua" w:cs="Arial"/>
          <w:color w:val="000000" w:themeColor="text1"/>
        </w:rPr>
        <w:t>Thiberge</w:t>
      </w:r>
      <w:proofErr w:type="spellEnd"/>
      <w:r w:rsidR="003A630E" w:rsidRPr="00D07897">
        <w:rPr>
          <w:rFonts w:ascii="Book Antiqua" w:hAnsi="Book Antiqua" w:cs="Arial"/>
          <w:color w:val="000000" w:themeColor="text1"/>
        </w:rPr>
        <w:t xml:space="preserve"> 2018)</w:t>
      </w:r>
      <w:r w:rsidR="003A630E"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Tract","id":"ITEM-1","issue":"4","issued":{"date-parts":[["2015"]]},"page":"715-721","publisher-place":"United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malnutrition.","type":"article-journal","volume":"19"},"uris":["http://www.mendeley.com/documents/?uuid=bce9beff-5643-45ff-bd09-fffc819a41d0"]},{"id":"ITEM-2","itemData":{"DOI":"https://dx.doi.org/10.1111/apt.14018","ISSN":"1365-2036","abstract":"BACKGROUND: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therapeutics","id":"ITEM-2","issue":"9","issued":{"date-parts":[["2017"]]},"page":"1255-1264","publisher-place":"England","title":"Visceral adiposity predicts post-operative Crohn's disease recurrence.","type":"article-journal","volume":"45"},"uris":["http://www.mendeley.com/documents/?uuid=2f42bc0f-c075-4ed5-ae3f-d90c75e83b1a"]},{"id":"ITEM-3","itemData":{"DOI":"10.1093/ecco-jcc/jjy064","ISSN":"1876-4479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colitis","id":"ITEM-3","issued":{"date-parts":[["2018","5"]]},"language":"eng","publisher-place":"England","title":"Sarcopenia is a Novel Predictor of the Need for Rescue Therapy in Hospitalized Ulcerative Colitis Patients.","type":"article-journal"},"uris":["http://www.mendeley.com/documents/?uuid=e255b58f-95e7-489e-b9af-18a0b87f7525"]},{"id":"ITEM-4","itemData":{"DOI":"10.1007/s00595-016-1357-x","ISSN":"1436-2813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today","id":"ITEM-4","issue":"1","issued":{"date-parts":[["2017","1"]]},"language":"eng","page":"92-98","publisher-place":"Japan","title":"Impact of sarcopenia on surgical site infection after restorative proctocolectomy for ulcerative colitis.","type":"article-journal","volume":"47"},"uris":["http://www.mendeley.com/documents/?uuid=a3ecc717-75fe-4b70-b40a-518331ec5a8e"]},{"id":"ITEM-5","itemData":{"DOI":"10.1186/s41747-018-0072-3","ISSN":"2509-9280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experimental","id":"ITEM-5","issue":"1","issued":{"date-parts":[["2018","11"]]},"language":"eng","page":"37","publisher-place":"England","title":"The impact of sarcopenia and myosteatosis on postoperative outcomes in patients with inflammatory bowel disease.","type":"article-journal","volume":"2"},"uris":["http://www.mendeley.com/documents/?uuid=e0b53979-80b7-49e6-bb0a-439e8ff7d904"]},{"id":"ITEM-6","itemData":{"DOI":"10.1093/ecco-jcc/jjy124","ISSN":"1876-4479","abstract":"BACKGROUND AND AIMS: Changes in body composition have been described in patients with Crohn's disease, but their predictive performances on disease evolution remain undefined. The aims of our study were to assess, in patients with Crohn's disease requiring abdominal computed tomography, body composition by computed tomography, and to study the outcome according to various body composition parameters at the time of the computed tomography. METHODS: Patients with Crohn's disease who underwent abdominal computed tomography for suspected complications were retrospectively included. The definition of adverse outcome included death or need for surgery within 6 months of the computed tomography. Skeletal muscle index and visceral and subcutaneous adiposity indexes were calculated from tissue surface areas measured at the third lumbar vertebra, divided by the height squared. RESULTS: The prevalence of underweight was 26.8% and the prevalence of sarcopenia was 33.6%. After gender adjustment, skeletal muscle index tended to be reduced in patients with adverse outcome, compared with patients without surgery or death [p = 0.07]. Moreover, subcutaneous adiposity index and visceral adiposity index were significantly lower in patients with surgery or death [p = 0.009 and p &lt; 0.001, respectively]. These differences were almost equivalent in both genders for the subcutaneous adiposity index but were clearly stronger in men for the visceral adiposity index. CONCLUSIONS: Subcutaneous and visceral adiposity indexes correlate inversely with adverse outcome in patients with Crohn's disease. Alteration of body composition assessed by computed tomography in these patients appears to be a marker of disease severity.","author":[{"dropping-particle":"","family":"Thiberge","given":"Claire","non-dropping-particle":"","parse-names":false,"suffix":""},{"dropping-particle":"","family":"Charpentier","given":"Cloé","non-dropping-particle":"","parse-names":false,"suffix":""},{"dropping-particle":"","family":"Gillibert","given":"André","non-dropping-particle":"","parse-names":false,"suffix":""},{"dropping-particle":"","family":"Modzelewski","given":"Romain","non-dropping-particle":"","parse-names":false,"suffix":""},{"dropping-particle":"","family":"Dacher","given":"Jean-Nicolas","non-dropping-particle":"","parse-names":false,"suffix":""},{"dropping-particle":"","family":"Savoye","given":"Guillaume","non-dropping-particle":"","parse-names":false,"suffix":""},{"dropping-particle":"","family":"Savoye-Collet","given":"Céline","non-dropping-particle":"","parse-names":false,"suffix":""}],"container-title":"Journal of Crohn's &amp; colitis","id":"ITEM-6","issue":"12","issued":{"date-parts":[["2018","11","28"]]},"page":"1429-1437","publisher-place":"England","title":"Lower Subcutaneous or Visceral Adiposity Assessed by Abdominal Computed Tomography Could Predict Adverse Outcome in Patients With Crohn's Disease","type":"article-journal","volume":"12"},"uris":["http://www.mendeley.com/documents/?uuid=24be24ce-8d64-4a00-ba9d-1bda6687be41"]}],"mendeley":{"formattedCitation":"&lt;sup&gt;[28,29,31,32,34,36]&lt;/sup&gt;","plainTextFormattedCitation":"[28,29,31,32,34,36]","previouslyFormattedCitation":"&lt;sup&gt;[27,28,30,31,33,35]&lt;/sup&gt;"},"properties":{"noteIndex":0},"schema":"https://github.com/citation-style-language/schema/raw/master/csl-citation.json"}</w:instrText>
      </w:r>
      <w:r w:rsidR="003A630E"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[28,29,31,32,34,36]</w:t>
      </w:r>
      <w:r w:rsidR="003A630E" w:rsidRPr="00D07897">
        <w:rPr>
          <w:rFonts w:ascii="Book Antiqua" w:hAnsi="Book Antiqua" w:cs="Arial"/>
          <w:color w:val="000000" w:themeColor="text1"/>
        </w:rPr>
        <w:fldChar w:fldCharType="end"/>
      </w:r>
      <w:r w:rsidR="003A630E" w:rsidRPr="00D07897">
        <w:rPr>
          <w:rFonts w:ascii="Book Antiqua" w:hAnsi="Book Antiqua" w:cs="Arial"/>
          <w:color w:val="000000" w:themeColor="text1"/>
        </w:rPr>
        <w:t xml:space="preserve"> the current review extends the </w:t>
      </w:r>
      <w:r w:rsidR="007A43BB" w:rsidRPr="00D07897">
        <w:rPr>
          <w:rFonts w:ascii="Book Antiqua" w:hAnsi="Book Antiqua" w:cs="Arial"/>
          <w:color w:val="000000" w:themeColor="text1"/>
        </w:rPr>
        <w:t xml:space="preserve">recent </w:t>
      </w:r>
      <w:r w:rsidR="003A630E" w:rsidRPr="00D07897">
        <w:rPr>
          <w:rFonts w:ascii="Book Antiqua" w:hAnsi="Book Antiqua" w:cs="Arial"/>
          <w:color w:val="000000" w:themeColor="text1"/>
        </w:rPr>
        <w:t xml:space="preserve">sarcopenia focused systematic review carried out by </w:t>
      </w:r>
      <w:r w:rsidR="00A63AA9" w:rsidRPr="00D07897">
        <w:rPr>
          <w:rFonts w:ascii="Book Antiqua" w:hAnsi="Book Antiqua" w:cs="Arial"/>
          <w:color w:val="000000" w:themeColor="text1"/>
        </w:rPr>
        <w:t xml:space="preserve">Ryan </w:t>
      </w:r>
      <w:r w:rsidR="00A63AA9" w:rsidRPr="00D07897">
        <w:rPr>
          <w:rFonts w:ascii="Book Antiqua" w:hAnsi="Book Antiqua" w:cs="Arial"/>
          <w:i/>
          <w:iCs/>
          <w:color w:val="000000" w:themeColor="text1"/>
        </w:rPr>
        <w:t>et al</w:t>
      </w:r>
      <w:r w:rsidR="007A43BB"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{"citationItems":[{"id":"ITEM-1","itemData":{"DOI":"10.1093/ibd/izy212","ISSN":"1536-4844 (Electronic)","PMID":"29889230","abstract":"Background: Sarcopenia is associated with increased morbidity and mortality in oncologic and transplant surgery. It has a high incidence in chronic inflammatory states including inflammatory bowel disease (IBD). The validity of existing data in IBD and of sarcopenia's correlation with surgical outcomes is limited. Methods: We performed a systematic review to assess the correlation of sarcopenia with the requirement for surgery and surgical outcomes in patients with IBD. Observational studies of patients with IBD in whom an assessment of sarcopenic status/skeletal muscle index was undertaken, a proportion of whom proceeded to surgical management, were selected. Results: A total of 5 studies with a combined 658 IBD patients met the inclusion criteria. The majority (70%) had a diagnosis of Crohn's disease. Median (range) body mass index and skeletal muscle index were reported in 4 studies and were 16.58 (13.66-22.50) kg/m2 and 44.52 (42.90-50.64) cm2/m2, respectively. Forty-two percent of IBD patients had sarcopenia. Notably, none of the studies assessed both the anatomical and functional component required for a correct assessment of sarcopenia. Three studies noted that sarcopenic IBD patients had a higher probability of requiring surgery. The rate of major complications (Clavien-Dindo grade &gt;/=IIIa) was significantly higher in patients with sarcopenia. Improved perioperative nutrition management may mitigate the risk of complications. Conclusion: Many IBD patients are young, may be malnourished, and commonly require emergent surgery. There is considerable heterogeneity in the assessment of sarcopenia. Sarcopenia is common in the IBD population and can predict the need for surgical intervention. Sarcopenia correlates with an increased rate of major postoperative complications. Improved perioperative intervention may diminish this risk. A formal assessment, screening by a dedicated IBD dietician, and preoperative physical therapy may facilitate early intervention.","author":[{"dropping-particle":"","family":"Ryan","given":"Eanna","non-dropping-particle":"","parse-names":false,"suffix":""},{"dropping-particle":"","family":"McNicholas","given":"Daniel","non-dropping-particle":"","parse-names":false,"suffix":""},{"dropping-particle":"","family":"Creavin","given":"Ben","non-dropping-particle":"","parse-names":false,"suffix":""},{"dropping-particle":"","family":"Kelly","given":"Michael Eamon","non-dropping-particle":"","parse-names":false,"suffix":""},{"dropping-particle":"","family":"Walsh","given":"Tom","non-dropping-particle":"","parse-names":false,"suffix":""},{"dropping-particle":"","family":"Beddy","given":"David","non-dropping-particle":"","parse-names":false,"suffix":""}],"container-title":"Inflammatory bowel diseases","id":"ITEM-1","issued":{"date-parts":[["2018","6"]]},"language":"eng","publisher-place":"United States","title":"Sarcopenia and Inflammatory Bowel Disease: A Systematic Review.","type":"article-journal"},"uris":["http://www.mendeley.com/documents/?uuid=881c4d0f-22f1-4804-905c-56a50712cb1f"]}],"mendeley":{"formattedCitation":"&lt;sup&gt;[22]&lt;/sup&gt;","plainTextFormattedCitation":"[22]","previouslyFormattedCitation":"&lt;sup&gt;[22]&lt;/sup&gt;"},"properties":{"noteIndex":0},"schema":"https://github.com/citation-style-language/schema/raw/master/csl-citation.json"}</w:instrText>
      </w:r>
      <w:r w:rsidR="007A43BB"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[22]</w:t>
      </w:r>
      <w:r w:rsidR="007A43BB" w:rsidRPr="00D07897">
        <w:rPr>
          <w:rFonts w:ascii="Book Antiqua" w:hAnsi="Book Antiqua" w:cs="Arial"/>
          <w:color w:val="000000" w:themeColor="text1"/>
        </w:rPr>
        <w:fldChar w:fldCharType="end"/>
      </w:r>
      <w:r w:rsidR="00947EAC" w:rsidRPr="00D07897">
        <w:rPr>
          <w:rFonts w:ascii="Book Antiqua" w:hAnsi="Book Antiqua" w:cs="Arial"/>
          <w:color w:val="000000" w:themeColor="text1"/>
        </w:rPr>
        <w:t xml:space="preserve">. </w:t>
      </w:r>
      <w:r w:rsidR="00BB60B4" w:rsidRPr="00D07897">
        <w:rPr>
          <w:rFonts w:ascii="Book Antiqua" w:hAnsi="Book Antiqua" w:cs="Arial"/>
          <w:color w:val="000000" w:themeColor="text1"/>
        </w:rPr>
        <w:t>Ryan’s group</w:t>
      </w:r>
      <w:r w:rsidR="00206AFE" w:rsidRPr="00D07897">
        <w:rPr>
          <w:rFonts w:ascii="Book Antiqua" w:hAnsi="Book Antiqua" w:cs="Arial"/>
          <w:color w:val="000000" w:themeColor="text1"/>
        </w:rPr>
        <w:t xml:space="preserve"> reported a </w:t>
      </w:r>
      <w:r w:rsidR="00BB60B4" w:rsidRPr="00D07897">
        <w:rPr>
          <w:rFonts w:ascii="Book Antiqua" w:hAnsi="Book Antiqua" w:cs="Arial"/>
          <w:color w:val="000000" w:themeColor="text1"/>
        </w:rPr>
        <w:t xml:space="preserve">sarcopenia </w:t>
      </w:r>
      <w:r w:rsidR="00206AFE" w:rsidRPr="00D07897">
        <w:rPr>
          <w:rFonts w:ascii="Book Antiqua" w:hAnsi="Book Antiqua" w:cs="Arial"/>
          <w:color w:val="000000" w:themeColor="text1"/>
        </w:rPr>
        <w:t>prevalence rate over 40%</w:t>
      </w:r>
      <w:r w:rsidR="00BB60B4" w:rsidRPr="00D07897">
        <w:rPr>
          <w:rFonts w:ascii="Book Antiqua" w:hAnsi="Book Antiqua" w:cs="Arial"/>
          <w:color w:val="000000" w:themeColor="text1"/>
        </w:rPr>
        <w:t xml:space="preserve">, similar to the </w:t>
      </w:r>
      <w:r w:rsidR="00280F99" w:rsidRPr="00D07897">
        <w:rPr>
          <w:rFonts w:ascii="Book Antiqua" w:hAnsi="Book Antiqua" w:cs="Arial"/>
          <w:color w:val="000000" w:themeColor="text1"/>
        </w:rPr>
        <w:t>39.5</w:t>
      </w:r>
      <w:r w:rsidR="00BB60B4" w:rsidRPr="00D07897">
        <w:rPr>
          <w:rFonts w:ascii="Book Antiqua" w:hAnsi="Book Antiqua" w:cs="Arial"/>
          <w:color w:val="000000" w:themeColor="text1"/>
        </w:rPr>
        <w:t>%</w:t>
      </w:r>
      <w:r w:rsidR="00133AAF" w:rsidRPr="00D07897">
        <w:rPr>
          <w:rFonts w:ascii="Book Antiqua" w:hAnsi="Book Antiqua" w:cs="Arial"/>
          <w:color w:val="000000" w:themeColor="text1"/>
        </w:rPr>
        <w:t xml:space="preserve"> </w:t>
      </w:r>
      <w:r w:rsidR="00BB60B4" w:rsidRPr="00D07897">
        <w:rPr>
          <w:rFonts w:ascii="Book Antiqua" w:hAnsi="Book Antiqua" w:cs="Arial"/>
          <w:color w:val="000000" w:themeColor="text1"/>
        </w:rPr>
        <w:t xml:space="preserve">seen in </w:t>
      </w:r>
      <w:r w:rsidR="00524AB7" w:rsidRPr="00D07897">
        <w:rPr>
          <w:rFonts w:ascii="Book Antiqua" w:hAnsi="Book Antiqua" w:cs="Arial"/>
          <w:color w:val="000000" w:themeColor="text1"/>
        </w:rPr>
        <w:t>our</w:t>
      </w:r>
      <w:r w:rsidR="00BB60B4" w:rsidRPr="00D07897">
        <w:rPr>
          <w:rFonts w:ascii="Book Antiqua" w:hAnsi="Book Antiqua" w:cs="Arial"/>
          <w:color w:val="000000" w:themeColor="text1"/>
        </w:rPr>
        <w:t xml:space="preserve"> current study</w:t>
      </w:r>
      <w:r w:rsidR="00206AFE" w:rsidRPr="00D07897">
        <w:rPr>
          <w:rFonts w:ascii="Book Antiqua" w:hAnsi="Book Antiqua" w:cs="Arial"/>
          <w:color w:val="000000" w:themeColor="text1"/>
        </w:rPr>
        <w:t xml:space="preserve">. </w:t>
      </w:r>
      <w:r w:rsidR="00977A87" w:rsidRPr="00D07897">
        <w:rPr>
          <w:rFonts w:ascii="Book Antiqua" w:hAnsi="Book Antiqua" w:cs="Arial"/>
          <w:color w:val="000000" w:themeColor="text1"/>
        </w:rPr>
        <w:t xml:space="preserve">They </w:t>
      </w:r>
      <w:r w:rsidR="00BB60B4" w:rsidRPr="00D07897">
        <w:rPr>
          <w:rFonts w:ascii="Book Antiqua" w:hAnsi="Book Antiqua" w:cs="Arial"/>
          <w:color w:val="000000" w:themeColor="text1"/>
        </w:rPr>
        <w:t xml:space="preserve">also concluded that </w:t>
      </w:r>
      <w:r w:rsidR="00977A87" w:rsidRPr="00D07897">
        <w:rPr>
          <w:rFonts w:ascii="Book Antiqua" w:hAnsi="Book Antiqua" w:cs="Arial"/>
          <w:color w:val="000000" w:themeColor="text1"/>
        </w:rPr>
        <w:t>s</w:t>
      </w:r>
      <w:r w:rsidR="00647C27" w:rsidRPr="00D07897">
        <w:rPr>
          <w:rFonts w:ascii="Book Antiqua" w:hAnsi="Book Antiqua" w:cs="Arial"/>
          <w:color w:val="000000" w:themeColor="text1"/>
        </w:rPr>
        <w:t xml:space="preserve">arcopenia </w:t>
      </w:r>
      <w:r w:rsidR="00206AFE" w:rsidRPr="00D07897">
        <w:rPr>
          <w:rFonts w:ascii="Book Antiqua" w:hAnsi="Book Antiqua" w:cs="Arial"/>
          <w:color w:val="000000" w:themeColor="text1"/>
        </w:rPr>
        <w:t>was a significant</w:t>
      </w:r>
      <w:r w:rsidR="00254CAB" w:rsidRPr="00D07897">
        <w:rPr>
          <w:rFonts w:ascii="Book Antiqua" w:hAnsi="Book Antiqua" w:cs="Arial"/>
          <w:color w:val="000000" w:themeColor="text1"/>
        </w:rPr>
        <w:t xml:space="preserve"> </w:t>
      </w:r>
      <w:r w:rsidR="00206AFE" w:rsidRPr="00D07897">
        <w:rPr>
          <w:rFonts w:ascii="Book Antiqua" w:hAnsi="Book Antiqua" w:cs="Arial"/>
          <w:color w:val="000000" w:themeColor="text1"/>
        </w:rPr>
        <w:t xml:space="preserve">independent predictor </w:t>
      </w:r>
      <w:r w:rsidR="00647C27" w:rsidRPr="00D07897">
        <w:rPr>
          <w:rFonts w:ascii="Book Antiqua" w:hAnsi="Book Antiqua" w:cs="Arial"/>
          <w:color w:val="000000" w:themeColor="text1"/>
        </w:rPr>
        <w:t xml:space="preserve">for </w:t>
      </w:r>
      <w:r w:rsidR="0073351C" w:rsidRPr="00D07897">
        <w:rPr>
          <w:rFonts w:ascii="Book Antiqua" w:hAnsi="Book Antiqua" w:cs="Arial"/>
          <w:color w:val="000000" w:themeColor="text1"/>
        </w:rPr>
        <w:t xml:space="preserve">the need for </w:t>
      </w:r>
      <w:r w:rsidR="00647C27" w:rsidRPr="00D07897">
        <w:rPr>
          <w:rFonts w:ascii="Book Antiqua" w:hAnsi="Book Antiqua" w:cs="Arial"/>
          <w:color w:val="000000" w:themeColor="text1"/>
        </w:rPr>
        <w:t xml:space="preserve">surgery and </w:t>
      </w:r>
      <w:r w:rsidR="007B2363" w:rsidRPr="00D07897">
        <w:rPr>
          <w:rFonts w:ascii="Book Antiqua" w:hAnsi="Book Antiqua" w:cs="Arial"/>
          <w:color w:val="000000" w:themeColor="text1"/>
        </w:rPr>
        <w:t xml:space="preserve">it </w:t>
      </w:r>
      <w:r w:rsidR="00647C27" w:rsidRPr="00D07897">
        <w:rPr>
          <w:rFonts w:ascii="Book Antiqua" w:hAnsi="Book Antiqua" w:cs="Arial"/>
          <w:color w:val="000000" w:themeColor="text1"/>
        </w:rPr>
        <w:t>correlated with an increased rate of major post-operative complications</w:t>
      </w:r>
      <w:r w:rsidR="00EE0539" w:rsidRPr="00D07897">
        <w:rPr>
          <w:rFonts w:ascii="Book Antiqua" w:hAnsi="Book Antiqua" w:cs="Arial"/>
          <w:color w:val="000000" w:themeColor="text1"/>
        </w:rPr>
        <w:t>,</w:t>
      </w:r>
      <w:r w:rsidR="00647C27" w:rsidRPr="00D07897">
        <w:rPr>
          <w:rFonts w:ascii="Book Antiqua" w:hAnsi="Book Antiqua" w:cs="Arial"/>
          <w:color w:val="000000" w:themeColor="text1"/>
        </w:rPr>
        <w:t xml:space="preserve"> </w:t>
      </w:r>
      <w:r w:rsidR="00EE0539" w:rsidRPr="00D07897">
        <w:rPr>
          <w:rFonts w:ascii="Book Antiqua" w:hAnsi="Book Antiqua" w:cs="Arial"/>
          <w:color w:val="000000" w:themeColor="text1"/>
        </w:rPr>
        <w:t xml:space="preserve">as was seen </w:t>
      </w:r>
      <w:r w:rsidR="00A63AA9" w:rsidRPr="00D07897">
        <w:rPr>
          <w:rFonts w:ascii="Book Antiqua" w:hAnsi="Book Antiqua" w:cs="Arial"/>
          <w:color w:val="000000" w:themeColor="text1"/>
        </w:rPr>
        <w:t>our study</w:t>
      </w:r>
      <w:r w:rsidR="008D045A"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{"citationItems":[{"id":"ITEM-1","itemData":{"DOI":"10.1093/ibd/izy212","ISSN":"1536-4844 (Electronic)","PMID":"29889230","abstract":"Background: Sarcopenia is associated with increased morbidity and mortality in oncologic and transplant surgery. It has a high incidence in chronic inflammatory states including inflammatory bowel disease (IBD). The validity of existing data in IBD and of sarcopenia's correlation with surgical outcomes is limited. Methods: We performed a systematic review to assess the correlation of sarcopenia with the requirement for surgery and surgical outcomes in patients with IBD. Observational studies of patients with IBD in whom an assessment of sarcopenic status/skeletal muscle index was undertaken, a proportion of whom proceeded to surgical management, were selected. Results: A total of 5 studies with a combined 658 IBD patients met the inclusion criteria. The majority (70%) had a diagnosis of Crohn's disease. Median (range) body mass index and skeletal muscle index were reported in 4 studies and were 16.58 (13.66-22.50) kg/m2 and 44.52 (42.90-50.64) cm2/m2, respectively. Forty-two percent of IBD patients had sarcopenia. Notably, none of the studies assessed both the anatomical and functional component required for a correct assessment of sarcopenia. Three studies noted that sarcopenic IBD patients had a higher probability of requiring surgery. The rate of major complications (Clavien-Dindo grade &gt;/=IIIa) was significantly higher in patients with sarcopenia. Improved perioperative nutrition management may mitigate the risk of complications. Conclusion: Many IBD patients are young, may be malnourished, and commonly require emergent surgery. There is considerable heterogeneity in the assessment of sarcopenia. Sarcopenia is common in the IBD population and can predict the need for surgical intervention. Sarcopenia correlates with an increased rate of major postoperative complications. Improved perioperative intervention may diminish this risk. A formal assessment, screening by a dedicated IBD dietician, and preoperative physical therapy may facilitate early intervention.","author":[{"dropping-particle":"","family":"Ryan","given":"Eanna","non-dropping-particle":"","parse-names":false,"suffix":""},{"dropping-particle":"","family":"McNicholas","given":"Daniel","non-dropping-particle":"","parse-names":false,"suffix":""},{"dropping-particle":"","family":"Creavin","given":"Ben","non-dropping-particle":"","parse-names":false,"suffix":""},{"dropping-particle":"","family":"Kelly","given":"Michael Eamon","non-dropping-particle":"","parse-names":false,"suffix":""},{"dropping-particle":"","family":"Walsh","given":"Tom","non-dropping-particle":"","parse-names":false,"suffix":""},{"dropping-particle":"","family":"Beddy","given":"David","non-dropping-particle":"","parse-names":false,"suffix":""}],"container-title":"Inflammatory bowel diseases","id":"ITEM-1","issued":{"date-parts":[["2018","6"]]},"language":"eng","publisher-place":"United States","title":"Sarcopenia and Inflammatory Bowel Disease: A Systematic Review.","type":"article-journal"},"uris":["http://www.mendeley.com/documents/?uuid=881c4d0f-22f1-4804-905c-56a50712cb1f"]}],"mendeley":{"formattedCitation":"&lt;sup&gt;[22]&lt;/sup&gt;","plainTextFormattedCitation":"[22]","previouslyFormattedCitation":"&lt;sup&gt;[22]&lt;/sup&gt;"},"properties":{"noteIndex":0},"schema":"https://github.com/citation-style-language/schema/raw/master/csl-citation.json"}</w:instrText>
      </w:r>
      <w:r w:rsidR="008D045A"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[22]</w:t>
      </w:r>
      <w:r w:rsidR="008D045A" w:rsidRPr="00D07897">
        <w:rPr>
          <w:rFonts w:ascii="Book Antiqua" w:hAnsi="Book Antiqua" w:cs="Arial"/>
          <w:color w:val="000000" w:themeColor="text1"/>
        </w:rPr>
        <w:fldChar w:fldCharType="end"/>
      </w:r>
      <w:r w:rsidR="00C40CC2" w:rsidRPr="00D07897">
        <w:rPr>
          <w:rFonts w:ascii="Book Antiqua" w:hAnsi="Book Antiqua" w:cs="Arial"/>
          <w:color w:val="000000" w:themeColor="text1"/>
        </w:rPr>
        <w:t xml:space="preserve">. </w:t>
      </w:r>
    </w:p>
    <w:p w14:paraId="4600AB1D" w14:textId="4C2F5998" w:rsidR="007A43BB" w:rsidRPr="00D07897" w:rsidRDefault="001A0C83" w:rsidP="006E7C6A">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t>It must be noted that although measures of sarcopenia are among some of the most objective assessment tools for malnutrition,</w:t>
      </w:r>
      <w:r w:rsidR="003B4A72" w:rsidRPr="00D07897">
        <w:rPr>
          <w:rFonts w:ascii="Book Antiqua" w:hAnsi="Book Antiqua" w:cs="Arial"/>
          <w:color w:val="000000" w:themeColor="text1"/>
        </w:rPr>
        <w:t xml:space="preserve"> given the inherent cost, risk of radiation and contrast exposure with </w:t>
      </w:r>
      <w:r w:rsidR="006E7C6A" w:rsidRPr="00D07897">
        <w:rPr>
          <w:rFonts w:ascii="Book Antiqua" w:hAnsi="Book Antiqua"/>
        </w:rPr>
        <w:t>computed tomography</w:t>
      </w:r>
      <w:r w:rsidR="003B4A72" w:rsidRPr="00D07897">
        <w:rPr>
          <w:rFonts w:ascii="Book Antiqua" w:hAnsi="Book Antiqua" w:cs="Arial"/>
          <w:color w:val="000000" w:themeColor="text1"/>
        </w:rPr>
        <w:t xml:space="preserve">, </w:t>
      </w:r>
      <w:r w:rsidR="0019043C" w:rsidRPr="00D07897">
        <w:rPr>
          <w:rFonts w:ascii="Book Antiqua" w:hAnsi="Book Antiqua" w:cs="Arial"/>
          <w:color w:val="000000" w:themeColor="text1"/>
        </w:rPr>
        <w:t xml:space="preserve">research into more practical </w:t>
      </w:r>
      <w:r w:rsidR="003B4A72" w:rsidRPr="00D07897">
        <w:rPr>
          <w:rFonts w:ascii="Book Antiqua" w:hAnsi="Book Antiqua" w:cs="Arial"/>
          <w:color w:val="000000" w:themeColor="text1"/>
        </w:rPr>
        <w:t>alternatives such as bed-side ultrasound</w:t>
      </w:r>
      <w:r w:rsidR="001D2652" w:rsidRPr="00D07897">
        <w:rPr>
          <w:rFonts w:ascii="Book Antiqua" w:hAnsi="Book Antiqua" w:cs="Arial"/>
          <w:color w:val="000000" w:themeColor="text1"/>
        </w:rPr>
        <w:t>,</w:t>
      </w:r>
      <w:r w:rsidR="003B4A72" w:rsidRPr="00D07897">
        <w:rPr>
          <w:rFonts w:ascii="Book Antiqua" w:hAnsi="Book Antiqua" w:cs="Arial"/>
          <w:color w:val="000000" w:themeColor="text1"/>
        </w:rPr>
        <w:t xml:space="preserve"> </w:t>
      </w:r>
      <w:r w:rsidR="0019043C" w:rsidRPr="00D07897">
        <w:rPr>
          <w:rFonts w:ascii="Book Antiqua" w:hAnsi="Book Antiqua" w:cs="Arial"/>
          <w:color w:val="000000" w:themeColor="text1"/>
        </w:rPr>
        <w:t>is</w:t>
      </w:r>
      <w:r w:rsidR="00731F54" w:rsidRPr="00D07897">
        <w:rPr>
          <w:rFonts w:ascii="Book Antiqua" w:hAnsi="Book Antiqua" w:cs="Arial"/>
          <w:color w:val="000000" w:themeColor="text1"/>
        </w:rPr>
        <w:t xml:space="preserve"> required</w:t>
      </w:r>
      <w:r w:rsidR="003B4A72"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{"citationItems":[{"id":"ITEM-1","itemData":{"DOI":"10.1016/j.cgh.2016.04.040","ISSN":"1542-7714 (Electronic)","PMID":"27189915","abstract":"BACKGROUND &amp; AIMS: The severe depletion of muscle mass at the third lumbar vertebral level (sarcopenia) is a marker of malnutrition and is independently associated with mortality in patients with cirrhosis. Instead of monitoring sarcopenia by cross-sectional imaging, we investigated whether ultrasound-based measurements of peripheral muscle mass, measures of muscle function, along with nutritional factors, are associated with severe loss of muscle mass. METHODS: We performed a prospective study of 159 outpatients with cirrhosis (56% male; mean age, 58 +/- 10 years; mean model for end-stage liver disease score, 10 +/- 3; 60% Child-Pugh class A) evaluated at the Cirrhosis Care Clinic at the University of Alberta Hospital from March 2011 through September 2012. Lumbar skeletal muscle indices were determined by computed tomography or magnetic resonance imaging. We collected clinical data and data on patients' body composition, nutrition, and thigh muscle thickness (using ultrasound analysis). We also measured mid-arm muscle circumference, mid-arm circumference, hand grip, body mass index, and serum level of albumin; patients were evaluated using the subjective global assessment scale. Findings from these analyses were compared with those from cross-sectional imaging, for each sex, using logistic regression analysis. RESULTS: Based on cross-sectional imaging analysis, 43% of patients had sarcopenia (57% of men and 25% of women). Results from the subjective global assessment, serum level of albumin, and most nutritional factors were significantly associated with sarcopenia. We used multivariate analysis to develop a model to identify patients with sarcopenia, and developed a nomogram based on body mass index and thigh muscle thickness for patients of each sex. Our model identified men with sarcopenia with an area under the receiver operating characteristic curve value of 0.78 and women with sarcopenia with an area under the receiver operating characteristic curve value of 0.89. CONCLUSIONS: In a prospective study of patients with cirrhosis, we found that the combination of body mass index and thigh muscle thickness (measured by ultrasound) can identify male and female patients with sarcopenia almost as well as cross-sectional imaging (area under the receiver operating characteristic curve values of 0.78 and 0.89, respectively). These factors might be used in screening and routine nutritional monitoring of patients with cirrhosis.","author":[{"dropping-particle":"","family":"Tandon","given":"Puneeta","non-dropping-particle":"","parse-names":false,"suffix":""},{"dropping-particle":"","family":"Low","given":"Gavin","non-dropping-particle":"","parse-names":false,"suffix":""},{"dropping-particle":"","family":"Mourtzakis","given":"Marina","non-dropping-particle":"","parse-names":false,"suffix":""},{"dropping-particle":"","family":"Zenith","given":"Laura","non-dropping-particle":"","parse-names":false,"suffix":""},{"dropping-particle":"","family":"Myers","given":"Robert P","non-dropping-particle":"","parse-names":false,"suffix":""},{"dropping-particle":"","family":"Abraldes","given":"Juan G","non-dropping-particle":"","parse-names":false,"suffix":""},{"dropping-particle":"","family":"Shaheen","given":"Abdel Aziz M","non-dropping-particle":"","parse-names":false,"suffix":""},{"dropping-particle":"","family":"Qamar","given":"Hina","non-dropping-particle":"","parse-names":false,"suffix":""},{"dropping-particle":"","family":"Mansoor","given":"Nadia","non-dropping-particle":"","parse-names":false,"suffix":""},{"dropping-particle":"","family":"Carbonneau","given":"Michelle","non-dropping-particle":"","parse-names":false,"suffix":""},{"dropping-particle":"","family":"Ismond","given":"Kathleen","non-dropping-particle":"","parse-names":false,"suffix":""},{"dropping-particle":"","family":"Mann","given":"Sumeer","non-dropping-particle":"","parse-names":false,"suffix":""},{"dropping-particle":"","family":"Alaboudy","given":"Alshimaa","non-dropping-particle":"","parse-names":false,"suffix":""},{"dropping-particle":"","family":"Ma","given":"Mang","non-dropping-particle":"","parse-names":false,"suffix":""}],"container-title":"Clinical gastroenterology and hepatology : the official clinical practice journal of the American Gastroenterological Association","id":"ITEM-1","issue":"10","issued":{"date-parts":[["2016","10"]]},"language":"eng","page":"1473-1480.e3","publisher-place":"United States","title":"A Model to Identify Sarcopenia in Patients With Cirrhosis.","type":"article-journal","volume":"14"},"uris":["http://www.mendeley.com/documents/?uuid=06530a71-6624-4149-ae80-9a141f3ea584"]},{"id":"ITEM-2","itemData":{"DOI":"10.1016/j.nut.2008.03.018","ISSN":"0899-9007 (Print)","PMID":"18499398","abstract":"OBJECTIVE: This prospective, controlled, and multicentric study evaluated nutritional status, body composition, muscle strength, and quality of life in patients with inflammatory bowel disease in clinical remission. In addition, possible effects of gender, malnutrition, inflammation, and previous prednisolone therapy were investigated. METHODS: Nutritional status (subjective global assessment [SGA], body mass index, albumin, trace elements), body composition (bioelectrical impedance analysis, anthropometry), handgrip strength, and quality of life were assessed in 94 patients with Crohn's disease (CD; 61 female and 33 male, Crohn's Disease Activity Index 71 +/- 47), 50 patients with ulcerative colitis (UC; 33 female and 17 male, Ulcerative Colitis Activity Index 3.1 +/- 1.5), and 61 healthy control subjects (41 female and 20 male) from centers in Berlin, Vienna, and Bari. For further analysis of body composition, 47 well-nourished patients with inflammatory bowel disease were pair-matched by body mass index, sex, and age to healthy controls. Data are presented as median (25th-75th percentile). RESULTS: Most patients with inflammatory bowel disease (74%) were well nourished according to the SGA, body mass index, and serum albumin. However, body composition analysis demonstrated a decrease in body cell mass (BCM) in patients with CD (23.1 kg, 20.8-28.7, P = 0.021) and UC (22.6 kg, 21.0-28.0, P = 0.041) compared with controls (25.0 kg, 22.0-32.5). Handgrip strength correlated with BCM (r = 0.703, P = 0.001) and was decreased in patients with CD (32.8 kg, 26.0-41.1, P = 0.005) and UC (31.0 kg, 27.3-37.8, P = 0.001) compared with controls (36.0 kg, 31.0-52.0). The alterations were seen even in patients classified as well nourished. BCM was lower in patients with moderately increased serum C-reactive protein levels compared with patients with normal levels. CONCLUSION: In CD and UC, selected micronutrient deficits and loss of BCM and muscle strength are frequent in remission and cannot be detected by standard malnutrition screening.","author":[{"dropping-particle":"","family":"Valentini","given":"Luzia","non-dropping-particle":"","parse-names":false,"suffix":""},{"dropping-particle":"","family":"Schaper","given":"Lennart","non-dropping-particle":"","parse-names":false,"suffix":""},{"dropping-particle":"","family":"Buning","given":"Carsten","non-dropping-particle":"","parse-names":false,"suffix":""},{"dropping-particle":"","family":"Hengstermann","given":"Susanne","non-dropping-particle":"","parse-names":false,"suffix":""},{"dropping-particle":"","family":"Koernicke","given":"Thomas","non-dropping-particle":"","parse-names":false,"suffix":""},{"dropping-particle":"","family":"Tillinger","given":"Wolfgang","non-dropping-particle":"","parse-names":false,"suffix":""},{"dropping-particle":"","family":"Guglielmi","given":"Francesco William","non-dropping-particle":"","parse-names":false,"suffix":""},{"dropping-particle":"","family":"Norman","given":"Kristina","non-dropping-particle":"","parse-names":false,"suffix":""},{"dropping-particle":"","family":"Buhner","given":"Sabine","non-dropping-particle":"","parse-names":false,"suffix":""},{"dropping-particle":"","family":"Ockenga","given":"Johann","non-dropping-particle":"","parse-names":false,"suffix":""},{"dropping-particle":"","family":"Pirlich","given":"Matthias","non-dropping-particle":"","parse-names":false,"suffix":""},{"dropping-particle":"","family":"Lochs","given":"Herbert","non-dropping-particle":"","parse-names":false,"suffix":""}],"container-title":"Nutrition (Burbank, Los Angeles County, Calif.)","id":"ITEM-2","issue":"7-8","issued":{"date-parts":[["2008"]]},"language":"eng","page":"694-702","publisher-place":"United States","title":"Malnutrition and impaired muscle strength in patients with Crohn's disease and ulcerative colitis in remission.","type":"article-journal","volume":"24"},"uris":["http://www.mendeley.com/documents/?uuid=ee5f4135-24a6-4b63-bb9e-97ce772f7598"]}],"mendeley":{"formattedCitation":"&lt;sup&gt;[49,50]&lt;/sup&gt;","plainTextFormattedCitation":"[49,50]","previouslyFormattedCitation":"&lt;sup&gt;[48,49]&lt;/sup&gt;"},"properties":{"noteIndex":0},"schema":"https://github.com/citation-style-language/schema/raw/master/csl-citation.json"}</w:instrText>
      </w:r>
      <w:r w:rsidR="003B4A72"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[49,50]</w:t>
      </w:r>
      <w:r w:rsidR="003B4A72" w:rsidRPr="00D07897">
        <w:rPr>
          <w:rFonts w:ascii="Book Antiqua" w:hAnsi="Book Antiqua" w:cs="Arial"/>
          <w:color w:val="000000" w:themeColor="text1"/>
        </w:rPr>
        <w:fldChar w:fldCharType="end"/>
      </w:r>
      <w:r w:rsidR="003B4A72" w:rsidRPr="00D07897">
        <w:rPr>
          <w:rFonts w:ascii="Book Antiqua" w:hAnsi="Book Antiqua" w:cs="Arial"/>
          <w:color w:val="000000" w:themeColor="text1"/>
        </w:rPr>
        <w:t xml:space="preserve">. </w:t>
      </w:r>
      <w:r w:rsidR="0019043C" w:rsidRPr="00D07897">
        <w:rPr>
          <w:rFonts w:ascii="Book Antiqua" w:hAnsi="Book Antiqua" w:cs="Arial"/>
          <w:color w:val="000000" w:themeColor="text1"/>
        </w:rPr>
        <w:t>Moreover, t</w:t>
      </w:r>
      <w:r w:rsidRPr="00D07897">
        <w:rPr>
          <w:rFonts w:ascii="Book Antiqua" w:hAnsi="Book Antiqua" w:cs="Arial"/>
          <w:color w:val="000000" w:themeColor="text1"/>
        </w:rPr>
        <w:t xml:space="preserve">he underlying pathogenesis of sarcopenia </w:t>
      </w:r>
      <w:r w:rsidR="003B4A72" w:rsidRPr="00D07897">
        <w:rPr>
          <w:rFonts w:ascii="Book Antiqua" w:hAnsi="Book Antiqua" w:cs="Arial"/>
          <w:color w:val="000000" w:themeColor="text1"/>
        </w:rPr>
        <w:t xml:space="preserve">remains </w:t>
      </w:r>
      <w:r w:rsidR="00A202F1" w:rsidRPr="00D07897">
        <w:rPr>
          <w:rFonts w:ascii="Book Antiqua" w:hAnsi="Book Antiqua" w:cs="Arial"/>
          <w:color w:val="000000" w:themeColor="text1"/>
        </w:rPr>
        <w:t xml:space="preserve">multifactorial, and may include additional physiological factors independent of </w:t>
      </w:r>
      <w:r w:rsidRPr="00D07897">
        <w:rPr>
          <w:rFonts w:ascii="Book Antiqua" w:hAnsi="Book Antiqua" w:cs="Arial"/>
          <w:color w:val="000000" w:themeColor="text1"/>
        </w:rPr>
        <w:t>malnutrition</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{"citationItems":[{"id":"ITEM-1","itemData":{"DOI":"10.2147/CIA.S149232","ISSN":"1178-1998 (Electronic)","PMID":"29785098","abstract":"Life expectancy is increasing worldwide, with a resultant increase in the elderly population. Aging is characterized by the progressive loss of skeletal muscle mass and strength - a phenomenon called sarcopenia. Sarcopenia has a complex multifactorial pathogenesis, which involves not only age-related changes in neuromuscular function, muscle protein turnover, and hormone levels and sensitivity, but also a chronic pro-inflammatory state, oxidative stress, and behavioral factors - in particular, nutritional status and degree of physical activity. According to the operational definition by the European Working Group on Sarcopenia in Older People (EWGSOP), the diagnosis of sarcopenia requires the presence of both low muscle mass and low muscle function, which can be defined by low muscle strength or low physical performance. Moreover, biomarkers of sarcopenia have been identified for its early detection and for a detailed identification of the main pathophysiological mechanisms involved in its development. Because sarcopenia is associated with important adverse health outcomes, such as frailty, hospitalization, and mortality, several therapeutic strategies have been identified that involve exercise training, nutritional supplementation, hormonal therapies, and novel strategies and are still under investigation. At the present time, only physical exercise has showed a positive effect in managing and preventing sarcopenia and its adverse health outcomes. Thus, further well-designed and well-conducted studies on sarcopenia are needed.","author":[{"dropping-particle":"","family":"Liguori","given":"Ilaria","non-dropping-particle":"","parse-names":false,"suffix":""},{"dropping-particle":"","family":"Russo","given":"Gennaro","non-dropping-particle":"","parse-names":false,"suffix":""},{"dropping-particle":"","family":"Aran","given":"Luisa","non-dropping-particle":"","parse-names":false,"suffix":""},{"dropping-particle":"","family":"Bulli","given":"Giulia","non-dropping-particle":"","parse-names":false,"suffix":""},{"dropping-particle":"","family":"Curcio","given":"Francesco","non-dropping-particle":"","parse-names":false,"suffix":""},{"dropping-particle":"","family":"Della-Morte","given":"David","non-dropping-particle":"","parse-names":false,"suffix":""},{"dropping-particle":"","family":"Gargiulo","given":"Gaetano","non-dropping-particle":"","parse-names":false,"suffix":""},{"dropping-particle":"","family":"Testa","given":"Gianluca","non-dropping-particle":"","parse-names":false,"suffix":""},{"dropping-particle":"","family":"Cacciatore","given":"Francesco","non-dropping-particle":"","parse-names":false,"suffix":""},{"dropping-particle":"","family":"Bonaduce","given":"Domenico","non-dropping-particle":"","parse-names":false,"suffix":""},{"dropping-particle":"","family":"Abete","given":"Pasquale","non-dropping-particle":"","parse-names":false,"suffix":""}],"container-title":"Clinical interventions in aging","id":"ITEM-1","issued":{"date-parts":[["2018"]]},"language":"eng","page":"913-927","publisher-place":"New Zealand","title":"Sarcopenia: assessment of disease burden and strategies to improve outcomes.","type":"article-journal","volume":"13"},"uris":["http://www.mendeley.com/documents/?uuid=df509222-eba5-4ff7-a209-c303c2ccc41d"]},{"id":"ITEM-2","itemData":{"DOI":"10.1038/s41598-017-03388-3","ISSN":"2045-2322","abstract":"A new term, malnutrition-sarcopenia syndrome (MSS), was recently coined to describe the clinical presentation of both malnutrition and sarcopenia. The aim of this study was to investigate the association between MSS and long-term mortality in older inpatients. We conducted a prospective study in acute geriatric wards of two local hospitals in China. Muscle mass and malnutrition were estimated by anthropometric measures and the Mini Nutritional Assessment (MNA). Of the 453 participants, 14 (3.1%) had sarcopenia with normal nutrition, 139 (30.7%) had malnutrition risk without sarcopenia, 48 (10.6%) had malnutrition risk with sarcopenia, 25 (5.5%) had malnutrition without sarcopenia, and 22 (4.9%) had MSS at baseline. Compared with non-sarcopenic subjects with normal nutrition, subjects with MSS and subjects with malnutrition risk and sarcopenia were more than four times more likely to die (hazard ratio [HR], 4.78; 95% confidence interval [CI], 2.09–10.97; and HR, 4.25; 95% CI, 2.22–8.12, respectively); non-sarcopenic subjects with malnutrition risk were more than two times more likely to die (HR, 2.41; 95% CI, 1.32–4.39). In conclusion, MSS may serve as a prognostic factor in the management of hospitalized older patients.","author":[{"dropping-particle":"","family":"Hu","given":"Xiaoyi","non-dropping-particle":"","parse-names":false,"suffix":""},{"dropping-particle":"","family":"Zhang","given":"Lei","non-dropping-particle":"","parse-names":false,"suffix":""},{"dropping-particle":"","family":"Wang","given":"Haozhong","non-dropping-particle":"","parse-names":false,"suffix":""},{"dropping-particle":"","family":"Hao","given":"Qiukui","non-dropping-particle":"","parse-names":false,"suffix":""},{"dropping-particle":"","family":"Dong","given":"Birong","non-dropping-particle":"","parse-names":false,"suffix":""},{"dropping-particle":"","family":"Yang","given":"Ming","non-dropping-particle":"","parse-names":false,"suffix":""}],"container-title":"Scientific Reports","id":"ITEM-2","issue":"1","issued":{"date-parts":[["2017"]]},"page":"3171","title":"Malnutrition-sarcopenia syndrome predicts mortality in hospitalized older patients","type":"article-journal","volume":"7"},"uris":["http://www.mendeley.com/documents/?uuid=33ee8d10-c0cb-4fe9-9ba0-bb856881af14","http://www.mendeley.com/documents/?uuid=67c70e76-3678-43db-88aa-eceb818850ea"]}],"mendeley":{"formattedCitation":"&lt;sup&gt;[51,52]&lt;/sup&gt;","plainTextFormattedCitation":"[51,52]","previouslyFormattedCitation":"&lt;sup&gt;[50,51]&lt;/sup&gt;"},"properties":{"noteIndex":0},"schema":"https://github.com/citation-style-language/schema/raw/master/csl-citation.json"}</w:instrText>
      </w:r>
      <w:r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[51,52]</w:t>
      </w:r>
      <w:r w:rsidRPr="00D07897">
        <w:rPr>
          <w:rFonts w:ascii="Book Antiqua" w:hAnsi="Book Antiqua" w:cs="Arial"/>
          <w:color w:val="000000" w:themeColor="text1"/>
        </w:rPr>
        <w:fldChar w:fldCharType="end"/>
      </w:r>
      <w:r w:rsidRPr="00D07897">
        <w:rPr>
          <w:rFonts w:ascii="Book Antiqua" w:hAnsi="Book Antiqua" w:cs="Arial"/>
          <w:color w:val="000000" w:themeColor="text1"/>
        </w:rPr>
        <w:t xml:space="preserve">. </w:t>
      </w:r>
      <w:r w:rsidR="003A630E" w:rsidRPr="00D07897">
        <w:rPr>
          <w:rFonts w:ascii="Book Antiqua" w:hAnsi="Book Antiqua" w:cs="Arial"/>
          <w:color w:val="000000" w:themeColor="text1"/>
        </w:rPr>
        <w:t>In</w:t>
      </w:r>
      <w:r w:rsidR="003E208A" w:rsidRPr="00D07897">
        <w:rPr>
          <w:rFonts w:ascii="Book Antiqua" w:hAnsi="Book Antiqua" w:cs="Arial"/>
          <w:color w:val="000000" w:themeColor="text1"/>
        </w:rPr>
        <w:t xml:space="preserve"> the IBD population,</w:t>
      </w:r>
      <w:r w:rsidR="00A202F1" w:rsidRPr="00D07897">
        <w:rPr>
          <w:rFonts w:ascii="Book Antiqua" w:hAnsi="Book Antiqua" w:cs="Arial"/>
          <w:color w:val="000000" w:themeColor="text1"/>
        </w:rPr>
        <w:t xml:space="preserve"> active</w:t>
      </w:r>
      <w:r w:rsidR="003E208A" w:rsidRPr="00D07897">
        <w:rPr>
          <w:rFonts w:ascii="Book Antiqua" w:hAnsi="Book Antiqua" w:cs="Arial"/>
          <w:color w:val="000000" w:themeColor="text1"/>
        </w:rPr>
        <w:t xml:space="preserve"> inflammat</w:t>
      </w:r>
      <w:r w:rsidR="00A202F1" w:rsidRPr="00D07897">
        <w:rPr>
          <w:rFonts w:ascii="Book Antiqua" w:hAnsi="Book Antiqua" w:cs="Arial"/>
          <w:color w:val="000000" w:themeColor="text1"/>
        </w:rPr>
        <w:t>ion may be reflective of disease severity</w:t>
      </w:r>
      <w:r w:rsidR="003E208A" w:rsidRPr="00D07897">
        <w:rPr>
          <w:rFonts w:ascii="Book Antiqua" w:hAnsi="Book Antiqua" w:cs="Arial"/>
          <w:color w:val="000000" w:themeColor="text1"/>
        </w:rPr>
        <w:t xml:space="preserve"> </w:t>
      </w:r>
      <w:r w:rsidR="00105A06" w:rsidRPr="00D07897">
        <w:rPr>
          <w:rFonts w:ascii="Book Antiqua" w:hAnsi="Book Antiqua" w:cs="Arial"/>
          <w:color w:val="000000" w:themeColor="text1"/>
        </w:rPr>
        <w:t>and contribute to malnutrition through anorexia, hypermetabolism and malabsorption. Additionally, anorexia, malabsorption and active inflammation underpin some pathophysiological mechanisms of sarcopenia</w:t>
      </w:r>
      <w:r w:rsidR="003E208A"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{"citationItems":[{"id":"ITEM-1","itemData":{"DOI":"10.1155/2017/8646495","ISSN":"1687-6121 (Print)","PMID":"28127306","abstract":"Malnutrition is a major complication of inflammatory bowel disease (IBD). This mini review is focusing on main determinants of malnutrition in IBD, the most important components of malnutrition, including lean mass loss and sarcopenia, as an emerging problem. Each one of these components needs to be well considered in a correct nutritional evaluation of an IBD patient in order to build a correct multidisciplinary approach. The review is then focusing on possible instrumental and clinical armamentarium for the nutritional evaluation. ","author":[{"dropping-particle":"","family":"Scaldaferri","given":"F","non-dropping-particle":"","parse-names":false,"suffix":""},{"dropping-particle":"","family":"Pizzoferrato","given":"M","non-dropping-particle":"","parse-names":false,"suffix":""},{"dropping-particle":"","family":"Lopetuso","given":"L R","non-dropping-particle":"","parse-names":false,"suffix":""},{"dropping-particle":"","family":"Musca","given":"T","non-dropping-particle":"","parse-names":false,"suffix":""},{"dropping-particle":"","family":"Ingravalle","given":"F","non-dropping-particle":"","parse-names":false,"suffix":""},{"dropping-particle":"","family":"Sicignano","given":"L L","non-dropping-particle":"","parse-names":false,"suffix":""},{"dropping-particle":"","family":"Mentella","given":"M","non-dropping-particle":"","parse-names":false,"suffix":""},{"dropping-particle":"","family":"Miggiano","given":"G","non-dropping-particle":"","parse-names":false,"suffix":""},{"dropping-particle":"","family":"Mele","given":"M C","non-dropping-particle":"","parse-names":false,"suffix":""},{"dropping-particle":"","family":"Gaetani","given":"E","non-dropping-particle":"","parse-names":false,"suffix":""},{"dropping-particle":"","family":"Graziani","given":"C","non-dropping-particle":"","parse-names":false,"suffix":""},{"dropping-particle":"","family":"Petito","given":"V","non-dropping-particle":"","parse-names":false,"suffix":""},{"dropping-particle":"","family":"Cammarota","given":"G","non-dropping-particle":"","parse-names":false,"suffix":""},{"dropping-particle":"","family":"Marzetti","given":"E","non-dropping-particle":"","parse-names":false,"suffix":""},{"dropping-particle":"","family":"Martone","given":"A","non-dropping-particle":"","parse-names":false,"suffix":""},{"dropping-particle":"","family":"Landi","given":"F","non-dropping-particle":"","parse-names":false,"suffix":""},{"dropping-particle":"","family":"Gasbarrini","given":"A","non-dropping-particle":"","parse-names":false,"suffix":""}],"container-title":"Gastroenterology Research and Practice","id":"ITEM-1","issued":{"date-parts":[["2017"]]},"language":"eng","title":"Nutrition and IBD: Malnutrition and/or Sarcopenia? A Practical Guide","type":"article","volume":"2017"},"uris":["http://www.mendeley.com/documents/?uuid=45e2d4cc-cc07-48f1-9b24-39d56bed6826"]}],"mendeley":{"formattedCitation":"&lt;sup&gt;[53]&lt;/sup&gt;","plainTextFormattedCitation":"[53]","previouslyFormattedCitation":"&lt;sup&gt;[52]&lt;/sup&gt;"},"properties":{"noteIndex":0},"schema":"https://github.com/citation-style-language/schema/raw/master/csl-citation.json"}</w:instrText>
      </w:r>
      <w:r w:rsidR="003E208A"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[53]</w:t>
      </w:r>
      <w:r w:rsidR="003E208A" w:rsidRPr="00D07897">
        <w:rPr>
          <w:rFonts w:ascii="Book Antiqua" w:hAnsi="Book Antiqua" w:cs="Arial"/>
          <w:color w:val="000000" w:themeColor="text1"/>
        </w:rPr>
        <w:fldChar w:fldCharType="end"/>
      </w:r>
      <w:r w:rsidR="003E208A" w:rsidRPr="00D07897">
        <w:rPr>
          <w:rFonts w:ascii="Book Antiqua" w:hAnsi="Book Antiqua" w:cs="Arial"/>
          <w:color w:val="000000" w:themeColor="text1"/>
        </w:rPr>
        <w:t xml:space="preserve">. </w:t>
      </w:r>
      <w:r w:rsidR="006D5C73" w:rsidRPr="00D07897">
        <w:rPr>
          <w:rFonts w:ascii="Book Antiqua" w:hAnsi="Book Antiqua" w:cs="Arial"/>
          <w:color w:val="000000" w:themeColor="text1"/>
        </w:rPr>
        <w:t>N</w:t>
      </w:r>
      <w:r w:rsidR="002222C0" w:rsidRPr="00D07897">
        <w:rPr>
          <w:rFonts w:ascii="Book Antiqua" w:hAnsi="Book Antiqua" w:cs="Arial"/>
          <w:color w:val="000000" w:themeColor="text1"/>
        </w:rPr>
        <w:t xml:space="preserve">utrition risk screening and assessment is </w:t>
      </w:r>
      <w:r w:rsidR="006D5C73" w:rsidRPr="00D07897">
        <w:rPr>
          <w:rFonts w:ascii="Book Antiqua" w:hAnsi="Book Antiqua" w:cs="Arial"/>
          <w:color w:val="000000" w:themeColor="text1"/>
        </w:rPr>
        <w:t xml:space="preserve">made even more complex </w:t>
      </w:r>
      <w:r w:rsidR="002222C0" w:rsidRPr="00D07897">
        <w:rPr>
          <w:rFonts w:ascii="Book Antiqua" w:hAnsi="Book Antiqua" w:cs="Arial"/>
          <w:color w:val="000000" w:themeColor="text1"/>
        </w:rPr>
        <w:t>with</w:t>
      </w:r>
      <w:r w:rsidR="00E867EC" w:rsidRPr="00D07897">
        <w:rPr>
          <w:rFonts w:ascii="Book Antiqua" w:hAnsi="Book Antiqua" w:cs="Arial"/>
          <w:color w:val="000000" w:themeColor="text1"/>
        </w:rPr>
        <w:t xml:space="preserve"> t</w:t>
      </w:r>
      <w:r w:rsidR="00B645FA" w:rsidRPr="00D07897">
        <w:rPr>
          <w:rFonts w:ascii="Book Antiqua" w:hAnsi="Book Antiqua" w:cs="Arial"/>
          <w:color w:val="000000" w:themeColor="text1"/>
        </w:rPr>
        <w:t xml:space="preserve">he </w:t>
      </w:r>
      <w:r w:rsidR="002222C0" w:rsidRPr="00D07897">
        <w:rPr>
          <w:rFonts w:ascii="Book Antiqua" w:hAnsi="Book Antiqua" w:cs="Arial"/>
          <w:color w:val="000000" w:themeColor="text1"/>
        </w:rPr>
        <w:t xml:space="preserve">increasing prevalence of </w:t>
      </w:r>
      <w:r w:rsidRPr="00D07897">
        <w:rPr>
          <w:rFonts w:ascii="Book Antiqua" w:hAnsi="Book Antiqua" w:cs="Arial"/>
          <w:color w:val="000000" w:themeColor="text1"/>
        </w:rPr>
        <w:t>o</w:t>
      </w:r>
      <w:r w:rsidR="00E867EC" w:rsidRPr="00D07897">
        <w:rPr>
          <w:rFonts w:ascii="Book Antiqua" w:hAnsi="Book Antiqua" w:cs="Arial"/>
          <w:color w:val="000000" w:themeColor="text1"/>
        </w:rPr>
        <w:t xml:space="preserve">verweight </w:t>
      </w:r>
      <w:r w:rsidR="0050488D" w:rsidRPr="00D07897">
        <w:rPr>
          <w:rFonts w:ascii="Book Antiqua" w:hAnsi="Book Antiqua" w:cs="Arial"/>
          <w:color w:val="000000" w:themeColor="text1"/>
        </w:rPr>
        <w:t>patients with IBD</w:t>
      </w:r>
      <w:r w:rsidR="00B645FA" w:rsidRPr="00D07897">
        <w:rPr>
          <w:rFonts w:ascii="Book Antiqua" w:hAnsi="Book Antiqua" w:cs="Arial"/>
          <w:color w:val="000000" w:themeColor="text1"/>
        </w:rPr>
        <w:t>.</w:t>
      </w:r>
      <w:r w:rsidR="0050488D" w:rsidRPr="00D07897">
        <w:rPr>
          <w:rFonts w:ascii="Book Antiqua" w:hAnsi="Book Antiqua" w:cs="Arial"/>
          <w:color w:val="000000" w:themeColor="text1"/>
        </w:rPr>
        <w:t xml:space="preserve"> </w:t>
      </w:r>
      <w:r w:rsidR="00E867EC" w:rsidRPr="00D07897">
        <w:rPr>
          <w:rFonts w:ascii="Book Antiqua" w:hAnsi="Book Antiqua" w:cs="Arial"/>
          <w:color w:val="000000" w:themeColor="text1"/>
        </w:rPr>
        <w:t xml:space="preserve">Over-nourishment </w:t>
      </w:r>
      <w:r w:rsidR="00B645FA" w:rsidRPr="00D07897">
        <w:rPr>
          <w:rFonts w:ascii="Book Antiqua" w:hAnsi="Book Antiqua" w:cs="Arial"/>
          <w:color w:val="000000" w:themeColor="text1"/>
        </w:rPr>
        <w:t xml:space="preserve">and obesity affects </w:t>
      </w:r>
      <w:r w:rsidR="0050488D" w:rsidRPr="00D07897">
        <w:rPr>
          <w:rFonts w:ascii="Book Antiqua" w:hAnsi="Book Antiqua" w:cs="Arial"/>
          <w:color w:val="000000" w:themeColor="text1"/>
        </w:rPr>
        <w:t>up to 55%</w:t>
      </w:r>
      <w:r w:rsidRPr="00D07897">
        <w:rPr>
          <w:rFonts w:ascii="Book Antiqua" w:hAnsi="Book Antiqua" w:cs="Arial"/>
          <w:color w:val="000000" w:themeColor="text1"/>
        </w:rPr>
        <w:t xml:space="preserve"> </w:t>
      </w:r>
      <w:r w:rsidR="0050488D" w:rsidRPr="00D07897">
        <w:rPr>
          <w:rFonts w:ascii="Book Antiqua" w:hAnsi="Book Antiqua" w:cs="Arial"/>
          <w:color w:val="000000" w:themeColor="text1"/>
        </w:rPr>
        <w:t>of patients</w:t>
      </w:r>
      <w:r w:rsidR="00E867EC" w:rsidRPr="00D07897">
        <w:rPr>
          <w:rFonts w:ascii="Book Antiqua" w:hAnsi="Book Antiqua" w:cs="Arial"/>
          <w:color w:val="000000" w:themeColor="text1"/>
        </w:rPr>
        <w:t xml:space="preserve"> with IBD</w:t>
      </w:r>
      <w:r w:rsidR="00B645FA" w:rsidRPr="00D07897">
        <w:rPr>
          <w:rFonts w:ascii="Book Antiqua" w:hAnsi="Book Antiqua" w:cs="Arial"/>
          <w:color w:val="000000" w:themeColor="text1"/>
        </w:rPr>
        <w:t xml:space="preserve"> in the Western hemisphere</w:t>
      </w:r>
      <w:r w:rsidR="0050488D"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{"citationItems":[{"id":"ITEM-1","itemData":{"DOI":"10.1111/apt.12372","ISSN":"1365-2036 (Electronic)","PMID":"23763279","abstract":"BACKGROUND: There is a paucity of data on body composition in patients with inflammatory bowel disease (IBD). Alterations of fat and muscle may affect bone health, muscle performance, quality of life (QoL) and overall morbidity. AIMS: To systematically review the literature on body composition in adults with IBD, and to discuss potential contributory factors and associations. METHODS: A systematic search was performed in July 2012 of OVID SP MEDLINE, OVID EMBASE and National Library of Medicine's PubMed Central Medline (Limitations: English, humans, from 1992). A total of 19 articles comparing body composition in patients with IBD with healthy age- and sex-matched control populations were included in the primary analysis. RESULTS: A total of 631 patients with Crohn's disease (CD) and 295 with ulcerative colitis (UC), mean age 37.1 (s.d. +/- 9.2) years; 485 (52%) female, were reported upon. Data were heterogeneous and methodology varied. Compared with controls, a statistically significant reduction in body mass index (BMI) was reported in 37% of CD and 20% of UC patients; reduced fat-free mass in 28% CD and 13% UC patients, and reduced fat mass in 31% CD and 13% UC patients. There was no consistent association between body composition and disease activity, duration, extent or therapies. BMI did not accurately predict body composition. CONCLUSIONS: Current data, although heterogeneous, suggest that many patients with IBD are affected by aberrations in fat and lean mass, which may not be detected during routine clinical assessment. The prevalence and impact of altered body composition amongst this population warrant further investigation.","author":[{"dropping-particle":"V","family":"Bryant","given":"R","non-dropping-particle":"","parse-names":false,"suffix":""},{"dropping-particle":"","family":"Trott","given":"M J","non-dropping-particle":"","parse-names":false,"suffix":""},{"dropping-particle":"","family":"Bartholomeusz","given":"F D","non-dropping-particle":"","parse-names":false,"suffix":""},{"dropping-particle":"","family":"Andrews","given":"J M","non-dropping-particle":"","parse-names":false,"suffix":""}],"container-title":"Alimentary pharmacology &amp; therapeutics","id":"ITEM-1","issue":"3","issued":{"date-parts":[["2013","8"]]},"language":"eng","page":"213-225","publisher-place":"England","title":"Systematic review: body composition in adults with inflammatory bowel disease.","type":"article-journal","volume":"38"},"uris":["http://www.mendeley.com/documents/?uuid=994bda2b-ac99-4de7-a1ed-b242e90c5917"]},{"id":"ITEM-2","itemData":{"DOI":"10.1016/j.crohns.2012.09.009","ISSN":"1876-4479 (Electronic)","PMID":"23040290","abstract":"BACKGROUND AND AIMS: Obesity and overweight are major public health issues. Although traditionally associated with weight loss, there is now evidence that increasing Body Mass Index (BMI) and overweight are emerging features of Crohn's disease (CD) and may be associated with more severe disease course. The aim of the study was to determine the prevalence of overweight and obesity in patients with CD compared with matched healthy controls and to identify disease-specific and generic factors associated with current BMI in this group. METHODS: This was a prospective case-control study (n=200), comprising 100 CD outpatients and 100 age-, sex- and socioeconomically-matched healthy controls. BMI, Crohn's disease activity index (CDAI), clinical and lifestyle factors and circulating inflammatory markers were assessed. RESULTS: Overall, 40% of patients with CD were overweight/obese (BMI &gt;/= 25 kg/m(2)) compared with 52% of controls (P = 0.206). On regression analysis, higher current BMI was significantly associated with disease specific factors, namely lower disease activity (CDAI) and lower white cell count, suggesting stable disease, as well as older age and lower physical activity. BMI was not significantly associated with the need for surgery or the need for corticosteroids. We identified a novel association between higher BMI and higher CRP, a marker linked both with obesity in the general population and with CD. CONCLUSIONS: Overweight was common in out-patients with CD and appeared to reflect current wellness, older age and sedentary lifestyles. The potential long-term implications of high BMI for CRP and inflammatory load merit further study.","author":[{"dropping-particle":"","family":"Nic Suibhne","given":"Treasa","non-dropping-particle":"","parse-names":false,"suffix":""},{"dropping-particle":"","family":"Raftery","given":"Tara C","non-dropping-particle":"","parse-names":false,"suffix":""},{"dropping-particle":"","family":"McMahon","given":"Orla","non-dropping-particle":"","parse-names":false,"suffix":""},{"dropping-particle":"","family":"Walsh","given":"Cathal","non-dropping-particle":"","parse-names":false,"suffix":""},{"dropping-particle":"","family":"O'Morain","given":"Colm","non-dropping-particle":"","parse-names":false,"suffix":""},{"dropping-particle":"","family":"O'Sullivan","given":"Maria","non-dropping-particle":"","parse-names":false,"suffix":""}],"container-title":"Journal of Crohn's &amp; colitis","id":"ITEM-2","issue":"7","issued":{"date-parts":[["2013","8"]]},"language":"eng","page":"e241-8","publisher-place":"England","title":"High prevalence of overweight and obesity in adults with Crohn's disease: associations with disease and lifestyle factors.","type":"article-journal","volume":"7"},"uris":["http://www.mendeley.com/documents/?uuid=c0f8370e-0694-45a8-a8b0-18f02be498da","http://www.mendeley.com/documents/?uuid=fe19712a-8198-4d5b-a9f7-9d91fe46e8ce"]}],"mendeley":{"formattedCitation":"&lt;sup&gt;[23,54]&lt;/sup&gt;","plainTextFormattedCitation":"[23,54]","previouslyFormattedCitation":"&lt;sup&gt;[23,53]&lt;/sup&gt;"},"properties":{"noteIndex":0},"schema":"https://github.com/citation-style-language/schema/raw/master/csl-citation.json"}</w:instrText>
      </w:r>
      <w:r w:rsidR="0050488D"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[23,54]</w:t>
      </w:r>
      <w:r w:rsidR="0050488D" w:rsidRPr="00D07897">
        <w:rPr>
          <w:rFonts w:ascii="Book Antiqua" w:hAnsi="Book Antiqua" w:cs="Arial"/>
          <w:color w:val="000000" w:themeColor="text1"/>
        </w:rPr>
        <w:fldChar w:fldCharType="end"/>
      </w:r>
      <w:r w:rsidR="006D5C73" w:rsidRPr="00D07897">
        <w:rPr>
          <w:rFonts w:ascii="Book Antiqua" w:hAnsi="Book Antiqua" w:cs="Arial"/>
          <w:color w:val="000000" w:themeColor="text1"/>
        </w:rPr>
        <w:t xml:space="preserve">. </w:t>
      </w:r>
      <w:r w:rsidR="003B4A72" w:rsidRPr="00D07897">
        <w:rPr>
          <w:rFonts w:ascii="Book Antiqua" w:hAnsi="Book Antiqua" w:cs="Arial"/>
          <w:color w:val="000000" w:themeColor="text1"/>
        </w:rPr>
        <w:t>In spite of this</w:t>
      </w:r>
      <w:r w:rsidR="006A6928" w:rsidRPr="00D07897">
        <w:rPr>
          <w:rFonts w:ascii="Book Antiqua" w:hAnsi="Book Antiqua" w:cs="Arial"/>
          <w:color w:val="000000" w:themeColor="text1"/>
        </w:rPr>
        <w:t>,</w:t>
      </w:r>
      <w:r w:rsidR="00B645FA" w:rsidRPr="00D07897">
        <w:rPr>
          <w:rFonts w:ascii="Book Antiqua" w:hAnsi="Book Antiqua" w:cs="Arial"/>
          <w:color w:val="000000" w:themeColor="text1"/>
        </w:rPr>
        <w:t xml:space="preserve"> </w:t>
      </w:r>
      <w:r w:rsidR="00E72F57" w:rsidRPr="00D07897">
        <w:rPr>
          <w:rFonts w:ascii="Book Antiqua" w:hAnsi="Book Antiqua" w:cs="Arial"/>
          <w:color w:val="000000" w:themeColor="text1"/>
        </w:rPr>
        <w:t>decreased muscle mass</w:t>
      </w:r>
      <w:r w:rsidR="006A6928" w:rsidRPr="00D07897">
        <w:rPr>
          <w:rFonts w:ascii="Book Antiqua" w:hAnsi="Book Antiqua" w:cs="Arial"/>
          <w:color w:val="000000" w:themeColor="text1"/>
        </w:rPr>
        <w:t xml:space="preserve"> and micronutrient deficiencies remain prevalent </w:t>
      </w:r>
      <w:r w:rsidR="003B4A72" w:rsidRPr="00D07897">
        <w:rPr>
          <w:rFonts w:ascii="Book Antiqua" w:hAnsi="Book Antiqua" w:cs="Arial"/>
          <w:color w:val="000000" w:themeColor="text1"/>
        </w:rPr>
        <w:t xml:space="preserve">even </w:t>
      </w:r>
      <w:r w:rsidR="006A6928" w:rsidRPr="00D07897">
        <w:rPr>
          <w:rFonts w:ascii="Book Antiqua" w:hAnsi="Book Antiqua" w:cs="Arial"/>
          <w:color w:val="000000" w:themeColor="text1"/>
        </w:rPr>
        <w:t>among the obese population</w:t>
      </w:r>
      <w:r w:rsidR="00E867EC" w:rsidRPr="00D07897">
        <w:rPr>
          <w:rFonts w:ascii="Book Antiqua" w:hAnsi="Book Antiqua" w:cs="Arial"/>
          <w:color w:val="000000" w:themeColor="text1"/>
        </w:rPr>
        <w:t xml:space="preserve"> with IBD</w:t>
      </w:r>
      <w:r w:rsidR="00E72F57" w:rsidRPr="00D07897">
        <w:rPr>
          <w:rFonts w:ascii="Book Antiqua" w:hAnsi="Book Antiqua" w:cs="Arial"/>
          <w:color w:val="000000" w:themeColor="text1"/>
        </w:rPr>
        <w:t xml:space="preserve"> </w:t>
      </w:r>
      <w:r w:rsidR="003A630E" w:rsidRPr="00D07897">
        <w:rPr>
          <w:rFonts w:ascii="Book Antiqua" w:hAnsi="Book Antiqua" w:cs="Arial"/>
          <w:color w:val="000000" w:themeColor="text1"/>
        </w:rPr>
        <w:t>(</w:t>
      </w:r>
      <w:r w:rsidR="003A630E" w:rsidRPr="00D07897">
        <w:rPr>
          <w:rFonts w:ascii="Book Antiqua" w:hAnsi="Book Antiqua" w:cs="Arial"/>
          <w:i/>
          <w:iCs/>
          <w:color w:val="000000" w:themeColor="text1"/>
        </w:rPr>
        <w:t>i.e</w:t>
      </w:r>
      <w:r w:rsidR="003A630E" w:rsidRPr="00D07897">
        <w:rPr>
          <w:rFonts w:ascii="Book Antiqua" w:hAnsi="Book Antiqua" w:cs="Arial"/>
          <w:color w:val="000000" w:themeColor="text1"/>
        </w:rPr>
        <w:t>.</w:t>
      </w:r>
      <w:r w:rsidR="001D2652" w:rsidRPr="00D07897">
        <w:rPr>
          <w:rFonts w:ascii="Book Antiqua" w:hAnsi="Book Antiqua" w:cs="Arial"/>
          <w:color w:val="000000" w:themeColor="text1"/>
        </w:rPr>
        <w:t>,</w:t>
      </w:r>
      <w:r w:rsidR="003A630E" w:rsidRPr="00D07897">
        <w:rPr>
          <w:rFonts w:ascii="Book Antiqua" w:hAnsi="Book Antiqua" w:cs="Arial"/>
          <w:color w:val="000000" w:themeColor="text1"/>
        </w:rPr>
        <w:t xml:space="preserve"> sarcopenic obesity), and are</w:t>
      </w:r>
      <w:r w:rsidR="00E72F57" w:rsidRPr="00D07897">
        <w:rPr>
          <w:rFonts w:ascii="Book Antiqua" w:hAnsi="Book Antiqua" w:cs="Arial"/>
          <w:color w:val="000000" w:themeColor="text1"/>
        </w:rPr>
        <w:t xml:space="preserve"> not accurately assessed by traditional nutrition assessment methods</w:t>
      </w:r>
      <w:r w:rsidR="006A6928"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{"citationItems":[{"id":"ITEM-1","itemData":{"DOI":"10.1007/s11695-007-9349-y","ISSN":"0960-8923 (Print)","PMID":"18465178","abstract":"It is a common belief that clinical vitamin or mineral deficiencies are rare in Western countries because of the low cost and unlimited diversity of food supply. However, many people consume food that is either unhealthy or of poor nutritional value that lacks proteins, vitamins, minerals, and fiber. In this, article we reviewed the literature and highlighted the vitamin deficiencies in obese patients before bariatric surgery. Deficiency of dietary minerals is described in the accompanying manuscript. The prevalence of vitamin deficiencies in the morbidly obese population prior to bariatric surgery is higher and more significant than previously believed.","author":[{"dropping-particle":"","family":"Kaidar-Person","given":"Orit","non-dropping-particle":"","parse-names":false,"suffix":""},{"dropping-particle":"","family":"Person","given":"Benjamin","non-dropping-particle":"","parse-names":false,"suffix":""},{"dropping-particle":"","family":"Szomstein","given":"Samuel","non-dropping-particle":"","parse-names":false,"suffix":""},{"dropping-particle":"","family":"Rosenthal","given":"Raul J","non-dropping-particle":"","parse-names":false,"suffix":""}],"container-title":"Obesity surgery","id":"ITEM-1","issue":"7","issued":{"date-parts":[["2008","7"]]},"language":"eng","page":"870-876","publisher-place":"United States","title":"Nutritional deficiencies in morbidly obese patients: a new form of malnutrition?  Part A: vitamins.","type":"article-journal","volume":"18"},"uris":["http://www.mendeley.com/documents/?uuid=cddd4ce5-d313-47ba-9514-f7baec58ca1f","http://www.mendeley.com/documents/?uuid=59029631-84a9-4063-b47a-b9ac46d68cac"]},{"id":"ITEM-2","itemData":{"DOI":"10.3390/nu10091192","ISSN":"2072-6643 (Electronic)","PMID":"30200405","abstract":"BACKGROUND: Rising rates of obesity have been reported in patients with inflammatory bowel disease (IBD); however, prospective data is lacking. The aim of this study is to prospectively evaluate body composition in adults with IBD over 24 months. METHODS: Whole body dual energy X-ray absorptiometry (DXA) data was performed at 0 months, 12 months, and 24 months. Bone mineral density (BMD), fat mass index (FMI (kg)/height (m(2))), appendicular skeletal muscle index (ASMI (kg)/height (m(2))), visceral adipose tissue and the visceral adipose height index (VHI, VAT area (cm(3))/height (m(2))), and clinical and anthropometric assessments were performed at each time point. Multivariable linear mixed effects regression analyses were performed. RESULTS: Initially, 154 participants were assessed at baseline (70% Crohn's disease, 55% male, median age 31 years), of whom 129 underwent repeated DXA at 12 months, and 110 underwent repeated DXA at 24 months. Amongst those undergoing repeated DXA, their body mass index (BMI) significantly increased over time, such that by 24 months, 62% of patients were overweight or obese (annual change BMI beta = 0.43, 95%CI = [0.18, 0.67], p = 0.0006). Gains in BMI related to increases in both FMI and VHI (beta = 0.33, 95%CI = [0.14, 0.53], p = 0.0007; beta = 0.08, 95%CI = [0.02, 0.13], p = 0.001; respectively), whereas ASMI decreased (beta = -0.07, 95%CI = [-0.12, -0.01], p = 0.01) with a concordant rise in rates of myopenia (OR = 3.1 95%CI = [1.2, 7.7]; p = 0.01). Rates of osteopenia and osteoporosis were high (37%), but remained unchanged over time (p = 0.23). CONCLUSION: Increasing rates of obesity in patients with IBD coincide with decreases in lean muscle mass over time, while high rates of osteopenia remain stable. These previously undocumented issues warrant attention in routine care to prevent avoidable morbidity.","author":[{"dropping-particle":"","family":"Bryant","given":"Robert Venning","non-dropping-particle":"","parse-names":false,"suffix":""},{"dropping-particle":"","family":"Schultz","given":"Christopher G","non-dropping-particle":"","parse-names":false,"suffix":""},{"dropping-particle":"","family":"Ooi","given":"Soong","non-dropping-particle":"","parse-names":false,"suffix":""},{"dropping-particle":"","family":"Goess","given":"Charlotte","non-dropping-particle":"","parse-names":false,"suffix":""},{"dropping-particle":"","family":"Costello","given":"Samuel Paul","non-dropping-particle":"","parse-names":false,"suffix":""},{"dropping-particle":"","family":"Vincent","given":"Andrew D","non-dropping-particle":"","parse-names":false,"suffix":""},{"dropping-particle":"","family":"Schoeman","given":"Scott N","non-dropping-particle":"","parse-names":false,"suffix":""},{"dropping-particle":"","family":"Lim","given":"Amanda","non-dropping-particle":"","parse-names":false,"suffix":""},{"dropping-particle":"","family":"Bartholomeusz","given":"Francis Dylan","non-dropping-particle":"","parse-names":false,"suffix":""},{"dropping-particle":"","family":"Travis","given":"Simon P L","non-dropping-particle":"","parse-names":false,"suffix":""},{"dropping-particle":"","family":"Andrews","given":"Jane Mary","non-dropping-particle":"","parse-names":false,"suffix":""}],"container-title":"Nutrients","id":"ITEM-2","issue":"9","issued":{"date-parts":[["2018","9"]]},"language":"eng","publisher-place":"Switzerland","title":"Obesity in Inflammatory Bowel Disease: Gains in Adiposity despite High Prevalence of Myopenia and Osteopenia.","type":"article-journal","volume":"10"},"uris":["http://www.mendeley.com/documents/?uuid=b357692b-ac9c-4e23-9c55-faf446ff0631","http://www.mendeley.com/documents/?uuid=fd646862-2970-4b96-9d51-66b9f3d87578"]},{"id":"ITEM-3","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diseases","id":"ITEM-3","issue":"7","issued":{"date-parts":[["2017","7"]]},"language":"eng","page":"1182-1186","publisher-place":"United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Surgery.","type":"article-journal","volume":"23"},"uris":["http://www.mendeley.com/documents/?uuid=6b4f2d39-091b-48c7-a8f9-3935125eeaf6"]},{"id":"ITEM-4","itemData":{"DOI":"https://dx.doi.org/10.1590/S0004-28032015000100009","ISSN":"1678-4219","abstract":"BACKGROUND: Evidence suggests a nutritional transition process in patients with inflammatory bowel disease. Obesity, which was once an uncommon occurrence in such patients, has grown in this population at the same prevalence rate as that found in the general population, bringing with it an increased risk of cardiovascular disease. Objective The aim of the present study was to determine the nutritional status and occurrence of cardiovascular risk factors in patients with inflammatory bowel disease., METHODS: A case-series cross-sectional study was conducted involving male and female adult outpatients with inflammatory bowel disease. Data were collected on demographic, socioeconomic, clinical and anthropometric variables as well as the following cardiovascular risk factors: sedentary lifestyle, excess weight, abdominal obesity, medications in use, comorbidities, alcohol intake and smoking habits. The significance level for all statistical tests was set to 5% (P&lt; 0.05)., RESULTS: The sample comprised 80 patients with inflammatory bowel disease, 56 of whom (70.0%) had ulcerative colitis and 24 of whom (30.0%) had Crohn's disease. Mean age was 40.3+/-11 years and the female genre accounted for 66.2% of the sample. High frequencies of excess weight (48.8%) and abdominal obesity (52.5%) were identified based on the body mass index and waist circumference, respectively, in both groups, especially among those with ulcerative colitis. Muscle depletion was found in 52.5% of the sample based on arm muscle circumference, with greater depletion among patients with Crohn's disease (P=0.008). The most frequent risk factors for cardiovascular disease were a sedentary lifestyle (83.8%), abdominal obesity (52.5%) and excess weight (48.8%)., CONCLUSION: The results of the complete anthropometric evaluation draw one's attention to a nutritional paradox, with high frequencies of both - muscle depletion, as well as excess weight and abdominal obesity.","author":[{"dropping-particle":"de","family":"Andrade","given":"Maria Izabel Siqueira","non-dropping-particle":"","parse-names":false,"suffix":""},{"dropping-particle":"","family":"Maio","given":"Regiane","non-dropping-particle":"","parse-names":false,"suffix":""},{"dropping-particle":"","family":"Dourado","given":"Keila Fernandes","non-dropping-particle":"","parse-names":false,"suffix":""},{"dropping-particle":"de","family":"Macedo","given":"Patricia Fortes Cavalcanti","non-dropping-particle":"","parse-names":false,"suffix":""},{"dropping-particle":"","family":"Barreto Neto","given":"Augusto Cesar","non-dropping-particle":"","parse-names":false,"suffix":""}],"container-title":"Arquivos de gastroenterologia","id":"ITEM-4","issue":"1","issued":{"date-parts":[["2015"]]},"page":"37-45","publisher-place":"Brazil","title":"Excessive weight--muscle depletion paradox and cardiovascular risk factors in outpatients with inflammatory bowel disease.","type":"article-journal","volume":"52"},"uris":["http://www.mendeley.com/documents/?uuid=5bb0c213-c6c4-44ca-8777-8f9a153bc499"]}],"mendeley":{"formattedCitation":"&lt;sup&gt;[33,55–57]&lt;/sup&gt;","plainTextFormattedCitation":"[33,55–57]","previouslyFormattedCitation":"&lt;sup&gt;[32,54–56]&lt;/sup&gt;"},"properties":{"noteIndex":0},"schema":"https://github.com/citation-style-language/schema/raw/master/csl-citation.json"}</w:instrText>
      </w:r>
      <w:r w:rsidR="006A6928"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[33,55</w:t>
      </w:r>
      <w:r w:rsidR="006E7C6A" w:rsidRPr="00D07897">
        <w:rPr>
          <w:rFonts w:ascii="Book Antiqua" w:hAnsi="Book Antiqua" w:cs="Arial"/>
          <w:noProof/>
          <w:color w:val="000000" w:themeColor="text1"/>
          <w:vertAlign w:val="superscript"/>
        </w:rPr>
        <w:t>-</w:t>
      </w:r>
      <w:r w:rsidR="001B7C5F" w:rsidRPr="00D07897">
        <w:rPr>
          <w:rFonts w:ascii="Book Antiqua" w:hAnsi="Book Antiqua" w:cs="Arial"/>
          <w:noProof/>
          <w:color w:val="000000" w:themeColor="text1"/>
          <w:vertAlign w:val="superscript"/>
        </w:rPr>
        <w:t>57]</w:t>
      </w:r>
      <w:r w:rsidR="006A6928" w:rsidRPr="00D07897">
        <w:rPr>
          <w:rFonts w:ascii="Book Antiqua" w:hAnsi="Book Antiqua" w:cs="Arial"/>
          <w:color w:val="000000" w:themeColor="text1"/>
        </w:rPr>
        <w:fldChar w:fldCharType="end"/>
      </w:r>
      <w:r w:rsidR="006A6928" w:rsidRPr="00D07897">
        <w:rPr>
          <w:rFonts w:ascii="Book Antiqua" w:hAnsi="Book Antiqua" w:cs="Arial"/>
          <w:color w:val="000000" w:themeColor="text1"/>
        </w:rPr>
        <w:t>.</w:t>
      </w:r>
      <w:r w:rsidR="00E72F57" w:rsidRPr="00D07897">
        <w:rPr>
          <w:rFonts w:ascii="Book Antiqua" w:hAnsi="Book Antiqua" w:cs="Arial"/>
          <w:color w:val="000000" w:themeColor="text1"/>
        </w:rPr>
        <w:t xml:space="preserve"> Although there is conflicting data on the association of obesity itself with IBD </w:t>
      </w:r>
      <w:r w:rsidR="00651804" w:rsidRPr="00D07897">
        <w:rPr>
          <w:rFonts w:ascii="Book Antiqua" w:hAnsi="Book Antiqua" w:cs="Arial"/>
          <w:color w:val="000000" w:themeColor="text1"/>
        </w:rPr>
        <w:t>related clinical outcomes</w:t>
      </w:r>
      <w:r w:rsidR="009112A5"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{"citationItems":[{"id":"ITEM-1","itemData":{"DOI":"10.1097/MIB.0000000000000560","ISSN":"1536-4844 (Electronic)","PMID":"26241001","abstract":"BACKGROUND: Obesity has been linked with a proinflammatory state and the development of inflammatory diseases. Data on the clinical course and treatment of obese patients with inflammatory bowel disease (IBD) are limited. We used an institutional IBD registry to investigate the impact of obesity on IBD severity and treatment. METHODS: This was a retrospective analysis of prospectively collected data for 3 years (2009-2011). Patients with IBD were categorized by body mass index (BMI). IBD-related quality of life, biochemical markers of inflammation, comorbidities, health care utilization, and treatment were characterized. Obesity was defined as a BMI &gt;/=30 (type I: 30-34.9, type II: 35-39.9, and type III &gt;/=40). RESULTS: Among 1494 patients with IBD, 71.9% were above their ideal BMI and 31.5% were obese. Obesity was more common in ulcerative colitis compared with patients with Crohn's disease (P = 0.04). Obese class II and class III patients were predominantly female. Obesity in IBD was associated with female gender (P &lt; 0.0001), diabetes mellitus (P &lt; 0.001), hypertension (P &lt; 0.001), hyperlipidemia (P &lt; 0.001), poor quality of life (P &lt; 0.0001), and increased rates of C-reactive protein elevation (P = 0.008). In logistic regression analysis, quality of life and C-reactive protein elevation were not independently correlated with obesity. There was no association between increasing BMI and annual prednisone use, emergency department visits, hospitalization, and surgery. Obesity was associated with lower milligrams per kilogram doses of purine analogs and biologics. CONCLUSIONS: Obesity in IBD is not associated with increased health care utilization and IBD-related surgeries. Optimal regimens for drug dosing in obese patients with IBD have yet to be defined.","author":[{"dropping-particle":"","family":"Seminerio","given":"Jennifer L","non-dropping-particle":"","parse-names":false,"suffix":""},{"dropping-particle":"","family":"Koutroubakis","given":"Ioannis E","non-dropping-particle":"","parse-names":false,"suffix":""},{"dropping-particle":"","family":"Ramos-Rivers","given":"Claudia","non-dropping-particle":"","parse-names":false,"suffix":""},{"dropping-particle":"","family":"Hashash","given":"Jana G","non-dropping-particle":"","parse-names":false,"suffix":""},{"dropping-particle":"","family":"Dudekula","given":"Anwar","non-dropping-particle":"","parse-names":false,"suffix":""},{"dropping-particle":"","family":"Regueiro","given":"Miguel","non-dropping-particle":"","parse-names":false,"suffix":""},{"dropping-particle":"","family":"Baidoo","given":"Leonard","non-dropping-particle":"","parse-names":false,"suffix":""},{"dropping-particle":"","family":"Barrie","given":"Arthur","non-dropping-particle":"","parse-names":false,"suffix":""},{"dropping-particle":"","family":"Swoger","given":"Jason","non-dropping-particle":"","parse-names":false,"suffix":""},{"dropping-particle":"","family":"Schwartz","given":"Marc","non-dropping-particle":"","parse-names":false,"suffix":""},{"dropping-particle":"","family":"Weyant","given":"Katherine","non-dropping-particle":"","parse-names":false,"suffix":""},{"dropping-particle":"","family":"Dunn","given":"Michael A","non-dropping-particle":"","parse-names":false,"suffix":""},{"dropping-particle":"","family":"Binion","given":"David G","non-dropping-particle":"","parse-names":false,"suffix":""}],"container-title":"Inflammatory bowel diseases","id":"ITEM-1","issue":"12","issued":{"date-parts":[["2015","12"]]},"language":"eng","page":"2857-2863","publisher-place":"England","title":"Impact of Obesity on the Management and Clinical Course of Patients with Inflammatory Bowel Disease.","type":"article-journal","volume":"21"},"uris":["http://www.mendeley.com/documents/?uuid=8e716339-3358-405d-818c-71c380e45da4","http://www.mendeley.com/documents/?uuid=4d072c91-b003-405f-82bf-a9a876333f58"]},{"id":"ITEM-2","itemData":{"DOI":"10.1097/MIB.0b013e31829cf401","ISSN":"1536-4844 (Electronic)","PMID":"23863401","abstract":"BACKGROUND: Obesity is an emerging problem in the care of inflammatory bowel disease (IBD) patients and has been associated with a diminished response to adalimumab. Whether obesity influences the response to infliximab (IFX) is not known. METHODS: A retrospective cohort of 124 subjects with IBD initiating IFX, naive to biologic therapy, was identified. Subjects were stratified according to their weight and body mass index (BMI). The primary outcome was the first occurrence of an IBD flare defined as dose escalation of IFX, corticosteroid use, discontinuation of IFX, hospitalization, or surgery. Multivariable logistic regression was performed considering body mass and BMI as categorical and continuous variables. RESULTS: Obese (BMI &gt; 30 kg/m) patients with Crohn's disease were more likely to have an IBD flare than nonobese patients (adjusted hazard ratio [HR]: 3.03, P &lt; 0.001); overweight (BMI &gt; 25 kg/m) patients with ulcerative colitis trended toward a similar observation (HR: 9.68, P = 0.06). When considered as continuous variables, increasing mass and BMI were associated with earlier IBD flare in both Crohn's disease (adjusted HR: 1.06 per unit increase in BMI [P = 0.02] and 1.02 per kg increase in body mass [P = 0.02]) and ulcerative colitis (adjusted HR: 1.3 per unit increase in BMI [P = 0.01] and 1.11 per kg increase in body mass [P = 0.004]). CONCLUSIONS: Increased body weight is associated with an earlier time to loss of response to IFX in Crohn's disease and ulcerative colitis, a novel finding given that IFX is the only antitumor necrosis factor agent whose dosing reflects increased body weight.","author":[{"dropping-particle":"","family":"Harper","given":"Jason W","non-dropping-particle":"","parse-names":false,"suffix":""},{"dropping-particle":"","family":"Sinanan","given":"Mika N","non-dropping-particle":"","parse-names":false,"suffix":""},{"dropping-particle":"","family":"Zisman","given":"Timothy L","non-dropping-particle":"","parse-names":false,"suffix":""}],"container-title":"Inflammatory bowel diseases","id":"ITEM-2","issue":"10","issued":{"date-parts":[["2013","9"]]},"language":"eng","page":"2118-2124","publisher-place":"England","title":"Increased body mass index is associated with earlier time to loss of response to  infliximab in patients with inflammatory bowel disease.","type":"article-journal","volume":"19"},"uris":["http://www.mendeley.com/documents/?uuid=10620f25-b4ac-435d-b7fb-d56d5a7fba78","http://www.mendeley.com/documents/?uuid=cdffbecc-25be-4946-9b81-086b5f08a16e"]},{"id":"ITEM-3","itemData":{"DOI":"https://dx.doi.org/10.1007/s10620-015-3629-5","ISSN":"1573-2568","abstract":"BACKGROUND: Both obesity and inflammatory bowel disease (IBD) are highly prevalent in Western societies. IBD, including Crohn's disease (CD) and ulcerative colitis (UC), has been historically associated with cachexia and malnutrition. It is uncertain how obesity, a chronic pro-inflammatory state, may impact the course of IBD., AIM: The aim of this study was to report the prevalence of obesity in patients with IBD in a metropolitan US population and to assess the impact of obesity on disease phenotypes, treatment, and surgical outcomes in IBD patients., METHODS: We reviewed the medical records of patients identified from the IBD registries of the Dallas Veterans Affairs Medical Center and Parkland Health and Hospital Systems who were seen from January 1, 2000, to December 31, 2012., RESULTS: Of 581 identified IBD patients, 32.7 % were obese (BMI &gt;= 30) and 67.6 % were non-obese (BMI &lt; 30). There were 297 (51.1 %) patients with CD and 284 (48.9 %) patients with UC. The rate of obesity was 30.3 % among CD patients and 35.2 % among UC patients. Overall, obese patients were significantly less likely to receive anti-TNF treatment, undergo surgery, or experience a hospitalization for their IBD than their non-obese counterparts (55.8 vs. 72.1 %, p = .0001)., CONCLUSION: Obesity is highly prevalent in our IBD patients, paralleling the obesity rates in the US population. Clinical outcomes were significantly different in obese versus non-obese patients with IBD. Despite the plausible mechanisms whereby obesity might exacerbate IBD, we have found that obesity (as defined by BMI) is a marker of a less severe disease course in IBD.","author":[{"dropping-particle":"","family":"Flores","given":"Avegail","non-dropping-particle":"","parse-names":false,"suffix":""},{"dropping-particle":"","family":"Burstein","given":"Ezra","non-dropping-particle":"","parse-names":false,"suffix":""},{"dropping-particle":"","family":"Cipher","given":"Daisha J","non-dropping-particle":"","parse-names":false,"suffix":""},{"dropping-particle":"","family":"Feagins","given":"Linda A","non-dropping-particle":"","parse-names":false,"suffix":""}],"container-title":"Digestive diseases and sciences","id":"ITEM-3","issue":"8","issued":{"date-parts":[["2015"]]},"page":"2436-2445","publisher-place":"United States","title":"Obesity in Inflammatory Bowel Disease: A Marker of Less Severe Disease.","type":"article-journal","volume":"60"},"uris":["http://www.mendeley.com/documents/?uuid=5e88e17d-c96f-4709-8b5c-e9493382f294"]},{"id":"ITEM-4","itemData":{"DOI":"10.1054/clnu.2001.0503","ISSN":"0261-5614 (Print)","PMID":"11884013","abstract":"BACKGROUND AND AIMS: Obesity is unusual in Crohn's disease and the particularities of the disease in obese patients have not been studied. METHODS: 2065 patients were studied retrospectively. Obesity was defined by a BMI value &gt;25.0 at disease onset and &gt;30.0 at any time during the course of the disease. Disease characteristics, therapeutic needs, and year-by-year disease activity were determined in patients with and without obesity. RESULTS: 62 patients (3%) were obese. When compared with non-obese patients, obese patients did not show differences regarding sex, intestinal disease location, and disease behavior, but at diagnosis they were older (32 vs 28 years, P = 0.01) and a larger proportion had anoperineal disease (35 vs 24%, P = 0.03). When the 62 obese patients were paired for sex, location of disease at onset, date of birth, and date of diagnosis with 124 non-obese patients, the disease severity assessed by the importance of medical therapy and excisional surgery did not differ in the two groups but time to development of anoperineal abscess or fistula was shorter in obese patients, and obese patients were more prone to develop an active disease (OR 1.50, 95% CI 1.07-2.11) and to require hospitalization (OR 2.35, 95% CI 1.56-3.52) CONCLUSION: Obesity in Crohn's disease is associated with more frequent anoperineal complications and a more marked year-by-year disease activity, but does not alter significantly the long-term course of the disease.","author":[{"dropping-particle":"","family":"Blain","given":"A","non-dropping-particle":"","parse-names":false,"suffix":""},{"dropping-particle":"","family":"Cattan","given":"S","non-dropping-particle":"","parse-names":false,"suffix":""},{"dropping-particle":"","family":"Beaugerie","given":"L","non-dropping-particle":"","parse-names":false,"suffix":""},{"dropping-particle":"","family":"Carbonnel","given":"F","non-dropping-particle":"","parse-names":false,"suffix":""},{"dropping-particle":"","family":"Gendre","given":"J P","non-dropping-particle":"","parse-names":false,"suffix":""},{"dropping-particle":"","family":"Cosnes","given":"J","non-dropping-particle":"","parse-names":false,"suffix":""}],"container-title":"Clinical nutrition (Edinburgh, Scotland)","id":"ITEM-4","issue":"1","issued":{"date-parts":[["2002","2"]]},"language":"eng","page":"51-57","publisher-place":"England","title":"Crohn's disease clinical course and severity in obese patients.","type":"article-journal","volume":"21"},"uris":["http://www.mendeley.com/documents/?uuid=c20eb5f9-b4ba-48bd-8e1d-baba30ba71c9"]}],"mendeley":{"formattedCitation":"&lt;sup&gt;[58–61]&lt;/sup&gt;","plainTextFormattedCitation":"[58–61]","previouslyFormattedCitation":"&lt;sup&gt;[57–60]&lt;/sup&gt;"},"properties":{"noteIndex":0},"schema":"https://github.com/citation-style-language/schema/raw/master/csl-citation.json"}</w:instrText>
      </w:r>
      <w:r w:rsidR="009112A5"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[58</w:t>
      </w:r>
      <w:r w:rsidR="006E7C6A" w:rsidRPr="00D07897">
        <w:rPr>
          <w:rFonts w:ascii="Book Antiqua" w:hAnsi="Book Antiqua" w:cs="Arial"/>
          <w:noProof/>
          <w:color w:val="000000" w:themeColor="text1"/>
          <w:vertAlign w:val="superscript"/>
        </w:rPr>
        <w:t>-</w:t>
      </w:r>
      <w:r w:rsidR="001B7C5F" w:rsidRPr="00D07897">
        <w:rPr>
          <w:rFonts w:ascii="Book Antiqua" w:hAnsi="Book Antiqua" w:cs="Arial"/>
          <w:noProof/>
          <w:color w:val="000000" w:themeColor="text1"/>
          <w:vertAlign w:val="superscript"/>
        </w:rPr>
        <w:t>61]</w:t>
      </w:r>
      <w:r w:rsidR="009112A5" w:rsidRPr="00D07897">
        <w:rPr>
          <w:rFonts w:ascii="Book Antiqua" w:hAnsi="Book Antiqua" w:cs="Arial"/>
          <w:color w:val="000000" w:themeColor="text1"/>
        </w:rPr>
        <w:fldChar w:fldCharType="end"/>
      </w:r>
      <w:r w:rsidR="009112A5" w:rsidRPr="00D07897">
        <w:rPr>
          <w:rFonts w:ascii="Book Antiqua" w:hAnsi="Book Antiqua" w:cs="Arial"/>
          <w:color w:val="000000" w:themeColor="text1"/>
        </w:rPr>
        <w:t>, t</w:t>
      </w:r>
      <w:r w:rsidR="00E72F57" w:rsidRPr="00D07897">
        <w:rPr>
          <w:rFonts w:ascii="Book Antiqua" w:hAnsi="Book Antiqua" w:cs="Arial"/>
          <w:color w:val="000000" w:themeColor="text1"/>
        </w:rPr>
        <w:t xml:space="preserve">he syndrome of “sarcopenic-obesity” </w:t>
      </w:r>
      <w:r w:rsidR="009112A5" w:rsidRPr="00D07897">
        <w:rPr>
          <w:rFonts w:ascii="Book Antiqua" w:hAnsi="Book Antiqua" w:cs="Arial"/>
          <w:color w:val="000000" w:themeColor="text1"/>
        </w:rPr>
        <w:t xml:space="preserve">likely </w:t>
      </w:r>
      <w:r w:rsidR="0019043C" w:rsidRPr="00D07897">
        <w:rPr>
          <w:rFonts w:ascii="Book Antiqua" w:hAnsi="Book Antiqua" w:cs="Arial"/>
          <w:color w:val="000000" w:themeColor="text1"/>
        </w:rPr>
        <w:t xml:space="preserve">does </w:t>
      </w:r>
      <w:r w:rsidR="009112A5" w:rsidRPr="00D07897">
        <w:rPr>
          <w:rFonts w:ascii="Book Antiqua" w:hAnsi="Book Antiqua" w:cs="Arial"/>
          <w:color w:val="000000" w:themeColor="text1"/>
        </w:rPr>
        <w:t>ha</w:t>
      </w:r>
      <w:r w:rsidR="0019043C" w:rsidRPr="00D07897">
        <w:rPr>
          <w:rFonts w:ascii="Book Antiqua" w:hAnsi="Book Antiqua" w:cs="Arial"/>
          <w:color w:val="000000" w:themeColor="text1"/>
        </w:rPr>
        <w:t>ve</w:t>
      </w:r>
      <w:r w:rsidR="009112A5" w:rsidRPr="00D07897">
        <w:rPr>
          <w:rFonts w:ascii="Book Antiqua" w:hAnsi="Book Antiqua" w:cs="Arial"/>
          <w:color w:val="000000" w:themeColor="text1"/>
        </w:rPr>
        <w:t xml:space="preserve"> implications in predicti</w:t>
      </w:r>
      <w:r w:rsidR="00E071B3" w:rsidRPr="00D07897">
        <w:rPr>
          <w:rFonts w:ascii="Book Antiqua" w:hAnsi="Book Antiqua" w:cs="Arial"/>
          <w:color w:val="000000" w:themeColor="text1"/>
        </w:rPr>
        <w:t>ng</w:t>
      </w:r>
      <w:r w:rsidR="009112A5" w:rsidRPr="00D07897">
        <w:rPr>
          <w:rFonts w:ascii="Book Antiqua" w:hAnsi="Book Antiqua" w:cs="Arial"/>
          <w:color w:val="000000" w:themeColor="text1"/>
        </w:rPr>
        <w:t xml:space="preserve"> </w:t>
      </w:r>
      <w:r w:rsidR="0019043C" w:rsidRPr="00D07897">
        <w:rPr>
          <w:rFonts w:ascii="Book Antiqua" w:hAnsi="Book Antiqua" w:cs="Arial"/>
          <w:color w:val="000000" w:themeColor="text1"/>
        </w:rPr>
        <w:t>relevant</w:t>
      </w:r>
      <w:r w:rsidR="009112A5" w:rsidRPr="00D07897">
        <w:rPr>
          <w:rFonts w:ascii="Book Antiqua" w:hAnsi="Book Antiqua" w:cs="Arial"/>
          <w:color w:val="000000" w:themeColor="text1"/>
        </w:rPr>
        <w:t xml:space="preserve"> clinical outcomes</w:t>
      </w:r>
      <w:r w:rsidR="00E071B3" w:rsidRPr="00D07897">
        <w:rPr>
          <w:rFonts w:ascii="Book Antiqua" w:hAnsi="Book Antiqua" w:cs="Arial"/>
          <w:color w:val="000000" w:themeColor="text1"/>
        </w:rPr>
        <w:t>,</w:t>
      </w:r>
      <w:r w:rsidR="009112A5" w:rsidRPr="00D07897">
        <w:rPr>
          <w:rFonts w:ascii="Book Antiqua" w:hAnsi="Book Antiqua" w:cs="Arial"/>
          <w:color w:val="000000" w:themeColor="text1"/>
        </w:rPr>
        <w:t xml:space="preserve"> and warrants further investigation</w:t>
      </w:r>
      <w:r w:rsidR="009112A5"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diseases","id":"ITEM-1","issue":"7","issued":{"date-parts":[["2017","7"]]},"language":"eng","page":"1182-1186","publisher-place":"United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mendeley":{"formattedCitation":"&lt;sup&gt;[33]&lt;/sup&gt;","plainTextFormattedCitation":"[33]","previouslyFormattedCitation":"&lt;sup&gt;[32]&lt;/sup&gt;"},"properties":{"noteIndex":0},"schema":"https://github.com/citation-style-language/schema/raw/master/csl-citation.json"}</w:instrText>
      </w:r>
      <w:r w:rsidR="009112A5"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[33]</w:t>
      </w:r>
      <w:r w:rsidR="009112A5" w:rsidRPr="00D07897">
        <w:rPr>
          <w:rFonts w:ascii="Book Antiqua" w:hAnsi="Book Antiqua" w:cs="Arial"/>
          <w:color w:val="000000" w:themeColor="text1"/>
        </w:rPr>
        <w:fldChar w:fldCharType="end"/>
      </w:r>
      <w:r w:rsidR="009112A5" w:rsidRPr="00D07897">
        <w:rPr>
          <w:rFonts w:ascii="Book Antiqua" w:hAnsi="Book Antiqua" w:cs="Arial"/>
          <w:color w:val="000000" w:themeColor="text1"/>
        </w:rPr>
        <w:t xml:space="preserve">. </w:t>
      </w:r>
    </w:p>
    <w:p w14:paraId="6A891DEA" w14:textId="4ABDA7F8" w:rsidR="007A43BB" w:rsidRPr="00D07897" w:rsidRDefault="00456B1D" w:rsidP="00A45A0C">
      <w:pPr>
        <w:spacing w:line="360" w:lineRule="auto"/>
        <w:ind w:firstLineChars="100" w:firstLine="240"/>
        <w:jc w:val="both"/>
        <w:rPr>
          <w:rFonts w:ascii="Book Antiqua" w:hAnsi="Book Antiqua" w:cs="Arial"/>
          <w:color w:val="000000" w:themeColor="text1"/>
        </w:rPr>
      </w:pPr>
      <w:r w:rsidRPr="00D07897">
        <w:rPr>
          <w:rFonts w:ascii="Book Antiqua" w:hAnsi="Book Antiqua" w:cs="Arial"/>
          <w:color w:val="000000" w:themeColor="text1"/>
        </w:rPr>
        <w:t>Additionally, o</w:t>
      </w:r>
      <w:r w:rsidR="0019043C" w:rsidRPr="00D07897">
        <w:rPr>
          <w:rFonts w:ascii="Book Antiqua" w:hAnsi="Book Antiqua" w:cs="Arial"/>
          <w:color w:val="000000" w:themeColor="text1"/>
        </w:rPr>
        <w:t>ur review of NATs</w:t>
      </w:r>
      <w:r w:rsidR="006B2610" w:rsidRPr="00D07897">
        <w:rPr>
          <w:rFonts w:ascii="Book Antiqua" w:hAnsi="Book Antiqua" w:cs="Arial"/>
          <w:color w:val="000000" w:themeColor="text1"/>
        </w:rPr>
        <w:t xml:space="preserve"> </w:t>
      </w:r>
      <w:r w:rsidR="003C4499" w:rsidRPr="00D07897">
        <w:rPr>
          <w:rFonts w:ascii="Book Antiqua" w:hAnsi="Book Antiqua" w:cs="Arial"/>
          <w:color w:val="000000" w:themeColor="text1"/>
        </w:rPr>
        <w:t xml:space="preserve">highlights the discordant data regarding the </w:t>
      </w:r>
      <w:r w:rsidR="003B4A72" w:rsidRPr="00D07897">
        <w:rPr>
          <w:rFonts w:ascii="Book Antiqua" w:hAnsi="Book Antiqua" w:cs="Arial"/>
          <w:color w:val="000000" w:themeColor="text1"/>
        </w:rPr>
        <w:t xml:space="preserve">ability of the </w:t>
      </w:r>
      <w:r w:rsidR="007A43BB" w:rsidRPr="00D07897">
        <w:rPr>
          <w:rFonts w:ascii="Book Antiqua" w:hAnsi="Book Antiqua" w:cs="Arial"/>
          <w:color w:val="000000" w:themeColor="text1"/>
        </w:rPr>
        <w:t>SGA, a familiar nutritional assessment tool</w:t>
      </w:r>
      <w:r w:rsidR="003C4499" w:rsidRPr="00D07897">
        <w:rPr>
          <w:rFonts w:ascii="Book Antiqua" w:hAnsi="Book Antiqua" w:cs="Arial"/>
          <w:color w:val="000000" w:themeColor="text1"/>
        </w:rPr>
        <w:t xml:space="preserve">, to predict clinical </w:t>
      </w:r>
      <w:r w:rsidR="003C4499" w:rsidRPr="00D07897">
        <w:rPr>
          <w:rFonts w:ascii="Book Antiqua" w:hAnsi="Book Antiqua" w:cs="Arial"/>
          <w:color w:val="000000" w:themeColor="text1"/>
        </w:rPr>
        <w:lastRenderedPageBreak/>
        <w:t>outcomes</w:t>
      </w:r>
      <w:r w:rsidR="003B4A72" w:rsidRPr="00D07897">
        <w:rPr>
          <w:rFonts w:ascii="Book Antiqua" w:hAnsi="Book Antiqua" w:cs="Arial"/>
          <w:color w:val="000000" w:themeColor="text1"/>
        </w:rPr>
        <w:t xml:space="preserve"> in IBD</w:t>
      </w:r>
      <w:r w:rsidR="003C4499" w:rsidRPr="00D07897">
        <w:rPr>
          <w:rFonts w:ascii="Book Antiqua" w:hAnsi="Book Antiqua" w:cs="Arial"/>
          <w:color w:val="000000" w:themeColor="text1"/>
        </w:rPr>
        <w:t xml:space="preserve">. </w:t>
      </w:r>
      <w:r w:rsidR="003B4A72" w:rsidRPr="00D07897">
        <w:rPr>
          <w:rFonts w:ascii="Book Antiqua" w:hAnsi="Book Antiqua" w:cs="Arial"/>
          <w:color w:val="000000" w:themeColor="text1"/>
        </w:rPr>
        <w:t>Notably, a</w:t>
      </w:r>
      <w:r w:rsidR="006B2610" w:rsidRPr="00D07897">
        <w:rPr>
          <w:rFonts w:ascii="Book Antiqua" w:hAnsi="Book Antiqua" w:cs="Arial"/>
          <w:color w:val="000000" w:themeColor="text1"/>
        </w:rPr>
        <w:t xml:space="preserve"> </w:t>
      </w:r>
      <w:r w:rsidR="00BD4343" w:rsidRPr="00D07897">
        <w:rPr>
          <w:rFonts w:ascii="Book Antiqua" w:hAnsi="Book Antiqua" w:cs="Arial"/>
          <w:color w:val="000000" w:themeColor="text1"/>
        </w:rPr>
        <w:t xml:space="preserve">large percentage of IBD patients with </w:t>
      </w:r>
      <w:r w:rsidR="009C5EA4" w:rsidRPr="00D07897">
        <w:rPr>
          <w:rFonts w:ascii="Book Antiqua" w:hAnsi="Book Antiqua" w:cs="Arial"/>
          <w:color w:val="000000" w:themeColor="text1"/>
        </w:rPr>
        <w:t xml:space="preserve">decreased body cell mass as determined by BIA </w:t>
      </w:r>
      <w:r w:rsidR="00BD4343" w:rsidRPr="00D07897">
        <w:rPr>
          <w:rFonts w:ascii="Book Antiqua" w:hAnsi="Book Antiqua" w:cs="Arial"/>
          <w:color w:val="000000" w:themeColor="text1"/>
        </w:rPr>
        <w:t xml:space="preserve">and </w:t>
      </w:r>
      <w:r w:rsidR="003C4499" w:rsidRPr="00D07897">
        <w:rPr>
          <w:rFonts w:ascii="Book Antiqua" w:hAnsi="Book Antiqua" w:cs="Arial"/>
          <w:color w:val="000000" w:themeColor="text1"/>
        </w:rPr>
        <w:t xml:space="preserve">sarcopenia </w:t>
      </w:r>
      <w:r w:rsidR="00BD4343" w:rsidRPr="00D07897">
        <w:rPr>
          <w:rFonts w:ascii="Book Antiqua" w:hAnsi="Book Antiqua" w:cs="Arial"/>
          <w:color w:val="000000" w:themeColor="text1"/>
        </w:rPr>
        <w:t>can be missed by SGA alone</w:t>
      </w:r>
      <w:r w:rsidR="00BD4343"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{"citationItems":[{"id":"ITEM-1","itemData":{"DOI":"10.1016/j.nut.2008.03.018","ISSN":"0899-9007 (Print)","PMID":"18499398","abstract":"OBJECTIVE: This prospective, controlled, and multicentric study evaluated nutritional status, body composition, muscle strength, and quality of life in patients with inflammatory bowel disease in clinical remission. In addition, possible effects of gender, malnutrition, inflammation, and previous prednisolone therapy were investigated. METHODS: Nutritional status (subjective global assessment [SGA], body mass index, albumin, trace elements), body composition (bioelectrical impedance analysis, anthropometry), handgrip strength, and quality of life were assessed in 94 patients with Crohn's disease (CD; 61 female and 33 male, Crohn's Disease Activity Index 71 +/- 47), 50 patients with ulcerative colitis (UC; 33 female and 17 male, Ulcerative Colitis Activity Index 3.1 +/- 1.5), and 61 healthy control subjects (41 female and 20 male) from centers in Berlin, Vienna, and Bari. For further analysis of body composition, 47 well-nourished patients with inflammatory bowel disease were pair-matched by body mass index, sex, and age to healthy controls. Data are presented as median (25th-75th percentile). RESULTS: Most patients with inflammatory bowel disease (74%) were well nourished according to the SGA, body mass index, and serum albumin. However, body composition analysis demonstrated a decrease in body cell mass (BCM) in patients with CD (23.1 kg, 20.8-28.7, P = 0.021) and UC (22.6 kg, 21.0-28.0, P = 0.041) compared with controls (25.0 kg, 22.0-32.5). Handgrip strength correlated with BCM (r = 0.703, P = 0.001) and was decreased in patients with CD (32.8 kg, 26.0-41.1, P = 0.005) and UC (31.0 kg, 27.3-37.8, P = 0.001) compared with controls (36.0 kg, 31.0-52.0). The alterations were seen even in patients classified as well nourished. BCM was lower in patients with moderately increased serum C-reactive protein levels compared with patients with normal levels. CONCLUSION: In CD and UC, selected micronutrient deficits and loss of BCM and muscle strength are frequent in remission and cannot be detected by standard malnutrition screening.","author":[{"dropping-particle":"","family":"Valentini","given":"Luzia","non-dropping-particle":"","parse-names":false,"suffix":""},{"dropping-particle":"","family":"Schaper","given":"Lennart","non-dropping-particle":"","parse-names":false,"suffix":""},{"dropping-particle":"","family":"Buning","given":"Carsten","non-dropping-particle":"","parse-names":false,"suffix":""},{"dropping-particle":"","family":"Hengstermann","given":"Susanne","non-dropping-particle":"","parse-names":false,"suffix":""},{"dropping-particle":"","family":"Koernicke","given":"Thomas","non-dropping-particle":"","parse-names":false,"suffix":""},{"dropping-particle":"","family":"Tillinger","given":"Wolfgang","non-dropping-particle":"","parse-names":false,"suffix":""},{"dropping-particle":"","family":"Guglielmi","given":"Francesco William","non-dropping-particle":"","parse-names":false,"suffix":""},{"dropping-particle":"","family":"Norman","given":"Kristina","non-dropping-particle":"","parse-names":false,"suffix":""},{"dropping-particle":"","family":"Buhner","given":"Sabine","non-dropping-particle":"","parse-names":false,"suffix":""},{"dropping-particle":"","family":"Ockenga","given":"Johann","non-dropping-particle":"","parse-names":false,"suffix":""},{"dropping-particle":"","family":"Pirlich","given":"Matthias","non-dropping-particle":"","parse-names":false,"suffix":""},{"dropping-particle":"","family":"Lochs","given":"Herbert","non-dropping-particle":"","parse-names":false,"suffix":""}],"container-title":"Nutrition (Burbank, Los Angeles County, Calif.)","id":"ITEM-1","issue":"7-8","issued":{"date-parts":[["2008"]]},"language":"eng","page":"694-702","publisher-place":"United States","title":"Malnutrition and impaired muscle strength in patients with Crohn's disease and ulcerative colitis in remission.","type":"article-journal","volume":"24"},"uris":["http://www.mendeley.com/documents/?uuid=ee5f4135-24a6-4b63-bb9e-97ce772f7598"]}],"mendeley":{"formattedCitation":"&lt;sup&gt;[50]&lt;/sup&gt;","plainTextFormattedCitation":"[50]","previouslyFormattedCitation":"&lt;sup&gt;[49]&lt;/sup&gt;"},"properties":{"noteIndex":0},"schema":"https://github.com/citation-style-language/schema/raw/master/csl-citation.json"}</w:instrText>
      </w:r>
      <w:r w:rsidR="00BD4343"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[50]</w:t>
      </w:r>
      <w:r w:rsidR="00BD4343" w:rsidRPr="00D07897">
        <w:rPr>
          <w:rFonts w:ascii="Book Antiqua" w:hAnsi="Book Antiqua" w:cs="Arial"/>
          <w:color w:val="000000" w:themeColor="text1"/>
        </w:rPr>
        <w:fldChar w:fldCharType="end"/>
      </w:r>
      <w:r w:rsidR="00BD4343" w:rsidRPr="00D07897">
        <w:rPr>
          <w:rFonts w:ascii="Book Antiqua" w:hAnsi="Book Antiqua" w:cs="Arial"/>
          <w:color w:val="000000" w:themeColor="text1"/>
        </w:rPr>
        <w:t xml:space="preserve">. </w:t>
      </w:r>
      <w:r w:rsidR="00BB60B4" w:rsidRPr="00D07897">
        <w:rPr>
          <w:rFonts w:ascii="Book Antiqua" w:hAnsi="Book Antiqua" w:cs="Arial"/>
          <w:color w:val="000000" w:themeColor="text1"/>
        </w:rPr>
        <w:t xml:space="preserve">In </w:t>
      </w:r>
      <w:r w:rsidRPr="00D07897">
        <w:rPr>
          <w:rFonts w:ascii="Book Antiqua" w:hAnsi="Book Antiqua" w:cs="Arial"/>
          <w:color w:val="000000" w:themeColor="text1"/>
        </w:rPr>
        <w:t>this</w:t>
      </w:r>
      <w:r w:rsidR="00BB60B4" w:rsidRPr="00D07897">
        <w:rPr>
          <w:rFonts w:ascii="Book Antiqua" w:hAnsi="Book Antiqua" w:cs="Arial"/>
          <w:color w:val="000000" w:themeColor="text1"/>
        </w:rPr>
        <w:t xml:space="preserve"> review, </w:t>
      </w:r>
      <w:r w:rsidR="001B381D" w:rsidRPr="00D07897">
        <w:rPr>
          <w:rFonts w:ascii="Book Antiqua" w:hAnsi="Book Antiqua" w:cs="Arial"/>
          <w:color w:val="000000" w:themeColor="text1"/>
        </w:rPr>
        <w:t xml:space="preserve">SGA </w:t>
      </w:r>
      <w:r w:rsidR="003B4A72" w:rsidRPr="00D07897">
        <w:rPr>
          <w:rFonts w:ascii="Book Antiqua" w:hAnsi="Book Antiqua" w:cs="Arial"/>
          <w:color w:val="000000" w:themeColor="text1"/>
        </w:rPr>
        <w:t xml:space="preserve">was not significantly associated </w:t>
      </w:r>
      <w:r w:rsidR="00BD4343" w:rsidRPr="00D07897">
        <w:rPr>
          <w:rFonts w:ascii="Book Antiqua" w:hAnsi="Book Antiqua" w:cs="Arial"/>
          <w:color w:val="000000" w:themeColor="text1"/>
        </w:rPr>
        <w:t>with clinical outcomes in IBD populations other than length of</w:t>
      </w:r>
      <w:r w:rsidR="00977A87" w:rsidRPr="00D07897">
        <w:rPr>
          <w:rFonts w:ascii="Book Antiqua" w:hAnsi="Book Antiqua" w:cs="Arial"/>
          <w:color w:val="000000" w:themeColor="text1"/>
        </w:rPr>
        <w:t xml:space="preserve"> hospital</w:t>
      </w:r>
      <w:r w:rsidR="00BD4343" w:rsidRPr="00D07897">
        <w:rPr>
          <w:rFonts w:ascii="Book Antiqua" w:hAnsi="Book Antiqua" w:cs="Arial"/>
          <w:color w:val="000000" w:themeColor="text1"/>
        </w:rPr>
        <w:t xml:space="preserve"> stay</w:t>
      </w:r>
      <w:r w:rsidR="00BD4343"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disease.","type":"article-journal","volume":"116"},"uris":["http://www.mendeley.com/documents/?uuid=7a1220e5-e4f6-481d-b52c-83a9e8be8be2"]},{"id":"ITEM-2","itemData":{"DOI":"10.1159/000485637","ISSN":"1421-9697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metabolism","id":"ITEM-2","issue":"3-4","issued":{"date-parts":[["2017"]]},"language":"eng","page":"266-272","publisher-place":"Switzerland","title":"Nutritional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[8,13]&lt;/sup&gt;","plainTextFormattedCitation":"[8,13]","previouslyFormattedCitation":"&lt;sup&gt;[8,13]&lt;/sup&gt;"},"properties":{"noteIndex":0},"schema":"https://github.com/citation-style-language/schema/raw/master/csl-citation.json"}</w:instrText>
      </w:r>
      <w:r w:rsidR="00BD4343"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[8,13]</w:t>
      </w:r>
      <w:r w:rsidR="00BD4343" w:rsidRPr="00D07897">
        <w:rPr>
          <w:rFonts w:ascii="Book Antiqua" w:hAnsi="Book Antiqua" w:cs="Arial"/>
          <w:color w:val="000000" w:themeColor="text1"/>
        </w:rPr>
        <w:fldChar w:fldCharType="end"/>
      </w:r>
      <w:r w:rsidR="00BD4343" w:rsidRPr="00D07897">
        <w:rPr>
          <w:rFonts w:ascii="Book Antiqua" w:hAnsi="Book Antiqua" w:cs="Arial"/>
          <w:color w:val="000000" w:themeColor="text1"/>
        </w:rPr>
        <w:t xml:space="preserve">. </w:t>
      </w:r>
    </w:p>
    <w:p w14:paraId="58C5E7E4" w14:textId="405CFF5F" w:rsidR="00C834B8" w:rsidRPr="00D07897" w:rsidRDefault="00A45A0C" w:rsidP="00A45A0C">
      <w:pPr>
        <w:spacing w:line="360" w:lineRule="auto"/>
        <w:ind w:firstLineChars="100" w:firstLine="240"/>
        <w:jc w:val="both"/>
        <w:rPr>
          <w:rFonts w:ascii="Book Antiqua" w:hAnsi="Book Antiqua" w:cs="Arial"/>
          <w:iCs/>
          <w:color w:val="000000" w:themeColor="text1"/>
        </w:rPr>
      </w:pPr>
      <w:r w:rsidRPr="00D07897">
        <w:rPr>
          <w:rFonts w:ascii="Book Antiqua" w:hAnsi="Book Antiqua" w:cs="Arial"/>
          <w:iCs/>
          <w:color w:val="000000" w:themeColor="text1"/>
        </w:rPr>
        <w:t>In conclusion,</w:t>
      </w:r>
      <w:r w:rsidRPr="00D07897">
        <w:rPr>
          <w:rFonts w:ascii="Book Antiqua" w:eastAsia="等线" w:hAnsi="Book Antiqua" w:cs="Arial" w:hint="eastAsia"/>
          <w:iCs/>
          <w:color w:val="000000" w:themeColor="text1"/>
          <w:lang w:eastAsia="zh-CN"/>
        </w:rPr>
        <w:t xml:space="preserve"> </w:t>
      </w:r>
      <w:r w:rsidRPr="00D07897">
        <w:rPr>
          <w:rFonts w:ascii="Book Antiqua" w:hAnsi="Book Antiqua" w:cs="Arial"/>
          <w:color w:val="000000" w:themeColor="text1"/>
        </w:rPr>
        <w:t>o</w:t>
      </w:r>
      <w:r w:rsidR="00817F60" w:rsidRPr="00D07897">
        <w:rPr>
          <w:rFonts w:ascii="Book Antiqua" w:hAnsi="Book Antiqua" w:cs="Arial"/>
          <w:color w:val="000000" w:themeColor="text1"/>
        </w:rPr>
        <w:t xml:space="preserve">ur study has </w:t>
      </w:r>
      <w:r w:rsidR="006B2610" w:rsidRPr="00D07897">
        <w:rPr>
          <w:rFonts w:ascii="Book Antiqua" w:hAnsi="Book Antiqua" w:cs="Arial"/>
          <w:color w:val="000000" w:themeColor="text1"/>
        </w:rPr>
        <w:t xml:space="preserve">summarized </w:t>
      </w:r>
      <w:r w:rsidR="00817F60" w:rsidRPr="00D07897">
        <w:rPr>
          <w:rFonts w:ascii="Book Antiqua" w:hAnsi="Book Antiqua" w:cs="Arial"/>
          <w:color w:val="000000" w:themeColor="text1"/>
        </w:rPr>
        <w:t xml:space="preserve">the currently available </w:t>
      </w:r>
      <w:r w:rsidR="00977A87" w:rsidRPr="00D07897">
        <w:rPr>
          <w:rFonts w:ascii="Book Antiqua" w:hAnsi="Book Antiqua" w:cs="Arial"/>
          <w:color w:val="000000" w:themeColor="text1"/>
        </w:rPr>
        <w:t xml:space="preserve">evidence </w:t>
      </w:r>
      <w:r w:rsidR="00BB33FE" w:rsidRPr="00D07897">
        <w:rPr>
          <w:rFonts w:ascii="Book Antiqua" w:hAnsi="Book Antiqua" w:cs="Arial"/>
          <w:color w:val="000000" w:themeColor="text1"/>
        </w:rPr>
        <w:t>for NST</w:t>
      </w:r>
      <w:r w:rsidR="002D589D" w:rsidRPr="00D07897">
        <w:rPr>
          <w:rFonts w:ascii="Book Antiqua" w:hAnsi="Book Antiqua" w:cs="Arial"/>
          <w:color w:val="000000" w:themeColor="text1"/>
        </w:rPr>
        <w:t>s</w:t>
      </w:r>
      <w:r w:rsidR="00BB33FE" w:rsidRPr="00D07897">
        <w:rPr>
          <w:rFonts w:ascii="Book Antiqua" w:hAnsi="Book Antiqua" w:cs="Arial"/>
          <w:color w:val="000000" w:themeColor="text1"/>
        </w:rPr>
        <w:t>/NATs in the</w:t>
      </w:r>
      <w:r w:rsidR="0093559A" w:rsidRPr="00D07897">
        <w:rPr>
          <w:rFonts w:ascii="Book Antiqua" w:hAnsi="Book Antiqua" w:cs="Arial"/>
          <w:color w:val="000000" w:themeColor="text1"/>
        </w:rPr>
        <w:t xml:space="preserve"> IBD population</w:t>
      </w:r>
      <w:r w:rsidR="00817F60" w:rsidRPr="00D07897">
        <w:rPr>
          <w:rFonts w:ascii="Book Antiqua" w:hAnsi="Book Antiqua" w:cs="Arial"/>
          <w:color w:val="000000" w:themeColor="text1"/>
        </w:rPr>
        <w:t>.</w:t>
      </w:r>
      <w:r w:rsidR="00BB33FE" w:rsidRPr="00D07897">
        <w:rPr>
          <w:rFonts w:ascii="Book Antiqua" w:hAnsi="Book Antiqua" w:cs="Arial"/>
          <w:color w:val="000000" w:themeColor="text1"/>
        </w:rPr>
        <w:t xml:space="preserve"> Although some studies </w:t>
      </w:r>
      <w:r w:rsidR="001B381D" w:rsidRPr="00D07897">
        <w:rPr>
          <w:rFonts w:ascii="Book Antiqua" w:hAnsi="Book Antiqua" w:cs="Arial"/>
          <w:color w:val="000000" w:themeColor="text1"/>
        </w:rPr>
        <w:t xml:space="preserve">support </w:t>
      </w:r>
      <w:r w:rsidR="00BB33FE" w:rsidRPr="00D07897">
        <w:rPr>
          <w:rFonts w:ascii="Book Antiqua" w:hAnsi="Book Antiqua" w:cs="Arial"/>
          <w:color w:val="000000" w:themeColor="text1"/>
        </w:rPr>
        <w:t xml:space="preserve">the </w:t>
      </w:r>
      <w:r w:rsidR="001B381D" w:rsidRPr="00D07897">
        <w:rPr>
          <w:rFonts w:ascii="Book Antiqua" w:hAnsi="Book Antiqua" w:cs="Arial"/>
          <w:color w:val="000000" w:themeColor="text1"/>
        </w:rPr>
        <w:t xml:space="preserve">association </w:t>
      </w:r>
      <w:r w:rsidR="00BB33FE" w:rsidRPr="00D07897">
        <w:rPr>
          <w:rFonts w:ascii="Book Antiqua" w:hAnsi="Book Antiqua" w:cs="Arial"/>
          <w:color w:val="000000" w:themeColor="text1"/>
        </w:rPr>
        <w:t>of NST</w:t>
      </w:r>
      <w:r w:rsidR="002D589D" w:rsidRPr="00D07897">
        <w:rPr>
          <w:rFonts w:ascii="Book Antiqua" w:hAnsi="Book Antiqua" w:cs="Arial"/>
          <w:color w:val="000000" w:themeColor="text1"/>
        </w:rPr>
        <w:t>s</w:t>
      </w:r>
      <w:r w:rsidR="00BB33FE" w:rsidRPr="00D07897">
        <w:rPr>
          <w:rFonts w:ascii="Book Antiqua" w:hAnsi="Book Antiqua" w:cs="Arial"/>
          <w:color w:val="000000" w:themeColor="text1"/>
        </w:rPr>
        <w:t xml:space="preserve">/NATs with specific clinical outcomes, the heterogeneity </w:t>
      </w:r>
      <w:r w:rsidR="00977A87" w:rsidRPr="00D07897">
        <w:rPr>
          <w:rFonts w:ascii="Book Antiqua" w:hAnsi="Book Antiqua" w:cs="Arial"/>
          <w:color w:val="000000" w:themeColor="text1"/>
        </w:rPr>
        <w:t>in study design</w:t>
      </w:r>
      <w:r w:rsidR="00C47E8E" w:rsidRPr="00D07897">
        <w:rPr>
          <w:rFonts w:ascii="Book Antiqua" w:hAnsi="Book Antiqua" w:cs="Arial"/>
          <w:color w:val="000000" w:themeColor="text1"/>
        </w:rPr>
        <w:t>,</w:t>
      </w:r>
      <w:r w:rsidR="00BB33FE" w:rsidRPr="00D07897">
        <w:rPr>
          <w:rFonts w:ascii="Book Antiqua" w:hAnsi="Book Antiqua" w:cs="Arial"/>
          <w:color w:val="000000" w:themeColor="text1"/>
        </w:rPr>
        <w:t xml:space="preserve"> lack of data </w:t>
      </w:r>
      <w:r w:rsidR="00977A87" w:rsidRPr="00D07897">
        <w:rPr>
          <w:rFonts w:ascii="Book Antiqua" w:hAnsi="Book Antiqua" w:cs="Arial"/>
          <w:color w:val="000000" w:themeColor="text1"/>
        </w:rPr>
        <w:t>from large cohorts</w:t>
      </w:r>
      <w:r w:rsidR="00C47E8E" w:rsidRPr="00D07897">
        <w:rPr>
          <w:rFonts w:ascii="Book Antiqua" w:hAnsi="Book Antiqua" w:cs="Arial"/>
          <w:color w:val="000000" w:themeColor="text1"/>
        </w:rPr>
        <w:t xml:space="preserve">, and lack of comprehensive validation of existing NSTs, </w:t>
      </w:r>
      <w:r w:rsidR="00BB33FE" w:rsidRPr="00D07897">
        <w:rPr>
          <w:rFonts w:ascii="Book Antiqua" w:hAnsi="Book Antiqua" w:cs="Arial"/>
          <w:color w:val="000000" w:themeColor="text1"/>
        </w:rPr>
        <w:t xml:space="preserve">does not </w:t>
      </w:r>
      <w:r w:rsidR="00977A87" w:rsidRPr="00D07897">
        <w:rPr>
          <w:rFonts w:ascii="Book Antiqua" w:hAnsi="Book Antiqua" w:cs="Arial"/>
          <w:color w:val="000000" w:themeColor="text1"/>
        </w:rPr>
        <w:t xml:space="preserve">translate into </w:t>
      </w:r>
      <w:r w:rsidR="00FA7A8D" w:rsidRPr="00D07897">
        <w:rPr>
          <w:rFonts w:ascii="Book Antiqua" w:hAnsi="Book Antiqua" w:cs="Arial"/>
          <w:color w:val="000000" w:themeColor="text1"/>
        </w:rPr>
        <w:t xml:space="preserve">the </w:t>
      </w:r>
      <w:r w:rsidR="001B381D" w:rsidRPr="00D07897">
        <w:rPr>
          <w:rFonts w:ascii="Book Antiqua" w:hAnsi="Book Antiqua" w:cs="Arial"/>
          <w:color w:val="000000" w:themeColor="text1"/>
        </w:rPr>
        <w:t>recommendation of a</w:t>
      </w:r>
      <w:r w:rsidR="009112A5" w:rsidRPr="00D07897">
        <w:rPr>
          <w:rFonts w:ascii="Book Antiqua" w:hAnsi="Book Antiqua" w:cs="Arial"/>
          <w:color w:val="000000" w:themeColor="text1"/>
        </w:rPr>
        <w:t xml:space="preserve"> single </w:t>
      </w:r>
      <w:r w:rsidR="00BB33FE" w:rsidRPr="00D07897">
        <w:rPr>
          <w:rFonts w:ascii="Book Antiqua" w:hAnsi="Book Antiqua" w:cs="Arial"/>
          <w:color w:val="000000" w:themeColor="text1"/>
        </w:rPr>
        <w:t>optimal NST or NAT</w:t>
      </w:r>
      <w:r w:rsidR="001B381D" w:rsidRPr="00D07897">
        <w:rPr>
          <w:rFonts w:ascii="Book Antiqua" w:hAnsi="Book Antiqua" w:cs="Arial"/>
          <w:color w:val="000000" w:themeColor="text1"/>
        </w:rPr>
        <w:t xml:space="preserve"> at this time.</w:t>
      </w:r>
      <w:r w:rsidR="00BB33FE" w:rsidRPr="00D07897">
        <w:rPr>
          <w:rFonts w:ascii="Book Antiqua" w:hAnsi="Book Antiqua" w:cs="Arial"/>
          <w:color w:val="000000" w:themeColor="text1"/>
        </w:rPr>
        <w:t xml:space="preserve"> </w:t>
      </w:r>
      <w:r w:rsidR="00C41F7E" w:rsidRPr="00D07897">
        <w:rPr>
          <w:rFonts w:ascii="Book Antiqua" w:hAnsi="Book Antiqua" w:cs="Arial"/>
          <w:color w:val="000000" w:themeColor="text1"/>
        </w:rPr>
        <w:t xml:space="preserve">The high prevalence of malnutrition seen across these recent studies reaffirms the ongoing significance </w:t>
      </w:r>
      <w:r w:rsidR="003B4A72" w:rsidRPr="00D07897">
        <w:rPr>
          <w:rFonts w:ascii="Book Antiqua" w:hAnsi="Book Antiqua" w:cs="Arial"/>
          <w:color w:val="000000" w:themeColor="text1"/>
        </w:rPr>
        <w:t xml:space="preserve">of </w:t>
      </w:r>
      <w:r w:rsidR="00C41F7E" w:rsidRPr="00D07897">
        <w:rPr>
          <w:rFonts w:ascii="Book Antiqua" w:hAnsi="Book Antiqua" w:cs="Arial"/>
          <w:color w:val="000000" w:themeColor="text1"/>
        </w:rPr>
        <w:t>malnutrition in the IBD population and the need to utilize appropriate NST/NATs. C</w:t>
      </w:r>
      <w:r w:rsidR="007C7CF8" w:rsidRPr="00D07897">
        <w:rPr>
          <w:rFonts w:ascii="Book Antiqua" w:hAnsi="Book Antiqua" w:cs="Arial"/>
          <w:color w:val="000000" w:themeColor="text1"/>
        </w:rPr>
        <w:t xml:space="preserve">onsistent with guideline recommendations, </w:t>
      </w:r>
      <w:r w:rsidR="006D5C73" w:rsidRPr="00D07897">
        <w:rPr>
          <w:rFonts w:ascii="Book Antiqua" w:hAnsi="Book Antiqua" w:cs="Arial"/>
          <w:color w:val="000000" w:themeColor="text1"/>
        </w:rPr>
        <w:t xml:space="preserve">nutrition screening </w:t>
      </w:r>
      <w:r w:rsidR="007C7CF8" w:rsidRPr="00D07897">
        <w:rPr>
          <w:rFonts w:ascii="Book Antiqua" w:hAnsi="Book Antiqua" w:cs="Arial"/>
          <w:color w:val="000000" w:themeColor="text1"/>
        </w:rPr>
        <w:t xml:space="preserve">should be conducted on every patient with IBD </w:t>
      </w:r>
      <w:r w:rsidR="00705799" w:rsidRPr="00D07897">
        <w:rPr>
          <w:rFonts w:ascii="Book Antiqua" w:hAnsi="Book Antiqua" w:cs="Arial"/>
          <w:color w:val="000000" w:themeColor="text1"/>
        </w:rPr>
        <w:t xml:space="preserve">both </w:t>
      </w:r>
      <w:r w:rsidR="007C7CF8" w:rsidRPr="00D07897">
        <w:rPr>
          <w:rFonts w:ascii="Book Antiqua" w:hAnsi="Book Antiqua" w:cs="Arial"/>
          <w:color w:val="000000" w:themeColor="text1"/>
        </w:rPr>
        <w:t>at diagnosis and at least annually, with more frequent measures as needed</w:t>
      </w:r>
      <w:r w:rsidR="004D384A"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{"citationItems":[{"id":"ITEM-1","itemData":{"DOI":"10.1016/j.clnu.2016.12.027","ISSN":"1532-1983 (Electronic)","PMID":"28131521","abstract":"INTRODUCTION: The ESPEN guideline presents a multidisciplinary focus on clinical  nutrition in inflammatory bowel disease (IBD). METHODOLOGY: The guideline is based on extensive systematic review of the literature, but relies on expert opinion when objective data were lacking or inconclusive. The conclusions and 64 recommendations have been subject to full peer review and a Delphi process in which uniformly positive responses (agree or strongly agree) were required. RESULTS: IBD is increasingly common and potential dietary factors in its aetiology are briefly reviewed. Malnutrition is highly prevalent in IBD - especially in Crohn's disease. Increased energy and protein requirements are observed in some patients. The management of malnutrition in IBD is considered within the general context of support for malnourished patients. Treatment of iron deficiency (parenterally if necessary) is strongly recommended. Routine provision of a special diet in IBD is not however supported. Parenteral nutrition is indicated only when enteral nutrition has failed or is impossible. The recommended perioperative management of patients with IBD undergoing surgery accords with general ESPEN guidance for patients having abdominal surgery. Probiotics may be helpful in UC but not Crohn's disease. Primary therapy using nutrition to treat IBD is not supported in ulcerative colitis, but is moderately well supported in Crohn's disease, especially in children where the adverse consequences of steroid therapy are proportionally greater. However, exclusion diets are generally not recommended and there is little evidence to support any particular formula feed when nutritional regimens are constructed. CONCLUSIONS: Available objective data to guide nutritional support and primary nutritional therapy in IBD are presented as 64 recommendations, of which 9 are very strong recommendations (grade A), 22 are strong recommendations (grade B) and 12 are based only on sparse evidence (grade 0); 21 recommendations are good practice points (GPP).","author":[{"dropping-particle":"","family":"Forbes","given":"Alastair","non-dropping-particle":"","parse-names":false,"suffix":""},{"dropping-particle":"","family":"Escher","given":"Johanna","non-dropping-particle":"","parse-names":false,"suffix":""},{"dropping-particle":"","family":"Hebuterne","given":"Xavier","non-dropping-particle":"","parse-names":false,"suffix":""},{"dropping-particle":"","family":"Klek","given":"Stanislaw","non-dropping-particle":"","parse-names":false,"suffix":""},{"dropping-particle":"","family":"Krznaric","given":"Zeljko","non-dropping-particle":"","parse-names":false,"suffix":""},{"dropping-particle":"","family":"Schneider","given":"Stephane","non-dropping-particle":"","parse-names":false,"suffix":""},{"dropping-particle":"","family":"Shamir","given":"Raanan","non-dropping-particle":"","parse-names":false,"suffix":""},{"dropping-particle":"","family":"Stardelova","given":"Kalina","non-dropping-particle":"","parse-names":false,"suffix":""},{"dropping-particle":"","family":"Wierdsma","given":"Nicolette","non-dropping-particle":"","parse-names":false,"suffix":""},{"dropping-particle":"","family":"Wiskin","given":"Anthony E","non-dropping-particle":"","parse-names":false,"suffix":""},{"dropping-particle":"","family":"Bischoff","given":"Stephan C","non-dropping-particle":"","parse-names":false,"suffix":""}],"container-title":"Clinical nutrition (Edinburgh, Scotland)","id":"ITEM-1","issue":"2","issued":{"date-parts":[["2017","4"]]},"language":"eng","page":"321-347","publisher-place":"England","title":"ESPEN guideline: Clinical nutrition in inflammatory bowel disease.","type":"article-journal","volume":"36"},"uris":["http://www.mendeley.com/documents/?uuid=bc36907a-6792-45b8-a207-4fff9f66eef3"]}],"mendeley":{"formattedCitation":"&lt;sup&gt;[18]&lt;/sup&gt;","plainTextFormattedCitation":"[18]","previouslyFormattedCitation":"&lt;sup&gt;[18]&lt;/sup&gt;"},"properties":{"noteIndex":0},"schema":"https://github.com/citation-style-language/schema/raw/master/csl-citation.json"}</w:instrText>
      </w:r>
      <w:r w:rsidR="004D384A"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[18]</w:t>
      </w:r>
      <w:r w:rsidR="004D384A" w:rsidRPr="00D07897">
        <w:rPr>
          <w:rFonts w:ascii="Book Antiqua" w:hAnsi="Book Antiqua" w:cs="Arial"/>
          <w:color w:val="000000" w:themeColor="text1"/>
        </w:rPr>
        <w:fldChar w:fldCharType="end"/>
      </w:r>
      <w:r w:rsidR="00705799" w:rsidRPr="00D07897">
        <w:rPr>
          <w:rFonts w:ascii="Book Antiqua" w:hAnsi="Book Antiqua" w:cs="Arial"/>
          <w:color w:val="000000" w:themeColor="text1"/>
        </w:rPr>
        <w:t>. R</w:t>
      </w:r>
      <w:r w:rsidR="00C47E8E" w:rsidRPr="00D07897">
        <w:rPr>
          <w:rFonts w:ascii="Book Antiqua" w:hAnsi="Book Antiqua" w:cs="Arial"/>
          <w:color w:val="000000" w:themeColor="text1"/>
        </w:rPr>
        <w:t xml:space="preserve">eferral </w:t>
      </w:r>
      <w:r w:rsidR="00705799" w:rsidRPr="00D07897">
        <w:rPr>
          <w:rFonts w:ascii="Book Antiqua" w:hAnsi="Book Antiqua" w:cs="Arial"/>
          <w:color w:val="000000" w:themeColor="text1"/>
        </w:rPr>
        <w:t xml:space="preserve">should be made </w:t>
      </w:r>
      <w:r w:rsidR="00C47E8E" w:rsidRPr="00D07897">
        <w:rPr>
          <w:rFonts w:ascii="Book Antiqua" w:hAnsi="Book Antiqua" w:cs="Arial"/>
          <w:color w:val="000000" w:themeColor="text1"/>
        </w:rPr>
        <w:t xml:space="preserve">to a </w:t>
      </w:r>
      <w:r w:rsidR="004414D1" w:rsidRPr="00D07897">
        <w:rPr>
          <w:rFonts w:ascii="Book Antiqua" w:hAnsi="Book Antiqua" w:cs="Arial"/>
          <w:color w:val="000000" w:themeColor="text1"/>
        </w:rPr>
        <w:t>RD</w:t>
      </w:r>
      <w:r w:rsidR="00C47E8E" w:rsidRPr="00D07897">
        <w:rPr>
          <w:rFonts w:ascii="Book Antiqua" w:hAnsi="Book Antiqua" w:cs="Arial"/>
          <w:color w:val="000000" w:themeColor="text1"/>
        </w:rPr>
        <w:t xml:space="preserve"> to patients at moderate or high risk of malnutrition for more definitive assessment</w:t>
      </w:r>
      <w:r w:rsidR="007C7CF8" w:rsidRPr="00D07897">
        <w:rPr>
          <w:rFonts w:ascii="Book Antiqua" w:hAnsi="Book Antiqua" w:cs="Arial"/>
          <w:color w:val="000000" w:themeColor="text1"/>
        </w:rPr>
        <w:t>.</w:t>
      </w:r>
      <w:r w:rsidR="00C47E8E" w:rsidRPr="00D07897">
        <w:rPr>
          <w:rFonts w:ascii="Book Antiqua" w:hAnsi="Book Antiqua" w:cs="Arial"/>
          <w:color w:val="000000" w:themeColor="text1"/>
        </w:rPr>
        <w:t xml:space="preserve"> </w:t>
      </w:r>
      <w:r w:rsidR="00B75E3D" w:rsidRPr="00D07897">
        <w:rPr>
          <w:rFonts w:ascii="Book Antiqua" w:hAnsi="Book Antiqua" w:cs="Arial"/>
          <w:color w:val="000000" w:themeColor="text1"/>
        </w:rPr>
        <w:t xml:space="preserve">The strengths and limitations of the tools have been highlighted in this review. Going forward, clinically relevant research areas include larger scale studies evaluating the assessment of alternate </w:t>
      </w:r>
      <w:r w:rsidR="00481830" w:rsidRPr="00D07897">
        <w:rPr>
          <w:rFonts w:ascii="Book Antiqua" w:hAnsi="Book Antiqua" w:cs="Arial"/>
          <w:color w:val="000000" w:themeColor="text1"/>
        </w:rPr>
        <w:t>measures of sarcopenia</w:t>
      </w:r>
      <w:r w:rsidR="00C4334B" w:rsidRPr="00D07897">
        <w:rPr>
          <w:rFonts w:ascii="Book Antiqua" w:hAnsi="Book Antiqua" w:cs="Arial"/>
          <w:color w:val="000000" w:themeColor="text1"/>
        </w:rPr>
        <w:t>,</w:t>
      </w:r>
      <w:r w:rsidR="00B75E3D" w:rsidRPr="00D07897">
        <w:rPr>
          <w:rFonts w:ascii="Book Antiqua" w:hAnsi="Book Antiqua" w:cs="Arial"/>
          <w:color w:val="000000" w:themeColor="text1"/>
        </w:rPr>
        <w:t xml:space="preserve"> the</w:t>
      </w:r>
      <w:r w:rsidR="00977A87" w:rsidRPr="00D07897">
        <w:rPr>
          <w:rFonts w:ascii="Book Antiqua" w:hAnsi="Book Antiqua" w:cs="Arial"/>
          <w:color w:val="000000" w:themeColor="text1"/>
        </w:rPr>
        <w:t xml:space="preserve"> </w:t>
      </w:r>
      <w:r w:rsidR="00965A05" w:rsidRPr="00D07897">
        <w:rPr>
          <w:rFonts w:ascii="Book Antiqua" w:hAnsi="Book Antiqua" w:cs="Arial"/>
          <w:color w:val="000000" w:themeColor="text1"/>
        </w:rPr>
        <w:t>development</w:t>
      </w:r>
      <w:r w:rsidR="00FA7A8D" w:rsidRPr="00D07897">
        <w:rPr>
          <w:rFonts w:ascii="Book Antiqua" w:hAnsi="Book Antiqua" w:cs="Arial"/>
          <w:color w:val="000000" w:themeColor="text1"/>
        </w:rPr>
        <w:t xml:space="preserve"> and validation </w:t>
      </w:r>
      <w:r w:rsidR="00965A05" w:rsidRPr="00D07897">
        <w:rPr>
          <w:rFonts w:ascii="Book Antiqua" w:hAnsi="Book Antiqua" w:cs="Arial"/>
          <w:color w:val="000000" w:themeColor="text1"/>
        </w:rPr>
        <w:t>of novel NST</w:t>
      </w:r>
      <w:r w:rsidR="00977A87" w:rsidRPr="00D07897">
        <w:rPr>
          <w:rFonts w:ascii="Book Antiqua" w:hAnsi="Book Antiqua" w:cs="Arial"/>
          <w:color w:val="000000" w:themeColor="text1"/>
        </w:rPr>
        <w:t>s</w:t>
      </w:r>
      <w:r w:rsidR="00965A05" w:rsidRPr="00D07897">
        <w:rPr>
          <w:rFonts w:ascii="Book Antiqua" w:hAnsi="Book Antiqua" w:cs="Arial"/>
          <w:color w:val="000000" w:themeColor="text1"/>
        </w:rPr>
        <w:t>/NAT</w:t>
      </w:r>
      <w:r w:rsidR="00977A87" w:rsidRPr="00D07897">
        <w:rPr>
          <w:rFonts w:ascii="Book Antiqua" w:hAnsi="Book Antiqua" w:cs="Arial"/>
          <w:color w:val="000000" w:themeColor="text1"/>
        </w:rPr>
        <w:t>s,</w:t>
      </w:r>
      <w:r w:rsidR="00965A05" w:rsidRPr="00D07897">
        <w:rPr>
          <w:rFonts w:ascii="Book Antiqua" w:hAnsi="Book Antiqua" w:cs="Arial"/>
          <w:color w:val="000000" w:themeColor="text1"/>
        </w:rPr>
        <w:t xml:space="preserve"> such as the MIRT</w:t>
      </w:r>
      <w:r w:rsidR="009112A5" w:rsidRPr="00D07897">
        <w:rPr>
          <w:rFonts w:ascii="Book Antiqua" w:hAnsi="Book Antiqua" w:cs="Arial"/>
          <w:color w:val="000000" w:themeColor="text1"/>
        </w:rPr>
        <w:t>/</w:t>
      </w:r>
      <w:proofErr w:type="spellStart"/>
      <w:r w:rsidR="009112A5" w:rsidRPr="00D07897">
        <w:rPr>
          <w:rFonts w:ascii="Book Antiqua" w:hAnsi="Book Antiqua" w:cs="Arial"/>
          <w:color w:val="000000" w:themeColor="text1"/>
        </w:rPr>
        <w:t>SaskIBD</w:t>
      </w:r>
      <w:proofErr w:type="spellEnd"/>
      <w:r w:rsidR="009112A5" w:rsidRPr="00D07897">
        <w:rPr>
          <w:rFonts w:ascii="Book Antiqua" w:hAnsi="Book Antiqua" w:cs="Arial"/>
          <w:color w:val="000000" w:themeColor="text1"/>
        </w:rPr>
        <w:t>-NRT</w:t>
      </w:r>
      <w:r w:rsidR="00C4334B" w:rsidRPr="00D07897">
        <w:rPr>
          <w:rFonts w:ascii="Book Antiqua" w:hAnsi="Book Antiqua" w:cs="Arial"/>
          <w:color w:val="000000" w:themeColor="text1"/>
        </w:rPr>
        <w:t xml:space="preserve"> and </w:t>
      </w:r>
      <w:r w:rsidR="00B75E3D" w:rsidRPr="00D07897">
        <w:rPr>
          <w:rFonts w:ascii="Book Antiqua" w:hAnsi="Book Antiqua" w:cs="Arial"/>
          <w:color w:val="000000" w:themeColor="text1"/>
        </w:rPr>
        <w:t xml:space="preserve">an assessment of </w:t>
      </w:r>
      <w:r w:rsidR="00C4334B" w:rsidRPr="00D07897">
        <w:rPr>
          <w:rFonts w:ascii="Book Antiqua" w:hAnsi="Book Antiqua" w:cs="Arial"/>
          <w:color w:val="000000" w:themeColor="text1"/>
        </w:rPr>
        <w:t>the responsiveness of the tools to measure change with a nutrition intervention</w:t>
      </w:r>
      <w:r w:rsidR="00B75E3D" w:rsidRPr="00D07897">
        <w:rPr>
          <w:rFonts w:ascii="Book Antiqua" w:hAnsi="Book Antiqua" w:cs="Arial"/>
          <w:color w:val="000000" w:themeColor="text1"/>
        </w:rPr>
        <w:t xml:space="preserve">. </w:t>
      </w:r>
      <w:r w:rsidR="0066130D" w:rsidRPr="00D07897">
        <w:rPr>
          <w:rFonts w:ascii="Book Antiqua" w:hAnsi="Book Antiqua" w:cs="Arial"/>
          <w:color w:val="000000" w:themeColor="text1"/>
        </w:rPr>
        <w:t xml:space="preserve">Based on the promising data from these tools, the optimal NST/NAT for the IBD population </w:t>
      </w:r>
      <w:r w:rsidR="00705799" w:rsidRPr="00D07897">
        <w:rPr>
          <w:rFonts w:ascii="Book Antiqua" w:hAnsi="Book Antiqua" w:cs="Arial"/>
          <w:color w:val="000000" w:themeColor="text1"/>
        </w:rPr>
        <w:t xml:space="preserve">is likely to be </w:t>
      </w:r>
      <w:r w:rsidR="0066130D" w:rsidRPr="00D07897">
        <w:rPr>
          <w:rFonts w:ascii="Book Antiqua" w:hAnsi="Book Antiqua" w:cs="Arial"/>
          <w:color w:val="000000" w:themeColor="text1"/>
        </w:rPr>
        <w:t xml:space="preserve">one that takes into account the unique dietary habits and chronic inflammatory nature of </w:t>
      </w:r>
      <w:r w:rsidR="00705799" w:rsidRPr="00D07897">
        <w:rPr>
          <w:rFonts w:ascii="Book Antiqua" w:hAnsi="Book Antiqua" w:cs="Arial"/>
          <w:color w:val="000000" w:themeColor="text1"/>
        </w:rPr>
        <w:t>this population</w:t>
      </w:r>
      <w:r w:rsidR="0066130D" w:rsidRPr="00D07897">
        <w:rPr>
          <w:rFonts w:ascii="Book Antiqua" w:hAnsi="Book Antiqua" w:cs="Arial"/>
          <w:color w:val="000000" w:themeColor="text1"/>
        </w:rPr>
        <w:t>. I</w:t>
      </w:r>
      <w:r w:rsidR="00481830" w:rsidRPr="00D07897">
        <w:rPr>
          <w:rFonts w:ascii="Book Antiqua" w:hAnsi="Book Antiqua" w:cs="Arial"/>
          <w:color w:val="000000" w:themeColor="text1"/>
        </w:rPr>
        <w:t xml:space="preserve">t </w:t>
      </w:r>
      <w:r w:rsidR="00B75E3D" w:rsidRPr="00D07897">
        <w:rPr>
          <w:rFonts w:ascii="Book Antiqua" w:hAnsi="Book Antiqua" w:cs="Arial"/>
          <w:color w:val="000000" w:themeColor="text1"/>
        </w:rPr>
        <w:t>is encouraging to note</w:t>
      </w:r>
      <w:r w:rsidR="00481830" w:rsidRPr="00D07897">
        <w:rPr>
          <w:rFonts w:ascii="Book Antiqua" w:hAnsi="Book Antiqua" w:cs="Arial"/>
          <w:color w:val="000000" w:themeColor="text1"/>
        </w:rPr>
        <w:t xml:space="preserve"> that</w:t>
      </w:r>
      <w:r w:rsidR="00BB33FE" w:rsidRPr="00D07897">
        <w:rPr>
          <w:rFonts w:ascii="Book Antiqua" w:hAnsi="Book Antiqua" w:cs="Arial"/>
          <w:color w:val="000000" w:themeColor="text1"/>
        </w:rPr>
        <w:t xml:space="preserve"> the </w:t>
      </w:r>
      <w:r w:rsidR="00481830" w:rsidRPr="00D07897">
        <w:rPr>
          <w:rFonts w:ascii="Book Antiqua" w:hAnsi="Book Antiqua" w:cs="Arial"/>
          <w:color w:val="000000" w:themeColor="text1"/>
        </w:rPr>
        <w:t xml:space="preserve">majority of articles </w:t>
      </w:r>
      <w:r w:rsidR="00B75E3D" w:rsidRPr="00D07897">
        <w:rPr>
          <w:rFonts w:ascii="Book Antiqua" w:hAnsi="Book Antiqua" w:cs="Arial"/>
          <w:color w:val="000000" w:themeColor="text1"/>
        </w:rPr>
        <w:t xml:space="preserve">included within this review </w:t>
      </w:r>
      <w:r w:rsidR="00481830" w:rsidRPr="00D07897">
        <w:rPr>
          <w:rFonts w:ascii="Book Antiqua" w:hAnsi="Book Antiqua" w:cs="Arial"/>
          <w:color w:val="000000" w:themeColor="text1"/>
        </w:rPr>
        <w:t>have</w:t>
      </w:r>
      <w:r w:rsidR="00BB33FE" w:rsidRPr="00D07897">
        <w:rPr>
          <w:rFonts w:ascii="Book Antiqua" w:hAnsi="Book Antiqua" w:cs="Arial"/>
          <w:color w:val="000000" w:themeColor="text1"/>
        </w:rPr>
        <w:t xml:space="preserve"> been published within the last 2 </w:t>
      </w:r>
      <w:r w:rsidR="00481830" w:rsidRPr="00D07897">
        <w:rPr>
          <w:rFonts w:ascii="Book Antiqua" w:hAnsi="Book Antiqua" w:cs="Arial"/>
          <w:color w:val="000000" w:themeColor="text1"/>
        </w:rPr>
        <w:t>years</w:t>
      </w:r>
      <w:r w:rsidR="00E528E0" w:rsidRPr="00D07897">
        <w:rPr>
          <w:rFonts w:ascii="Book Antiqua" w:hAnsi="Book Antiqua" w:cs="Arial"/>
          <w:color w:val="000000" w:themeColor="text1"/>
        </w:rPr>
        <w:t xml:space="preserve">. </w:t>
      </w:r>
      <w:r w:rsidR="006D5C73" w:rsidRPr="00D07897">
        <w:rPr>
          <w:rFonts w:ascii="Book Antiqua" w:hAnsi="Book Antiqua" w:cs="Arial"/>
          <w:color w:val="000000" w:themeColor="text1"/>
        </w:rPr>
        <w:t>W</w:t>
      </w:r>
      <w:r w:rsidR="00E528E0" w:rsidRPr="00D07897">
        <w:rPr>
          <w:rFonts w:ascii="Book Antiqua" w:hAnsi="Book Antiqua" w:cs="Arial"/>
          <w:color w:val="000000" w:themeColor="text1"/>
        </w:rPr>
        <w:t xml:space="preserve">e </w:t>
      </w:r>
      <w:r w:rsidR="006B2610" w:rsidRPr="00D07897">
        <w:rPr>
          <w:rFonts w:ascii="Book Antiqua" w:hAnsi="Book Antiqua" w:cs="Arial"/>
          <w:color w:val="000000" w:themeColor="text1"/>
        </w:rPr>
        <w:t>anticipate</w:t>
      </w:r>
      <w:r w:rsidR="00E528E0" w:rsidRPr="00D07897">
        <w:rPr>
          <w:rFonts w:ascii="Book Antiqua" w:hAnsi="Book Antiqua" w:cs="Arial"/>
          <w:color w:val="000000" w:themeColor="text1"/>
        </w:rPr>
        <w:t xml:space="preserve"> </w:t>
      </w:r>
      <w:r w:rsidR="006B2610" w:rsidRPr="00D07897">
        <w:rPr>
          <w:rFonts w:ascii="Book Antiqua" w:hAnsi="Book Antiqua" w:cs="Arial"/>
          <w:color w:val="000000" w:themeColor="text1"/>
        </w:rPr>
        <w:t xml:space="preserve">that </w:t>
      </w:r>
      <w:r w:rsidR="00E528E0" w:rsidRPr="00D07897">
        <w:rPr>
          <w:rFonts w:ascii="Book Antiqua" w:hAnsi="Book Antiqua" w:cs="Arial"/>
          <w:color w:val="000000" w:themeColor="text1"/>
        </w:rPr>
        <w:t xml:space="preserve">continued </w:t>
      </w:r>
      <w:r w:rsidR="00977A87" w:rsidRPr="00D07897">
        <w:rPr>
          <w:rFonts w:ascii="Book Antiqua" w:hAnsi="Book Antiqua" w:cs="Arial"/>
          <w:color w:val="000000" w:themeColor="text1"/>
        </w:rPr>
        <w:t xml:space="preserve">activity and interest </w:t>
      </w:r>
      <w:r w:rsidR="00E528E0" w:rsidRPr="00D07897">
        <w:rPr>
          <w:rFonts w:ascii="Book Antiqua" w:hAnsi="Book Antiqua" w:cs="Arial"/>
          <w:color w:val="000000" w:themeColor="text1"/>
        </w:rPr>
        <w:t xml:space="preserve">will </w:t>
      </w:r>
      <w:r w:rsidR="006B2610" w:rsidRPr="00D07897">
        <w:rPr>
          <w:rFonts w:ascii="Book Antiqua" w:hAnsi="Book Antiqua" w:cs="Arial"/>
          <w:color w:val="000000" w:themeColor="text1"/>
        </w:rPr>
        <w:t xml:space="preserve">lead to </w:t>
      </w:r>
      <w:r w:rsidR="004864AD" w:rsidRPr="00D07897">
        <w:rPr>
          <w:rFonts w:ascii="Book Antiqua" w:hAnsi="Book Antiqua" w:cs="Arial"/>
          <w:color w:val="000000" w:themeColor="text1"/>
        </w:rPr>
        <w:t xml:space="preserve">the </w:t>
      </w:r>
      <w:r w:rsidR="00977A87" w:rsidRPr="00D07897">
        <w:rPr>
          <w:rFonts w:ascii="Book Antiqua" w:hAnsi="Book Antiqua" w:cs="Arial"/>
          <w:color w:val="000000" w:themeColor="text1"/>
        </w:rPr>
        <w:t xml:space="preserve">development and validation </w:t>
      </w:r>
      <w:r w:rsidR="004864AD" w:rsidRPr="00D07897">
        <w:rPr>
          <w:rFonts w:ascii="Book Antiqua" w:hAnsi="Book Antiqua" w:cs="Arial"/>
          <w:color w:val="000000" w:themeColor="text1"/>
        </w:rPr>
        <w:t xml:space="preserve">of tools </w:t>
      </w:r>
      <w:r w:rsidR="00E7496C" w:rsidRPr="00D07897">
        <w:rPr>
          <w:rFonts w:ascii="Book Antiqua" w:hAnsi="Book Antiqua" w:cs="Arial"/>
          <w:color w:val="000000" w:themeColor="text1"/>
        </w:rPr>
        <w:t>in concert with clinical care pathways</w:t>
      </w:r>
      <w:r w:rsidR="006D5C73" w:rsidRPr="00D07897">
        <w:rPr>
          <w:rFonts w:ascii="Book Antiqua" w:hAnsi="Book Antiqua" w:cs="Arial"/>
          <w:color w:val="000000" w:themeColor="text1"/>
        </w:rPr>
        <w:t xml:space="preserve">, embedding the important processes of </w:t>
      </w:r>
      <w:r w:rsidR="006B2610" w:rsidRPr="00D07897">
        <w:rPr>
          <w:rFonts w:ascii="Book Antiqua" w:hAnsi="Book Antiqua" w:cs="Arial"/>
          <w:color w:val="000000" w:themeColor="text1"/>
        </w:rPr>
        <w:t xml:space="preserve">nutrition screening and assessment </w:t>
      </w:r>
      <w:r w:rsidR="006D5C73" w:rsidRPr="00D07897">
        <w:rPr>
          <w:rFonts w:ascii="Book Antiqua" w:hAnsi="Book Antiqua" w:cs="Arial"/>
          <w:color w:val="000000" w:themeColor="text1"/>
        </w:rPr>
        <w:t xml:space="preserve">within </w:t>
      </w:r>
      <w:r w:rsidR="00E7496C" w:rsidRPr="00D07897">
        <w:rPr>
          <w:rFonts w:ascii="Book Antiqua" w:hAnsi="Book Antiqua" w:cs="Arial"/>
          <w:color w:val="000000" w:themeColor="text1"/>
        </w:rPr>
        <w:t>routine IBD clinic visits</w:t>
      </w:r>
      <w:r w:rsidR="004864AD" w:rsidRPr="00D07897">
        <w:rPr>
          <w:rFonts w:ascii="Book Antiqua" w:hAnsi="Book Antiqua" w:cs="Arial"/>
          <w:color w:val="000000" w:themeColor="text1"/>
        </w:rPr>
        <w:t>.</w:t>
      </w:r>
      <w:r w:rsidR="00C4334B" w:rsidRPr="00D07897">
        <w:rPr>
          <w:rFonts w:ascii="Book Antiqua" w:hAnsi="Book Antiqua" w:cs="Arial"/>
          <w:color w:val="000000" w:themeColor="text1"/>
        </w:rPr>
        <w:t xml:space="preserve"> </w:t>
      </w:r>
    </w:p>
    <w:p w14:paraId="0E861537" w14:textId="6A2BA699" w:rsidR="008C170A" w:rsidRPr="00D07897" w:rsidRDefault="008C170A" w:rsidP="00F96F15">
      <w:pPr>
        <w:spacing w:line="360" w:lineRule="auto"/>
        <w:jc w:val="both"/>
        <w:rPr>
          <w:rFonts w:ascii="Book Antiqua" w:hAnsi="Book Antiqua" w:cs="Arial"/>
          <w:color w:val="000000" w:themeColor="text1"/>
        </w:rPr>
      </w:pPr>
    </w:p>
    <w:p w14:paraId="35226E33" w14:textId="68E1A15E" w:rsidR="000F3104" w:rsidRPr="00D07897" w:rsidRDefault="003B5CDF" w:rsidP="00F96F15">
      <w:pPr>
        <w:spacing w:line="360" w:lineRule="auto"/>
        <w:jc w:val="both"/>
        <w:rPr>
          <w:rFonts w:ascii="Book Antiqua" w:hAnsi="Book Antiqua" w:cs="Arial"/>
          <w:b/>
          <w:color w:val="000000" w:themeColor="text1"/>
        </w:rPr>
      </w:pPr>
      <w:bookmarkStart w:id="58" w:name="_Hlk5627588"/>
      <w:r w:rsidRPr="00D07897">
        <w:rPr>
          <w:rFonts w:ascii="Book Antiqua" w:hAnsi="Book Antiqua" w:cs="Arial"/>
          <w:b/>
          <w:bCs/>
          <w:color w:val="000000" w:themeColor="text1"/>
        </w:rPr>
        <w:t>ARTICLE HIGHLIGHTS</w:t>
      </w:r>
      <w:r w:rsidRPr="00D07897">
        <w:rPr>
          <w:rFonts w:ascii="Book Antiqua" w:hAnsi="Book Antiqua" w:cs="Arial"/>
          <w:b/>
          <w:bCs/>
          <w:color w:val="000000" w:themeColor="text1"/>
          <w:lang w:eastAsia="zh-CN"/>
        </w:rPr>
        <w:t xml:space="preserve"> </w:t>
      </w:r>
    </w:p>
    <w:p w14:paraId="4BBD7926" w14:textId="17E71E34" w:rsidR="00823AD8" w:rsidRPr="00D07897" w:rsidRDefault="000F3104" w:rsidP="00F96F15">
      <w:pPr>
        <w:spacing w:line="360" w:lineRule="auto"/>
        <w:jc w:val="both"/>
        <w:rPr>
          <w:rFonts w:ascii="Book Antiqua" w:hAnsi="Book Antiqua" w:cs="Arial"/>
          <w:b/>
          <w:bCs/>
          <w:i/>
          <w:iCs/>
          <w:color w:val="000000" w:themeColor="text1"/>
        </w:rPr>
      </w:pPr>
      <w:r w:rsidRPr="00D07897">
        <w:rPr>
          <w:rFonts w:ascii="Book Antiqua" w:hAnsi="Book Antiqua" w:cs="Arial"/>
          <w:b/>
          <w:bCs/>
          <w:i/>
          <w:iCs/>
          <w:color w:val="000000" w:themeColor="text1"/>
        </w:rPr>
        <w:t xml:space="preserve">Research </w:t>
      </w:r>
      <w:r w:rsidR="00A45A0C" w:rsidRPr="00D07897">
        <w:rPr>
          <w:rFonts w:ascii="Book Antiqua" w:hAnsi="Book Antiqua" w:cs="Arial"/>
          <w:b/>
          <w:bCs/>
          <w:i/>
          <w:iCs/>
          <w:color w:val="000000" w:themeColor="text1"/>
        </w:rPr>
        <w:t>background</w:t>
      </w:r>
    </w:p>
    <w:p w14:paraId="1CC12902" w14:textId="3910B372" w:rsidR="00E85BD4" w:rsidRPr="00D07897" w:rsidRDefault="00823AD8"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Malnutrition is highly prevalent in patients with inflammatory bowel disease (IBD)</w:t>
      </w:r>
      <w:proofErr w:type="gramStart"/>
      <w:r w:rsidRPr="00D07897">
        <w:rPr>
          <w:rFonts w:ascii="Book Antiqua" w:hAnsi="Book Antiqua" w:cs="Arial"/>
          <w:color w:val="000000" w:themeColor="text1"/>
        </w:rPr>
        <w:t>,</w:t>
      </w:r>
      <w:proofErr w:type="gramEnd"/>
      <w:r w:rsidRPr="00D07897">
        <w:rPr>
          <w:rFonts w:ascii="Book Antiqua" w:hAnsi="Book Antiqua" w:cs="Arial"/>
          <w:color w:val="000000" w:themeColor="text1"/>
        </w:rPr>
        <w:t xml:space="preserve"> however the optimal nutrition screening tool</w:t>
      </w:r>
      <w:r w:rsidR="0019043C" w:rsidRPr="00D07897">
        <w:rPr>
          <w:rFonts w:ascii="Book Antiqua" w:hAnsi="Book Antiqua" w:cs="Arial"/>
          <w:color w:val="000000" w:themeColor="text1"/>
        </w:rPr>
        <w:t>s</w:t>
      </w:r>
      <w:r w:rsidRPr="00D07897">
        <w:rPr>
          <w:rFonts w:ascii="Book Antiqua" w:hAnsi="Book Antiqua" w:cs="Arial"/>
          <w:color w:val="000000" w:themeColor="text1"/>
        </w:rPr>
        <w:t xml:space="preserve"> (NST) and nutrition assessment tool</w:t>
      </w:r>
      <w:r w:rsidR="0019043C" w:rsidRPr="00D07897">
        <w:rPr>
          <w:rFonts w:ascii="Book Antiqua" w:hAnsi="Book Antiqua" w:cs="Arial"/>
          <w:color w:val="000000" w:themeColor="text1"/>
        </w:rPr>
        <w:t>s</w:t>
      </w:r>
      <w:r w:rsidRPr="00D07897">
        <w:rPr>
          <w:rFonts w:ascii="Book Antiqua" w:hAnsi="Book Antiqua" w:cs="Arial"/>
          <w:color w:val="000000" w:themeColor="text1"/>
        </w:rPr>
        <w:t xml:space="preserve"> (NAT) to detect and diagnosis malnutrition respectively </w:t>
      </w:r>
      <w:r w:rsidR="0019043C" w:rsidRPr="00D07897">
        <w:rPr>
          <w:rFonts w:ascii="Book Antiqua" w:hAnsi="Book Antiqua" w:cs="Arial"/>
          <w:color w:val="000000" w:themeColor="text1"/>
        </w:rPr>
        <w:t>are</w:t>
      </w:r>
      <w:r w:rsidRPr="00D07897">
        <w:rPr>
          <w:rFonts w:ascii="Book Antiqua" w:hAnsi="Book Antiqua" w:cs="Arial"/>
          <w:color w:val="000000" w:themeColor="text1"/>
        </w:rPr>
        <w:t xml:space="preserve"> unclear. </w:t>
      </w:r>
    </w:p>
    <w:p w14:paraId="65BD4921" w14:textId="77777777" w:rsidR="00823AD8" w:rsidRPr="00D07897" w:rsidRDefault="00823AD8" w:rsidP="00F96F15">
      <w:pPr>
        <w:spacing w:line="360" w:lineRule="auto"/>
        <w:jc w:val="both"/>
        <w:rPr>
          <w:rFonts w:ascii="Book Antiqua" w:hAnsi="Book Antiqua" w:cs="Arial"/>
          <w:color w:val="000000" w:themeColor="text1"/>
        </w:rPr>
      </w:pPr>
    </w:p>
    <w:p w14:paraId="25792E02" w14:textId="50BB8650" w:rsidR="00E85BD4" w:rsidRPr="00D07897" w:rsidRDefault="000F3104" w:rsidP="00F96F15">
      <w:pPr>
        <w:spacing w:line="360" w:lineRule="auto"/>
        <w:jc w:val="both"/>
        <w:rPr>
          <w:rFonts w:ascii="Book Antiqua" w:hAnsi="Book Antiqua" w:cs="Arial"/>
          <w:b/>
          <w:bCs/>
          <w:i/>
          <w:iCs/>
          <w:color w:val="000000" w:themeColor="text1"/>
        </w:rPr>
      </w:pPr>
      <w:r w:rsidRPr="00D07897">
        <w:rPr>
          <w:rFonts w:ascii="Book Antiqua" w:hAnsi="Book Antiqua" w:cs="Arial"/>
          <w:b/>
          <w:bCs/>
          <w:i/>
          <w:iCs/>
          <w:color w:val="000000" w:themeColor="text1"/>
        </w:rPr>
        <w:t xml:space="preserve">Research </w:t>
      </w:r>
      <w:r w:rsidR="005751D6" w:rsidRPr="00D07897">
        <w:rPr>
          <w:rFonts w:ascii="Book Antiqua" w:hAnsi="Book Antiqua" w:cs="Arial"/>
          <w:b/>
          <w:bCs/>
          <w:i/>
          <w:iCs/>
          <w:color w:val="000000" w:themeColor="text1"/>
        </w:rPr>
        <w:t>m</w:t>
      </w:r>
      <w:r w:rsidRPr="00D07897">
        <w:rPr>
          <w:rFonts w:ascii="Book Antiqua" w:hAnsi="Book Antiqua" w:cs="Arial"/>
          <w:b/>
          <w:bCs/>
          <w:i/>
          <w:iCs/>
          <w:color w:val="000000" w:themeColor="text1"/>
        </w:rPr>
        <w:t>otivation</w:t>
      </w:r>
    </w:p>
    <w:p w14:paraId="2CE99F72" w14:textId="164C466F" w:rsidR="00823AD8" w:rsidRPr="00D07897" w:rsidRDefault="00823AD8"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Given the negative clinical and economic impacts of malnutrition in IBD, identification of a simple, accurate and efficient </w:t>
      </w:r>
      <w:r w:rsidR="0019043C" w:rsidRPr="00D07897">
        <w:rPr>
          <w:rFonts w:ascii="Book Antiqua" w:hAnsi="Book Antiqua" w:cs="Arial"/>
          <w:color w:val="000000" w:themeColor="text1"/>
        </w:rPr>
        <w:t>process for</w:t>
      </w:r>
      <w:r w:rsidRPr="00D07897">
        <w:rPr>
          <w:rFonts w:ascii="Book Antiqua" w:hAnsi="Book Antiqua" w:cs="Arial"/>
          <w:color w:val="000000" w:themeColor="text1"/>
        </w:rPr>
        <w:t xml:space="preserve"> identifying malnutrition may allow for </w:t>
      </w:r>
      <w:r w:rsidR="0097178A" w:rsidRPr="00D07897">
        <w:rPr>
          <w:rFonts w:ascii="Book Antiqua" w:hAnsi="Book Antiqua" w:cs="Arial"/>
          <w:color w:val="000000" w:themeColor="text1"/>
        </w:rPr>
        <w:t xml:space="preserve">increased recognition and earlier nutritional intervention. </w:t>
      </w:r>
    </w:p>
    <w:p w14:paraId="5AF7EC5F" w14:textId="77777777" w:rsidR="00823AD8" w:rsidRPr="00D07897" w:rsidRDefault="00823AD8" w:rsidP="00F96F15">
      <w:pPr>
        <w:spacing w:line="360" w:lineRule="auto"/>
        <w:jc w:val="both"/>
        <w:rPr>
          <w:rFonts w:ascii="Book Antiqua" w:hAnsi="Book Antiqua" w:cs="Arial"/>
          <w:color w:val="000000" w:themeColor="text1"/>
        </w:rPr>
      </w:pPr>
    </w:p>
    <w:p w14:paraId="3D595D2E" w14:textId="4CFBC50E" w:rsidR="0097178A" w:rsidRPr="00D07897" w:rsidRDefault="000F3104" w:rsidP="00F96F15">
      <w:pPr>
        <w:spacing w:line="360" w:lineRule="auto"/>
        <w:jc w:val="both"/>
        <w:rPr>
          <w:rFonts w:ascii="Book Antiqua" w:hAnsi="Book Antiqua" w:cs="Arial"/>
          <w:b/>
          <w:bCs/>
          <w:i/>
          <w:iCs/>
          <w:color w:val="000000" w:themeColor="text1"/>
        </w:rPr>
      </w:pPr>
      <w:r w:rsidRPr="00D07897">
        <w:rPr>
          <w:rFonts w:ascii="Book Antiqua" w:hAnsi="Book Antiqua" w:cs="Arial"/>
          <w:b/>
          <w:bCs/>
          <w:i/>
          <w:iCs/>
          <w:color w:val="000000" w:themeColor="text1"/>
        </w:rPr>
        <w:t xml:space="preserve">Research </w:t>
      </w:r>
      <w:r w:rsidR="005751D6" w:rsidRPr="00D07897">
        <w:rPr>
          <w:rFonts w:ascii="Book Antiqua" w:hAnsi="Book Antiqua" w:cs="Arial"/>
          <w:b/>
          <w:bCs/>
          <w:i/>
          <w:iCs/>
          <w:color w:val="000000" w:themeColor="text1"/>
        </w:rPr>
        <w:t>o</w:t>
      </w:r>
      <w:r w:rsidRPr="00D07897">
        <w:rPr>
          <w:rFonts w:ascii="Book Antiqua" w:hAnsi="Book Antiqua" w:cs="Arial"/>
          <w:b/>
          <w:bCs/>
          <w:i/>
          <w:iCs/>
          <w:color w:val="000000" w:themeColor="text1"/>
        </w:rPr>
        <w:t>bjectives</w:t>
      </w:r>
    </w:p>
    <w:p w14:paraId="67383F30" w14:textId="0736CF1E" w:rsidR="0097178A" w:rsidRPr="00D07897" w:rsidRDefault="0097178A"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To systematically review the prevalence of malnutrition in patients with </w:t>
      </w:r>
      <w:r w:rsidR="0019043C" w:rsidRPr="00D07897">
        <w:rPr>
          <w:rFonts w:ascii="Book Antiqua" w:hAnsi="Book Antiqua" w:cs="Arial"/>
          <w:color w:val="000000" w:themeColor="text1"/>
        </w:rPr>
        <w:t>IBD</w:t>
      </w:r>
      <w:r w:rsidRPr="00D07897">
        <w:rPr>
          <w:rFonts w:ascii="Book Antiqua" w:hAnsi="Book Antiqua" w:cs="Arial"/>
          <w:color w:val="000000" w:themeColor="text1"/>
        </w:rPr>
        <w:t xml:space="preserve">, whether available NSTs correlate with NATs, and whether NSTs and NATs are predictive of clinical outcomes. </w:t>
      </w:r>
    </w:p>
    <w:p w14:paraId="1660C718" w14:textId="77777777" w:rsidR="00E85BD4" w:rsidRPr="00D07897" w:rsidRDefault="00E85BD4" w:rsidP="00F96F15">
      <w:pPr>
        <w:spacing w:line="360" w:lineRule="auto"/>
        <w:jc w:val="both"/>
        <w:rPr>
          <w:rFonts w:ascii="Book Antiqua" w:hAnsi="Book Antiqua" w:cs="Arial"/>
          <w:color w:val="000000" w:themeColor="text1"/>
        </w:rPr>
      </w:pPr>
    </w:p>
    <w:p w14:paraId="33F3BD36" w14:textId="2980D2DB" w:rsidR="0097178A" w:rsidRPr="00D07897" w:rsidRDefault="000F3104" w:rsidP="00F96F15">
      <w:pPr>
        <w:spacing w:line="360" w:lineRule="auto"/>
        <w:jc w:val="both"/>
        <w:rPr>
          <w:rFonts w:ascii="Book Antiqua" w:hAnsi="Book Antiqua" w:cs="Arial"/>
          <w:b/>
          <w:bCs/>
          <w:i/>
          <w:iCs/>
          <w:color w:val="000000" w:themeColor="text1"/>
        </w:rPr>
      </w:pPr>
      <w:r w:rsidRPr="00D07897">
        <w:rPr>
          <w:rFonts w:ascii="Book Antiqua" w:hAnsi="Book Antiqua" w:cs="Arial"/>
          <w:b/>
          <w:bCs/>
          <w:i/>
          <w:iCs/>
          <w:color w:val="000000" w:themeColor="text1"/>
        </w:rPr>
        <w:t xml:space="preserve">Research </w:t>
      </w:r>
      <w:r w:rsidR="005751D6" w:rsidRPr="00D07897">
        <w:rPr>
          <w:rFonts w:ascii="Book Antiqua" w:hAnsi="Book Antiqua" w:cs="Arial"/>
          <w:b/>
          <w:bCs/>
          <w:i/>
          <w:iCs/>
          <w:color w:val="000000" w:themeColor="text1"/>
        </w:rPr>
        <w:t>m</w:t>
      </w:r>
      <w:r w:rsidRPr="00D07897">
        <w:rPr>
          <w:rFonts w:ascii="Book Antiqua" w:hAnsi="Book Antiqua" w:cs="Arial"/>
          <w:b/>
          <w:bCs/>
          <w:i/>
          <w:iCs/>
          <w:color w:val="000000" w:themeColor="text1"/>
        </w:rPr>
        <w:t>ethods</w:t>
      </w:r>
    </w:p>
    <w:p w14:paraId="4A54AF9C" w14:textId="4854C3EC" w:rsidR="0097178A" w:rsidRPr="00D07897" w:rsidRDefault="0097178A"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Pub</w:t>
      </w:r>
      <w:r w:rsidR="005751D6" w:rsidRPr="00D07897">
        <w:rPr>
          <w:rFonts w:ascii="Book Antiqua" w:hAnsi="Book Antiqua" w:cs="Arial"/>
          <w:color w:val="000000" w:themeColor="text1"/>
        </w:rPr>
        <w:t>Med</w:t>
      </w:r>
      <w:r w:rsidR="009E4DA4" w:rsidRPr="00D07897">
        <w:rPr>
          <w:rFonts w:ascii="Book Antiqua" w:hAnsi="Book Antiqua" w:cs="Arial"/>
          <w:color w:val="000000" w:themeColor="text1"/>
        </w:rPr>
        <w:t xml:space="preserve"> and MEDLINE databases were </w:t>
      </w:r>
      <w:r w:rsidR="00E576FE" w:rsidRPr="00D07897">
        <w:rPr>
          <w:rFonts w:ascii="Book Antiqua" w:hAnsi="Book Antiqua" w:cs="Arial"/>
          <w:color w:val="000000" w:themeColor="text1"/>
        </w:rPr>
        <w:t>systematically searched</w:t>
      </w:r>
      <w:r w:rsidR="0008443D" w:rsidRPr="00D07897">
        <w:rPr>
          <w:rFonts w:ascii="Book Antiqua" w:hAnsi="Book Antiqua" w:cs="Arial"/>
          <w:color w:val="000000" w:themeColor="text1"/>
        </w:rPr>
        <w:t xml:space="preserve"> utilizing a comprehensive search strategy. Articles </w:t>
      </w:r>
      <w:r w:rsidR="00E576FE" w:rsidRPr="00D07897">
        <w:rPr>
          <w:rFonts w:ascii="Book Antiqua" w:hAnsi="Book Antiqua" w:cs="Arial"/>
          <w:color w:val="000000" w:themeColor="text1"/>
        </w:rPr>
        <w:t xml:space="preserve">were reviewed and extracted by two independent reviewers against inclusion/exclusion criteria. Included articles underwent quality assessment review utilizing the modified Newcastle Ottawa Scale as well as data extraction, synthesis and review by the authors and </w:t>
      </w:r>
      <w:r w:rsidR="005F571D" w:rsidRPr="00D07897">
        <w:rPr>
          <w:rFonts w:ascii="Book Antiqua" w:hAnsi="Book Antiqua" w:cs="Arial"/>
          <w:color w:val="000000" w:themeColor="text1"/>
        </w:rPr>
        <w:t xml:space="preserve">a </w:t>
      </w:r>
      <w:r w:rsidR="00E576FE" w:rsidRPr="00D07897">
        <w:rPr>
          <w:rFonts w:ascii="Book Antiqua" w:hAnsi="Book Antiqua" w:cs="Arial"/>
          <w:color w:val="000000" w:themeColor="text1"/>
        </w:rPr>
        <w:t xml:space="preserve">biostatistician. </w:t>
      </w:r>
    </w:p>
    <w:p w14:paraId="5A881B51" w14:textId="77777777" w:rsidR="00E85BD4" w:rsidRPr="00D07897" w:rsidRDefault="00E85BD4" w:rsidP="00F96F15">
      <w:pPr>
        <w:spacing w:line="360" w:lineRule="auto"/>
        <w:jc w:val="both"/>
        <w:rPr>
          <w:rFonts w:ascii="Book Antiqua" w:hAnsi="Book Antiqua" w:cs="Arial"/>
          <w:color w:val="000000" w:themeColor="text1"/>
        </w:rPr>
      </w:pPr>
    </w:p>
    <w:p w14:paraId="5F14D7E8" w14:textId="73FB2BB4" w:rsidR="00E85BD4" w:rsidRPr="00D07897" w:rsidRDefault="000F3104" w:rsidP="00F96F15">
      <w:pPr>
        <w:spacing w:line="360" w:lineRule="auto"/>
        <w:jc w:val="both"/>
        <w:rPr>
          <w:rFonts w:ascii="Book Antiqua" w:hAnsi="Book Antiqua" w:cs="Arial"/>
          <w:b/>
          <w:bCs/>
          <w:i/>
          <w:iCs/>
          <w:color w:val="000000" w:themeColor="text1"/>
        </w:rPr>
      </w:pPr>
      <w:r w:rsidRPr="00D07897">
        <w:rPr>
          <w:rFonts w:ascii="Book Antiqua" w:hAnsi="Book Antiqua" w:cs="Arial"/>
          <w:b/>
          <w:bCs/>
          <w:i/>
          <w:iCs/>
          <w:color w:val="000000" w:themeColor="text1"/>
        </w:rPr>
        <w:t xml:space="preserve">Research </w:t>
      </w:r>
      <w:r w:rsidR="005751D6" w:rsidRPr="00D07897">
        <w:rPr>
          <w:rFonts w:ascii="Book Antiqua" w:hAnsi="Book Antiqua" w:cs="Arial"/>
          <w:b/>
          <w:bCs/>
          <w:i/>
          <w:iCs/>
          <w:color w:val="000000" w:themeColor="text1"/>
        </w:rPr>
        <w:t>r</w:t>
      </w:r>
      <w:r w:rsidRPr="00D07897">
        <w:rPr>
          <w:rFonts w:ascii="Book Antiqua" w:hAnsi="Book Antiqua" w:cs="Arial"/>
          <w:b/>
          <w:bCs/>
          <w:i/>
          <w:iCs/>
          <w:color w:val="000000" w:themeColor="text1"/>
        </w:rPr>
        <w:t>esults</w:t>
      </w:r>
    </w:p>
    <w:p w14:paraId="635EE9A3" w14:textId="0AC2F9E9" w:rsidR="00BB0A36" w:rsidRPr="00D07897" w:rsidRDefault="00BB0A36"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lastRenderedPageBreak/>
        <w:t xml:space="preserve">A total of </w:t>
      </w:r>
      <w:r w:rsidR="00F12CB3" w:rsidRPr="00D07897">
        <w:rPr>
          <w:rFonts w:ascii="Book Antiqua" w:hAnsi="Book Antiqua" w:cs="Arial"/>
          <w:color w:val="000000" w:themeColor="text1"/>
        </w:rPr>
        <w:t xml:space="preserve">1791 studies were identified from the initial search, 16 of which met all inclusion criteria and were included for qualitative synthesis. </w:t>
      </w:r>
      <w:r w:rsidR="00F47D22" w:rsidRPr="00D07897">
        <w:rPr>
          <w:rFonts w:ascii="Book Antiqua" w:hAnsi="Book Antiqua" w:cs="Arial"/>
          <w:color w:val="000000" w:themeColor="text1"/>
        </w:rPr>
        <w:t>Prevalence of patients at high risk of malnutrition amongst inpatient and outpatient IBD patients as assessed by NSTs ranged from 28</w:t>
      </w:r>
      <w:r w:rsidR="005751D6" w:rsidRPr="00D07897">
        <w:rPr>
          <w:rFonts w:ascii="等线" w:eastAsia="等线" w:hAnsi="等线" w:cs="Arial" w:hint="eastAsia"/>
          <w:color w:val="000000" w:themeColor="text1"/>
          <w:lang w:eastAsia="zh-CN"/>
        </w:rPr>
        <w:t>%</w:t>
      </w:r>
      <w:r w:rsidR="00F47D22" w:rsidRPr="00D07897">
        <w:rPr>
          <w:rFonts w:ascii="Book Antiqua" w:hAnsi="Book Antiqua" w:cs="Arial"/>
          <w:color w:val="000000" w:themeColor="text1"/>
        </w:rPr>
        <w:t xml:space="preserve">-67%. </w:t>
      </w:r>
      <w:r w:rsidR="00E1489A" w:rsidRPr="00D07897">
        <w:rPr>
          <w:rFonts w:ascii="Book Antiqua" w:hAnsi="Book Antiqua" w:cs="Arial"/>
          <w:color w:val="000000" w:themeColor="text1"/>
        </w:rPr>
        <w:t xml:space="preserve">Sarcopenia was </w:t>
      </w:r>
      <w:r w:rsidR="005F571D" w:rsidRPr="00D07897">
        <w:rPr>
          <w:rFonts w:ascii="Book Antiqua" w:hAnsi="Book Antiqua" w:cs="Arial"/>
          <w:color w:val="000000" w:themeColor="text1"/>
        </w:rPr>
        <w:t>identified</w:t>
      </w:r>
      <w:r w:rsidR="00E1489A" w:rsidRPr="00D07897">
        <w:rPr>
          <w:rFonts w:ascii="Book Antiqua" w:hAnsi="Book Antiqua" w:cs="Arial"/>
          <w:color w:val="000000" w:themeColor="text1"/>
        </w:rPr>
        <w:t xml:space="preserve"> in 39.5% of IBD patients. The </w:t>
      </w:r>
      <w:r w:rsidR="005751D6" w:rsidRPr="00D07897">
        <w:rPr>
          <w:rFonts w:ascii="Book Antiqua" w:hAnsi="Book Antiqua" w:cs="Arial"/>
          <w:color w:val="000000" w:themeColor="text1"/>
        </w:rPr>
        <w:t>malnutrition universal screening tool (</w:t>
      </w:r>
      <w:r w:rsidR="00E1489A" w:rsidRPr="00D07897">
        <w:rPr>
          <w:rFonts w:ascii="Book Antiqua" w:hAnsi="Book Antiqua" w:cs="Arial"/>
          <w:color w:val="000000" w:themeColor="text1"/>
        </w:rPr>
        <w:t>MUST</w:t>
      </w:r>
      <w:r w:rsidR="005751D6" w:rsidRPr="00D07897">
        <w:rPr>
          <w:rFonts w:ascii="Book Antiqua" w:hAnsi="Book Antiqua" w:cs="Arial"/>
          <w:color w:val="000000" w:themeColor="text1"/>
        </w:rPr>
        <w:t>)</w:t>
      </w:r>
      <w:r w:rsidR="00E1489A" w:rsidRPr="00D07897">
        <w:rPr>
          <w:rFonts w:ascii="Book Antiqua" w:hAnsi="Book Antiqua" w:cs="Arial"/>
          <w:color w:val="000000" w:themeColor="text1"/>
        </w:rPr>
        <w:t xml:space="preserve">, </w:t>
      </w:r>
      <w:r w:rsidR="005751D6" w:rsidRPr="00D07897">
        <w:rPr>
          <w:rFonts w:ascii="Book Antiqua" w:hAnsi="Book Antiqua" w:cs="Arial"/>
          <w:color w:val="000000" w:themeColor="text1"/>
        </w:rPr>
        <w:t>Nutrition Risk Screening 2002 (</w:t>
      </w:r>
      <w:r w:rsidR="00E1489A" w:rsidRPr="00D07897">
        <w:rPr>
          <w:rFonts w:ascii="Book Antiqua" w:hAnsi="Book Antiqua" w:cs="Arial"/>
          <w:color w:val="000000" w:themeColor="text1"/>
        </w:rPr>
        <w:t>NRS-2002</w:t>
      </w:r>
      <w:r w:rsidR="005751D6" w:rsidRPr="00D07897">
        <w:rPr>
          <w:rFonts w:ascii="Book Antiqua" w:hAnsi="Book Antiqua" w:cs="Arial"/>
          <w:color w:val="000000" w:themeColor="text1"/>
        </w:rPr>
        <w:t>)</w:t>
      </w:r>
      <w:r w:rsidR="00E1489A" w:rsidRPr="00D07897">
        <w:rPr>
          <w:rFonts w:ascii="Book Antiqua" w:hAnsi="Book Antiqua" w:cs="Arial"/>
          <w:color w:val="000000" w:themeColor="text1"/>
        </w:rPr>
        <w:t xml:space="preserve">, </w:t>
      </w:r>
      <w:r w:rsidR="005751D6" w:rsidRPr="00D07897">
        <w:rPr>
          <w:rFonts w:ascii="Book Antiqua" w:hAnsi="Book Antiqua" w:cs="Arial"/>
          <w:color w:val="000000" w:themeColor="text1"/>
        </w:rPr>
        <w:t>Malnutrition Inflammation Risk Tool (</w:t>
      </w:r>
      <w:r w:rsidR="00E1489A" w:rsidRPr="00D07897">
        <w:rPr>
          <w:rFonts w:ascii="Book Antiqua" w:hAnsi="Book Antiqua" w:cs="Arial"/>
          <w:color w:val="000000" w:themeColor="text1"/>
        </w:rPr>
        <w:t>MIRT</w:t>
      </w:r>
      <w:r w:rsidR="005751D6" w:rsidRPr="00D07897">
        <w:rPr>
          <w:rFonts w:ascii="Book Antiqua" w:hAnsi="Book Antiqua" w:cs="Arial"/>
          <w:color w:val="000000" w:themeColor="text1"/>
        </w:rPr>
        <w:t>)</w:t>
      </w:r>
      <w:r w:rsidR="00E1489A" w:rsidRPr="00D07897">
        <w:rPr>
          <w:rFonts w:ascii="Book Antiqua" w:hAnsi="Book Antiqua" w:cs="Arial"/>
          <w:color w:val="000000" w:themeColor="text1"/>
        </w:rPr>
        <w:t xml:space="preserve"> and </w:t>
      </w:r>
      <w:r w:rsidR="005751D6" w:rsidRPr="00D07897">
        <w:rPr>
          <w:rFonts w:ascii="Book Antiqua" w:hAnsi="Book Antiqua" w:cs="Arial"/>
          <w:color w:val="000000" w:themeColor="text1"/>
        </w:rPr>
        <w:t>Saskatchewan Inflammatory Bowel Disease Nutrition Risk Tool (</w:t>
      </w:r>
      <w:proofErr w:type="spellStart"/>
      <w:r w:rsidR="00E1489A" w:rsidRPr="00D07897">
        <w:rPr>
          <w:rFonts w:ascii="Book Antiqua" w:hAnsi="Book Antiqua" w:cs="Arial"/>
          <w:color w:val="000000" w:themeColor="text1"/>
        </w:rPr>
        <w:t>SaskIBD</w:t>
      </w:r>
      <w:proofErr w:type="spellEnd"/>
      <w:r w:rsidR="00E1489A" w:rsidRPr="00D07897">
        <w:rPr>
          <w:rFonts w:ascii="Book Antiqua" w:hAnsi="Book Antiqua" w:cs="Arial"/>
          <w:color w:val="000000" w:themeColor="text1"/>
        </w:rPr>
        <w:t>-NRT</w:t>
      </w:r>
      <w:r w:rsidR="005751D6" w:rsidRPr="00D07897">
        <w:rPr>
          <w:rFonts w:ascii="Book Antiqua" w:hAnsi="Book Antiqua" w:cs="Arial"/>
          <w:color w:val="000000" w:themeColor="text1"/>
        </w:rPr>
        <w:t>)</w:t>
      </w:r>
      <w:r w:rsidR="00E1489A" w:rsidRPr="00D07897">
        <w:rPr>
          <w:rFonts w:ascii="Book Antiqua" w:hAnsi="Book Antiqua" w:cs="Arial"/>
          <w:color w:val="000000" w:themeColor="text1"/>
        </w:rPr>
        <w:t xml:space="preserve"> all showed significant associations with various NAT measures. Of NSTs, the MIRT, NRS-2002 and NRI demonstrated significance in predicting clinical outcomes of </w:t>
      </w:r>
      <w:r w:rsidR="005F571D" w:rsidRPr="00D07897">
        <w:rPr>
          <w:rFonts w:ascii="Book Antiqua" w:hAnsi="Book Antiqua" w:cs="Arial"/>
          <w:color w:val="000000" w:themeColor="text1"/>
        </w:rPr>
        <w:t>relevant</w:t>
      </w:r>
      <w:r w:rsidR="00E1489A" w:rsidRPr="00D07897">
        <w:rPr>
          <w:rFonts w:ascii="Book Antiqua" w:hAnsi="Book Antiqua" w:cs="Arial"/>
          <w:color w:val="000000" w:themeColor="text1"/>
        </w:rPr>
        <w:t xml:space="preserve"> clinical outcomes. Presence of sarcopenia was significantly associated with various clinical and post-operative outcomes. The </w:t>
      </w:r>
      <w:r w:rsidR="005751D6" w:rsidRPr="00D07897">
        <w:rPr>
          <w:rFonts w:ascii="Book Antiqua" w:hAnsi="Book Antiqua" w:cs="Arial"/>
          <w:color w:val="000000" w:themeColor="text1"/>
        </w:rPr>
        <w:t>Subjective Global Assessment</w:t>
      </w:r>
      <w:r w:rsidR="00E1489A" w:rsidRPr="00D07897">
        <w:rPr>
          <w:rFonts w:ascii="Book Antiqua" w:hAnsi="Book Antiqua" w:cs="Arial"/>
          <w:color w:val="000000" w:themeColor="text1"/>
        </w:rPr>
        <w:t xml:space="preserve"> was not </w:t>
      </w:r>
      <w:r w:rsidR="005F571D" w:rsidRPr="00D07897">
        <w:rPr>
          <w:rFonts w:ascii="Book Antiqua" w:hAnsi="Book Antiqua" w:cs="Arial"/>
          <w:color w:val="000000" w:themeColor="text1"/>
        </w:rPr>
        <w:t>consistent in its</w:t>
      </w:r>
      <w:r w:rsidR="00E1489A" w:rsidRPr="00D07897">
        <w:rPr>
          <w:rFonts w:ascii="Book Antiqua" w:hAnsi="Book Antiqua" w:cs="Arial"/>
          <w:color w:val="000000" w:themeColor="text1"/>
        </w:rPr>
        <w:t xml:space="preserve"> </w:t>
      </w:r>
      <w:r w:rsidR="005F571D" w:rsidRPr="00D07897">
        <w:rPr>
          <w:rFonts w:ascii="Book Antiqua" w:hAnsi="Book Antiqua" w:cs="Arial"/>
          <w:color w:val="000000" w:themeColor="text1"/>
        </w:rPr>
        <w:t>association with</w:t>
      </w:r>
      <w:r w:rsidR="00E1489A" w:rsidRPr="00D07897">
        <w:rPr>
          <w:rFonts w:ascii="Book Antiqua" w:hAnsi="Book Antiqua" w:cs="Arial"/>
          <w:color w:val="000000" w:themeColor="text1"/>
        </w:rPr>
        <w:t xml:space="preserve"> clinical outcomes. </w:t>
      </w:r>
    </w:p>
    <w:p w14:paraId="115BD3B4" w14:textId="77777777" w:rsidR="0097178A" w:rsidRPr="00D07897" w:rsidRDefault="0097178A" w:rsidP="00F96F15">
      <w:pPr>
        <w:spacing w:line="360" w:lineRule="auto"/>
        <w:jc w:val="both"/>
        <w:rPr>
          <w:rFonts w:ascii="Book Antiqua" w:hAnsi="Book Antiqua" w:cs="Arial"/>
          <w:color w:val="000000" w:themeColor="text1"/>
        </w:rPr>
      </w:pPr>
    </w:p>
    <w:p w14:paraId="6DC90CBB" w14:textId="7FBC242E" w:rsidR="00E1489A" w:rsidRPr="00D07897" w:rsidRDefault="000F3104" w:rsidP="00F96F15">
      <w:pPr>
        <w:spacing w:line="360" w:lineRule="auto"/>
        <w:jc w:val="both"/>
        <w:rPr>
          <w:rFonts w:ascii="Book Antiqua" w:hAnsi="Book Antiqua" w:cs="Arial"/>
          <w:b/>
          <w:bCs/>
          <w:i/>
          <w:iCs/>
          <w:color w:val="000000" w:themeColor="text1"/>
        </w:rPr>
      </w:pPr>
      <w:r w:rsidRPr="00D07897">
        <w:rPr>
          <w:rFonts w:ascii="Book Antiqua" w:hAnsi="Book Antiqua" w:cs="Arial"/>
          <w:b/>
          <w:bCs/>
          <w:i/>
          <w:iCs/>
          <w:color w:val="000000" w:themeColor="text1"/>
        </w:rPr>
        <w:t xml:space="preserve">Research </w:t>
      </w:r>
      <w:r w:rsidR="005751D6" w:rsidRPr="00D07897">
        <w:rPr>
          <w:rFonts w:ascii="Book Antiqua" w:hAnsi="Book Antiqua" w:cs="Arial"/>
          <w:b/>
          <w:bCs/>
          <w:i/>
          <w:iCs/>
          <w:color w:val="000000" w:themeColor="text1"/>
        </w:rPr>
        <w:t>c</w:t>
      </w:r>
      <w:r w:rsidRPr="00D07897">
        <w:rPr>
          <w:rFonts w:ascii="Book Antiqua" w:hAnsi="Book Antiqua" w:cs="Arial"/>
          <w:b/>
          <w:bCs/>
          <w:i/>
          <w:iCs/>
          <w:color w:val="000000" w:themeColor="text1"/>
        </w:rPr>
        <w:t>onclusions</w:t>
      </w:r>
    </w:p>
    <w:p w14:paraId="2185CDA4" w14:textId="33A4B2C9" w:rsidR="00E1489A" w:rsidRPr="00D07897" w:rsidRDefault="0008443D"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Malnutrition</w:t>
      </w:r>
      <w:r w:rsidR="002704BB" w:rsidRPr="00D07897">
        <w:rPr>
          <w:rFonts w:ascii="Book Antiqua" w:hAnsi="Book Antiqua" w:cs="Arial"/>
          <w:color w:val="000000" w:themeColor="text1"/>
        </w:rPr>
        <w:t xml:space="preserve"> and sarcopenia</w:t>
      </w:r>
      <w:r w:rsidRPr="00D07897">
        <w:rPr>
          <w:rFonts w:ascii="Book Antiqua" w:hAnsi="Book Antiqua" w:cs="Arial"/>
          <w:color w:val="000000" w:themeColor="text1"/>
        </w:rPr>
        <w:t xml:space="preserve"> remain highly prevalent in the IBD population as assessed by currently available NSTs and NATs. No single optimal NST or NAT can be recommended based </w:t>
      </w:r>
      <w:r w:rsidR="002704BB" w:rsidRPr="00D07897">
        <w:rPr>
          <w:rFonts w:ascii="Book Antiqua" w:hAnsi="Book Antiqua" w:cs="Arial"/>
          <w:color w:val="000000" w:themeColor="text1"/>
        </w:rPr>
        <w:t xml:space="preserve">on our review at this time. </w:t>
      </w:r>
      <w:r w:rsidR="00040CD9" w:rsidRPr="00D07897">
        <w:rPr>
          <w:rFonts w:ascii="Book Antiqua" w:hAnsi="Book Antiqua" w:cs="Arial"/>
          <w:color w:val="000000" w:themeColor="text1"/>
        </w:rPr>
        <w:t>Based on current evidence, p</w:t>
      </w:r>
      <w:r w:rsidR="002704BB" w:rsidRPr="00D07897">
        <w:rPr>
          <w:rFonts w:ascii="Book Antiqua" w:hAnsi="Book Antiqua" w:cs="Arial"/>
          <w:color w:val="000000" w:themeColor="text1"/>
        </w:rPr>
        <w:t xml:space="preserve">reviously available NSTs including the NRS-2002 and MUST, as well as novel IBD-specific NSTs (MIRT, </w:t>
      </w:r>
      <w:proofErr w:type="spellStart"/>
      <w:r w:rsidR="002704BB" w:rsidRPr="00D07897">
        <w:rPr>
          <w:rFonts w:ascii="Book Antiqua" w:hAnsi="Book Antiqua" w:cs="Arial"/>
          <w:color w:val="000000" w:themeColor="text1"/>
        </w:rPr>
        <w:t>SaskIBD</w:t>
      </w:r>
      <w:proofErr w:type="spellEnd"/>
      <w:r w:rsidR="002704BB" w:rsidRPr="00D07897">
        <w:rPr>
          <w:rFonts w:ascii="Book Antiqua" w:hAnsi="Book Antiqua" w:cs="Arial"/>
          <w:color w:val="000000" w:themeColor="text1"/>
        </w:rPr>
        <w:t xml:space="preserve">-NRT) are the most useful </w:t>
      </w:r>
      <w:r w:rsidR="00040CD9" w:rsidRPr="00D07897">
        <w:rPr>
          <w:rFonts w:ascii="Book Antiqua" w:hAnsi="Book Antiqua" w:cs="Arial"/>
          <w:color w:val="000000" w:themeColor="text1"/>
        </w:rPr>
        <w:t>to</w:t>
      </w:r>
      <w:r w:rsidR="002704BB" w:rsidRPr="00D07897">
        <w:rPr>
          <w:rFonts w:ascii="Book Antiqua" w:hAnsi="Book Antiqua" w:cs="Arial"/>
          <w:color w:val="000000" w:themeColor="text1"/>
        </w:rPr>
        <w:t xml:space="preserve"> screen for malnutrition in th</w:t>
      </w:r>
      <w:r w:rsidR="00040CD9" w:rsidRPr="00D07897">
        <w:rPr>
          <w:rFonts w:ascii="Book Antiqua" w:hAnsi="Book Antiqua" w:cs="Arial"/>
          <w:color w:val="000000" w:themeColor="text1"/>
        </w:rPr>
        <w:t>is</w:t>
      </w:r>
      <w:r w:rsidR="002704BB" w:rsidRPr="00D07897">
        <w:rPr>
          <w:rFonts w:ascii="Book Antiqua" w:hAnsi="Book Antiqua" w:cs="Arial"/>
          <w:color w:val="000000" w:themeColor="text1"/>
        </w:rPr>
        <w:t xml:space="preserve"> population. </w:t>
      </w:r>
      <w:r w:rsidR="00040CD9" w:rsidRPr="00D07897">
        <w:rPr>
          <w:rFonts w:ascii="Book Antiqua" w:hAnsi="Book Antiqua" w:cs="Arial"/>
          <w:color w:val="000000" w:themeColor="text1"/>
        </w:rPr>
        <w:t>S</w:t>
      </w:r>
      <w:r w:rsidR="004477C2" w:rsidRPr="00D07897">
        <w:rPr>
          <w:rFonts w:ascii="Book Antiqua" w:hAnsi="Book Antiqua" w:cs="Arial"/>
          <w:color w:val="000000" w:themeColor="text1"/>
        </w:rPr>
        <w:t>arcopenia</w:t>
      </w:r>
      <w:r w:rsidR="00040CD9" w:rsidRPr="00D07897">
        <w:rPr>
          <w:rFonts w:ascii="Book Antiqua" w:hAnsi="Book Antiqua" w:cs="Arial"/>
          <w:color w:val="000000" w:themeColor="text1"/>
        </w:rPr>
        <w:t xml:space="preserve"> evaluation</w:t>
      </w:r>
      <w:r w:rsidR="004477C2" w:rsidRPr="00D07897">
        <w:rPr>
          <w:rFonts w:ascii="Book Antiqua" w:hAnsi="Book Antiqua" w:cs="Arial"/>
          <w:color w:val="000000" w:themeColor="text1"/>
        </w:rPr>
        <w:t xml:space="preserve"> </w:t>
      </w:r>
      <w:r w:rsidR="004069BC" w:rsidRPr="00D07897">
        <w:rPr>
          <w:rFonts w:ascii="Book Antiqua" w:hAnsi="Book Antiqua" w:cs="Arial"/>
          <w:color w:val="000000" w:themeColor="text1"/>
        </w:rPr>
        <w:t>(</w:t>
      </w:r>
      <w:r w:rsidR="004069BC" w:rsidRPr="00D07897">
        <w:rPr>
          <w:rFonts w:ascii="Book Antiqua" w:hAnsi="Book Antiqua" w:cs="Arial"/>
          <w:i/>
          <w:iCs/>
          <w:color w:val="000000" w:themeColor="text1"/>
        </w:rPr>
        <w:t>via</w:t>
      </w:r>
      <w:r w:rsidR="004069BC" w:rsidRPr="00D07897">
        <w:rPr>
          <w:rFonts w:ascii="Book Antiqua" w:hAnsi="Book Antiqua" w:cs="Arial"/>
          <w:color w:val="000000" w:themeColor="text1"/>
        </w:rPr>
        <w:t xml:space="preserve"> cross-sectional imaging) </w:t>
      </w:r>
      <w:r w:rsidR="00040CD9" w:rsidRPr="00D07897">
        <w:rPr>
          <w:rFonts w:ascii="Book Antiqua" w:hAnsi="Book Antiqua" w:cs="Arial"/>
          <w:color w:val="000000" w:themeColor="text1"/>
        </w:rPr>
        <w:t>has</w:t>
      </w:r>
      <w:r w:rsidR="004477C2" w:rsidRPr="00D07897">
        <w:rPr>
          <w:rFonts w:ascii="Book Antiqua" w:hAnsi="Book Antiqua" w:cs="Arial"/>
          <w:color w:val="000000" w:themeColor="text1"/>
        </w:rPr>
        <w:t xml:space="preserve"> promis</w:t>
      </w:r>
      <w:r w:rsidR="00040CD9" w:rsidRPr="00D07897">
        <w:rPr>
          <w:rFonts w:ascii="Book Antiqua" w:hAnsi="Book Antiqua" w:cs="Arial"/>
          <w:color w:val="000000" w:themeColor="text1"/>
        </w:rPr>
        <w:t>e</w:t>
      </w:r>
      <w:r w:rsidR="004477C2" w:rsidRPr="00D07897">
        <w:rPr>
          <w:rFonts w:ascii="Book Antiqua" w:hAnsi="Book Antiqua" w:cs="Arial"/>
          <w:color w:val="000000" w:themeColor="text1"/>
        </w:rPr>
        <w:t xml:space="preserve"> as </w:t>
      </w:r>
      <w:r w:rsidR="00040CD9" w:rsidRPr="00D07897">
        <w:rPr>
          <w:rFonts w:ascii="Book Antiqua" w:hAnsi="Book Antiqua" w:cs="Arial"/>
          <w:color w:val="000000" w:themeColor="text1"/>
        </w:rPr>
        <w:t xml:space="preserve">a robust </w:t>
      </w:r>
      <w:r w:rsidR="004477C2" w:rsidRPr="00D07897">
        <w:rPr>
          <w:rFonts w:ascii="Book Antiqua" w:hAnsi="Book Antiqua" w:cs="Arial"/>
          <w:color w:val="000000" w:themeColor="text1"/>
        </w:rPr>
        <w:t xml:space="preserve">nutrition assessment method given its significant associations with clinical outcomes. However, more accurate, practical and cost-effective methods of evaluating sarcopenia in the IBD population outside of conventional methods of body composition analysis should be explored. </w:t>
      </w:r>
    </w:p>
    <w:p w14:paraId="03760312" w14:textId="77777777" w:rsidR="00E85BD4" w:rsidRPr="00D07897" w:rsidRDefault="00E85BD4" w:rsidP="00F96F15">
      <w:pPr>
        <w:spacing w:line="360" w:lineRule="auto"/>
        <w:jc w:val="both"/>
        <w:rPr>
          <w:rFonts w:ascii="Book Antiqua" w:hAnsi="Book Antiqua" w:cs="Arial"/>
          <w:color w:val="000000" w:themeColor="text1"/>
        </w:rPr>
      </w:pPr>
    </w:p>
    <w:p w14:paraId="27A33378" w14:textId="284A3518" w:rsidR="003B5CDF" w:rsidRPr="00D07897" w:rsidRDefault="000F3104" w:rsidP="00F96F15">
      <w:pPr>
        <w:spacing w:line="360" w:lineRule="auto"/>
        <w:jc w:val="both"/>
        <w:rPr>
          <w:rFonts w:ascii="Book Antiqua" w:eastAsia="等线" w:hAnsi="Book Antiqua" w:cs="Arial"/>
          <w:b/>
          <w:bCs/>
          <w:i/>
          <w:iCs/>
          <w:color w:val="000000" w:themeColor="text1"/>
          <w:lang w:eastAsia="zh-CN"/>
        </w:rPr>
      </w:pPr>
      <w:r w:rsidRPr="00D07897">
        <w:rPr>
          <w:rFonts w:ascii="Book Antiqua" w:hAnsi="Book Antiqua" w:cs="Arial"/>
          <w:b/>
          <w:bCs/>
          <w:i/>
          <w:iCs/>
          <w:color w:val="000000" w:themeColor="text1"/>
        </w:rPr>
        <w:t xml:space="preserve">Research </w:t>
      </w:r>
      <w:r w:rsidR="005751D6" w:rsidRPr="00D07897">
        <w:rPr>
          <w:rFonts w:ascii="Book Antiqua" w:hAnsi="Book Antiqua" w:cs="Arial"/>
          <w:b/>
          <w:bCs/>
          <w:i/>
          <w:iCs/>
          <w:color w:val="000000" w:themeColor="text1"/>
        </w:rPr>
        <w:t>p</w:t>
      </w:r>
      <w:r w:rsidRPr="00D07897">
        <w:rPr>
          <w:rFonts w:ascii="Book Antiqua" w:hAnsi="Book Antiqua" w:cs="Arial"/>
          <w:b/>
          <w:bCs/>
          <w:i/>
          <w:iCs/>
          <w:color w:val="000000" w:themeColor="text1"/>
        </w:rPr>
        <w:t>erspectives</w:t>
      </w:r>
      <w:bookmarkEnd w:id="58"/>
    </w:p>
    <w:p w14:paraId="5579E2B1" w14:textId="77777777" w:rsidR="00F96F15" w:rsidRPr="00D07897" w:rsidRDefault="002704B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lastRenderedPageBreak/>
        <w:t xml:space="preserve">The utility as well as strengths and weaknesses of available NSTs and NATs </w:t>
      </w:r>
      <w:r w:rsidR="00540856" w:rsidRPr="00D07897">
        <w:rPr>
          <w:rFonts w:ascii="Book Antiqua" w:hAnsi="Book Antiqua" w:cs="Arial"/>
          <w:color w:val="000000" w:themeColor="text1"/>
        </w:rPr>
        <w:t>have been</w:t>
      </w:r>
      <w:r w:rsidR="00C60E38" w:rsidRPr="00D07897">
        <w:rPr>
          <w:rFonts w:ascii="Book Antiqua" w:hAnsi="Book Antiqua" w:cs="Arial"/>
          <w:color w:val="000000" w:themeColor="text1"/>
        </w:rPr>
        <w:t xml:space="preserve"> reviewed</w:t>
      </w:r>
      <w:r w:rsidRPr="00D07897">
        <w:rPr>
          <w:rFonts w:ascii="Book Antiqua" w:hAnsi="Book Antiqua" w:cs="Arial"/>
          <w:color w:val="000000" w:themeColor="text1"/>
        </w:rPr>
        <w:t xml:space="preserve">. </w:t>
      </w:r>
      <w:r w:rsidR="00540856" w:rsidRPr="00D07897">
        <w:rPr>
          <w:rFonts w:ascii="Book Antiqua" w:hAnsi="Book Antiqua" w:cs="Arial"/>
          <w:color w:val="000000" w:themeColor="text1"/>
        </w:rPr>
        <w:t>F</w:t>
      </w:r>
      <w:r w:rsidRPr="00D07897">
        <w:rPr>
          <w:rFonts w:ascii="Book Antiqua" w:hAnsi="Book Antiqua" w:cs="Arial"/>
          <w:color w:val="000000" w:themeColor="text1"/>
        </w:rPr>
        <w:t xml:space="preserve">uture research </w:t>
      </w:r>
      <w:r w:rsidR="00540856" w:rsidRPr="00D07897">
        <w:rPr>
          <w:rFonts w:ascii="Book Antiqua" w:hAnsi="Book Antiqua" w:cs="Arial"/>
          <w:color w:val="000000" w:themeColor="text1"/>
        </w:rPr>
        <w:t xml:space="preserve">is needed to </w:t>
      </w:r>
      <w:r w:rsidRPr="00D07897">
        <w:rPr>
          <w:rFonts w:ascii="Book Antiqua" w:hAnsi="Book Antiqua" w:cs="Arial"/>
          <w:color w:val="000000" w:themeColor="text1"/>
        </w:rPr>
        <w:t>test and validat</w:t>
      </w:r>
      <w:r w:rsidR="00540856" w:rsidRPr="00D07897">
        <w:rPr>
          <w:rFonts w:ascii="Book Antiqua" w:hAnsi="Book Antiqua" w:cs="Arial"/>
          <w:color w:val="000000" w:themeColor="text1"/>
        </w:rPr>
        <w:t>e</w:t>
      </w:r>
      <w:r w:rsidRPr="00D07897">
        <w:rPr>
          <w:rFonts w:ascii="Book Antiqua" w:hAnsi="Book Antiqua" w:cs="Arial"/>
          <w:color w:val="000000" w:themeColor="text1"/>
        </w:rPr>
        <w:t xml:space="preserve"> available tools in the IBD population. </w:t>
      </w:r>
      <w:r w:rsidR="00540856" w:rsidRPr="00D07897">
        <w:rPr>
          <w:rFonts w:ascii="Book Antiqua" w:hAnsi="Book Antiqua" w:cs="Arial"/>
          <w:color w:val="000000" w:themeColor="text1"/>
        </w:rPr>
        <w:t xml:space="preserve">The development of novel tools </w:t>
      </w:r>
      <w:r w:rsidR="00155A05" w:rsidRPr="00D07897">
        <w:rPr>
          <w:rFonts w:ascii="Book Antiqua" w:hAnsi="Book Antiqua" w:cs="Arial"/>
          <w:color w:val="000000" w:themeColor="text1"/>
        </w:rPr>
        <w:t xml:space="preserve">will </w:t>
      </w:r>
      <w:r w:rsidR="00A451B0" w:rsidRPr="00D07897">
        <w:rPr>
          <w:rFonts w:ascii="Book Antiqua" w:hAnsi="Book Antiqua" w:cs="Arial"/>
          <w:color w:val="000000" w:themeColor="text1"/>
        </w:rPr>
        <w:t xml:space="preserve">aid clinicians in identifying, diagnosing and intervening on malnourishment in the IBD patient population. </w:t>
      </w:r>
    </w:p>
    <w:p w14:paraId="0A23669D" w14:textId="77777777" w:rsidR="00F96F15" w:rsidRPr="00D07897" w:rsidRDefault="00F96F15" w:rsidP="00F96F15">
      <w:pPr>
        <w:spacing w:line="360" w:lineRule="auto"/>
        <w:jc w:val="both"/>
        <w:rPr>
          <w:rFonts w:ascii="Book Antiqua" w:hAnsi="Book Antiqua" w:cs="Arial"/>
          <w:color w:val="000000" w:themeColor="text1"/>
        </w:rPr>
      </w:pPr>
    </w:p>
    <w:p w14:paraId="2733AB09" w14:textId="1D2DF7B7" w:rsidR="005751D6" w:rsidRPr="00D07897" w:rsidRDefault="005751D6" w:rsidP="00F96F15">
      <w:pPr>
        <w:spacing w:line="360" w:lineRule="auto"/>
        <w:jc w:val="both"/>
        <w:rPr>
          <w:rFonts w:ascii="Book Antiqua" w:hAnsi="Book Antiqua" w:cs="Arial"/>
          <w:b/>
          <w:bCs/>
          <w:iCs/>
          <w:color w:val="000000" w:themeColor="text1"/>
        </w:rPr>
      </w:pPr>
      <w:r w:rsidRPr="00D07897">
        <w:rPr>
          <w:rFonts w:ascii="Book Antiqua" w:hAnsi="Book Antiqua" w:cs="Arial"/>
          <w:b/>
          <w:bCs/>
          <w:iCs/>
          <w:color w:val="000000" w:themeColor="text1"/>
        </w:rPr>
        <w:t>ACKNOWLEDGEMENTS</w:t>
      </w:r>
    </w:p>
    <w:p w14:paraId="2F549B81" w14:textId="3B076ED5" w:rsidR="00F96F15" w:rsidRPr="00D07897" w:rsidRDefault="00F96F15"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The authors are grateful to the Digestive Health Strategic Clinical Network and the Nutrition Center of Excellence in Alberta and for supporting the knowledge translation of this work.</w:t>
      </w:r>
    </w:p>
    <w:p w14:paraId="07DC73D6" w14:textId="77777777" w:rsidR="00F96F15" w:rsidRPr="00D07897" w:rsidRDefault="00F96F15" w:rsidP="00F96F15">
      <w:pPr>
        <w:spacing w:line="360" w:lineRule="auto"/>
        <w:jc w:val="both"/>
        <w:rPr>
          <w:rFonts w:ascii="Book Antiqua" w:hAnsi="Book Antiqua" w:cs="Arial"/>
          <w:color w:val="000000" w:themeColor="text1"/>
        </w:rPr>
      </w:pPr>
    </w:p>
    <w:p w14:paraId="7F889AD5" w14:textId="0B243A47" w:rsidR="003B5CDF" w:rsidRPr="00D07897" w:rsidRDefault="003B5CDF"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br w:type="page"/>
      </w:r>
    </w:p>
    <w:p w14:paraId="625AE54E" w14:textId="7D8005BF" w:rsidR="001965DB" w:rsidRPr="00D07897" w:rsidRDefault="00A66436"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lastRenderedPageBreak/>
        <w:t>REFERENCES</w:t>
      </w:r>
    </w:p>
    <w:p w14:paraId="492B8463"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1 </w:t>
      </w:r>
      <w:proofErr w:type="spellStart"/>
      <w:r w:rsidRPr="00D07897">
        <w:rPr>
          <w:rFonts w:ascii="Book Antiqua" w:eastAsia="等线" w:hAnsi="Book Antiqua"/>
          <w:b/>
          <w:kern w:val="2"/>
          <w:lang w:eastAsia="zh-CN"/>
        </w:rPr>
        <w:t>Mijac</w:t>
      </w:r>
      <w:proofErr w:type="spellEnd"/>
      <w:r w:rsidRPr="00D07897">
        <w:rPr>
          <w:rFonts w:ascii="Book Antiqua" w:eastAsia="等线" w:hAnsi="Book Antiqua"/>
          <w:b/>
          <w:kern w:val="2"/>
          <w:lang w:eastAsia="zh-CN"/>
        </w:rPr>
        <w:t xml:space="preserve"> DD</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Janković</w:t>
      </w:r>
      <w:proofErr w:type="spellEnd"/>
      <w:r w:rsidRPr="00D07897">
        <w:rPr>
          <w:rFonts w:ascii="Book Antiqua" w:eastAsia="等线" w:hAnsi="Book Antiqua"/>
          <w:kern w:val="2"/>
          <w:lang w:eastAsia="zh-CN"/>
        </w:rPr>
        <w:t xml:space="preserve"> GL, </w:t>
      </w:r>
      <w:proofErr w:type="spellStart"/>
      <w:r w:rsidRPr="00D07897">
        <w:rPr>
          <w:rFonts w:ascii="Book Antiqua" w:eastAsia="等线" w:hAnsi="Book Antiqua"/>
          <w:kern w:val="2"/>
          <w:lang w:eastAsia="zh-CN"/>
        </w:rPr>
        <w:t>Jorga</w:t>
      </w:r>
      <w:proofErr w:type="spellEnd"/>
      <w:r w:rsidRPr="00D07897">
        <w:rPr>
          <w:rFonts w:ascii="Book Antiqua" w:eastAsia="等线" w:hAnsi="Book Antiqua"/>
          <w:kern w:val="2"/>
          <w:lang w:eastAsia="zh-CN"/>
        </w:rPr>
        <w:t xml:space="preserve"> J, </w:t>
      </w:r>
      <w:proofErr w:type="spellStart"/>
      <w:r w:rsidRPr="00D07897">
        <w:rPr>
          <w:rFonts w:ascii="Book Antiqua" w:eastAsia="等线" w:hAnsi="Book Antiqua"/>
          <w:kern w:val="2"/>
          <w:lang w:eastAsia="zh-CN"/>
        </w:rPr>
        <w:t>Krstić</w:t>
      </w:r>
      <w:proofErr w:type="spellEnd"/>
      <w:r w:rsidRPr="00D07897">
        <w:rPr>
          <w:rFonts w:ascii="Book Antiqua" w:eastAsia="等线" w:hAnsi="Book Antiqua"/>
          <w:kern w:val="2"/>
          <w:lang w:eastAsia="zh-CN"/>
        </w:rPr>
        <w:t xml:space="preserve"> MN. Nutritional status in patients with active inflammatory bowel disease: Prevalence of malnutrition and methods for routine nutritional assessment. </w:t>
      </w:r>
      <w:r w:rsidRPr="00D07897">
        <w:rPr>
          <w:rFonts w:ascii="Book Antiqua" w:eastAsia="等线" w:hAnsi="Book Antiqua"/>
          <w:i/>
          <w:kern w:val="2"/>
          <w:lang w:eastAsia="zh-CN"/>
        </w:rPr>
        <w:t>Eur J Intern Med</w:t>
      </w:r>
      <w:r w:rsidRPr="00D07897">
        <w:rPr>
          <w:rFonts w:ascii="Book Antiqua" w:eastAsia="等线" w:hAnsi="Book Antiqua"/>
          <w:kern w:val="2"/>
          <w:lang w:eastAsia="zh-CN"/>
        </w:rPr>
        <w:t xml:space="preserve"> 2010; </w:t>
      </w:r>
      <w:r w:rsidRPr="00D07897">
        <w:rPr>
          <w:rFonts w:ascii="Book Antiqua" w:eastAsia="等线" w:hAnsi="Book Antiqua"/>
          <w:b/>
          <w:kern w:val="2"/>
          <w:lang w:eastAsia="zh-CN"/>
        </w:rPr>
        <w:t>21</w:t>
      </w:r>
      <w:r w:rsidRPr="00D07897">
        <w:rPr>
          <w:rFonts w:ascii="Book Antiqua" w:eastAsia="等线" w:hAnsi="Book Antiqua"/>
          <w:kern w:val="2"/>
          <w:lang w:eastAsia="zh-CN"/>
        </w:rPr>
        <w:t>: 315-319 [PMID: 20603043 DOI: 10.1016/j.ejim.2010.04.012]</w:t>
      </w:r>
    </w:p>
    <w:p w14:paraId="25829BB7" w14:textId="77777777" w:rsidR="00EE37A2" w:rsidRPr="00D07897" w:rsidRDefault="00EE37A2" w:rsidP="00EE37A2">
      <w:pPr>
        <w:widowControl w:val="0"/>
        <w:spacing w:line="360" w:lineRule="auto"/>
        <w:jc w:val="both"/>
        <w:rPr>
          <w:rFonts w:ascii="Book Antiqua" w:eastAsia="等线" w:hAnsi="Book Antiqua"/>
          <w:kern w:val="2"/>
          <w:lang w:eastAsia="zh-CN"/>
        </w:rPr>
      </w:pPr>
      <w:proofErr w:type="gramStart"/>
      <w:r w:rsidRPr="00D07897">
        <w:rPr>
          <w:rFonts w:ascii="Book Antiqua" w:eastAsia="等线" w:hAnsi="Book Antiqua"/>
          <w:kern w:val="2"/>
          <w:lang w:eastAsia="zh-CN"/>
        </w:rPr>
        <w:t xml:space="preserve">2 </w:t>
      </w:r>
      <w:proofErr w:type="spellStart"/>
      <w:r w:rsidRPr="00D07897">
        <w:rPr>
          <w:rFonts w:ascii="Book Antiqua" w:eastAsia="等线" w:hAnsi="Book Antiqua"/>
          <w:b/>
          <w:kern w:val="2"/>
          <w:lang w:eastAsia="zh-CN"/>
        </w:rPr>
        <w:t>Vadan</w:t>
      </w:r>
      <w:proofErr w:type="spellEnd"/>
      <w:r w:rsidRPr="00D07897">
        <w:rPr>
          <w:rFonts w:ascii="Book Antiqua" w:eastAsia="等线" w:hAnsi="Book Antiqua"/>
          <w:b/>
          <w:kern w:val="2"/>
          <w:lang w:eastAsia="zh-CN"/>
        </w:rPr>
        <w:t xml:space="preserve"> R</w:t>
      </w:r>
      <w:r w:rsidRPr="00D07897">
        <w:rPr>
          <w:rFonts w:ascii="Book Antiqua" w:eastAsia="等线" w:hAnsi="Book Antiqua"/>
          <w:kern w:val="2"/>
          <w:lang w:eastAsia="zh-CN"/>
        </w:rPr>
        <w:t>, Gheorghe LS, Constantinescu A, Gheorghe C.</w:t>
      </w:r>
      <w:proofErr w:type="gramEnd"/>
      <w:r w:rsidRPr="00D07897">
        <w:rPr>
          <w:rFonts w:ascii="Book Antiqua" w:eastAsia="等线" w:hAnsi="Book Antiqua"/>
          <w:kern w:val="2"/>
          <w:lang w:eastAsia="zh-CN"/>
        </w:rPr>
        <w:t xml:space="preserve"> The prevalence of malnutrition and the evolution of nutritional status in patients with moderate to severe forms of Crohn's disease treated with Infliximab. </w:t>
      </w:r>
      <w:proofErr w:type="spellStart"/>
      <w:r w:rsidRPr="00D07897">
        <w:rPr>
          <w:rFonts w:ascii="Book Antiqua" w:eastAsia="等线" w:hAnsi="Book Antiqua"/>
          <w:i/>
          <w:kern w:val="2"/>
          <w:lang w:eastAsia="zh-CN"/>
        </w:rPr>
        <w:t>Clin</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kern w:val="2"/>
          <w:lang w:eastAsia="zh-CN"/>
        </w:rPr>
        <w:t xml:space="preserve"> 2011; </w:t>
      </w:r>
      <w:r w:rsidRPr="00D07897">
        <w:rPr>
          <w:rFonts w:ascii="Book Antiqua" w:eastAsia="等线" w:hAnsi="Book Antiqua"/>
          <w:b/>
          <w:kern w:val="2"/>
          <w:lang w:eastAsia="zh-CN"/>
        </w:rPr>
        <w:t>30</w:t>
      </w:r>
      <w:r w:rsidRPr="00D07897">
        <w:rPr>
          <w:rFonts w:ascii="Book Antiqua" w:eastAsia="等线" w:hAnsi="Book Antiqua"/>
          <w:kern w:val="2"/>
          <w:lang w:eastAsia="zh-CN"/>
        </w:rPr>
        <w:t>: 86-91 [PMID: 20719413 DOI: 10.1016/j.clnu.2010.07.019]</w:t>
      </w:r>
    </w:p>
    <w:p w14:paraId="1E9C757A"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3 </w:t>
      </w:r>
      <w:r w:rsidRPr="00D07897">
        <w:rPr>
          <w:rFonts w:ascii="Book Antiqua" w:eastAsia="等线" w:hAnsi="Book Antiqua"/>
          <w:b/>
          <w:kern w:val="2"/>
          <w:lang w:eastAsia="zh-CN"/>
        </w:rPr>
        <w:t>Benjamin J</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Makharia</w:t>
      </w:r>
      <w:proofErr w:type="spellEnd"/>
      <w:r w:rsidRPr="00D07897">
        <w:rPr>
          <w:rFonts w:ascii="Book Antiqua" w:eastAsia="等线" w:hAnsi="Book Antiqua"/>
          <w:kern w:val="2"/>
          <w:lang w:eastAsia="zh-CN"/>
        </w:rPr>
        <w:t xml:space="preserve"> GK, </w:t>
      </w:r>
      <w:proofErr w:type="spellStart"/>
      <w:r w:rsidRPr="00D07897">
        <w:rPr>
          <w:rFonts w:ascii="Book Antiqua" w:eastAsia="等线" w:hAnsi="Book Antiqua"/>
          <w:kern w:val="2"/>
          <w:lang w:eastAsia="zh-CN"/>
        </w:rPr>
        <w:t>Kalaivani</w:t>
      </w:r>
      <w:proofErr w:type="spellEnd"/>
      <w:r w:rsidRPr="00D07897">
        <w:rPr>
          <w:rFonts w:ascii="Book Antiqua" w:eastAsia="等线" w:hAnsi="Book Antiqua"/>
          <w:kern w:val="2"/>
          <w:lang w:eastAsia="zh-CN"/>
        </w:rPr>
        <w:t xml:space="preserve"> M, Joshi YK. </w:t>
      </w:r>
      <w:proofErr w:type="gramStart"/>
      <w:r w:rsidRPr="00D07897">
        <w:rPr>
          <w:rFonts w:ascii="Book Antiqua" w:eastAsia="等线" w:hAnsi="Book Antiqua"/>
          <w:kern w:val="2"/>
          <w:lang w:eastAsia="zh-CN"/>
        </w:rPr>
        <w:t>Nutritional status of patients with Crohn's disease.</w:t>
      </w:r>
      <w:proofErr w:type="gramEnd"/>
      <w:r w:rsidRPr="00D07897">
        <w:rPr>
          <w:rFonts w:ascii="Book Antiqua" w:eastAsia="等线" w:hAnsi="Book Antiqua"/>
          <w:kern w:val="2"/>
          <w:lang w:eastAsia="zh-CN"/>
        </w:rPr>
        <w:t xml:space="preserve"> </w:t>
      </w:r>
      <w:r w:rsidRPr="00D07897">
        <w:rPr>
          <w:rFonts w:ascii="Book Antiqua" w:eastAsia="等线" w:hAnsi="Book Antiqua"/>
          <w:i/>
          <w:kern w:val="2"/>
          <w:lang w:eastAsia="zh-CN"/>
        </w:rPr>
        <w:t>Indian J Gastroenterol</w:t>
      </w:r>
      <w:r w:rsidRPr="00D07897">
        <w:rPr>
          <w:rFonts w:ascii="Book Antiqua" w:eastAsia="等线" w:hAnsi="Book Antiqua"/>
          <w:kern w:val="2"/>
          <w:lang w:eastAsia="zh-CN"/>
        </w:rPr>
        <w:t xml:space="preserve"> 2008; </w:t>
      </w:r>
      <w:r w:rsidRPr="00D07897">
        <w:rPr>
          <w:rFonts w:ascii="Book Antiqua" w:eastAsia="等线" w:hAnsi="Book Antiqua"/>
          <w:b/>
          <w:kern w:val="2"/>
          <w:lang w:eastAsia="zh-CN"/>
        </w:rPr>
        <w:t>27</w:t>
      </w:r>
      <w:r w:rsidRPr="00D07897">
        <w:rPr>
          <w:rFonts w:ascii="Book Antiqua" w:eastAsia="等线" w:hAnsi="Book Antiqua"/>
          <w:kern w:val="2"/>
          <w:lang w:eastAsia="zh-CN"/>
        </w:rPr>
        <w:t>: 195-200 [PMID: 19112190]</w:t>
      </w:r>
    </w:p>
    <w:p w14:paraId="7353936C"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4 </w:t>
      </w:r>
      <w:r w:rsidRPr="00D07897">
        <w:rPr>
          <w:rFonts w:ascii="Book Antiqua" w:eastAsia="等线" w:hAnsi="Book Antiqua"/>
          <w:b/>
          <w:kern w:val="2"/>
          <w:lang w:eastAsia="zh-CN"/>
        </w:rPr>
        <w:t>Cruz-</w:t>
      </w:r>
      <w:proofErr w:type="spellStart"/>
      <w:r w:rsidRPr="00D07897">
        <w:rPr>
          <w:rFonts w:ascii="Book Antiqua" w:eastAsia="等线" w:hAnsi="Book Antiqua"/>
          <w:b/>
          <w:kern w:val="2"/>
          <w:lang w:eastAsia="zh-CN"/>
        </w:rPr>
        <w:t>Jentoft</w:t>
      </w:r>
      <w:proofErr w:type="spellEnd"/>
      <w:r w:rsidRPr="00D07897">
        <w:rPr>
          <w:rFonts w:ascii="Book Antiqua" w:eastAsia="等线" w:hAnsi="Book Antiqua"/>
          <w:b/>
          <w:kern w:val="2"/>
          <w:lang w:eastAsia="zh-CN"/>
        </w:rPr>
        <w:t xml:space="preserve"> AJ</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Baeyens</w:t>
      </w:r>
      <w:proofErr w:type="spellEnd"/>
      <w:r w:rsidRPr="00D07897">
        <w:rPr>
          <w:rFonts w:ascii="Book Antiqua" w:eastAsia="等线" w:hAnsi="Book Antiqua"/>
          <w:kern w:val="2"/>
          <w:lang w:eastAsia="zh-CN"/>
        </w:rPr>
        <w:t xml:space="preserve"> JP, Bauer JM, </w:t>
      </w:r>
      <w:proofErr w:type="spellStart"/>
      <w:r w:rsidRPr="00D07897">
        <w:rPr>
          <w:rFonts w:ascii="Book Antiqua" w:eastAsia="等线" w:hAnsi="Book Antiqua"/>
          <w:kern w:val="2"/>
          <w:lang w:eastAsia="zh-CN"/>
        </w:rPr>
        <w:t>Boirie</w:t>
      </w:r>
      <w:proofErr w:type="spellEnd"/>
      <w:r w:rsidRPr="00D07897">
        <w:rPr>
          <w:rFonts w:ascii="Book Antiqua" w:eastAsia="等线" w:hAnsi="Book Antiqua"/>
          <w:kern w:val="2"/>
          <w:lang w:eastAsia="zh-CN"/>
        </w:rPr>
        <w:t xml:space="preserve"> Y, </w:t>
      </w:r>
      <w:proofErr w:type="spellStart"/>
      <w:r w:rsidRPr="00D07897">
        <w:rPr>
          <w:rFonts w:ascii="Book Antiqua" w:eastAsia="等线" w:hAnsi="Book Antiqua"/>
          <w:kern w:val="2"/>
          <w:lang w:eastAsia="zh-CN"/>
        </w:rPr>
        <w:t>Cederholm</w:t>
      </w:r>
      <w:proofErr w:type="spellEnd"/>
      <w:r w:rsidRPr="00D07897">
        <w:rPr>
          <w:rFonts w:ascii="Book Antiqua" w:eastAsia="等线" w:hAnsi="Book Antiqua"/>
          <w:kern w:val="2"/>
          <w:lang w:eastAsia="zh-CN"/>
        </w:rPr>
        <w:t xml:space="preserve"> T, </w:t>
      </w:r>
      <w:proofErr w:type="spellStart"/>
      <w:r w:rsidRPr="00D07897">
        <w:rPr>
          <w:rFonts w:ascii="Book Antiqua" w:eastAsia="等线" w:hAnsi="Book Antiqua"/>
          <w:kern w:val="2"/>
          <w:lang w:eastAsia="zh-CN"/>
        </w:rPr>
        <w:t>Landi</w:t>
      </w:r>
      <w:proofErr w:type="spellEnd"/>
      <w:r w:rsidRPr="00D07897">
        <w:rPr>
          <w:rFonts w:ascii="Book Antiqua" w:eastAsia="等线" w:hAnsi="Book Antiqua"/>
          <w:kern w:val="2"/>
          <w:lang w:eastAsia="zh-CN"/>
        </w:rPr>
        <w:t xml:space="preserve"> F, Martin FC, Michel JP, Rolland Y, Schneider SM, </w:t>
      </w:r>
      <w:proofErr w:type="spellStart"/>
      <w:r w:rsidRPr="00D07897">
        <w:rPr>
          <w:rFonts w:ascii="Book Antiqua" w:eastAsia="等线" w:hAnsi="Book Antiqua"/>
          <w:kern w:val="2"/>
          <w:lang w:eastAsia="zh-CN"/>
        </w:rPr>
        <w:t>Topinková</w:t>
      </w:r>
      <w:proofErr w:type="spellEnd"/>
      <w:r w:rsidRPr="00D07897">
        <w:rPr>
          <w:rFonts w:ascii="Book Antiqua" w:eastAsia="等线" w:hAnsi="Book Antiqua"/>
          <w:kern w:val="2"/>
          <w:lang w:eastAsia="zh-CN"/>
        </w:rPr>
        <w:t xml:space="preserve"> E, </w:t>
      </w:r>
      <w:proofErr w:type="spellStart"/>
      <w:r w:rsidRPr="00D07897">
        <w:rPr>
          <w:rFonts w:ascii="Book Antiqua" w:eastAsia="等线" w:hAnsi="Book Antiqua"/>
          <w:kern w:val="2"/>
          <w:lang w:eastAsia="zh-CN"/>
        </w:rPr>
        <w:t>Vandewoude</w:t>
      </w:r>
      <w:proofErr w:type="spellEnd"/>
      <w:r w:rsidRPr="00D07897">
        <w:rPr>
          <w:rFonts w:ascii="Book Antiqua" w:eastAsia="等线" w:hAnsi="Book Antiqua"/>
          <w:kern w:val="2"/>
          <w:lang w:eastAsia="zh-CN"/>
        </w:rPr>
        <w:t xml:space="preserve"> M, Zamboni M; European Working Group on Sarcopenia in Older People. Sarcopenia: European consensus on definition and diagnosis: Report of the European Working Group on Sarcopenia in Older People. </w:t>
      </w:r>
      <w:r w:rsidRPr="00D07897">
        <w:rPr>
          <w:rFonts w:ascii="Book Antiqua" w:eastAsia="等线" w:hAnsi="Book Antiqua"/>
          <w:i/>
          <w:kern w:val="2"/>
          <w:lang w:eastAsia="zh-CN"/>
        </w:rPr>
        <w:t>Age Ageing</w:t>
      </w:r>
      <w:r w:rsidRPr="00D07897">
        <w:rPr>
          <w:rFonts w:ascii="Book Antiqua" w:eastAsia="等线" w:hAnsi="Book Antiqua"/>
          <w:kern w:val="2"/>
          <w:lang w:eastAsia="zh-CN"/>
        </w:rPr>
        <w:t xml:space="preserve"> 2010; </w:t>
      </w:r>
      <w:r w:rsidRPr="00D07897">
        <w:rPr>
          <w:rFonts w:ascii="Book Antiqua" w:eastAsia="等线" w:hAnsi="Book Antiqua"/>
          <w:b/>
          <w:kern w:val="2"/>
          <w:lang w:eastAsia="zh-CN"/>
        </w:rPr>
        <w:t>39</w:t>
      </w:r>
      <w:r w:rsidRPr="00D07897">
        <w:rPr>
          <w:rFonts w:ascii="Book Antiqua" w:eastAsia="等线" w:hAnsi="Book Antiqua"/>
          <w:kern w:val="2"/>
          <w:lang w:eastAsia="zh-CN"/>
        </w:rPr>
        <w:t>: 412-423 [PMID: 20392703 DOI: 10.1093/ageing/afq034]</w:t>
      </w:r>
    </w:p>
    <w:p w14:paraId="684B88B9"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5 </w:t>
      </w:r>
      <w:r w:rsidRPr="00D07897">
        <w:rPr>
          <w:rFonts w:ascii="Book Antiqua" w:eastAsia="等线" w:hAnsi="Book Antiqua"/>
          <w:b/>
          <w:kern w:val="2"/>
          <w:lang w:eastAsia="zh-CN"/>
        </w:rPr>
        <w:t>White JV</w:t>
      </w:r>
      <w:r w:rsidRPr="00D07897">
        <w:rPr>
          <w:rFonts w:ascii="Book Antiqua" w:eastAsia="等线" w:hAnsi="Book Antiqua"/>
          <w:kern w:val="2"/>
          <w:lang w:eastAsia="zh-CN"/>
        </w:rPr>
        <w:t xml:space="preserve">, Guenter P, Jensen G, Malone A, Schofield M; Academy of Nutrition and Dietetics Malnutrition Work Group; A.S.P.E.N. Malnutrition Task Force; A.S.P.E.N. Board of Directors. Consensus statement of the Academy of Nutrition and Dietetics/American Society for Parenteral and Enteral Nutrition: Characteristics recommended for the identification and documentation of adult malnutrition (undernutrition). </w:t>
      </w:r>
      <w:r w:rsidRPr="00D07897">
        <w:rPr>
          <w:rFonts w:ascii="Book Antiqua" w:eastAsia="等线" w:hAnsi="Book Antiqua"/>
          <w:i/>
          <w:kern w:val="2"/>
          <w:lang w:eastAsia="zh-CN"/>
        </w:rPr>
        <w:t xml:space="preserve">J </w:t>
      </w:r>
      <w:proofErr w:type="spellStart"/>
      <w:r w:rsidRPr="00D07897">
        <w:rPr>
          <w:rFonts w:ascii="Book Antiqua" w:eastAsia="等线" w:hAnsi="Book Antiqua"/>
          <w:i/>
          <w:kern w:val="2"/>
          <w:lang w:eastAsia="zh-CN"/>
        </w:rPr>
        <w:t>Acad</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i/>
          <w:kern w:val="2"/>
          <w:lang w:eastAsia="zh-CN"/>
        </w:rPr>
        <w:t xml:space="preserve"> Diet</w:t>
      </w:r>
      <w:r w:rsidRPr="00D07897">
        <w:rPr>
          <w:rFonts w:ascii="Book Antiqua" w:eastAsia="等线" w:hAnsi="Book Antiqua"/>
          <w:kern w:val="2"/>
          <w:lang w:eastAsia="zh-CN"/>
        </w:rPr>
        <w:t xml:space="preserve"> 2012; </w:t>
      </w:r>
      <w:r w:rsidRPr="00D07897">
        <w:rPr>
          <w:rFonts w:ascii="Book Antiqua" w:eastAsia="等线" w:hAnsi="Book Antiqua"/>
          <w:b/>
          <w:kern w:val="2"/>
          <w:lang w:eastAsia="zh-CN"/>
        </w:rPr>
        <w:t>112</w:t>
      </w:r>
      <w:r w:rsidRPr="00D07897">
        <w:rPr>
          <w:rFonts w:ascii="Book Antiqua" w:eastAsia="等线" w:hAnsi="Book Antiqua"/>
          <w:kern w:val="2"/>
          <w:lang w:eastAsia="zh-CN"/>
        </w:rPr>
        <w:t>: 730-738 [PMID: 22709779 DOI: 10.1016/j.jand.2012.03.012]</w:t>
      </w:r>
    </w:p>
    <w:p w14:paraId="34C91007"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6 </w:t>
      </w:r>
      <w:r w:rsidRPr="00D07897">
        <w:rPr>
          <w:rFonts w:ascii="Book Antiqua" w:eastAsia="等线" w:hAnsi="Book Antiqua"/>
          <w:b/>
          <w:kern w:val="2"/>
          <w:lang w:eastAsia="zh-CN"/>
        </w:rPr>
        <w:t>Cederholm T</w:t>
      </w:r>
      <w:r w:rsidRPr="00D07897">
        <w:rPr>
          <w:rFonts w:ascii="Book Antiqua" w:eastAsia="等线" w:hAnsi="Book Antiqua"/>
          <w:kern w:val="2"/>
          <w:lang w:eastAsia="zh-CN"/>
        </w:rPr>
        <w:t xml:space="preserve">, Jensen GL, Correia MITD, Gonzalez MC, Fukushima R, </w:t>
      </w:r>
      <w:proofErr w:type="spellStart"/>
      <w:r w:rsidRPr="00D07897">
        <w:rPr>
          <w:rFonts w:ascii="Book Antiqua" w:eastAsia="等线" w:hAnsi="Book Antiqua"/>
          <w:kern w:val="2"/>
          <w:lang w:eastAsia="zh-CN"/>
        </w:rPr>
        <w:t>Higashiguchi</w:t>
      </w:r>
      <w:proofErr w:type="spellEnd"/>
      <w:r w:rsidRPr="00D07897">
        <w:rPr>
          <w:rFonts w:ascii="Book Antiqua" w:eastAsia="等线" w:hAnsi="Book Antiqua"/>
          <w:kern w:val="2"/>
          <w:lang w:eastAsia="zh-CN"/>
        </w:rPr>
        <w:t xml:space="preserve"> T, </w:t>
      </w:r>
      <w:proofErr w:type="spellStart"/>
      <w:r w:rsidRPr="00D07897">
        <w:rPr>
          <w:rFonts w:ascii="Book Antiqua" w:eastAsia="等线" w:hAnsi="Book Antiqua"/>
          <w:kern w:val="2"/>
          <w:lang w:eastAsia="zh-CN"/>
        </w:rPr>
        <w:t>Baptista</w:t>
      </w:r>
      <w:proofErr w:type="spellEnd"/>
      <w:r w:rsidRPr="00D07897">
        <w:rPr>
          <w:rFonts w:ascii="Book Antiqua" w:eastAsia="等线" w:hAnsi="Book Antiqua"/>
          <w:kern w:val="2"/>
          <w:lang w:eastAsia="zh-CN"/>
        </w:rPr>
        <w:t xml:space="preserve"> G, </w:t>
      </w:r>
      <w:proofErr w:type="spellStart"/>
      <w:r w:rsidRPr="00D07897">
        <w:rPr>
          <w:rFonts w:ascii="Book Antiqua" w:eastAsia="等线" w:hAnsi="Book Antiqua"/>
          <w:kern w:val="2"/>
          <w:lang w:eastAsia="zh-CN"/>
        </w:rPr>
        <w:t>Barazzoni</w:t>
      </w:r>
      <w:proofErr w:type="spellEnd"/>
      <w:r w:rsidRPr="00D07897">
        <w:rPr>
          <w:rFonts w:ascii="Book Antiqua" w:eastAsia="等线" w:hAnsi="Book Antiqua"/>
          <w:kern w:val="2"/>
          <w:lang w:eastAsia="zh-CN"/>
        </w:rPr>
        <w:t xml:space="preserve"> R, </w:t>
      </w:r>
      <w:proofErr w:type="spellStart"/>
      <w:r w:rsidRPr="00D07897">
        <w:rPr>
          <w:rFonts w:ascii="Book Antiqua" w:eastAsia="等线" w:hAnsi="Book Antiqua"/>
          <w:kern w:val="2"/>
          <w:lang w:eastAsia="zh-CN"/>
        </w:rPr>
        <w:t>Blaauw</w:t>
      </w:r>
      <w:proofErr w:type="spellEnd"/>
      <w:r w:rsidRPr="00D07897">
        <w:rPr>
          <w:rFonts w:ascii="Book Antiqua" w:eastAsia="等线" w:hAnsi="Book Antiqua"/>
          <w:kern w:val="2"/>
          <w:lang w:eastAsia="zh-CN"/>
        </w:rPr>
        <w:t xml:space="preserve"> R, Coats A, </w:t>
      </w:r>
      <w:proofErr w:type="spellStart"/>
      <w:r w:rsidRPr="00D07897">
        <w:rPr>
          <w:rFonts w:ascii="Book Antiqua" w:eastAsia="等线" w:hAnsi="Book Antiqua"/>
          <w:kern w:val="2"/>
          <w:lang w:eastAsia="zh-CN"/>
        </w:rPr>
        <w:t>Crivelli</w:t>
      </w:r>
      <w:proofErr w:type="spellEnd"/>
      <w:r w:rsidRPr="00D07897">
        <w:rPr>
          <w:rFonts w:ascii="Book Antiqua" w:eastAsia="等线" w:hAnsi="Book Antiqua"/>
          <w:kern w:val="2"/>
          <w:lang w:eastAsia="zh-CN"/>
        </w:rPr>
        <w:t xml:space="preserve"> A, Evans DC, </w:t>
      </w:r>
      <w:proofErr w:type="spellStart"/>
      <w:r w:rsidRPr="00D07897">
        <w:rPr>
          <w:rFonts w:ascii="Book Antiqua" w:eastAsia="等线" w:hAnsi="Book Antiqua"/>
          <w:kern w:val="2"/>
          <w:lang w:eastAsia="zh-CN"/>
        </w:rPr>
        <w:t>Gramlich</w:t>
      </w:r>
      <w:proofErr w:type="spellEnd"/>
      <w:r w:rsidRPr="00D07897">
        <w:rPr>
          <w:rFonts w:ascii="Book Antiqua" w:eastAsia="等线" w:hAnsi="Book Antiqua"/>
          <w:kern w:val="2"/>
          <w:lang w:eastAsia="zh-CN"/>
        </w:rPr>
        <w:t xml:space="preserve"> L, Fuchs-</w:t>
      </w:r>
      <w:proofErr w:type="spellStart"/>
      <w:r w:rsidRPr="00D07897">
        <w:rPr>
          <w:rFonts w:ascii="Book Antiqua" w:eastAsia="等线" w:hAnsi="Book Antiqua"/>
          <w:kern w:val="2"/>
          <w:lang w:eastAsia="zh-CN"/>
        </w:rPr>
        <w:t>Tarlovsky</w:t>
      </w:r>
      <w:proofErr w:type="spellEnd"/>
      <w:r w:rsidRPr="00D07897">
        <w:rPr>
          <w:rFonts w:ascii="Book Antiqua" w:eastAsia="等线" w:hAnsi="Book Antiqua"/>
          <w:kern w:val="2"/>
          <w:lang w:eastAsia="zh-CN"/>
        </w:rPr>
        <w:t xml:space="preserve"> V, Keller H, </w:t>
      </w:r>
      <w:proofErr w:type="spellStart"/>
      <w:r w:rsidRPr="00D07897">
        <w:rPr>
          <w:rFonts w:ascii="Book Antiqua" w:eastAsia="等线" w:hAnsi="Book Antiqua"/>
          <w:kern w:val="2"/>
          <w:lang w:eastAsia="zh-CN"/>
        </w:rPr>
        <w:t>Llido</w:t>
      </w:r>
      <w:proofErr w:type="spellEnd"/>
      <w:r w:rsidRPr="00D07897">
        <w:rPr>
          <w:rFonts w:ascii="Book Antiqua" w:eastAsia="等线" w:hAnsi="Book Antiqua"/>
          <w:kern w:val="2"/>
          <w:lang w:eastAsia="zh-CN"/>
        </w:rPr>
        <w:t xml:space="preserve"> L, Malone A, </w:t>
      </w:r>
      <w:proofErr w:type="spellStart"/>
      <w:r w:rsidRPr="00D07897">
        <w:rPr>
          <w:rFonts w:ascii="Book Antiqua" w:eastAsia="等线" w:hAnsi="Book Antiqua"/>
          <w:kern w:val="2"/>
          <w:lang w:eastAsia="zh-CN"/>
        </w:rPr>
        <w:t>Mogensen</w:t>
      </w:r>
      <w:proofErr w:type="spellEnd"/>
      <w:r w:rsidRPr="00D07897">
        <w:rPr>
          <w:rFonts w:ascii="Book Antiqua" w:eastAsia="等线" w:hAnsi="Book Antiqua"/>
          <w:kern w:val="2"/>
          <w:lang w:eastAsia="zh-CN"/>
        </w:rPr>
        <w:t xml:space="preserve"> KM, Morley JE, </w:t>
      </w:r>
      <w:proofErr w:type="spellStart"/>
      <w:r w:rsidRPr="00D07897">
        <w:rPr>
          <w:rFonts w:ascii="Book Antiqua" w:eastAsia="等线" w:hAnsi="Book Antiqua"/>
          <w:kern w:val="2"/>
          <w:lang w:eastAsia="zh-CN"/>
        </w:rPr>
        <w:t>Muscaritoli</w:t>
      </w:r>
      <w:proofErr w:type="spellEnd"/>
      <w:r w:rsidRPr="00D07897">
        <w:rPr>
          <w:rFonts w:ascii="Book Antiqua" w:eastAsia="等线" w:hAnsi="Book Antiqua"/>
          <w:kern w:val="2"/>
          <w:lang w:eastAsia="zh-CN"/>
        </w:rPr>
        <w:t xml:space="preserve"> M, </w:t>
      </w:r>
      <w:proofErr w:type="spellStart"/>
      <w:r w:rsidRPr="00D07897">
        <w:rPr>
          <w:rFonts w:ascii="Book Antiqua" w:eastAsia="等线" w:hAnsi="Book Antiqua"/>
          <w:kern w:val="2"/>
          <w:lang w:eastAsia="zh-CN"/>
        </w:rPr>
        <w:t>Nyulasi</w:t>
      </w:r>
      <w:proofErr w:type="spellEnd"/>
      <w:r w:rsidRPr="00D07897">
        <w:rPr>
          <w:rFonts w:ascii="Book Antiqua" w:eastAsia="等线" w:hAnsi="Book Antiqua"/>
          <w:kern w:val="2"/>
          <w:lang w:eastAsia="zh-CN"/>
        </w:rPr>
        <w:t xml:space="preserve"> I, </w:t>
      </w:r>
      <w:proofErr w:type="spellStart"/>
      <w:r w:rsidRPr="00D07897">
        <w:rPr>
          <w:rFonts w:ascii="Book Antiqua" w:eastAsia="等线" w:hAnsi="Book Antiqua"/>
          <w:kern w:val="2"/>
          <w:lang w:eastAsia="zh-CN"/>
        </w:rPr>
        <w:t>Pirlich</w:t>
      </w:r>
      <w:proofErr w:type="spellEnd"/>
      <w:r w:rsidRPr="00D07897">
        <w:rPr>
          <w:rFonts w:ascii="Book Antiqua" w:eastAsia="等线" w:hAnsi="Book Antiqua"/>
          <w:kern w:val="2"/>
          <w:lang w:eastAsia="zh-CN"/>
        </w:rPr>
        <w:t xml:space="preserve"> M, </w:t>
      </w:r>
      <w:proofErr w:type="spellStart"/>
      <w:r w:rsidRPr="00D07897">
        <w:rPr>
          <w:rFonts w:ascii="Book Antiqua" w:eastAsia="等线" w:hAnsi="Book Antiqua"/>
          <w:kern w:val="2"/>
          <w:lang w:eastAsia="zh-CN"/>
        </w:rPr>
        <w:t>Pisprasert</w:t>
      </w:r>
      <w:proofErr w:type="spellEnd"/>
      <w:r w:rsidRPr="00D07897">
        <w:rPr>
          <w:rFonts w:ascii="Book Antiqua" w:eastAsia="等线" w:hAnsi="Book Antiqua"/>
          <w:kern w:val="2"/>
          <w:lang w:eastAsia="zh-CN"/>
        </w:rPr>
        <w:t xml:space="preserve"> V, de van der </w:t>
      </w:r>
      <w:proofErr w:type="spellStart"/>
      <w:r w:rsidRPr="00D07897">
        <w:rPr>
          <w:rFonts w:ascii="Book Antiqua" w:eastAsia="等线" w:hAnsi="Book Antiqua"/>
          <w:kern w:val="2"/>
          <w:lang w:eastAsia="zh-CN"/>
        </w:rPr>
        <w:t>Schueren</w:t>
      </w:r>
      <w:proofErr w:type="spellEnd"/>
      <w:r w:rsidRPr="00D07897">
        <w:rPr>
          <w:rFonts w:ascii="Book Antiqua" w:eastAsia="等线" w:hAnsi="Book Antiqua"/>
          <w:kern w:val="2"/>
          <w:lang w:eastAsia="zh-CN"/>
        </w:rPr>
        <w:t xml:space="preserve"> MAE, </w:t>
      </w:r>
      <w:proofErr w:type="spellStart"/>
      <w:r w:rsidRPr="00D07897">
        <w:rPr>
          <w:rFonts w:ascii="Book Antiqua" w:eastAsia="等线" w:hAnsi="Book Antiqua"/>
          <w:kern w:val="2"/>
          <w:lang w:eastAsia="zh-CN"/>
        </w:rPr>
        <w:t>Siltharm</w:t>
      </w:r>
      <w:proofErr w:type="spellEnd"/>
      <w:r w:rsidRPr="00D07897">
        <w:rPr>
          <w:rFonts w:ascii="Book Antiqua" w:eastAsia="等线" w:hAnsi="Book Antiqua"/>
          <w:kern w:val="2"/>
          <w:lang w:eastAsia="zh-CN"/>
        </w:rPr>
        <w:t xml:space="preserve"> S, Singer P, </w:t>
      </w:r>
      <w:proofErr w:type="spellStart"/>
      <w:r w:rsidRPr="00D07897">
        <w:rPr>
          <w:rFonts w:ascii="Book Antiqua" w:eastAsia="等线" w:hAnsi="Book Antiqua"/>
          <w:kern w:val="2"/>
          <w:lang w:eastAsia="zh-CN"/>
        </w:rPr>
        <w:t>Tappenden</w:t>
      </w:r>
      <w:proofErr w:type="spellEnd"/>
      <w:r w:rsidRPr="00D07897">
        <w:rPr>
          <w:rFonts w:ascii="Book Antiqua" w:eastAsia="等线" w:hAnsi="Book Antiqua"/>
          <w:kern w:val="2"/>
          <w:lang w:eastAsia="zh-CN"/>
        </w:rPr>
        <w:t xml:space="preserve"> K, Velasco N, </w:t>
      </w:r>
      <w:proofErr w:type="spellStart"/>
      <w:r w:rsidRPr="00D07897">
        <w:rPr>
          <w:rFonts w:ascii="Book Antiqua" w:eastAsia="等线" w:hAnsi="Book Antiqua"/>
          <w:kern w:val="2"/>
          <w:lang w:eastAsia="zh-CN"/>
        </w:rPr>
        <w:t>Waitzberg</w:t>
      </w:r>
      <w:proofErr w:type="spellEnd"/>
      <w:r w:rsidRPr="00D07897">
        <w:rPr>
          <w:rFonts w:ascii="Book Antiqua" w:eastAsia="等线" w:hAnsi="Book Antiqua"/>
          <w:kern w:val="2"/>
          <w:lang w:eastAsia="zh-CN"/>
        </w:rPr>
        <w:t xml:space="preserve"> D, </w:t>
      </w:r>
      <w:proofErr w:type="spellStart"/>
      <w:r w:rsidRPr="00D07897">
        <w:rPr>
          <w:rFonts w:ascii="Book Antiqua" w:eastAsia="等线" w:hAnsi="Book Antiqua"/>
          <w:kern w:val="2"/>
          <w:lang w:eastAsia="zh-CN"/>
        </w:rPr>
        <w:t>Yamwong</w:t>
      </w:r>
      <w:proofErr w:type="spellEnd"/>
      <w:r w:rsidRPr="00D07897">
        <w:rPr>
          <w:rFonts w:ascii="Book Antiqua" w:eastAsia="等线" w:hAnsi="Book Antiqua"/>
          <w:kern w:val="2"/>
          <w:lang w:eastAsia="zh-CN"/>
        </w:rPr>
        <w:t xml:space="preserve"> P, </w:t>
      </w:r>
      <w:r w:rsidRPr="00D07897">
        <w:rPr>
          <w:rFonts w:ascii="Book Antiqua" w:eastAsia="等线" w:hAnsi="Book Antiqua"/>
          <w:kern w:val="2"/>
          <w:lang w:eastAsia="zh-CN"/>
        </w:rPr>
        <w:lastRenderedPageBreak/>
        <w:t xml:space="preserve">Yu J, Van </w:t>
      </w:r>
      <w:proofErr w:type="spellStart"/>
      <w:r w:rsidRPr="00D07897">
        <w:rPr>
          <w:rFonts w:ascii="Book Antiqua" w:eastAsia="等线" w:hAnsi="Book Antiqua"/>
          <w:kern w:val="2"/>
          <w:lang w:eastAsia="zh-CN"/>
        </w:rPr>
        <w:t>Gossum</w:t>
      </w:r>
      <w:proofErr w:type="spellEnd"/>
      <w:r w:rsidRPr="00D07897">
        <w:rPr>
          <w:rFonts w:ascii="Book Antiqua" w:eastAsia="等线" w:hAnsi="Book Antiqua"/>
          <w:kern w:val="2"/>
          <w:lang w:eastAsia="zh-CN"/>
        </w:rPr>
        <w:t xml:space="preserve"> A, </w:t>
      </w:r>
      <w:proofErr w:type="spellStart"/>
      <w:r w:rsidRPr="00D07897">
        <w:rPr>
          <w:rFonts w:ascii="Book Antiqua" w:eastAsia="等线" w:hAnsi="Book Antiqua"/>
          <w:kern w:val="2"/>
          <w:lang w:eastAsia="zh-CN"/>
        </w:rPr>
        <w:t>Compher</w:t>
      </w:r>
      <w:proofErr w:type="spellEnd"/>
      <w:r w:rsidRPr="00D07897">
        <w:rPr>
          <w:rFonts w:ascii="Book Antiqua" w:eastAsia="等线" w:hAnsi="Book Antiqua"/>
          <w:kern w:val="2"/>
          <w:lang w:eastAsia="zh-CN"/>
        </w:rPr>
        <w:t xml:space="preserve"> C; GLIM Core Leadership Committee; GLIM Working Group. GLIM criteria for the diagnosis of malnutrition - A consensus report from the global clinical nutrition community. </w:t>
      </w:r>
      <w:proofErr w:type="spellStart"/>
      <w:r w:rsidRPr="00D07897">
        <w:rPr>
          <w:rFonts w:ascii="Book Antiqua" w:eastAsia="等线" w:hAnsi="Book Antiqua"/>
          <w:i/>
          <w:kern w:val="2"/>
          <w:lang w:eastAsia="zh-CN"/>
        </w:rPr>
        <w:t>Clin</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kern w:val="2"/>
          <w:lang w:eastAsia="zh-CN"/>
        </w:rPr>
        <w:t xml:space="preserve"> 2019; </w:t>
      </w:r>
      <w:r w:rsidRPr="00D07897">
        <w:rPr>
          <w:rFonts w:ascii="Book Antiqua" w:eastAsia="等线" w:hAnsi="Book Antiqua"/>
          <w:b/>
          <w:kern w:val="2"/>
          <w:lang w:eastAsia="zh-CN"/>
        </w:rPr>
        <w:t>38</w:t>
      </w:r>
      <w:r w:rsidRPr="00D07897">
        <w:rPr>
          <w:rFonts w:ascii="Book Antiqua" w:eastAsia="等线" w:hAnsi="Book Antiqua"/>
          <w:kern w:val="2"/>
          <w:lang w:eastAsia="zh-CN"/>
        </w:rPr>
        <w:t>: 1-9 [PMID: 30181091 DOI: 10.1016/j.clnu.2018.08.002]</w:t>
      </w:r>
    </w:p>
    <w:p w14:paraId="2078A8D2"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7 </w:t>
      </w:r>
      <w:proofErr w:type="spellStart"/>
      <w:r w:rsidRPr="00D07897">
        <w:rPr>
          <w:rFonts w:ascii="Book Antiqua" w:eastAsia="等线" w:hAnsi="Book Antiqua"/>
          <w:b/>
          <w:kern w:val="2"/>
          <w:lang w:eastAsia="zh-CN"/>
        </w:rPr>
        <w:t>Cederholm</w:t>
      </w:r>
      <w:proofErr w:type="spellEnd"/>
      <w:r w:rsidRPr="00D07897">
        <w:rPr>
          <w:rFonts w:ascii="Book Antiqua" w:eastAsia="等线" w:hAnsi="Book Antiqua"/>
          <w:b/>
          <w:kern w:val="2"/>
          <w:lang w:eastAsia="zh-CN"/>
        </w:rPr>
        <w:t xml:space="preserve"> T</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Bosaeus</w:t>
      </w:r>
      <w:proofErr w:type="spellEnd"/>
      <w:r w:rsidRPr="00D07897">
        <w:rPr>
          <w:rFonts w:ascii="Book Antiqua" w:eastAsia="等线" w:hAnsi="Book Antiqua"/>
          <w:kern w:val="2"/>
          <w:lang w:eastAsia="zh-CN"/>
        </w:rPr>
        <w:t xml:space="preserve"> I, </w:t>
      </w:r>
      <w:proofErr w:type="spellStart"/>
      <w:r w:rsidRPr="00D07897">
        <w:rPr>
          <w:rFonts w:ascii="Book Antiqua" w:eastAsia="等线" w:hAnsi="Book Antiqua"/>
          <w:kern w:val="2"/>
          <w:lang w:eastAsia="zh-CN"/>
        </w:rPr>
        <w:t>Barazzoni</w:t>
      </w:r>
      <w:proofErr w:type="spellEnd"/>
      <w:r w:rsidRPr="00D07897">
        <w:rPr>
          <w:rFonts w:ascii="Book Antiqua" w:eastAsia="等线" w:hAnsi="Book Antiqua"/>
          <w:kern w:val="2"/>
          <w:lang w:eastAsia="zh-CN"/>
        </w:rPr>
        <w:t xml:space="preserve"> R, Bauer J, Van </w:t>
      </w:r>
      <w:proofErr w:type="spellStart"/>
      <w:r w:rsidRPr="00D07897">
        <w:rPr>
          <w:rFonts w:ascii="Book Antiqua" w:eastAsia="等线" w:hAnsi="Book Antiqua"/>
          <w:kern w:val="2"/>
          <w:lang w:eastAsia="zh-CN"/>
        </w:rPr>
        <w:t>Gossum</w:t>
      </w:r>
      <w:proofErr w:type="spellEnd"/>
      <w:r w:rsidRPr="00D07897">
        <w:rPr>
          <w:rFonts w:ascii="Book Antiqua" w:eastAsia="等线" w:hAnsi="Book Antiqua"/>
          <w:kern w:val="2"/>
          <w:lang w:eastAsia="zh-CN"/>
        </w:rPr>
        <w:t xml:space="preserve"> A, </w:t>
      </w:r>
      <w:proofErr w:type="spellStart"/>
      <w:r w:rsidRPr="00D07897">
        <w:rPr>
          <w:rFonts w:ascii="Book Antiqua" w:eastAsia="等线" w:hAnsi="Book Antiqua"/>
          <w:kern w:val="2"/>
          <w:lang w:eastAsia="zh-CN"/>
        </w:rPr>
        <w:t>Klek</w:t>
      </w:r>
      <w:proofErr w:type="spellEnd"/>
      <w:r w:rsidRPr="00D07897">
        <w:rPr>
          <w:rFonts w:ascii="Book Antiqua" w:eastAsia="等线" w:hAnsi="Book Antiqua"/>
          <w:kern w:val="2"/>
          <w:lang w:eastAsia="zh-CN"/>
        </w:rPr>
        <w:t xml:space="preserve"> S, </w:t>
      </w:r>
      <w:proofErr w:type="spellStart"/>
      <w:r w:rsidRPr="00D07897">
        <w:rPr>
          <w:rFonts w:ascii="Book Antiqua" w:eastAsia="等线" w:hAnsi="Book Antiqua"/>
          <w:kern w:val="2"/>
          <w:lang w:eastAsia="zh-CN"/>
        </w:rPr>
        <w:t>Muscaritoli</w:t>
      </w:r>
      <w:proofErr w:type="spellEnd"/>
      <w:r w:rsidRPr="00D07897">
        <w:rPr>
          <w:rFonts w:ascii="Book Antiqua" w:eastAsia="等线" w:hAnsi="Book Antiqua"/>
          <w:kern w:val="2"/>
          <w:lang w:eastAsia="zh-CN"/>
        </w:rPr>
        <w:t xml:space="preserve"> M, </w:t>
      </w:r>
      <w:proofErr w:type="spellStart"/>
      <w:r w:rsidRPr="00D07897">
        <w:rPr>
          <w:rFonts w:ascii="Book Antiqua" w:eastAsia="等线" w:hAnsi="Book Antiqua"/>
          <w:kern w:val="2"/>
          <w:lang w:eastAsia="zh-CN"/>
        </w:rPr>
        <w:t>Nyulasi</w:t>
      </w:r>
      <w:proofErr w:type="spellEnd"/>
      <w:r w:rsidRPr="00D07897">
        <w:rPr>
          <w:rFonts w:ascii="Book Antiqua" w:eastAsia="等线" w:hAnsi="Book Antiqua"/>
          <w:kern w:val="2"/>
          <w:lang w:eastAsia="zh-CN"/>
        </w:rPr>
        <w:t xml:space="preserve"> I, </w:t>
      </w:r>
      <w:proofErr w:type="spellStart"/>
      <w:r w:rsidRPr="00D07897">
        <w:rPr>
          <w:rFonts w:ascii="Book Antiqua" w:eastAsia="等线" w:hAnsi="Book Antiqua"/>
          <w:kern w:val="2"/>
          <w:lang w:eastAsia="zh-CN"/>
        </w:rPr>
        <w:t>Ockenga</w:t>
      </w:r>
      <w:proofErr w:type="spellEnd"/>
      <w:r w:rsidRPr="00D07897">
        <w:rPr>
          <w:rFonts w:ascii="Book Antiqua" w:eastAsia="等线" w:hAnsi="Book Antiqua"/>
          <w:kern w:val="2"/>
          <w:lang w:eastAsia="zh-CN"/>
        </w:rPr>
        <w:t xml:space="preserve"> J, Schneider SM, de van der </w:t>
      </w:r>
      <w:proofErr w:type="spellStart"/>
      <w:r w:rsidRPr="00D07897">
        <w:rPr>
          <w:rFonts w:ascii="Book Antiqua" w:eastAsia="等线" w:hAnsi="Book Antiqua"/>
          <w:kern w:val="2"/>
          <w:lang w:eastAsia="zh-CN"/>
        </w:rPr>
        <w:t>Schueren</w:t>
      </w:r>
      <w:proofErr w:type="spellEnd"/>
      <w:r w:rsidRPr="00D07897">
        <w:rPr>
          <w:rFonts w:ascii="Book Antiqua" w:eastAsia="等线" w:hAnsi="Book Antiqua"/>
          <w:kern w:val="2"/>
          <w:lang w:eastAsia="zh-CN"/>
        </w:rPr>
        <w:t xml:space="preserve"> MA, Singer P. Diagnostic criteria for malnutrition - An ESPEN Consensus Statement. </w:t>
      </w:r>
      <w:proofErr w:type="spellStart"/>
      <w:r w:rsidRPr="00D07897">
        <w:rPr>
          <w:rFonts w:ascii="Book Antiqua" w:eastAsia="等线" w:hAnsi="Book Antiqua"/>
          <w:i/>
          <w:kern w:val="2"/>
          <w:lang w:eastAsia="zh-CN"/>
        </w:rPr>
        <w:t>Clin</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kern w:val="2"/>
          <w:lang w:eastAsia="zh-CN"/>
        </w:rPr>
        <w:t xml:space="preserve"> 2015; </w:t>
      </w:r>
      <w:r w:rsidRPr="00D07897">
        <w:rPr>
          <w:rFonts w:ascii="Book Antiqua" w:eastAsia="等线" w:hAnsi="Book Antiqua"/>
          <w:b/>
          <w:kern w:val="2"/>
          <w:lang w:eastAsia="zh-CN"/>
        </w:rPr>
        <w:t>34</w:t>
      </w:r>
      <w:r w:rsidRPr="00D07897">
        <w:rPr>
          <w:rFonts w:ascii="Book Antiqua" w:eastAsia="等线" w:hAnsi="Book Antiqua"/>
          <w:kern w:val="2"/>
          <w:lang w:eastAsia="zh-CN"/>
        </w:rPr>
        <w:t>: 335-340 [PMID: 25799486 DOI: 10.1016/j.clnu.2015.03.001]</w:t>
      </w:r>
    </w:p>
    <w:p w14:paraId="4FF156AE"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8 </w:t>
      </w:r>
      <w:r w:rsidRPr="00D07897">
        <w:rPr>
          <w:rFonts w:ascii="Book Antiqua" w:eastAsia="等线" w:hAnsi="Book Antiqua"/>
          <w:b/>
          <w:kern w:val="2"/>
          <w:lang w:eastAsia="zh-CN"/>
        </w:rPr>
        <w:t>Jansen I</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Prager</w:t>
      </w:r>
      <w:proofErr w:type="spellEnd"/>
      <w:r w:rsidRPr="00D07897">
        <w:rPr>
          <w:rFonts w:ascii="Book Antiqua" w:eastAsia="等线" w:hAnsi="Book Antiqua"/>
          <w:kern w:val="2"/>
          <w:lang w:eastAsia="zh-CN"/>
        </w:rPr>
        <w:t xml:space="preserve"> M, </w:t>
      </w:r>
      <w:proofErr w:type="spellStart"/>
      <w:proofErr w:type="gramStart"/>
      <w:r w:rsidRPr="00D07897">
        <w:rPr>
          <w:rFonts w:ascii="Book Antiqua" w:eastAsia="等线" w:hAnsi="Book Antiqua"/>
          <w:kern w:val="2"/>
          <w:lang w:eastAsia="zh-CN"/>
        </w:rPr>
        <w:t>Valentini</w:t>
      </w:r>
      <w:proofErr w:type="spellEnd"/>
      <w:proofErr w:type="gramEnd"/>
      <w:r w:rsidRPr="00D07897">
        <w:rPr>
          <w:rFonts w:ascii="Book Antiqua" w:eastAsia="等线" w:hAnsi="Book Antiqua"/>
          <w:kern w:val="2"/>
          <w:lang w:eastAsia="zh-CN"/>
        </w:rPr>
        <w:t xml:space="preserve"> L, </w:t>
      </w:r>
      <w:proofErr w:type="spellStart"/>
      <w:r w:rsidRPr="00D07897">
        <w:rPr>
          <w:rFonts w:ascii="Book Antiqua" w:eastAsia="等线" w:hAnsi="Book Antiqua"/>
          <w:kern w:val="2"/>
          <w:lang w:eastAsia="zh-CN"/>
        </w:rPr>
        <w:t>Büning</w:t>
      </w:r>
      <w:proofErr w:type="spellEnd"/>
      <w:r w:rsidRPr="00D07897">
        <w:rPr>
          <w:rFonts w:ascii="Book Antiqua" w:eastAsia="等线" w:hAnsi="Book Antiqua"/>
          <w:kern w:val="2"/>
          <w:lang w:eastAsia="zh-CN"/>
        </w:rPr>
        <w:t xml:space="preserve"> C. Inflammation-driven malnutrition: A new screening tool predicts outcome in Crohn's disease. </w:t>
      </w:r>
      <w:r w:rsidRPr="00D07897">
        <w:rPr>
          <w:rFonts w:ascii="Book Antiqua" w:eastAsia="等线" w:hAnsi="Book Antiqua"/>
          <w:i/>
          <w:kern w:val="2"/>
          <w:lang w:eastAsia="zh-CN"/>
        </w:rPr>
        <w:t xml:space="preserve">Br J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kern w:val="2"/>
          <w:lang w:eastAsia="zh-CN"/>
        </w:rPr>
        <w:t xml:space="preserve"> 2016; </w:t>
      </w:r>
      <w:r w:rsidRPr="00D07897">
        <w:rPr>
          <w:rFonts w:ascii="Book Antiqua" w:eastAsia="等线" w:hAnsi="Book Antiqua"/>
          <w:b/>
          <w:kern w:val="2"/>
          <w:lang w:eastAsia="zh-CN"/>
        </w:rPr>
        <w:t>116</w:t>
      </w:r>
      <w:r w:rsidRPr="00D07897">
        <w:rPr>
          <w:rFonts w:ascii="Book Antiqua" w:eastAsia="等线" w:hAnsi="Book Antiqua"/>
          <w:kern w:val="2"/>
          <w:lang w:eastAsia="zh-CN"/>
        </w:rPr>
        <w:t>: 1061-1067 [PMID: 27546478 DOI: 10.1017/S0007114516003044]</w:t>
      </w:r>
    </w:p>
    <w:p w14:paraId="78973B9B"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9 </w:t>
      </w:r>
      <w:proofErr w:type="spellStart"/>
      <w:r w:rsidRPr="00D07897">
        <w:rPr>
          <w:rFonts w:ascii="Book Antiqua" w:eastAsia="等线" w:hAnsi="Book Antiqua"/>
          <w:b/>
          <w:kern w:val="2"/>
          <w:lang w:eastAsia="zh-CN"/>
        </w:rPr>
        <w:t>Bamba</w:t>
      </w:r>
      <w:proofErr w:type="spellEnd"/>
      <w:r w:rsidRPr="00D07897">
        <w:rPr>
          <w:rFonts w:ascii="Book Antiqua" w:eastAsia="等线" w:hAnsi="Book Antiqua"/>
          <w:b/>
          <w:kern w:val="2"/>
          <w:lang w:eastAsia="zh-CN"/>
        </w:rPr>
        <w:t xml:space="preserve"> S</w:t>
      </w:r>
      <w:r w:rsidRPr="00D07897">
        <w:rPr>
          <w:rFonts w:ascii="Book Antiqua" w:eastAsia="等线" w:hAnsi="Book Antiqua"/>
          <w:kern w:val="2"/>
          <w:lang w:eastAsia="zh-CN"/>
        </w:rPr>
        <w:t xml:space="preserve">, Sasaki M, Takaoka A, Takahashi K, </w:t>
      </w:r>
      <w:proofErr w:type="spellStart"/>
      <w:r w:rsidRPr="00D07897">
        <w:rPr>
          <w:rFonts w:ascii="Book Antiqua" w:eastAsia="等线" w:hAnsi="Book Antiqua"/>
          <w:kern w:val="2"/>
          <w:lang w:eastAsia="zh-CN"/>
        </w:rPr>
        <w:t>Imaeda</w:t>
      </w:r>
      <w:proofErr w:type="spellEnd"/>
      <w:r w:rsidRPr="00D07897">
        <w:rPr>
          <w:rFonts w:ascii="Book Antiqua" w:eastAsia="等线" w:hAnsi="Book Antiqua"/>
          <w:kern w:val="2"/>
          <w:lang w:eastAsia="zh-CN"/>
        </w:rPr>
        <w:t xml:space="preserve"> H, Nishida A, </w:t>
      </w:r>
      <w:proofErr w:type="spellStart"/>
      <w:r w:rsidRPr="00D07897">
        <w:rPr>
          <w:rFonts w:ascii="Book Antiqua" w:eastAsia="等线" w:hAnsi="Book Antiqua"/>
          <w:kern w:val="2"/>
          <w:lang w:eastAsia="zh-CN"/>
        </w:rPr>
        <w:t>Inatomi</w:t>
      </w:r>
      <w:proofErr w:type="spellEnd"/>
      <w:r w:rsidRPr="00D07897">
        <w:rPr>
          <w:rFonts w:ascii="Book Antiqua" w:eastAsia="等线" w:hAnsi="Book Antiqua"/>
          <w:kern w:val="2"/>
          <w:lang w:eastAsia="zh-CN"/>
        </w:rPr>
        <w:t xml:space="preserve"> O, Sugimoto M, </w:t>
      </w:r>
      <w:proofErr w:type="spellStart"/>
      <w:r w:rsidRPr="00D07897">
        <w:rPr>
          <w:rFonts w:ascii="Book Antiqua" w:eastAsia="等线" w:hAnsi="Book Antiqua"/>
          <w:kern w:val="2"/>
          <w:lang w:eastAsia="zh-CN"/>
        </w:rPr>
        <w:t>Andoh</w:t>
      </w:r>
      <w:proofErr w:type="spellEnd"/>
      <w:r w:rsidRPr="00D07897">
        <w:rPr>
          <w:rFonts w:ascii="Book Antiqua" w:eastAsia="等线" w:hAnsi="Book Antiqua"/>
          <w:kern w:val="2"/>
          <w:lang w:eastAsia="zh-CN"/>
        </w:rPr>
        <w:t xml:space="preserve"> A. Sarcopenia is a predictive factor for intestinal resection in admitted patients with Crohn's disease. </w:t>
      </w:r>
      <w:proofErr w:type="spellStart"/>
      <w:r w:rsidRPr="00D07897">
        <w:rPr>
          <w:rFonts w:ascii="Book Antiqua" w:eastAsia="等线" w:hAnsi="Book Antiqua"/>
          <w:i/>
          <w:kern w:val="2"/>
          <w:lang w:eastAsia="zh-CN"/>
        </w:rPr>
        <w:t>PLoS</w:t>
      </w:r>
      <w:proofErr w:type="spellEnd"/>
      <w:r w:rsidRPr="00D07897">
        <w:rPr>
          <w:rFonts w:ascii="Book Antiqua" w:eastAsia="等线" w:hAnsi="Book Antiqua"/>
          <w:i/>
          <w:kern w:val="2"/>
          <w:lang w:eastAsia="zh-CN"/>
        </w:rPr>
        <w:t xml:space="preserve"> One</w:t>
      </w:r>
      <w:r w:rsidRPr="00D07897">
        <w:rPr>
          <w:rFonts w:ascii="Book Antiqua" w:eastAsia="等线" w:hAnsi="Book Antiqua"/>
          <w:kern w:val="2"/>
          <w:lang w:eastAsia="zh-CN"/>
        </w:rPr>
        <w:t xml:space="preserve"> 2017; </w:t>
      </w:r>
      <w:r w:rsidRPr="00D07897">
        <w:rPr>
          <w:rFonts w:ascii="Book Antiqua" w:eastAsia="等线" w:hAnsi="Book Antiqua"/>
          <w:b/>
          <w:kern w:val="2"/>
          <w:lang w:eastAsia="zh-CN"/>
        </w:rPr>
        <w:t>12</w:t>
      </w:r>
      <w:r w:rsidRPr="00D07897">
        <w:rPr>
          <w:rFonts w:ascii="Book Antiqua" w:eastAsia="等线" w:hAnsi="Book Antiqua"/>
          <w:kern w:val="2"/>
          <w:lang w:eastAsia="zh-CN"/>
        </w:rPr>
        <w:t>: e0180036 [PMID: 28644887 DOI: 10.1371/journal.pone.0180036]</w:t>
      </w:r>
    </w:p>
    <w:p w14:paraId="5CD6A6D0"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10 </w:t>
      </w:r>
      <w:r w:rsidRPr="00D07897">
        <w:rPr>
          <w:rFonts w:ascii="Book Antiqua" w:eastAsia="等线" w:hAnsi="Book Antiqua"/>
          <w:b/>
          <w:kern w:val="2"/>
          <w:lang w:eastAsia="zh-CN"/>
        </w:rPr>
        <w:t>Zhang T</w:t>
      </w:r>
      <w:r w:rsidRPr="00D07897">
        <w:rPr>
          <w:rFonts w:ascii="Book Antiqua" w:eastAsia="等线" w:hAnsi="Book Antiqua"/>
          <w:kern w:val="2"/>
          <w:lang w:eastAsia="zh-CN"/>
        </w:rPr>
        <w:t xml:space="preserve">, Cao L, Cao T, Yang J, Gong J, Zhu W, Li N, Li J. Prevalence of Sarcopenia and Its Impact on Postoperative Outcome in Patients With Crohn's Disease Undergoing Bowel Resection. </w:t>
      </w:r>
      <w:r w:rsidRPr="00D07897">
        <w:rPr>
          <w:rFonts w:ascii="Book Antiqua" w:eastAsia="等线" w:hAnsi="Book Antiqua"/>
          <w:i/>
          <w:kern w:val="2"/>
          <w:lang w:eastAsia="zh-CN"/>
        </w:rPr>
        <w:t xml:space="preserve">JPEN J </w:t>
      </w:r>
      <w:proofErr w:type="spellStart"/>
      <w:r w:rsidRPr="00D07897">
        <w:rPr>
          <w:rFonts w:ascii="Book Antiqua" w:eastAsia="等线" w:hAnsi="Book Antiqua"/>
          <w:i/>
          <w:kern w:val="2"/>
          <w:lang w:eastAsia="zh-CN"/>
        </w:rPr>
        <w:t>Parenter</w:t>
      </w:r>
      <w:proofErr w:type="spellEnd"/>
      <w:r w:rsidRPr="00D07897">
        <w:rPr>
          <w:rFonts w:ascii="Book Antiqua" w:eastAsia="等线" w:hAnsi="Book Antiqua"/>
          <w:i/>
          <w:kern w:val="2"/>
          <w:lang w:eastAsia="zh-CN"/>
        </w:rPr>
        <w:t xml:space="preserve"> Enteral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kern w:val="2"/>
          <w:lang w:eastAsia="zh-CN"/>
        </w:rPr>
        <w:t xml:space="preserve"> 2017; </w:t>
      </w:r>
      <w:r w:rsidRPr="00D07897">
        <w:rPr>
          <w:rFonts w:ascii="Book Antiqua" w:eastAsia="等线" w:hAnsi="Book Antiqua"/>
          <w:b/>
          <w:kern w:val="2"/>
          <w:lang w:eastAsia="zh-CN"/>
        </w:rPr>
        <w:t>41</w:t>
      </w:r>
      <w:r w:rsidRPr="00D07897">
        <w:rPr>
          <w:rFonts w:ascii="Book Antiqua" w:eastAsia="等线" w:hAnsi="Book Antiqua"/>
          <w:kern w:val="2"/>
          <w:lang w:eastAsia="zh-CN"/>
        </w:rPr>
        <w:t>: 592-600 [PMID: 26471990 DOI: 10.1177/0148607115612054]</w:t>
      </w:r>
    </w:p>
    <w:p w14:paraId="31CA5CFE"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11 </w:t>
      </w:r>
      <w:r w:rsidRPr="00D07897">
        <w:rPr>
          <w:rFonts w:ascii="Book Antiqua" w:eastAsia="等线" w:hAnsi="Book Antiqua"/>
          <w:b/>
          <w:kern w:val="2"/>
          <w:lang w:eastAsia="zh-CN"/>
        </w:rPr>
        <w:t>Zhang T</w:t>
      </w:r>
      <w:r w:rsidRPr="00D07897">
        <w:rPr>
          <w:rFonts w:ascii="Book Antiqua" w:eastAsia="等线" w:hAnsi="Book Antiqua"/>
          <w:kern w:val="2"/>
          <w:lang w:eastAsia="zh-CN"/>
        </w:rPr>
        <w:t xml:space="preserve">, Ding C, </w:t>
      </w:r>
      <w:proofErr w:type="spellStart"/>
      <w:r w:rsidRPr="00D07897">
        <w:rPr>
          <w:rFonts w:ascii="Book Antiqua" w:eastAsia="等线" w:hAnsi="Book Antiqua"/>
          <w:kern w:val="2"/>
          <w:lang w:eastAsia="zh-CN"/>
        </w:rPr>
        <w:t>Xie</w:t>
      </w:r>
      <w:proofErr w:type="spellEnd"/>
      <w:r w:rsidRPr="00D07897">
        <w:rPr>
          <w:rFonts w:ascii="Book Antiqua" w:eastAsia="等线" w:hAnsi="Book Antiqua"/>
          <w:kern w:val="2"/>
          <w:lang w:eastAsia="zh-CN"/>
        </w:rPr>
        <w:t xml:space="preserve"> T, Yang J, Dai X, </w:t>
      </w:r>
      <w:proofErr w:type="spellStart"/>
      <w:r w:rsidRPr="00D07897">
        <w:rPr>
          <w:rFonts w:ascii="Book Antiqua" w:eastAsia="等线" w:hAnsi="Book Antiqua"/>
          <w:kern w:val="2"/>
          <w:lang w:eastAsia="zh-CN"/>
        </w:rPr>
        <w:t>Lv</w:t>
      </w:r>
      <w:proofErr w:type="spellEnd"/>
      <w:r w:rsidRPr="00D07897">
        <w:rPr>
          <w:rFonts w:ascii="Book Antiqua" w:eastAsia="等线" w:hAnsi="Book Antiqua"/>
          <w:kern w:val="2"/>
          <w:lang w:eastAsia="zh-CN"/>
        </w:rPr>
        <w:t xml:space="preserve"> T, Li Y, Gu L, Wei Y, Gong J, Zhu W, Li N, Li J. Skeletal muscle depletion correlates with disease activity in ulcerative colitis and is reversed after colectomy. </w:t>
      </w:r>
      <w:proofErr w:type="spellStart"/>
      <w:r w:rsidRPr="00D07897">
        <w:rPr>
          <w:rFonts w:ascii="Book Antiqua" w:eastAsia="等线" w:hAnsi="Book Antiqua"/>
          <w:i/>
          <w:kern w:val="2"/>
          <w:lang w:eastAsia="zh-CN"/>
        </w:rPr>
        <w:t>Clin</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kern w:val="2"/>
          <w:lang w:eastAsia="zh-CN"/>
        </w:rPr>
        <w:t xml:space="preserve"> 2017; </w:t>
      </w:r>
      <w:r w:rsidRPr="00D07897">
        <w:rPr>
          <w:rFonts w:ascii="Book Antiqua" w:eastAsia="等线" w:hAnsi="Book Antiqua"/>
          <w:b/>
          <w:kern w:val="2"/>
          <w:lang w:eastAsia="zh-CN"/>
        </w:rPr>
        <w:t>36</w:t>
      </w:r>
      <w:r w:rsidRPr="00D07897">
        <w:rPr>
          <w:rFonts w:ascii="Book Antiqua" w:eastAsia="等线" w:hAnsi="Book Antiqua"/>
          <w:kern w:val="2"/>
          <w:lang w:eastAsia="zh-CN"/>
        </w:rPr>
        <w:t>: 1586-1592 [PMID: 27814937 DOI: 10.1016/j.clnu.2016.10.004]</w:t>
      </w:r>
    </w:p>
    <w:p w14:paraId="3B5E5789"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12 </w:t>
      </w:r>
      <w:r w:rsidRPr="00D07897">
        <w:rPr>
          <w:rFonts w:ascii="Book Antiqua" w:eastAsia="等线" w:hAnsi="Book Antiqua"/>
          <w:b/>
          <w:kern w:val="2"/>
          <w:lang w:eastAsia="zh-CN"/>
        </w:rPr>
        <w:t>Pedersen M</w:t>
      </w:r>
      <w:r w:rsidRPr="00D07897">
        <w:rPr>
          <w:rFonts w:ascii="Book Antiqua" w:eastAsia="等线" w:hAnsi="Book Antiqua"/>
          <w:kern w:val="2"/>
          <w:lang w:eastAsia="zh-CN"/>
        </w:rPr>
        <w:t xml:space="preserve">, Cromwell J, Nau P. Sarcopenia is a Predictor of Surgical Morbidity in Inflammatory Bowel Disease. </w:t>
      </w:r>
      <w:proofErr w:type="spellStart"/>
      <w:r w:rsidRPr="00D07897">
        <w:rPr>
          <w:rFonts w:ascii="Book Antiqua" w:eastAsia="等线" w:hAnsi="Book Antiqua"/>
          <w:i/>
          <w:kern w:val="2"/>
          <w:lang w:eastAsia="zh-CN"/>
        </w:rPr>
        <w:t>Inflamm</w:t>
      </w:r>
      <w:proofErr w:type="spellEnd"/>
      <w:r w:rsidRPr="00D07897">
        <w:rPr>
          <w:rFonts w:ascii="Book Antiqua" w:eastAsia="等线" w:hAnsi="Book Antiqua"/>
          <w:i/>
          <w:kern w:val="2"/>
          <w:lang w:eastAsia="zh-CN"/>
        </w:rPr>
        <w:t xml:space="preserve"> Bowel Dis</w:t>
      </w:r>
      <w:r w:rsidRPr="00D07897">
        <w:rPr>
          <w:rFonts w:ascii="Book Antiqua" w:eastAsia="等线" w:hAnsi="Book Antiqua"/>
          <w:kern w:val="2"/>
          <w:lang w:eastAsia="zh-CN"/>
        </w:rPr>
        <w:t xml:space="preserve"> 2017; </w:t>
      </w:r>
      <w:r w:rsidRPr="00D07897">
        <w:rPr>
          <w:rFonts w:ascii="Book Antiqua" w:eastAsia="等线" w:hAnsi="Book Antiqua"/>
          <w:b/>
          <w:kern w:val="2"/>
          <w:lang w:eastAsia="zh-CN"/>
        </w:rPr>
        <w:t>23</w:t>
      </w:r>
      <w:r w:rsidRPr="00D07897">
        <w:rPr>
          <w:rFonts w:ascii="Book Antiqua" w:eastAsia="等线" w:hAnsi="Book Antiqua"/>
          <w:kern w:val="2"/>
          <w:lang w:eastAsia="zh-CN"/>
        </w:rPr>
        <w:t>: 1867-1872 [PMID: 28604415 DOI: 10.1097/MIB.0000000000001166]</w:t>
      </w:r>
    </w:p>
    <w:p w14:paraId="2D5105C0"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13 </w:t>
      </w:r>
      <w:r w:rsidRPr="00D07897">
        <w:rPr>
          <w:rFonts w:ascii="Book Antiqua" w:eastAsia="等线" w:hAnsi="Book Antiqua"/>
          <w:b/>
          <w:kern w:val="2"/>
          <w:lang w:eastAsia="zh-CN"/>
        </w:rPr>
        <w:t>Takaoka A</w:t>
      </w:r>
      <w:r w:rsidRPr="00D07897">
        <w:rPr>
          <w:rFonts w:ascii="Book Antiqua" w:eastAsia="等线" w:hAnsi="Book Antiqua"/>
          <w:kern w:val="2"/>
          <w:lang w:eastAsia="zh-CN"/>
        </w:rPr>
        <w:t xml:space="preserve">, Sasaki M, Nakanishi N, </w:t>
      </w:r>
      <w:proofErr w:type="spellStart"/>
      <w:r w:rsidRPr="00D07897">
        <w:rPr>
          <w:rFonts w:ascii="Book Antiqua" w:eastAsia="等线" w:hAnsi="Book Antiqua"/>
          <w:kern w:val="2"/>
          <w:lang w:eastAsia="zh-CN"/>
        </w:rPr>
        <w:t>Kurihara</w:t>
      </w:r>
      <w:proofErr w:type="spellEnd"/>
      <w:r w:rsidRPr="00D07897">
        <w:rPr>
          <w:rFonts w:ascii="Book Antiqua" w:eastAsia="等线" w:hAnsi="Book Antiqua"/>
          <w:kern w:val="2"/>
          <w:lang w:eastAsia="zh-CN"/>
        </w:rPr>
        <w:t xml:space="preserve"> M, </w:t>
      </w:r>
      <w:proofErr w:type="spellStart"/>
      <w:r w:rsidRPr="00D07897">
        <w:rPr>
          <w:rFonts w:ascii="Book Antiqua" w:eastAsia="等线" w:hAnsi="Book Antiqua"/>
          <w:kern w:val="2"/>
          <w:lang w:eastAsia="zh-CN"/>
        </w:rPr>
        <w:t>Ohi</w:t>
      </w:r>
      <w:proofErr w:type="spellEnd"/>
      <w:r w:rsidRPr="00D07897">
        <w:rPr>
          <w:rFonts w:ascii="Book Antiqua" w:eastAsia="等线" w:hAnsi="Book Antiqua"/>
          <w:kern w:val="2"/>
          <w:lang w:eastAsia="zh-CN"/>
        </w:rPr>
        <w:t xml:space="preserve"> A, </w:t>
      </w:r>
      <w:proofErr w:type="spellStart"/>
      <w:r w:rsidRPr="00D07897">
        <w:rPr>
          <w:rFonts w:ascii="Book Antiqua" w:eastAsia="等线" w:hAnsi="Book Antiqua"/>
          <w:kern w:val="2"/>
          <w:lang w:eastAsia="zh-CN"/>
        </w:rPr>
        <w:t>Bamba</w:t>
      </w:r>
      <w:proofErr w:type="spellEnd"/>
      <w:r w:rsidRPr="00D07897">
        <w:rPr>
          <w:rFonts w:ascii="Book Antiqua" w:eastAsia="等线" w:hAnsi="Book Antiqua"/>
          <w:kern w:val="2"/>
          <w:lang w:eastAsia="zh-CN"/>
        </w:rPr>
        <w:t xml:space="preserve"> S, </w:t>
      </w:r>
      <w:proofErr w:type="spellStart"/>
      <w:r w:rsidRPr="00D07897">
        <w:rPr>
          <w:rFonts w:ascii="Book Antiqua" w:eastAsia="等线" w:hAnsi="Book Antiqua"/>
          <w:kern w:val="2"/>
          <w:lang w:eastAsia="zh-CN"/>
        </w:rPr>
        <w:t>Andoh</w:t>
      </w:r>
      <w:proofErr w:type="spellEnd"/>
      <w:r w:rsidRPr="00D07897">
        <w:rPr>
          <w:rFonts w:ascii="Book Antiqua" w:eastAsia="等线" w:hAnsi="Book Antiqua"/>
          <w:kern w:val="2"/>
          <w:lang w:eastAsia="zh-CN"/>
        </w:rPr>
        <w:t xml:space="preserve"> A. Nutritional Screening and Clinical Outcome in Hospitalized Patients with Crohn's Disease. </w:t>
      </w:r>
      <w:r w:rsidRPr="00D07897">
        <w:rPr>
          <w:rFonts w:ascii="Book Antiqua" w:eastAsia="等线" w:hAnsi="Book Antiqua"/>
          <w:i/>
          <w:kern w:val="2"/>
          <w:lang w:eastAsia="zh-CN"/>
        </w:rPr>
        <w:t xml:space="preserve">Ann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Metab</w:t>
      </w:r>
      <w:proofErr w:type="spellEnd"/>
      <w:r w:rsidRPr="00D07897">
        <w:rPr>
          <w:rFonts w:ascii="Book Antiqua" w:eastAsia="等线" w:hAnsi="Book Antiqua"/>
          <w:kern w:val="2"/>
          <w:lang w:eastAsia="zh-CN"/>
        </w:rPr>
        <w:t xml:space="preserve"> 2017; </w:t>
      </w:r>
      <w:r w:rsidRPr="00D07897">
        <w:rPr>
          <w:rFonts w:ascii="Book Antiqua" w:eastAsia="等线" w:hAnsi="Book Antiqua"/>
          <w:b/>
          <w:kern w:val="2"/>
          <w:lang w:eastAsia="zh-CN"/>
        </w:rPr>
        <w:t>71</w:t>
      </w:r>
      <w:r w:rsidRPr="00D07897">
        <w:rPr>
          <w:rFonts w:ascii="Book Antiqua" w:eastAsia="等线" w:hAnsi="Book Antiqua"/>
          <w:kern w:val="2"/>
          <w:lang w:eastAsia="zh-CN"/>
        </w:rPr>
        <w:t xml:space="preserve">: 266-272 [PMID: 29241167 DOI: </w:t>
      </w:r>
      <w:r w:rsidRPr="00D07897">
        <w:rPr>
          <w:rFonts w:ascii="Book Antiqua" w:eastAsia="等线" w:hAnsi="Book Antiqua"/>
          <w:kern w:val="2"/>
          <w:lang w:eastAsia="zh-CN"/>
        </w:rPr>
        <w:lastRenderedPageBreak/>
        <w:t>10.1159/000485637]</w:t>
      </w:r>
    </w:p>
    <w:p w14:paraId="18566E92"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14 </w:t>
      </w:r>
      <w:proofErr w:type="spellStart"/>
      <w:r w:rsidRPr="00D07897">
        <w:rPr>
          <w:rFonts w:ascii="Book Antiqua" w:eastAsia="等线" w:hAnsi="Book Antiqua"/>
          <w:b/>
          <w:kern w:val="2"/>
          <w:lang w:eastAsia="zh-CN"/>
        </w:rPr>
        <w:t>Kondrup</w:t>
      </w:r>
      <w:proofErr w:type="spellEnd"/>
      <w:r w:rsidRPr="00D07897">
        <w:rPr>
          <w:rFonts w:ascii="Book Antiqua" w:eastAsia="等线" w:hAnsi="Book Antiqua"/>
          <w:b/>
          <w:kern w:val="2"/>
          <w:lang w:eastAsia="zh-CN"/>
        </w:rPr>
        <w:t xml:space="preserve"> J</w:t>
      </w:r>
      <w:r w:rsidRPr="00D07897">
        <w:rPr>
          <w:rFonts w:ascii="Book Antiqua" w:eastAsia="等线" w:hAnsi="Book Antiqua"/>
          <w:kern w:val="2"/>
          <w:lang w:eastAsia="zh-CN"/>
        </w:rPr>
        <w:t xml:space="preserve">, Allison SP, </w:t>
      </w:r>
      <w:proofErr w:type="spellStart"/>
      <w:r w:rsidRPr="00D07897">
        <w:rPr>
          <w:rFonts w:ascii="Book Antiqua" w:eastAsia="等线" w:hAnsi="Book Antiqua"/>
          <w:kern w:val="2"/>
          <w:lang w:eastAsia="zh-CN"/>
        </w:rPr>
        <w:t>Elia</w:t>
      </w:r>
      <w:proofErr w:type="spellEnd"/>
      <w:r w:rsidRPr="00D07897">
        <w:rPr>
          <w:rFonts w:ascii="Book Antiqua" w:eastAsia="等线" w:hAnsi="Book Antiqua"/>
          <w:kern w:val="2"/>
          <w:lang w:eastAsia="zh-CN"/>
        </w:rPr>
        <w:t xml:space="preserve"> M, </w:t>
      </w:r>
      <w:proofErr w:type="spellStart"/>
      <w:r w:rsidRPr="00D07897">
        <w:rPr>
          <w:rFonts w:ascii="Book Antiqua" w:eastAsia="等线" w:hAnsi="Book Antiqua"/>
          <w:kern w:val="2"/>
          <w:lang w:eastAsia="zh-CN"/>
        </w:rPr>
        <w:t>Vellas</w:t>
      </w:r>
      <w:proofErr w:type="spellEnd"/>
      <w:r w:rsidRPr="00D07897">
        <w:rPr>
          <w:rFonts w:ascii="Book Antiqua" w:eastAsia="等线" w:hAnsi="Book Antiqua"/>
          <w:kern w:val="2"/>
          <w:lang w:eastAsia="zh-CN"/>
        </w:rPr>
        <w:t xml:space="preserve"> B, </w:t>
      </w:r>
      <w:proofErr w:type="spellStart"/>
      <w:r w:rsidRPr="00D07897">
        <w:rPr>
          <w:rFonts w:ascii="Book Antiqua" w:eastAsia="等线" w:hAnsi="Book Antiqua"/>
          <w:kern w:val="2"/>
          <w:lang w:eastAsia="zh-CN"/>
        </w:rPr>
        <w:t>Plauth</w:t>
      </w:r>
      <w:proofErr w:type="spellEnd"/>
      <w:r w:rsidRPr="00D07897">
        <w:rPr>
          <w:rFonts w:ascii="Book Antiqua" w:eastAsia="等线" w:hAnsi="Book Antiqua"/>
          <w:kern w:val="2"/>
          <w:lang w:eastAsia="zh-CN"/>
        </w:rPr>
        <w:t xml:space="preserve"> M; Educational and Clinical Practice Committee, European Society of Parenteral and Enteral Nutrition (ESPEN). </w:t>
      </w:r>
      <w:proofErr w:type="gramStart"/>
      <w:r w:rsidRPr="00D07897">
        <w:rPr>
          <w:rFonts w:ascii="Book Antiqua" w:eastAsia="等线" w:hAnsi="Book Antiqua"/>
          <w:kern w:val="2"/>
          <w:lang w:eastAsia="zh-CN"/>
        </w:rPr>
        <w:t>ESPEN guidelines for nutrition screening 2002.</w:t>
      </w:r>
      <w:proofErr w:type="gramEnd"/>
      <w:r w:rsidRPr="00D07897">
        <w:rPr>
          <w:rFonts w:ascii="Book Antiqua" w:eastAsia="等线" w:hAnsi="Book Antiqua"/>
          <w:kern w:val="2"/>
          <w:lang w:eastAsia="zh-CN"/>
        </w:rPr>
        <w:t xml:space="preserve"> </w:t>
      </w:r>
      <w:proofErr w:type="spellStart"/>
      <w:r w:rsidRPr="00D07897">
        <w:rPr>
          <w:rFonts w:ascii="Book Antiqua" w:eastAsia="等线" w:hAnsi="Book Antiqua"/>
          <w:i/>
          <w:kern w:val="2"/>
          <w:lang w:eastAsia="zh-CN"/>
        </w:rPr>
        <w:t>Clin</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kern w:val="2"/>
          <w:lang w:eastAsia="zh-CN"/>
        </w:rPr>
        <w:t xml:space="preserve"> 2003; </w:t>
      </w:r>
      <w:r w:rsidRPr="00D07897">
        <w:rPr>
          <w:rFonts w:ascii="Book Antiqua" w:eastAsia="等线" w:hAnsi="Book Antiqua"/>
          <w:b/>
          <w:kern w:val="2"/>
          <w:lang w:eastAsia="zh-CN"/>
        </w:rPr>
        <w:t>22</w:t>
      </w:r>
      <w:r w:rsidRPr="00D07897">
        <w:rPr>
          <w:rFonts w:ascii="Book Antiqua" w:eastAsia="等线" w:hAnsi="Book Antiqua"/>
          <w:kern w:val="2"/>
          <w:lang w:eastAsia="zh-CN"/>
        </w:rPr>
        <w:t>: 415-421 [PMID: 12880610 DOI: 10.1016/S0261-5614(03)00098-0]</w:t>
      </w:r>
    </w:p>
    <w:p w14:paraId="46DC8605"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15 </w:t>
      </w:r>
      <w:r w:rsidRPr="00D07897">
        <w:rPr>
          <w:rFonts w:ascii="Book Antiqua" w:eastAsia="等线" w:hAnsi="Book Antiqua"/>
          <w:b/>
          <w:kern w:val="2"/>
          <w:lang w:eastAsia="zh-CN"/>
        </w:rPr>
        <w:t>Stoner PL</w:t>
      </w:r>
      <w:r w:rsidRPr="00D07897">
        <w:rPr>
          <w:rFonts w:ascii="Book Antiqua" w:eastAsia="等线" w:hAnsi="Book Antiqua"/>
          <w:kern w:val="2"/>
          <w:lang w:eastAsia="zh-CN"/>
        </w:rPr>
        <w:t xml:space="preserve">, Kamel A, Ayoub F, Tan S, Iqbal A, Glover SC, Zimmermann EM. Perioperative Care of Patients with Inflammatory Bowel Disease: Focus on Nutritional Support. </w:t>
      </w:r>
      <w:proofErr w:type="spellStart"/>
      <w:r w:rsidRPr="00D07897">
        <w:rPr>
          <w:rFonts w:ascii="Book Antiqua" w:eastAsia="等线" w:hAnsi="Book Antiqua"/>
          <w:i/>
          <w:kern w:val="2"/>
          <w:lang w:eastAsia="zh-CN"/>
        </w:rPr>
        <w:t>Gastroenterol</w:t>
      </w:r>
      <w:proofErr w:type="spellEnd"/>
      <w:r w:rsidRPr="00D07897">
        <w:rPr>
          <w:rFonts w:ascii="Book Antiqua" w:eastAsia="等线" w:hAnsi="Book Antiqua"/>
          <w:i/>
          <w:kern w:val="2"/>
          <w:lang w:eastAsia="zh-CN"/>
        </w:rPr>
        <w:t xml:space="preserve"> Res </w:t>
      </w:r>
      <w:proofErr w:type="spellStart"/>
      <w:r w:rsidRPr="00D07897">
        <w:rPr>
          <w:rFonts w:ascii="Book Antiqua" w:eastAsia="等线" w:hAnsi="Book Antiqua"/>
          <w:i/>
          <w:kern w:val="2"/>
          <w:lang w:eastAsia="zh-CN"/>
        </w:rPr>
        <w:t>Pract</w:t>
      </w:r>
      <w:proofErr w:type="spellEnd"/>
      <w:r w:rsidRPr="00D07897">
        <w:rPr>
          <w:rFonts w:ascii="Book Antiqua" w:eastAsia="等线" w:hAnsi="Book Antiqua"/>
          <w:kern w:val="2"/>
          <w:lang w:eastAsia="zh-CN"/>
        </w:rPr>
        <w:t xml:space="preserve"> 2018; </w:t>
      </w:r>
      <w:r w:rsidRPr="00D07897">
        <w:rPr>
          <w:rFonts w:ascii="Book Antiqua" w:eastAsia="等线" w:hAnsi="Book Antiqua"/>
          <w:b/>
          <w:kern w:val="2"/>
          <w:lang w:eastAsia="zh-CN"/>
        </w:rPr>
        <w:t>2018</w:t>
      </w:r>
      <w:r w:rsidRPr="00D07897">
        <w:rPr>
          <w:rFonts w:ascii="Book Antiqua" w:eastAsia="等线" w:hAnsi="Book Antiqua"/>
          <w:kern w:val="2"/>
          <w:lang w:eastAsia="zh-CN"/>
        </w:rPr>
        <w:t>: 7890161 [PMID: 30344603 DOI: 10.1155/2018/7890161]</w:t>
      </w:r>
    </w:p>
    <w:p w14:paraId="150E4363" w14:textId="77777777" w:rsidR="00EE37A2" w:rsidRPr="00D07897" w:rsidRDefault="00EE37A2" w:rsidP="00EE37A2">
      <w:pPr>
        <w:widowControl w:val="0"/>
        <w:spacing w:line="360" w:lineRule="auto"/>
        <w:jc w:val="both"/>
        <w:rPr>
          <w:rFonts w:ascii="Book Antiqua" w:eastAsia="等线" w:hAnsi="Book Antiqua"/>
          <w:kern w:val="2"/>
          <w:lang w:eastAsia="zh-CN"/>
        </w:rPr>
      </w:pPr>
      <w:proofErr w:type="gramStart"/>
      <w:r w:rsidRPr="00D07897">
        <w:rPr>
          <w:rFonts w:ascii="Book Antiqua" w:eastAsia="等线" w:hAnsi="Book Antiqua"/>
          <w:kern w:val="2"/>
          <w:lang w:eastAsia="zh-CN"/>
        </w:rPr>
        <w:t xml:space="preserve">16 </w:t>
      </w:r>
      <w:r w:rsidRPr="00D07897">
        <w:rPr>
          <w:rFonts w:ascii="Book Antiqua" w:eastAsia="等线" w:hAnsi="Book Antiqua"/>
          <w:b/>
          <w:kern w:val="2"/>
          <w:lang w:eastAsia="zh-CN"/>
        </w:rPr>
        <w:t>Brennan GT</w:t>
      </w:r>
      <w:r w:rsidRPr="00D07897">
        <w:rPr>
          <w:rFonts w:ascii="Book Antiqua" w:eastAsia="等线" w:hAnsi="Book Antiqua"/>
          <w:kern w:val="2"/>
          <w:lang w:eastAsia="zh-CN"/>
        </w:rPr>
        <w:t>, Ha I, Hogan C, Nguyen E, Jamal MM, Bechtold ML, Nguyen DL.</w:t>
      </w:r>
      <w:proofErr w:type="gramEnd"/>
      <w:r w:rsidRPr="00D07897">
        <w:rPr>
          <w:rFonts w:ascii="Book Antiqua" w:eastAsia="等线" w:hAnsi="Book Antiqua"/>
          <w:kern w:val="2"/>
          <w:lang w:eastAsia="zh-CN"/>
        </w:rPr>
        <w:t xml:space="preserve"> Does preoperative enteral or parenteral nutrition reduce postoperative complications in Crohn's disease patients: A meta-</w:t>
      </w:r>
      <w:proofErr w:type="gramStart"/>
      <w:r w:rsidRPr="00D07897">
        <w:rPr>
          <w:rFonts w:ascii="Book Antiqua" w:eastAsia="等线" w:hAnsi="Book Antiqua"/>
          <w:kern w:val="2"/>
          <w:lang w:eastAsia="zh-CN"/>
        </w:rPr>
        <w:t>analysis.</w:t>
      </w:r>
      <w:proofErr w:type="gramEnd"/>
      <w:r w:rsidRPr="00D07897">
        <w:rPr>
          <w:rFonts w:ascii="Book Antiqua" w:eastAsia="等线" w:hAnsi="Book Antiqua"/>
          <w:kern w:val="2"/>
          <w:lang w:eastAsia="zh-CN"/>
        </w:rPr>
        <w:t xml:space="preserve"> </w:t>
      </w:r>
      <w:proofErr w:type="spellStart"/>
      <w:r w:rsidRPr="00D07897">
        <w:rPr>
          <w:rFonts w:ascii="Book Antiqua" w:eastAsia="等线" w:hAnsi="Book Antiqua"/>
          <w:i/>
          <w:kern w:val="2"/>
          <w:lang w:eastAsia="zh-CN"/>
        </w:rPr>
        <w:t>Eur</w:t>
      </w:r>
      <w:proofErr w:type="spellEnd"/>
      <w:r w:rsidRPr="00D07897">
        <w:rPr>
          <w:rFonts w:ascii="Book Antiqua" w:eastAsia="等线" w:hAnsi="Book Antiqua"/>
          <w:i/>
          <w:kern w:val="2"/>
          <w:lang w:eastAsia="zh-CN"/>
        </w:rPr>
        <w:t xml:space="preserve"> J </w:t>
      </w:r>
      <w:proofErr w:type="spellStart"/>
      <w:r w:rsidRPr="00D07897">
        <w:rPr>
          <w:rFonts w:ascii="Book Antiqua" w:eastAsia="等线" w:hAnsi="Book Antiqua"/>
          <w:i/>
          <w:kern w:val="2"/>
          <w:lang w:eastAsia="zh-CN"/>
        </w:rPr>
        <w:t>Gastroenterol</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Hepatol</w:t>
      </w:r>
      <w:proofErr w:type="spellEnd"/>
      <w:r w:rsidRPr="00D07897">
        <w:rPr>
          <w:rFonts w:ascii="Book Antiqua" w:eastAsia="等线" w:hAnsi="Book Antiqua"/>
          <w:kern w:val="2"/>
          <w:lang w:eastAsia="zh-CN"/>
        </w:rPr>
        <w:t xml:space="preserve"> 2018; </w:t>
      </w:r>
      <w:r w:rsidRPr="00D07897">
        <w:rPr>
          <w:rFonts w:ascii="Book Antiqua" w:eastAsia="等线" w:hAnsi="Book Antiqua"/>
          <w:b/>
          <w:kern w:val="2"/>
          <w:lang w:eastAsia="zh-CN"/>
        </w:rPr>
        <w:t>30</w:t>
      </w:r>
      <w:r w:rsidRPr="00D07897">
        <w:rPr>
          <w:rFonts w:ascii="Book Antiqua" w:eastAsia="等线" w:hAnsi="Book Antiqua"/>
          <w:kern w:val="2"/>
          <w:lang w:eastAsia="zh-CN"/>
        </w:rPr>
        <w:t>: 997-1002 [PMID: 29738326 DOI: 10.1097/MEG.0000000000001162]</w:t>
      </w:r>
    </w:p>
    <w:p w14:paraId="5F3BF113"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17 </w:t>
      </w:r>
      <w:proofErr w:type="spellStart"/>
      <w:r w:rsidRPr="00D07897">
        <w:rPr>
          <w:rFonts w:ascii="Book Antiqua" w:eastAsia="等线" w:hAnsi="Book Antiqua"/>
          <w:b/>
          <w:kern w:val="2"/>
          <w:lang w:eastAsia="zh-CN"/>
        </w:rPr>
        <w:t>Wędrychowicz</w:t>
      </w:r>
      <w:proofErr w:type="spellEnd"/>
      <w:r w:rsidRPr="00D07897">
        <w:rPr>
          <w:rFonts w:ascii="Book Antiqua" w:eastAsia="等线" w:hAnsi="Book Antiqua"/>
          <w:b/>
          <w:kern w:val="2"/>
          <w:lang w:eastAsia="zh-CN"/>
        </w:rPr>
        <w:t xml:space="preserve"> A</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Zając</w:t>
      </w:r>
      <w:proofErr w:type="spellEnd"/>
      <w:r w:rsidRPr="00D07897">
        <w:rPr>
          <w:rFonts w:ascii="Book Antiqua" w:eastAsia="等线" w:hAnsi="Book Antiqua"/>
          <w:kern w:val="2"/>
          <w:lang w:eastAsia="zh-CN"/>
        </w:rPr>
        <w:t xml:space="preserve"> A, </w:t>
      </w:r>
      <w:proofErr w:type="spellStart"/>
      <w:r w:rsidRPr="00D07897">
        <w:rPr>
          <w:rFonts w:ascii="Book Antiqua" w:eastAsia="等线" w:hAnsi="Book Antiqua"/>
          <w:kern w:val="2"/>
          <w:lang w:eastAsia="zh-CN"/>
        </w:rPr>
        <w:t>Tomasik</w:t>
      </w:r>
      <w:proofErr w:type="spellEnd"/>
      <w:r w:rsidRPr="00D07897">
        <w:rPr>
          <w:rFonts w:ascii="Book Antiqua" w:eastAsia="等线" w:hAnsi="Book Antiqua"/>
          <w:kern w:val="2"/>
          <w:lang w:eastAsia="zh-CN"/>
        </w:rPr>
        <w:t xml:space="preserve"> P. Advances in nutritional therapy in inflammatory bowel diseases: Review. </w:t>
      </w:r>
      <w:r w:rsidRPr="00D07897">
        <w:rPr>
          <w:rFonts w:ascii="Book Antiqua" w:eastAsia="等线" w:hAnsi="Book Antiqua"/>
          <w:i/>
          <w:kern w:val="2"/>
          <w:lang w:eastAsia="zh-CN"/>
        </w:rPr>
        <w:t>World J Gastroenterol</w:t>
      </w:r>
      <w:r w:rsidRPr="00D07897">
        <w:rPr>
          <w:rFonts w:ascii="Book Antiqua" w:eastAsia="等线" w:hAnsi="Book Antiqua"/>
          <w:kern w:val="2"/>
          <w:lang w:eastAsia="zh-CN"/>
        </w:rPr>
        <w:t xml:space="preserve"> 2016; </w:t>
      </w:r>
      <w:r w:rsidRPr="00D07897">
        <w:rPr>
          <w:rFonts w:ascii="Book Antiqua" w:eastAsia="等线" w:hAnsi="Book Antiqua"/>
          <w:b/>
          <w:kern w:val="2"/>
          <w:lang w:eastAsia="zh-CN"/>
        </w:rPr>
        <w:t>22</w:t>
      </w:r>
      <w:r w:rsidRPr="00D07897">
        <w:rPr>
          <w:rFonts w:ascii="Book Antiqua" w:eastAsia="等线" w:hAnsi="Book Antiqua"/>
          <w:kern w:val="2"/>
          <w:lang w:eastAsia="zh-CN"/>
        </w:rPr>
        <w:t>: 1045-1066 [PMID: 26811646 DOI: 10.3748/wjg.v22.i3.1045]</w:t>
      </w:r>
    </w:p>
    <w:p w14:paraId="199C4404"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18 </w:t>
      </w:r>
      <w:r w:rsidRPr="00D07897">
        <w:rPr>
          <w:rFonts w:ascii="Book Antiqua" w:eastAsia="等线" w:hAnsi="Book Antiqua"/>
          <w:b/>
          <w:kern w:val="2"/>
          <w:lang w:eastAsia="zh-CN"/>
        </w:rPr>
        <w:t>Forbes A</w:t>
      </w:r>
      <w:r w:rsidRPr="00D07897">
        <w:rPr>
          <w:rFonts w:ascii="Book Antiqua" w:eastAsia="等线" w:hAnsi="Book Antiqua"/>
          <w:kern w:val="2"/>
          <w:lang w:eastAsia="zh-CN"/>
        </w:rPr>
        <w:t xml:space="preserve">, Escher J, </w:t>
      </w:r>
      <w:proofErr w:type="spellStart"/>
      <w:r w:rsidRPr="00D07897">
        <w:rPr>
          <w:rFonts w:ascii="Book Antiqua" w:eastAsia="等线" w:hAnsi="Book Antiqua"/>
          <w:kern w:val="2"/>
          <w:lang w:eastAsia="zh-CN"/>
        </w:rPr>
        <w:t>Hébuterne</w:t>
      </w:r>
      <w:proofErr w:type="spellEnd"/>
      <w:r w:rsidRPr="00D07897">
        <w:rPr>
          <w:rFonts w:ascii="Book Antiqua" w:eastAsia="等线" w:hAnsi="Book Antiqua"/>
          <w:kern w:val="2"/>
          <w:lang w:eastAsia="zh-CN"/>
        </w:rPr>
        <w:t xml:space="preserve"> X, </w:t>
      </w:r>
      <w:proofErr w:type="spellStart"/>
      <w:r w:rsidRPr="00D07897">
        <w:rPr>
          <w:rFonts w:ascii="Book Antiqua" w:eastAsia="等线" w:hAnsi="Book Antiqua"/>
          <w:kern w:val="2"/>
          <w:lang w:eastAsia="zh-CN"/>
        </w:rPr>
        <w:t>Kłęk</w:t>
      </w:r>
      <w:proofErr w:type="spellEnd"/>
      <w:r w:rsidRPr="00D07897">
        <w:rPr>
          <w:rFonts w:ascii="Book Antiqua" w:eastAsia="等线" w:hAnsi="Book Antiqua"/>
          <w:kern w:val="2"/>
          <w:lang w:eastAsia="zh-CN"/>
        </w:rPr>
        <w:t xml:space="preserve"> S, </w:t>
      </w:r>
      <w:proofErr w:type="spellStart"/>
      <w:r w:rsidRPr="00D07897">
        <w:rPr>
          <w:rFonts w:ascii="Book Antiqua" w:eastAsia="等线" w:hAnsi="Book Antiqua"/>
          <w:kern w:val="2"/>
          <w:lang w:eastAsia="zh-CN"/>
        </w:rPr>
        <w:t>Krznaric</w:t>
      </w:r>
      <w:proofErr w:type="spellEnd"/>
      <w:r w:rsidRPr="00D07897">
        <w:rPr>
          <w:rFonts w:ascii="Book Antiqua" w:eastAsia="等线" w:hAnsi="Book Antiqua"/>
          <w:kern w:val="2"/>
          <w:lang w:eastAsia="zh-CN"/>
        </w:rPr>
        <w:t xml:space="preserve"> Z, Schneider S, Shamir R, </w:t>
      </w:r>
      <w:proofErr w:type="spellStart"/>
      <w:r w:rsidRPr="00D07897">
        <w:rPr>
          <w:rFonts w:ascii="Book Antiqua" w:eastAsia="等线" w:hAnsi="Book Antiqua"/>
          <w:kern w:val="2"/>
          <w:lang w:eastAsia="zh-CN"/>
        </w:rPr>
        <w:t>Stardelova</w:t>
      </w:r>
      <w:proofErr w:type="spellEnd"/>
      <w:r w:rsidRPr="00D07897">
        <w:rPr>
          <w:rFonts w:ascii="Book Antiqua" w:eastAsia="等线" w:hAnsi="Book Antiqua"/>
          <w:kern w:val="2"/>
          <w:lang w:eastAsia="zh-CN"/>
        </w:rPr>
        <w:t xml:space="preserve"> K, </w:t>
      </w:r>
      <w:proofErr w:type="spellStart"/>
      <w:r w:rsidRPr="00D07897">
        <w:rPr>
          <w:rFonts w:ascii="Book Antiqua" w:eastAsia="等线" w:hAnsi="Book Antiqua"/>
          <w:kern w:val="2"/>
          <w:lang w:eastAsia="zh-CN"/>
        </w:rPr>
        <w:t>Wierdsma</w:t>
      </w:r>
      <w:proofErr w:type="spellEnd"/>
      <w:r w:rsidRPr="00D07897">
        <w:rPr>
          <w:rFonts w:ascii="Book Antiqua" w:eastAsia="等线" w:hAnsi="Book Antiqua"/>
          <w:kern w:val="2"/>
          <w:lang w:eastAsia="zh-CN"/>
        </w:rPr>
        <w:t xml:space="preserve"> N, </w:t>
      </w:r>
      <w:proofErr w:type="spellStart"/>
      <w:r w:rsidRPr="00D07897">
        <w:rPr>
          <w:rFonts w:ascii="Book Antiqua" w:eastAsia="等线" w:hAnsi="Book Antiqua"/>
          <w:kern w:val="2"/>
          <w:lang w:eastAsia="zh-CN"/>
        </w:rPr>
        <w:t>Wiskin</w:t>
      </w:r>
      <w:proofErr w:type="spellEnd"/>
      <w:r w:rsidRPr="00D07897">
        <w:rPr>
          <w:rFonts w:ascii="Book Antiqua" w:eastAsia="等线" w:hAnsi="Book Antiqua"/>
          <w:kern w:val="2"/>
          <w:lang w:eastAsia="zh-CN"/>
        </w:rPr>
        <w:t xml:space="preserve"> AE, Bischoff SC. ESPEN guideline: Clinical nutrition in inflammatory bowel disease. </w:t>
      </w:r>
      <w:proofErr w:type="spellStart"/>
      <w:r w:rsidRPr="00D07897">
        <w:rPr>
          <w:rFonts w:ascii="Book Antiqua" w:eastAsia="等线" w:hAnsi="Book Antiqua"/>
          <w:i/>
          <w:kern w:val="2"/>
          <w:lang w:eastAsia="zh-CN"/>
        </w:rPr>
        <w:t>Clin</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kern w:val="2"/>
          <w:lang w:eastAsia="zh-CN"/>
        </w:rPr>
        <w:t xml:space="preserve"> 2017; </w:t>
      </w:r>
      <w:r w:rsidRPr="00D07897">
        <w:rPr>
          <w:rFonts w:ascii="Book Antiqua" w:eastAsia="等线" w:hAnsi="Book Antiqua"/>
          <w:b/>
          <w:kern w:val="2"/>
          <w:lang w:eastAsia="zh-CN"/>
        </w:rPr>
        <w:t>36</w:t>
      </w:r>
      <w:r w:rsidRPr="00D07897">
        <w:rPr>
          <w:rFonts w:ascii="Book Antiqua" w:eastAsia="等线" w:hAnsi="Book Antiqua"/>
          <w:kern w:val="2"/>
          <w:lang w:eastAsia="zh-CN"/>
        </w:rPr>
        <w:t>: 321-347 [PMID: 28131521 DOI: 10.1016/j.clnu.2016.12.027]</w:t>
      </w:r>
    </w:p>
    <w:p w14:paraId="1AEA0654"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19 </w:t>
      </w:r>
      <w:proofErr w:type="spellStart"/>
      <w:r w:rsidRPr="00D07897">
        <w:rPr>
          <w:rFonts w:ascii="Book Antiqua" w:eastAsia="等线" w:hAnsi="Book Antiqua"/>
          <w:b/>
          <w:kern w:val="2"/>
          <w:lang w:eastAsia="zh-CN"/>
        </w:rPr>
        <w:t>Landi</w:t>
      </w:r>
      <w:proofErr w:type="spellEnd"/>
      <w:r w:rsidRPr="00D07897">
        <w:rPr>
          <w:rFonts w:ascii="Book Antiqua" w:eastAsia="等线" w:hAnsi="Book Antiqua"/>
          <w:b/>
          <w:kern w:val="2"/>
          <w:lang w:eastAsia="zh-CN"/>
        </w:rPr>
        <w:t xml:space="preserve"> F</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Camprubi</w:t>
      </w:r>
      <w:proofErr w:type="spellEnd"/>
      <w:r w:rsidRPr="00D07897">
        <w:rPr>
          <w:rFonts w:ascii="Book Antiqua" w:eastAsia="等线" w:hAnsi="Book Antiqua"/>
          <w:kern w:val="2"/>
          <w:lang w:eastAsia="zh-CN"/>
        </w:rPr>
        <w:t xml:space="preserve">-Robles M, Bear DE, </w:t>
      </w:r>
      <w:proofErr w:type="spellStart"/>
      <w:r w:rsidRPr="00D07897">
        <w:rPr>
          <w:rFonts w:ascii="Book Antiqua" w:eastAsia="等线" w:hAnsi="Book Antiqua"/>
          <w:kern w:val="2"/>
          <w:lang w:eastAsia="zh-CN"/>
        </w:rPr>
        <w:t>Cederholm</w:t>
      </w:r>
      <w:proofErr w:type="spellEnd"/>
      <w:r w:rsidRPr="00D07897">
        <w:rPr>
          <w:rFonts w:ascii="Book Antiqua" w:eastAsia="等线" w:hAnsi="Book Antiqua"/>
          <w:kern w:val="2"/>
          <w:lang w:eastAsia="zh-CN"/>
        </w:rPr>
        <w:t xml:space="preserve"> T, </w:t>
      </w:r>
      <w:proofErr w:type="spellStart"/>
      <w:r w:rsidRPr="00D07897">
        <w:rPr>
          <w:rFonts w:ascii="Book Antiqua" w:eastAsia="等线" w:hAnsi="Book Antiqua"/>
          <w:kern w:val="2"/>
          <w:lang w:eastAsia="zh-CN"/>
        </w:rPr>
        <w:t>Malafarina</w:t>
      </w:r>
      <w:proofErr w:type="spellEnd"/>
      <w:r w:rsidRPr="00D07897">
        <w:rPr>
          <w:rFonts w:ascii="Book Antiqua" w:eastAsia="等线" w:hAnsi="Book Antiqua"/>
          <w:kern w:val="2"/>
          <w:lang w:eastAsia="zh-CN"/>
        </w:rPr>
        <w:t xml:space="preserve"> V, Welch AA, Cruz-</w:t>
      </w:r>
      <w:proofErr w:type="spellStart"/>
      <w:r w:rsidRPr="00D07897">
        <w:rPr>
          <w:rFonts w:ascii="Book Antiqua" w:eastAsia="等线" w:hAnsi="Book Antiqua"/>
          <w:kern w:val="2"/>
          <w:lang w:eastAsia="zh-CN"/>
        </w:rPr>
        <w:t>Jentoft</w:t>
      </w:r>
      <w:proofErr w:type="spellEnd"/>
      <w:r w:rsidRPr="00D07897">
        <w:rPr>
          <w:rFonts w:ascii="Book Antiqua" w:eastAsia="等线" w:hAnsi="Book Antiqua"/>
          <w:kern w:val="2"/>
          <w:lang w:eastAsia="zh-CN"/>
        </w:rPr>
        <w:t xml:space="preserve"> AJ. Muscle loss: The new malnutrition challenge in clinical practice. </w:t>
      </w:r>
      <w:proofErr w:type="spellStart"/>
      <w:r w:rsidRPr="00D07897">
        <w:rPr>
          <w:rFonts w:ascii="Book Antiqua" w:eastAsia="等线" w:hAnsi="Book Antiqua"/>
          <w:i/>
          <w:kern w:val="2"/>
          <w:lang w:eastAsia="zh-CN"/>
        </w:rPr>
        <w:t>Clin</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kern w:val="2"/>
          <w:lang w:eastAsia="zh-CN"/>
        </w:rPr>
        <w:t xml:space="preserve"> 2018; 30553578 [PMID: </w:t>
      </w:r>
      <w:bookmarkStart w:id="59" w:name="OLE_LINK888"/>
      <w:bookmarkStart w:id="60" w:name="OLE_LINK889"/>
      <w:r w:rsidRPr="00D07897">
        <w:rPr>
          <w:rFonts w:ascii="Book Antiqua" w:eastAsia="等线" w:hAnsi="Book Antiqua"/>
          <w:kern w:val="2"/>
          <w:lang w:eastAsia="zh-CN"/>
        </w:rPr>
        <w:t>30553578</w:t>
      </w:r>
      <w:bookmarkEnd w:id="59"/>
      <w:bookmarkEnd w:id="60"/>
      <w:r w:rsidRPr="00D07897">
        <w:rPr>
          <w:rFonts w:ascii="Book Antiqua" w:eastAsia="等线" w:hAnsi="Book Antiqua"/>
          <w:kern w:val="2"/>
          <w:lang w:eastAsia="zh-CN"/>
        </w:rPr>
        <w:t xml:space="preserve"> DOI: 10.1016/j.clnu.2018.11.021]</w:t>
      </w:r>
    </w:p>
    <w:p w14:paraId="1F0172D3" w14:textId="77777777" w:rsidR="00EE37A2" w:rsidRPr="00D07897" w:rsidRDefault="00EE37A2" w:rsidP="00EE37A2">
      <w:pPr>
        <w:widowControl w:val="0"/>
        <w:spacing w:line="360" w:lineRule="auto"/>
        <w:jc w:val="both"/>
        <w:rPr>
          <w:rFonts w:ascii="Book Antiqua" w:eastAsia="等线" w:hAnsi="Book Antiqua"/>
          <w:kern w:val="2"/>
          <w:lang w:eastAsia="zh-CN"/>
        </w:rPr>
      </w:pPr>
      <w:proofErr w:type="gramStart"/>
      <w:r w:rsidRPr="00D07897">
        <w:rPr>
          <w:rFonts w:ascii="Book Antiqua" w:eastAsia="等线" w:hAnsi="Book Antiqua"/>
          <w:kern w:val="2"/>
          <w:lang w:eastAsia="zh-CN"/>
        </w:rPr>
        <w:t xml:space="preserve">20 </w:t>
      </w:r>
      <w:proofErr w:type="spellStart"/>
      <w:r w:rsidRPr="00D07897">
        <w:rPr>
          <w:rFonts w:ascii="Book Antiqua" w:eastAsia="等线" w:hAnsi="Book Antiqua"/>
          <w:b/>
          <w:kern w:val="2"/>
          <w:lang w:eastAsia="zh-CN"/>
        </w:rPr>
        <w:t>Vandewoude</w:t>
      </w:r>
      <w:proofErr w:type="spellEnd"/>
      <w:r w:rsidRPr="00D07897">
        <w:rPr>
          <w:rFonts w:ascii="Book Antiqua" w:eastAsia="等线" w:hAnsi="Book Antiqua"/>
          <w:b/>
          <w:kern w:val="2"/>
          <w:lang w:eastAsia="zh-CN"/>
        </w:rPr>
        <w:t xml:space="preserve"> MF</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Alish</w:t>
      </w:r>
      <w:proofErr w:type="spellEnd"/>
      <w:r w:rsidRPr="00D07897">
        <w:rPr>
          <w:rFonts w:ascii="Book Antiqua" w:eastAsia="等线" w:hAnsi="Book Antiqua"/>
          <w:kern w:val="2"/>
          <w:lang w:eastAsia="zh-CN"/>
        </w:rPr>
        <w:t xml:space="preserve"> CJ, Sauer AC, Hegazi RA.</w:t>
      </w:r>
      <w:proofErr w:type="gramEnd"/>
      <w:r w:rsidRPr="00D07897">
        <w:rPr>
          <w:rFonts w:ascii="Book Antiqua" w:eastAsia="等线" w:hAnsi="Book Antiqua"/>
          <w:kern w:val="2"/>
          <w:lang w:eastAsia="zh-CN"/>
        </w:rPr>
        <w:t xml:space="preserve"> Malnutrition-sarcopenia syndrome: Is this the future of nutrition screening and assessment for older adults? </w:t>
      </w:r>
      <w:r w:rsidRPr="00D07897">
        <w:rPr>
          <w:rFonts w:ascii="Book Antiqua" w:eastAsia="等线" w:hAnsi="Book Antiqua"/>
          <w:i/>
          <w:kern w:val="2"/>
          <w:lang w:eastAsia="zh-CN"/>
        </w:rPr>
        <w:t>J Aging Res</w:t>
      </w:r>
      <w:r w:rsidRPr="00D07897">
        <w:rPr>
          <w:rFonts w:ascii="Book Antiqua" w:eastAsia="等线" w:hAnsi="Book Antiqua"/>
          <w:kern w:val="2"/>
          <w:lang w:eastAsia="zh-CN"/>
        </w:rPr>
        <w:t xml:space="preserve"> 2012; </w:t>
      </w:r>
      <w:r w:rsidRPr="00D07897">
        <w:rPr>
          <w:rFonts w:ascii="Book Antiqua" w:eastAsia="等线" w:hAnsi="Book Antiqua"/>
          <w:b/>
          <w:kern w:val="2"/>
          <w:lang w:eastAsia="zh-CN"/>
        </w:rPr>
        <w:t>2012</w:t>
      </w:r>
      <w:r w:rsidRPr="00D07897">
        <w:rPr>
          <w:rFonts w:ascii="Book Antiqua" w:eastAsia="等线" w:hAnsi="Book Antiqua"/>
          <w:kern w:val="2"/>
          <w:lang w:eastAsia="zh-CN"/>
        </w:rPr>
        <w:t>: 651570 [PMID: 23024863 DOI: 10.1155/2012/651570]</w:t>
      </w:r>
    </w:p>
    <w:p w14:paraId="159EC5DF" w14:textId="77777777" w:rsidR="00EE37A2" w:rsidRPr="00D07897" w:rsidRDefault="00EE37A2" w:rsidP="00EE37A2">
      <w:pPr>
        <w:widowControl w:val="0"/>
        <w:spacing w:line="360" w:lineRule="auto"/>
        <w:jc w:val="both"/>
        <w:rPr>
          <w:rFonts w:ascii="Book Antiqua" w:eastAsia="等线" w:hAnsi="Book Antiqua"/>
          <w:kern w:val="2"/>
          <w:lang w:eastAsia="zh-CN"/>
        </w:rPr>
      </w:pPr>
      <w:proofErr w:type="gramStart"/>
      <w:r w:rsidRPr="00D07897">
        <w:rPr>
          <w:rFonts w:ascii="Book Antiqua" w:eastAsia="等线" w:hAnsi="Book Antiqua"/>
          <w:kern w:val="2"/>
          <w:lang w:eastAsia="zh-CN"/>
        </w:rPr>
        <w:lastRenderedPageBreak/>
        <w:t xml:space="preserve">21 </w:t>
      </w:r>
      <w:r w:rsidRPr="00D07897">
        <w:rPr>
          <w:rFonts w:ascii="Book Antiqua" w:eastAsia="等线" w:hAnsi="Book Antiqua"/>
          <w:b/>
          <w:kern w:val="2"/>
          <w:lang w:eastAsia="zh-CN"/>
        </w:rPr>
        <w:t>Mueller C</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Compher</w:t>
      </w:r>
      <w:proofErr w:type="spellEnd"/>
      <w:r w:rsidRPr="00D07897">
        <w:rPr>
          <w:rFonts w:ascii="Book Antiqua" w:eastAsia="等线" w:hAnsi="Book Antiqua"/>
          <w:kern w:val="2"/>
          <w:lang w:eastAsia="zh-CN"/>
        </w:rPr>
        <w:t xml:space="preserve"> C, Ellen DM; American Society for Parenteral and Enteral Nutrition (A.S.P.E.N.) Board of Directors.</w:t>
      </w:r>
      <w:proofErr w:type="gramEnd"/>
      <w:r w:rsidRPr="00D07897">
        <w:rPr>
          <w:rFonts w:ascii="Book Antiqua" w:eastAsia="等线" w:hAnsi="Book Antiqua"/>
          <w:kern w:val="2"/>
          <w:lang w:eastAsia="zh-CN"/>
        </w:rPr>
        <w:t xml:space="preserve"> A.S.P.E.N. clinical guidelines: Nutrition screening, assessment, and intervention in adults. </w:t>
      </w:r>
      <w:r w:rsidRPr="00D07897">
        <w:rPr>
          <w:rFonts w:ascii="Book Antiqua" w:eastAsia="等线" w:hAnsi="Book Antiqua"/>
          <w:i/>
          <w:kern w:val="2"/>
          <w:lang w:eastAsia="zh-CN"/>
        </w:rPr>
        <w:t xml:space="preserve">JPEN J </w:t>
      </w:r>
      <w:proofErr w:type="spellStart"/>
      <w:r w:rsidRPr="00D07897">
        <w:rPr>
          <w:rFonts w:ascii="Book Antiqua" w:eastAsia="等线" w:hAnsi="Book Antiqua"/>
          <w:i/>
          <w:kern w:val="2"/>
          <w:lang w:eastAsia="zh-CN"/>
        </w:rPr>
        <w:t>Parenter</w:t>
      </w:r>
      <w:proofErr w:type="spellEnd"/>
      <w:r w:rsidRPr="00D07897">
        <w:rPr>
          <w:rFonts w:ascii="Book Antiqua" w:eastAsia="等线" w:hAnsi="Book Antiqua"/>
          <w:i/>
          <w:kern w:val="2"/>
          <w:lang w:eastAsia="zh-CN"/>
        </w:rPr>
        <w:t xml:space="preserve"> Enteral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kern w:val="2"/>
          <w:lang w:eastAsia="zh-CN"/>
        </w:rPr>
        <w:t xml:space="preserve"> 2011; </w:t>
      </w:r>
      <w:r w:rsidRPr="00D07897">
        <w:rPr>
          <w:rFonts w:ascii="Book Antiqua" w:eastAsia="等线" w:hAnsi="Book Antiqua"/>
          <w:b/>
          <w:kern w:val="2"/>
          <w:lang w:eastAsia="zh-CN"/>
        </w:rPr>
        <w:t>35</w:t>
      </w:r>
      <w:r w:rsidRPr="00D07897">
        <w:rPr>
          <w:rFonts w:ascii="Book Antiqua" w:eastAsia="等线" w:hAnsi="Book Antiqua"/>
          <w:kern w:val="2"/>
          <w:lang w:eastAsia="zh-CN"/>
        </w:rPr>
        <w:t>: 16-24 [PMID: 21224430 DOI: 10.1177/0148607110389335]</w:t>
      </w:r>
    </w:p>
    <w:p w14:paraId="0719BEDA"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22 </w:t>
      </w:r>
      <w:r w:rsidRPr="00D07897">
        <w:rPr>
          <w:rFonts w:ascii="Book Antiqua" w:eastAsia="等线" w:hAnsi="Book Antiqua"/>
          <w:b/>
          <w:kern w:val="2"/>
          <w:lang w:eastAsia="zh-CN"/>
        </w:rPr>
        <w:t>Ryan E</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McNicholas</w:t>
      </w:r>
      <w:proofErr w:type="spellEnd"/>
      <w:r w:rsidRPr="00D07897">
        <w:rPr>
          <w:rFonts w:ascii="Book Antiqua" w:eastAsia="等线" w:hAnsi="Book Antiqua"/>
          <w:kern w:val="2"/>
          <w:lang w:eastAsia="zh-CN"/>
        </w:rPr>
        <w:t xml:space="preserve"> D, </w:t>
      </w:r>
      <w:proofErr w:type="spellStart"/>
      <w:r w:rsidRPr="00D07897">
        <w:rPr>
          <w:rFonts w:ascii="Book Antiqua" w:eastAsia="等线" w:hAnsi="Book Antiqua"/>
          <w:kern w:val="2"/>
          <w:lang w:eastAsia="zh-CN"/>
        </w:rPr>
        <w:t>Creavin</w:t>
      </w:r>
      <w:proofErr w:type="spellEnd"/>
      <w:r w:rsidRPr="00D07897">
        <w:rPr>
          <w:rFonts w:ascii="Book Antiqua" w:eastAsia="等线" w:hAnsi="Book Antiqua"/>
          <w:kern w:val="2"/>
          <w:lang w:eastAsia="zh-CN"/>
        </w:rPr>
        <w:t xml:space="preserve"> B, Kelly ME, Walsh T, </w:t>
      </w:r>
      <w:proofErr w:type="spellStart"/>
      <w:r w:rsidRPr="00D07897">
        <w:rPr>
          <w:rFonts w:ascii="Book Antiqua" w:eastAsia="等线" w:hAnsi="Book Antiqua"/>
          <w:kern w:val="2"/>
          <w:lang w:eastAsia="zh-CN"/>
        </w:rPr>
        <w:t>Beddy</w:t>
      </w:r>
      <w:proofErr w:type="spellEnd"/>
      <w:r w:rsidRPr="00D07897">
        <w:rPr>
          <w:rFonts w:ascii="Book Antiqua" w:eastAsia="等线" w:hAnsi="Book Antiqua"/>
          <w:kern w:val="2"/>
          <w:lang w:eastAsia="zh-CN"/>
        </w:rPr>
        <w:t xml:space="preserve"> D. Sarcopenia and Inflammatory Bowel Disease: A Systematic Review. </w:t>
      </w:r>
      <w:proofErr w:type="spellStart"/>
      <w:r w:rsidRPr="00D07897">
        <w:rPr>
          <w:rFonts w:ascii="Book Antiqua" w:eastAsia="等线" w:hAnsi="Book Antiqua"/>
          <w:i/>
          <w:kern w:val="2"/>
          <w:lang w:eastAsia="zh-CN"/>
        </w:rPr>
        <w:t>Inflamm</w:t>
      </w:r>
      <w:proofErr w:type="spellEnd"/>
      <w:r w:rsidRPr="00D07897">
        <w:rPr>
          <w:rFonts w:ascii="Book Antiqua" w:eastAsia="等线" w:hAnsi="Book Antiqua"/>
          <w:i/>
          <w:kern w:val="2"/>
          <w:lang w:eastAsia="zh-CN"/>
        </w:rPr>
        <w:t xml:space="preserve"> Bowel Dis</w:t>
      </w:r>
      <w:r w:rsidRPr="00D07897">
        <w:rPr>
          <w:rFonts w:ascii="Book Antiqua" w:eastAsia="等线" w:hAnsi="Book Antiqua"/>
          <w:kern w:val="2"/>
          <w:lang w:eastAsia="zh-CN"/>
        </w:rPr>
        <w:t xml:space="preserve"> 2019; </w:t>
      </w:r>
      <w:r w:rsidRPr="00D07897">
        <w:rPr>
          <w:rFonts w:ascii="Book Antiqua" w:eastAsia="等线" w:hAnsi="Book Antiqua"/>
          <w:b/>
          <w:kern w:val="2"/>
          <w:lang w:eastAsia="zh-CN"/>
        </w:rPr>
        <w:t>25</w:t>
      </w:r>
      <w:r w:rsidRPr="00D07897">
        <w:rPr>
          <w:rFonts w:ascii="Book Antiqua" w:eastAsia="等线" w:hAnsi="Book Antiqua"/>
          <w:kern w:val="2"/>
          <w:lang w:eastAsia="zh-CN"/>
        </w:rPr>
        <w:t>: 67-73 [PMID: 29889230 DOI: 10.1093/</w:t>
      </w:r>
      <w:proofErr w:type="spellStart"/>
      <w:r w:rsidRPr="00D07897">
        <w:rPr>
          <w:rFonts w:ascii="Book Antiqua" w:eastAsia="等线" w:hAnsi="Book Antiqua"/>
          <w:kern w:val="2"/>
          <w:lang w:eastAsia="zh-CN"/>
        </w:rPr>
        <w:t>ibd</w:t>
      </w:r>
      <w:proofErr w:type="spellEnd"/>
      <w:r w:rsidRPr="00D07897">
        <w:rPr>
          <w:rFonts w:ascii="Book Antiqua" w:eastAsia="等线" w:hAnsi="Book Antiqua"/>
          <w:kern w:val="2"/>
          <w:lang w:eastAsia="zh-CN"/>
        </w:rPr>
        <w:t>/izy212]</w:t>
      </w:r>
    </w:p>
    <w:p w14:paraId="01BB6593"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23 </w:t>
      </w:r>
      <w:r w:rsidRPr="00D07897">
        <w:rPr>
          <w:rFonts w:ascii="Book Antiqua" w:eastAsia="等线" w:hAnsi="Book Antiqua"/>
          <w:b/>
          <w:kern w:val="2"/>
          <w:lang w:eastAsia="zh-CN"/>
        </w:rPr>
        <w:t>Bryant RV</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Trott</w:t>
      </w:r>
      <w:proofErr w:type="spellEnd"/>
      <w:r w:rsidRPr="00D07897">
        <w:rPr>
          <w:rFonts w:ascii="Book Antiqua" w:eastAsia="等线" w:hAnsi="Book Antiqua"/>
          <w:kern w:val="2"/>
          <w:lang w:eastAsia="zh-CN"/>
        </w:rPr>
        <w:t xml:space="preserve"> MJ, </w:t>
      </w:r>
      <w:proofErr w:type="spellStart"/>
      <w:r w:rsidRPr="00D07897">
        <w:rPr>
          <w:rFonts w:ascii="Book Antiqua" w:eastAsia="等线" w:hAnsi="Book Antiqua"/>
          <w:kern w:val="2"/>
          <w:lang w:eastAsia="zh-CN"/>
        </w:rPr>
        <w:t>Bartholomeusz</w:t>
      </w:r>
      <w:proofErr w:type="spellEnd"/>
      <w:r w:rsidRPr="00D07897">
        <w:rPr>
          <w:rFonts w:ascii="Book Antiqua" w:eastAsia="等线" w:hAnsi="Book Antiqua"/>
          <w:kern w:val="2"/>
          <w:lang w:eastAsia="zh-CN"/>
        </w:rPr>
        <w:t xml:space="preserve"> FD, Andrews JM. Systematic review: Body composition in adults with inflammatory bowel disease. </w:t>
      </w:r>
      <w:r w:rsidRPr="00D07897">
        <w:rPr>
          <w:rFonts w:ascii="Book Antiqua" w:eastAsia="等线" w:hAnsi="Book Antiqua"/>
          <w:i/>
          <w:kern w:val="2"/>
          <w:lang w:eastAsia="zh-CN"/>
        </w:rPr>
        <w:t xml:space="preserve">Aliment </w:t>
      </w:r>
      <w:proofErr w:type="spellStart"/>
      <w:r w:rsidRPr="00D07897">
        <w:rPr>
          <w:rFonts w:ascii="Book Antiqua" w:eastAsia="等线" w:hAnsi="Book Antiqua"/>
          <w:i/>
          <w:kern w:val="2"/>
          <w:lang w:eastAsia="zh-CN"/>
        </w:rPr>
        <w:t>Pharmacol</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Ther</w:t>
      </w:r>
      <w:proofErr w:type="spellEnd"/>
      <w:r w:rsidRPr="00D07897">
        <w:rPr>
          <w:rFonts w:ascii="Book Antiqua" w:eastAsia="等线" w:hAnsi="Book Antiqua"/>
          <w:kern w:val="2"/>
          <w:lang w:eastAsia="zh-CN"/>
        </w:rPr>
        <w:t xml:space="preserve"> 2013; </w:t>
      </w:r>
      <w:r w:rsidRPr="00D07897">
        <w:rPr>
          <w:rFonts w:ascii="Book Antiqua" w:eastAsia="等线" w:hAnsi="Book Antiqua"/>
          <w:b/>
          <w:kern w:val="2"/>
          <w:lang w:eastAsia="zh-CN"/>
        </w:rPr>
        <w:t>38</w:t>
      </w:r>
      <w:r w:rsidRPr="00D07897">
        <w:rPr>
          <w:rFonts w:ascii="Book Antiqua" w:eastAsia="等线" w:hAnsi="Book Antiqua"/>
          <w:kern w:val="2"/>
          <w:lang w:eastAsia="zh-CN"/>
        </w:rPr>
        <w:t>: 213-225 [PMID: 23763279 DOI: 10.1111/apt.12372]</w:t>
      </w:r>
    </w:p>
    <w:p w14:paraId="0D346A9C"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24 </w:t>
      </w:r>
      <w:proofErr w:type="spellStart"/>
      <w:r w:rsidRPr="00D07897">
        <w:rPr>
          <w:rFonts w:ascii="Book Antiqua" w:eastAsia="等线" w:hAnsi="Book Antiqua"/>
          <w:b/>
          <w:kern w:val="2"/>
          <w:lang w:eastAsia="zh-CN"/>
        </w:rPr>
        <w:t>Valentini</w:t>
      </w:r>
      <w:proofErr w:type="spellEnd"/>
      <w:r w:rsidRPr="00D07897">
        <w:rPr>
          <w:rFonts w:ascii="Book Antiqua" w:eastAsia="等线" w:hAnsi="Book Antiqua"/>
          <w:b/>
          <w:kern w:val="2"/>
          <w:lang w:eastAsia="zh-CN"/>
        </w:rPr>
        <w:t xml:space="preserve"> L</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Schulzke</w:t>
      </w:r>
      <w:proofErr w:type="spellEnd"/>
      <w:r w:rsidRPr="00D07897">
        <w:rPr>
          <w:rFonts w:ascii="Book Antiqua" w:eastAsia="等线" w:hAnsi="Book Antiqua"/>
          <w:kern w:val="2"/>
          <w:lang w:eastAsia="zh-CN"/>
        </w:rPr>
        <w:t xml:space="preserve"> JD. Mundane, yet challenging: The assessment of malnutrition in inflammatory bowel disease. </w:t>
      </w:r>
      <w:r w:rsidRPr="00D07897">
        <w:rPr>
          <w:rFonts w:ascii="Book Antiqua" w:eastAsia="等线" w:hAnsi="Book Antiqua"/>
          <w:i/>
          <w:kern w:val="2"/>
          <w:lang w:eastAsia="zh-CN"/>
        </w:rPr>
        <w:t>Eur J Intern Med</w:t>
      </w:r>
      <w:r w:rsidRPr="00D07897">
        <w:rPr>
          <w:rFonts w:ascii="Book Antiqua" w:eastAsia="等线" w:hAnsi="Book Antiqua"/>
          <w:kern w:val="2"/>
          <w:lang w:eastAsia="zh-CN"/>
        </w:rPr>
        <w:t xml:space="preserve"> 2011; </w:t>
      </w:r>
      <w:r w:rsidRPr="00D07897">
        <w:rPr>
          <w:rFonts w:ascii="Book Antiqua" w:eastAsia="等线" w:hAnsi="Book Antiqua"/>
          <w:b/>
          <w:kern w:val="2"/>
          <w:lang w:eastAsia="zh-CN"/>
        </w:rPr>
        <w:t>22</w:t>
      </w:r>
      <w:r w:rsidRPr="00D07897">
        <w:rPr>
          <w:rFonts w:ascii="Book Antiqua" w:eastAsia="等线" w:hAnsi="Book Antiqua"/>
          <w:kern w:val="2"/>
          <w:lang w:eastAsia="zh-CN"/>
        </w:rPr>
        <w:t>: 13-15 [PMID: 21238886 DOI: 10.1016/j.ejim.2010.07.021]</w:t>
      </w:r>
    </w:p>
    <w:p w14:paraId="2EEA8A9D"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25 </w:t>
      </w:r>
      <w:r w:rsidRPr="00D07897">
        <w:rPr>
          <w:rFonts w:ascii="Book Antiqua" w:eastAsia="等线" w:hAnsi="Book Antiqua"/>
          <w:b/>
          <w:kern w:val="2"/>
          <w:lang w:eastAsia="zh-CN"/>
        </w:rPr>
        <w:t>Wells G</w:t>
      </w:r>
      <w:r w:rsidRPr="00D07897">
        <w:rPr>
          <w:rFonts w:ascii="Book Antiqua" w:eastAsia="等线" w:hAnsi="Book Antiqua"/>
          <w:bCs/>
          <w:kern w:val="2"/>
          <w:lang w:eastAsia="zh-CN"/>
        </w:rPr>
        <w:t>,</w:t>
      </w:r>
      <w:r w:rsidRPr="00D07897">
        <w:rPr>
          <w:rFonts w:ascii="Book Antiqua" w:eastAsia="等线" w:hAnsi="Book Antiqua"/>
          <w:kern w:val="2"/>
          <w:lang w:eastAsia="zh-CN"/>
        </w:rPr>
        <w:t xml:space="preserve"> Shea B, O’Connell D, Peterson J, Welch V, </w:t>
      </w:r>
      <w:proofErr w:type="spellStart"/>
      <w:r w:rsidRPr="00D07897">
        <w:rPr>
          <w:rFonts w:ascii="Book Antiqua" w:eastAsia="等线" w:hAnsi="Book Antiqua"/>
          <w:kern w:val="2"/>
          <w:lang w:eastAsia="zh-CN"/>
        </w:rPr>
        <w:t>Losos</w:t>
      </w:r>
      <w:proofErr w:type="spellEnd"/>
      <w:r w:rsidRPr="00D07897">
        <w:rPr>
          <w:rFonts w:ascii="Book Antiqua" w:eastAsia="等线" w:hAnsi="Book Antiqua"/>
          <w:kern w:val="2"/>
          <w:lang w:eastAsia="zh-CN"/>
        </w:rPr>
        <w:t xml:space="preserve"> M, </w:t>
      </w:r>
      <w:proofErr w:type="spellStart"/>
      <w:r w:rsidRPr="00D07897">
        <w:rPr>
          <w:rFonts w:ascii="Book Antiqua" w:eastAsia="等线" w:hAnsi="Book Antiqua"/>
          <w:kern w:val="2"/>
          <w:lang w:eastAsia="zh-CN"/>
        </w:rPr>
        <w:t>Tugwell</w:t>
      </w:r>
      <w:proofErr w:type="spellEnd"/>
      <w:r w:rsidRPr="00D07897">
        <w:rPr>
          <w:rFonts w:ascii="Book Antiqua" w:eastAsia="等线" w:hAnsi="Book Antiqua"/>
          <w:kern w:val="2"/>
          <w:lang w:eastAsia="zh-CN"/>
        </w:rPr>
        <w:t xml:space="preserve"> P. </w:t>
      </w:r>
      <w:proofErr w:type="gramStart"/>
      <w:r w:rsidRPr="00D07897">
        <w:rPr>
          <w:rFonts w:ascii="Book Antiqua" w:eastAsia="等线" w:hAnsi="Book Antiqua"/>
          <w:kern w:val="2"/>
          <w:lang w:eastAsia="zh-CN"/>
        </w:rPr>
        <w:t>The Newcastle–Ottawa Scale (NOS) for Assessing the Quality of Non-Randomized Studies in Meta-Analysis.</w:t>
      </w:r>
      <w:proofErr w:type="gramEnd"/>
      <w:r w:rsidRPr="00D07897">
        <w:rPr>
          <w:rFonts w:ascii="Book Antiqua" w:eastAsia="等线" w:hAnsi="Book Antiqua"/>
          <w:kern w:val="2"/>
          <w:lang w:eastAsia="zh-CN"/>
        </w:rPr>
        <w:t xml:space="preserve"> 2000. Available from: https://www.researchgate.net/publication/261773681_The_Newcastle-Ottawa_Scale_NOS_for_Assessing_the_Quality_of_Non-Randomized_Studies_in_Meta-Analysis</w:t>
      </w:r>
    </w:p>
    <w:p w14:paraId="76D46C62" w14:textId="77777777" w:rsidR="00EE37A2" w:rsidRPr="00D07897" w:rsidRDefault="00EE37A2" w:rsidP="00EE37A2">
      <w:pPr>
        <w:widowControl w:val="0"/>
        <w:spacing w:line="360" w:lineRule="auto"/>
        <w:jc w:val="both"/>
        <w:rPr>
          <w:rFonts w:ascii="Book Antiqua" w:eastAsia="等线" w:hAnsi="Book Antiqua"/>
          <w:kern w:val="2"/>
          <w:lang w:eastAsia="zh-CN"/>
        </w:rPr>
      </w:pPr>
      <w:proofErr w:type="gramStart"/>
      <w:r w:rsidRPr="00D07897">
        <w:rPr>
          <w:rFonts w:ascii="Book Antiqua" w:eastAsia="等线" w:hAnsi="Book Antiqua"/>
          <w:kern w:val="2"/>
          <w:lang w:eastAsia="zh-CN"/>
        </w:rPr>
        <w:t xml:space="preserve">26 </w:t>
      </w:r>
      <w:r w:rsidRPr="00D07897">
        <w:rPr>
          <w:rFonts w:ascii="Book Antiqua" w:eastAsia="等线" w:hAnsi="Book Antiqua"/>
          <w:b/>
          <w:kern w:val="2"/>
          <w:lang w:eastAsia="zh-CN"/>
        </w:rPr>
        <w:t>Higgins J</w:t>
      </w:r>
      <w:r w:rsidRPr="00D07897">
        <w:rPr>
          <w:rFonts w:ascii="Book Antiqua" w:eastAsia="等线" w:hAnsi="Book Antiqua"/>
          <w:bCs/>
          <w:kern w:val="2"/>
          <w:lang w:eastAsia="zh-CN"/>
        </w:rPr>
        <w:t>,</w:t>
      </w:r>
      <w:r w:rsidRPr="00D07897">
        <w:rPr>
          <w:rFonts w:ascii="Book Antiqua" w:eastAsia="等线" w:hAnsi="Book Antiqua"/>
          <w:kern w:val="2"/>
          <w:lang w:eastAsia="zh-CN"/>
        </w:rPr>
        <w:t xml:space="preserve"> Green S (editors).</w:t>
      </w:r>
      <w:proofErr w:type="gramEnd"/>
      <w:r w:rsidRPr="00D07897">
        <w:rPr>
          <w:rFonts w:ascii="Book Antiqua" w:eastAsia="等线" w:hAnsi="Book Antiqua"/>
          <w:kern w:val="2"/>
          <w:lang w:eastAsia="zh-CN"/>
        </w:rPr>
        <w:t xml:space="preserve"> </w:t>
      </w:r>
      <w:proofErr w:type="gramStart"/>
      <w:r w:rsidRPr="00D07897">
        <w:rPr>
          <w:rFonts w:ascii="Book Antiqua" w:eastAsia="等线" w:hAnsi="Book Antiqua"/>
          <w:kern w:val="2"/>
          <w:lang w:eastAsia="zh-CN"/>
        </w:rPr>
        <w:t>Cochrane Handbook for Systematic Reviews of Interventions Version 5.1.0.</w:t>
      </w:r>
      <w:proofErr w:type="gramEnd"/>
      <w:r w:rsidRPr="00D07897">
        <w:rPr>
          <w:rFonts w:ascii="Book Antiqua" w:eastAsia="等线" w:hAnsi="Book Antiqua"/>
          <w:kern w:val="2"/>
          <w:lang w:eastAsia="zh-CN"/>
        </w:rPr>
        <w:t xml:space="preserve"> 2011. Available from: http://handbook-5-1.cochrane.org/</w:t>
      </w:r>
    </w:p>
    <w:p w14:paraId="4E4EE7DF"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27 </w:t>
      </w:r>
      <w:r w:rsidRPr="00D07897">
        <w:rPr>
          <w:rFonts w:ascii="Book Antiqua" w:eastAsia="等线" w:hAnsi="Book Antiqua"/>
          <w:b/>
          <w:kern w:val="2"/>
          <w:lang w:eastAsia="zh-CN"/>
        </w:rPr>
        <w:t>Sumi R</w:t>
      </w:r>
      <w:r w:rsidRPr="00D07897">
        <w:rPr>
          <w:rFonts w:ascii="Book Antiqua" w:eastAsia="等线" w:hAnsi="Book Antiqua"/>
          <w:kern w:val="2"/>
          <w:lang w:eastAsia="zh-CN"/>
        </w:rPr>
        <w:t xml:space="preserve">, Nakajima K, </w:t>
      </w:r>
      <w:proofErr w:type="spellStart"/>
      <w:r w:rsidRPr="00D07897">
        <w:rPr>
          <w:rFonts w:ascii="Book Antiqua" w:eastAsia="等线" w:hAnsi="Book Antiqua"/>
          <w:kern w:val="2"/>
          <w:lang w:eastAsia="zh-CN"/>
        </w:rPr>
        <w:t>Iijima</w:t>
      </w:r>
      <w:proofErr w:type="spellEnd"/>
      <w:r w:rsidRPr="00D07897">
        <w:rPr>
          <w:rFonts w:ascii="Book Antiqua" w:eastAsia="等线" w:hAnsi="Book Antiqua"/>
          <w:kern w:val="2"/>
          <w:lang w:eastAsia="zh-CN"/>
        </w:rPr>
        <w:t xml:space="preserve"> H, </w:t>
      </w:r>
      <w:proofErr w:type="spellStart"/>
      <w:r w:rsidRPr="00D07897">
        <w:rPr>
          <w:rFonts w:ascii="Book Antiqua" w:eastAsia="等线" w:hAnsi="Book Antiqua"/>
          <w:kern w:val="2"/>
          <w:lang w:eastAsia="zh-CN"/>
        </w:rPr>
        <w:t>Wasa</w:t>
      </w:r>
      <w:proofErr w:type="spellEnd"/>
      <w:r w:rsidRPr="00D07897">
        <w:rPr>
          <w:rFonts w:ascii="Book Antiqua" w:eastAsia="等线" w:hAnsi="Book Antiqua"/>
          <w:kern w:val="2"/>
          <w:lang w:eastAsia="zh-CN"/>
        </w:rPr>
        <w:t xml:space="preserve"> M, </w:t>
      </w:r>
      <w:proofErr w:type="spellStart"/>
      <w:r w:rsidRPr="00D07897">
        <w:rPr>
          <w:rFonts w:ascii="Book Antiqua" w:eastAsia="等线" w:hAnsi="Book Antiqua"/>
          <w:kern w:val="2"/>
          <w:lang w:eastAsia="zh-CN"/>
        </w:rPr>
        <w:t>Shinzaki</w:t>
      </w:r>
      <w:proofErr w:type="spellEnd"/>
      <w:r w:rsidRPr="00D07897">
        <w:rPr>
          <w:rFonts w:ascii="Book Antiqua" w:eastAsia="等线" w:hAnsi="Book Antiqua"/>
          <w:kern w:val="2"/>
          <w:lang w:eastAsia="zh-CN"/>
        </w:rPr>
        <w:t xml:space="preserve"> S, </w:t>
      </w:r>
      <w:proofErr w:type="spellStart"/>
      <w:r w:rsidRPr="00D07897">
        <w:rPr>
          <w:rFonts w:ascii="Book Antiqua" w:eastAsia="等线" w:hAnsi="Book Antiqua"/>
          <w:kern w:val="2"/>
          <w:lang w:eastAsia="zh-CN"/>
        </w:rPr>
        <w:t>Nezu</w:t>
      </w:r>
      <w:proofErr w:type="spellEnd"/>
      <w:r w:rsidRPr="00D07897">
        <w:rPr>
          <w:rFonts w:ascii="Book Antiqua" w:eastAsia="等线" w:hAnsi="Book Antiqua"/>
          <w:kern w:val="2"/>
          <w:lang w:eastAsia="zh-CN"/>
        </w:rPr>
        <w:t xml:space="preserve"> R, Inoue Y, Ito T. Influence of nutritional status on the therapeutic effect of infliximab in patients with Crohn's disease. </w:t>
      </w:r>
      <w:r w:rsidRPr="00D07897">
        <w:rPr>
          <w:rFonts w:ascii="Book Antiqua" w:eastAsia="等线" w:hAnsi="Book Antiqua"/>
          <w:i/>
          <w:kern w:val="2"/>
          <w:lang w:eastAsia="zh-CN"/>
        </w:rPr>
        <w:t>Surg Today</w:t>
      </w:r>
      <w:r w:rsidRPr="00D07897">
        <w:rPr>
          <w:rFonts w:ascii="Book Antiqua" w:eastAsia="等线" w:hAnsi="Book Antiqua"/>
          <w:kern w:val="2"/>
          <w:lang w:eastAsia="zh-CN"/>
        </w:rPr>
        <w:t xml:space="preserve"> 2016; </w:t>
      </w:r>
      <w:r w:rsidRPr="00D07897">
        <w:rPr>
          <w:rFonts w:ascii="Book Antiqua" w:eastAsia="等线" w:hAnsi="Book Antiqua"/>
          <w:b/>
          <w:kern w:val="2"/>
          <w:lang w:eastAsia="zh-CN"/>
        </w:rPr>
        <w:t>46</w:t>
      </w:r>
      <w:r w:rsidRPr="00D07897">
        <w:rPr>
          <w:rFonts w:ascii="Book Antiqua" w:eastAsia="等线" w:hAnsi="Book Antiqua"/>
          <w:kern w:val="2"/>
          <w:lang w:eastAsia="zh-CN"/>
        </w:rPr>
        <w:t>: 922-929 [PMID: 26438200 DOI: 10.1007/s00595-015-1257-5]</w:t>
      </w:r>
    </w:p>
    <w:p w14:paraId="44222669"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28 </w:t>
      </w:r>
      <w:r w:rsidRPr="00D07897">
        <w:rPr>
          <w:rFonts w:ascii="Book Antiqua" w:eastAsia="等线" w:hAnsi="Book Antiqua"/>
          <w:b/>
          <w:kern w:val="2"/>
          <w:lang w:eastAsia="zh-CN"/>
        </w:rPr>
        <w:t>Zhang W</w:t>
      </w:r>
      <w:r w:rsidRPr="00D07897">
        <w:rPr>
          <w:rFonts w:ascii="Book Antiqua" w:eastAsia="等线" w:hAnsi="Book Antiqua"/>
          <w:kern w:val="2"/>
          <w:lang w:eastAsia="zh-CN"/>
        </w:rPr>
        <w:t xml:space="preserve">, Zhu W, </w:t>
      </w:r>
      <w:proofErr w:type="spellStart"/>
      <w:r w:rsidRPr="00D07897">
        <w:rPr>
          <w:rFonts w:ascii="Book Antiqua" w:eastAsia="等线" w:hAnsi="Book Antiqua"/>
          <w:kern w:val="2"/>
          <w:lang w:eastAsia="zh-CN"/>
        </w:rPr>
        <w:t>Ren</w:t>
      </w:r>
      <w:proofErr w:type="spellEnd"/>
      <w:r w:rsidRPr="00D07897">
        <w:rPr>
          <w:rFonts w:ascii="Book Antiqua" w:eastAsia="等线" w:hAnsi="Book Antiqua"/>
          <w:kern w:val="2"/>
          <w:lang w:eastAsia="zh-CN"/>
        </w:rPr>
        <w:t xml:space="preserve"> J, </w:t>
      </w:r>
      <w:proofErr w:type="spellStart"/>
      <w:r w:rsidRPr="00D07897">
        <w:rPr>
          <w:rFonts w:ascii="Book Antiqua" w:eastAsia="等线" w:hAnsi="Book Antiqua"/>
          <w:kern w:val="2"/>
          <w:lang w:eastAsia="zh-CN"/>
        </w:rPr>
        <w:t>Zuo</w:t>
      </w:r>
      <w:proofErr w:type="spellEnd"/>
      <w:r w:rsidRPr="00D07897">
        <w:rPr>
          <w:rFonts w:ascii="Book Antiqua" w:eastAsia="等线" w:hAnsi="Book Antiqua"/>
          <w:kern w:val="2"/>
          <w:lang w:eastAsia="zh-CN"/>
        </w:rPr>
        <w:t xml:space="preserve"> L, Wu X, Li J. Skeletal muscle percentage: A protective factor for postoperative morbidity in Crohn's disease patients with severe malnutrition. </w:t>
      </w:r>
      <w:r w:rsidRPr="00D07897">
        <w:rPr>
          <w:rFonts w:ascii="Book Antiqua" w:eastAsia="等线" w:hAnsi="Book Antiqua"/>
          <w:i/>
          <w:kern w:val="2"/>
          <w:lang w:eastAsia="zh-CN"/>
        </w:rPr>
        <w:t xml:space="preserve">J </w:t>
      </w:r>
      <w:proofErr w:type="spellStart"/>
      <w:r w:rsidRPr="00D07897">
        <w:rPr>
          <w:rFonts w:ascii="Book Antiqua" w:eastAsia="等线" w:hAnsi="Book Antiqua"/>
          <w:i/>
          <w:kern w:val="2"/>
          <w:lang w:eastAsia="zh-CN"/>
        </w:rPr>
        <w:t>Gastrointest</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Surg</w:t>
      </w:r>
      <w:proofErr w:type="spellEnd"/>
      <w:r w:rsidRPr="00D07897">
        <w:rPr>
          <w:rFonts w:ascii="Book Antiqua" w:eastAsia="等线" w:hAnsi="Book Antiqua"/>
          <w:kern w:val="2"/>
          <w:lang w:eastAsia="zh-CN"/>
        </w:rPr>
        <w:t xml:space="preserve"> 2015; </w:t>
      </w:r>
      <w:r w:rsidRPr="00D07897">
        <w:rPr>
          <w:rFonts w:ascii="Book Antiqua" w:eastAsia="等线" w:hAnsi="Book Antiqua"/>
          <w:b/>
          <w:kern w:val="2"/>
          <w:lang w:eastAsia="zh-CN"/>
        </w:rPr>
        <w:t>19</w:t>
      </w:r>
      <w:r w:rsidRPr="00D07897">
        <w:rPr>
          <w:rFonts w:ascii="Book Antiqua" w:eastAsia="等线" w:hAnsi="Book Antiqua"/>
          <w:kern w:val="2"/>
          <w:lang w:eastAsia="zh-CN"/>
        </w:rPr>
        <w:t xml:space="preserve">: 715-721 [PMID: 25666099 DOI: </w:t>
      </w:r>
      <w:r w:rsidRPr="00D07897">
        <w:rPr>
          <w:rFonts w:ascii="Book Antiqua" w:eastAsia="等线" w:hAnsi="Book Antiqua"/>
          <w:kern w:val="2"/>
          <w:lang w:eastAsia="zh-CN"/>
        </w:rPr>
        <w:lastRenderedPageBreak/>
        <w:t>10.1007/s11605-015-2763-x]</w:t>
      </w:r>
    </w:p>
    <w:p w14:paraId="6D286029"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29 </w:t>
      </w:r>
      <w:r w:rsidRPr="00D07897">
        <w:rPr>
          <w:rFonts w:ascii="Book Antiqua" w:eastAsia="等线" w:hAnsi="Book Antiqua"/>
          <w:b/>
          <w:kern w:val="2"/>
          <w:lang w:eastAsia="zh-CN"/>
        </w:rPr>
        <w:t>Fujikawa H</w:t>
      </w:r>
      <w:r w:rsidRPr="00D07897">
        <w:rPr>
          <w:rFonts w:ascii="Book Antiqua" w:eastAsia="等线" w:hAnsi="Book Antiqua"/>
          <w:kern w:val="2"/>
          <w:lang w:eastAsia="zh-CN"/>
        </w:rPr>
        <w:t xml:space="preserve">, Araki T, </w:t>
      </w:r>
      <w:proofErr w:type="spellStart"/>
      <w:r w:rsidRPr="00D07897">
        <w:rPr>
          <w:rFonts w:ascii="Book Antiqua" w:eastAsia="等线" w:hAnsi="Book Antiqua"/>
          <w:kern w:val="2"/>
          <w:lang w:eastAsia="zh-CN"/>
        </w:rPr>
        <w:t>Okita</w:t>
      </w:r>
      <w:proofErr w:type="spellEnd"/>
      <w:r w:rsidRPr="00D07897">
        <w:rPr>
          <w:rFonts w:ascii="Book Antiqua" w:eastAsia="等线" w:hAnsi="Book Antiqua"/>
          <w:kern w:val="2"/>
          <w:lang w:eastAsia="zh-CN"/>
        </w:rPr>
        <w:t xml:space="preserve"> Y, Kondo S, Kawamura M, </w:t>
      </w:r>
      <w:proofErr w:type="spellStart"/>
      <w:r w:rsidRPr="00D07897">
        <w:rPr>
          <w:rFonts w:ascii="Book Antiqua" w:eastAsia="等线" w:hAnsi="Book Antiqua"/>
          <w:kern w:val="2"/>
          <w:lang w:eastAsia="zh-CN"/>
        </w:rPr>
        <w:t>Hiro</w:t>
      </w:r>
      <w:proofErr w:type="spellEnd"/>
      <w:r w:rsidRPr="00D07897">
        <w:rPr>
          <w:rFonts w:ascii="Book Antiqua" w:eastAsia="等线" w:hAnsi="Book Antiqua"/>
          <w:kern w:val="2"/>
          <w:lang w:eastAsia="zh-CN"/>
        </w:rPr>
        <w:t xml:space="preserve"> J, </w:t>
      </w:r>
      <w:proofErr w:type="spellStart"/>
      <w:r w:rsidRPr="00D07897">
        <w:rPr>
          <w:rFonts w:ascii="Book Antiqua" w:eastAsia="等线" w:hAnsi="Book Antiqua"/>
          <w:kern w:val="2"/>
          <w:lang w:eastAsia="zh-CN"/>
        </w:rPr>
        <w:t>Toiyama</w:t>
      </w:r>
      <w:proofErr w:type="spellEnd"/>
      <w:r w:rsidRPr="00D07897">
        <w:rPr>
          <w:rFonts w:ascii="Book Antiqua" w:eastAsia="等线" w:hAnsi="Book Antiqua"/>
          <w:kern w:val="2"/>
          <w:lang w:eastAsia="zh-CN"/>
        </w:rPr>
        <w:t xml:space="preserve"> Y, Kobayashi M, Tanaka K, Inoue Y, </w:t>
      </w:r>
      <w:proofErr w:type="spellStart"/>
      <w:r w:rsidRPr="00D07897">
        <w:rPr>
          <w:rFonts w:ascii="Book Antiqua" w:eastAsia="等线" w:hAnsi="Book Antiqua"/>
          <w:kern w:val="2"/>
          <w:lang w:eastAsia="zh-CN"/>
        </w:rPr>
        <w:t>Mohri</w:t>
      </w:r>
      <w:proofErr w:type="spellEnd"/>
      <w:r w:rsidRPr="00D07897">
        <w:rPr>
          <w:rFonts w:ascii="Book Antiqua" w:eastAsia="等线" w:hAnsi="Book Antiqua"/>
          <w:kern w:val="2"/>
          <w:lang w:eastAsia="zh-CN"/>
        </w:rPr>
        <w:t xml:space="preserve"> Y, Uchida K, Kusunoki M. Impact of sarcopenia on surgical site infection after restorative proctocolectomy for ulcerative colitis. </w:t>
      </w:r>
      <w:r w:rsidRPr="00D07897">
        <w:rPr>
          <w:rFonts w:ascii="Book Antiqua" w:eastAsia="等线" w:hAnsi="Book Antiqua"/>
          <w:i/>
          <w:kern w:val="2"/>
          <w:lang w:eastAsia="zh-CN"/>
        </w:rPr>
        <w:t>Surg Today</w:t>
      </w:r>
      <w:r w:rsidRPr="00D07897">
        <w:rPr>
          <w:rFonts w:ascii="Book Antiqua" w:eastAsia="等线" w:hAnsi="Book Antiqua"/>
          <w:kern w:val="2"/>
          <w:lang w:eastAsia="zh-CN"/>
        </w:rPr>
        <w:t xml:space="preserve"> 2017; </w:t>
      </w:r>
      <w:r w:rsidRPr="00D07897">
        <w:rPr>
          <w:rFonts w:ascii="Book Antiqua" w:eastAsia="等线" w:hAnsi="Book Antiqua"/>
          <w:b/>
          <w:kern w:val="2"/>
          <w:lang w:eastAsia="zh-CN"/>
        </w:rPr>
        <w:t>47</w:t>
      </w:r>
      <w:r w:rsidRPr="00D07897">
        <w:rPr>
          <w:rFonts w:ascii="Book Antiqua" w:eastAsia="等线" w:hAnsi="Book Antiqua"/>
          <w:kern w:val="2"/>
          <w:lang w:eastAsia="zh-CN"/>
        </w:rPr>
        <w:t>: 92-98 [PMID: 27255541 DOI: 10.1007/s00595-016-1357-x]</w:t>
      </w:r>
    </w:p>
    <w:p w14:paraId="40FDF2D1"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30 </w:t>
      </w:r>
      <w:proofErr w:type="spellStart"/>
      <w:r w:rsidRPr="00D07897">
        <w:rPr>
          <w:rFonts w:ascii="Book Antiqua" w:eastAsia="等线" w:hAnsi="Book Antiqua"/>
          <w:b/>
          <w:kern w:val="2"/>
          <w:lang w:eastAsia="zh-CN"/>
        </w:rPr>
        <w:t>Csontos</w:t>
      </w:r>
      <w:proofErr w:type="spellEnd"/>
      <w:r w:rsidRPr="00D07897">
        <w:rPr>
          <w:rFonts w:ascii="Book Antiqua" w:eastAsia="等线" w:hAnsi="Book Antiqua"/>
          <w:b/>
          <w:kern w:val="2"/>
          <w:lang w:eastAsia="zh-CN"/>
        </w:rPr>
        <w:t xml:space="preserve"> ÁA</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Molnár</w:t>
      </w:r>
      <w:proofErr w:type="spellEnd"/>
      <w:r w:rsidRPr="00D07897">
        <w:rPr>
          <w:rFonts w:ascii="Book Antiqua" w:eastAsia="等线" w:hAnsi="Book Antiqua"/>
          <w:kern w:val="2"/>
          <w:lang w:eastAsia="zh-CN"/>
        </w:rPr>
        <w:t xml:space="preserve"> A, </w:t>
      </w:r>
      <w:proofErr w:type="spellStart"/>
      <w:r w:rsidRPr="00D07897">
        <w:rPr>
          <w:rFonts w:ascii="Book Antiqua" w:eastAsia="等线" w:hAnsi="Book Antiqua"/>
          <w:kern w:val="2"/>
          <w:lang w:eastAsia="zh-CN"/>
        </w:rPr>
        <w:t>Piri</w:t>
      </w:r>
      <w:proofErr w:type="spellEnd"/>
      <w:r w:rsidRPr="00D07897">
        <w:rPr>
          <w:rFonts w:ascii="Book Antiqua" w:eastAsia="等线" w:hAnsi="Book Antiqua"/>
          <w:kern w:val="2"/>
          <w:lang w:eastAsia="zh-CN"/>
        </w:rPr>
        <w:t xml:space="preserve"> Z, </w:t>
      </w:r>
      <w:proofErr w:type="spellStart"/>
      <w:r w:rsidRPr="00D07897">
        <w:rPr>
          <w:rFonts w:ascii="Book Antiqua" w:eastAsia="等线" w:hAnsi="Book Antiqua"/>
          <w:kern w:val="2"/>
          <w:lang w:eastAsia="zh-CN"/>
        </w:rPr>
        <w:t>Pálfi</w:t>
      </w:r>
      <w:proofErr w:type="spellEnd"/>
      <w:r w:rsidRPr="00D07897">
        <w:rPr>
          <w:rFonts w:ascii="Book Antiqua" w:eastAsia="等线" w:hAnsi="Book Antiqua"/>
          <w:kern w:val="2"/>
          <w:lang w:eastAsia="zh-CN"/>
        </w:rPr>
        <w:t xml:space="preserve"> E, </w:t>
      </w:r>
      <w:proofErr w:type="spellStart"/>
      <w:r w:rsidRPr="00D07897">
        <w:rPr>
          <w:rFonts w:ascii="Book Antiqua" w:eastAsia="等线" w:hAnsi="Book Antiqua"/>
          <w:kern w:val="2"/>
          <w:lang w:eastAsia="zh-CN"/>
        </w:rPr>
        <w:t>Miheller</w:t>
      </w:r>
      <w:proofErr w:type="spellEnd"/>
      <w:r w:rsidRPr="00D07897">
        <w:rPr>
          <w:rFonts w:ascii="Book Antiqua" w:eastAsia="等线" w:hAnsi="Book Antiqua"/>
          <w:kern w:val="2"/>
          <w:lang w:eastAsia="zh-CN"/>
        </w:rPr>
        <w:t xml:space="preserve"> P. Malnutrition risk questionnaire combined with body composition measurement in malnutrition screening in inflammatory bowel disease. </w:t>
      </w:r>
      <w:r w:rsidRPr="00D07897">
        <w:rPr>
          <w:rFonts w:ascii="Book Antiqua" w:eastAsia="等线" w:hAnsi="Book Antiqua"/>
          <w:i/>
          <w:kern w:val="2"/>
          <w:lang w:eastAsia="zh-CN"/>
        </w:rPr>
        <w:t xml:space="preserve">Rev </w:t>
      </w:r>
      <w:proofErr w:type="spellStart"/>
      <w:proofErr w:type="gramStart"/>
      <w:r w:rsidRPr="00D07897">
        <w:rPr>
          <w:rFonts w:ascii="Book Antiqua" w:eastAsia="等线" w:hAnsi="Book Antiqua"/>
          <w:i/>
          <w:kern w:val="2"/>
          <w:lang w:eastAsia="zh-CN"/>
        </w:rPr>
        <w:t>Esp</w:t>
      </w:r>
      <w:proofErr w:type="spellEnd"/>
      <w:proofErr w:type="gram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Enferm</w:t>
      </w:r>
      <w:proofErr w:type="spellEnd"/>
      <w:r w:rsidRPr="00D07897">
        <w:rPr>
          <w:rFonts w:ascii="Book Antiqua" w:eastAsia="等线" w:hAnsi="Book Antiqua"/>
          <w:i/>
          <w:kern w:val="2"/>
          <w:lang w:eastAsia="zh-CN"/>
        </w:rPr>
        <w:t xml:space="preserve"> Dig</w:t>
      </w:r>
      <w:r w:rsidRPr="00D07897">
        <w:rPr>
          <w:rFonts w:ascii="Book Antiqua" w:eastAsia="等线" w:hAnsi="Book Antiqua"/>
          <w:kern w:val="2"/>
          <w:lang w:eastAsia="zh-CN"/>
        </w:rPr>
        <w:t xml:space="preserve"> 2017; </w:t>
      </w:r>
      <w:r w:rsidRPr="00D07897">
        <w:rPr>
          <w:rFonts w:ascii="Book Antiqua" w:eastAsia="等线" w:hAnsi="Book Antiqua"/>
          <w:b/>
          <w:kern w:val="2"/>
          <w:lang w:eastAsia="zh-CN"/>
        </w:rPr>
        <w:t>109</w:t>
      </w:r>
      <w:r w:rsidRPr="00D07897">
        <w:rPr>
          <w:rFonts w:ascii="Book Antiqua" w:eastAsia="等线" w:hAnsi="Book Antiqua"/>
          <w:kern w:val="2"/>
          <w:lang w:eastAsia="zh-CN"/>
        </w:rPr>
        <w:t>: 26-32 [PMID: 27931104 DOI: 10.17235/reed.2016.4557/2016]</w:t>
      </w:r>
    </w:p>
    <w:p w14:paraId="69590162"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31 </w:t>
      </w:r>
      <w:r w:rsidRPr="00D07897">
        <w:rPr>
          <w:rFonts w:ascii="Book Antiqua" w:eastAsia="等线" w:hAnsi="Book Antiqua"/>
          <w:b/>
          <w:kern w:val="2"/>
          <w:lang w:eastAsia="zh-CN"/>
        </w:rPr>
        <w:t>O'Brien S</w:t>
      </w:r>
      <w:r w:rsidRPr="00D07897">
        <w:rPr>
          <w:rFonts w:ascii="Book Antiqua" w:eastAsia="等线" w:hAnsi="Book Antiqua"/>
          <w:kern w:val="2"/>
          <w:lang w:eastAsia="zh-CN"/>
        </w:rPr>
        <w:t xml:space="preserve">, Kavanagh RG, Carey BW, Maher MM, O'Connor OJ, Andrews EJ. </w:t>
      </w:r>
      <w:proofErr w:type="gramStart"/>
      <w:r w:rsidRPr="00D07897">
        <w:rPr>
          <w:rFonts w:ascii="Book Antiqua" w:eastAsia="等线" w:hAnsi="Book Antiqua"/>
          <w:kern w:val="2"/>
          <w:lang w:eastAsia="zh-CN"/>
        </w:rPr>
        <w:t xml:space="preserve">The impact of </w:t>
      </w:r>
      <w:proofErr w:type="spellStart"/>
      <w:r w:rsidRPr="00D07897">
        <w:rPr>
          <w:rFonts w:ascii="Book Antiqua" w:eastAsia="等线" w:hAnsi="Book Antiqua"/>
          <w:kern w:val="2"/>
          <w:lang w:eastAsia="zh-CN"/>
        </w:rPr>
        <w:t>sarcopenia</w:t>
      </w:r>
      <w:proofErr w:type="spellEnd"/>
      <w:r w:rsidRPr="00D07897">
        <w:rPr>
          <w:rFonts w:ascii="Book Antiqua" w:eastAsia="等线" w:hAnsi="Book Antiqua"/>
          <w:kern w:val="2"/>
          <w:lang w:eastAsia="zh-CN"/>
        </w:rPr>
        <w:t xml:space="preserve"> and </w:t>
      </w:r>
      <w:proofErr w:type="spellStart"/>
      <w:r w:rsidRPr="00D07897">
        <w:rPr>
          <w:rFonts w:ascii="Book Antiqua" w:eastAsia="等线" w:hAnsi="Book Antiqua"/>
          <w:kern w:val="2"/>
          <w:lang w:eastAsia="zh-CN"/>
        </w:rPr>
        <w:t>myosteatosis</w:t>
      </w:r>
      <w:proofErr w:type="spellEnd"/>
      <w:r w:rsidRPr="00D07897">
        <w:rPr>
          <w:rFonts w:ascii="Book Antiqua" w:eastAsia="等线" w:hAnsi="Book Antiqua"/>
          <w:kern w:val="2"/>
          <w:lang w:eastAsia="zh-CN"/>
        </w:rPr>
        <w:t xml:space="preserve"> on postoperative outcomes in patients with inflammatory bowel disease.</w:t>
      </w:r>
      <w:proofErr w:type="gramEnd"/>
      <w:r w:rsidRPr="00D07897">
        <w:rPr>
          <w:rFonts w:ascii="Book Antiqua" w:eastAsia="等线" w:hAnsi="Book Antiqua"/>
          <w:kern w:val="2"/>
          <w:lang w:eastAsia="zh-CN"/>
        </w:rPr>
        <w:t xml:space="preserve"> </w:t>
      </w:r>
      <w:proofErr w:type="spellStart"/>
      <w:r w:rsidRPr="00D07897">
        <w:rPr>
          <w:rFonts w:ascii="Book Antiqua" w:eastAsia="等线" w:hAnsi="Book Antiqua"/>
          <w:i/>
          <w:kern w:val="2"/>
          <w:lang w:eastAsia="zh-CN"/>
        </w:rPr>
        <w:t>Eur</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Radiol</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Exp</w:t>
      </w:r>
      <w:proofErr w:type="spellEnd"/>
      <w:r w:rsidRPr="00D07897">
        <w:rPr>
          <w:rFonts w:ascii="Book Antiqua" w:eastAsia="等线" w:hAnsi="Book Antiqua"/>
          <w:kern w:val="2"/>
          <w:lang w:eastAsia="zh-CN"/>
        </w:rPr>
        <w:t xml:space="preserve"> 2018; </w:t>
      </w:r>
      <w:r w:rsidRPr="00D07897">
        <w:rPr>
          <w:rFonts w:ascii="Book Antiqua" w:eastAsia="等线" w:hAnsi="Book Antiqua"/>
          <w:b/>
          <w:kern w:val="2"/>
          <w:lang w:eastAsia="zh-CN"/>
        </w:rPr>
        <w:t>2</w:t>
      </w:r>
      <w:r w:rsidRPr="00D07897">
        <w:rPr>
          <w:rFonts w:ascii="Book Antiqua" w:eastAsia="等线" w:hAnsi="Book Antiqua"/>
          <w:kern w:val="2"/>
          <w:lang w:eastAsia="zh-CN"/>
        </w:rPr>
        <w:t>: 37 [PMID: 30460523 DOI: 10.1186/s41747-018-0072-3]</w:t>
      </w:r>
    </w:p>
    <w:p w14:paraId="1696F50E"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32 </w:t>
      </w:r>
      <w:proofErr w:type="spellStart"/>
      <w:r w:rsidRPr="00D07897">
        <w:rPr>
          <w:rFonts w:ascii="Book Antiqua" w:eastAsia="等线" w:hAnsi="Book Antiqua"/>
          <w:b/>
          <w:kern w:val="2"/>
          <w:lang w:eastAsia="zh-CN"/>
        </w:rPr>
        <w:t>Thiberge</w:t>
      </w:r>
      <w:proofErr w:type="spellEnd"/>
      <w:r w:rsidRPr="00D07897">
        <w:rPr>
          <w:rFonts w:ascii="Book Antiqua" w:eastAsia="等线" w:hAnsi="Book Antiqua"/>
          <w:b/>
          <w:kern w:val="2"/>
          <w:lang w:eastAsia="zh-CN"/>
        </w:rPr>
        <w:t xml:space="preserve"> C</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Charpentier</w:t>
      </w:r>
      <w:proofErr w:type="spellEnd"/>
      <w:r w:rsidRPr="00D07897">
        <w:rPr>
          <w:rFonts w:ascii="Book Antiqua" w:eastAsia="等线" w:hAnsi="Book Antiqua"/>
          <w:kern w:val="2"/>
          <w:lang w:eastAsia="zh-CN"/>
        </w:rPr>
        <w:t xml:space="preserve"> C, </w:t>
      </w:r>
      <w:proofErr w:type="spellStart"/>
      <w:r w:rsidRPr="00D07897">
        <w:rPr>
          <w:rFonts w:ascii="Book Antiqua" w:eastAsia="等线" w:hAnsi="Book Antiqua"/>
          <w:kern w:val="2"/>
          <w:lang w:eastAsia="zh-CN"/>
        </w:rPr>
        <w:t>Gillibert</w:t>
      </w:r>
      <w:proofErr w:type="spellEnd"/>
      <w:r w:rsidRPr="00D07897">
        <w:rPr>
          <w:rFonts w:ascii="Book Antiqua" w:eastAsia="等线" w:hAnsi="Book Antiqua"/>
          <w:kern w:val="2"/>
          <w:lang w:eastAsia="zh-CN"/>
        </w:rPr>
        <w:t xml:space="preserve"> A, </w:t>
      </w:r>
      <w:proofErr w:type="spellStart"/>
      <w:r w:rsidRPr="00D07897">
        <w:rPr>
          <w:rFonts w:ascii="Book Antiqua" w:eastAsia="等线" w:hAnsi="Book Antiqua"/>
          <w:kern w:val="2"/>
          <w:lang w:eastAsia="zh-CN"/>
        </w:rPr>
        <w:t>Modzelewski</w:t>
      </w:r>
      <w:proofErr w:type="spellEnd"/>
      <w:r w:rsidRPr="00D07897">
        <w:rPr>
          <w:rFonts w:ascii="Book Antiqua" w:eastAsia="等线" w:hAnsi="Book Antiqua"/>
          <w:kern w:val="2"/>
          <w:lang w:eastAsia="zh-CN"/>
        </w:rPr>
        <w:t xml:space="preserve"> R, </w:t>
      </w:r>
      <w:proofErr w:type="spellStart"/>
      <w:r w:rsidRPr="00D07897">
        <w:rPr>
          <w:rFonts w:ascii="Book Antiqua" w:eastAsia="等线" w:hAnsi="Book Antiqua"/>
          <w:kern w:val="2"/>
          <w:lang w:eastAsia="zh-CN"/>
        </w:rPr>
        <w:t>Dacher</w:t>
      </w:r>
      <w:proofErr w:type="spellEnd"/>
      <w:r w:rsidRPr="00D07897">
        <w:rPr>
          <w:rFonts w:ascii="Book Antiqua" w:eastAsia="等线" w:hAnsi="Book Antiqua"/>
          <w:kern w:val="2"/>
          <w:lang w:eastAsia="zh-CN"/>
        </w:rPr>
        <w:t xml:space="preserve"> JN, </w:t>
      </w:r>
      <w:proofErr w:type="spellStart"/>
      <w:r w:rsidRPr="00D07897">
        <w:rPr>
          <w:rFonts w:ascii="Book Antiqua" w:eastAsia="等线" w:hAnsi="Book Antiqua"/>
          <w:kern w:val="2"/>
          <w:lang w:eastAsia="zh-CN"/>
        </w:rPr>
        <w:t>Savoye</w:t>
      </w:r>
      <w:proofErr w:type="spellEnd"/>
      <w:r w:rsidRPr="00D07897">
        <w:rPr>
          <w:rFonts w:ascii="Book Antiqua" w:eastAsia="等线" w:hAnsi="Book Antiqua"/>
          <w:kern w:val="2"/>
          <w:lang w:eastAsia="zh-CN"/>
        </w:rPr>
        <w:t xml:space="preserve"> G, </w:t>
      </w:r>
      <w:proofErr w:type="spellStart"/>
      <w:r w:rsidRPr="00D07897">
        <w:rPr>
          <w:rFonts w:ascii="Book Antiqua" w:eastAsia="等线" w:hAnsi="Book Antiqua"/>
          <w:kern w:val="2"/>
          <w:lang w:eastAsia="zh-CN"/>
        </w:rPr>
        <w:t>Savoye</w:t>
      </w:r>
      <w:proofErr w:type="spellEnd"/>
      <w:r w:rsidRPr="00D07897">
        <w:rPr>
          <w:rFonts w:ascii="Book Antiqua" w:eastAsia="等线" w:hAnsi="Book Antiqua"/>
          <w:kern w:val="2"/>
          <w:lang w:eastAsia="zh-CN"/>
        </w:rPr>
        <w:t xml:space="preserve">-Collet C. Lower Subcutaneous or Visceral Adiposity Assessed by Abdominal Computed Tomography Could Predict Adverse Outcome in Patients With Crohn's Disease. </w:t>
      </w:r>
      <w:r w:rsidRPr="00D07897">
        <w:rPr>
          <w:rFonts w:ascii="Book Antiqua" w:eastAsia="等线" w:hAnsi="Book Antiqua"/>
          <w:i/>
          <w:kern w:val="2"/>
          <w:lang w:eastAsia="zh-CN"/>
        </w:rPr>
        <w:t xml:space="preserve">J </w:t>
      </w:r>
      <w:proofErr w:type="spellStart"/>
      <w:r w:rsidRPr="00D07897">
        <w:rPr>
          <w:rFonts w:ascii="Book Antiqua" w:eastAsia="等线" w:hAnsi="Book Antiqua"/>
          <w:i/>
          <w:kern w:val="2"/>
          <w:lang w:eastAsia="zh-CN"/>
        </w:rPr>
        <w:t>Crohns</w:t>
      </w:r>
      <w:proofErr w:type="spellEnd"/>
      <w:r w:rsidRPr="00D07897">
        <w:rPr>
          <w:rFonts w:ascii="Book Antiqua" w:eastAsia="等线" w:hAnsi="Book Antiqua"/>
          <w:i/>
          <w:kern w:val="2"/>
          <w:lang w:eastAsia="zh-CN"/>
        </w:rPr>
        <w:t xml:space="preserve"> Colitis</w:t>
      </w:r>
      <w:r w:rsidRPr="00D07897">
        <w:rPr>
          <w:rFonts w:ascii="Book Antiqua" w:eastAsia="等线" w:hAnsi="Book Antiqua"/>
          <w:kern w:val="2"/>
          <w:lang w:eastAsia="zh-CN"/>
        </w:rPr>
        <w:t xml:space="preserve"> 2018; </w:t>
      </w:r>
      <w:r w:rsidRPr="00D07897">
        <w:rPr>
          <w:rFonts w:ascii="Book Antiqua" w:eastAsia="等线" w:hAnsi="Book Antiqua"/>
          <w:b/>
          <w:kern w:val="2"/>
          <w:lang w:eastAsia="zh-CN"/>
        </w:rPr>
        <w:t>12</w:t>
      </w:r>
      <w:r w:rsidRPr="00D07897">
        <w:rPr>
          <w:rFonts w:ascii="Book Antiqua" w:eastAsia="等线" w:hAnsi="Book Antiqua"/>
          <w:kern w:val="2"/>
          <w:lang w:eastAsia="zh-CN"/>
        </w:rPr>
        <w:t>: 1429-1437 [PMID: 30260374 DOI: 10.1093/</w:t>
      </w:r>
      <w:proofErr w:type="spellStart"/>
      <w:r w:rsidRPr="00D07897">
        <w:rPr>
          <w:rFonts w:ascii="Book Antiqua" w:eastAsia="等线" w:hAnsi="Book Antiqua"/>
          <w:kern w:val="2"/>
          <w:lang w:eastAsia="zh-CN"/>
        </w:rPr>
        <w:t>ecco-jcc</w:t>
      </w:r>
      <w:proofErr w:type="spellEnd"/>
      <w:r w:rsidRPr="00D07897">
        <w:rPr>
          <w:rFonts w:ascii="Book Antiqua" w:eastAsia="等线" w:hAnsi="Book Antiqua"/>
          <w:kern w:val="2"/>
          <w:lang w:eastAsia="zh-CN"/>
        </w:rPr>
        <w:t>/jjy124]</w:t>
      </w:r>
    </w:p>
    <w:p w14:paraId="3843D581"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33 </w:t>
      </w:r>
      <w:r w:rsidRPr="00D07897">
        <w:rPr>
          <w:rFonts w:ascii="Book Antiqua" w:eastAsia="等线" w:hAnsi="Book Antiqua"/>
          <w:b/>
          <w:kern w:val="2"/>
          <w:lang w:eastAsia="zh-CN"/>
        </w:rPr>
        <w:t>Adams DW</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Gurwara</w:t>
      </w:r>
      <w:proofErr w:type="spellEnd"/>
      <w:r w:rsidRPr="00D07897">
        <w:rPr>
          <w:rFonts w:ascii="Book Antiqua" w:eastAsia="等线" w:hAnsi="Book Antiqua"/>
          <w:kern w:val="2"/>
          <w:lang w:eastAsia="zh-CN"/>
        </w:rPr>
        <w:t xml:space="preserve"> S, Silver HJ, Horst SN, Beaulieu DB, Schwartz DA, </w:t>
      </w:r>
      <w:proofErr w:type="spellStart"/>
      <w:r w:rsidRPr="00D07897">
        <w:rPr>
          <w:rFonts w:ascii="Book Antiqua" w:eastAsia="等线" w:hAnsi="Book Antiqua"/>
          <w:kern w:val="2"/>
          <w:lang w:eastAsia="zh-CN"/>
        </w:rPr>
        <w:t>Seidner</w:t>
      </w:r>
      <w:proofErr w:type="spellEnd"/>
      <w:r w:rsidRPr="00D07897">
        <w:rPr>
          <w:rFonts w:ascii="Book Antiqua" w:eastAsia="等线" w:hAnsi="Book Antiqua"/>
          <w:kern w:val="2"/>
          <w:lang w:eastAsia="zh-CN"/>
        </w:rPr>
        <w:t xml:space="preserve"> DL. Sarcopenia Is Common in Overweight Patients with Inflammatory Bowel Disease and May Predict Need for Surgery. </w:t>
      </w:r>
      <w:proofErr w:type="spellStart"/>
      <w:r w:rsidRPr="00D07897">
        <w:rPr>
          <w:rFonts w:ascii="Book Antiqua" w:eastAsia="等线" w:hAnsi="Book Antiqua"/>
          <w:i/>
          <w:kern w:val="2"/>
          <w:lang w:eastAsia="zh-CN"/>
        </w:rPr>
        <w:t>Inflamm</w:t>
      </w:r>
      <w:proofErr w:type="spellEnd"/>
      <w:r w:rsidRPr="00D07897">
        <w:rPr>
          <w:rFonts w:ascii="Book Antiqua" w:eastAsia="等线" w:hAnsi="Book Antiqua"/>
          <w:i/>
          <w:kern w:val="2"/>
          <w:lang w:eastAsia="zh-CN"/>
        </w:rPr>
        <w:t xml:space="preserve"> Bowel Dis</w:t>
      </w:r>
      <w:r w:rsidRPr="00D07897">
        <w:rPr>
          <w:rFonts w:ascii="Book Antiqua" w:eastAsia="等线" w:hAnsi="Book Antiqua"/>
          <w:kern w:val="2"/>
          <w:lang w:eastAsia="zh-CN"/>
        </w:rPr>
        <w:t xml:space="preserve"> 2017; </w:t>
      </w:r>
      <w:r w:rsidRPr="00D07897">
        <w:rPr>
          <w:rFonts w:ascii="Book Antiqua" w:eastAsia="等线" w:hAnsi="Book Antiqua"/>
          <w:b/>
          <w:kern w:val="2"/>
          <w:lang w:eastAsia="zh-CN"/>
        </w:rPr>
        <w:t>23</w:t>
      </w:r>
      <w:r w:rsidRPr="00D07897">
        <w:rPr>
          <w:rFonts w:ascii="Book Antiqua" w:eastAsia="等线" w:hAnsi="Book Antiqua"/>
          <w:kern w:val="2"/>
          <w:lang w:eastAsia="zh-CN"/>
        </w:rPr>
        <w:t>: 1182-1186 [PMID: 28410342 DOI: 10.1097/MIB.0000000000001128]</w:t>
      </w:r>
    </w:p>
    <w:p w14:paraId="1D629147"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34 </w:t>
      </w:r>
      <w:r w:rsidRPr="00D07897">
        <w:rPr>
          <w:rFonts w:ascii="Book Antiqua" w:eastAsia="等线" w:hAnsi="Book Antiqua"/>
          <w:b/>
          <w:kern w:val="2"/>
          <w:lang w:eastAsia="zh-CN"/>
        </w:rPr>
        <w:t>Cushing KC</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Kordbacheh</w:t>
      </w:r>
      <w:proofErr w:type="spellEnd"/>
      <w:r w:rsidRPr="00D07897">
        <w:rPr>
          <w:rFonts w:ascii="Book Antiqua" w:eastAsia="等线" w:hAnsi="Book Antiqua"/>
          <w:kern w:val="2"/>
          <w:lang w:eastAsia="zh-CN"/>
        </w:rPr>
        <w:t xml:space="preserve"> H, Gee MS, </w:t>
      </w:r>
      <w:proofErr w:type="spellStart"/>
      <w:r w:rsidRPr="00D07897">
        <w:rPr>
          <w:rFonts w:ascii="Book Antiqua" w:eastAsia="等线" w:hAnsi="Book Antiqua"/>
          <w:kern w:val="2"/>
          <w:lang w:eastAsia="zh-CN"/>
        </w:rPr>
        <w:t>Kambadakone</w:t>
      </w:r>
      <w:proofErr w:type="spellEnd"/>
      <w:r w:rsidRPr="00D07897">
        <w:rPr>
          <w:rFonts w:ascii="Book Antiqua" w:eastAsia="等线" w:hAnsi="Book Antiqua"/>
          <w:kern w:val="2"/>
          <w:lang w:eastAsia="zh-CN"/>
        </w:rPr>
        <w:t xml:space="preserve"> A, </w:t>
      </w:r>
      <w:proofErr w:type="spellStart"/>
      <w:r w:rsidRPr="00D07897">
        <w:rPr>
          <w:rFonts w:ascii="Book Antiqua" w:eastAsia="等线" w:hAnsi="Book Antiqua"/>
          <w:kern w:val="2"/>
          <w:lang w:eastAsia="zh-CN"/>
        </w:rPr>
        <w:t>Ananthakrishnan</w:t>
      </w:r>
      <w:proofErr w:type="spellEnd"/>
      <w:r w:rsidRPr="00D07897">
        <w:rPr>
          <w:rFonts w:ascii="Book Antiqua" w:eastAsia="等线" w:hAnsi="Book Antiqua"/>
          <w:kern w:val="2"/>
          <w:lang w:eastAsia="zh-CN"/>
        </w:rPr>
        <w:t xml:space="preserve"> AN. Sarcopenia is a Novel Predictor of the Need for Rescue Therapy in Hospitalized Ulcerative Colitis Patients. </w:t>
      </w:r>
      <w:r w:rsidRPr="00D07897">
        <w:rPr>
          <w:rFonts w:ascii="Book Antiqua" w:eastAsia="等线" w:hAnsi="Book Antiqua"/>
          <w:i/>
          <w:kern w:val="2"/>
          <w:lang w:eastAsia="zh-CN"/>
        </w:rPr>
        <w:t xml:space="preserve">J </w:t>
      </w:r>
      <w:proofErr w:type="spellStart"/>
      <w:r w:rsidRPr="00D07897">
        <w:rPr>
          <w:rFonts w:ascii="Book Antiqua" w:eastAsia="等线" w:hAnsi="Book Antiqua"/>
          <w:i/>
          <w:kern w:val="2"/>
          <w:lang w:eastAsia="zh-CN"/>
        </w:rPr>
        <w:t>Crohns</w:t>
      </w:r>
      <w:proofErr w:type="spellEnd"/>
      <w:r w:rsidRPr="00D07897">
        <w:rPr>
          <w:rFonts w:ascii="Book Antiqua" w:eastAsia="等线" w:hAnsi="Book Antiqua"/>
          <w:i/>
          <w:kern w:val="2"/>
          <w:lang w:eastAsia="zh-CN"/>
        </w:rPr>
        <w:t xml:space="preserve"> Colitis</w:t>
      </w:r>
      <w:r w:rsidRPr="00D07897">
        <w:rPr>
          <w:rFonts w:ascii="Book Antiqua" w:eastAsia="等线" w:hAnsi="Book Antiqua"/>
          <w:kern w:val="2"/>
          <w:lang w:eastAsia="zh-CN"/>
        </w:rPr>
        <w:t xml:space="preserve"> 2018 [PMID: 29762697 DOI: 10.1093/</w:t>
      </w:r>
      <w:proofErr w:type="spellStart"/>
      <w:r w:rsidRPr="00D07897">
        <w:rPr>
          <w:rFonts w:ascii="Book Antiqua" w:eastAsia="等线" w:hAnsi="Book Antiqua"/>
          <w:kern w:val="2"/>
          <w:lang w:eastAsia="zh-CN"/>
        </w:rPr>
        <w:t>ecco-jcc</w:t>
      </w:r>
      <w:proofErr w:type="spellEnd"/>
      <w:r w:rsidRPr="00D07897">
        <w:rPr>
          <w:rFonts w:ascii="Book Antiqua" w:eastAsia="等线" w:hAnsi="Book Antiqua"/>
          <w:kern w:val="2"/>
          <w:lang w:eastAsia="zh-CN"/>
        </w:rPr>
        <w:t>/jjy064]</w:t>
      </w:r>
    </w:p>
    <w:p w14:paraId="696C1B58" w14:textId="77777777" w:rsidR="00EE37A2" w:rsidRPr="00D07897" w:rsidRDefault="00EE37A2" w:rsidP="00EE37A2">
      <w:pPr>
        <w:widowControl w:val="0"/>
        <w:spacing w:line="360" w:lineRule="auto"/>
        <w:jc w:val="both"/>
        <w:rPr>
          <w:rFonts w:ascii="Book Antiqua" w:eastAsia="等线" w:hAnsi="Book Antiqua"/>
          <w:kern w:val="2"/>
          <w:lang w:eastAsia="zh-CN"/>
        </w:rPr>
      </w:pPr>
      <w:proofErr w:type="gramStart"/>
      <w:r w:rsidRPr="00D07897">
        <w:rPr>
          <w:rFonts w:ascii="Book Antiqua" w:eastAsia="等线" w:hAnsi="Book Antiqua"/>
          <w:kern w:val="2"/>
          <w:lang w:eastAsia="zh-CN"/>
        </w:rPr>
        <w:t xml:space="preserve">35 </w:t>
      </w:r>
      <w:r w:rsidRPr="00D07897">
        <w:rPr>
          <w:rFonts w:ascii="Book Antiqua" w:eastAsia="等线" w:hAnsi="Book Antiqua"/>
          <w:b/>
          <w:kern w:val="2"/>
          <w:lang w:eastAsia="zh-CN"/>
        </w:rPr>
        <w:t>Haskey N</w:t>
      </w:r>
      <w:r w:rsidRPr="00D07897">
        <w:rPr>
          <w:rFonts w:ascii="Book Antiqua" w:eastAsia="等线" w:hAnsi="Book Antiqua"/>
          <w:kern w:val="2"/>
          <w:lang w:eastAsia="zh-CN"/>
        </w:rPr>
        <w:t>, Peña-Sánchez JN, Jones JL, Fowler SA.</w:t>
      </w:r>
      <w:proofErr w:type="gramEnd"/>
      <w:r w:rsidRPr="00D07897">
        <w:rPr>
          <w:rFonts w:ascii="Book Antiqua" w:eastAsia="等线" w:hAnsi="Book Antiqua"/>
          <w:kern w:val="2"/>
          <w:lang w:eastAsia="zh-CN"/>
        </w:rPr>
        <w:t xml:space="preserve"> </w:t>
      </w:r>
      <w:proofErr w:type="gramStart"/>
      <w:r w:rsidRPr="00D07897">
        <w:rPr>
          <w:rFonts w:ascii="Book Antiqua" w:eastAsia="等线" w:hAnsi="Book Antiqua"/>
          <w:kern w:val="2"/>
          <w:lang w:eastAsia="zh-CN"/>
        </w:rPr>
        <w:t>Development of a screening tool to detect nutrition risk in patients with inflammatory bowel disease.</w:t>
      </w:r>
      <w:proofErr w:type="gramEnd"/>
      <w:r w:rsidRPr="00D07897">
        <w:rPr>
          <w:rFonts w:ascii="Book Antiqua" w:eastAsia="等线" w:hAnsi="Book Antiqua"/>
          <w:kern w:val="2"/>
          <w:lang w:eastAsia="zh-CN"/>
        </w:rPr>
        <w:t xml:space="preserve"> </w:t>
      </w:r>
      <w:r w:rsidRPr="00D07897">
        <w:rPr>
          <w:rFonts w:ascii="Book Antiqua" w:eastAsia="等线" w:hAnsi="Book Antiqua"/>
          <w:i/>
          <w:kern w:val="2"/>
          <w:lang w:eastAsia="zh-CN"/>
        </w:rPr>
        <w:t xml:space="preserve">Asia Pac </w:t>
      </w:r>
      <w:r w:rsidRPr="00D07897">
        <w:rPr>
          <w:rFonts w:ascii="Book Antiqua" w:eastAsia="等线" w:hAnsi="Book Antiqua"/>
          <w:i/>
          <w:kern w:val="2"/>
          <w:lang w:eastAsia="zh-CN"/>
        </w:rPr>
        <w:lastRenderedPageBreak/>
        <w:t xml:space="preserve">J </w:t>
      </w:r>
      <w:proofErr w:type="spellStart"/>
      <w:r w:rsidRPr="00D07897">
        <w:rPr>
          <w:rFonts w:ascii="Book Antiqua" w:eastAsia="等线" w:hAnsi="Book Antiqua"/>
          <w:i/>
          <w:kern w:val="2"/>
          <w:lang w:eastAsia="zh-CN"/>
        </w:rPr>
        <w:t>Clin</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kern w:val="2"/>
          <w:lang w:eastAsia="zh-CN"/>
        </w:rPr>
        <w:t xml:space="preserve"> 2018; </w:t>
      </w:r>
      <w:r w:rsidRPr="00D07897">
        <w:rPr>
          <w:rFonts w:ascii="Book Antiqua" w:eastAsia="等线" w:hAnsi="Book Antiqua"/>
          <w:b/>
          <w:kern w:val="2"/>
          <w:lang w:eastAsia="zh-CN"/>
        </w:rPr>
        <w:t>27</w:t>
      </w:r>
      <w:r w:rsidRPr="00D07897">
        <w:rPr>
          <w:rFonts w:ascii="Book Antiqua" w:eastAsia="等线" w:hAnsi="Book Antiqua"/>
          <w:kern w:val="2"/>
          <w:lang w:eastAsia="zh-CN"/>
        </w:rPr>
        <w:t>: 756-762 [PMID: 30045418 DOI: 10.6133/apjcn.112017.01]</w:t>
      </w:r>
    </w:p>
    <w:p w14:paraId="7361F4E7" w14:textId="77777777" w:rsidR="00EE37A2" w:rsidRPr="00D07897" w:rsidRDefault="00EE37A2" w:rsidP="00EE37A2">
      <w:pPr>
        <w:widowControl w:val="0"/>
        <w:spacing w:line="360" w:lineRule="auto"/>
        <w:jc w:val="both"/>
        <w:rPr>
          <w:rFonts w:ascii="Book Antiqua" w:eastAsia="等线" w:hAnsi="Book Antiqua"/>
          <w:kern w:val="2"/>
          <w:lang w:eastAsia="zh-CN"/>
        </w:rPr>
      </w:pPr>
      <w:proofErr w:type="gramStart"/>
      <w:r w:rsidRPr="00D07897">
        <w:rPr>
          <w:rFonts w:ascii="Book Antiqua" w:eastAsia="等线" w:hAnsi="Book Antiqua"/>
          <w:kern w:val="2"/>
          <w:lang w:eastAsia="zh-CN"/>
        </w:rPr>
        <w:t xml:space="preserve">36 </w:t>
      </w:r>
      <w:r w:rsidRPr="00D07897">
        <w:rPr>
          <w:rFonts w:ascii="Book Antiqua" w:eastAsia="等线" w:hAnsi="Book Antiqua"/>
          <w:b/>
          <w:kern w:val="2"/>
          <w:lang w:eastAsia="zh-CN"/>
        </w:rPr>
        <w:t>Holt DQ</w:t>
      </w:r>
      <w:r w:rsidRPr="00D07897">
        <w:rPr>
          <w:rFonts w:ascii="Book Antiqua" w:eastAsia="等线" w:hAnsi="Book Antiqua"/>
          <w:kern w:val="2"/>
          <w:lang w:eastAsia="zh-CN"/>
        </w:rPr>
        <w:t xml:space="preserve">, Moore GT, Strauss BJ, Hamilton AL, De Cruz P, </w:t>
      </w:r>
      <w:proofErr w:type="spellStart"/>
      <w:r w:rsidRPr="00D07897">
        <w:rPr>
          <w:rFonts w:ascii="Book Antiqua" w:eastAsia="等线" w:hAnsi="Book Antiqua"/>
          <w:kern w:val="2"/>
          <w:lang w:eastAsia="zh-CN"/>
        </w:rPr>
        <w:t>Kamm</w:t>
      </w:r>
      <w:proofErr w:type="spellEnd"/>
      <w:r w:rsidRPr="00D07897">
        <w:rPr>
          <w:rFonts w:ascii="Book Antiqua" w:eastAsia="等线" w:hAnsi="Book Antiqua"/>
          <w:kern w:val="2"/>
          <w:lang w:eastAsia="zh-CN"/>
        </w:rPr>
        <w:t xml:space="preserve"> MA.</w:t>
      </w:r>
      <w:proofErr w:type="gramEnd"/>
      <w:r w:rsidRPr="00D07897">
        <w:rPr>
          <w:rFonts w:ascii="Book Antiqua" w:eastAsia="等线" w:hAnsi="Book Antiqua"/>
          <w:kern w:val="2"/>
          <w:lang w:eastAsia="zh-CN"/>
        </w:rPr>
        <w:t xml:space="preserve"> Visceral adiposity predicts post-operative Crohn's disease recurrence. </w:t>
      </w:r>
      <w:r w:rsidRPr="00D07897">
        <w:rPr>
          <w:rFonts w:ascii="Book Antiqua" w:eastAsia="等线" w:hAnsi="Book Antiqua"/>
          <w:i/>
          <w:kern w:val="2"/>
          <w:lang w:eastAsia="zh-CN"/>
        </w:rPr>
        <w:t xml:space="preserve">Aliment </w:t>
      </w:r>
      <w:proofErr w:type="spellStart"/>
      <w:r w:rsidRPr="00D07897">
        <w:rPr>
          <w:rFonts w:ascii="Book Antiqua" w:eastAsia="等线" w:hAnsi="Book Antiqua"/>
          <w:i/>
          <w:kern w:val="2"/>
          <w:lang w:eastAsia="zh-CN"/>
        </w:rPr>
        <w:t>Pharmacol</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Ther</w:t>
      </w:r>
      <w:proofErr w:type="spellEnd"/>
      <w:r w:rsidRPr="00D07897">
        <w:rPr>
          <w:rFonts w:ascii="Book Antiqua" w:eastAsia="等线" w:hAnsi="Book Antiqua"/>
          <w:kern w:val="2"/>
          <w:lang w:eastAsia="zh-CN"/>
        </w:rPr>
        <w:t xml:space="preserve"> 2017; </w:t>
      </w:r>
      <w:r w:rsidRPr="00D07897">
        <w:rPr>
          <w:rFonts w:ascii="Book Antiqua" w:eastAsia="等线" w:hAnsi="Book Antiqua"/>
          <w:b/>
          <w:kern w:val="2"/>
          <w:lang w:eastAsia="zh-CN"/>
        </w:rPr>
        <w:t>45</w:t>
      </w:r>
      <w:r w:rsidRPr="00D07897">
        <w:rPr>
          <w:rFonts w:ascii="Book Antiqua" w:eastAsia="等线" w:hAnsi="Book Antiqua"/>
          <w:kern w:val="2"/>
          <w:lang w:eastAsia="zh-CN"/>
        </w:rPr>
        <w:t>: 1255-1264 [PMID: 28244124 DOI: 10.1111/apt.14018]</w:t>
      </w:r>
    </w:p>
    <w:p w14:paraId="0FFD3E61" w14:textId="77777777" w:rsidR="00EE37A2" w:rsidRPr="00D07897" w:rsidRDefault="00EE37A2" w:rsidP="00EE37A2">
      <w:pPr>
        <w:widowControl w:val="0"/>
        <w:spacing w:line="360" w:lineRule="auto"/>
        <w:jc w:val="both"/>
        <w:rPr>
          <w:rFonts w:ascii="Book Antiqua" w:eastAsia="等线" w:hAnsi="Book Antiqua"/>
          <w:kern w:val="2"/>
          <w:lang w:eastAsia="zh-CN"/>
        </w:rPr>
      </w:pPr>
      <w:proofErr w:type="gramStart"/>
      <w:r w:rsidRPr="00D07897">
        <w:rPr>
          <w:rFonts w:ascii="Book Antiqua" w:eastAsia="等线" w:hAnsi="Book Antiqua"/>
          <w:kern w:val="2"/>
          <w:lang w:eastAsia="zh-CN"/>
        </w:rPr>
        <w:t xml:space="preserve">37 </w:t>
      </w:r>
      <w:proofErr w:type="spellStart"/>
      <w:r w:rsidRPr="00D07897">
        <w:rPr>
          <w:rFonts w:ascii="Book Antiqua" w:eastAsia="等线" w:hAnsi="Book Antiqua"/>
          <w:b/>
          <w:kern w:val="2"/>
          <w:lang w:eastAsia="zh-CN"/>
        </w:rPr>
        <w:t>Stenvinkel</w:t>
      </w:r>
      <w:proofErr w:type="spellEnd"/>
      <w:r w:rsidRPr="00D07897">
        <w:rPr>
          <w:rFonts w:ascii="Book Antiqua" w:eastAsia="等线" w:hAnsi="Book Antiqua"/>
          <w:b/>
          <w:kern w:val="2"/>
          <w:lang w:eastAsia="zh-CN"/>
        </w:rPr>
        <w:t xml:space="preserve"> P</w:t>
      </w:r>
      <w:r w:rsidRPr="00D07897">
        <w:rPr>
          <w:rFonts w:ascii="Book Antiqua" w:eastAsia="等线" w:hAnsi="Book Antiqua"/>
          <w:kern w:val="2"/>
          <w:lang w:eastAsia="zh-CN"/>
        </w:rPr>
        <w:t xml:space="preserve">, Barany P, Chung SH, </w:t>
      </w:r>
      <w:proofErr w:type="spellStart"/>
      <w:r w:rsidRPr="00D07897">
        <w:rPr>
          <w:rFonts w:ascii="Book Antiqua" w:eastAsia="等线" w:hAnsi="Book Antiqua"/>
          <w:kern w:val="2"/>
          <w:lang w:eastAsia="zh-CN"/>
        </w:rPr>
        <w:t>Lindholm</w:t>
      </w:r>
      <w:proofErr w:type="spellEnd"/>
      <w:r w:rsidRPr="00D07897">
        <w:rPr>
          <w:rFonts w:ascii="Book Antiqua" w:eastAsia="等线" w:hAnsi="Book Antiqua"/>
          <w:kern w:val="2"/>
          <w:lang w:eastAsia="zh-CN"/>
        </w:rPr>
        <w:t xml:space="preserve"> B, </w:t>
      </w:r>
      <w:proofErr w:type="spellStart"/>
      <w:r w:rsidRPr="00D07897">
        <w:rPr>
          <w:rFonts w:ascii="Book Antiqua" w:eastAsia="等线" w:hAnsi="Book Antiqua"/>
          <w:kern w:val="2"/>
          <w:lang w:eastAsia="zh-CN"/>
        </w:rPr>
        <w:t>Heimbürger</w:t>
      </w:r>
      <w:proofErr w:type="spellEnd"/>
      <w:r w:rsidRPr="00D07897">
        <w:rPr>
          <w:rFonts w:ascii="Book Antiqua" w:eastAsia="等线" w:hAnsi="Book Antiqua"/>
          <w:kern w:val="2"/>
          <w:lang w:eastAsia="zh-CN"/>
        </w:rPr>
        <w:t xml:space="preserve"> O.</w:t>
      </w:r>
      <w:proofErr w:type="gramEnd"/>
      <w:r w:rsidRPr="00D07897">
        <w:rPr>
          <w:rFonts w:ascii="Book Antiqua" w:eastAsia="等线" w:hAnsi="Book Antiqua"/>
          <w:kern w:val="2"/>
          <w:lang w:eastAsia="zh-CN"/>
        </w:rPr>
        <w:t xml:space="preserve"> </w:t>
      </w:r>
      <w:proofErr w:type="gramStart"/>
      <w:r w:rsidRPr="00D07897">
        <w:rPr>
          <w:rFonts w:ascii="Book Antiqua" w:eastAsia="等线" w:hAnsi="Book Antiqua"/>
          <w:kern w:val="2"/>
          <w:lang w:eastAsia="zh-CN"/>
        </w:rPr>
        <w:t>A comparative analysis of nutritional parameters as predictors of outcome in male and female ESRD patients.</w:t>
      </w:r>
      <w:proofErr w:type="gramEnd"/>
      <w:r w:rsidRPr="00D07897">
        <w:rPr>
          <w:rFonts w:ascii="Book Antiqua" w:eastAsia="等线" w:hAnsi="Book Antiqua"/>
          <w:kern w:val="2"/>
          <w:lang w:eastAsia="zh-CN"/>
        </w:rPr>
        <w:t xml:space="preserve"> </w:t>
      </w:r>
      <w:proofErr w:type="spellStart"/>
      <w:r w:rsidRPr="00D07897">
        <w:rPr>
          <w:rFonts w:ascii="Book Antiqua" w:eastAsia="等线" w:hAnsi="Book Antiqua"/>
          <w:i/>
          <w:kern w:val="2"/>
          <w:lang w:eastAsia="zh-CN"/>
        </w:rPr>
        <w:t>Nephrol</w:t>
      </w:r>
      <w:proofErr w:type="spellEnd"/>
      <w:r w:rsidRPr="00D07897">
        <w:rPr>
          <w:rFonts w:ascii="Book Antiqua" w:eastAsia="等线" w:hAnsi="Book Antiqua"/>
          <w:i/>
          <w:kern w:val="2"/>
          <w:lang w:eastAsia="zh-CN"/>
        </w:rPr>
        <w:t xml:space="preserve"> Dial Transplant</w:t>
      </w:r>
      <w:r w:rsidRPr="00D07897">
        <w:rPr>
          <w:rFonts w:ascii="Book Antiqua" w:eastAsia="等线" w:hAnsi="Book Antiqua"/>
          <w:kern w:val="2"/>
          <w:lang w:eastAsia="zh-CN"/>
        </w:rPr>
        <w:t xml:space="preserve"> 2002; </w:t>
      </w:r>
      <w:r w:rsidRPr="00D07897">
        <w:rPr>
          <w:rFonts w:ascii="Book Antiqua" w:eastAsia="等线" w:hAnsi="Book Antiqua"/>
          <w:b/>
          <w:kern w:val="2"/>
          <w:lang w:eastAsia="zh-CN"/>
        </w:rPr>
        <w:t>17</w:t>
      </w:r>
      <w:r w:rsidRPr="00D07897">
        <w:rPr>
          <w:rFonts w:ascii="Book Antiqua" w:eastAsia="等线" w:hAnsi="Book Antiqua"/>
          <w:kern w:val="2"/>
          <w:lang w:eastAsia="zh-CN"/>
        </w:rPr>
        <w:t>: 1266-1274 [PMID: 12105251 DOI: 10.1093/</w:t>
      </w:r>
      <w:proofErr w:type="spellStart"/>
      <w:r w:rsidRPr="00D07897">
        <w:rPr>
          <w:rFonts w:ascii="Book Antiqua" w:eastAsia="等线" w:hAnsi="Book Antiqua"/>
          <w:kern w:val="2"/>
          <w:lang w:eastAsia="zh-CN"/>
        </w:rPr>
        <w:t>ndt</w:t>
      </w:r>
      <w:proofErr w:type="spellEnd"/>
      <w:r w:rsidRPr="00D07897">
        <w:rPr>
          <w:rFonts w:ascii="Book Antiqua" w:eastAsia="等线" w:hAnsi="Book Antiqua"/>
          <w:kern w:val="2"/>
          <w:lang w:eastAsia="zh-CN"/>
        </w:rPr>
        <w:t>/17.7.1266]</w:t>
      </w:r>
    </w:p>
    <w:p w14:paraId="014EB77B"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38 </w:t>
      </w:r>
      <w:r w:rsidRPr="00D07897">
        <w:rPr>
          <w:rFonts w:ascii="Book Antiqua" w:eastAsia="等线" w:hAnsi="Book Antiqua"/>
          <w:b/>
          <w:kern w:val="2"/>
          <w:lang w:eastAsia="zh-CN"/>
        </w:rPr>
        <w:t>Lin H</w:t>
      </w:r>
      <w:r w:rsidRPr="00D07897">
        <w:rPr>
          <w:rFonts w:ascii="Book Antiqua" w:eastAsia="等线" w:hAnsi="Book Antiqua"/>
          <w:kern w:val="2"/>
          <w:lang w:eastAsia="zh-CN"/>
        </w:rPr>
        <w:t xml:space="preserve">, Zhang H, Lin Z, Li X, Kong X, Sun G. Review of nutritional screening and assessment tools and clinical outcomes in heart failure. </w:t>
      </w:r>
      <w:r w:rsidRPr="00D07897">
        <w:rPr>
          <w:rFonts w:ascii="Book Antiqua" w:eastAsia="等线" w:hAnsi="Book Antiqua"/>
          <w:i/>
          <w:kern w:val="2"/>
          <w:lang w:eastAsia="zh-CN"/>
        </w:rPr>
        <w:t>Heart Fail Rev</w:t>
      </w:r>
      <w:r w:rsidRPr="00D07897">
        <w:rPr>
          <w:rFonts w:ascii="Book Antiqua" w:eastAsia="等线" w:hAnsi="Book Antiqua"/>
          <w:kern w:val="2"/>
          <w:lang w:eastAsia="zh-CN"/>
        </w:rPr>
        <w:t xml:space="preserve"> 2016; </w:t>
      </w:r>
      <w:r w:rsidRPr="00D07897">
        <w:rPr>
          <w:rFonts w:ascii="Book Antiqua" w:eastAsia="等线" w:hAnsi="Book Antiqua"/>
          <w:b/>
          <w:kern w:val="2"/>
          <w:lang w:eastAsia="zh-CN"/>
        </w:rPr>
        <w:t>21</w:t>
      </w:r>
      <w:r w:rsidRPr="00D07897">
        <w:rPr>
          <w:rFonts w:ascii="Book Antiqua" w:eastAsia="等线" w:hAnsi="Book Antiqua"/>
          <w:kern w:val="2"/>
          <w:lang w:eastAsia="zh-CN"/>
        </w:rPr>
        <w:t>: 549-565 [PMID: 26920682 DOI: 10.1007/s10741-016-9540-0]</w:t>
      </w:r>
    </w:p>
    <w:p w14:paraId="43E18B8D"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39 </w:t>
      </w:r>
      <w:r w:rsidRPr="00D07897">
        <w:rPr>
          <w:rFonts w:ascii="Book Antiqua" w:eastAsia="等线" w:hAnsi="Book Antiqua"/>
          <w:b/>
          <w:kern w:val="2"/>
          <w:lang w:eastAsia="zh-CN"/>
        </w:rPr>
        <w:t>Lew CCH</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Yandell</w:t>
      </w:r>
      <w:proofErr w:type="spellEnd"/>
      <w:r w:rsidRPr="00D07897">
        <w:rPr>
          <w:rFonts w:ascii="Book Antiqua" w:eastAsia="等线" w:hAnsi="Book Antiqua"/>
          <w:kern w:val="2"/>
          <w:lang w:eastAsia="zh-CN"/>
        </w:rPr>
        <w:t xml:space="preserve"> R, Fraser RJL, Chua AP, Chong MFF, Miller M. Association Between Malnutrition and Clinical Outcomes in the Intensive Care Unit: A Systematic Review [Formula: See text]. </w:t>
      </w:r>
      <w:r w:rsidRPr="00D07897">
        <w:rPr>
          <w:rFonts w:ascii="Book Antiqua" w:eastAsia="等线" w:hAnsi="Book Antiqua"/>
          <w:i/>
          <w:kern w:val="2"/>
          <w:lang w:eastAsia="zh-CN"/>
        </w:rPr>
        <w:t xml:space="preserve">JPEN J </w:t>
      </w:r>
      <w:proofErr w:type="spellStart"/>
      <w:r w:rsidRPr="00D07897">
        <w:rPr>
          <w:rFonts w:ascii="Book Antiqua" w:eastAsia="等线" w:hAnsi="Book Antiqua"/>
          <w:i/>
          <w:kern w:val="2"/>
          <w:lang w:eastAsia="zh-CN"/>
        </w:rPr>
        <w:t>Parenter</w:t>
      </w:r>
      <w:proofErr w:type="spellEnd"/>
      <w:r w:rsidRPr="00D07897">
        <w:rPr>
          <w:rFonts w:ascii="Book Antiqua" w:eastAsia="等线" w:hAnsi="Book Antiqua"/>
          <w:i/>
          <w:kern w:val="2"/>
          <w:lang w:eastAsia="zh-CN"/>
        </w:rPr>
        <w:t xml:space="preserve"> Enteral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kern w:val="2"/>
          <w:lang w:eastAsia="zh-CN"/>
        </w:rPr>
        <w:t xml:space="preserve"> 2017; </w:t>
      </w:r>
      <w:r w:rsidRPr="00D07897">
        <w:rPr>
          <w:rFonts w:ascii="Book Antiqua" w:eastAsia="等线" w:hAnsi="Book Antiqua"/>
          <w:b/>
          <w:kern w:val="2"/>
          <w:lang w:eastAsia="zh-CN"/>
        </w:rPr>
        <w:t>41</w:t>
      </w:r>
      <w:r w:rsidRPr="00D07897">
        <w:rPr>
          <w:rFonts w:ascii="Book Antiqua" w:eastAsia="等线" w:hAnsi="Book Antiqua"/>
          <w:kern w:val="2"/>
          <w:lang w:eastAsia="zh-CN"/>
        </w:rPr>
        <w:t>: 744-758 [PMID: 26838530 DOI: 10.1177/0148607115625638]</w:t>
      </w:r>
    </w:p>
    <w:p w14:paraId="3EB37DF6"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40 </w:t>
      </w:r>
      <w:r w:rsidRPr="00D07897">
        <w:rPr>
          <w:rFonts w:ascii="Book Antiqua" w:eastAsia="等线" w:hAnsi="Book Antiqua"/>
          <w:b/>
          <w:kern w:val="2"/>
          <w:lang w:eastAsia="zh-CN"/>
        </w:rPr>
        <w:t>Choi WJ</w:t>
      </w:r>
      <w:r w:rsidRPr="00D07897">
        <w:rPr>
          <w:rFonts w:ascii="Book Antiqua" w:eastAsia="等线" w:hAnsi="Book Antiqua"/>
          <w:kern w:val="2"/>
          <w:lang w:eastAsia="zh-CN"/>
        </w:rPr>
        <w:t xml:space="preserve">, Kim J. Nutritional Care of Gastric Cancer Patients with Clinical Outcomes and Complications: A Review. </w:t>
      </w:r>
      <w:proofErr w:type="spellStart"/>
      <w:r w:rsidRPr="00D07897">
        <w:rPr>
          <w:rFonts w:ascii="Book Antiqua" w:eastAsia="等线" w:hAnsi="Book Antiqua"/>
          <w:i/>
          <w:kern w:val="2"/>
          <w:lang w:eastAsia="zh-CN"/>
        </w:rPr>
        <w:t>Clin</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i/>
          <w:kern w:val="2"/>
          <w:lang w:eastAsia="zh-CN"/>
        </w:rPr>
        <w:t xml:space="preserve"> Res</w:t>
      </w:r>
      <w:r w:rsidRPr="00D07897">
        <w:rPr>
          <w:rFonts w:ascii="Book Antiqua" w:eastAsia="等线" w:hAnsi="Book Antiqua"/>
          <w:kern w:val="2"/>
          <w:lang w:eastAsia="zh-CN"/>
        </w:rPr>
        <w:t xml:space="preserve"> 2016; </w:t>
      </w:r>
      <w:r w:rsidRPr="00D07897">
        <w:rPr>
          <w:rFonts w:ascii="Book Antiqua" w:eastAsia="等线" w:hAnsi="Book Antiqua"/>
          <w:b/>
          <w:kern w:val="2"/>
          <w:lang w:eastAsia="zh-CN"/>
        </w:rPr>
        <w:t>5</w:t>
      </w:r>
      <w:r w:rsidRPr="00D07897">
        <w:rPr>
          <w:rFonts w:ascii="Book Antiqua" w:eastAsia="等线" w:hAnsi="Book Antiqua"/>
          <w:kern w:val="2"/>
          <w:lang w:eastAsia="zh-CN"/>
        </w:rPr>
        <w:t>: 65-78 [PMID: 27152296 DOI: 10.7762/cnr.2016.5.2.65]</w:t>
      </w:r>
    </w:p>
    <w:p w14:paraId="06F40E3A" w14:textId="77777777" w:rsidR="00EE37A2" w:rsidRPr="00D07897" w:rsidRDefault="00EE37A2" w:rsidP="00EE37A2">
      <w:pPr>
        <w:widowControl w:val="0"/>
        <w:spacing w:line="360" w:lineRule="auto"/>
        <w:jc w:val="both"/>
        <w:rPr>
          <w:rFonts w:ascii="Book Antiqua" w:eastAsia="等线" w:hAnsi="Book Antiqua"/>
          <w:kern w:val="2"/>
          <w:lang w:eastAsia="zh-CN"/>
        </w:rPr>
      </w:pPr>
      <w:proofErr w:type="gramStart"/>
      <w:r w:rsidRPr="00D07897">
        <w:rPr>
          <w:rFonts w:ascii="Book Antiqua" w:eastAsia="等线" w:hAnsi="Book Antiqua"/>
          <w:kern w:val="2"/>
          <w:lang w:eastAsia="zh-CN"/>
        </w:rPr>
        <w:t xml:space="preserve">41 </w:t>
      </w:r>
      <w:r w:rsidRPr="00D07897">
        <w:rPr>
          <w:rFonts w:ascii="Book Antiqua" w:eastAsia="等线" w:hAnsi="Book Antiqua"/>
          <w:b/>
          <w:kern w:val="2"/>
          <w:lang w:eastAsia="zh-CN"/>
        </w:rPr>
        <w:t>Correia MITD</w:t>
      </w:r>
      <w:r w:rsidRPr="00D07897">
        <w:rPr>
          <w:rFonts w:ascii="Book Antiqua" w:eastAsia="等线" w:hAnsi="Book Antiqua"/>
          <w:kern w:val="2"/>
          <w:lang w:eastAsia="zh-CN"/>
        </w:rPr>
        <w:t>.</w:t>
      </w:r>
      <w:proofErr w:type="gramEnd"/>
      <w:r w:rsidRPr="00D07897">
        <w:rPr>
          <w:rFonts w:ascii="Book Antiqua" w:eastAsia="等线" w:hAnsi="Book Antiqua"/>
          <w:kern w:val="2"/>
          <w:lang w:eastAsia="zh-CN"/>
        </w:rPr>
        <w:t xml:space="preserve"> Nutrition </w:t>
      </w:r>
      <w:proofErr w:type="gramStart"/>
      <w:r w:rsidRPr="00D07897">
        <w:rPr>
          <w:rFonts w:ascii="Book Antiqua" w:eastAsia="等线" w:hAnsi="Book Antiqua"/>
          <w:kern w:val="2"/>
          <w:lang w:eastAsia="zh-CN"/>
        </w:rPr>
        <w:t>Screening</w:t>
      </w:r>
      <w:proofErr w:type="gramEnd"/>
      <w:r w:rsidRPr="00D07897">
        <w:rPr>
          <w:rFonts w:ascii="Book Antiqua" w:eastAsia="等线" w:hAnsi="Book Antiqua"/>
          <w:kern w:val="2"/>
          <w:lang w:eastAsia="zh-CN"/>
        </w:rPr>
        <w:t xml:space="preserve"> vs Nutrition Assessment: What's the Difference?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Clin</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Pract</w:t>
      </w:r>
      <w:proofErr w:type="spellEnd"/>
      <w:r w:rsidRPr="00D07897">
        <w:rPr>
          <w:rFonts w:ascii="Book Antiqua" w:eastAsia="等线" w:hAnsi="Book Antiqua"/>
          <w:kern w:val="2"/>
          <w:lang w:eastAsia="zh-CN"/>
        </w:rPr>
        <w:t xml:space="preserve"> 2018; </w:t>
      </w:r>
      <w:r w:rsidRPr="00D07897">
        <w:rPr>
          <w:rFonts w:ascii="Book Antiqua" w:eastAsia="等线" w:hAnsi="Book Antiqua"/>
          <w:b/>
          <w:kern w:val="2"/>
          <w:lang w:eastAsia="zh-CN"/>
        </w:rPr>
        <w:t>33</w:t>
      </w:r>
      <w:r w:rsidRPr="00D07897">
        <w:rPr>
          <w:rFonts w:ascii="Book Antiqua" w:eastAsia="等线" w:hAnsi="Book Antiqua"/>
          <w:kern w:val="2"/>
          <w:lang w:eastAsia="zh-CN"/>
        </w:rPr>
        <w:t>: 62-72 [PMID: 28727954 DOI: 10.1177/0884533617719669]</w:t>
      </w:r>
    </w:p>
    <w:p w14:paraId="5BD281F6"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42 </w:t>
      </w:r>
      <w:r w:rsidRPr="00D07897">
        <w:rPr>
          <w:rFonts w:ascii="Book Antiqua" w:eastAsia="等线" w:hAnsi="Book Antiqua"/>
          <w:b/>
          <w:kern w:val="2"/>
          <w:lang w:eastAsia="zh-CN"/>
        </w:rPr>
        <w:t>Rahman A,</w:t>
      </w:r>
      <w:r w:rsidRPr="00D07897">
        <w:rPr>
          <w:rFonts w:ascii="Book Antiqua" w:eastAsia="等线" w:hAnsi="Book Antiqua"/>
          <w:kern w:val="2"/>
          <w:lang w:eastAsia="zh-CN"/>
        </w:rPr>
        <w:t xml:space="preserve"> Williams P, </w:t>
      </w:r>
      <w:proofErr w:type="spellStart"/>
      <w:r w:rsidRPr="00D07897">
        <w:rPr>
          <w:rFonts w:ascii="Book Antiqua" w:eastAsia="等线" w:hAnsi="Book Antiqua"/>
          <w:kern w:val="2"/>
          <w:lang w:eastAsia="zh-CN"/>
        </w:rPr>
        <w:t>Sandhu</w:t>
      </w:r>
      <w:proofErr w:type="spellEnd"/>
      <w:r w:rsidRPr="00D07897">
        <w:rPr>
          <w:rFonts w:ascii="Book Antiqua" w:eastAsia="等线" w:hAnsi="Book Antiqua"/>
          <w:kern w:val="2"/>
          <w:lang w:eastAsia="zh-CN"/>
        </w:rPr>
        <w:t xml:space="preserve"> A, </w:t>
      </w:r>
      <w:proofErr w:type="spellStart"/>
      <w:r w:rsidRPr="00D07897">
        <w:rPr>
          <w:rFonts w:ascii="Book Antiqua" w:eastAsia="等线" w:hAnsi="Book Antiqua"/>
          <w:kern w:val="2"/>
          <w:lang w:eastAsia="zh-CN"/>
        </w:rPr>
        <w:t>Mosli</w:t>
      </w:r>
      <w:proofErr w:type="spellEnd"/>
      <w:r w:rsidRPr="00D07897">
        <w:rPr>
          <w:rFonts w:ascii="Book Antiqua" w:eastAsia="等线" w:hAnsi="Book Antiqua"/>
          <w:kern w:val="2"/>
          <w:lang w:eastAsia="zh-CN"/>
        </w:rPr>
        <w:t xml:space="preserve"> M. Malnutrition Universal Screening Tool (MUST) predicts disease activity in patients with Crohn’s disease. </w:t>
      </w:r>
      <w:r w:rsidRPr="00D07897">
        <w:rPr>
          <w:rFonts w:ascii="Book Antiqua" w:eastAsia="等线" w:hAnsi="Book Antiqua"/>
          <w:i/>
          <w:iCs/>
          <w:kern w:val="2"/>
          <w:lang w:eastAsia="zh-CN"/>
        </w:rPr>
        <w:t xml:space="preserve">Can J </w:t>
      </w:r>
      <w:proofErr w:type="spellStart"/>
      <w:r w:rsidRPr="00D07897">
        <w:rPr>
          <w:rFonts w:ascii="Book Antiqua" w:eastAsia="等线" w:hAnsi="Book Antiqua"/>
          <w:i/>
          <w:iCs/>
          <w:kern w:val="2"/>
          <w:lang w:eastAsia="zh-CN"/>
        </w:rPr>
        <w:t>Nutr</w:t>
      </w:r>
      <w:proofErr w:type="spellEnd"/>
      <w:r w:rsidRPr="00D07897">
        <w:rPr>
          <w:rFonts w:ascii="Book Antiqua" w:eastAsia="等线" w:hAnsi="Book Antiqua"/>
          <w:kern w:val="2"/>
          <w:lang w:eastAsia="zh-CN"/>
        </w:rPr>
        <w:t xml:space="preserve"> 2016; </w:t>
      </w:r>
      <w:r w:rsidRPr="00D07897">
        <w:rPr>
          <w:rFonts w:ascii="Book Antiqua" w:eastAsia="等线" w:hAnsi="Book Antiqua"/>
          <w:b/>
          <w:bCs/>
          <w:kern w:val="2"/>
          <w:lang w:eastAsia="zh-CN"/>
        </w:rPr>
        <w:t>1</w:t>
      </w:r>
      <w:r w:rsidRPr="00D07897">
        <w:rPr>
          <w:rFonts w:ascii="Book Antiqua" w:eastAsia="等线" w:hAnsi="Book Antiqua"/>
          <w:kern w:val="2"/>
          <w:lang w:eastAsia="zh-CN"/>
        </w:rPr>
        <w:t>: 1-5 [DOI: 10.22433/2016/09/1]</w:t>
      </w:r>
    </w:p>
    <w:p w14:paraId="35D0B1BB"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43 </w:t>
      </w:r>
      <w:proofErr w:type="spellStart"/>
      <w:r w:rsidRPr="00D07897">
        <w:rPr>
          <w:rFonts w:ascii="Book Antiqua" w:eastAsia="等线" w:hAnsi="Book Antiqua"/>
          <w:b/>
          <w:kern w:val="2"/>
          <w:lang w:eastAsia="zh-CN"/>
        </w:rPr>
        <w:t>Faramarzi</w:t>
      </w:r>
      <w:proofErr w:type="spellEnd"/>
      <w:r w:rsidRPr="00D07897">
        <w:rPr>
          <w:rFonts w:ascii="Book Antiqua" w:eastAsia="等线" w:hAnsi="Book Antiqua"/>
          <w:b/>
          <w:kern w:val="2"/>
          <w:lang w:eastAsia="zh-CN"/>
        </w:rPr>
        <w:t xml:space="preserve"> E</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Mahdavi</w:t>
      </w:r>
      <w:proofErr w:type="spellEnd"/>
      <w:r w:rsidRPr="00D07897">
        <w:rPr>
          <w:rFonts w:ascii="Book Antiqua" w:eastAsia="等线" w:hAnsi="Book Antiqua"/>
          <w:kern w:val="2"/>
          <w:lang w:eastAsia="zh-CN"/>
        </w:rPr>
        <w:t xml:space="preserve"> R, Mohammad-</w:t>
      </w:r>
      <w:proofErr w:type="spellStart"/>
      <w:r w:rsidRPr="00D07897">
        <w:rPr>
          <w:rFonts w:ascii="Book Antiqua" w:eastAsia="等线" w:hAnsi="Book Antiqua"/>
          <w:kern w:val="2"/>
          <w:lang w:eastAsia="zh-CN"/>
        </w:rPr>
        <w:t>Zadeh</w:t>
      </w:r>
      <w:proofErr w:type="spellEnd"/>
      <w:r w:rsidRPr="00D07897">
        <w:rPr>
          <w:rFonts w:ascii="Book Antiqua" w:eastAsia="等线" w:hAnsi="Book Antiqua"/>
          <w:kern w:val="2"/>
          <w:lang w:eastAsia="zh-CN"/>
        </w:rPr>
        <w:t xml:space="preserve"> M, </w:t>
      </w:r>
      <w:proofErr w:type="spellStart"/>
      <w:r w:rsidRPr="00D07897">
        <w:rPr>
          <w:rFonts w:ascii="Book Antiqua" w:eastAsia="等线" w:hAnsi="Book Antiqua"/>
          <w:kern w:val="2"/>
          <w:lang w:eastAsia="zh-CN"/>
        </w:rPr>
        <w:t>Nasirimotlagh</w:t>
      </w:r>
      <w:proofErr w:type="spellEnd"/>
      <w:r w:rsidRPr="00D07897">
        <w:rPr>
          <w:rFonts w:ascii="Book Antiqua" w:eastAsia="等线" w:hAnsi="Book Antiqua"/>
          <w:kern w:val="2"/>
          <w:lang w:eastAsia="zh-CN"/>
        </w:rPr>
        <w:t xml:space="preserve"> B. Validation of nutritional risk index method against patient-generated subjective global assessment in screening malnutrition in colorectal cancer patients. </w:t>
      </w:r>
      <w:r w:rsidRPr="00D07897">
        <w:rPr>
          <w:rFonts w:ascii="Book Antiqua" w:eastAsia="等线" w:hAnsi="Book Antiqua"/>
          <w:i/>
          <w:kern w:val="2"/>
          <w:lang w:eastAsia="zh-CN"/>
        </w:rPr>
        <w:t>Chin J Cancer Res</w:t>
      </w:r>
      <w:r w:rsidRPr="00D07897">
        <w:rPr>
          <w:rFonts w:ascii="Book Antiqua" w:eastAsia="等线" w:hAnsi="Book Antiqua"/>
          <w:kern w:val="2"/>
          <w:lang w:eastAsia="zh-CN"/>
        </w:rPr>
        <w:t xml:space="preserve"> 2013; </w:t>
      </w:r>
      <w:r w:rsidRPr="00D07897">
        <w:rPr>
          <w:rFonts w:ascii="Book Antiqua" w:eastAsia="等线" w:hAnsi="Book Antiqua"/>
          <w:b/>
          <w:kern w:val="2"/>
          <w:lang w:eastAsia="zh-CN"/>
        </w:rPr>
        <w:t>25</w:t>
      </w:r>
      <w:r w:rsidRPr="00D07897">
        <w:rPr>
          <w:rFonts w:ascii="Book Antiqua" w:eastAsia="等线" w:hAnsi="Book Antiqua"/>
          <w:kern w:val="2"/>
          <w:lang w:eastAsia="zh-CN"/>
        </w:rPr>
        <w:t>: 544-548 [PMID: 24255578 DOI: 10.3978/j.issn.1000-9604.2013.10.04]</w:t>
      </w:r>
    </w:p>
    <w:p w14:paraId="223F13F9" w14:textId="77777777" w:rsidR="00EE37A2" w:rsidRPr="00D07897" w:rsidRDefault="00EE37A2" w:rsidP="00EE37A2">
      <w:pPr>
        <w:widowControl w:val="0"/>
        <w:spacing w:line="360" w:lineRule="auto"/>
        <w:jc w:val="both"/>
        <w:rPr>
          <w:rFonts w:ascii="Book Antiqua" w:eastAsia="等线" w:hAnsi="Book Antiqua"/>
          <w:kern w:val="2"/>
          <w:lang w:eastAsia="zh-CN"/>
        </w:rPr>
      </w:pPr>
      <w:proofErr w:type="gramStart"/>
      <w:r w:rsidRPr="00D07897">
        <w:rPr>
          <w:rFonts w:ascii="Book Antiqua" w:eastAsia="等线" w:hAnsi="Book Antiqua"/>
          <w:kern w:val="2"/>
          <w:lang w:eastAsia="zh-CN"/>
        </w:rPr>
        <w:t xml:space="preserve">44 </w:t>
      </w:r>
      <w:r w:rsidRPr="00D07897">
        <w:rPr>
          <w:rFonts w:ascii="Book Antiqua" w:eastAsia="等线" w:hAnsi="Book Antiqua"/>
          <w:b/>
          <w:kern w:val="2"/>
          <w:lang w:eastAsia="zh-CN"/>
        </w:rPr>
        <w:t>Roy M</w:t>
      </w:r>
      <w:r w:rsidRPr="00D07897">
        <w:rPr>
          <w:rFonts w:ascii="Book Antiqua" w:eastAsia="等线" w:hAnsi="Book Antiqua"/>
          <w:kern w:val="2"/>
          <w:lang w:eastAsia="zh-CN"/>
        </w:rPr>
        <w:t xml:space="preserve">, Hunter P, Perry JA, Cross KM. Development of a Universal </w:t>
      </w:r>
      <w:r w:rsidRPr="00D07897">
        <w:rPr>
          <w:rFonts w:ascii="Book Antiqua" w:eastAsia="等线" w:hAnsi="Book Antiqua"/>
          <w:kern w:val="2"/>
          <w:lang w:eastAsia="zh-CN"/>
        </w:rPr>
        <w:lastRenderedPageBreak/>
        <w:t>Nutritional Screening Platform for Plastic Surgery Patients.</w:t>
      </w:r>
      <w:proofErr w:type="gramEnd"/>
      <w:r w:rsidRPr="00D07897">
        <w:rPr>
          <w:rFonts w:ascii="Book Antiqua" w:eastAsia="等线" w:hAnsi="Book Antiqua"/>
          <w:kern w:val="2"/>
          <w:lang w:eastAsia="zh-CN"/>
        </w:rPr>
        <w:t xml:space="preserve"> </w:t>
      </w:r>
      <w:proofErr w:type="spellStart"/>
      <w:r w:rsidRPr="00D07897">
        <w:rPr>
          <w:rFonts w:ascii="Book Antiqua" w:eastAsia="等线" w:hAnsi="Book Antiqua"/>
          <w:i/>
          <w:kern w:val="2"/>
          <w:lang w:eastAsia="zh-CN"/>
        </w:rPr>
        <w:t>Plast</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Reconstr</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Surg</w:t>
      </w:r>
      <w:proofErr w:type="spellEnd"/>
      <w:r w:rsidRPr="00D07897">
        <w:rPr>
          <w:rFonts w:ascii="Book Antiqua" w:eastAsia="等线" w:hAnsi="Book Antiqua"/>
          <w:i/>
          <w:kern w:val="2"/>
          <w:lang w:eastAsia="zh-CN"/>
        </w:rPr>
        <w:t xml:space="preserve"> Glob Open</w:t>
      </w:r>
      <w:r w:rsidRPr="00D07897">
        <w:rPr>
          <w:rFonts w:ascii="Book Antiqua" w:eastAsia="等线" w:hAnsi="Book Antiqua"/>
          <w:kern w:val="2"/>
          <w:lang w:eastAsia="zh-CN"/>
        </w:rPr>
        <w:t xml:space="preserve"> 2017; </w:t>
      </w:r>
      <w:r w:rsidRPr="00D07897">
        <w:rPr>
          <w:rFonts w:ascii="Book Antiqua" w:eastAsia="等线" w:hAnsi="Book Antiqua"/>
          <w:b/>
          <w:kern w:val="2"/>
          <w:lang w:eastAsia="zh-CN"/>
        </w:rPr>
        <w:t>5</w:t>
      </w:r>
      <w:r w:rsidRPr="00D07897">
        <w:rPr>
          <w:rFonts w:ascii="Book Antiqua" w:eastAsia="等线" w:hAnsi="Book Antiqua"/>
          <w:kern w:val="2"/>
          <w:lang w:eastAsia="zh-CN"/>
        </w:rPr>
        <w:t>: e1342 [PMID: 28831332 DOI: 10.1097/GOX.0000000000001342]</w:t>
      </w:r>
    </w:p>
    <w:p w14:paraId="68EE0468"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45 </w:t>
      </w:r>
      <w:proofErr w:type="spellStart"/>
      <w:r w:rsidRPr="00D07897">
        <w:rPr>
          <w:rFonts w:ascii="Book Antiqua" w:eastAsia="等线" w:hAnsi="Book Antiqua"/>
          <w:b/>
          <w:kern w:val="2"/>
          <w:lang w:eastAsia="zh-CN"/>
        </w:rPr>
        <w:t>Keetarut</w:t>
      </w:r>
      <w:proofErr w:type="spellEnd"/>
      <w:r w:rsidRPr="00D07897">
        <w:rPr>
          <w:rFonts w:ascii="Book Antiqua" w:eastAsia="等线" w:hAnsi="Book Antiqua"/>
          <w:b/>
          <w:kern w:val="2"/>
          <w:lang w:eastAsia="zh-CN"/>
        </w:rPr>
        <w:t xml:space="preserve"> K</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Zacharopoulou-Otapasidou</w:t>
      </w:r>
      <w:proofErr w:type="spellEnd"/>
      <w:r w:rsidRPr="00D07897">
        <w:rPr>
          <w:rFonts w:ascii="Book Antiqua" w:eastAsia="等线" w:hAnsi="Book Antiqua"/>
          <w:kern w:val="2"/>
          <w:lang w:eastAsia="zh-CN"/>
        </w:rPr>
        <w:t xml:space="preserve"> S, Bloom S, Majumdar A, Patel PS. An evaluation of the feasibility and validity of a patient-administered malnutrition universal screening tool ('MUST') compared to healthcare professional screening in an inflammatory bowel disease (IBD) outpatient clinic. </w:t>
      </w:r>
      <w:r w:rsidRPr="00D07897">
        <w:rPr>
          <w:rFonts w:ascii="Book Antiqua" w:eastAsia="等线" w:hAnsi="Book Antiqua"/>
          <w:i/>
          <w:kern w:val="2"/>
          <w:lang w:eastAsia="zh-CN"/>
        </w:rPr>
        <w:t xml:space="preserve">J Hum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i/>
          <w:kern w:val="2"/>
          <w:lang w:eastAsia="zh-CN"/>
        </w:rPr>
        <w:t xml:space="preserve"> Diet</w:t>
      </w:r>
      <w:r w:rsidRPr="00D07897">
        <w:rPr>
          <w:rFonts w:ascii="Book Antiqua" w:eastAsia="等线" w:hAnsi="Book Antiqua"/>
          <w:kern w:val="2"/>
          <w:lang w:eastAsia="zh-CN"/>
        </w:rPr>
        <w:t xml:space="preserve"> 2017; </w:t>
      </w:r>
      <w:r w:rsidRPr="00D07897">
        <w:rPr>
          <w:rFonts w:ascii="Book Antiqua" w:eastAsia="等线" w:hAnsi="Book Antiqua"/>
          <w:b/>
          <w:kern w:val="2"/>
          <w:lang w:eastAsia="zh-CN"/>
        </w:rPr>
        <w:t>30</w:t>
      </w:r>
      <w:r w:rsidRPr="00D07897">
        <w:rPr>
          <w:rFonts w:ascii="Book Antiqua" w:eastAsia="等线" w:hAnsi="Book Antiqua"/>
          <w:kern w:val="2"/>
          <w:lang w:eastAsia="zh-CN"/>
        </w:rPr>
        <w:t>: 737-745 [PMID: 28585266 DOI: 10.1111/jhn.12481]</w:t>
      </w:r>
    </w:p>
    <w:p w14:paraId="0E2BF887"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46 </w:t>
      </w:r>
      <w:proofErr w:type="spellStart"/>
      <w:r w:rsidRPr="00D07897">
        <w:rPr>
          <w:rFonts w:ascii="Book Antiqua" w:eastAsia="等线" w:hAnsi="Book Antiqua"/>
          <w:b/>
          <w:kern w:val="2"/>
          <w:lang w:eastAsia="zh-CN"/>
        </w:rPr>
        <w:t>Sandhu</w:t>
      </w:r>
      <w:proofErr w:type="spellEnd"/>
      <w:r w:rsidRPr="00D07897">
        <w:rPr>
          <w:rFonts w:ascii="Book Antiqua" w:eastAsia="等线" w:hAnsi="Book Antiqua"/>
          <w:b/>
          <w:kern w:val="2"/>
          <w:lang w:eastAsia="zh-CN"/>
        </w:rPr>
        <w:t xml:space="preserve"> A</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Mosli</w:t>
      </w:r>
      <w:proofErr w:type="spellEnd"/>
      <w:r w:rsidRPr="00D07897">
        <w:rPr>
          <w:rFonts w:ascii="Book Antiqua" w:eastAsia="等线" w:hAnsi="Book Antiqua"/>
          <w:kern w:val="2"/>
          <w:lang w:eastAsia="zh-CN"/>
        </w:rPr>
        <w:t xml:space="preserve"> M, Yan B, Wu T, </w:t>
      </w:r>
      <w:proofErr w:type="spellStart"/>
      <w:r w:rsidRPr="00D07897">
        <w:rPr>
          <w:rFonts w:ascii="Book Antiqua" w:eastAsia="等线" w:hAnsi="Book Antiqua"/>
          <w:kern w:val="2"/>
          <w:lang w:eastAsia="zh-CN"/>
        </w:rPr>
        <w:t>Gregor</w:t>
      </w:r>
      <w:proofErr w:type="spellEnd"/>
      <w:r w:rsidRPr="00D07897">
        <w:rPr>
          <w:rFonts w:ascii="Book Antiqua" w:eastAsia="等线" w:hAnsi="Book Antiqua"/>
          <w:kern w:val="2"/>
          <w:lang w:eastAsia="zh-CN"/>
        </w:rPr>
        <w:t xml:space="preserve"> J, </w:t>
      </w:r>
      <w:proofErr w:type="spellStart"/>
      <w:r w:rsidRPr="00D07897">
        <w:rPr>
          <w:rFonts w:ascii="Book Antiqua" w:eastAsia="等线" w:hAnsi="Book Antiqua"/>
          <w:kern w:val="2"/>
          <w:lang w:eastAsia="zh-CN"/>
        </w:rPr>
        <w:t>Chande</w:t>
      </w:r>
      <w:proofErr w:type="spellEnd"/>
      <w:r w:rsidRPr="00D07897">
        <w:rPr>
          <w:rFonts w:ascii="Book Antiqua" w:eastAsia="等线" w:hAnsi="Book Antiqua"/>
          <w:kern w:val="2"/>
          <w:lang w:eastAsia="zh-CN"/>
        </w:rPr>
        <w:t xml:space="preserve"> N, </w:t>
      </w:r>
      <w:proofErr w:type="spellStart"/>
      <w:r w:rsidRPr="00D07897">
        <w:rPr>
          <w:rFonts w:ascii="Book Antiqua" w:eastAsia="等线" w:hAnsi="Book Antiqua"/>
          <w:kern w:val="2"/>
          <w:lang w:eastAsia="zh-CN"/>
        </w:rPr>
        <w:t>Ponich</w:t>
      </w:r>
      <w:proofErr w:type="spellEnd"/>
      <w:r w:rsidRPr="00D07897">
        <w:rPr>
          <w:rFonts w:ascii="Book Antiqua" w:eastAsia="等线" w:hAnsi="Book Antiqua"/>
          <w:kern w:val="2"/>
          <w:lang w:eastAsia="zh-CN"/>
        </w:rPr>
        <w:t xml:space="preserve"> T, Beaton M, Rahman A. Self-Screening for Malnutrition Risk in Outpatient Inflammatory Bowel Disease Patients Using the Malnutrition Universal Screening Tool (MUST). </w:t>
      </w:r>
      <w:r w:rsidRPr="00D07897">
        <w:rPr>
          <w:rFonts w:ascii="Book Antiqua" w:eastAsia="等线" w:hAnsi="Book Antiqua"/>
          <w:i/>
          <w:kern w:val="2"/>
          <w:lang w:eastAsia="zh-CN"/>
        </w:rPr>
        <w:t xml:space="preserve">JPEN J </w:t>
      </w:r>
      <w:proofErr w:type="spellStart"/>
      <w:r w:rsidRPr="00D07897">
        <w:rPr>
          <w:rFonts w:ascii="Book Antiqua" w:eastAsia="等线" w:hAnsi="Book Antiqua"/>
          <w:i/>
          <w:kern w:val="2"/>
          <w:lang w:eastAsia="zh-CN"/>
        </w:rPr>
        <w:t>Parenter</w:t>
      </w:r>
      <w:proofErr w:type="spellEnd"/>
      <w:r w:rsidRPr="00D07897">
        <w:rPr>
          <w:rFonts w:ascii="Book Antiqua" w:eastAsia="等线" w:hAnsi="Book Antiqua"/>
          <w:i/>
          <w:kern w:val="2"/>
          <w:lang w:eastAsia="zh-CN"/>
        </w:rPr>
        <w:t xml:space="preserve"> Enteral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kern w:val="2"/>
          <w:lang w:eastAsia="zh-CN"/>
        </w:rPr>
        <w:t xml:space="preserve"> 2016; </w:t>
      </w:r>
      <w:r w:rsidRPr="00D07897">
        <w:rPr>
          <w:rFonts w:ascii="Book Antiqua" w:eastAsia="等线" w:hAnsi="Book Antiqua"/>
          <w:b/>
          <w:kern w:val="2"/>
          <w:lang w:eastAsia="zh-CN"/>
        </w:rPr>
        <w:t>40</w:t>
      </w:r>
      <w:r w:rsidRPr="00D07897">
        <w:rPr>
          <w:rFonts w:ascii="Book Antiqua" w:eastAsia="等线" w:hAnsi="Book Antiqua"/>
          <w:kern w:val="2"/>
          <w:lang w:eastAsia="zh-CN"/>
        </w:rPr>
        <w:t>: 507-510 [PMID: 25632031 DOI: 10.1177/0148607114566656]</w:t>
      </w:r>
    </w:p>
    <w:p w14:paraId="47EA185A"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47 </w:t>
      </w:r>
      <w:proofErr w:type="spellStart"/>
      <w:r w:rsidRPr="00D07897">
        <w:rPr>
          <w:rFonts w:ascii="Book Antiqua" w:eastAsia="等线" w:hAnsi="Book Antiqua"/>
          <w:b/>
          <w:kern w:val="2"/>
          <w:lang w:eastAsia="zh-CN"/>
        </w:rPr>
        <w:t>Gabrielson</w:t>
      </w:r>
      <w:proofErr w:type="spellEnd"/>
      <w:r w:rsidRPr="00D07897">
        <w:rPr>
          <w:rFonts w:ascii="Book Antiqua" w:eastAsia="等线" w:hAnsi="Book Antiqua"/>
          <w:b/>
          <w:kern w:val="2"/>
          <w:lang w:eastAsia="zh-CN"/>
        </w:rPr>
        <w:t xml:space="preserve"> DK</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Scaffidi</w:t>
      </w:r>
      <w:proofErr w:type="spellEnd"/>
      <w:r w:rsidRPr="00D07897">
        <w:rPr>
          <w:rFonts w:ascii="Book Antiqua" w:eastAsia="等线" w:hAnsi="Book Antiqua"/>
          <w:kern w:val="2"/>
          <w:lang w:eastAsia="zh-CN"/>
        </w:rPr>
        <w:t xml:space="preserve"> D, Leung E, </w:t>
      </w:r>
      <w:proofErr w:type="spellStart"/>
      <w:r w:rsidRPr="00D07897">
        <w:rPr>
          <w:rFonts w:ascii="Book Antiqua" w:eastAsia="等线" w:hAnsi="Book Antiqua"/>
          <w:kern w:val="2"/>
          <w:lang w:eastAsia="zh-CN"/>
        </w:rPr>
        <w:t>Stoyanoff</w:t>
      </w:r>
      <w:proofErr w:type="spellEnd"/>
      <w:r w:rsidRPr="00D07897">
        <w:rPr>
          <w:rFonts w:ascii="Book Antiqua" w:eastAsia="等线" w:hAnsi="Book Antiqua"/>
          <w:kern w:val="2"/>
          <w:lang w:eastAsia="zh-CN"/>
        </w:rPr>
        <w:t xml:space="preserve"> L, Robinson J, </w:t>
      </w:r>
      <w:proofErr w:type="spellStart"/>
      <w:r w:rsidRPr="00D07897">
        <w:rPr>
          <w:rFonts w:ascii="Book Antiqua" w:eastAsia="等线" w:hAnsi="Book Antiqua"/>
          <w:kern w:val="2"/>
          <w:lang w:eastAsia="zh-CN"/>
        </w:rPr>
        <w:t>Nisenbaum</w:t>
      </w:r>
      <w:proofErr w:type="spellEnd"/>
      <w:r w:rsidRPr="00D07897">
        <w:rPr>
          <w:rFonts w:ascii="Book Antiqua" w:eastAsia="等线" w:hAnsi="Book Antiqua"/>
          <w:kern w:val="2"/>
          <w:lang w:eastAsia="zh-CN"/>
        </w:rPr>
        <w:t xml:space="preserve"> R, </w:t>
      </w:r>
      <w:proofErr w:type="spellStart"/>
      <w:r w:rsidRPr="00D07897">
        <w:rPr>
          <w:rFonts w:ascii="Book Antiqua" w:eastAsia="等线" w:hAnsi="Book Antiqua"/>
          <w:kern w:val="2"/>
          <w:lang w:eastAsia="zh-CN"/>
        </w:rPr>
        <w:t>Brezden-Masley</w:t>
      </w:r>
      <w:proofErr w:type="spellEnd"/>
      <w:r w:rsidRPr="00D07897">
        <w:rPr>
          <w:rFonts w:ascii="Book Antiqua" w:eastAsia="等线" w:hAnsi="Book Antiqua"/>
          <w:kern w:val="2"/>
          <w:lang w:eastAsia="zh-CN"/>
        </w:rPr>
        <w:t xml:space="preserve"> C, Darling PB. Use of an abridged scored Patient-Generated Subjective Global Assessment (</w:t>
      </w:r>
      <w:proofErr w:type="spellStart"/>
      <w:r w:rsidRPr="00D07897">
        <w:rPr>
          <w:rFonts w:ascii="Book Antiqua" w:eastAsia="等线" w:hAnsi="Book Antiqua"/>
          <w:kern w:val="2"/>
          <w:lang w:eastAsia="zh-CN"/>
        </w:rPr>
        <w:t>abPG</w:t>
      </w:r>
      <w:proofErr w:type="spellEnd"/>
      <w:r w:rsidRPr="00D07897">
        <w:rPr>
          <w:rFonts w:ascii="Book Antiqua" w:eastAsia="等线" w:hAnsi="Book Antiqua"/>
          <w:kern w:val="2"/>
          <w:lang w:eastAsia="zh-CN"/>
        </w:rPr>
        <w:t xml:space="preserve">-SGA) as a nutritional screening tool for cancer patients in an outpatient setting.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i/>
          <w:kern w:val="2"/>
          <w:lang w:eastAsia="zh-CN"/>
        </w:rPr>
        <w:t xml:space="preserve"> Cancer</w:t>
      </w:r>
      <w:r w:rsidRPr="00D07897">
        <w:rPr>
          <w:rFonts w:ascii="Book Antiqua" w:eastAsia="等线" w:hAnsi="Book Antiqua"/>
          <w:kern w:val="2"/>
          <w:lang w:eastAsia="zh-CN"/>
        </w:rPr>
        <w:t xml:space="preserve"> 2013; </w:t>
      </w:r>
      <w:r w:rsidRPr="00D07897">
        <w:rPr>
          <w:rFonts w:ascii="Book Antiqua" w:eastAsia="等线" w:hAnsi="Book Antiqua"/>
          <w:b/>
          <w:kern w:val="2"/>
          <w:lang w:eastAsia="zh-CN"/>
        </w:rPr>
        <w:t>65</w:t>
      </w:r>
      <w:r w:rsidRPr="00D07897">
        <w:rPr>
          <w:rFonts w:ascii="Book Antiqua" w:eastAsia="等线" w:hAnsi="Book Antiqua"/>
          <w:kern w:val="2"/>
          <w:lang w:eastAsia="zh-CN"/>
        </w:rPr>
        <w:t>: 234-239 [PMID: 23441610 DOI: 10.1080/01635581.2013.755554]</w:t>
      </w:r>
    </w:p>
    <w:p w14:paraId="7AB50F35"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48 </w:t>
      </w:r>
      <w:proofErr w:type="spellStart"/>
      <w:r w:rsidRPr="00D07897">
        <w:rPr>
          <w:rFonts w:ascii="Book Antiqua" w:eastAsia="等线" w:hAnsi="Book Antiqua"/>
          <w:b/>
          <w:kern w:val="2"/>
          <w:lang w:eastAsia="zh-CN"/>
        </w:rPr>
        <w:t>Vigano</w:t>
      </w:r>
      <w:proofErr w:type="spellEnd"/>
      <w:r w:rsidRPr="00D07897">
        <w:rPr>
          <w:rFonts w:ascii="Book Antiqua" w:eastAsia="等线" w:hAnsi="Book Antiqua"/>
          <w:b/>
          <w:kern w:val="2"/>
          <w:lang w:eastAsia="zh-CN"/>
        </w:rPr>
        <w:t xml:space="preserve"> AL</w:t>
      </w:r>
      <w:r w:rsidRPr="00D07897">
        <w:rPr>
          <w:rFonts w:ascii="Book Antiqua" w:eastAsia="等线" w:hAnsi="Book Antiqua"/>
          <w:kern w:val="2"/>
          <w:lang w:eastAsia="zh-CN"/>
        </w:rPr>
        <w:t xml:space="preserve">, di </w:t>
      </w:r>
      <w:proofErr w:type="spellStart"/>
      <w:r w:rsidRPr="00D07897">
        <w:rPr>
          <w:rFonts w:ascii="Book Antiqua" w:eastAsia="等线" w:hAnsi="Book Antiqua"/>
          <w:kern w:val="2"/>
          <w:lang w:eastAsia="zh-CN"/>
        </w:rPr>
        <w:t>Tomasso</w:t>
      </w:r>
      <w:proofErr w:type="spellEnd"/>
      <w:r w:rsidRPr="00D07897">
        <w:rPr>
          <w:rFonts w:ascii="Book Antiqua" w:eastAsia="等线" w:hAnsi="Book Antiqua"/>
          <w:kern w:val="2"/>
          <w:lang w:eastAsia="zh-CN"/>
        </w:rPr>
        <w:t xml:space="preserve"> J, </w:t>
      </w:r>
      <w:proofErr w:type="spellStart"/>
      <w:r w:rsidRPr="00D07897">
        <w:rPr>
          <w:rFonts w:ascii="Book Antiqua" w:eastAsia="等线" w:hAnsi="Book Antiqua"/>
          <w:kern w:val="2"/>
          <w:lang w:eastAsia="zh-CN"/>
        </w:rPr>
        <w:t>Kilgour</w:t>
      </w:r>
      <w:proofErr w:type="spellEnd"/>
      <w:r w:rsidRPr="00D07897">
        <w:rPr>
          <w:rFonts w:ascii="Book Antiqua" w:eastAsia="等线" w:hAnsi="Book Antiqua"/>
          <w:kern w:val="2"/>
          <w:lang w:eastAsia="zh-CN"/>
        </w:rPr>
        <w:t xml:space="preserve"> RD, </w:t>
      </w:r>
      <w:proofErr w:type="spellStart"/>
      <w:r w:rsidRPr="00D07897">
        <w:rPr>
          <w:rFonts w:ascii="Book Antiqua" w:eastAsia="等线" w:hAnsi="Book Antiqua"/>
          <w:kern w:val="2"/>
          <w:lang w:eastAsia="zh-CN"/>
        </w:rPr>
        <w:t>Trutschnigg</w:t>
      </w:r>
      <w:proofErr w:type="spellEnd"/>
      <w:r w:rsidRPr="00D07897">
        <w:rPr>
          <w:rFonts w:ascii="Book Antiqua" w:eastAsia="等线" w:hAnsi="Book Antiqua"/>
          <w:kern w:val="2"/>
          <w:lang w:eastAsia="zh-CN"/>
        </w:rPr>
        <w:t xml:space="preserve"> B, </w:t>
      </w:r>
      <w:proofErr w:type="spellStart"/>
      <w:r w:rsidRPr="00D07897">
        <w:rPr>
          <w:rFonts w:ascii="Book Antiqua" w:eastAsia="等线" w:hAnsi="Book Antiqua"/>
          <w:kern w:val="2"/>
          <w:lang w:eastAsia="zh-CN"/>
        </w:rPr>
        <w:t>Lucar</w:t>
      </w:r>
      <w:proofErr w:type="spellEnd"/>
      <w:r w:rsidRPr="00D07897">
        <w:rPr>
          <w:rFonts w:ascii="Book Antiqua" w:eastAsia="等线" w:hAnsi="Book Antiqua"/>
          <w:kern w:val="2"/>
          <w:lang w:eastAsia="zh-CN"/>
        </w:rPr>
        <w:t xml:space="preserve"> E, </w:t>
      </w:r>
      <w:proofErr w:type="spellStart"/>
      <w:r w:rsidRPr="00D07897">
        <w:rPr>
          <w:rFonts w:ascii="Book Antiqua" w:eastAsia="等线" w:hAnsi="Book Antiqua"/>
          <w:kern w:val="2"/>
          <w:lang w:eastAsia="zh-CN"/>
        </w:rPr>
        <w:t>Morais</w:t>
      </w:r>
      <w:proofErr w:type="spellEnd"/>
      <w:r w:rsidRPr="00D07897">
        <w:rPr>
          <w:rFonts w:ascii="Book Antiqua" w:eastAsia="等线" w:hAnsi="Book Antiqua"/>
          <w:kern w:val="2"/>
          <w:lang w:eastAsia="zh-CN"/>
        </w:rPr>
        <w:t xml:space="preserve"> JA, </w:t>
      </w:r>
      <w:proofErr w:type="spellStart"/>
      <w:r w:rsidRPr="00D07897">
        <w:rPr>
          <w:rFonts w:ascii="Book Antiqua" w:eastAsia="等线" w:hAnsi="Book Antiqua"/>
          <w:kern w:val="2"/>
          <w:lang w:eastAsia="zh-CN"/>
        </w:rPr>
        <w:t>Borod</w:t>
      </w:r>
      <w:proofErr w:type="spellEnd"/>
      <w:r w:rsidRPr="00D07897">
        <w:rPr>
          <w:rFonts w:ascii="Book Antiqua" w:eastAsia="等线" w:hAnsi="Book Antiqua"/>
          <w:kern w:val="2"/>
          <w:lang w:eastAsia="zh-CN"/>
        </w:rPr>
        <w:t xml:space="preserve"> M. The abridged patient-generated subjective global assessment is a useful tool for early detection and characterization of cancer cachexia. </w:t>
      </w:r>
      <w:r w:rsidRPr="00D07897">
        <w:rPr>
          <w:rFonts w:ascii="Book Antiqua" w:eastAsia="等线" w:hAnsi="Book Antiqua"/>
          <w:i/>
          <w:kern w:val="2"/>
          <w:lang w:eastAsia="zh-CN"/>
        </w:rPr>
        <w:t xml:space="preserve">J </w:t>
      </w:r>
      <w:proofErr w:type="spellStart"/>
      <w:r w:rsidRPr="00D07897">
        <w:rPr>
          <w:rFonts w:ascii="Book Antiqua" w:eastAsia="等线" w:hAnsi="Book Antiqua"/>
          <w:i/>
          <w:kern w:val="2"/>
          <w:lang w:eastAsia="zh-CN"/>
        </w:rPr>
        <w:t>Acad</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i/>
          <w:kern w:val="2"/>
          <w:lang w:eastAsia="zh-CN"/>
        </w:rPr>
        <w:t xml:space="preserve"> Diet</w:t>
      </w:r>
      <w:r w:rsidRPr="00D07897">
        <w:rPr>
          <w:rFonts w:ascii="Book Antiqua" w:eastAsia="等线" w:hAnsi="Book Antiqua"/>
          <w:kern w:val="2"/>
          <w:lang w:eastAsia="zh-CN"/>
        </w:rPr>
        <w:t xml:space="preserve"> 2014; </w:t>
      </w:r>
      <w:r w:rsidRPr="00D07897">
        <w:rPr>
          <w:rFonts w:ascii="Book Antiqua" w:eastAsia="等线" w:hAnsi="Book Antiqua"/>
          <w:b/>
          <w:kern w:val="2"/>
          <w:lang w:eastAsia="zh-CN"/>
        </w:rPr>
        <w:t>114</w:t>
      </w:r>
      <w:r w:rsidRPr="00D07897">
        <w:rPr>
          <w:rFonts w:ascii="Book Antiqua" w:eastAsia="等线" w:hAnsi="Book Antiqua"/>
          <w:kern w:val="2"/>
          <w:lang w:eastAsia="zh-CN"/>
        </w:rPr>
        <w:t>: 1088-1098 [PMID: 24462323 DOI: 10.1016/j.jand.2013.09.027]</w:t>
      </w:r>
    </w:p>
    <w:p w14:paraId="0F154E48"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49 </w:t>
      </w:r>
      <w:r w:rsidRPr="00D07897">
        <w:rPr>
          <w:rFonts w:ascii="Book Antiqua" w:eastAsia="等线" w:hAnsi="Book Antiqua"/>
          <w:b/>
          <w:kern w:val="2"/>
          <w:lang w:eastAsia="zh-CN"/>
        </w:rPr>
        <w:t>Tandon P</w:t>
      </w:r>
      <w:r w:rsidRPr="00D07897">
        <w:rPr>
          <w:rFonts w:ascii="Book Antiqua" w:eastAsia="等线" w:hAnsi="Book Antiqua"/>
          <w:kern w:val="2"/>
          <w:lang w:eastAsia="zh-CN"/>
        </w:rPr>
        <w:t xml:space="preserve">, Low G, </w:t>
      </w:r>
      <w:proofErr w:type="spellStart"/>
      <w:r w:rsidRPr="00D07897">
        <w:rPr>
          <w:rFonts w:ascii="Book Antiqua" w:eastAsia="等线" w:hAnsi="Book Antiqua"/>
          <w:kern w:val="2"/>
          <w:lang w:eastAsia="zh-CN"/>
        </w:rPr>
        <w:t>Mourtzakis</w:t>
      </w:r>
      <w:proofErr w:type="spellEnd"/>
      <w:r w:rsidRPr="00D07897">
        <w:rPr>
          <w:rFonts w:ascii="Book Antiqua" w:eastAsia="等线" w:hAnsi="Book Antiqua"/>
          <w:kern w:val="2"/>
          <w:lang w:eastAsia="zh-CN"/>
        </w:rPr>
        <w:t xml:space="preserve"> M, Zenith L, Myers RP, </w:t>
      </w:r>
      <w:proofErr w:type="spellStart"/>
      <w:r w:rsidRPr="00D07897">
        <w:rPr>
          <w:rFonts w:ascii="Book Antiqua" w:eastAsia="等线" w:hAnsi="Book Antiqua"/>
          <w:kern w:val="2"/>
          <w:lang w:eastAsia="zh-CN"/>
        </w:rPr>
        <w:t>Abraldes</w:t>
      </w:r>
      <w:proofErr w:type="spellEnd"/>
      <w:r w:rsidRPr="00D07897">
        <w:rPr>
          <w:rFonts w:ascii="Book Antiqua" w:eastAsia="等线" w:hAnsi="Book Antiqua"/>
          <w:kern w:val="2"/>
          <w:lang w:eastAsia="zh-CN"/>
        </w:rPr>
        <w:t xml:space="preserve"> JG, </w:t>
      </w:r>
      <w:proofErr w:type="spellStart"/>
      <w:r w:rsidRPr="00D07897">
        <w:rPr>
          <w:rFonts w:ascii="Book Antiqua" w:eastAsia="等线" w:hAnsi="Book Antiqua"/>
          <w:kern w:val="2"/>
          <w:lang w:eastAsia="zh-CN"/>
        </w:rPr>
        <w:t>Shaheen</w:t>
      </w:r>
      <w:proofErr w:type="spellEnd"/>
      <w:r w:rsidRPr="00D07897">
        <w:rPr>
          <w:rFonts w:ascii="Book Antiqua" w:eastAsia="等线" w:hAnsi="Book Antiqua"/>
          <w:kern w:val="2"/>
          <w:lang w:eastAsia="zh-CN"/>
        </w:rPr>
        <w:t xml:space="preserve"> AA, Qamar H, </w:t>
      </w:r>
      <w:proofErr w:type="spellStart"/>
      <w:r w:rsidRPr="00D07897">
        <w:rPr>
          <w:rFonts w:ascii="Book Antiqua" w:eastAsia="等线" w:hAnsi="Book Antiqua"/>
          <w:kern w:val="2"/>
          <w:lang w:eastAsia="zh-CN"/>
        </w:rPr>
        <w:t>Mansoor</w:t>
      </w:r>
      <w:proofErr w:type="spellEnd"/>
      <w:r w:rsidRPr="00D07897">
        <w:rPr>
          <w:rFonts w:ascii="Book Antiqua" w:eastAsia="等线" w:hAnsi="Book Antiqua"/>
          <w:kern w:val="2"/>
          <w:lang w:eastAsia="zh-CN"/>
        </w:rPr>
        <w:t xml:space="preserve"> N, </w:t>
      </w:r>
      <w:proofErr w:type="spellStart"/>
      <w:r w:rsidRPr="00D07897">
        <w:rPr>
          <w:rFonts w:ascii="Book Antiqua" w:eastAsia="等线" w:hAnsi="Book Antiqua"/>
          <w:kern w:val="2"/>
          <w:lang w:eastAsia="zh-CN"/>
        </w:rPr>
        <w:t>Carbonneau</w:t>
      </w:r>
      <w:proofErr w:type="spellEnd"/>
      <w:r w:rsidRPr="00D07897">
        <w:rPr>
          <w:rFonts w:ascii="Book Antiqua" w:eastAsia="等线" w:hAnsi="Book Antiqua"/>
          <w:kern w:val="2"/>
          <w:lang w:eastAsia="zh-CN"/>
        </w:rPr>
        <w:t xml:space="preserve"> M, </w:t>
      </w:r>
      <w:proofErr w:type="spellStart"/>
      <w:r w:rsidRPr="00D07897">
        <w:rPr>
          <w:rFonts w:ascii="Book Antiqua" w:eastAsia="等线" w:hAnsi="Book Antiqua"/>
          <w:kern w:val="2"/>
          <w:lang w:eastAsia="zh-CN"/>
        </w:rPr>
        <w:t>Ismond</w:t>
      </w:r>
      <w:proofErr w:type="spellEnd"/>
      <w:r w:rsidRPr="00D07897">
        <w:rPr>
          <w:rFonts w:ascii="Book Antiqua" w:eastAsia="等线" w:hAnsi="Book Antiqua"/>
          <w:kern w:val="2"/>
          <w:lang w:eastAsia="zh-CN"/>
        </w:rPr>
        <w:t xml:space="preserve"> K, Mann S, </w:t>
      </w:r>
      <w:proofErr w:type="spellStart"/>
      <w:r w:rsidRPr="00D07897">
        <w:rPr>
          <w:rFonts w:ascii="Book Antiqua" w:eastAsia="等线" w:hAnsi="Book Antiqua"/>
          <w:kern w:val="2"/>
          <w:lang w:eastAsia="zh-CN"/>
        </w:rPr>
        <w:t>Alaboudy</w:t>
      </w:r>
      <w:proofErr w:type="spellEnd"/>
      <w:r w:rsidRPr="00D07897">
        <w:rPr>
          <w:rFonts w:ascii="Book Antiqua" w:eastAsia="等线" w:hAnsi="Book Antiqua"/>
          <w:kern w:val="2"/>
          <w:lang w:eastAsia="zh-CN"/>
        </w:rPr>
        <w:t xml:space="preserve"> A, Ma M. A Model to Identify Sarcopenia in Patients </w:t>
      </w:r>
      <w:proofErr w:type="gramStart"/>
      <w:r w:rsidRPr="00D07897">
        <w:rPr>
          <w:rFonts w:ascii="Book Antiqua" w:eastAsia="等线" w:hAnsi="Book Antiqua"/>
          <w:kern w:val="2"/>
          <w:lang w:eastAsia="zh-CN"/>
        </w:rPr>
        <w:t>With</w:t>
      </w:r>
      <w:proofErr w:type="gramEnd"/>
      <w:r w:rsidRPr="00D07897">
        <w:rPr>
          <w:rFonts w:ascii="Book Antiqua" w:eastAsia="等线" w:hAnsi="Book Antiqua"/>
          <w:kern w:val="2"/>
          <w:lang w:eastAsia="zh-CN"/>
        </w:rPr>
        <w:t xml:space="preserve"> Cirrhosis. </w:t>
      </w:r>
      <w:proofErr w:type="spellStart"/>
      <w:r w:rsidRPr="00D07897">
        <w:rPr>
          <w:rFonts w:ascii="Book Antiqua" w:eastAsia="等线" w:hAnsi="Book Antiqua"/>
          <w:i/>
          <w:kern w:val="2"/>
          <w:lang w:eastAsia="zh-CN"/>
        </w:rPr>
        <w:t>Clin</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Gastroenterol</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Hepatol</w:t>
      </w:r>
      <w:proofErr w:type="spellEnd"/>
      <w:r w:rsidRPr="00D07897">
        <w:rPr>
          <w:rFonts w:ascii="Book Antiqua" w:eastAsia="等线" w:hAnsi="Book Antiqua"/>
          <w:kern w:val="2"/>
          <w:lang w:eastAsia="zh-CN"/>
        </w:rPr>
        <w:t xml:space="preserve"> 2016; </w:t>
      </w:r>
      <w:r w:rsidRPr="00D07897">
        <w:rPr>
          <w:rFonts w:ascii="Book Antiqua" w:eastAsia="等线" w:hAnsi="Book Antiqua"/>
          <w:b/>
          <w:kern w:val="2"/>
          <w:lang w:eastAsia="zh-CN"/>
        </w:rPr>
        <w:t>14</w:t>
      </w:r>
      <w:r w:rsidRPr="00D07897">
        <w:rPr>
          <w:rFonts w:ascii="Book Antiqua" w:eastAsia="等线" w:hAnsi="Book Antiqua"/>
          <w:kern w:val="2"/>
          <w:lang w:eastAsia="zh-CN"/>
        </w:rPr>
        <w:t>: 1473-1480.e3 [PMID: 27189915 DOI: 10.1016/j.cgh.2016.04.040]</w:t>
      </w:r>
    </w:p>
    <w:p w14:paraId="3F68D488"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50 </w:t>
      </w:r>
      <w:proofErr w:type="spellStart"/>
      <w:r w:rsidRPr="00D07897">
        <w:rPr>
          <w:rFonts w:ascii="Book Antiqua" w:eastAsia="等线" w:hAnsi="Book Antiqua"/>
          <w:b/>
          <w:kern w:val="2"/>
          <w:lang w:eastAsia="zh-CN"/>
        </w:rPr>
        <w:t>Valentini</w:t>
      </w:r>
      <w:proofErr w:type="spellEnd"/>
      <w:r w:rsidRPr="00D07897">
        <w:rPr>
          <w:rFonts w:ascii="Book Antiqua" w:eastAsia="等线" w:hAnsi="Book Antiqua"/>
          <w:b/>
          <w:kern w:val="2"/>
          <w:lang w:eastAsia="zh-CN"/>
        </w:rPr>
        <w:t xml:space="preserve"> L</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Schaper</w:t>
      </w:r>
      <w:proofErr w:type="spellEnd"/>
      <w:r w:rsidRPr="00D07897">
        <w:rPr>
          <w:rFonts w:ascii="Book Antiqua" w:eastAsia="等线" w:hAnsi="Book Antiqua"/>
          <w:kern w:val="2"/>
          <w:lang w:eastAsia="zh-CN"/>
        </w:rPr>
        <w:t xml:space="preserve"> L, </w:t>
      </w:r>
      <w:proofErr w:type="spellStart"/>
      <w:r w:rsidRPr="00D07897">
        <w:rPr>
          <w:rFonts w:ascii="Book Antiqua" w:eastAsia="等线" w:hAnsi="Book Antiqua"/>
          <w:kern w:val="2"/>
          <w:lang w:eastAsia="zh-CN"/>
        </w:rPr>
        <w:t>Buning</w:t>
      </w:r>
      <w:proofErr w:type="spellEnd"/>
      <w:r w:rsidRPr="00D07897">
        <w:rPr>
          <w:rFonts w:ascii="Book Antiqua" w:eastAsia="等线" w:hAnsi="Book Antiqua"/>
          <w:kern w:val="2"/>
          <w:lang w:eastAsia="zh-CN"/>
        </w:rPr>
        <w:t xml:space="preserve"> C, </w:t>
      </w:r>
      <w:proofErr w:type="spellStart"/>
      <w:r w:rsidRPr="00D07897">
        <w:rPr>
          <w:rFonts w:ascii="Book Antiqua" w:eastAsia="等线" w:hAnsi="Book Antiqua"/>
          <w:kern w:val="2"/>
          <w:lang w:eastAsia="zh-CN"/>
        </w:rPr>
        <w:t>Hengstermann</w:t>
      </w:r>
      <w:proofErr w:type="spellEnd"/>
      <w:r w:rsidRPr="00D07897">
        <w:rPr>
          <w:rFonts w:ascii="Book Antiqua" w:eastAsia="等线" w:hAnsi="Book Antiqua"/>
          <w:kern w:val="2"/>
          <w:lang w:eastAsia="zh-CN"/>
        </w:rPr>
        <w:t xml:space="preserve"> S, </w:t>
      </w:r>
      <w:proofErr w:type="spellStart"/>
      <w:r w:rsidRPr="00D07897">
        <w:rPr>
          <w:rFonts w:ascii="Book Antiqua" w:eastAsia="等线" w:hAnsi="Book Antiqua"/>
          <w:kern w:val="2"/>
          <w:lang w:eastAsia="zh-CN"/>
        </w:rPr>
        <w:t>Koernicke</w:t>
      </w:r>
      <w:proofErr w:type="spellEnd"/>
      <w:r w:rsidRPr="00D07897">
        <w:rPr>
          <w:rFonts w:ascii="Book Antiqua" w:eastAsia="等线" w:hAnsi="Book Antiqua"/>
          <w:kern w:val="2"/>
          <w:lang w:eastAsia="zh-CN"/>
        </w:rPr>
        <w:t xml:space="preserve"> T, </w:t>
      </w:r>
      <w:proofErr w:type="spellStart"/>
      <w:r w:rsidRPr="00D07897">
        <w:rPr>
          <w:rFonts w:ascii="Book Antiqua" w:eastAsia="等线" w:hAnsi="Book Antiqua"/>
          <w:kern w:val="2"/>
          <w:lang w:eastAsia="zh-CN"/>
        </w:rPr>
        <w:t>Tillinger</w:t>
      </w:r>
      <w:proofErr w:type="spellEnd"/>
      <w:r w:rsidRPr="00D07897">
        <w:rPr>
          <w:rFonts w:ascii="Book Antiqua" w:eastAsia="等线" w:hAnsi="Book Antiqua"/>
          <w:kern w:val="2"/>
          <w:lang w:eastAsia="zh-CN"/>
        </w:rPr>
        <w:t xml:space="preserve"> W, </w:t>
      </w:r>
      <w:proofErr w:type="spellStart"/>
      <w:r w:rsidRPr="00D07897">
        <w:rPr>
          <w:rFonts w:ascii="Book Antiqua" w:eastAsia="等线" w:hAnsi="Book Antiqua"/>
          <w:kern w:val="2"/>
          <w:lang w:eastAsia="zh-CN"/>
        </w:rPr>
        <w:t>Guglielmi</w:t>
      </w:r>
      <w:proofErr w:type="spellEnd"/>
      <w:r w:rsidRPr="00D07897">
        <w:rPr>
          <w:rFonts w:ascii="Book Antiqua" w:eastAsia="等线" w:hAnsi="Book Antiqua"/>
          <w:kern w:val="2"/>
          <w:lang w:eastAsia="zh-CN"/>
        </w:rPr>
        <w:t xml:space="preserve"> FW, Norman K, Buhner S, </w:t>
      </w:r>
      <w:proofErr w:type="spellStart"/>
      <w:r w:rsidRPr="00D07897">
        <w:rPr>
          <w:rFonts w:ascii="Book Antiqua" w:eastAsia="等线" w:hAnsi="Book Antiqua"/>
          <w:kern w:val="2"/>
          <w:lang w:eastAsia="zh-CN"/>
        </w:rPr>
        <w:t>Ockenga</w:t>
      </w:r>
      <w:proofErr w:type="spellEnd"/>
      <w:r w:rsidRPr="00D07897">
        <w:rPr>
          <w:rFonts w:ascii="Book Antiqua" w:eastAsia="等线" w:hAnsi="Book Antiqua"/>
          <w:kern w:val="2"/>
          <w:lang w:eastAsia="zh-CN"/>
        </w:rPr>
        <w:t xml:space="preserve"> J, </w:t>
      </w:r>
      <w:proofErr w:type="spellStart"/>
      <w:r w:rsidRPr="00D07897">
        <w:rPr>
          <w:rFonts w:ascii="Book Antiqua" w:eastAsia="等线" w:hAnsi="Book Antiqua"/>
          <w:kern w:val="2"/>
          <w:lang w:eastAsia="zh-CN"/>
        </w:rPr>
        <w:t>Pirlich</w:t>
      </w:r>
      <w:proofErr w:type="spellEnd"/>
      <w:r w:rsidRPr="00D07897">
        <w:rPr>
          <w:rFonts w:ascii="Book Antiqua" w:eastAsia="等线" w:hAnsi="Book Antiqua"/>
          <w:kern w:val="2"/>
          <w:lang w:eastAsia="zh-CN"/>
        </w:rPr>
        <w:t xml:space="preserve"> M, Lochs H. Malnutrition and impaired muscle strength in patients with Crohn's disease and ulcerative colitis in remission. </w:t>
      </w:r>
      <w:r w:rsidRPr="00D07897">
        <w:rPr>
          <w:rFonts w:ascii="Book Antiqua" w:eastAsia="等线" w:hAnsi="Book Antiqua"/>
          <w:i/>
          <w:kern w:val="2"/>
          <w:lang w:eastAsia="zh-CN"/>
        </w:rPr>
        <w:t>Nutrition</w:t>
      </w:r>
      <w:r w:rsidRPr="00D07897">
        <w:rPr>
          <w:rFonts w:ascii="Book Antiqua" w:eastAsia="等线" w:hAnsi="Book Antiqua"/>
          <w:kern w:val="2"/>
          <w:lang w:eastAsia="zh-CN"/>
        </w:rPr>
        <w:t xml:space="preserve"> 2008; </w:t>
      </w:r>
      <w:r w:rsidRPr="00D07897">
        <w:rPr>
          <w:rFonts w:ascii="Book Antiqua" w:eastAsia="等线" w:hAnsi="Book Antiqua"/>
          <w:b/>
          <w:kern w:val="2"/>
          <w:lang w:eastAsia="zh-CN"/>
        </w:rPr>
        <w:t>24</w:t>
      </w:r>
      <w:r w:rsidRPr="00D07897">
        <w:rPr>
          <w:rFonts w:ascii="Book Antiqua" w:eastAsia="等线" w:hAnsi="Book Antiqua"/>
          <w:kern w:val="2"/>
          <w:lang w:eastAsia="zh-CN"/>
        </w:rPr>
        <w:t xml:space="preserve">: 694-702 [PMID: 18499398 DOI: </w:t>
      </w:r>
      <w:r w:rsidRPr="00D07897">
        <w:rPr>
          <w:rFonts w:ascii="Book Antiqua" w:eastAsia="等线" w:hAnsi="Book Antiqua"/>
          <w:kern w:val="2"/>
          <w:lang w:eastAsia="zh-CN"/>
        </w:rPr>
        <w:lastRenderedPageBreak/>
        <w:t>10.1016/j.nut.2008.03.018]</w:t>
      </w:r>
    </w:p>
    <w:p w14:paraId="33AE3DF9"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51 </w:t>
      </w:r>
      <w:r w:rsidRPr="00D07897">
        <w:rPr>
          <w:rFonts w:ascii="Book Antiqua" w:eastAsia="等线" w:hAnsi="Book Antiqua"/>
          <w:b/>
          <w:kern w:val="2"/>
          <w:lang w:eastAsia="zh-CN"/>
        </w:rPr>
        <w:t>Liguori I</w:t>
      </w:r>
      <w:r w:rsidRPr="00D07897">
        <w:rPr>
          <w:rFonts w:ascii="Book Antiqua" w:eastAsia="等线" w:hAnsi="Book Antiqua"/>
          <w:kern w:val="2"/>
          <w:lang w:eastAsia="zh-CN"/>
        </w:rPr>
        <w:t xml:space="preserve">, Russo G, </w:t>
      </w:r>
      <w:proofErr w:type="spellStart"/>
      <w:r w:rsidRPr="00D07897">
        <w:rPr>
          <w:rFonts w:ascii="Book Antiqua" w:eastAsia="等线" w:hAnsi="Book Antiqua"/>
          <w:kern w:val="2"/>
          <w:lang w:eastAsia="zh-CN"/>
        </w:rPr>
        <w:t>Aran</w:t>
      </w:r>
      <w:proofErr w:type="spellEnd"/>
      <w:r w:rsidRPr="00D07897">
        <w:rPr>
          <w:rFonts w:ascii="Book Antiqua" w:eastAsia="等线" w:hAnsi="Book Antiqua"/>
          <w:kern w:val="2"/>
          <w:lang w:eastAsia="zh-CN"/>
        </w:rPr>
        <w:t xml:space="preserve"> L, </w:t>
      </w:r>
      <w:proofErr w:type="spellStart"/>
      <w:r w:rsidRPr="00D07897">
        <w:rPr>
          <w:rFonts w:ascii="Book Antiqua" w:eastAsia="等线" w:hAnsi="Book Antiqua"/>
          <w:kern w:val="2"/>
          <w:lang w:eastAsia="zh-CN"/>
        </w:rPr>
        <w:t>Bulli</w:t>
      </w:r>
      <w:proofErr w:type="spellEnd"/>
      <w:r w:rsidRPr="00D07897">
        <w:rPr>
          <w:rFonts w:ascii="Book Antiqua" w:eastAsia="等线" w:hAnsi="Book Antiqua"/>
          <w:kern w:val="2"/>
          <w:lang w:eastAsia="zh-CN"/>
        </w:rPr>
        <w:t xml:space="preserve"> G, </w:t>
      </w:r>
      <w:proofErr w:type="spellStart"/>
      <w:r w:rsidRPr="00D07897">
        <w:rPr>
          <w:rFonts w:ascii="Book Antiqua" w:eastAsia="等线" w:hAnsi="Book Antiqua"/>
          <w:kern w:val="2"/>
          <w:lang w:eastAsia="zh-CN"/>
        </w:rPr>
        <w:t>Curcio</w:t>
      </w:r>
      <w:proofErr w:type="spellEnd"/>
      <w:r w:rsidRPr="00D07897">
        <w:rPr>
          <w:rFonts w:ascii="Book Antiqua" w:eastAsia="等线" w:hAnsi="Book Antiqua"/>
          <w:kern w:val="2"/>
          <w:lang w:eastAsia="zh-CN"/>
        </w:rPr>
        <w:t xml:space="preserve"> F, Della-</w:t>
      </w:r>
      <w:proofErr w:type="spellStart"/>
      <w:r w:rsidRPr="00D07897">
        <w:rPr>
          <w:rFonts w:ascii="Book Antiqua" w:eastAsia="等线" w:hAnsi="Book Antiqua"/>
          <w:kern w:val="2"/>
          <w:lang w:eastAsia="zh-CN"/>
        </w:rPr>
        <w:t>Morte</w:t>
      </w:r>
      <w:proofErr w:type="spellEnd"/>
      <w:r w:rsidRPr="00D07897">
        <w:rPr>
          <w:rFonts w:ascii="Book Antiqua" w:eastAsia="等线" w:hAnsi="Book Antiqua"/>
          <w:kern w:val="2"/>
          <w:lang w:eastAsia="zh-CN"/>
        </w:rPr>
        <w:t xml:space="preserve"> D, </w:t>
      </w:r>
      <w:proofErr w:type="spellStart"/>
      <w:r w:rsidRPr="00D07897">
        <w:rPr>
          <w:rFonts w:ascii="Book Antiqua" w:eastAsia="等线" w:hAnsi="Book Antiqua"/>
          <w:kern w:val="2"/>
          <w:lang w:eastAsia="zh-CN"/>
        </w:rPr>
        <w:t>Gargiulo</w:t>
      </w:r>
      <w:proofErr w:type="spellEnd"/>
      <w:r w:rsidRPr="00D07897">
        <w:rPr>
          <w:rFonts w:ascii="Book Antiqua" w:eastAsia="等线" w:hAnsi="Book Antiqua"/>
          <w:kern w:val="2"/>
          <w:lang w:eastAsia="zh-CN"/>
        </w:rPr>
        <w:t xml:space="preserve"> G, Testa G, Cacciatore F, </w:t>
      </w:r>
      <w:proofErr w:type="spellStart"/>
      <w:r w:rsidRPr="00D07897">
        <w:rPr>
          <w:rFonts w:ascii="Book Antiqua" w:eastAsia="等线" w:hAnsi="Book Antiqua"/>
          <w:kern w:val="2"/>
          <w:lang w:eastAsia="zh-CN"/>
        </w:rPr>
        <w:t>Bonaduce</w:t>
      </w:r>
      <w:proofErr w:type="spellEnd"/>
      <w:r w:rsidRPr="00D07897">
        <w:rPr>
          <w:rFonts w:ascii="Book Antiqua" w:eastAsia="等线" w:hAnsi="Book Antiqua"/>
          <w:kern w:val="2"/>
          <w:lang w:eastAsia="zh-CN"/>
        </w:rPr>
        <w:t xml:space="preserve"> D, </w:t>
      </w:r>
      <w:proofErr w:type="spellStart"/>
      <w:r w:rsidRPr="00D07897">
        <w:rPr>
          <w:rFonts w:ascii="Book Antiqua" w:eastAsia="等线" w:hAnsi="Book Antiqua"/>
          <w:kern w:val="2"/>
          <w:lang w:eastAsia="zh-CN"/>
        </w:rPr>
        <w:t>Abete</w:t>
      </w:r>
      <w:proofErr w:type="spellEnd"/>
      <w:r w:rsidRPr="00D07897">
        <w:rPr>
          <w:rFonts w:ascii="Book Antiqua" w:eastAsia="等线" w:hAnsi="Book Antiqua"/>
          <w:kern w:val="2"/>
          <w:lang w:eastAsia="zh-CN"/>
        </w:rPr>
        <w:t xml:space="preserve"> P. Sarcopenia: Assessment of disease burden and strategies to improve outcomes. </w:t>
      </w:r>
      <w:proofErr w:type="spellStart"/>
      <w:r w:rsidRPr="00D07897">
        <w:rPr>
          <w:rFonts w:ascii="Book Antiqua" w:eastAsia="等线" w:hAnsi="Book Antiqua"/>
          <w:i/>
          <w:kern w:val="2"/>
          <w:lang w:eastAsia="zh-CN"/>
        </w:rPr>
        <w:t>Clin</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Interv</w:t>
      </w:r>
      <w:proofErr w:type="spellEnd"/>
      <w:r w:rsidRPr="00D07897">
        <w:rPr>
          <w:rFonts w:ascii="Book Antiqua" w:eastAsia="等线" w:hAnsi="Book Antiqua"/>
          <w:i/>
          <w:kern w:val="2"/>
          <w:lang w:eastAsia="zh-CN"/>
        </w:rPr>
        <w:t xml:space="preserve"> Aging</w:t>
      </w:r>
      <w:r w:rsidRPr="00D07897">
        <w:rPr>
          <w:rFonts w:ascii="Book Antiqua" w:eastAsia="等线" w:hAnsi="Book Antiqua"/>
          <w:kern w:val="2"/>
          <w:lang w:eastAsia="zh-CN"/>
        </w:rPr>
        <w:t xml:space="preserve"> 2018; </w:t>
      </w:r>
      <w:r w:rsidRPr="00D07897">
        <w:rPr>
          <w:rFonts w:ascii="Book Antiqua" w:eastAsia="等线" w:hAnsi="Book Antiqua"/>
          <w:b/>
          <w:kern w:val="2"/>
          <w:lang w:eastAsia="zh-CN"/>
        </w:rPr>
        <w:t>13</w:t>
      </w:r>
      <w:r w:rsidRPr="00D07897">
        <w:rPr>
          <w:rFonts w:ascii="Book Antiqua" w:eastAsia="等线" w:hAnsi="Book Antiqua"/>
          <w:kern w:val="2"/>
          <w:lang w:eastAsia="zh-CN"/>
        </w:rPr>
        <w:t>: 913-927 [PMID: 29785098 DOI: 10.2147/CIA.S149232]</w:t>
      </w:r>
    </w:p>
    <w:p w14:paraId="3E8C47C2"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52 </w:t>
      </w:r>
      <w:r w:rsidRPr="00D07897">
        <w:rPr>
          <w:rFonts w:ascii="Book Antiqua" w:eastAsia="等线" w:hAnsi="Book Antiqua"/>
          <w:b/>
          <w:kern w:val="2"/>
          <w:lang w:eastAsia="zh-CN"/>
        </w:rPr>
        <w:t>Hu X</w:t>
      </w:r>
      <w:r w:rsidRPr="00D07897">
        <w:rPr>
          <w:rFonts w:ascii="Book Antiqua" w:eastAsia="等线" w:hAnsi="Book Antiqua"/>
          <w:kern w:val="2"/>
          <w:lang w:eastAsia="zh-CN"/>
        </w:rPr>
        <w:t xml:space="preserve">, Zhang L, Wang H, Hao Q, Dong B, Yang M. Malnutrition-sarcopenia syndrome predicts mortality in hospitalized older patients. </w:t>
      </w:r>
      <w:r w:rsidRPr="00D07897">
        <w:rPr>
          <w:rFonts w:ascii="Book Antiqua" w:eastAsia="等线" w:hAnsi="Book Antiqua"/>
          <w:i/>
          <w:kern w:val="2"/>
          <w:lang w:eastAsia="zh-CN"/>
        </w:rPr>
        <w:t>Sci Rep</w:t>
      </w:r>
      <w:r w:rsidRPr="00D07897">
        <w:rPr>
          <w:rFonts w:ascii="Book Antiqua" w:eastAsia="等线" w:hAnsi="Book Antiqua"/>
          <w:kern w:val="2"/>
          <w:lang w:eastAsia="zh-CN"/>
        </w:rPr>
        <w:t xml:space="preserve"> 2017; </w:t>
      </w:r>
      <w:r w:rsidRPr="00D07897">
        <w:rPr>
          <w:rFonts w:ascii="Book Antiqua" w:eastAsia="等线" w:hAnsi="Book Antiqua"/>
          <w:b/>
          <w:kern w:val="2"/>
          <w:lang w:eastAsia="zh-CN"/>
        </w:rPr>
        <w:t>7</w:t>
      </w:r>
      <w:r w:rsidRPr="00D07897">
        <w:rPr>
          <w:rFonts w:ascii="Book Antiqua" w:eastAsia="等线" w:hAnsi="Book Antiqua"/>
          <w:kern w:val="2"/>
          <w:lang w:eastAsia="zh-CN"/>
        </w:rPr>
        <w:t>: 3171 [PMID: 28600505 DOI: 10.1038/s41598-017-03388-3]</w:t>
      </w:r>
    </w:p>
    <w:p w14:paraId="26A9B033"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53 </w:t>
      </w:r>
      <w:proofErr w:type="spellStart"/>
      <w:r w:rsidRPr="00D07897">
        <w:rPr>
          <w:rFonts w:ascii="Book Antiqua" w:eastAsia="等线" w:hAnsi="Book Antiqua"/>
          <w:b/>
          <w:kern w:val="2"/>
          <w:lang w:eastAsia="zh-CN"/>
        </w:rPr>
        <w:t>Scaldaferri</w:t>
      </w:r>
      <w:proofErr w:type="spellEnd"/>
      <w:r w:rsidRPr="00D07897">
        <w:rPr>
          <w:rFonts w:ascii="Book Antiqua" w:eastAsia="等线" w:hAnsi="Book Antiqua"/>
          <w:b/>
          <w:kern w:val="2"/>
          <w:lang w:eastAsia="zh-CN"/>
        </w:rPr>
        <w:t xml:space="preserve"> F</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Pizzoferrato</w:t>
      </w:r>
      <w:proofErr w:type="spellEnd"/>
      <w:r w:rsidRPr="00D07897">
        <w:rPr>
          <w:rFonts w:ascii="Book Antiqua" w:eastAsia="等线" w:hAnsi="Book Antiqua"/>
          <w:kern w:val="2"/>
          <w:lang w:eastAsia="zh-CN"/>
        </w:rPr>
        <w:t xml:space="preserve"> M, </w:t>
      </w:r>
      <w:proofErr w:type="spellStart"/>
      <w:r w:rsidRPr="00D07897">
        <w:rPr>
          <w:rFonts w:ascii="Book Antiqua" w:eastAsia="等线" w:hAnsi="Book Antiqua"/>
          <w:kern w:val="2"/>
          <w:lang w:eastAsia="zh-CN"/>
        </w:rPr>
        <w:t>Lopetuso</w:t>
      </w:r>
      <w:proofErr w:type="spellEnd"/>
      <w:r w:rsidRPr="00D07897">
        <w:rPr>
          <w:rFonts w:ascii="Book Antiqua" w:eastAsia="等线" w:hAnsi="Book Antiqua"/>
          <w:kern w:val="2"/>
          <w:lang w:eastAsia="zh-CN"/>
        </w:rPr>
        <w:t xml:space="preserve"> LR, </w:t>
      </w:r>
      <w:proofErr w:type="spellStart"/>
      <w:r w:rsidRPr="00D07897">
        <w:rPr>
          <w:rFonts w:ascii="Book Antiqua" w:eastAsia="等线" w:hAnsi="Book Antiqua"/>
          <w:kern w:val="2"/>
          <w:lang w:eastAsia="zh-CN"/>
        </w:rPr>
        <w:t>Musca</w:t>
      </w:r>
      <w:proofErr w:type="spellEnd"/>
      <w:r w:rsidRPr="00D07897">
        <w:rPr>
          <w:rFonts w:ascii="Book Antiqua" w:eastAsia="等线" w:hAnsi="Book Antiqua"/>
          <w:kern w:val="2"/>
          <w:lang w:eastAsia="zh-CN"/>
        </w:rPr>
        <w:t xml:space="preserve"> T, </w:t>
      </w:r>
      <w:proofErr w:type="spellStart"/>
      <w:r w:rsidRPr="00D07897">
        <w:rPr>
          <w:rFonts w:ascii="Book Antiqua" w:eastAsia="等线" w:hAnsi="Book Antiqua"/>
          <w:kern w:val="2"/>
          <w:lang w:eastAsia="zh-CN"/>
        </w:rPr>
        <w:t>Ingravalle</w:t>
      </w:r>
      <w:proofErr w:type="spellEnd"/>
      <w:r w:rsidRPr="00D07897">
        <w:rPr>
          <w:rFonts w:ascii="Book Antiqua" w:eastAsia="等线" w:hAnsi="Book Antiqua"/>
          <w:kern w:val="2"/>
          <w:lang w:eastAsia="zh-CN"/>
        </w:rPr>
        <w:t xml:space="preserve"> F, </w:t>
      </w:r>
      <w:proofErr w:type="spellStart"/>
      <w:r w:rsidRPr="00D07897">
        <w:rPr>
          <w:rFonts w:ascii="Book Antiqua" w:eastAsia="等线" w:hAnsi="Book Antiqua"/>
          <w:kern w:val="2"/>
          <w:lang w:eastAsia="zh-CN"/>
        </w:rPr>
        <w:t>Sicignano</w:t>
      </w:r>
      <w:proofErr w:type="spellEnd"/>
      <w:r w:rsidRPr="00D07897">
        <w:rPr>
          <w:rFonts w:ascii="Book Antiqua" w:eastAsia="等线" w:hAnsi="Book Antiqua"/>
          <w:kern w:val="2"/>
          <w:lang w:eastAsia="zh-CN"/>
        </w:rPr>
        <w:t xml:space="preserve"> LL, </w:t>
      </w:r>
      <w:proofErr w:type="spellStart"/>
      <w:r w:rsidRPr="00D07897">
        <w:rPr>
          <w:rFonts w:ascii="Book Antiqua" w:eastAsia="等线" w:hAnsi="Book Antiqua"/>
          <w:kern w:val="2"/>
          <w:lang w:eastAsia="zh-CN"/>
        </w:rPr>
        <w:t>Mentella</w:t>
      </w:r>
      <w:proofErr w:type="spellEnd"/>
      <w:r w:rsidRPr="00D07897">
        <w:rPr>
          <w:rFonts w:ascii="Book Antiqua" w:eastAsia="等线" w:hAnsi="Book Antiqua"/>
          <w:kern w:val="2"/>
          <w:lang w:eastAsia="zh-CN"/>
        </w:rPr>
        <w:t xml:space="preserve"> M, </w:t>
      </w:r>
      <w:proofErr w:type="spellStart"/>
      <w:r w:rsidRPr="00D07897">
        <w:rPr>
          <w:rFonts w:ascii="Book Antiqua" w:eastAsia="等线" w:hAnsi="Book Antiqua"/>
          <w:kern w:val="2"/>
          <w:lang w:eastAsia="zh-CN"/>
        </w:rPr>
        <w:t>Miggiano</w:t>
      </w:r>
      <w:proofErr w:type="spellEnd"/>
      <w:r w:rsidRPr="00D07897">
        <w:rPr>
          <w:rFonts w:ascii="Book Antiqua" w:eastAsia="等线" w:hAnsi="Book Antiqua"/>
          <w:kern w:val="2"/>
          <w:lang w:eastAsia="zh-CN"/>
        </w:rPr>
        <w:t xml:space="preserve"> G, Mele MC, Gaetani E, </w:t>
      </w:r>
      <w:proofErr w:type="spellStart"/>
      <w:r w:rsidRPr="00D07897">
        <w:rPr>
          <w:rFonts w:ascii="Book Antiqua" w:eastAsia="等线" w:hAnsi="Book Antiqua"/>
          <w:kern w:val="2"/>
          <w:lang w:eastAsia="zh-CN"/>
        </w:rPr>
        <w:t>Graziani</w:t>
      </w:r>
      <w:proofErr w:type="spellEnd"/>
      <w:r w:rsidRPr="00D07897">
        <w:rPr>
          <w:rFonts w:ascii="Book Antiqua" w:eastAsia="等线" w:hAnsi="Book Antiqua"/>
          <w:kern w:val="2"/>
          <w:lang w:eastAsia="zh-CN"/>
        </w:rPr>
        <w:t xml:space="preserve"> C, </w:t>
      </w:r>
      <w:proofErr w:type="spellStart"/>
      <w:r w:rsidRPr="00D07897">
        <w:rPr>
          <w:rFonts w:ascii="Book Antiqua" w:eastAsia="等线" w:hAnsi="Book Antiqua"/>
          <w:kern w:val="2"/>
          <w:lang w:eastAsia="zh-CN"/>
        </w:rPr>
        <w:t>Petito</w:t>
      </w:r>
      <w:proofErr w:type="spellEnd"/>
      <w:r w:rsidRPr="00D07897">
        <w:rPr>
          <w:rFonts w:ascii="Book Antiqua" w:eastAsia="等线" w:hAnsi="Book Antiqua"/>
          <w:kern w:val="2"/>
          <w:lang w:eastAsia="zh-CN"/>
        </w:rPr>
        <w:t xml:space="preserve"> V, </w:t>
      </w:r>
      <w:proofErr w:type="spellStart"/>
      <w:r w:rsidRPr="00D07897">
        <w:rPr>
          <w:rFonts w:ascii="Book Antiqua" w:eastAsia="等线" w:hAnsi="Book Antiqua"/>
          <w:kern w:val="2"/>
          <w:lang w:eastAsia="zh-CN"/>
        </w:rPr>
        <w:t>Cammarota</w:t>
      </w:r>
      <w:proofErr w:type="spellEnd"/>
      <w:r w:rsidRPr="00D07897">
        <w:rPr>
          <w:rFonts w:ascii="Book Antiqua" w:eastAsia="等线" w:hAnsi="Book Antiqua"/>
          <w:kern w:val="2"/>
          <w:lang w:eastAsia="zh-CN"/>
        </w:rPr>
        <w:t xml:space="preserve"> G, Marzetti E, </w:t>
      </w:r>
      <w:proofErr w:type="spellStart"/>
      <w:r w:rsidRPr="00D07897">
        <w:rPr>
          <w:rFonts w:ascii="Book Antiqua" w:eastAsia="等线" w:hAnsi="Book Antiqua"/>
          <w:kern w:val="2"/>
          <w:lang w:eastAsia="zh-CN"/>
        </w:rPr>
        <w:t>Martone</w:t>
      </w:r>
      <w:proofErr w:type="spellEnd"/>
      <w:r w:rsidRPr="00D07897">
        <w:rPr>
          <w:rFonts w:ascii="Book Antiqua" w:eastAsia="等线" w:hAnsi="Book Antiqua"/>
          <w:kern w:val="2"/>
          <w:lang w:eastAsia="zh-CN"/>
        </w:rPr>
        <w:t xml:space="preserve"> A, </w:t>
      </w:r>
      <w:proofErr w:type="spellStart"/>
      <w:r w:rsidRPr="00D07897">
        <w:rPr>
          <w:rFonts w:ascii="Book Antiqua" w:eastAsia="等线" w:hAnsi="Book Antiqua"/>
          <w:kern w:val="2"/>
          <w:lang w:eastAsia="zh-CN"/>
        </w:rPr>
        <w:t>Landi</w:t>
      </w:r>
      <w:proofErr w:type="spellEnd"/>
      <w:r w:rsidRPr="00D07897">
        <w:rPr>
          <w:rFonts w:ascii="Book Antiqua" w:eastAsia="等线" w:hAnsi="Book Antiqua"/>
          <w:kern w:val="2"/>
          <w:lang w:eastAsia="zh-CN"/>
        </w:rPr>
        <w:t xml:space="preserve"> F, </w:t>
      </w:r>
      <w:proofErr w:type="spellStart"/>
      <w:r w:rsidRPr="00D07897">
        <w:rPr>
          <w:rFonts w:ascii="Book Antiqua" w:eastAsia="等线" w:hAnsi="Book Antiqua"/>
          <w:kern w:val="2"/>
          <w:lang w:eastAsia="zh-CN"/>
        </w:rPr>
        <w:t>Gasbarrini</w:t>
      </w:r>
      <w:proofErr w:type="spellEnd"/>
      <w:r w:rsidRPr="00D07897">
        <w:rPr>
          <w:rFonts w:ascii="Book Antiqua" w:eastAsia="等线" w:hAnsi="Book Antiqua"/>
          <w:kern w:val="2"/>
          <w:lang w:eastAsia="zh-CN"/>
        </w:rPr>
        <w:t xml:space="preserve"> A. Nutrition and IBD: Malnutrition and/or Sarcopenia? </w:t>
      </w:r>
      <w:proofErr w:type="gramStart"/>
      <w:r w:rsidRPr="00D07897">
        <w:rPr>
          <w:rFonts w:ascii="Book Antiqua" w:eastAsia="等线" w:hAnsi="Book Antiqua"/>
          <w:kern w:val="2"/>
          <w:lang w:eastAsia="zh-CN"/>
        </w:rPr>
        <w:t>A Practical Guide.</w:t>
      </w:r>
      <w:proofErr w:type="gramEnd"/>
      <w:r w:rsidRPr="00D07897">
        <w:rPr>
          <w:rFonts w:ascii="Book Antiqua" w:eastAsia="等线" w:hAnsi="Book Antiqua"/>
          <w:kern w:val="2"/>
          <w:lang w:eastAsia="zh-CN"/>
        </w:rPr>
        <w:t xml:space="preserve"> </w:t>
      </w:r>
      <w:proofErr w:type="spellStart"/>
      <w:r w:rsidRPr="00D07897">
        <w:rPr>
          <w:rFonts w:ascii="Book Antiqua" w:eastAsia="等线" w:hAnsi="Book Antiqua"/>
          <w:i/>
          <w:kern w:val="2"/>
          <w:lang w:eastAsia="zh-CN"/>
        </w:rPr>
        <w:t>Gastroenterol</w:t>
      </w:r>
      <w:proofErr w:type="spellEnd"/>
      <w:r w:rsidRPr="00D07897">
        <w:rPr>
          <w:rFonts w:ascii="Book Antiqua" w:eastAsia="等线" w:hAnsi="Book Antiqua"/>
          <w:i/>
          <w:kern w:val="2"/>
          <w:lang w:eastAsia="zh-CN"/>
        </w:rPr>
        <w:t xml:space="preserve"> Res </w:t>
      </w:r>
      <w:proofErr w:type="spellStart"/>
      <w:r w:rsidRPr="00D07897">
        <w:rPr>
          <w:rFonts w:ascii="Book Antiqua" w:eastAsia="等线" w:hAnsi="Book Antiqua"/>
          <w:i/>
          <w:kern w:val="2"/>
          <w:lang w:eastAsia="zh-CN"/>
        </w:rPr>
        <w:t>Pract</w:t>
      </w:r>
      <w:proofErr w:type="spellEnd"/>
      <w:r w:rsidRPr="00D07897">
        <w:rPr>
          <w:rFonts w:ascii="Book Antiqua" w:eastAsia="等线" w:hAnsi="Book Antiqua"/>
          <w:kern w:val="2"/>
          <w:lang w:eastAsia="zh-CN"/>
        </w:rPr>
        <w:t xml:space="preserve"> 2017; </w:t>
      </w:r>
      <w:r w:rsidRPr="00D07897">
        <w:rPr>
          <w:rFonts w:ascii="Book Antiqua" w:eastAsia="等线" w:hAnsi="Book Antiqua"/>
          <w:b/>
          <w:kern w:val="2"/>
          <w:lang w:eastAsia="zh-CN"/>
        </w:rPr>
        <w:t>2017</w:t>
      </w:r>
      <w:r w:rsidRPr="00D07897">
        <w:rPr>
          <w:rFonts w:ascii="Book Antiqua" w:eastAsia="等线" w:hAnsi="Book Antiqua"/>
          <w:kern w:val="2"/>
          <w:lang w:eastAsia="zh-CN"/>
        </w:rPr>
        <w:t>: 8646495 [PMID: 28127306 DOI: 10.1155/2017/8646495]</w:t>
      </w:r>
    </w:p>
    <w:p w14:paraId="56D95C62"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54 </w:t>
      </w:r>
      <w:proofErr w:type="spellStart"/>
      <w:r w:rsidRPr="00D07897">
        <w:rPr>
          <w:rFonts w:ascii="Book Antiqua" w:eastAsia="等线" w:hAnsi="Book Antiqua"/>
          <w:b/>
          <w:kern w:val="2"/>
          <w:lang w:eastAsia="zh-CN"/>
        </w:rPr>
        <w:t>Nic</w:t>
      </w:r>
      <w:proofErr w:type="spellEnd"/>
      <w:r w:rsidRPr="00D07897">
        <w:rPr>
          <w:rFonts w:ascii="Book Antiqua" w:eastAsia="等线" w:hAnsi="Book Antiqua"/>
          <w:b/>
          <w:kern w:val="2"/>
          <w:lang w:eastAsia="zh-CN"/>
        </w:rPr>
        <w:t xml:space="preserve"> </w:t>
      </w:r>
      <w:proofErr w:type="spellStart"/>
      <w:r w:rsidRPr="00D07897">
        <w:rPr>
          <w:rFonts w:ascii="Book Antiqua" w:eastAsia="等线" w:hAnsi="Book Antiqua"/>
          <w:b/>
          <w:kern w:val="2"/>
          <w:lang w:eastAsia="zh-CN"/>
        </w:rPr>
        <w:t>Suibhne</w:t>
      </w:r>
      <w:proofErr w:type="spellEnd"/>
      <w:r w:rsidRPr="00D07897">
        <w:rPr>
          <w:rFonts w:ascii="Book Antiqua" w:eastAsia="等线" w:hAnsi="Book Antiqua"/>
          <w:b/>
          <w:kern w:val="2"/>
          <w:lang w:eastAsia="zh-CN"/>
        </w:rPr>
        <w:t xml:space="preserve"> T</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Raftery</w:t>
      </w:r>
      <w:proofErr w:type="spellEnd"/>
      <w:r w:rsidRPr="00D07897">
        <w:rPr>
          <w:rFonts w:ascii="Book Antiqua" w:eastAsia="等线" w:hAnsi="Book Antiqua"/>
          <w:kern w:val="2"/>
          <w:lang w:eastAsia="zh-CN"/>
        </w:rPr>
        <w:t xml:space="preserve"> TC, McMahon O, Walsh C, </w:t>
      </w:r>
      <w:proofErr w:type="spellStart"/>
      <w:r w:rsidRPr="00D07897">
        <w:rPr>
          <w:rFonts w:ascii="Book Antiqua" w:eastAsia="等线" w:hAnsi="Book Antiqua"/>
          <w:kern w:val="2"/>
          <w:lang w:eastAsia="zh-CN"/>
        </w:rPr>
        <w:t>O'Morain</w:t>
      </w:r>
      <w:proofErr w:type="spellEnd"/>
      <w:r w:rsidRPr="00D07897">
        <w:rPr>
          <w:rFonts w:ascii="Book Antiqua" w:eastAsia="等线" w:hAnsi="Book Antiqua"/>
          <w:kern w:val="2"/>
          <w:lang w:eastAsia="zh-CN"/>
        </w:rPr>
        <w:t xml:space="preserve"> C, O'Sullivan M. High prevalence of overweight and obesity in adults with Crohn's disease: Associations with disease and lifestyle factors. </w:t>
      </w:r>
      <w:r w:rsidRPr="00D07897">
        <w:rPr>
          <w:rFonts w:ascii="Book Antiqua" w:eastAsia="等线" w:hAnsi="Book Antiqua"/>
          <w:i/>
          <w:kern w:val="2"/>
          <w:lang w:eastAsia="zh-CN"/>
        </w:rPr>
        <w:t xml:space="preserve">J </w:t>
      </w:r>
      <w:proofErr w:type="spellStart"/>
      <w:r w:rsidRPr="00D07897">
        <w:rPr>
          <w:rFonts w:ascii="Book Antiqua" w:eastAsia="等线" w:hAnsi="Book Antiqua"/>
          <w:i/>
          <w:kern w:val="2"/>
          <w:lang w:eastAsia="zh-CN"/>
        </w:rPr>
        <w:t>Crohns</w:t>
      </w:r>
      <w:proofErr w:type="spellEnd"/>
      <w:r w:rsidRPr="00D07897">
        <w:rPr>
          <w:rFonts w:ascii="Book Antiqua" w:eastAsia="等线" w:hAnsi="Book Antiqua"/>
          <w:i/>
          <w:kern w:val="2"/>
          <w:lang w:eastAsia="zh-CN"/>
        </w:rPr>
        <w:t xml:space="preserve"> Colitis</w:t>
      </w:r>
      <w:r w:rsidRPr="00D07897">
        <w:rPr>
          <w:rFonts w:ascii="Book Antiqua" w:eastAsia="等线" w:hAnsi="Book Antiqua"/>
          <w:kern w:val="2"/>
          <w:lang w:eastAsia="zh-CN"/>
        </w:rPr>
        <w:t xml:space="preserve"> 2013; </w:t>
      </w:r>
      <w:r w:rsidRPr="00D07897">
        <w:rPr>
          <w:rFonts w:ascii="Book Antiqua" w:eastAsia="等线" w:hAnsi="Book Antiqua"/>
          <w:b/>
          <w:kern w:val="2"/>
          <w:lang w:eastAsia="zh-CN"/>
        </w:rPr>
        <w:t>7</w:t>
      </w:r>
      <w:r w:rsidRPr="00D07897">
        <w:rPr>
          <w:rFonts w:ascii="Book Antiqua" w:eastAsia="等线" w:hAnsi="Book Antiqua"/>
          <w:kern w:val="2"/>
          <w:lang w:eastAsia="zh-CN"/>
        </w:rPr>
        <w:t>: e241-e248 [PMID: 23040290 DOI: 10.1016/j.crohns.2012.09.009]</w:t>
      </w:r>
    </w:p>
    <w:p w14:paraId="6BB9FCDB"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55 </w:t>
      </w:r>
      <w:proofErr w:type="spellStart"/>
      <w:proofErr w:type="gramStart"/>
      <w:r w:rsidRPr="00D07897">
        <w:rPr>
          <w:rFonts w:ascii="Book Antiqua" w:eastAsia="等线" w:hAnsi="Book Antiqua"/>
          <w:b/>
          <w:kern w:val="2"/>
          <w:lang w:eastAsia="zh-CN"/>
        </w:rPr>
        <w:t>Kaidar</w:t>
      </w:r>
      <w:proofErr w:type="spellEnd"/>
      <w:r w:rsidRPr="00D07897">
        <w:rPr>
          <w:rFonts w:ascii="Book Antiqua" w:eastAsia="等线" w:hAnsi="Book Antiqua"/>
          <w:b/>
          <w:kern w:val="2"/>
          <w:lang w:eastAsia="zh-CN"/>
        </w:rPr>
        <w:t>-Person</w:t>
      </w:r>
      <w:proofErr w:type="gramEnd"/>
      <w:r w:rsidRPr="00D07897">
        <w:rPr>
          <w:rFonts w:ascii="Book Antiqua" w:eastAsia="等线" w:hAnsi="Book Antiqua"/>
          <w:b/>
          <w:kern w:val="2"/>
          <w:lang w:eastAsia="zh-CN"/>
        </w:rPr>
        <w:t xml:space="preserve"> O</w:t>
      </w:r>
      <w:r w:rsidRPr="00D07897">
        <w:rPr>
          <w:rFonts w:ascii="Book Antiqua" w:eastAsia="等线" w:hAnsi="Book Antiqua"/>
          <w:kern w:val="2"/>
          <w:lang w:eastAsia="zh-CN"/>
        </w:rPr>
        <w:t xml:space="preserve">, Person B, </w:t>
      </w:r>
      <w:proofErr w:type="spellStart"/>
      <w:r w:rsidRPr="00D07897">
        <w:rPr>
          <w:rFonts w:ascii="Book Antiqua" w:eastAsia="等线" w:hAnsi="Book Antiqua"/>
          <w:kern w:val="2"/>
          <w:lang w:eastAsia="zh-CN"/>
        </w:rPr>
        <w:t>Szomstein</w:t>
      </w:r>
      <w:proofErr w:type="spellEnd"/>
      <w:r w:rsidRPr="00D07897">
        <w:rPr>
          <w:rFonts w:ascii="Book Antiqua" w:eastAsia="等线" w:hAnsi="Book Antiqua"/>
          <w:kern w:val="2"/>
          <w:lang w:eastAsia="zh-CN"/>
        </w:rPr>
        <w:t xml:space="preserve"> S, Rosenthal RJ. Nutritional deficiencies in morbidly obese patients: A new form of malnutrition? Part A: vitamins. </w:t>
      </w:r>
      <w:proofErr w:type="spellStart"/>
      <w:r w:rsidRPr="00D07897">
        <w:rPr>
          <w:rFonts w:ascii="Book Antiqua" w:eastAsia="等线" w:hAnsi="Book Antiqua"/>
          <w:i/>
          <w:kern w:val="2"/>
          <w:lang w:eastAsia="zh-CN"/>
        </w:rPr>
        <w:t>Obes</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Surg</w:t>
      </w:r>
      <w:proofErr w:type="spellEnd"/>
      <w:r w:rsidRPr="00D07897">
        <w:rPr>
          <w:rFonts w:ascii="Book Antiqua" w:eastAsia="等线" w:hAnsi="Book Antiqua"/>
          <w:kern w:val="2"/>
          <w:lang w:eastAsia="zh-CN"/>
        </w:rPr>
        <w:t xml:space="preserve"> 2008; </w:t>
      </w:r>
      <w:r w:rsidRPr="00D07897">
        <w:rPr>
          <w:rFonts w:ascii="Book Antiqua" w:eastAsia="等线" w:hAnsi="Book Antiqua"/>
          <w:b/>
          <w:kern w:val="2"/>
          <w:lang w:eastAsia="zh-CN"/>
        </w:rPr>
        <w:t>18</w:t>
      </w:r>
      <w:r w:rsidRPr="00D07897">
        <w:rPr>
          <w:rFonts w:ascii="Book Antiqua" w:eastAsia="等线" w:hAnsi="Book Antiqua"/>
          <w:kern w:val="2"/>
          <w:lang w:eastAsia="zh-CN"/>
        </w:rPr>
        <w:t>: 870-876 [PMID: 18465178 DOI: 10.1007/s11695-007-9349-y]</w:t>
      </w:r>
    </w:p>
    <w:p w14:paraId="592654EB"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56 </w:t>
      </w:r>
      <w:r w:rsidRPr="00D07897">
        <w:rPr>
          <w:rFonts w:ascii="Book Antiqua" w:eastAsia="等线" w:hAnsi="Book Antiqua"/>
          <w:b/>
          <w:kern w:val="2"/>
          <w:lang w:eastAsia="zh-CN"/>
        </w:rPr>
        <w:t>Bryant RV</w:t>
      </w:r>
      <w:r w:rsidRPr="00D07897">
        <w:rPr>
          <w:rFonts w:ascii="Book Antiqua" w:eastAsia="等线" w:hAnsi="Book Antiqua"/>
          <w:kern w:val="2"/>
          <w:lang w:eastAsia="zh-CN"/>
        </w:rPr>
        <w:t xml:space="preserve">, Schultz CG, </w:t>
      </w:r>
      <w:proofErr w:type="spellStart"/>
      <w:r w:rsidRPr="00D07897">
        <w:rPr>
          <w:rFonts w:ascii="Book Antiqua" w:eastAsia="等线" w:hAnsi="Book Antiqua"/>
          <w:kern w:val="2"/>
          <w:lang w:eastAsia="zh-CN"/>
        </w:rPr>
        <w:t>Ooi</w:t>
      </w:r>
      <w:proofErr w:type="spellEnd"/>
      <w:r w:rsidRPr="00D07897">
        <w:rPr>
          <w:rFonts w:ascii="Book Antiqua" w:eastAsia="等线" w:hAnsi="Book Antiqua"/>
          <w:kern w:val="2"/>
          <w:lang w:eastAsia="zh-CN"/>
        </w:rPr>
        <w:t xml:space="preserve"> S, </w:t>
      </w:r>
      <w:proofErr w:type="spellStart"/>
      <w:r w:rsidRPr="00D07897">
        <w:rPr>
          <w:rFonts w:ascii="Book Antiqua" w:eastAsia="等线" w:hAnsi="Book Antiqua"/>
          <w:kern w:val="2"/>
          <w:lang w:eastAsia="zh-CN"/>
        </w:rPr>
        <w:t>Goess</w:t>
      </w:r>
      <w:proofErr w:type="spellEnd"/>
      <w:r w:rsidRPr="00D07897">
        <w:rPr>
          <w:rFonts w:ascii="Book Antiqua" w:eastAsia="等线" w:hAnsi="Book Antiqua"/>
          <w:kern w:val="2"/>
          <w:lang w:eastAsia="zh-CN"/>
        </w:rPr>
        <w:t xml:space="preserve"> C, Costello SP, Vincent AD, Schoeman SN, Lim A, </w:t>
      </w:r>
      <w:proofErr w:type="spellStart"/>
      <w:r w:rsidRPr="00D07897">
        <w:rPr>
          <w:rFonts w:ascii="Book Antiqua" w:eastAsia="等线" w:hAnsi="Book Antiqua"/>
          <w:kern w:val="2"/>
          <w:lang w:eastAsia="zh-CN"/>
        </w:rPr>
        <w:t>Bartholomeusz</w:t>
      </w:r>
      <w:proofErr w:type="spellEnd"/>
      <w:r w:rsidRPr="00D07897">
        <w:rPr>
          <w:rFonts w:ascii="Book Antiqua" w:eastAsia="等线" w:hAnsi="Book Antiqua"/>
          <w:kern w:val="2"/>
          <w:lang w:eastAsia="zh-CN"/>
        </w:rPr>
        <w:t xml:space="preserve"> FD, Travis SPL, Andrews JM. Obesity in Inflammatory Bowel Disease: Gains in Adiposity despite High Prevalence of </w:t>
      </w:r>
      <w:proofErr w:type="spellStart"/>
      <w:r w:rsidRPr="00D07897">
        <w:rPr>
          <w:rFonts w:ascii="Book Antiqua" w:eastAsia="等线" w:hAnsi="Book Antiqua"/>
          <w:kern w:val="2"/>
          <w:lang w:eastAsia="zh-CN"/>
        </w:rPr>
        <w:t>Myopenia</w:t>
      </w:r>
      <w:proofErr w:type="spellEnd"/>
      <w:r w:rsidRPr="00D07897">
        <w:rPr>
          <w:rFonts w:ascii="Book Antiqua" w:eastAsia="等线" w:hAnsi="Book Antiqua"/>
          <w:kern w:val="2"/>
          <w:lang w:eastAsia="zh-CN"/>
        </w:rPr>
        <w:t xml:space="preserve"> and Osteopenia. </w:t>
      </w:r>
      <w:r w:rsidRPr="00D07897">
        <w:rPr>
          <w:rFonts w:ascii="Book Antiqua" w:eastAsia="等线" w:hAnsi="Book Antiqua"/>
          <w:i/>
          <w:kern w:val="2"/>
          <w:lang w:eastAsia="zh-CN"/>
        </w:rPr>
        <w:t>Nutrients</w:t>
      </w:r>
      <w:r w:rsidRPr="00D07897">
        <w:rPr>
          <w:rFonts w:ascii="Book Antiqua" w:eastAsia="等线" w:hAnsi="Book Antiqua"/>
          <w:kern w:val="2"/>
          <w:lang w:eastAsia="zh-CN"/>
        </w:rPr>
        <w:t xml:space="preserve"> 2018; </w:t>
      </w:r>
      <w:r w:rsidRPr="00D07897">
        <w:rPr>
          <w:rFonts w:ascii="Book Antiqua" w:eastAsia="等线" w:hAnsi="Book Antiqua"/>
          <w:b/>
          <w:kern w:val="2"/>
          <w:lang w:eastAsia="zh-CN"/>
        </w:rPr>
        <w:t>10</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pii</w:t>
      </w:r>
      <w:proofErr w:type="spellEnd"/>
      <w:r w:rsidRPr="00D07897">
        <w:rPr>
          <w:rFonts w:ascii="Book Antiqua" w:eastAsia="等线" w:hAnsi="Book Antiqua"/>
          <w:kern w:val="2"/>
          <w:lang w:eastAsia="zh-CN"/>
        </w:rPr>
        <w:t xml:space="preserve">: E1192 [PMID: </w:t>
      </w:r>
      <w:bookmarkStart w:id="61" w:name="OLE_LINK886"/>
      <w:bookmarkStart w:id="62" w:name="OLE_LINK887"/>
      <w:r w:rsidRPr="00D07897">
        <w:rPr>
          <w:rFonts w:ascii="Book Antiqua" w:eastAsia="等线" w:hAnsi="Book Antiqua"/>
          <w:kern w:val="2"/>
          <w:lang w:eastAsia="zh-CN"/>
        </w:rPr>
        <w:t>30200405</w:t>
      </w:r>
      <w:bookmarkEnd w:id="61"/>
      <w:bookmarkEnd w:id="62"/>
      <w:r w:rsidRPr="00D07897">
        <w:rPr>
          <w:rFonts w:ascii="Book Antiqua" w:eastAsia="等线" w:hAnsi="Book Antiqua"/>
          <w:kern w:val="2"/>
          <w:lang w:eastAsia="zh-CN"/>
        </w:rPr>
        <w:t xml:space="preserve"> DOI: 10.3390/nu10091192]</w:t>
      </w:r>
    </w:p>
    <w:p w14:paraId="2E94A2D9"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57 </w:t>
      </w:r>
      <w:r w:rsidRPr="00D07897">
        <w:rPr>
          <w:rFonts w:ascii="Book Antiqua" w:eastAsia="等线" w:hAnsi="Book Antiqua"/>
          <w:b/>
          <w:kern w:val="2"/>
          <w:lang w:eastAsia="zh-CN"/>
        </w:rPr>
        <w:t>Andrade MI</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Maio</w:t>
      </w:r>
      <w:proofErr w:type="spellEnd"/>
      <w:r w:rsidRPr="00D07897">
        <w:rPr>
          <w:rFonts w:ascii="Book Antiqua" w:eastAsia="等线" w:hAnsi="Book Antiqua"/>
          <w:kern w:val="2"/>
          <w:lang w:eastAsia="zh-CN"/>
        </w:rPr>
        <w:t xml:space="preserve"> R, </w:t>
      </w:r>
      <w:proofErr w:type="spellStart"/>
      <w:r w:rsidRPr="00D07897">
        <w:rPr>
          <w:rFonts w:ascii="Book Antiqua" w:eastAsia="等线" w:hAnsi="Book Antiqua"/>
          <w:kern w:val="2"/>
          <w:lang w:eastAsia="zh-CN"/>
        </w:rPr>
        <w:t>Dourado</w:t>
      </w:r>
      <w:proofErr w:type="spellEnd"/>
      <w:r w:rsidRPr="00D07897">
        <w:rPr>
          <w:rFonts w:ascii="Book Antiqua" w:eastAsia="等线" w:hAnsi="Book Antiqua"/>
          <w:kern w:val="2"/>
          <w:lang w:eastAsia="zh-CN"/>
        </w:rPr>
        <w:t xml:space="preserve"> KF, </w:t>
      </w:r>
      <w:proofErr w:type="spellStart"/>
      <w:r w:rsidRPr="00D07897">
        <w:rPr>
          <w:rFonts w:ascii="Book Antiqua" w:eastAsia="等线" w:hAnsi="Book Antiqua"/>
          <w:kern w:val="2"/>
          <w:lang w:eastAsia="zh-CN"/>
        </w:rPr>
        <w:t>Macêdo</w:t>
      </w:r>
      <w:proofErr w:type="spellEnd"/>
      <w:r w:rsidRPr="00D07897">
        <w:rPr>
          <w:rFonts w:ascii="Book Antiqua" w:eastAsia="等线" w:hAnsi="Book Antiqua"/>
          <w:kern w:val="2"/>
          <w:lang w:eastAsia="zh-CN"/>
        </w:rPr>
        <w:t xml:space="preserve"> PF, </w:t>
      </w:r>
      <w:proofErr w:type="spellStart"/>
      <w:r w:rsidRPr="00D07897">
        <w:rPr>
          <w:rFonts w:ascii="Book Antiqua" w:eastAsia="等线" w:hAnsi="Book Antiqua"/>
          <w:kern w:val="2"/>
          <w:lang w:eastAsia="zh-CN"/>
        </w:rPr>
        <w:t>Barreto</w:t>
      </w:r>
      <w:proofErr w:type="spellEnd"/>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Neto</w:t>
      </w:r>
      <w:proofErr w:type="spellEnd"/>
      <w:r w:rsidRPr="00D07897">
        <w:rPr>
          <w:rFonts w:ascii="Book Antiqua" w:eastAsia="等线" w:hAnsi="Book Antiqua"/>
          <w:kern w:val="2"/>
          <w:lang w:eastAsia="zh-CN"/>
        </w:rPr>
        <w:t xml:space="preserve"> AC. Excessive weight--muscle depletion paradox and cardiovascular risk factors in outpatients with inflammatory bowel disease. </w:t>
      </w:r>
      <w:proofErr w:type="spellStart"/>
      <w:r w:rsidRPr="00D07897">
        <w:rPr>
          <w:rFonts w:ascii="Book Antiqua" w:eastAsia="等线" w:hAnsi="Book Antiqua"/>
          <w:i/>
          <w:kern w:val="2"/>
          <w:lang w:eastAsia="zh-CN"/>
        </w:rPr>
        <w:t>Arq</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Gastroenterol</w:t>
      </w:r>
      <w:proofErr w:type="spellEnd"/>
      <w:r w:rsidRPr="00D07897">
        <w:rPr>
          <w:rFonts w:ascii="Book Antiqua" w:eastAsia="等线" w:hAnsi="Book Antiqua"/>
          <w:kern w:val="2"/>
          <w:lang w:eastAsia="zh-CN"/>
        </w:rPr>
        <w:t xml:space="preserve"> 2015; </w:t>
      </w:r>
      <w:r w:rsidRPr="00D07897">
        <w:rPr>
          <w:rFonts w:ascii="Book Antiqua" w:eastAsia="等线" w:hAnsi="Book Antiqua"/>
          <w:b/>
          <w:kern w:val="2"/>
          <w:lang w:eastAsia="zh-CN"/>
        </w:rPr>
        <w:t>52</w:t>
      </w:r>
      <w:r w:rsidRPr="00D07897">
        <w:rPr>
          <w:rFonts w:ascii="Book Antiqua" w:eastAsia="等线" w:hAnsi="Book Antiqua"/>
          <w:kern w:val="2"/>
          <w:lang w:eastAsia="zh-CN"/>
        </w:rPr>
        <w:t xml:space="preserve">: 37-45 [PMID: </w:t>
      </w:r>
      <w:r w:rsidRPr="00D07897">
        <w:rPr>
          <w:rFonts w:ascii="Book Antiqua" w:eastAsia="等线" w:hAnsi="Book Antiqua"/>
          <w:kern w:val="2"/>
          <w:lang w:eastAsia="zh-CN"/>
        </w:rPr>
        <w:lastRenderedPageBreak/>
        <w:t>26017081 DOI: 10.1590/S0004-28032015000100009]</w:t>
      </w:r>
    </w:p>
    <w:p w14:paraId="173832C1"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58 </w:t>
      </w:r>
      <w:proofErr w:type="spellStart"/>
      <w:r w:rsidRPr="00D07897">
        <w:rPr>
          <w:rFonts w:ascii="Book Antiqua" w:eastAsia="等线" w:hAnsi="Book Antiqua"/>
          <w:b/>
          <w:kern w:val="2"/>
          <w:lang w:eastAsia="zh-CN"/>
        </w:rPr>
        <w:t>Seminerio</w:t>
      </w:r>
      <w:proofErr w:type="spellEnd"/>
      <w:r w:rsidRPr="00D07897">
        <w:rPr>
          <w:rFonts w:ascii="Book Antiqua" w:eastAsia="等线" w:hAnsi="Book Antiqua"/>
          <w:b/>
          <w:kern w:val="2"/>
          <w:lang w:eastAsia="zh-CN"/>
        </w:rPr>
        <w:t xml:space="preserve"> JL</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Koutroubakis</w:t>
      </w:r>
      <w:proofErr w:type="spellEnd"/>
      <w:r w:rsidRPr="00D07897">
        <w:rPr>
          <w:rFonts w:ascii="Book Antiqua" w:eastAsia="等线" w:hAnsi="Book Antiqua"/>
          <w:kern w:val="2"/>
          <w:lang w:eastAsia="zh-CN"/>
        </w:rPr>
        <w:t xml:space="preserve"> IE, Ramos-Rivers C, </w:t>
      </w:r>
      <w:proofErr w:type="spellStart"/>
      <w:r w:rsidRPr="00D07897">
        <w:rPr>
          <w:rFonts w:ascii="Book Antiqua" w:eastAsia="等线" w:hAnsi="Book Antiqua"/>
          <w:kern w:val="2"/>
          <w:lang w:eastAsia="zh-CN"/>
        </w:rPr>
        <w:t>Hashash</w:t>
      </w:r>
      <w:proofErr w:type="spellEnd"/>
      <w:r w:rsidRPr="00D07897">
        <w:rPr>
          <w:rFonts w:ascii="Book Antiqua" w:eastAsia="等线" w:hAnsi="Book Antiqua"/>
          <w:kern w:val="2"/>
          <w:lang w:eastAsia="zh-CN"/>
        </w:rPr>
        <w:t xml:space="preserve"> JG, </w:t>
      </w:r>
      <w:proofErr w:type="spellStart"/>
      <w:r w:rsidRPr="00D07897">
        <w:rPr>
          <w:rFonts w:ascii="Book Antiqua" w:eastAsia="等线" w:hAnsi="Book Antiqua"/>
          <w:kern w:val="2"/>
          <w:lang w:eastAsia="zh-CN"/>
        </w:rPr>
        <w:t>Dudekula</w:t>
      </w:r>
      <w:proofErr w:type="spellEnd"/>
      <w:r w:rsidRPr="00D07897">
        <w:rPr>
          <w:rFonts w:ascii="Book Antiqua" w:eastAsia="等线" w:hAnsi="Book Antiqua"/>
          <w:kern w:val="2"/>
          <w:lang w:eastAsia="zh-CN"/>
        </w:rPr>
        <w:t xml:space="preserve"> A, </w:t>
      </w:r>
      <w:proofErr w:type="spellStart"/>
      <w:r w:rsidRPr="00D07897">
        <w:rPr>
          <w:rFonts w:ascii="Book Antiqua" w:eastAsia="等线" w:hAnsi="Book Antiqua"/>
          <w:kern w:val="2"/>
          <w:lang w:eastAsia="zh-CN"/>
        </w:rPr>
        <w:t>Regueiro</w:t>
      </w:r>
      <w:proofErr w:type="spellEnd"/>
      <w:r w:rsidRPr="00D07897">
        <w:rPr>
          <w:rFonts w:ascii="Book Antiqua" w:eastAsia="等线" w:hAnsi="Book Antiqua"/>
          <w:kern w:val="2"/>
          <w:lang w:eastAsia="zh-CN"/>
        </w:rPr>
        <w:t xml:space="preserve"> M, </w:t>
      </w:r>
      <w:proofErr w:type="spellStart"/>
      <w:r w:rsidRPr="00D07897">
        <w:rPr>
          <w:rFonts w:ascii="Book Antiqua" w:eastAsia="等线" w:hAnsi="Book Antiqua"/>
          <w:kern w:val="2"/>
          <w:lang w:eastAsia="zh-CN"/>
        </w:rPr>
        <w:t>Baidoo</w:t>
      </w:r>
      <w:proofErr w:type="spellEnd"/>
      <w:r w:rsidRPr="00D07897">
        <w:rPr>
          <w:rFonts w:ascii="Book Antiqua" w:eastAsia="等线" w:hAnsi="Book Antiqua"/>
          <w:kern w:val="2"/>
          <w:lang w:eastAsia="zh-CN"/>
        </w:rPr>
        <w:t xml:space="preserve"> L, Barrie A, </w:t>
      </w:r>
      <w:proofErr w:type="spellStart"/>
      <w:r w:rsidRPr="00D07897">
        <w:rPr>
          <w:rFonts w:ascii="Book Antiqua" w:eastAsia="等线" w:hAnsi="Book Antiqua"/>
          <w:kern w:val="2"/>
          <w:lang w:eastAsia="zh-CN"/>
        </w:rPr>
        <w:t>Swoger</w:t>
      </w:r>
      <w:proofErr w:type="spellEnd"/>
      <w:r w:rsidRPr="00D07897">
        <w:rPr>
          <w:rFonts w:ascii="Book Antiqua" w:eastAsia="等线" w:hAnsi="Book Antiqua"/>
          <w:kern w:val="2"/>
          <w:lang w:eastAsia="zh-CN"/>
        </w:rPr>
        <w:t xml:space="preserve"> J, Schwartz M, </w:t>
      </w:r>
      <w:proofErr w:type="spellStart"/>
      <w:r w:rsidRPr="00D07897">
        <w:rPr>
          <w:rFonts w:ascii="Book Antiqua" w:eastAsia="等线" w:hAnsi="Book Antiqua"/>
          <w:kern w:val="2"/>
          <w:lang w:eastAsia="zh-CN"/>
        </w:rPr>
        <w:t>Weyant</w:t>
      </w:r>
      <w:proofErr w:type="spellEnd"/>
      <w:r w:rsidRPr="00D07897">
        <w:rPr>
          <w:rFonts w:ascii="Book Antiqua" w:eastAsia="等线" w:hAnsi="Book Antiqua"/>
          <w:kern w:val="2"/>
          <w:lang w:eastAsia="zh-CN"/>
        </w:rPr>
        <w:t xml:space="preserve"> K, Dunn MA, Binion DG. </w:t>
      </w:r>
      <w:proofErr w:type="gramStart"/>
      <w:r w:rsidRPr="00D07897">
        <w:rPr>
          <w:rFonts w:ascii="Book Antiqua" w:eastAsia="等线" w:hAnsi="Book Antiqua"/>
          <w:kern w:val="2"/>
          <w:lang w:eastAsia="zh-CN"/>
        </w:rPr>
        <w:t>Impact of Obesity on the Management and Clinical Course of Patients with Inflammatory Bowel Disease.</w:t>
      </w:r>
      <w:proofErr w:type="gramEnd"/>
      <w:r w:rsidRPr="00D07897">
        <w:rPr>
          <w:rFonts w:ascii="Book Antiqua" w:eastAsia="等线" w:hAnsi="Book Antiqua"/>
          <w:kern w:val="2"/>
          <w:lang w:eastAsia="zh-CN"/>
        </w:rPr>
        <w:t xml:space="preserve"> </w:t>
      </w:r>
      <w:proofErr w:type="spellStart"/>
      <w:r w:rsidRPr="00D07897">
        <w:rPr>
          <w:rFonts w:ascii="Book Antiqua" w:eastAsia="等线" w:hAnsi="Book Antiqua"/>
          <w:i/>
          <w:kern w:val="2"/>
          <w:lang w:eastAsia="zh-CN"/>
        </w:rPr>
        <w:t>Inflamm</w:t>
      </w:r>
      <w:proofErr w:type="spellEnd"/>
      <w:r w:rsidRPr="00D07897">
        <w:rPr>
          <w:rFonts w:ascii="Book Antiqua" w:eastAsia="等线" w:hAnsi="Book Antiqua"/>
          <w:i/>
          <w:kern w:val="2"/>
          <w:lang w:eastAsia="zh-CN"/>
        </w:rPr>
        <w:t xml:space="preserve"> Bowel Dis</w:t>
      </w:r>
      <w:r w:rsidRPr="00D07897">
        <w:rPr>
          <w:rFonts w:ascii="Book Antiqua" w:eastAsia="等线" w:hAnsi="Book Antiqua"/>
          <w:kern w:val="2"/>
          <w:lang w:eastAsia="zh-CN"/>
        </w:rPr>
        <w:t xml:space="preserve"> 2015; </w:t>
      </w:r>
      <w:r w:rsidRPr="00D07897">
        <w:rPr>
          <w:rFonts w:ascii="Book Antiqua" w:eastAsia="等线" w:hAnsi="Book Antiqua"/>
          <w:b/>
          <w:kern w:val="2"/>
          <w:lang w:eastAsia="zh-CN"/>
        </w:rPr>
        <w:t>21</w:t>
      </w:r>
      <w:r w:rsidRPr="00D07897">
        <w:rPr>
          <w:rFonts w:ascii="Book Antiqua" w:eastAsia="等线" w:hAnsi="Book Antiqua"/>
          <w:kern w:val="2"/>
          <w:lang w:eastAsia="zh-CN"/>
        </w:rPr>
        <w:t>: 2857-2863 [PMID: 26241001 DOI: 10.1097/MIB.0000000000000560]</w:t>
      </w:r>
    </w:p>
    <w:p w14:paraId="61FFDA5F" w14:textId="77777777" w:rsidR="00EE37A2" w:rsidRPr="00D07897" w:rsidRDefault="00EE37A2" w:rsidP="00EE37A2">
      <w:pPr>
        <w:widowControl w:val="0"/>
        <w:spacing w:line="360" w:lineRule="auto"/>
        <w:jc w:val="both"/>
        <w:rPr>
          <w:rFonts w:ascii="Book Antiqua" w:eastAsia="等线" w:hAnsi="Book Antiqua"/>
          <w:kern w:val="2"/>
          <w:lang w:eastAsia="zh-CN"/>
        </w:rPr>
      </w:pPr>
      <w:proofErr w:type="gramStart"/>
      <w:r w:rsidRPr="00D07897">
        <w:rPr>
          <w:rFonts w:ascii="Book Antiqua" w:eastAsia="等线" w:hAnsi="Book Antiqua"/>
          <w:kern w:val="2"/>
          <w:lang w:eastAsia="zh-CN"/>
        </w:rPr>
        <w:t xml:space="preserve">59 </w:t>
      </w:r>
      <w:r w:rsidRPr="00D07897">
        <w:rPr>
          <w:rFonts w:ascii="Book Antiqua" w:eastAsia="等线" w:hAnsi="Book Antiqua"/>
          <w:b/>
          <w:kern w:val="2"/>
          <w:lang w:eastAsia="zh-CN"/>
        </w:rPr>
        <w:t>Harper JW</w:t>
      </w:r>
      <w:proofErr w:type="gramEnd"/>
      <w:r w:rsidRPr="00D07897">
        <w:rPr>
          <w:rFonts w:ascii="Book Antiqua" w:eastAsia="等线" w:hAnsi="Book Antiqua"/>
          <w:kern w:val="2"/>
          <w:lang w:eastAsia="zh-CN"/>
        </w:rPr>
        <w:t xml:space="preserve">, Sinanan MN, Zisman TL. Increased body mass index is associated with earlier time to loss of response to infliximab in patients with inflammatory bowel disease. </w:t>
      </w:r>
      <w:proofErr w:type="spellStart"/>
      <w:r w:rsidRPr="00D07897">
        <w:rPr>
          <w:rFonts w:ascii="Book Antiqua" w:eastAsia="等线" w:hAnsi="Book Antiqua"/>
          <w:i/>
          <w:kern w:val="2"/>
          <w:lang w:eastAsia="zh-CN"/>
        </w:rPr>
        <w:t>Inflamm</w:t>
      </w:r>
      <w:proofErr w:type="spellEnd"/>
      <w:r w:rsidRPr="00D07897">
        <w:rPr>
          <w:rFonts w:ascii="Book Antiqua" w:eastAsia="等线" w:hAnsi="Book Antiqua"/>
          <w:i/>
          <w:kern w:val="2"/>
          <w:lang w:eastAsia="zh-CN"/>
        </w:rPr>
        <w:t xml:space="preserve"> Bowel Dis</w:t>
      </w:r>
      <w:r w:rsidRPr="00D07897">
        <w:rPr>
          <w:rFonts w:ascii="Book Antiqua" w:eastAsia="等线" w:hAnsi="Book Antiqua"/>
          <w:kern w:val="2"/>
          <w:lang w:eastAsia="zh-CN"/>
        </w:rPr>
        <w:t xml:space="preserve"> 2013; </w:t>
      </w:r>
      <w:r w:rsidRPr="00D07897">
        <w:rPr>
          <w:rFonts w:ascii="Book Antiqua" w:eastAsia="等线" w:hAnsi="Book Antiqua"/>
          <w:b/>
          <w:kern w:val="2"/>
          <w:lang w:eastAsia="zh-CN"/>
        </w:rPr>
        <w:t>19</w:t>
      </w:r>
      <w:r w:rsidRPr="00D07897">
        <w:rPr>
          <w:rFonts w:ascii="Book Antiqua" w:eastAsia="等线" w:hAnsi="Book Antiqua"/>
          <w:kern w:val="2"/>
          <w:lang w:eastAsia="zh-CN"/>
        </w:rPr>
        <w:t>: 2118-2124 [PMID: 23863401 DOI: 10.1097/MIB.0b013e31829cf401]</w:t>
      </w:r>
    </w:p>
    <w:p w14:paraId="2F695A8F"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60 </w:t>
      </w:r>
      <w:r w:rsidRPr="00D07897">
        <w:rPr>
          <w:rFonts w:ascii="Book Antiqua" w:eastAsia="等线" w:hAnsi="Book Antiqua"/>
          <w:b/>
          <w:kern w:val="2"/>
          <w:lang w:eastAsia="zh-CN"/>
        </w:rPr>
        <w:t>Flores A</w:t>
      </w:r>
      <w:r w:rsidRPr="00D07897">
        <w:rPr>
          <w:rFonts w:ascii="Book Antiqua" w:eastAsia="等线" w:hAnsi="Book Antiqua"/>
          <w:kern w:val="2"/>
          <w:lang w:eastAsia="zh-CN"/>
        </w:rPr>
        <w:t xml:space="preserve">, Burstein E, Cipher DJ, Feagins LA. Obesity in Inflammatory Bowel Disease: A Marker of Less Severe Disease. </w:t>
      </w:r>
      <w:r w:rsidRPr="00D07897">
        <w:rPr>
          <w:rFonts w:ascii="Book Antiqua" w:eastAsia="等线" w:hAnsi="Book Antiqua"/>
          <w:i/>
          <w:kern w:val="2"/>
          <w:lang w:eastAsia="zh-CN"/>
        </w:rPr>
        <w:t>Dig Dis Sci</w:t>
      </w:r>
      <w:r w:rsidRPr="00D07897">
        <w:rPr>
          <w:rFonts w:ascii="Book Antiqua" w:eastAsia="等线" w:hAnsi="Book Antiqua"/>
          <w:kern w:val="2"/>
          <w:lang w:eastAsia="zh-CN"/>
        </w:rPr>
        <w:t xml:space="preserve"> 2015; </w:t>
      </w:r>
      <w:r w:rsidRPr="00D07897">
        <w:rPr>
          <w:rFonts w:ascii="Book Antiqua" w:eastAsia="等线" w:hAnsi="Book Antiqua"/>
          <w:b/>
          <w:kern w:val="2"/>
          <w:lang w:eastAsia="zh-CN"/>
        </w:rPr>
        <w:t>60</w:t>
      </w:r>
      <w:r w:rsidRPr="00D07897">
        <w:rPr>
          <w:rFonts w:ascii="Book Antiqua" w:eastAsia="等线" w:hAnsi="Book Antiqua"/>
          <w:kern w:val="2"/>
          <w:lang w:eastAsia="zh-CN"/>
        </w:rPr>
        <w:t>: 2436-2445 [PMID: 25799938 DOI: 10.1007/s10620-015-3629-5]</w:t>
      </w:r>
    </w:p>
    <w:p w14:paraId="77C3F6F0" w14:textId="77777777" w:rsidR="00EE37A2" w:rsidRPr="00D07897" w:rsidRDefault="00EE37A2" w:rsidP="00EE37A2">
      <w:pPr>
        <w:widowControl w:val="0"/>
        <w:spacing w:line="360" w:lineRule="auto"/>
        <w:jc w:val="both"/>
        <w:rPr>
          <w:rFonts w:ascii="Book Antiqua" w:eastAsia="等线" w:hAnsi="Book Antiqua"/>
          <w:kern w:val="2"/>
          <w:lang w:eastAsia="zh-CN"/>
        </w:rPr>
      </w:pPr>
      <w:r w:rsidRPr="00D07897">
        <w:rPr>
          <w:rFonts w:ascii="Book Antiqua" w:eastAsia="等线" w:hAnsi="Book Antiqua"/>
          <w:kern w:val="2"/>
          <w:lang w:eastAsia="zh-CN"/>
        </w:rPr>
        <w:t xml:space="preserve">61 </w:t>
      </w:r>
      <w:r w:rsidRPr="00D07897">
        <w:rPr>
          <w:rFonts w:ascii="Book Antiqua" w:eastAsia="等线" w:hAnsi="Book Antiqua"/>
          <w:b/>
          <w:kern w:val="2"/>
          <w:lang w:eastAsia="zh-CN"/>
        </w:rPr>
        <w:t>Blain A</w:t>
      </w:r>
      <w:r w:rsidRPr="00D07897">
        <w:rPr>
          <w:rFonts w:ascii="Book Antiqua" w:eastAsia="等线" w:hAnsi="Book Antiqua"/>
          <w:kern w:val="2"/>
          <w:lang w:eastAsia="zh-CN"/>
        </w:rPr>
        <w:t xml:space="preserve">, </w:t>
      </w:r>
      <w:proofErr w:type="spellStart"/>
      <w:r w:rsidRPr="00D07897">
        <w:rPr>
          <w:rFonts w:ascii="Book Antiqua" w:eastAsia="等线" w:hAnsi="Book Antiqua"/>
          <w:kern w:val="2"/>
          <w:lang w:eastAsia="zh-CN"/>
        </w:rPr>
        <w:t>Cattan</w:t>
      </w:r>
      <w:proofErr w:type="spellEnd"/>
      <w:r w:rsidRPr="00D07897">
        <w:rPr>
          <w:rFonts w:ascii="Book Antiqua" w:eastAsia="等线" w:hAnsi="Book Antiqua"/>
          <w:kern w:val="2"/>
          <w:lang w:eastAsia="zh-CN"/>
        </w:rPr>
        <w:t xml:space="preserve"> S, </w:t>
      </w:r>
      <w:proofErr w:type="spellStart"/>
      <w:r w:rsidRPr="00D07897">
        <w:rPr>
          <w:rFonts w:ascii="Book Antiqua" w:eastAsia="等线" w:hAnsi="Book Antiqua"/>
          <w:kern w:val="2"/>
          <w:lang w:eastAsia="zh-CN"/>
        </w:rPr>
        <w:t>Beaugerie</w:t>
      </w:r>
      <w:proofErr w:type="spellEnd"/>
      <w:r w:rsidRPr="00D07897">
        <w:rPr>
          <w:rFonts w:ascii="Book Antiqua" w:eastAsia="等线" w:hAnsi="Book Antiqua"/>
          <w:kern w:val="2"/>
          <w:lang w:eastAsia="zh-CN"/>
        </w:rPr>
        <w:t xml:space="preserve"> L, </w:t>
      </w:r>
      <w:proofErr w:type="spellStart"/>
      <w:r w:rsidRPr="00D07897">
        <w:rPr>
          <w:rFonts w:ascii="Book Antiqua" w:eastAsia="等线" w:hAnsi="Book Antiqua"/>
          <w:kern w:val="2"/>
          <w:lang w:eastAsia="zh-CN"/>
        </w:rPr>
        <w:t>Carbonnel</w:t>
      </w:r>
      <w:proofErr w:type="spellEnd"/>
      <w:r w:rsidRPr="00D07897">
        <w:rPr>
          <w:rFonts w:ascii="Book Antiqua" w:eastAsia="等线" w:hAnsi="Book Antiqua"/>
          <w:kern w:val="2"/>
          <w:lang w:eastAsia="zh-CN"/>
        </w:rPr>
        <w:t xml:space="preserve"> F, </w:t>
      </w:r>
      <w:proofErr w:type="spellStart"/>
      <w:r w:rsidRPr="00D07897">
        <w:rPr>
          <w:rFonts w:ascii="Book Antiqua" w:eastAsia="等线" w:hAnsi="Book Antiqua"/>
          <w:kern w:val="2"/>
          <w:lang w:eastAsia="zh-CN"/>
        </w:rPr>
        <w:t>Gendre</w:t>
      </w:r>
      <w:proofErr w:type="spellEnd"/>
      <w:r w:rsidRPr="00D07897">
        <w:rPr>
          <w:rFonts w:ascii="Book Antiqua" w:eastAsia="等线" w:hAnsi="Book Antiqua"/>
          <w:kern w:val="2"/>
          <w:lang w:eastAsia="zh-CN"/>
        </w:rPr>
        <w:t xml:space="preserve"> JP, </w:t>
      </w:r>
      <w:proofErr w:type="spellStart"/>
      <w:r w:rsidRPr="00D07897">
        <w:rPr>
          <w:rFonts w:ascii="Book Antiqua" w:eastAsia="等线" w:hAnsi="Book Antiqua"/>
          <w:kern w:val="2"/>
          <w:lang w:eastAsia="zh-CN"/>
        </w:rPr>
        <w:t>Cosnes</w:t>
      </w:r>
      <w:proofErr w:type="spellEnd"/>
      <w:r w:rsidRPr="00D07897">
        <w:rPr>
          <w:rFonts w:ascii="Book Antiqua" w:eastAsia="等线" w:hAnsi="Book Antiqua"/>
          <w:kern w:val="2"/>
          <w:lang w:eastAsia="zh-CN"/>
        </w:rPr>
        <w:t xml:space="preserve"> J. Crohn's disease clinical course and severity in obese patients. </w:t>
      </w:r>
      <w:proofErr w:type="spellStart"/>
      <w:r w:rsidRPr="00D07897">
        <w:rPr>
          <w:rFonts w:ascii="Book Antiqua" w:eastAsia="等线" w:hAnsi="Book Antiqua"/>
          <w:i/>
          <w:kern w:val="2"/>
          <w:lang w:eastAsia="zh-CN"/>
        </w:rPr>
        <w:t>Clin</w:t>
      </w:r>
      <w:proofErr w:type="spellEnd"/>
      <w:r w:rsidRPr="00D07897">
        <w:rPr>
          <w:rFonts w:ascii="Book Antiqua" w:eastAsia="等线" w:hAnsi="Book Antiqua"/>
          <w:i/>
          <w:kern w:val="2"/>
          <w:lang w:eastAsia="zh-CN"/>
        </w:rPr>
        <w:t xml:space="preserve"> </w:t>
      </w:r>
      <w:proofErr w:type="spellStart"/>
      <w:r w:rsidRPr="00D07897">
        <w:rPr>
          <w:rFonts w:ascii="Book Antiqua" w:eastAsia="等线" w:hAnsi="Book Antiqua"/>
          <w:i/>
          <w:kern w:val="2"/>
          <w:lang w:eastAsia="zh-CN"/>
        </w:rPr>
        <w:t>Nutr</w:t>
      </w:r>
      <w:proofErr w:type="spellEnd"/>
      <w:r w:rsidRPr="00D07897">
        <w:rPr>
          <w:rFonts w:ascii="Book Antiqua" w:eastAsia="等线" w:hAnsi="Book Antiqua"/>
          <w:kern w:val="2"/>
          <w:lang w:eastAsia="zh-CN"/>
        </w:rPr>
        <w:t xml:space="preserve"> 2002; </w:t>
      </w:r>
      <w:r w:rsidRPr="00D07897">
        <w:rPr>
          <w:rFonts w:ascii="Book Antiqua" w:eastAsia="等线" w:hAnsi="Book Antiqua"/>
          <w:b/>
          <w:kern w:val="2"/>
          <w:lang w:eastAsia="zh-CN"/>
        </w:rPr>
        <w:t>21</w:t>
      </w:r>
      <w:r w:rsidRPr="00D07897">
        <w:rPr>
          <w:rFonts w:ascii="Book Antiqua" w:eastAsia="等线" w:hAnsi="Book Antiqua"/>
          <w:kern w:val="2"/>
          <w:lang w:eastAsia="zh-CN"/>
        </w:rPr>
        <w:t>: 51-57 [PMID: 11884013 DOI: 10.1054/clnu.2001.0503]</w:t>
      </w:r>
    </w:p>
    <w:p w14:paraId="3EC2B1D1" w14:textId="2AEE8914" w:rsidR="00EE37A2" w:rsidRPr="00D07897" w:rsidRDefault="00EE37A2" w:rsidP="00EE37A2">
      <w:pPr>
        <w:widowControl w:val="0"/>
        <w:adjustRightInd w:val="0"/>
        <w:snapToGrid w:val="0"/>
        <w:spacing w:line="360" w:lineRule="auto"/>
        <w:jc w:val="right"/>
        <w:rPr>
          <w:rFonts w:ascii="Book Antiqua" w:eastAsia="宋体" w:hAnsi="Book Antiqua"/>
          <w:color w:val="000000"/>
          <w:kern w:val="2"/>
          <w:lang w:eastAsia="zh-CN"/>
        </w:rPr>
      </w:pPr>
      <w:bookmarkStart w:id="63" w:name="OLE_LINK139"/>
      <w:bookmarkStart w:id="64" w:name="OLE_LINK140"/>
      <w:bookmarkStart w:id="65" w:name="OLE_LINK287"/>
      <w:bookmarkStart w:id="66" w:name="OLE_LINK288"/>
      <w:bookmarkStart w:id="67" w:name="OLE_LINK70"/>
      <w:bookmarkStart w:id="68" w:name="OLE_LINK110"/>
      <w:bookmarkStart w:id="69" w:name="OLE_LINK109"/>
      <w:bookmarkStart w:id="70" w:name="OLE_LINK138"/>
      <w:bookmarkStart w:id="71" w:name="OLE_LINK72"/>
      <w:bookmarkStart w:id="72" w:name="OLE_LINK116"/>
      <w:bookmarkStart w:id="73" w:name="OLE_LINK95"/>
      <w:bookmarkStart w:id="74" w:name="OLE_LINK118"/>
      <w:bookmarkStart w:id="75" w:name="OLE_LINK198"/>
      <w:bookmarkStart w:id="76" w:name="OLE_LINK154"/>
      <w:bookmarkStart w:id="77" w:name="OLE_LINK251"/>
      <w:bookmarkStart w:id="78" w:name="OLE_LINK167"/>
      <w:bookmarkStart w:id="79" w:name="OLE_LINK126"/>
      <w:bookmarkStart w:id="80" w:name="OLE_LINK234"/>
      <w:bookmarkStart w:id="81" w:name="OLE_LINK157"/>
      <w:bookmarkStart w:id="82" w:name="OLE_LINK187"/>
      <w:bookmarkStart w:id="83" w:name="OLE_LINK204"/>
      <w:bookmarkStart w:id="84" w:name="OLE_LINK255"/>
      <w:bookmarkStart w:id="85" w:name="OLE_LINK229"/>
      <w:bookmarkStart w:id="86" w:name="OLE_LINK268"/>
      <w:bookmarkStart w:id="87" w:name="OLE_LINK310"/>
      <w:bookmarkStart w:id="88" w:name="OLE_LINK338"/>
      <w:bookmarkStart w:id="89" w:name="OLE_LINK340"/>
      <w:bookmarkStart w:id="90" w:name="OLE_LINK264"/>
      <w:bookmarkStart w:id="91" w:name="OLE_LINK345"/>
      <w:bookmarkStart w:id="92" w:name="OLE_LINK256"/>
      <w:bookmarkStart w:id="93" w:name="OLE_LINK299"/>
      <w:bookmarkStart w:id="94" w:name="OLE_LINK265"/>
      <w:bookmarkStart w:id="95" w:name="OLE_LINK254"/>
      <w:bookmarkStart w:id="96" w:name="OLE_LINK357"/>
      <w:bookmarkStart w:id="97" w:name="OLE_LINK382"/>
      <w:bookmarkStart w:id="98" w:name="OLE_LINK333"/>
      <w:bookmarkStart w:id="99" w:name="OLE_LINK334"/>
      <w:bookmarkStart w:id="100" w:name="OLE_LINK400"/>
      <w:bookmarkStart w:id="101" w:name="OLE_LINK365"/>
      <w:bookmarkStart w:id="102" w:name="OLE_LINK467"/>
      <w:bookmarkStart w:id="103" w:name="OLE_LINK399"/>
      <w:bookmarkStart w:id="104" w:name="OLE_LINK443"/>
      <w:bookmarkStart w:id="105" w:name="OLE_LINK372"/>
      <w:bookmarkStart w:id="106" w:name="OLE_LINK425"/>
      <w:bookmarkStart w:id="107" w:name="OLE_LINK450"/>
      <w:bookmarkStart w:id="108" w:name="OLE_LINK402"/>
      <w:bookmarkStart w:id="109" w:name="OLE_LINK385"/>
      <w:bookmarkStart w:id="110" w:name="OLE_LINK396"/>
      <w:bookmarkStart w:id="111" w:name="OLE_LINK436"/>
      <w:bookmarkStart w:id="112" w:name="OLE_LINK421"/>
      <w:bookmarkStart w:id="113" w:name="OLE_LINK426"/>
      <w:bookmarkStart w:id="114" w:name="OLE_LINK456"/>
      <w:bookmarkStart w:id="115" w:name="OLE_LINK505"/>
      <w:bookmarkStart w:id="116" w:name="OLE_LINK490"/>
      <w:bookmarkStart w:id="117" w:name="OLE_LINK531"/>
      <w:bookmarkStart w:id="118" w:name="OLE_LINK460"/>
      <w:bookmarkStart w:id="119" w:name="OLE_LINK463"/>
      <w:bookmarkStart w:id="120" w:name="OLE_LINK487"/>
      <w:bookmarkStart w:id="121" w:name="OLE_LINK515"/>
      <w:bookmarkStart w:id="122" w:name="OLE_LINK509"/>
      <w:bookmarkStart w:id="123" w:name="OLE_LINK538"/>
      <w:bookmarkStart w:id="124" w:name="OLE_LINK606"/>
      <w:bookmarkStart w:id="125" w:name="OLE_LINK662"/>
      <w:bookmarkStart w:id="126" w:name="OLE_LINK663"/>
      <w:bookmarkStart w:id="127" w:name="OLE_LINK738"/>
      <w:bookmarkStart w:id="128" w:name="OLE_LINK666"/>
      <w:bookmarkStart w:id="129" w:name="OLE_LINK667"/>
      <w:bookmarkStart w:id="130" w:name="OLE_LINK672"/>
      <w:bookmarkStart w:id="131" w:name="OLE_LINK727"/>
      <w:bookmarkStart w:id="132" w:name="OLE_LINK703"/>
      <w:bookmarkStart w:id="133" w:name="OLE_LINK765"/>
      <w:bookmarkStart w:id="134" w:name="OLE_LINK724"/>
      <w:bookmarkStart w:id="135" w:name="OLE_LINK771"/>
      <w:r w:rsidRPr="00D07897">
        <w:rPr>
          <w:rFonts w:ascii="Book Antiqua" w:eastAsia="宋体" w:hAnsi="Book Antiqua"/>
          <w:b/>
          <w:bCs/>
          <w:color w:val="000000"/>
          <w:kern w:val="2"/>
          <w:lang w:eastAsia="zh-CN"/>
        </w:rPr>
        <w:t>P-Reviewer:</w:t>
      </w:r>
      <w:r w:rsidRPr="00D07897">
        <w:rPr>
          <w:rFonts w:ascii="Book Antiqua" w:eastAsia="宋体" w:hAnsi="Book Antiqua"/>
          <w:bCs/>
          <w:color w:val="000000"/>
          <w:kern w:val="2"/>
          <w:lang w:eastAsia="zh-CN"/>
        </w:rPr>
        <w:t xml:space="preserve"> </w:t>
      </w:r>
      <w:proofErr w:type="spellStart"/>
      <w:r w:rsidRPr="00D07897">
        <w:rPr>
          <w:rFonts w:ascii="Book Antiqua" w:eastAsia="宋体" w:hAnsi="Book Antiqua"/>
          <w:bCs/>
          <w:color w:val="000000"/>
          <w:kern w:val="2"/>
          <w:lang w:eastAsia="zh-CN"/>
        </w:rPr>
        <w:t>Lv</w:t>
      </w:r>
      <w:proofErr w:type="spellEnd"/>
      <w:r w:rsidRPr="00D07897">
        <w:rPr>
          <w:rFonts w:ascii="Book Antiqua" w:eastAsia="宋体" w:hAnsi="Book Antiqua"/>
          <w:bCs/>
          <w:color w:val="000000"/>
          <w:kern w:val="2"/>
          <w:lang w:eastAsia="zh-CN"/>
        </w:rPr>
        <w:t xml:space="preserve"> XP, Rowland M, </w:t>
      </w:r>
      <w:proofErr w:type="gramStart"/>
      <w:r w:rsidRPr="00D07897">
        <w:rPr>
          <w:rFonts w:ascii="Book Antiqua" w:eastAsia="宋体" w:hAnsi="Book Antiqua"/>
          <w:bCs/>
          <w:color w:val="000000"/>
          <w:kern w:val="2"/>
          <w:lang w:eastAsia="zh-CN"/>
        </w:rPr>
        <w:t>Tang</w:t>
      </w:r>
      <w:proofErr w:type="gramEnd"/>
      <w:r w:rsidRPr="00D07897">
        <w:rPr>
          <w:rFonts w:ascii="Book Antiqua" w:eastAsia="宋体" w:hAnsi="Book Antiqua"/>
          <w:bCs/>
          <w:color w:val="000000"/>
          <w:kern w:val="2"/>
          <w:lang w:eastAsia="zh-CN"/>
        </w:rPr>
        <w:t xml:space="preserve"> ZP </w:t>
      </w:r>
      <w:r w:rsidRPr="00D07897">
        <w:rPr>
          <w:rFonts w:ascii="Book Antiqua" w:eastAsia="宋体" w:hAnsi="Book Antiqua"/>
          <w:b/>
          <w:bCs/>
          <w:color w:val="000000"/>
          <w:kern w:val="2"/>
          <w:lang w:eastAsia="zh-CN"/>
        </w:rPr>
        <w:t>S-Editor:</w:t>
      </w:r>
      <w:r w:rsidRPr="00D07897">
        <w:rPr>
          <w:rFonts w:ascii="Book Antiqua" w:eastAsia="宋体" w:hAnsi="Book Antiqua"/>
          <w:color w:val="000000"/>
          <w:kern w:val="2"/>
          <w:lang w:eastAsia="zh-CN"/>
        </w:rPr>
        <w:t xml:space="preserve"> Yan JP</w:t>
      </w:r>
    </w:p>
    <w:p w14:paraId="4E2C80DB" w14:textId="2ED21B0C" w:rsidR="00EE37A2" w:rsidRPr="00D07897" w:rsidRDefault="00D07897" w:rsidP="00EE37A2">
      <w:pPr>
        <w:widowControl w:val="0"/>
        <w:adjustRightInd w:val="0"/>
        <w:snapToGrid w:val="0"/>
        <w:spacing w:line="360" w:lineRule="auto"/>
        <w:jc w:val="right"/>
        <w:rPr>
          <w:rFonts w:ascii="Book Antiqua" w:eastAsia="宋体" w:hAnsi="Book Antiqua"/>
          <w:b/>
          <w:bCs/>
          <w:color w:val="000000"/>
          <w:kern w:val="2"/>
          <w:lang w:eastAsia="zh-CN"/>
        </w:rPr>
      </w:pPr>
      <w:r w:rsidRPr="00A320E1">
        <w:rPr>
          <w:rFonts w:ascii="Book Antiqua" w:eastAsia="宋体" w:hAnsi="Book Antiqua"/>
          <w:b/>
          <w:bCs/>
          <w:color w:val="000000"/>
          <w:kern w:val="2"/>
          <w:lang w:eastAsia="zh-CN"/>
        </w:rPr>
        <w:t>L-Editor:</w:t>
      </w:r>
      <w:r>
        <w:rPr>
          <w:rFonts w:ascii="Book Antiqua" w:eastAsia="宋体" w:hAnsi="Book Antiqua" w:hint="eastAsia"/>
          <w:b/>
          <w:bCs/>
          <w:color w:val="000000"/>
          <w:kern w:val="2"/>
          <w:lang w:eastAsia="zh-CN"/>
        </w:rPr>
        <w:t xml:space="preserve"> </w:t>
      </w:r>
      <w:r w:rsidRPr="00AD38B5">
        <w:rPr>
          <w:rFonts w:ascii="Book Antiqua" w:eastAsia="宋体" w:hAnsi="Book Antiqua" w:hint="eastAsia"/>
          <w:bCs/>
          <w:color w:val="000000"/>
          <w:kern w:val="2"/>
          <w:lang w:eastAsia="zh-CN"/>
        </w:rPr>
        <w:t>A</w:t>
      </w:r>
      <w:r w:rsidRPr="00A320E1">
        <w:rPr>
          <w:rFonts w:ascii="Book Antiqua" w:eastAsia="宋体" w:hAnsi="Book Antiqua"/>
          <w:color w:val="000000"/>
          <w:kern w:val="2"/>
          <w:lang w:eastAsia="zh-CN"/>
        </w:rPr>
        <w:t xml:space="preserve"> </w:t>
      </w:r>
      <w:r w:rsidRPr="00A320E1">
        <w:rPr>
          <w:rFonts w:ascii="Book Antiqua" w:eastAsia="宋体" w:hAnsi="Book Antiqua"/>
          <w:b/>
          <w:bCs/>
          <w:color w:val="000000"/>
          <w:kern w:val="2"/>
          <w:lang w:eastAsia="zh-CN"/>
        </w:rPr>
        <w:t>E-Editor:</w:t>
      </w:r>
      <w:r>
        <w:rPr>
          <w:rFonts w:ascii="Book Antiqua" w:eastAsia="宋体" w:hAnsi="Book Antiqua" w:hint="eastAsia"/>
          <w:b/>
          <w:bCs/>
          <w:color w:val="000000"/>
          <w:kern w:val="2"/>
          <w:lang w:eastAsia="zh-CN"/>
        </w:rPr>
        <w:t xml:space="preserve"> </w:t>
      </w:r>
      <w:r w:rsidRPr="00AD38B5">
        <w:rPr>
          <w:rFonts w:ascii="Book Antiqua" w:eastAsia="宋体" w:hAnsi="Book Antiqua"/>
          <w:bCs/>
          <w:color w:val="000000"/>
          <w:kern w:val="2"/>
          <w:lang w:eastAsia="zh-CN"/>
        </w:rPr>
        <w:t>Zhang YL</w:t>
      </w:r>
      <w:bookmarkStart w:id="136" w:name="_GoBack"/>
      <w:bookmarkEnd w:id="136"/>
    </w:p>
    <w:bookmarkEnd w:id="63"/>
    <w:bookmarkEnd w:id="64"/>
    <w:p w14:paraId="664B4902" w14:textId="548D3545" w:rsidR="001B7C5F" w:rsidRPr="00D07897" w:rsidRDefault="00EE37A2" w:rsidP="00EE37A2">
      <w:pPr>
        <w:spacing w:line="360" w:lineRule="auto"/>
        <w:rPr>
          <w:rFonts w:ascii="Book Antiqua" w:eastAsia="宋体" w:hAnsi="Book Antiqua" w:cs="宋体"/>
          <w:lang w:eastAsia="zh-CN"/>
        </w:rPr>
      </w:pPr>
      <w:r w:rsidRPr="00D07897">
        <w:rPr>
          <w:rFonts w:ascii="Book Antiqua" w:eastAsia="宋体" w:hAnsi="Book Antiqua" w:cs="宋体"/>
          <w:b/>
          <w:lang w:eastAsia="zh-CN"/>
        </w:rPr>
        <w:t xml:space="preserve">Specialty type: </w:t>
      </w:r>
      <w:r w:rsidRPr="00D07897">
        <w:rPr>
          <w:rFonts w:ascii="Book Antiqua" w:eastAsia="微软雅黑" w:hAnsi="Book Antiqua" w:cs="宋体"/>
          <w:lang w:eastAsia="zh-CN"/>
        </w:rPr>
        <w:t>Gastroenterology and hepatology</w:t>
      </w:r>
      <w:r w:rsidRPr="00D07897">
        <w:rPr>
          <w:rFonts w:ascii="Book Antiqua" w:eastAsia="宋体" w:hAnsi="Book Antiqua" w:cs="宋体"/>
          <w:lang w:eastAsia="zh-CN"/>
        </w:rPr>
        <w:t xml:space="preserve"> </w:t>
      </w:r>
      <w:r w:rsidRPr="00D07897">
        <w:rPr>
          <w:rFonts w:ascii="Book Antiqua" w:eastAsia="宋体" w:hAnsi="Book Antiqua" w:cs="宋体"/>
          <w:lang w:eastAsia="zh-CN"/>
        </w:rPr>
        <w:br/>
      </w:r>
      <w:r w:rsidRPr="00D07897">
        <w:rPr>
          <w:rFonts w:ascii="Book Antiqua" w:eastAsia="宋体" w:hAnsi="Book Antiqua" w:cs="宋体"/>
          <w:b/>
          <w:lang w:eastAsia="zh-CN"/>
        </w:rPr>
        <w:t xml:space="preserve">Country of origin: </w:t>
      </w:r>
      <w:r w:rsidRPr="00D07897">
        <w:rPr>
          <w:rFonts w:ascii="Book Antiqua" w:eastAsia="宋体" w:hAnsi="Book Antiqua" w:cs="宋体"/>
          <w:lang w:eastAsia="zh-CN"/>
        </w:rPr>
        <w:t>Canada</w:t>
      </w:r>
      <w:r w:rsidRPr="00D07897">
        <w:rPr>
          <w:rFonts w:ascii="Book Antiqua" w:eastAsia="宋体" w:hAnsi="Book Antiqua" w:cs="宋体"/>
          <w:lang w:eastAsia="zh-CN"/>
        </w:rPr>
        <w:br/>
      </w:r>
      <w:r w:rsidRPr="00D07897">
        <w:rPr>
          <w:rFonts w:ascii="Book Antiqua" w:eastAsia="宋体" w:hAnsi="Book Antiqua" w:cs="宋体"/>
          <w:b/>
          <w:lang w:eastAsia="zh-CN"/>
        </w:rPr>
        <w:t>Peer-review report classification</w:t>
      </w:r>
      <w:r w:rsidRPr="00D07897">
        <w:rPr>
          <w:rFonts w:ascii="Book Antiqua" w:eastAsia="宋体" w:hAnsi="Book Antiqua" w:cs="宋体"/>
          <w:lang w:eastAsia="zh-CN"/>
        </w:rPr>
        <w:br/>
      </w:r>
      <w:r w:rsidRPr="00D07897">
        <w:rPr>
          <w:rFonts w:ascii="Book Antiqua" w:eastAsia="宋体" w:hAnsi="Book Antiqua" w:cs="宋体"/>
          <w:b/>
          <w:lang w:eastAsia="zh-CN"/>
        </w:rPr>
        <w:t xml:space="preserve">Grade A (Excellent): </w:t>
      </w:r>
      <w:r w:rsidRPr="00D07897">
        <w:rPr>
          <w:rFonts w:ascii="Book Antiqua" w:eastAsia="宋体" w:hAnsi="Book Antiqua" w:cs="宋体"/>
          <w:lang w:eastAsia="zh-CN"/>
        </w:rPr>
        <w:t>A</w:t>
      </w:r>
      <w:r w:rsidRPr="00D07897">
        <w:rPr>
          <w:rFonts w:ascii="Book Antiqua" w:eastAsia="宋体" w:hAnsi="Book Antiqua" w:cs="宋体"/>
          <w:lang w:eastAsia="zh-CN"/>
        </w:rPr>
        <w:br/>
      </w:r>
      <w:r w:rsidRPr="00D07897">
        <w:rPr>
          <w:rFonts w:ascii="Book Antiqua" w:eastAsia="宋体" w:hAnsi="Book Antiqua" w:cs="宋体"/>
          <w:b/>
          <w:lang w:eastAsia="zh-CN"/>
        </w:rPr>
        <w:t xml:space="preserve">Grade B (Very good): </w:t>
      </w:r>
      <w:r w:rsidRPr="00D07897">
        <w:rPr>
          <w:rFonts w:ascii="Book Antiqua" w:eastAsia="宋体" w:hAnsi="Book Antiqua" w:cs="宋体"/>
          <w:lang w:eastAsia="zh-CN"/>
        </w:rPr>
        <w:t>B</w:t>
      </w:r>
      <w:r w:rsidRPr="00D07897">
        <w:rPr>
          <w:rFonts w:ascii="Book Antiqua" w:eastAsia="宋体" w:hAnsi="Book Antiqua" w:cs="宋体"/>
          <w:lang w:eastAsia="zh-CN"/>
        </w:rPr>
        <w:br/>
      </w:r>
      <w:r w:rsidRPr="00D07897">
        <w:rPr>
          <w:rFonts w:ascii="Book Antiqua" w:eastAsia="宋体" w:hAnsi="Book Antiqua" w:cs="宋体"/>
          <w:b/>
          <w:lang w:eastAsia="zh-CN"/>
        </w:rPr>
        <w:t xml:space="preserve">Grade C (Good): </w:t>
      </w:r>
      <w:r w:rsidRPr="00D07897">
        <w:rPr>
          <w:rFonts w:ascii="Book Antiqua" w:eastAsia="宋体" w:hAnsi="Book Antiqua" w:cs="宋体"/>
          <w:lang w:eastAsia="zh-CN"/>
        </w:rPr>
        <w:t>0</w:t>
      </w:r>
      <w:r w:rsidRPr="00D07897">
        <w:rPr>
          <w:rFonts w:ascii="Book Antiqua" w:eastAsia="宋体" w:hAnsi="Book Antiqua" w:cs="宋体"/>
          <w:lang w:eastAsia="zh-CN"/>
        </w:rPr>
        <w:br/>
      </w:r>
      <w:r w:rsidRPr="00D07897">
        <w:rPr>
          <w:rFonts w:ascii="Book Antiqua" w:eastAsia="宋体" w:hAnsi="Book Antiqua" w:cs="宋体"/>
          <w:b/>
          <w:lang w:eastAsia="zh-CN"/>
        </w:rPr>
        <w:t xml:space="preserve">Grade D (Fair): </w:t>
      </w:r>
      <w:r w:rsidRPr="00D07897">
        <w:rPr>
          <w:rFonts w:ascii="Book Antiqua" w:eastAsia="宋体" w:hAnsi="Book Antiqua" w:cs="宋体"/>
          <w:lang w:eastAsia="zh-CN"/>
        </w:rPr>
        <w:t>D</w:t>
      </w:r>
      <w:r w:rsidRPr="00D07897">
        <w:rPr>
          <w:rFonts w:ascii="Book Antiqua" w:eastAsia="宋体" w:hAnsi="Book Antiqua" w:cs="宋体"/>
          <w:b/>
          <w:lang w:eastAsia="zh-CN"/>
        </w:rPr>
        <w:br/>
        <w:t xml:space="preserve">Grade E (Poor): </w:t>
      </w:r>
      <w:r w:rsidRPr="00D07897">
        <w:rPr>
          <w:rFonts w:ascii="Book Antiqua" w:eastAsia="宋体" w:hAnsi="Book Antiqua" w:cs="宋体"/>
          <w:lang w:eastAsia="zh-CN"/>
        </w:rPr>
        <w:t>0</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00866243" w:rsidRPr="00D07897">
        <w:rPr>
          <w:rFonts w:ascii="Book Antiqua" w:hAnsi="Book Antiqua" w:cs="Arial"/>
          <w:color w:val="000000" w:themeColor="text1"/>
        </w:rPr>
        <w:fldChar w:fldCharType="begin" w:fldLock="1"/>
      </w:r>
      <w:r w:rsidR="00866243" w:rsidRPr="00D07897">
        <w:rPr>
          <w:rFonts w:ascii="Book Antiqua" w:hAnsi="Book Antiqua" w:cs="Arial"/>
          <w:color w:val="000000" w:themeColor="text1"/>
        </w:rPr>
        <w:instrText xml:space="preserve">ADDIN Mendeley Bibliography CSL_BIBLIOGRAPHY </w:instrText>
      </w:r>
      <w:r w:rsidR="00866243" w:rsidRPr="00D07897">
        <w:rPr>
          <w:rFonts w:ascii="Book Antiqua" w:hAnsi="Book Antiqua" w:cs="Arial"/>
          <w:color w:val="000000" w:themeColor="text1"/>
        </w:rPr>
        <w:fldChar w:fldCharType="separate"/>
      </w:r>
    </w:p>
    <w:p w14:paraId="27E16747" w14:textId="5AFD257F" w:rsidR="00F144CC" w:rsidRPr="00D07897" w:rsidRDefault="00866243" w:rsidP="00F96F15">
      <w:pPr>
        <w:widowControl w:val="0"/>
        <w:autoSpaceDE w:val="0"/>
        <w:autoSpaceDN w:val="0"/>
        <w:adjustRightInd w:val="0"/>
        <w:spacing w:line="360" w:lineRule="auto"/>
        <w:ind w:left="640" w:hanging="640"/>
        <w:jc w:val="both"/>
        <w:rPr>
          <w:rFonts w:ascii="Book Antiqua" w:hAnsi="Book Antiqua" w:cs="Arial"/>
          <w:color w:val="000000" w:themeColor="text1"/>
        </w:rPr>
        <w:sectPr w:rsidR="00F144CC" w:rsidRPr="00D07897" w:rsidSect="009746E9">
          <w:pgSz w:w="12240" w:h="15840"/>
          <w:pgMar w:top="1440" w:right="1800" w:bottom="1440" w:left="1800" w:header="708" w:footer="708" w:gutter="0"/>
          <w:cols w:space="708"/>
          <w:docGrid w:linePitch="360"/>
        </w:sectPr>
      </w:pPr>
      <w:r w:rsidRPr="00D07897">
        <w:rPr>
          <w:rFonts w:ascii="Book Antiqua" w:hAnsi="Book Antiqua" w:cs="Arial"/>
          <w:color w:val="000000" w:themeColor="text1"/>
        </w:rPr>
        <w:fldChar w:fldCharType="end"/>
      </w:r>
    </w:p>
    <w:p w14:paraId="664D5FE7" w14:textId="43B8A2B6" w:rsidR="00222864" w:rsidRPr="00D07897" w:rsidRDefault="00222864" w:rsidP="00F96F15">
      <w:pPr>
        <w:spacing w:line="360" w:lineRule="auto"/>
        <w:jc w:val="both"/>
        <w:rPr>
          <w:rFonts w:ascii="Book Antiqua" w:hAnsi="Book Antiqua" w:cs="Arial"/>
          <w:b/>
          <w:bCs/>
          <w:color w:val="000000" w:themeColor="text1"/>
        </w:rPr>
      </w:pPr>
      <w:bookmarkStart w:id="137" w:name="_Hlk505467705"/>
      <w:r w:rsidRPr="00D07897">
        <w:rPr>
          <w:rFonts w:ascii="Book Antiqua" w:hAnsi="Book Antiqua" w:cs="Arial"/>
          <w:b/>
          <w:bCs/>
          <w:color w:val="000000" w:themeColor="text1"/>
        </w:rPr>
        <w:lastRenderedPageBreak/>
        <w:t xml:space="preserve">Table 1 Demographics of </w:t>
      </w:r>
      <w:r w:rsidR="00384D17" w:rsidRPr="00D07897">
        <w:rPr>
          <w:rFonts w:ascii="Book Antiqua" w:hAnsi="Book Antiqua" w:cs="Arial"/>
          <w:b/>
          <w:bCs/>
          <w:color w:val="000000" w:themeColor="text1"/>
        </w:rPr>
        <w:t>patients with inflammatory bowel disease included in the studies</w:t>
      </w:r>
    </w:p>
    <w:tbl>
      <w:tblPr>
        <w:tblW w:w="5070" w:type="pct"/>
        <w:tblLook w:val="04A0" w:firstRow="1" w:lastRow="0" w:firstColumn="1" w:lastColumn="0" w:noHBand="0" w:noVBand="1"/>
      </w:tblPr>
      <w:tblGrid>
        <w:gridCol w:w="1584"/>
        <w:gridCol w:w="1261"/>
        <w:gridCol w:w="1092"/>
        <w:gridCol w:w="2620"/>
        <w:gridCol w:w="2143"/>
        <w:gridCol w:w="1423"/>
        <w:gridCol w:w="1829"/>
        <w:gridCol w:w="1304"/>
        <w:gridCol w:w="1565"/>
      </w:tblGrid>
      <w:tr w:rsidR="00384D17" w:rsidRPr="00D07897" w14:paraId="1EDDB09F" w14:textId="77777777" w:rsidTr="00384D17">
        <w:trPr>
          <w:trHeight w:val="561"/>
        </w:trPr>
        <w:tc>
          <w:tcPr>
            <w:tcW w:w="534" w:type="pct"/>
            <w:tcBorders>
              <w:top w:val="single" w:sz="4" w:space="0" w:color="auto"/>
              <w:bottom w:val="single" w:sz="4" w:space="0" w:color="auto"/>
            </w:tcBorders>
            <w:shd w:val="clear" w:color="auto" w:fill="auto"/>
          </w:tcPr>
          <w:p w14:paraId="41651236" w14:textId="77777777" w:rsidR="00222864" w:rsidRPr="00D07897" w:rsidRDefault="00222864" w:rsidP="00F96F15">
            <w:pPr>
              <w:spacing w:line="360" w:lineRule="auto"/>
              <w:jc w:val="both"/>
              <w:rPr>
                <w:rFonts w:ascii="Book Antiqua" w:hAnsi="Book Antiqua" w:cs="Arial"/>
                <w:b/>
                <w:color w:val="000000" w:themeColor="text1"/>
                <w:sz w:val="18"/>
                <w:szCs w:val="18"/>
              </w:rPr>
            </w:pPr>
            <w:r w:rsidRPr="00D07897">
              <w:rPr>
                <w:rFonts w:ascii="Book Antiqua" w:hAnsi="Book Antiqua" w:cs="Arial"/>
                <w:b/>
                <w:color w:val="000000" w:themeColor="text1"/>
                <w:sz w:val="18"/>
                <w:szCs w:val="18"/>
              </w:rPr>
              <w:t>Study ID</w:t>
            </w:r>
          </w:p>
        </w:tc>
        <w:tc>
          <w:tcPr>
            <w:tcW w:w="425" w:type="pct"/>
            <w:tcBorders>
              <w:top w:val="single" w:sz="4" w:space="0" w:color="auto"/>
              <w:bottom w:val="single" w:sz="4" w:space="0" w:color="auto"/>
            </w:tcBorders>
            <w:shd w:val="clear" w:color="auto" w:fill="auto"/>
          </w:tcPr>
          <w:p w14:paraId="701420F8" w14:textId="4992349A" w:rsidR="00222864" w:rsidRPr="00D07897" w:rsidRDefault="00222864" w:rsidP="00384D17">
            <w:pPr>
              <w:spacing w:line="360" w:lineRule="auto"/>
              <w:jc w:val="both"/>
              <w:rPr>
                <w:rFonts w:ascii="Book Antiqua" w:hAnsi="Book Antiqua" w:cs="Arial"/>
                <w:b/>
                <w:color w:val="000000" w:themeColor="text1"/>
                <w:sz w:val="18"/>
                <w:szCs w:val="18"/>
              </w:rPr>
            </w:pPr>
            <w:r w:rsidRPr="00D07897">
              <w:rPr>
                <w:rFonts w:ascii="Book Antiqua" w:hAnsi="Book Antiqua" w:cs="Arial"/>
                <w:b/>
                <w:color w:val="000000" w:themeColor="text1"/>
                <w:sz w:val="18"/>
                <w:szCs w:val="18"/>
              </w:rPr>
              <w:t>Total (</w:t>
            </w:r>
            <w:r w:rsidRPr="00D07897">
              <w:rPr>
                <w:rFonts w:ascii="Book Antiqua" w:hAnsi="Book Antiqua" w:cs="Arial"/>
                <w:b/>
                <w:i/>
                <w:iCs/>
                <w:color w:val="000000" w:themeColor="text1"/>
                <w:sz w:val="18"/>
                <w:szCs w:val="18"/>
              </w:rPr>
              <w:t>n</w:t>
            </w:r>
            <w:r w:rsidRPr="00D07897">
              <w:rPr>
                <w:rFonts w:ascii="Book Antiqua" w:hAnsi="Book Antiqua" w:cs="Arial"/>
                <w:b/>
                <w:color w:val="000000" w:themeColor="text1"/>
                <w:sz w:val="18"/>
                <w:szCs w:val="18"/>
              </w:rPr>
              <w:t>)</w:t>
            </w:r>
            <w:r w:rsidR="00384D17" w:rsidRPr="00D07897">
              <w:rPr>
                <w:rFonts w:ascii="Book Antiqua" w:hAnsi="Book Antiqua" w:cs="Arial"/>
                <w:b/>
                <w:color w:val="000000" w:themeColor="text1"/>
                <w:sz w:val="18"/>
                <w:szCs w:val="18"/>
              </w:rPr>
              <w:t xml:space="preserve"> </w:t>
            </w:r>
            <w:r w:rsidRPr="00D07897">
              <w:rPr>
                <w:rFonts w:ascii="Book Antiqua" w:hAnsi="Book Antiqua" w:cs="Arial"/>
                <w:b/>
                <w:color w:val="000000" w:themeColor="text1"/>
                <w:sz w:val="18"/>
                <w:szCs w:val="18"/>
              </w:rPr>
              <w:t>(M:F)</w:t>
            </w:r>
          </w:p>
        </w:tc>
        <w:tc>
          <w:tcPr>
            <w:tcW w:w="368" w:type="pct"/>
            <w:tcBorders>
              <w:top w:val="single" w:sz="4" w:space="0" w:color="auto"/>
              <w:bottom w:val="single" w:sz="4" w:space="0" w:color="auto"/>
            </w:tcBorders>
            <w:shd w:val="clear" w:color="auto" w:fill="auto"/>
          </w:tcPr>
          <w:p w14:paraId="4F41C0DB" w14:textId="77777777" w:rsidR="00222864" w:rsidRPr="00D07897" w:rsidRDefault="00222864" w:rsidP="00F96F15">
            <w:pPr>
              <w:spacing w:line="360" w:lineRule="auto"/>
              <w:jc w:val="both"/>
              <w:rPr>
                <w:rFonts w:ascii="Book Antiqua" w:hAnsi="Book Antiqua" w:cs="Arial"/>
                <w:b/>
                <w:color w:val="000000" w:themeColor="text1"/>
                <w:sz w:val="18"/>
                <w:szCs w:val="18"/>
              </w:rPr>
            </w:pPr>
            <w:r w:rsidRPr="00D07897">
              <w:rPr>
                <w:rFonts w:ascii="Book Antiqua" w:hAnsi="Book Antiqua" w:cs="Arial"/>
                <w:b/>
                <w:color w:val="000000" w:themeColor="text1"/>
                <w:sz w:val="18"/>
                <w:szCs w:val="18"/>
              </w:rPr>
              <w:t>CD:UC:ID (</w:t>
            </w:r>
            <w:r w:rsidRPr="00D07897">
              <w:rPr>
                <w:rFonts w:ascii="Book Antiqua" w:hAnsi="Book Antiqua" w:cs="Arial"/>
                <w:b/>
                <w:i/>
                <w:iCs/>
                <w:color w:val="000000" w:themeColor="text1"/>
                <w:sz w:val="18"/>
                <w:szCs w:val="18"/>
              </w:rPr>
              <w:t>n</w:t>
            </w:r>
            <w:r w:rsidRPr="00D07897">
              <w:rPr>
                <w:rFonts w:ascii="Book Antiqua" w:hAnsi="Book Antiqua" w:cs="Arial"/>
                <w:b/>
                <w:color w:val="000000" w:themeColor="text1"/>
                <w:sz w:val="18"/>
                <w:szCs w:val="18"/>
              </w:rPr>
              <w:t>)</w:t>
            </w:r>
          </w:p>
        </w:tc>
        <w:tc>
          <w:tcPr>
            <w:tcW w:w="884" w:type="pct"/>
            <w:tcBorders>
              <w:top w:val="single" w:sz="4" w:space="0" w:color="auto"/>
              <w:bottom w:val="single" w:sz="4" w:space="0" w:color="auto"/>
            </w:tcBorders>
            <w:shd w:val="clear" w:color="auto" w:fill="auto"/>
          </w:tcPr>
          <w:p w14:paraId="289067A7" w14:textId="5496B88C" w:rsidR="00222864" w:rsidRPr="00D07897" w:rsidRDefault="00222864" w:rsidP="00F96F15">
            <w:pPr>
              <w:spacing w:line="360" w:lineRule="auto"/>
              <w:jc w:val="both"/>
              <w:rPr>
                <w:rFonts w:ascii="Book Antiqua" w:hAnsi="Book Antiqua" w:cs="Arial"/>
                <w:b/>
                <w:color w:val="000000" w:themeColor="text1"/>
                <w:sz w:val="18"/>
                <w:szCs w:val="18"/>
              </w:rPr>
            </w:pPr>
            <w:r w:rsidRPr="00D07897">
              <w:rPr>
                <w:rFonts w:ascii="Book Antiqua" w:hAnsi="Book Antiqua" w:cs="Arial"/>
                <w:b/>
                <w:color w:val="000000" w:themeColor="text1"/>
                <w:sz w:val="18"/>
                <w:szCs w:val="18"/>
              </w:rPr>
              <w:t>Age (</w:t>
            </w:r>
            <w:proofErr w:type="spellStart"/>
            <w:r w:rsidRPr="00D07897">
              <w:rPr>
                <w:rFonts w:ascii="Book Antiqua" w:hAnsi="Book Antiqua" w:cs="Arial"/>
                <w:b/>
                <w:color w:val="000000" w:themeColor="text1"/>
                <w:sz w:val="18"/>
                <w:szCs w:val="18"/>
              </w:rPr>
              <w:t>yr</w:t>
            </w:r>
            <w:proofErr w:type="spellEnd"/>
            <w:r w:rsidRPr="00D07897">
              <w:rPr>
                <w:rFonts w:ascii="Book Antiqua" w:hAnsi="Book Antiqua" w:cs="Arial"/>
                <w:b/>
                <w:color w:val="000000" w:themeColor="text1"/>
                <w:sz w:val="18"/>
                <w:szCs w:val="18"/>
              </w:rPr>
              <w:t>)</w:t>
            </w:r>
          </w:p>
          <w:p w14:paraId="46E54031" w14:textId="77777777" w:rsidR="00222864" w:rsidRPr="00D07897" w:rsidRDefault="00222864" w:rsidP="00F96F15">
            <w:pPr>
              <w:spacing w:line="360" w:lineRule="auto"/>
              <w:jc w:val="both"/>
              <w:rPr>
                <w:rFonts w:ascii="Book Antiqua" w:hAnsi="Book Antiqua" w:cs="Arial"/>
                <w:b/>
                <w:color w:val="000000" w:themeColor="text1"/>
                <w:sz w:val="18"/>
                <w:szCs w:val="18"/>
              </w:rPr>
            </w:pPr>
          </w:p>
        </w:tc>
        <w:tc>
          <w:tcPr>
            <w:tcW w:w="723" w:type="pct"/>
            <w:tcBorders>
              <w:top w:val="single" w:sz="4" w:space="0" w:color="auto"/>
              <w:bottom w:val="single" w:sz="4" w:space="0" w:color="auto"/>
            </w:tcBorders>
            <w:shd w:val="clear" w:color="auto" w:fill="auto"/>
          </w:tcPr>
          <w:p w14:paraId="63DC7F6D" w14:textId="77777777" w:rsidR="00222864" w:rsidRPr="00D07897" w:rsidRDefault="00222864" w:rsidP="00F96F15">
            <w:pPr>
              <w:spacing w:line="360" w:lineRule="auto"/>
              <w:jc w:val="both"/>
              <w:rPr>
                <w:rFonts w:ascii="Book Antiqua" w:hAnsi="Book Antiqua" w:cs="Arial"/>
                <w:b/>
                <w:color w:val="000000" w:themeColor="text1"/>
                <w:sz w:val="18"/>
                <w:szCs w:val="18"/>
              </w:rPr>
            </w:pPr>
            <w:r w:rsidRPr="00D07897">
              <w:rPr>
                <w:rFonts w:ascii="Book Antiqua" w:hAnsi="Book Antiqua" w:cs="Arial"/>
                <w:b/>
                <w:color w:val="000000" w:themeColor="text1"/>
                <w:sz w:val="18"/>
                <w:szCs w:val="18"/>
              </w:rPr>
              <w:t>BMI (kg/m</w:t>
            </w:r>
            <w:r w:rsidRPr="00D07897">
              <w:rPr>
                <w:rFonts w:ascii="Book Antiqua" w:hAnsi="Book Antiqua" w:cs="Arial"/>
                <w:b/>
                <w:color w:val="000000" w:themeColor="text1"/>
                <w:sz w:val="18"/>
                <w:szCs w:val="18"/>
                <w:vertAlign w:val="superscript"/>
              </w:rPr>
              <w:t>2</w:t>
            </w:r>
            <w:r w:rsidRPr="00D07897">
              <w:rPr>
                <w:rFonts w:ascii="Book Antiqua" w:hAnsi="Book Antiqua" w:cs="Arial"/>
                <w:b/>
                <w:color w:val="000000" w:themeColor="text1"/>
                <w:sz w:val="18"/>
                <w:szCs w:val="18"/>
              </w:rPr>
              <w:t xml:space="preserve">) </w:t>
            </w:r>
          </w:p>
        </w:tc>
        <w:tc>
          <w:tcPr>
            <w:tcW w:w="480" w:type="pct"/>
            <w:tcBorders>
              <w:top w:val="single" w:sz="4" w:space="0" w:color="auto"/>
              <w:bottom w:val="single" w:sz="4" w:space="0" w:color="auto"/>
            </w:tcBorders>
            <w:shd w:val="clear" w:color="auto" w:fill="auto"/>
          </w:tcPr>
          <w:p w14:paraId="1D115A75" w14:textId="77777777" w:rsidR="00222864" w:rsidRPr="00D07897" w:rsidRDefault="00222864" w:rsidP="00F96F15">
            <w:pPr>
              <w:spacing w:line="360" w:lineRule="auto"/>
              <w:jc w:val="both"/>
              <w:rPr>
                <w:rFonts w:ascii="Book Antiqua" w:hAnsi="Book Antiqua" w:cs="Arial"/>
                <w:b/>
                <w:color w:val="000000" w:themeColor="text1"/>
                <w:sz w:val="18"/>
                <w:szCs w:val="18"/>
              </w:rPr>
            </w:pPr>
            <w:r w:rsidRPr="00D07897">
              <w:rPr>
                <w:rFonts w:ascii="Book Antiqua" w:hAnsi="Book Antiqua" w:cs="Arial"/>
                <w:b/>
                <w:color w:val="000000" w:themeColor="text1"/>
                <w:sz w:val="18"/>
                <w:szCs w:val="18"/>
              </w:rPr>
              <w:t xml:space="preserve">Steroid </w:t>
            </w:r>
            <w:r w:rsidRPr="00D07897">
              <w:rPr>
                <w:rFonts w:ascii="Book Antiqua" w:hAnsi="Book Antiqua" w:cs="Arial"/>
                <w:b/>
                <w:i/>
                <w:iCs/>
                <w:color w:val="000000" w:themeColor="text1"/>
                <w:sz w:val="18"/>
                <w:szCs w:val="18"/>
              </w:rPr>
              <w:t>n</w:t>
            </w:r>
            <w:r w:rsidRPr="00D07897">
              <w:rPr>
                <w:rFonts w:ascii="Book Antiqua" w:hAnsi="Book Antiqua" w:cs="Arial"/>
                <w:b/>
                <w:color w:val="000000" w:themeColor="text1"/>
                <w:sz w:val="18"/>
                <w:szCs w:val="18"/>
              </w:rPr>
              <w:t xml:space="preserve"> (%)</w:t>
            </w:r>
          </w:p>
        </w:tc>
        <w:tc>
          <w:tcPr>
            <w:tcW w:w="617" w:type="pct"/>
            <w:tcBorders>
              <w:top w:val="single" w:sz="4" w:space="0" w:color="auto"/>
              <w:bottom w:val="single" w:sz="4" w:space="0" w:color="auto"/>
            </w:tcBorders>
            <w:shd w:val="clear" w:color="auto" w:fill="auto"/>
          </w:tcPr>
          <w:p w14:paraId="3DC7F686" w14:textId="77777777" w:rsidR="00222864" w:rsidRPr="00D07897" w:rsidRDefault="00222864" w:rsidP="00F96F15">
            <w:pPr>
              <w:spacing w:line="360" w:lineRule="auto"/>
              <w:jc w:val="both"/>
              <w:rPr>
                <w:rFonts w:ascii="Book Antiqua" w:hAnsi="Book Antiqua" w:cs="Arial"/>
                <w:b/>
                <w:color w:val="000000" w:themeColor="text1"/>
                <w:sz w:val="18"/>
                <w:szCs w:val="18"/>
              </w:rPr>
            </w:pPr>
            <w:r w:rsidRPr="00D07897">
              <w:rPr>
                <w:rFonts w:ascii="Book Antiqua" w:hAnsi="Book Antiqua" w:cs="Arial"/>
                <w:b/>
                <w:color w:val="000000" w:themeColor="text1"/>
                <w:sz w:val="18"/>
                <w:szCs w:val="18"/>
              </w:rPr>
              <w:t xml:space="preserve">Immunomodulator </w:t>
            </w:r>
            <w:r w:rsidRPr="00D07897">
              <w:rPr>
                <w:rFonts w:ascii="Book Antiqua" w:hAnsi="Book Antiqua" w:cs="Arial"/>
                <w:b/>
                <w:i/>
                <w:iCs/>
                <w:color w:val="000000" w:themeColor="text1"/>
                <w:sz w:val="18"/>
                <w:szCs w:val="18"/>
              </w:rPr>
              <w:t>n</w:t>
            </w:r>
            <w:r w:rsidRPr="00D07897">
              <w:rPr>
                <w:rFonts w:ascii="Book Antiqua" w:hAnsi="Book Antiqua" w:cs="Arial"/>
                <w:b/>
                <w:color w:val="000000" w:themeColor="text1"/>
                <w:sz w:val="18"/>
                <w:szCs w:val="18"/>
              </w:rPr>
              <w:t xml:space="preserve"> (%)</w:t>
            </w:r>
          </w:p>
        </w:tc>
        <w:tc>
          <w:tcPr>
            <w:tcW w:w="440" w:type="pct"/>
            <w:tcBorders>
              <w:top w:val="single" w:sz="4" w:space="0" w:color="auto"/>
              <w:bottom w:val="single" w:sz="4" w:space="0" w:color="auto"/>
            </w:tcBorders>
            <w:shd w:val="clear" w:color="auto" w:fill="auto"/>
          </w:tcPr>
          <w:p w14:paraId="3B49391D" w14:textId="77777777" w:rsidR="00222864" w:rsidRPr="00D07897" w:rsidRDefault="00222864" w:rsidP="00F96F15">
            <w:pPr>
              <w:spacing w:line="360" w:lineRule="auto"/>
              <w:jc w:val="both"/>
              <w:rPr>
                <w:rFonts w:ascii="Book Antiqua" w:hAnsi="Book Antiqua" w:cs="Arial"/>
                <w:b/>
                <w:color w:val="000000" w:themeColor="text1"/>
                <w:sz w:val="18"/>
                <w:szCs w:val="18"/>
              </w:rPr>
            </w:pPr>
            <w:r w:rsidRPr="00D07897">
              <w:rPr>
                <w:rFonts w:ascii="Book Antiqua" w:hAnsi="Book Antiqua" w:cs="Arial"/>
                <w:b/>
                <w:color w:val="000000" w:themeColor="text1"/>
                <w:sz w:val="18"/>
                <w:szCs w:val="18"/>
              </w:rPr>
              <w:t xml:space="preserve">Biologics </w:t>
            </w:r>
            <w:r w:rsidRPr="00D07897">
              <w:rPr>
                <w:rFonts w:ascii="Book Antiqua" w:hAnsi="Book Antiqua" w:cs="Arial"/>
                <w:b/>
                <w:i/>
                <w:iCs/>
                <w:color w:val="000000" w:themeColor="text1"/>
                <w:sz w:val="18"/>
                <w:szCs w:val="18"/>
              </w:rPr>
              <w:t>n</w:t>
            </w:r>
            <w:r w:rsidRPr="00D07897">
              <w:rPr>
                <w:rFonts w:ascii="Book Antiqua" w:hAnsi="Book Antiqua" w:cs="Arial"/>
                <w:b/>
                <w:color w:val="000000" w:themeColor="text1"/>
                <w:sz w:val="18"/>
                <w:szCs w:val="18"/>
              </w:rPr>
              <w:t xml:space="preserve"> (%)</w:t>
            </w:r>
          </w:p>
        </w:tc>
        <w:tc>
          <w:tcPr>
            <w:tcW w:w="528" w:type="pct"/>
            <w:tcBorders>
              <w:top w:val="single" w:sz="4" w:space="0" w:color="auto"/>
              <w:bottom w:val="single" w:sz="4" w:space="0" w:color="auto"/>
            </w:tcBorders>
            <w:shd w:val="clear" w:color="auto" w:fill="auto"/>
          </w:tcPr>
          <w:p w14:paraId="0320DD7D" w14:textId="776DDA49" w:rsidR="00222864" w:rsidRPr="00D07897" w:rsidRDefault="00222864" w:rsidP="00F96F15">
            <w:pPr>
              <w:spacing w:line="360" w:lineRule="auto"/>
              <w:jc w:val="both"/>
              <w:rPr>
                <w:rFonts w:ascii="Book Antiqua" w:hAnsi="Book Antiqua" w:cs="Arial"/>
                <w:b/>
                <w:color w:val="000000" w:themeColor="text1"/>
                <w:sz w:val="18"/>
                <w:szCs w:val="18"/>
              </w:rPr>
            </w:pPr>
            <w:r w:rsidRPr="00D07897">
              <w:rPr>
                <w:rFonts w:ascii="Book Antiqua" w:hAnsi="Book Antiqua" w:cs="Arial"/>
                <w:b/>
                <w:color w:val="000000" w:themeColor="text1"/>
                <w:sz w:val="18"/>
                <w:szCs w:val="18"/>
              </w:rPr>
              <w:t xml:space="preserve">Previous </w:t>
            </w:r>
            <w:r w:rsidR="00384D17" w:rsidRPr="00D07897">
              <w:rPr>
                <w:rFonts w:ascii="Book Antiqua" w:hAnsi="Book Antiqua" w:cs="Arial"/>
                <w:b/>
                <w:color w:val="000000" w:themeColor="text1"/>
                <w:sz w:val="18"/>
                <w:szCs w:val="18"/>
              </w:rPr>
              <w:t>r</w:t>
            </w:r>
            <w:r w:rsidRPr="00D07897">
              <w:rPr>
                <w:rFonts w:ascii="Book Antiqua" w:hAnsi="Book Antiqua" w:cs="Arial"/>
                <w:b/>
                <w:color w:val="000000" w:themeColor="text1"/>
                <w:sz w:val="18"/>
                <w:szCs w:val="18"/>
              </w:rPr>
              <w:t xml:space="preserve">esection </w:t>
            </w:r>
            <w:r w:rsidRPr="00D07897">
              <w:rPr>
                <w:rFonts w:ascii="Book Antiqua" w:hAnsi="Book Antiqua" w:cs="Arial"/>
                <w:b/>
                <w:i/>
                <w:iCs/>
                <w:color w:val="000000" w:themeColor="text1"/>
                <w:sz w:val="18"/>
                <w:szCs w:val="18"/>
              </w:rPr>
              <w:t>n</w:t>
            </w:r>
            <w:r w:rsidRPr="00D07897">
              <w:rPr>
                <w:rFonts w:ascii="Book Antiqua" w:hAnsi="Book Antiqua" w:cs="Arial"/>
                <w:b/>
                <w:color w:val="000000" w:themeColor="text1"/>
                <w:sz w:val="18"/>
                <w:szCs w:val="18"/>
              </w:rPr>
              <w:t xml:space="preserve"> (%)</w:t>
            </w:r>
          </w:p>
        </w:tc>
      </w:tr>
      <w:tr w:rsidR="00384D17" w:rsidRPr="00D07897" w14:paraId="1B6CA03A" w14:textId="77777777" w:rsidTr="00384D17">
        <w:tc>
          <w:tcPr>
            <w:tcW w:w="534" w:type="pct"/>
            <w:tcBorders>
              <w:top w:val="single" w:sz="4" w:space="0" w:color="auto"/>
            </w:tcBorders>
            <w:shd w:val="clear" w:color="auto" w:fill="auto"/>
          </w:tcPr>
          <w:p w14:paraId="39CD7DAF" w14:textId="25ADCA6E"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 xml:space="preserve">Adams </w:t>
            </w:r>
            <w:r w:rsidR="00C24200" w:rsidRPr="00D07897">
              <w:rPr>
                <w:rFonts w:ascii="Book Antiqua" w:hAnsi="Book Antiqua" w:cs="Arial"/>
                <w:i/>
                <w:color w:val="000000" w:themeColor="text1"/>
                <w:sz w:val="18"/>
                <w:szCs w:val="18"/>
              </w:rPr>
              <w:t>et al</w:t>
            </w:r>
            <w:r w:rsidRPr="00D07897">
              <w:rPr>
                <w:rFonts w:ascii="Book Antiqua" w:hAnsi="Book Antiqua" w:cs="Arial"/>
                <w:color w:val="000000" w:themeColor="text1"/>
                <w:sz w:val="18"/>
                <w:szCs w:val="18"/>
              </w:rPr>
              <w:fldChar w:fldCharType="begin" w:fldLock="1"/>
            </w:r>
            <w:r w:rsidR="001B7C5F" w:rsidRPr="00D07897">
              <w:rPr>
                <w:rFonts w:ascii="Book Antiqua" w:hAnsi="Book Antiqua" w:cs="Arial"/>
                <w:color w:val="000000" w:themeColor="text1"/>
                <w:sz w:val="18"/>
                <w:szCs w:val="18"/>
              </w:rPr>
              <w:instrText>ADDIN CSL_CITATION {"citationItems":[{"id":"ITEM-1","itemData":{"DOI":"10.1097/MIB.0000000000001128","ISSN":"1536-4844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diseases","id":"ITEM-1","issue":"7","issued":{"date-parts":[["2017","7"]]},"language":"eng","page":"1182-1186","publisher-place":"United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mendeley":{"formattedCitation":"&lt;sup&gt;[33]&lt;/sup&gt;","plainTextFormattedCitation":"[33]","previouslyFormattedCitation":"&lt;sup&gt;[32]&lt;/sup&gt;"},"properties":{"noteIndex":0},"schema":"https://github.com/citation-style-language/schema/raw/master/csl-citation.json"}</w:instrText>
            </w:r>
            <w:r w:rsidRPr="00D07897">
              <w:rPr>
                <w:rFonts w:ascii="Book Antiqua" w:hAnsi="Book Antiqua" w:cs="Arial"/>
                <w:color w:val="000000" w:themeColor="text1"/>
                <w:sz w:val="18"/>
                <w:szCs w:val="18"/>
              </w:rPr>
              <w:fldChar w:fldCharType="separate"/>
            </w:r>
            <w:r w:rsidR="001B7C5F" w:rsidRPr="00D07897">
              <w:rPr>
                <w:rFonts w:ascii="Book Antiqua" w:hAnsi="Book Antiqua" w:cs="Arial"/>
                <w:noProof/>
                <w:color w:val="000000" w:themeColor="text1"/>
                <w:sz w:val="18"/>
                <w:szCs w:val="18"/>
                <w:vertAlign w:val="superscript"/>
              </w:rPr>
              <w:t>[33]</w:t>
            </w:r>
            <w:r w:rsidRPr="00D07897">
              <w:rPr>
                <w:rFonts w:ascii="Book Antiqua" w:hAnsi="Book Antiqua" w:cs="Arial"/>
                <w:color w:val="000000" w:themeColor="text1"/>
                <w:sz w:val="18"/>
                <w:szCs w:val="18"/>
              </w:rPr>
              <w:fldChar w:fldCharType="end"/>
            </w:r>
          </w:p>
        </w:tc>
        <w:tc>
          <w:tcPr>
            <w:tcW w:w="425" w:type="pct"/>
            <w:tcBorders>
              <w:top w:val="single" w:sz="4" w:space="0" w:color="auto"/>
            </w:tcBorders>
            <w:shd w:val="clear" w:color="auto" w:fill="auto"/>
          </w:tcPr>
          <w:p w14:paraId="1FCC3FAA" w14:textId="4C43A419" w:rsidR="00222864" w:rsidRPr="00D07897" w:rsidRDefault="00222864" w:rsidP="00384D17">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90</w:t>
            </w:r>
            <w:r w:rsidR="00384D17" w:rsidRPr="00D07897">
              <w:rPr>
                <w:rFonts w:ascii="Book Antiqua" w:hAnsi="Book Antiqua" w:cs="Arial"/>
                <w:color w:val="000000" w:themeColor="text1"/>
                <w:sz w:val="18"/>
                <w:szCs w:val="18"/>
              </w:rPr>
              <w:t xml:space="preserve"> </w:t>
            </w:r>
            <w:r w:rsidRPr="00D07897">
              <w:rPr>
                <w:rFonts w:ascii="Book Antiqua" w:hAnsi="Book Antiqua" w:cs="Arial"/>
                <w:color w:val="000000" w:themeColor="text1"/>
                <w:sz w:val="18"/>
                <w:szCs w:val="18"/>
              </w:rPr>
              <w:t>(38:52)</w:t>
            </w:r>
          </w:p>
        </w:tc>
        <w:tc>
          <w:tcPr>
            <w:tcW w:w="368" w:type="pct"/>
            <w:tcBorders>
              <w:top w:val="single" w:sz="4" w:space="0" w:color="auto"/>
            </w:tcBorders>
            <w:shd w:val="clear" w:color="auto" w:fill="auto"/>
          </w:tcPr>
          <w:p w14:paraId="79B325A9"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76:14</w:t>
            </w:r>
          </w:p>
        </w:tc>
        <w:tc>
          <w:tcPr>
            <w:tcW w:w="884" w:type="pct"/>
            <w:tcBorders>
              <w:top w:val="single" w:sz="4" w:space="0" w:color="auto"/>
            </w:tcBorders>
            <w:shd w:val="clear" w:color="auto" w:fill="auto"/>
          </w:tcPr>
          <w:p w14:paraId="68B8BA7B"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Median: 35 (26-50)</w:t>
            </w:r>
          </w:p>
        </w:tc>
        <w:tc>
          <w:tcPr>
            <w:tcW w:w="723" w:type="pct"/>
            <w:tcBorders>
              <w:top w:val="single" w:sz="4" w:space="0" w:color="auto"/>
            </w:tcBorders>
            <w:shd w:val="clear" w:color="auto" w:fill="auto"/>
          </w:tcPr>
          <w:p w14:paraId="11D6E4B7"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Median: 22.5</w:t>
            </w:r>
          </w:p>
        </w:tc>
        <w:tc>
          <w:tcPr>
            <w:tcW w:w="480" w:type="pct"/>
            <w:tcBorders>
              <w:top w:val="single" w:sz="4" w:space="0" w:color="auto"/>
            </w:tcBorders>
            <w:shd w:val="clear" w:color="auto" w:fill="auto"/>
          </w:tcPr>
          <w:p w14:paraId="7C1106C3"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30 (33)</w:t>
            </w:r>
          </w:p>
        </w:tc>
        <w:tc>
          <w:tcPr>
            <w:tcW w:w="617" w:type="pct"/>
            <w:tcBorders>
              <w:top w:val="single" w:sz="4" w:space="0" w:color="auto"/>
            </w:tcBorders>
            <w:shd w:val="clear" w:color="auto" w:fill="auto"/>
          </w:tcPr>
          <w:p w14:paraId="343D4F37"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40 (44)</w:t>
            </w:r>
          </w:p>
        </w:tc>
        <w:tc>
          <w:tcPr>
            <w:tcW w:w="440" w:type="pct"/>
            <w:tcBorders>
              <w:top w:val="single" w:sz="4" w:space="0" w:color="auto"/>
            </w:tcBorders>
            <w:shd w:val="clear" w:color="auto" w:fill="auto"/>
          </w:tcPr>
          <w:p w14:paraId="2F14CBDF"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15 (17)</w:t>
            </w:r>
          </w:p>
        </w:tc>
        <w:tc>
          <w:tcPr>
            <w:tcW w:w="528" w:type="pct"/>
            <w:tcBorders>
              <w:top w:val="single" w:sz="4" w:space="0" w:color="auto"/>
            </w:tcBorders>
            <w:shd w:val="clear" w:color="auto" w:fill="auto"/>
          </w:tcPr>
          <w:p w14:paraId="4BDDEA26"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40 (44)</w:t>
            </w:r>
          </w:p>
        </w:tc>
      </w:tr>
      <w:tr w:rsidR="00384D17" w:rsidRPr="00D07897" w14:paraId="6D3301E1" w14:textId="77777777" w:rsidTr="00384D17">
        <w:trPr>
          <w:trHeight w:val="699"/>
        </w:trPr>
        <w:tc>
          <w:tcPr>
            <w:tcW w:w="534" w:type="pct"/>
            <w:shd w:val="clear" w:color="auto" w:fill="auto"/>
          </w:tcPr>
          <w:p w14:paraId="314BA48B" w14:textId="6BFA9F01" w:rsidR="00222864" w:rsidRPr="00D07897" w:rsidRDefault="00222864" w:rsidP="00F96F15">
            <w:pPr>
              <w:spacing w:line="360" w:lineRule="auto"/>
              <w:jc w:val="both"/>
              <w:rPr>
                <w:rFonts w:ascii="Book Antiqua" w:hAnsi="Book Antiqua" w:cs="Arial"/>
                <w:color w:val="000000" w:themeColor="text1"/>
                <w:sz w:val="18"/>
                <w:szCs w:val="18"/>
              </w:rPr>
            </w:pPr>
            <w:proofErr w:type="spellStart"/>
            <w:r w:rsidRPr="00D07897">
              <w:rPr>
                <w:rFonts w:ascii="Book Antiqua" w:hAnsi="Book Antiqua" w:cs="Arial"/>
                <w:color w:val="000000" w:themeColor="text1"/>
                <w:sz w:val="18"/>
                <w:szCs w:val="18"/>
              </w:rPr>
              <w:t>Bamba</w:t>
            </w:r>
            <w:proofErr w:type="spellEnd"/>
            <w:r w:rsidRPr="00D07897">
              <w:rPr>
                <w:rFonts w:ascii="Book Antiqua" w:hAnsi="Book Antiqua" w:cs="Arial"/>
                <w:color w:val="000000" w:themeColor="text1"/>
                <w:sz w:val="18"/>
                <w:szCs w:val="18"/>
              </w:rPr>
              <w:t xml:space="preserve"> </w:t>
            </w:r>
            <w:r w:rsidR="00C24200" w:rsidRPr="00D07897">
              <w:rPr>
                <w:rFonts w:ascii="Book Antiqua" w:hAnsi="Book Antiqua" w:cs="Arial"/>
                <w:i/>
                <w:color w:val="000000" w:themeColor="text1"/>
                <w:sz w:val="18"/>
                <w:szCs w:val="18"/>
              </w:rPr>
              <w:t>et al</w:t>
            </w:r>
            <w:r w:rsidRPr="00D07897">
              <w:rPr>
                <w:rFonts w:ascii="Book Antiqua" w:hAnsi="Book Antiqua" w:cs="Arial"/>
                <w:color w:val="000000" w:themeColor="text1"/>
                <w:sz w:val="18"/>
                <w:szCs w:val="18"/>
              </w:rPr>
              <w:fldChar w:fldCharType="begin" w:fldLock="1"/>
            </w:r>
            <w:r w:rsidR="001B7C5F" w:rsidRPr="00D07897">
              <w:rPr>
                <w:rFonts w:ascii="Book Antiqua" w:hAnsi="Book Antiqua" w:cs="Arial"/>
                <w:color w:val="000000" w:themeColor="text1"/>
                <w:sz w:val="18"/>
                <w:szCs w:val="18"/>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Pr="00D07897">
              <w:rPr>
                <w:rFonts w:ascii="Book Antiqua" w:hAnsi="Book Antiqua" w:cs="Arial"/>
                <w:color w:val="000000" w:themeColor="text1"/>
                <w:sz w:val="18"/>
                <w:szCs w:val="18"/>
              </w:rPr>
              <w:fldChar w:fldCharType="separate"/>
            </w:r>
            <w:r w:rsidR="00596584" w:rsidRPr="00D07897">
              <w:rPr>
                <w:rFonts w:ascii="Book Antiqua" w:hAnsi="Book Antiqua" w:cs="Arial"/>
                <w:noProof/>
                <w:color w:val="000000" w:themeColor="text1"/>
                <w:sz w:val="18"/>
                <w:szCs w:val="18"/>
                <w:vertAlign w:val="superscript"/>
              </w:rPr>
              <w:t>[9]</w:t>
            </w:r>
            <w:r w:rsidRPr="00D07897">
              <w:rPr>
                <w:rFonts w:ascii="Book Antiqua" w:hAnsi="Book Antiqua" w:cs="Arial"/>
                <w:color w:val="000000" w:themeColor="text1"/>
                <w:sz w:val="18"/>
                <w:szCs w:val="18"/>
              </w:rPr>
              <w:fldChar w:fldCharType="end"/>
            </w:r>
          </w:p>
        </w:tc>
        <w:tc>
          <w:tcPr>
            <w:tcW w:w="425" w:type="pct"/>
            <w:shd w:val="clear" w:color="auto" w:fill="auto"/>
          </w:tcPr>
          <w:p w14:paraId="3DF4294F"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72 (52:19)</w:t>
            </w:r>
          </w:p>
        </w:tc>
        <w:tc>
          <w:tcPr>
            <w:tcW w:w="368" w:type="pct"/>
            <w:shd w:val="clear" w:color="auto" w:fill="auto"/>
          </w:tcPr>
          <w:p w14:paraId="5AE19A1C"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43:29</w:t>
            </w:r>
          </w:p>
        </w:tc>
        <w:tc>
          <w:tcPr>
            <w:tcW w:w="884" w:type="pct"/>
            <w:shd w:val="clear" w:color="auto" w:fill="auto"/>
          </w:tcPr>
          <w:p w14:paraId="1BE1F8EB"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UC Median: 39 (28-55)</w:t>
            </w:r>
          </w:p>
          <w:p w14:paraId="4717138E"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CD Median: 29 (25-37)</w:t>
            </w:r>
          </w:p>
        </w:tc>
        <w:tc>
          <w:tcPr>
            <w:tcW w:w="723" w:type="pct"/>
            <w:shd w:val="clear" w:color="auto" w:fill="auto"/>
          </w:tcPr>
          <w:p w14:paraId="5B5613AA"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Median: 19.5</w:t>
            </w:r>
          </w:p>
        </w:tc>
        <w:tc>
          <w:tcPr>
            <w:tcW w:w="480" w:type="pct"/>
            <w:shd w:val="clear" w:color="auto" w:fill="auto"/>
          </w:tcPr>
          <w:p w14:paraId="103D3BE0"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617" w:type="pct"/>
            <w:shd w:val="clear" w:color="auto" w:fill="auto"/>
          </w:tcPr>
          <w:p w14:paraId="182EAF0F"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440" w:type="pct"/>
            <w:shd w:val="clear" w:color="auto" w:fill="auto"/>
          </w:tcPr>
          <w:p w14:paraId="51FE8C25"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528" w:type="pct"/>
            <w:shd w:val="clear" w:color="auto" w:fill="auto"/>
          </w:tcPr>
          <w:p w14:paraId="2D533C09"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25 (35)</w:t>
            </w:r>
          </w:p>
        </w:tc>
      </w:tr>
      <w:tr w:rsidR="00384D17" w:rsidRPr="00D07897" w14:paraId="2AAB1821" w14:textId="77777777" w:rsidTr="00384D17">
        <w:tc>
          <w:tcPr>
            <w:tcW w:w="534" w:type="pct"/>
            <w:shd w:val="clear" w:color="auto" w:fill="auto"/>
          </w:tcPr>
          <w:p w14:paraId="58DC020F" w14:textId="327C9E1C" w:rsidR="00222864" w:rsidRPr="00D07897" w:rsidRDefault="00222864" w:rsidP="00F96F15">
            <w:pPr>
              <w:spacing w:line="360" w:lineRule="auto"/>
              <w:jc w:val="both"/>
              <w:rPr>
                <w:rFonts w:ascii="Book Antiqua" w:hAnsi="Book Antiqua" w:cs="Arial"/>
                <w:color w:val="000000" w:themeColor="text1"/>
                <w:sz w:val="18"/>
                <w:szCs w:val="18"/>
              </w:rPr>
            </w:pPr>
            <w:proofErr w:type="spellStart"/>
            <w:r w:rsidRPr="00D07897">
              <w:rPr>
                <w:rFonts w:ascii="Book Antiqua" w:hAnsi="Book Antiqua" w:cs="Arial"/>
                <w:color w:val="000000" w:themeColor="text1"/>
                <w:sz w:val="18"/>
                <w:szCs w:val="18"/>
              </w:rPr>
              <w:t>Csontos</w:t>
            </w:r>
            <w:proofErr w:type="spellEnd"/>
            <w:r w:rsidRPr="00D07897">
              <w:rPr>
                <w:rFonts w:ascii="Book Antiqua" w:hAnsi="Book Antiqua" w:cs="Arial"/>
                <w:color w:val="000000" w:themeColor="text1"/>
                <w:sz w:val="18"/>
                <w:szCs w:val="18"/>
              </w:rPr>
              <w:t xml:space="preserve"> </w:t>
            </w:r>
            <w:r w:rsidR="00C24200" w:rsidRPr="00D07897">
              <w:rPr>
                <w:rFonts w:ascii="Book Antiqua" w:hAnsi="Book Antiqua" w:cs="Arial"/>
                <w:i/>
                <w:color w:val="000000" w:themeColor="text1"/>
                <w:sz w:val="18"/>
                <w:szCs w:val="18"/>
              </w:rPr>
              <w:t>et al</w:t>
            </w:r>
            <w:r w:rsidRPr="00D07897">
              <w:rPr>
                <w:rFonts w:ascii="Book Antiqua" w:hAnsi="Book Antiqua" w:cs="Arial"/>
                <w:color w:val="000000" w:themeColor="text1"/>
                <w:sz w:val="18"/>
                <w:szCs w:val="18"/>
              </w:rPr>
              <w:fldChar w:fldCharType="begin" w:fldLock="1"/>
            </w:r>
            <w:r w:rsidR="001B7C5F" w:rsidRPr="00D07897">
              <w:rPr>
                <w:rFonts w:ascii="Book Antiqua" w:hAnsi="Book Antiqua" w:cs="Arial"/>
                <w:color w:val="000000" w:themeColor="text1"/>
                <w:sz w:val="18"/>
                <w:szCs w:val="18"/>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mendeley":{"formattedCitation":"&lt;sup&gt;[30]&lt;/sup&gt;","plainTextFormattedCitation":"[30]","previouslyFormattedCitation":"&lt;sup&gt;[29]&lt;/sup&gt;"},"properties":{"noteIndex":0},"schema":"https://github.com/citation-style-language/schema/raw/master/csl-citation.json"}</w:instrText>
            </w:r>
            <w:r w:rsidRPr="00D07897">
              <w:rPr>
                <w:rFonts w:ascii="Book Antiqua" w:hAnsi="Book Antiqua" w:cs="Arial"/>
                <w:color w:val="000000" w:themeColor="text1"/>
                <w:sz w:val="18"/>
                <w:szCs w:val="18"/>
              </w:rPr>
              <w:fldChar w:fldCharType="separate"/>
            </w:r>
            <w:r w:rsidR="001B7C5F" w:rsidRPr="00D07897">
              <w:rPr>
                <w:rFonts w:ascii="Book Antiqua" w:hAnsi="Book Antiqua" w:cs="Arial"/>
                <w:noProof/>
                <w:color w:val="000000" w:themeColor="text1"/>
                <w:sz w:val="18"/>
                <w:szCs w:val="18"/>
                <w:vertAlign w:val="superscript"/>
              </w:rPr>
              <w:t>[30]</w:t>
            </w:r>
            <w:r w:rsidRPr="00D07897">
              <w:rPr>
                <w:rFonts w:ascii="Book Antiqua" w:hAnsi="Book Antiqua" w:cs="Arial"/>
                <w:color w:val="000000" w:themeColor="text1"/>
                <w:sz w:val="18"/>
                <w:szCs w:val="18"/>
              </w:rPr>
              <w:fldChar w:fldCharType="end"/>
            </w:r>
          </w:p>
        </w:tc>
        <w:tc>
          <w:tcPr>
            <w:tcW w:w="425" w:type="pct"/>
            <w:shd w:val="clear" w:color="auto" w:fill="auto"/>
          </w:tcPr>
          <w:p w14:paraId="0B47D3E4"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173 (92:81)</w:t>
            </w:r>
          </w:p>
        </w:tc>
        <w:tc>
          <w:tcPr>
            <w:tcW w:w="368" w:type="pct"/>
            <w:shd w:val="clear" w:color="auto" w:fill="auto"/>
          </w:tcPr>
          <w:p w14:paraId="5D988E85"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126:47</w:t>
            </w:r>
          </w:p>
        </w:tc>
        <w:tc>
          <w:tcPr>
            <w:tcW w:w="884" w:type="pct"/>
            <w:shd w:val="clear" w:color="auto" w:fill="auto"/>
          </w:tcPr>
          <w:p w14:paraId="40A0631A"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Mean: 34.8 ± 12.3</w:t>
            </w:r>
          </w:p>
        </w:tc>
        <w:tc>
          <w:tcPr>
            <w:tcW w:w="723" w:type="pct"/>
            <w:shd w:val="clear" w:color="auto" w:fill="auto"/>
          </w:tcPr>
          <w:p w14:paraId="6406ADAA"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Mean: 23.6</w:t>
            </w:r>
          </w:p>
        </w:tc>
        <w:tc>
          <w:tcPr>
            <w:tcW w:w="480" w:type="pct"/>
            <w:shd w:val="clear" w:color="auto" w:fill="auto"/>
          </w:tcPr>
          <w:p w14:paraId="6F414F10"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617" w:type="pct"/>
            <w:shd w:val="clear" w:color="auto" w:fill="auto"/>
          </w:tcPr>
          <w:p w14:paraId="3782FFC4"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440" w:type="pct"/>
            <w:shd w:val="clear" w:color="auto" w:fill="auto"/>
          </w:tcPr>
          <w:p w14:paraId="379ACBDC"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528" w:type="pct"/>
            <w:shd w:val="clear" w:color="auto" w:fill="auto"/>
          </w:tcPr>
          <w:p w14:paraId="488B7F9A"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r>
      <w:tr w:rsidR="00384D17" w:rsidRPr="00D07897" w14:paraId="1F336977" w14:textId="77777777" w:rsidTr="00384D17">
        <w:trPr>
          <w:trHeight w:val="287"/>
        </w:trPr>
        <w:tc>
          <w:tcPr>
            <w:tcW w:w="534" w:type="pct"/>
            <w:vMerge w:val="restart"/>
            <w:shd w:val="clear" w:color="auto" w:fill="auto"/>
          </w:tcPr>
          <w:p w14:paraId="117E6C1A" w14:textId="4346E93F"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 xml:space="preserve">Cushing </w:t>
            </w:r>
            <w:r w:rsidR="00C24200" w:rsidRPr="00D07897">
              <w:rPr>
                <w:rFonts w:ascii="Book Antiqua" w:hAnsi="Book Antiqua" w:cs="Arial"/>
                <w:i/>
                <w:color w:val="000000" w:themeColor="text1"/>
                <w:sz w:val="18"/>
                <w:szCs w:val="18"/>
              </w:rPr>
              <w:t>et al</w:t>
            </w:r>
            <w:r w:rsidR="007D5C67" w:rsidRPr="00D07897">
              <w:rPr>
                <w:rFonts w:ascii="Book Antiqua" w:hAnsi="Book Antiqua" w:cs="Arial"/>
                <w:color w:val="000000" w:themeColor="text1"/>
                <w:sz w:val="18"/>
                <w:szCs w:val="18"/>
              </w:rPr>
              <w:fldChar w:fldCharType="begin" w:fldLock="1"/>
            </w:r>
            <w:r w:rsidR="001B7C5F" w:rsidRPr="00D07897">
              <w:rPr>
                <w:rFonts w:ascii="Book Antiqua" w:hAnsi="Book Antiqua" w:cs="Arial"/>
                <w:color w:val="000000" w:themeColor="text1"/>
                <w:sz w:val="18"/>
                <w:szCs w:val="18"/>
              </w:rPr>
              <w:instrText>ADDIN CSL_CITATION {"citationItems":[{"id":"ITEM-1","itemData":{"DOI":"10.1093/ecco-jcc/jjy064","ISSN":"1876-4479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colitis","id":"ITEM-1","issued":{"date-parts":[["2018","5"]]},"language":"eng","publisher-place":"England","title":"Sarcopenia is a Novel Predictor of the Need for Rescue Therapy in Hospitalized Ulcerative Colitis Patients.","type":"article-journal"},"uris":["http://www.mendeley.com/documents/?uuid=e255b58f-95e7-489e-b9af-18a0b87f7525"]}],"mendeley":{"formattedCitation":"&lt;sup&gt;[34]&lt;/sup&gt;","plainTextFormattedCitation":"[34]","previouslyFormattedCitation":"&lt;sup&gt;[33]&lt;/sup&gt;"},"properties":{"noteIndex":0},"schema":"https://github.com/citation-style-language/schema/raw/master/csl-citation.json"}</w:instrText>
            </w:r>
            <w:r w:rsidR="007D5C67" w:rsidRPr="00D07897">
              <w:rPr>
                <w:rFonts w:ascii="Book Antiqua" w:hAnsi="Book Antiqua" w:cs="Arial"/>
                <w:color w:val="000000" w:themeColor="text1"/>
                <w:sz w:val="18"/>
                <w:szCs w:val="18"/>
              </w:rPr>
              <w:fldChar w:fldCharType="separate"/>
            </w:r>
            <w:r w:rsidR="001B7C5F" w:rsidRPr="00D07897">
              <w:rPr>
                <w:rFonts w:ascii="Book Antiqua" w:hAnsi="Book Antiqua" w:cs="Arial"/>
                <w:noProof/>
                <w:color w:val="000000" w:themeColor="text1"/>
                <w:sz w:val="18"/>
                <w:szCs w:val="18"/>
                <w:vertAlign w:val="superscript"/>
              </w:rPr>
              <w:t>[34]</w:t>
            </w:r>
            <w:r w:rsidR="007D5C67" w:rsidRPr="00D07897">
              <w:rPr>
                <w:rFonts w:ascii="Book Antiqua" w:hAnsi="Book Antiqua" w:cs="Arial"/>
                <w:color w:val="000000" w:themeColor="text1"/>
                <w:sz w:val="18"/>
                <w:szCs w:val="18"/>
              </w:rPr>
              <w:fldChar w:fldCharType="end"/>
            </w:r>
          </w:p>
        </w:tc>
        <w:tc>
          <w:tcPr>
            <w:tcW w:w="425" w:type="pct"/>
            <w:vMerge w:val="restart"/>
            <w:shd w:val="clear" w:color="auto" w:fill="auto"/>
          </w:tcPr>
          <w:p w14:paraId="3A05DC1E" w14:textId="69396F42"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89 (53:29)</w:t>
            </w:r>
          </w:p>
        </w:tc>
        <w:tc>
          <w:tcPr>
            <w:tcW w:w="368" w:type="pct"/>
            <w:vMerge w:val="restart"/>
            <w:shd w:val="clear" w:color="auto" w:fill="auto"/>
          </w:tcPr>
          <w:p w14:paraId="0DDA327F" w14:textId="181CD3AF" w:rsidR="00F84141" w:rsidRPr="00D07897" w:rsidRDefault="0052323B"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0:</w:t>
            </w:r>
            <w:r w:rsidR="00F84141" w:rsidRPr="00D07897">
              <w:rPr>
                <w:rFonts w:ascii="Book Antiqua" w:hAnsi="Book Antiqua" w:cs="Arial"/>
                <w:color w:val="000000" w:themeColor="text1"/>
                <w:sz w:val="18"/>
                <w:szCs w:val="18"/>
              </w:rPr>
              <w:t>89</w:t>
            </w:r>
          </w:p>
        </w:tc>
        <w:tc>
          <w:tcPr>
            <w:tcW w:w="884" w:type="pct"/>
            <w:vMerge w:val="restart"/>
            <w:shd w:val="clear" w:color="auto" w:fill="auto"/>
          </w:tcPr>
          <w:p w14:paraId="06CFE7CA" w14:textId="39BA7D29"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 xml:space="preserve">Mean: 43 (9 – 86) </w:t>
            </w:r>
          </w:p>
        </w:tc>
        <w:tc>
          <w:tcPr>
            <w:tcW w:w="723" w:type="pct"/>
            <w:shd w:val="clear" w:color="auto" w:fill="auto"/>
          </w:tcPr>
          <w:p w14:paraId="70FBE5F4" w14:textId="469291AE"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Non-sarcopenic: 26 ± 8</w:t>
            </w:r>
          </w:p>
        </w:tc>
        <w:tc>
          <w:tcPr>
            <w:tcW w:w="480" w:type="pct"/>
            <w:vMerge w:val="restart"/>
            <w:shd w:val="clear" w:color="auto" w:fill="auto"/>
          </w:tcPr>
          <w:p w14:paraId="0AB1BCFA" w14:textId="750E15E3"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617" w:type="pct"/>
            <w:vMerge w:val="restart"/>
            <w:shd w:val="clear" w:color="auto" w:fill="auto"/>
          </w:tcPr>
          <w:p w14:paraId="5FAB75B2" w14:textId="0297B62D"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33 (37)</w:t>
            </w:r>
          </w:p>
        </w:tc>
        <w:tc>
          <w:tcPr>
            <w:tcW w:w="440" w:type="pct"/>
            <w:vMerge w:val="restart"/>
            <w:shd w:val="clear" w:color="auto" w:fill="auto"/>
          </w:tcPr>
          <w:p w14:paraId="4FCF1451" w14:textId="3F3C44AC"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26 (29)</w:t>
            </w:r>
          </w:p>
        </w:tc>
        <w:tc>
          <w:tcPr>
            <w:tcW w:w="528" w:type="pct"/>
            <w:vMerge w:val="restart"/>
            <w:shd w:val="clear" w:color="auto" w:fill="auto"/>
          </w:tcPr>
          <w:p w14:paraId="564B3B6B" w14:textId="0623554D"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r>
      <w:tr w:rsidR="00384D17" w:rsidRPr="00D07897" w14:paraId="2240D224" w14:textId="77777777" w:rsidTr="00384D17">
        <w:trPr>
          <w:trHeight w:val="286"/>
        </w:trPr>
        <w:tc>
          <w:tcPr>
            <w:tcW w:w="534" w:type="pct"/>
            <w:vMerge/>
            <w:shd w:val="clear" w:color="auto" w:fill="auto"/>
          </w:tcPr>
          <w:p w14:paraId="4758D527" w14:textId="77777777" w:rsidR="00F84141" w:rsidRPr="00D07897" w:rsidRDefault="00F84141" w:rsidP="00F96F15">
            <w:pPr>
              <w:spacing w:line="360" w:lineRule="auto"/>
              <w:jc w:val="both"/>
              <w:rPr>
                <w:rFonts w:ascii="Book Antiqua" w:hAnsi="Book Antiqua" w:cs="Arial"/>
                <w:color w:val="000000" w:themeColor="text1"/>
                <w:sz w:val="18"/>
                <w:szCs w:val="18"/>
              </w:rPr>
            </w:pPr>
          </w:p>
        </w:tc>
        <w:tc>
          <w:tcPr>
            <w:tcW w:w="425" w:type="pct"/>
            <w:vMerge/>
            <w:shd w:val="clear" w:color="auto" w:fill="auto"/>
          </w:tcPr>
          <w:p w14:paraId="35F625BD" w14:textId="77777777" w:rsidR="00F84141" w:rsidRPr="00D07897" w:rsidRDefault="00F84141" w:rsidP="00F96F15">
            <w:pPr>
              <w:spacing w:line="360" w:lineRule="auto"/>
              <w:jc w:val="both"/>
              <w:rPr>
                <w:rFonts w:ascii="Book Antiqua" w:hAnsi="Book Antiqua" w:cs="Arial"/>
                <w:color w:val="000000" w:themeColor="text1"/>
                <w:sz w:val="18"/>
                <w:szCs w:val="18"/>
              </w:rPr>
            </w:pPr>
          </w:p>
        </w:tc>
        <w:tc>
          <w:tcPr>
            <w:tcW w:w="368" w:type="pct"/>
            <w:vMerge/>
            <w:shd w:val="clear" w:color="auto" w:fill="auto"/>
          </w:tcPr>
          <w:p w14:paraId="3F12A511" w14:textId="77777777" w:rsidR="00F84141" w:rsidRPr="00D07897" w:rsidRDefault="00F84141" w:rsidP="00F96F15">
            <w:pPr>
              <w:spacing w:line="360" w:lineRule="auto"/>
              <w:jc w:val="both"/>
              <w:rPr>
                <w:rFonts w:ascii="Book Antiqua" w:hAnsi="Book Antiqua" w:cs="Arial"/>
                <w:color w:val="000000" w:themeColor="text1"/>
                <w:sz w:val="18"/>
                <w:szCs w:val="18"/>
              </w:rPr>
            </w:pPr>
          </w:p>
        </w:tc>
        <w:tc>
          <w:tcPr>
            <w:tcW w:w="884" w:type="pct"/>
            <w:vMerge/>
            <w:shd w:val="clear" w:color="auto" w:fill="auto"/>
          </w:tcPr>
          <w:p w14:paraId="49535C1C" w14:textId="77777777" w:rsidR="00F84141" w:rsidRPr="00D07897" w:rsidRDefault="00F84141" w:rsidP="00F96F15">
            <w:pPr>
              <w:spacing w:line="360" w:lineRule="auto"/>
              <w:jc w:val="both"/>
              <w:rPr>
                <w:rFonts w:ascii="Book Antiqua" w:hAnsi="Book Antiqua" w:cs="Arial"/>
                <w:color w:val="000000" w:themeColor="text1"/>
                <w:sz w:val="18"/>
                <w:szCs w:val="18"/>
              </w:rPr>
            </w:pPr>
          </w:p>
        </w:tc>
        <w:tc>
          <w:tcPr>
            <w:tcW w:w="723" w:type="pct"/>
            <w:shd w:val="clear" w:color="auto" w:fill="auto"/>
          </w:tcPr>
          <w:p w14:paraId="1E017D55" w14:textId="46102952"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Sarcopenic: 23 ± 6</w:t>
            </w:r>
          </w:p>
        </w:tc>
        <w:tc>
          <w:tcPr>
            <w:tcW w:w="480" w:type="pct"/>
            <w:vMerge/>
            <w:shd w:val="clear" w:color="auto" w:fill="auto"/>
          </w:tcPr>
          <w:p w14:paraId="3A31F395" w14:textId="77777777" w:rsidR="00F84141" w:rsidRPr="00D07897" w:rsidRDefault="00F84141" w:rsidP="00F96F15">
            <w:pPr>
              <w:spacing w:line="360" w:lineRule="auto"/>
              <w:jc w:val="both"/>
              <w:rPr>
                <w:rFonts w:ascii="Book Antiqua" w:hAnsi="Book Antiqua" w:cs="Arial"/>
                <w:color w:val="000000" w:themeColor="text1"/>
                <w:sz w:val="18"/>
                <w:szCs w:val="18"/>
              </w:rPr>
            </w:pPr>
          </w:p>
        </w:tc>
        <w:tc>
          <w:tcPr>
            <w:tcW w:w="617" w:type="pct"/>
            <w:vMerge/>
            <w:shd w:val="clear" w:color="auto" w:fill="auto"/>
          </w:tcPr>
          <w:p w14:paraId="295A5C78" w14:textId="77777777" w:rsidR="00F84141" w:rsidRPr="00D07897" w:rsidRDefault="00F84141" w:rsidP="00F96F15">
            <w:pPr>
              <w:spacing w:line="360" w:lineRule="auto"/>
              <w:jc w:val="both"/>
              <w:rPr>
                <w:rFonts w:ascii="Book Antiqua" w:hAnsi="Book Antiqua" w:cs="Arial"/>
                <w:color w:val="000000" w:themeColor="text1"/>
                <w:sz w:val="18"/>
                <w:szCs w:val="18"/>
              </w:rPr>
            </w:pPr>
          </w:p>
        </w:tc>
        <w:tc>
          <w:tcPr>
            <w:tcW w:w="440" w:type="pct"/>
            <w:vMerge/>
            <w:shd w:val="clear" w:color="auto" w:fill="auto"/>
          </w:tcPr>
          <w:p w14:paraId="0A9A2A0F" w14:textId="77777777" w:rsidR="00F84141" w:rsidRPr="00D07897" w:rsidRDefault="00F84141" w:rsidP="00F96F15">
            <w:pPr>
              <w:spacing w:line="360" w:lineRule="auto"/>
              <w:jc w:val="both"/>
              <w:rPr>
                <w:rFonts w:ascii="Book Antiqua" w:hAnsi="Book Antiqua" w:cs="Arial"/>
                <w:color w:val="000000" w:themeColor="text1"/>
                <w:sz w:val="18"/>
                <w:szCs w:val="18"/>
              </w:rPr>
            </w:pPr>
          </w:p>
        </w:tc>
        <w:tc>
          <w:tcPr>
            <w:tcW w:w="528" w:type="pct"/>
            <w:vMerge/>
            <w:shd w:val="clear" w:color="auto" w:fill="auto"/>
          </w:tcPr>
          <w:p w14:paraId="574C3958" w14:textId="77777777" w:rsidR="00F84141" w:rsidRPr="00D07897" w:rsidRDefault="00F84141" w:rsidP="00F96F15">
            <w:pPr>
              <w:spacing w:line="360" w:lineRule="auto"/>
              <w:jc w:val="both"/>
              <w:rPr>
                <w:rFonts w:ascii="Book Antiqua" w:hAnsi="Book Antiqua" w:cs="Arial"/>
                <w:color w:val="000000" w:themeColor="text1"/>
                <w:sz w:val="18"/>
                <w:szCs w:val="18"/>
              </w:rPr>
            </w:pPr>
          </w:p>
        </w:tc>
      </w:tr>
      <w:tr w:rsidR="00384D17" w:rsidRPr="00D07897" w14:paraId="34A380AD" w14:textId="77777777" w:rsidTr="00384D17">
        <w:tc>
          <w:tcPr>
            <w:tcW w:w="534" w:type="pct"/>
            <w:shd w:val="clear" w:color="auto" w:fill="auto"/>
          </w:tcPr>
          <w:p w14:paraId="6835E6EF" w14:textId="767117A9"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 xml:space="preserve">Fujikawa </w:t>
            </w:r>
            <w:r w:rsidR="00C24200" w:rsidRPr="00D07897">
              <w:rPr>
                <w:rFonts w:ascii="Book Antiqua" w:hAnsi="Book Antiqua" w:cs="Arial"/>
                <w:i/>
                <w:color w:val="000000" w:themeColor="text1"/>
                <w:sz w:val="18"/>
                <w:szCs w:val="18"/>
              </w:rPr>
              <w:t>et al</w:t>
            </w:r>
            <w:r w:rsidR="007D5C67" w:rsidRPr="00D07897">
              <w:rPr>
                <w:rFonts w:ascii="Book Antiqua" w:hAnsi="Book Antiqua" w:cs="Arial"/>
                <w:color w:val="000000" w:themeColor="text1"/>
                <w:sz w:val="18"/>
                <w:szCs w:val="18"/>
              </w:rPr>
              <w:fldChar w:fldCharType="begin" w:fldLock="1"/>
            </w:r>
            <w:r w:rsidR="001B7C5F" w:rsidRPr="00D07897">
              <w:rPr>
                <w:rFonts w:ascii="Book Antiqua" w:hAnsi="Book Antiqua" w:cs="Arial"/>
                <w:color w:val="000000" w:themeColor="text1"/>
                <w:sz w:val="18"/>
                <w:szCs w:val="18"/>
              </w:rPr>
              <w:instrText>ADDIN CSL_CITATION {"citationItems":[{"id":"ITEM-1","itemData":{"DOI":"10.1007/s00595-016-1357-x","ISSN":"1436-2813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today","id":"ITEM-1","issue":"1","issued":{"date-parts":[["2017","1"]]},"language":"eng","page":"92-98","publisher-place":"Japan","title":"Impact of sarcopenia on surgical site infection after restorative proctocolectomy for ulcerative colitis.","type":"article-journal","volume":"47"},"uris":["http://www.mendeley.com/documents/?uuid=a3ecc717-75fe-4b70-b40a-518331ec5a8e"]}],"mendeley":{"formattedCitation":"&lt;sup&gt;[29]&lt;/sup&gt;","plainTextFormattedCitation":"[29]","previouslyFormattedCitation":"&lt;sup&gt;[28]&lt;/sup&gt;"},"properties":{"noteIndex":0},"schema":"https://github.com/citation-style-language/schema/raw/master/csl-citation.json"}</w:instrText>
            </w:r>
            <w:r w:rsidR="007D5C67" w:rsidRPr="00D07897">
              <w:rPr>
                <w:rFonts w:ascii="Book Antiqua" w:hAnsi="Book Antiqua" w:cs="Arial"/>
                <w:color w:val="000000" w:themeColor="text1"/>
                <w:sz w:val="18"/>
                <w:szCs w:val="18"/>
              </w:rPr>
              <w:fldChar w:fldCharType="separate"/>
            </w:r>
            <w:r w:rsidR="001B7C5F" w:rsidRPr="00D07897">
              <w:rPr>
                <w:rFonts w:ascii="Book Antiqua" w:hAnsi="Book Antiqua" w:cs="Arial"/>
                <w:noProof/>
                <w:color w:val="000000" w:themeColor="text1"/>
                <w:sz w:val="18"/>
                <w:szCs w:val="18"/>
                <w:vertAlign w:val="superscript"/>
              </w:rPr>
              <w:t>[29]</w:t>
            </w:r>
            <w:r w:rsidR="007D5C67" w:rsidRPr="00D07897">
              <w:rPr>
                <w:rFonts w:ascii="Book Antiqua" w:hAnsi="Book Antiqua" w:cs="Arial"/>
                <w:color w:val="000000" w:themeColor="text1"/>
                <w:sz w:val="18"/>
                <w:szCs w:val="18"/>
              </w:rPr>
              <w:fldChar w:fldCharType="end"/>
            </w:r>
          </w:p>
        </w:tc>
        <w:tc>
          <w:tcPr>
            <w:tcW w:w="425" w:type="pct"/>
            <w:shd w:val="clear" w:color="auto" w:fill="auto"/>
          </w:tcPr>
          <w:p w14:paraId="76E94240" w14:textId="23D826B4"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69 (45:24)</w:t>
            </w:r>
          </w:p>
        </w:tc>
        <w:tc>
          <w:tcPr>
            <w:tcW w:w="368" w:type="pct"/>
            <w:shd w:val="clear" w:color="auto" w:fill="auto"/>
          </w:tcPr>
          <w:p w14:paraId="6D9F92E0" w14:textId="6EFE04A9"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0:69:0</w:t>
            </w:r>
          </w:p>
        </w:tc>
        <w:tc>
          <w:tcPr>
            <w:tcW w:w="884" w:type="pct"/>
            <w:shd w:val="clear" w:color="auto" w:fill="auto"/>
          </w:tcPr>
          <w:p w14:paraId="1DD27E82" w14:textId="672C6806"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Mean: 39.8 ± 14.4</w:t>
            </w:r>
          </w:p>
        </w:tc>
        <w:tc>
          <w:tcPr>
            <w:tcW w:w="723" w:type="pct"/>
            <w:shd w:val="clear" w:color="auto" w:fill="auto"/>
          </w:tcPr>
          <w:p w14:paraId="2F4C00B1" w14:textId="4F2FDDAA"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Mean: 20.40 ± 3.65</w:t>
            </w:r>
          </w:p>
        </w:tc>
        <w:tc>
          <w:tcPr>
            <w:tcW w:w="480" w:type="pct"/>
            <w:shd w:val="clear" w:color="auto" w:fill="auto"/>
          </w:tcPr>
          <w:p w14:paraId="11C35A60" w14:textId="7A57AB34"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617" w:type="pct"/>
            <w:shd w:val="clear" w:color="auto" w:fill="auto"/>
          </w:tcPr>
          <w:p w14:paraId="0E6EC0B6" w14:textId="104FF20A"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440" w:type="pct"/>
            <w:shd w:val="clear" w:color="auto" w:fill="auto"/>
          </w:tcPr>
          <w:p w14:paraId="49E3C38F" w14:textId="66051EC1"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528" w:type="pct"/>
            <w:shd w:val="clear" w:color="auto" w:fill="auto"/>
          </w:tcPr>
          <w:p w14:paraId="41D21CB1" w14:textId="6D79C9FF" w:rsidR="00F84141" w:rsidRPr="00D07897" w:rsidRDefault="00F8414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r>
      <w:tr w:rsidR="00384D17" w:rsidRPr="00D07897" w14:paraId="70A2ED63" w14:textId="77777777" w:rsidTr="00384D17">
        <w:tc>
          <w:tcPr>
            <w:tcW w:w="534" w:type="pct"/>
            <w:shd w:val="clear" w:color="auto" w:fill="auto"/>
          </w:tcPr>
          <w:p w14:paraId="7022A64E" w14:textId="4605B89A" w:rsidR="00420BA6" w:rsidRPr="00D07897" w:rsidRDefault="00420BA6"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Haskey</w:t>
            </w:r>
            <w:r w:rsidR="00C24200" w:rsidRPr="00D07897">
              <w:rPr>
                <w:rFonts w:ascii="Book Antiqua" w:hAnsi="Book Antiqua" w:cs="Arial"/>
                <w:color w:val="000000" w:themeColor="text1"/>
                <w:sz w:val="18"/>
                <w:szCs w:val="18"/>
              </w:rPr>
              <w:t xml:space="preserve"> </w:t>
            </w:r>
            <w:r w:rsidR="00C24200" w:rsidRPr="00D07897">
              <w:rPr>
                <w:rFonts w:ascii="Book Antiqua" w:hAnsi="Book Antiqua" w:cs="Arial"/>
                <w:i/>
                <w:color w:val="000000" w:themeColor="text1"/>
                <w:sz w:val="18"/>
                <w:szCs w:val="18"/>
              </w:rPr>
              <w:t>et al</w:t>
            </w:r>
            <w:r w:rsidR="007D5C67" w:rsidRPr="00D07897">
              <w:rPr>
                <w:rFonts w:ascii="Book Antiqua" w:hAnsi="Book Antiqua" w:cs="Arial"/>
                <w:color w:val="000000" w:themeColor="text1"/>
                <w:sz w:val="18"/>
                <w:szCs w:val="18"/>
              </w:rPr>
              <w:fldChar w:fldCharType="begin" w:fldLock="1"/>
            </w:r>
            <w:r w:rsidR="001B7C5F" w:rsidRPr="00D07897">
              <w:rPr>
                <w:rFonts w:ascii="Book Antiqua" w:hAnsi="Book Antiqua" w:cs="Arial"/>
                <w:color w:val="000000" w:themeColor="text1"/>
                <w:sz w:val="18"/>
                <w:szCs w:val="18"/>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7D5C67" w:rsidRPr="00D07897">
              <w:rPr>
                <w:rFonts w:ascii="Book Antiqua" w:hAnsi="Book Antiqua" w:cs="Arial"/>
                <w:color w:val="000000" w:themeColor="text1"/>
                <w:sz w:val="18"/>
                <w:szCs w:val="18"/>
              </w:rPr>
              <w:fldChar w:fldCharType="separate"/>
            </w:r>
            <w:r w:rsidR="001B7C5F" w:rsidRPr="00D07897">
              <w:rPr>
                <w:rFonts w:ascii="Book Antiqua" w:hAnsi="Book Antiqua" w:cs="Arial"/>
                <w:noProof/>
                <w:color w:val="000000" w:themeColor="text1"/>
                <w:sz w:val="18"/>
                <w:szCs w:val="18"/>
                <w:vertAlign w:val="superscript"/>
              </w:rPr>
              <w:t>[35]</w:t>
            </w:r>
            <w:r w:rsidR="007D5C67" w:rsidRPr="00D07897">
              <w:rPr>
                <w:rFonts w:ascii="Book Antiqua" w:hAnsi="Book Antiqua" w:cs="Arial"/>
                <w:color w:val="000000" w:themeColor="text1"/>
                <w:sz w:val="18"/>
                <w:szCs w:val="18"/>
              </w:rPr>
              <w:fldChar w:fldCharType="end"/>
            </w:r>
          </w:p>
        </w:tc>
        <w:tc>
          <w:tcPr>
            <w:tcW w:w="425" w:type="pct"/>
            <w:shd w:val="clear" w:color="auto" w:fill="auto"/>
          </w:tcPr>
          <w:p w14:paraId="7C52E3C9" w14:textId="1274D4E7" w:rsidR="00420BA6" w:rsidRPr="00D07897" w:rsidRDefault="00340843"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110 (47:63)</w:t>
            </w:r>
          </w:p>
        </w:tc>
        <w:tc>
          <w:tcPr>
            <w:tcW w:w="368" w:type="pct"/>
            <w:shd w:val="clear" w:color="auto" w:fill="auto"/>
          </w:tcPr>
          <w:p w14:paraId="12F99420" w14:textId="5C73EDBE" w:rsidR="00420BA6" w:rsidRPr="00D07897" w:rsidRDefault="00340843"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75:35</w:t>
            </w:r>
          </w:p>
        </w:tc>
        <w:tc>
          <w:tcPr>
            <w:tcW w:w="884" w:type="pct"/>
            <w:shd w:val="clear" w:color="auto" w:fill="auto"/>
          </w:tcPr>
          <w:p w14:paraId="0BB45E14" w14:textId="009E3494" w:rsidR="00420BA6" w:rsidRPr="00D07897" w:rsidRDefault="00340843"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Mean: 39 ± 15</w:t>
            </w:r>
          </w:p>
        </w:tc>
        <w:tc>
          <w:tcPr>
            <w:tcW w:w="723" w:type="pct"/>
            <w:shd w:val="clear" w:color="auto" w:fill="auto"/>
          </w:tcPr>
          <w:p w14:paraId="2189DF90" w14:textId="2DE66F64" w:rsidR="00420BA6" w:rsidRPr="00D07897" w:rsidRDefault="00340843"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Mean BMI: 26.4 ± 5.8</w:t>
            </w:r>
          </w:p>
        </w:tc>
        <w:tc>
          <w:tcPr>
            <w:tcW w:w="480" w:type="pct"/>
            <w:shd w:val="clear" w:color="auto" w:fill="auto"/>
          </w:tcPr>
          <w:p w14:paraId="415256ED" w14:textId="50072554" w:rsidR="00420BA6" w:rsidRPr="00D07897" w:rsidRDefault="00340843"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5 (4.5)</w:t>
            </w:r>
          </w:p>
        </w:tc>
        <w:tc>
          <w:tcPr>
            <w:tcW w:w="617" w:type="pct"/>
            <w:shd w:val="clear" w:color="auto" w:fill="auto"/>
          </w:tcPr>
          <w:p w14:paraId="0EDDA41B" w14:textId="041B09F4" w:rsidR="00420BA6" w:rsidRPr="00D07897" w:rsidRDefault="00340843"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17 (15.5)</w:t>
            </w:r>
          </w:p>
        </w:tc>
        <w:tc>
          <w:tcPr>
            <w:tcW w:w="440" w:type="pct"/>
            <w:shd w:val="clear" w:color="auto" w:fill="auto"/>
          </w:tcPr>
          <w:p w14:paraId="67ED69C3" w14:textId="414F5EFC" w:rsidR="00420BA6" w:rsidRPr="00D07897" w:rsidRDefault="00340843"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17 (15.5)</w:t>
            </w:r>
          </w:p>
        </w:tc>
        <w:tc>
          <w:tcPr>
            <w:tcW w:w="528" w:type="pct"/>
            <w:shd w:val="clear" w:color="auto" w:fill="auto"/>
          </w:tcPr>
          <w:p w14:paraId="19FF4265" w14:textId="1CFBB9F3" w:rsidR="00420BA6" w:rsidRPr="00D07897" w:rsidRDefault="00340843"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r>
      <w:tr w:rsidR="00384D17" w:rsidRPr="00D07897" w14:paraId="7528A240" w14:textId="77777777" w:rsidTr="00384D17">
        <w:tc>
          <w:tcPr>
            <w:tcW w:w="534" w:type="pct"/>
            <w:shd w:val="clear" w:color="auto" w:fill="auto"/>
          </w:tcPr>
          <w:p w14:paraId="00C97406" w14:textId="2D2A8B7F"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 xml:space="preserve">Holt </w:t>
            </w:r>
            <w:r w:rsidR="00C24200" w:rsidRPr="00D07897">
              <w:rPr>
                <w:rFonts w:ascii="Book Antiqua" w:hAnsi="Book Antiqua" w:cs="Arial"/>
                <w:i/>
                <w:color w:val="000000" w:themeColor="text1"/>
                <w:sz w:val="18"/>
                <w:szCs w:val="18"/>
              </w:rPr>
              <w:t>et al</w:t>
            </w:r>
            <w:r w:rsidRPr="00D07897">
              <w:rPr>
                <w:rFonts w:ascii="Book Antiqua" w:hAnsi="Book Antiqua" w:cs="Arial"/>
                <w:color w:val="000000" w:themeColor="text1"/>
                <w:sz w:val="18"/>
                <w:szCs w:val="18"/>
              </w:rPr>
              <w:fldChar w:fldCharType="begin" w:fldLock="1"/>
            </w:r>
            <w:r w:rsidR="001B7C5F" w:rsidRPr="00D07897">
              <w:rPr>
                <w:rFonts w:ascii="Book Antiqua" w:hAnsi="Book Antiqua" w:cs="Arial"/>
                <w:color w:val="000000" w:themeColor="text1"/>
                <w:sz w:val="18"/>
                <w:szCs w:val="18"/>
              </w:rPr>
              <w:instrText>ADDIN CSL_CITATION {"citationItems":[{"id":"ITEM-1","itemData":{"DOI":"https://dx.doi.org/10.1111/apt.14018","ISSN":"1365-2036","abstract":"BACKGROUND: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therapeutics","id":"ITEM-1","issue":"9","issued":{"date-parts":[["2017"]]},"page":"1255-1264","publisher-place":"England","title":"Visceral adiposity predicts post-operative Crohn's disease recurrence.","type":"article-journal","volume":"45"},"uris":["http://www.mendeley.com/documents/?uuid=2f42bc0f-c075-4ed5-ae3f-d90c75e83b1a"]}],"mendeley":{"formattedCitation":"&lt;sup&gt;[36]&lt;/sup&gt;","plainTextFormattedCitation":"[36]","previouslyFormattedCitation":"&lt;sup&gt;[35]&lt;/sup&gt;"},"properties":{"noteIndex":0},"schema":"https://github.com/citation-style-language/schema/raw/master/csl-citation.json"}</w:instrText>
            </w:r>
            <w:r w:rsidRPr="00D07897">
              <w:rPr>
                <w:rFonts w:ascii="Book Antiqua" w:hAnsi="Book Antiqua" w:cs="Arial"/>
                <w:color w:val="000000" w:themeColor="text1"/>
                <w:sz w:val="18"/>
                <w:szCs w:val="18"/>
              </w:rPr>
              <w:fldChar w:fldCharType="separate"/>
            </w:r>
            <w:r w:rsidR="001B7C5F" w:rsidRPr="00D07897">
              <w:rPr>
                <w:rFonts w:ascii="Book Antiqua" w:hAnsi="Book Antiqua" w:cs="Arial"/>
                <w:noProof/>
                <w:color w:val="000000" w:themeColor="text1"/>
                <w:sz w:val="18"/>
                <w:szCs w:val="18"/>
                <w:vertAlign w:val="superscript"/>
              </w:rPr>
              <w:t>[36]</w:t>
            </w:r>
            <w:r w:rsidRPr="00D07897">
              <w:rPr>
                <w:rFonts w:ascii="Book Antiqua" w:hAnsi="Book Antiqua" w:cs="Arial"/>
                <w:color w:val="000000" w:themeColor="text1"/>
                <w:sz w:val="18"/>
                <w:szCs w:val="18"/>
              </w:rPr>
              <w:fldChar w:fldCharType="end"/>
            </w:r>
          </w:p>
        </w:tc>
        <w:tc>
          <w:tcPr>
            <w:tcW w:w="425" w:type="pct"/>
            <w:shd w:val="clear" w:color="auto" w:fill="auto"/>
          </w:tcPr>
          <w:p w14:paraId="4B74A8FA"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44 (20:24)</w:t>
            </w:r>
          </w:p>
        </w:tc>
        <w:tc>
          <w:tcPr>
            <w:tcW w:w="368" w:type="pct"/>
            <w:shd w:val="clear" w:color="auto" w:fill="auto"/>
          </w:tcPr>
          <w:p w14:paraId="55834B66"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44:0</w:t>
            </w:r>
          </w:p>
        </w:tc>
        <w:tc>
          <w:tcPr>
            <w:tcW w:w="884" w:type="pct"/>
            <w:shd w:val="clear" w:color="auto" w:fill="auto"/>
          </w:tcPr>
          <w:p w14:paraId="28F05F6C"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Mean: 37.8 ± 14.2</w:t>
            </w:r>
          </w:p>
        </w:tc>
        <w:tc>
          <w:tcPr>
            <w:tcW w:w="723" w:type="pct"/>
            <w:shd w:val="clear" w:color="auto" w:fill="auto"/>
          </w:tcPr>
          <w:p w14:paraId="28898422"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Mean: 23.5</w:t>
            </w:r>
          </w:p>
        </w:tc>
        <w:tc>
          <w:tcPr>
            <w:tcW w:w="480" w:type="pct"/>
            <w:shd w:val="clear" w:color="auto" w:fill="auto"/>
          </w:tcPr>
          <w:p w14:paraId="3E9ED448"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20 (45)</w:t>
            </w:r>
          </w:p>
        </w:tc>
        <w:tc>
          <w:tcPr>
            <w:tcW w:w="617" w:type="pct"/>
            <w:shd w:val="clear" w:color="auto" w:fill="auto"/>
          </w:tcPr>
          <w:p w14:paraId="6E42B661"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26 (59)</w:t>
            </w:r>
          </w:p>
        </w:tc>
        <w:tc>
          <w:tcPr>
            <w:tcW w:w="440" w:type="pct"/>
            <w:shd w:val="clear" w:color="auto" w:fill="auto"/>
          </w:tcPr>
          <w:p w14:paraId="105B9A7B"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10 (24)</w:t>
            </w:r>
          </w:p>
        </w:tc>
        <w:tc>
          <w:tcPr>
            <w:tcW w:w="528" w:type="pct"/>
            <w:shd w:val="clear" w:color="auto" w:fill="auto"/>
          </w:tcPr>
          <w:p w14:paraId="2542223F"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44 (100)</w:t>
            </w:r>
          </w:p>
        </w:tc>
      </w:tr>
      <w:tr w:rsidR="00384D17" w:rsidRPr="00D07897" w14:paraId="164018A1" w14:textId="77777777" w:rsidTr="00384D17">
        <w:tc>
          <w:tcPr>
            <w:tcW w:w="534" w:type="pct"/>
            <w:shd w:val="clear" w:color="auto" w:fill="auto"/>
          </w:tcPr>
          <w:p w14:paraId="32E56983" w14:textId="6F95EDF9"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 xml:space="preserve">Jansen </w:t>
            </w:r>
            <w:r w:rsidR="00C24200" w:rsidRPr="00D07897">
              <w:rPr>
                <w:rFonts w:ascii="Book Antiqua" w:hAnsi="Book Antiqua" w:cs="Arial"/>
                <w:i/>
                <w:color w:val="000000" w:themeColor="text1"/>
                <w:sz w:val="18"/>
                <w:szCs w:val="18"/>
              </w:rPr>
              <w:t>et al</w:t>
            </w:r>
            <w:r w:rsidRPr="00D07897">
              <w:rPr>
                <w:rFonts w:ascii="Book Antiqua" w:hAnsi="Book Antiqua" w:cs="Arial"/>
                <w:color w:val="000000" w:themeColor="text1"/>
                <w:sz w:val="18"/>
                <w:szCs w:val="18"/>
              </w:rPr>
              <w:fldChar w:fldCharType="begin" w:fldLock="1"/>
            </w:r>
            <w:r w:rsidR="001B7C5F" w:rsidRPr="00D07897">
              <w:rPr>
                <w:rFonts w:ascii="Book Antiqua" w:hAnsi="Book Antiqua" w:cs="Arial"/>
                <w:color w:val="000000" w:themeColor="text1"/>
                <w:sz w:val="18"/>
                <w:szCs w:val="18"/>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Pr="00D07897">
              <w:rPr>
                <w:rFonts w:ascii="Book Antiqua" w:hAnsi="Book Antiqua" w:cs="Arial"/>
                <w:color w:val="000000" w:themeColor="text1"/>
                <w:sz w:val="18"/>
                <w:szCs w:val="18"/>
              </w:rPr>
              <w:fldChar w:fldCharType="separate"/>
            </w:r>
            <w:r w:rsidR="00596584" w:rsidRPr="00D07897">
              <w:rPr>
                <w:rFonts w:ascii="Book Antiqua" w:hAnsi="Book Antiqua" w:cs="Arial"/>
                <w:noProof/>
                <w:color w:val="000000" w:themeColor="text1"/>
                <w:sz w:val="18"/>
                <w:szCs w:val="18"/>
                <w:vertAlign w:val="superscript"/>
              </w:rPr>
              <w:t>[8]</w:t>
            </w:r>
            <w:r w:rsidRPr="00D07897">
              <w:rPr>
                <w:rFonts w:ascii="Book Antiqua" w:hAnsi="Book Antiqua" w:cs="Arial"/>
                <w:color w:val="000000" w:themeColor="text1"/>
                <w:sz w:val="18"/>
                <w:szCs w:val="18"/>
              </w:rPr>
              <w:fldChar w:fldCharType="end"/>
            </w:r>
          </w:p>
        </w:tc>
        <w:tc>
          <w:tcPr>
            <w:tcW w:w="425" w:type="pct"/>
            <w:shd w:val="clear" w:color="auto" w:fill="auto"/>
          </w:tcPr>
          <w:p w14:paraId="260D8E99"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55 (19:36)</w:t>
            </w:r>
          </w:p>
        </w:tc>
        <w:tc>
          <w:tcPr>
            <w:tcW w:w="368" w:type="pct"/>
            <w:shd w:val="clear" w:color="auto" w:fill="auto"/>
          </w:tcPr>
          <w:p w14:paraId="71244C69"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55:0</w:t>
            </w:r>
          </w:p>
        </w:tc>
        <w:tc>
          <w:tcPr>
            <w:tcW w:w="884" w:type="pct"/>
            <w:shd w:val="clear" w:color="auto" w:fill="auto"/>
          </w:tcPr>
          <w:p w14:paraId="18944744"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Mean: 40 ± 11</w:t>
            </w:r>
          </w:p>
        </w:tc>
        <w:tc>
          <w:tcPr>
            <w:tcW w:w="723" w:type="pct"/>
            <w:shd w:val="clear" w:color="auto" w:fill="auto"/>
          </w:tcPr>
          <w:p w14:paraId="0B7EBD92"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Mean: 24.9</w:t>
            </w:r>
          </w:p>
        </w:tc>
        <w:tc>
          <w:tcPr>
            <w:tcW w:w="480" w:type="pct"/>
            <w:shd w:val="clear" w:color="auto" w:fill="auto"/>
          </w:tcPr>
          <w:p w14:paraId="183B308E"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10 (18)</w:t>
            </w:r>
          </w:p>
        </w:tc>
        <w:tc>
          <w:tcPr>
            <w:tcW w:w="617" w:type="pct"/>
            <w:shd w:val="clear" w:color="auto" w:fill="auto"/>
          </w:tcPr>
          <w:p w14:paraId="31C27900"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31 (56)</w:t>
            </w:r>
          </w:p>
        </w:tc>
        <w:tc>
          <w:tcPr>
            <w:tcW w:w="440" w:type="pct"/>
            <w:shd w:val="clear" w:color="auto" w:fill="auto"/>
          </w:tcPr>
          <w:p w14:paraId="0CA8BE6F"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21 (38)</w:t>
            </w:r>
          </w:p>
        </w:tc>
        <w:tc>
          <w:tcPr>
            <w:tcW w:w="528" w:type="pct"/>
            <w:shd w:val="clear" w:color="auto" w:fill="auto"/>
          </w:tcPr>
          <w:p w14:paraId="409E5C1A"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r>
      <w:tr w:rsidR="00384D17" w:rsidRPr="00D07897" w14:paraId="15B82E24" w14:textId="77777777" w:rsidTr="00384D17">
        <w:tc>
          <w:tcPr>
            <w:tcW w:w="534" w:type="pct"/>
            <w:shd w:val="clear" w:color="auto" w:fill="auto"/>
          </w:tcPr>
          <w:p w14:paraId="33FDA165" w14:textId="0E7C56C2"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 xml:space="preserve">O’Brien </w:t>
            </w:r>
            <w:r w:rsidR="00C24200" w:rsidRPr="00D07897">
              <w:rPr>
                <w:rFonts w:ascii="Book Antiqua" w:hAnsi="Book Antiqua" w:cs="Arial"/>
                <w:i/>
                <w:color w:val="000000" w:themeColor="text1"/>
                <w:sz w:val="18"/>
                <w:szCs w:val="18"/>
              </w:rPr>
              <w:t>et al</w:t>
            </w:r>
            <w:r w:rsidR="007D5C67" w:rsidRPr="00D07897">
              <w:rPr>
                <w:rFonts w:ascii="Book Antiqua" w:hAnsi="Book Antiqua" w:cs="Arial"/>
                <w:color w:val="000000" w:themeColor="text1"/>
                <w:sz w:val="18"/>
                <w:szCs w:val="18"/>
              </w:rPr>
              <w:fldChar w:fldCharType="begin" w:fldLock="1"/>
            </w:r>
            <w:r w:rsidR="001B7C5F" w:rsidRPr="00D07897">
              <w:rPr>
                <w:rFonts w:ascii="Book Antiqua" w:hAnsi="Book Antiqua" w:cs="Arial"/>
                <w:color w:val="000000" w:themeColor="text1"/>
                <w:sz w:val="18"/>
                <w:szCs w:val="18"/>
              </w:rPr>
              <w:instrText>ADDIN CSL_CITATION {"citationItems":[{"id":"ITEM-1","itemData":{"DOI":"10.1186/s41747-018-0072-3","ISSN":"2509-9280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experimental","id":"ITEM-1","issue":"1","issued":{"date-parts":[["2018","11"]]},"language":"eng","page":"37","publisher-place":"England","title":"The impact of sarcopenia and myosteatosis on postoperative outcomes in patients with inflammatory bowel disease.","type":"article-journal","volume":"2"},"uris":["http://www.mendeley.com/documents/?uuid=e0b53979-80b7-49e6-bb0a-439e8ff7d904"]}],"mendeley":{"formattedCitation":"&lt;sup&gt;[31]&lt;/sup&gt;","plainTextFormattedCitation":"[31]","previouslyFormattedCitation":"&lt;sup&gt;[30]&lt;/sup&gt;"},"properties":{"noteIndex":0},"schema":"https://github.com/citation-style-language/schema/raw/master/csl-citation.json"}</w:instrText>
            </w:r>
            <w:r w:rsidR="007D5C67" w:rsidRPr="00D07897">
              <w:rPr>
                <w:rFonts w:ascii="Book Antiqua" w:hAnsi="Book Antiqua" w:cs="Arial"/>
                <w:color w:val="000000" w:themeColor="text1"/>
                <w:sz w:val="18"/>
                <w:szCs w:val="18"/>
              </w:rPr>
              <w:fldChar w:fldCharType="separate"/>
            </w:r>
            <w:r w:rsidR="001B7C5F" w:rsidRPr="00D07897">
              <w:rPr>
                <w:rFonts w:ascii="Book Antiqua" w:hAnsi="Book Antiqua" w:cs="Arial"/>
                <w:noProof/>
                <w:color w:val="000000" w:themeColor="text1"/>
                <w:sz w:val="18"/>
                <w:szCs w:val="18"/>
                <w:vertAlign w:val="superscript"/>
              </w:rPr>
              <w:t>[31]</w:t>
            </w:r>
            <w:r w:rsidR="007D5C67" w:rsidRPr="00D07897">
              <w:rPr>
                <w:rFonts w:ascii="Book Antiqua" w:hAnsi="Book Antiqua" w:cs="Arial"/>
                <w:color w:val="000000" w:themeColor="text1"/>
                <w:sz w:val="18"/>
                <w:szCs w:val="18"/>
              </w:rPr>
              <w:fldChar w:fldCharType="end"/>
            </w:r>
          </w:p>
        </w:tc>
        <w:tc>
          <w:tcPr>
            <w:tcW w:w="425" w:type="pct"/>
            <w:shd w:val="clear" w:color="auto" w:fill="auto"/>
          </w:tcPr>
          <w:p w14:paraId="24256F6B"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77 (46:31)</w:t>
            </w:r>
          </w:p>
        </w:tc>
        <w:tc>
          <w:tcPr>
            <w:tcW w:w="368" w:type="pct"/>
            <w:shd w:val="clear" w:color="auto" w:fill="auto"/>
          </w:tcPr>
          <w:p w14:paraId="4B301989"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52:21:4</w:t>
            </w:r>
          </w:p>
        </w:tc>
        <w:tc>
          <w:tcPr>
            <w:tcW w:w="884" w:type="pct"/>
            <w:shd w:val="clear" w:color="auto" w:fill="auto"/>
          </w:tcPr>
          <w:p w14:paraId="0F50896B"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Median: 42 (20-80)</w:t>
            </w:r>
          </w:p>
        </w:tc>
        <w:tc>
          <w:tcPr>
            <w:tcW w:w="723" w:type="pct"/>
            <w:shd w:val="clear" w:color="auto" w:fill="auto"/>
          </w:tcPr>
          <w:p w14:paraId="1FB48FE3"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Median: 24 (16-37)</w:t>
            </w:r>
          </w:p>
        </w:tc>
        <w:tc>
          <w:tcPr>
            <w:tcW w:w="480" w:type="pct"/>
            <w:shd w:val="clear" w:color="auto" w:fill="auto"/>
          </w:tcPr>
          <w:p w14:paraId="6D00ABEA"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42 (55)</w:t>
            </w:r>
          </w:p>
        </w:tc>
        <w:tc>
          <w:tcPr>
            <w:tcW w:w="617" w:type="pct"/>
            <w:shd w:val="clear" w:color="auto" w:fill="auto"/>
          </w:tcPr>
          <w:p w14:paraId="4DD00F8A"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440" w:type="pct"/>
            <w:shd w:val="clear" w:color="auto" w:fill="auto"/>
          </w:tcPr>
          <w:p w14:paraId="41F111C0"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528" w:type="pct"/>
            <w:shd w:val="clear" w:color="auto" w:fill="auto"/>
          </w:tcPr>
          <w:p w14:paraId="5842CCD0"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r>
      <w:tr w:rsidR="00384D17" w:rsidRPr="00D07897" w14:paraId="01485E71" w14:textId="77777777" w:rsidTr="00384D17">
        <w:tc>
          <w:tcPr>
            <w:tcW w:w="534" w:type="pct"/>
            <w:shd w:val="clear" w:color="auto" w:fill="auto"/>
          </w:tcPr>
          <w:p w14:paraId="55CEE81A" w14:textId="4D66493E"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Peders</w:t>
            </w:r>
            <w:r w:rsidR="00D46EE2" w:rsidRPr="00D07897">
              <w:rPr>
                <w:rFonts w:ascii="Book Antiqua" w:hAnsi="Book Antiqua" w:cs="Arial"/>
                <w:color w:val="000000" w:themeColor="text1"/>
                <w:sz w:val="18"/>
                <w:szCs w:val="18"/>
              </w:rPr>
              <w:t>e</w:t>
            </w:r>
            <w:r w:rsidRPr="00D07897">
              <w:rPr>
                <w:rFonts w:ascii="Book Antiqua" w:hAnsi="Book Antiqua" w:cs="Arial"/>
                <w:color w:val="000000" w:themeColor="text1"/>
                <w:sz w:val="18"/>
                <w:szCs w:val="18"/>
              </w:rPr>
              <w:t xml:space="preserve">n </w:t>
            </w:r>
            <w:r w:rsidR="00C24200" w:rsidRPr="00D07897">
              <w:rPr>
                <w:rFonts w:ascii="Book Antiqua" w:hAnsi="Book Antiqua" w:cs="Arial"/>
                <w:i/>
                <w:color w:val="000000" w:themeColor="text1"/>
                <w:sz w:val="18"/>
                <w:szCs w:val="18"/>
              </w:rPr>
              <w:t>et al</w:t>
            </w:r>
            <w:r w:rsidRPr="00D07897">
              <w:rPr>
                <w:rFonts w:ascii="Book Antiqua" w:hAnsi="Book Antiqua" w:cs="Arial"/>
                <w:color w:val="000000" w:themeColor="text1"/>
                <w:sz w:val="18"/>
                <w:szCs w:val="18"/>
              </w:rPr>
              <w:fldChar w:fldCharType="begin" w:fldLock="1"/>
            </w:r>
            <w:r w:rsidR="001B7C5F" w:rsidRPr="00D07897">
              <w:rPr>
                <w:rFonts w:ascii="Book Antiqua" w:hAnsi="Book Antiqua" w:cs="Arial"/>
                <w:color w:val="000000" w:themeColor="text1"/>
                <w:sz w:val="18"/>
                <w:szCs w:val="18"/>
              </w:rPr>
              <w:instrText>ADDIN CSL_CITATION {"citationItems":[{"id":"ITEM-1","itemData":{"DOI":"10.1097/MIB.0000000000001166","ISSN":"1536-4844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diseases","id":"ITEM-1","issue":"10","issued":{"date-parts":[["2017","10"]]},"language":"eng","page":"1867-1872","publisher-place":"United States","title":"Sarcopenia is a Predictor of Surgical Morbidity in Inflammatory Bowel Disease.","type":"article-journal","volume":"23"},"uris":["http://www.mendeley.com/documents/?uuid=6853f06f-1efd-4924-a01f-3879684bf57f"]}],"mendeley":{"formattedCitation":"&lt;sup&gt;[12]&lt;/sup&gt;","plainTextFormattedCitation":"[12]","previouslyFormattedCitation":"&lt;sup&gt;[12]&lt;/sup&gt;"},"properties":{"noteIndex":0},"schema":"https://github.com/citation-style-language/schema/raw/master/csl-citation.json"}</w:instrText>
            </w:r>
            <w:r w:rsidRPr="00D07897">
              <w:rPr>
                <w:rFonts w:ascii="Book Antiqua" w:hAnsi="Book Antiqua" w:cs="Arial"/>
                <w:color w:val="000000" w:themeColor="text1"/>
                <w:sz w:val="18"/>
                <w:szCs w:val="18"/>
              </w:rPr>
              <w:fldChar w:fldCharType="separate"/>
            </w:r>
            <w:r w:rsidR="00596584" w:rsidRPr="00D07897">
              <w:rPr>
                <w:rFonts w:ascii="Book Antiqua" w:hAnsi="Book Antiqua" w:cs="Arial"/>
                <w:noProof/>
                <w:color w:val="000000" w:themeColor="text1"/>
                <w:sz w:val="18"/>
                <w:szCs w:val="18"/>
                <w:vertAlign w:val="superscript"/>
              </w:rPr>
              <w:t>[12]</w:t>
            </w:r>
            <w:r w:rsidRPr="00D07897">
              <w:rPr>
                <w:rFonts w:ascii="Book Antiqua" w:hAnsi="Book Antiqua" w:cs="Arial"/>
                <w:color w:val="000000" w:themeColor="text1"/>
                <w:sz w:val="18"/>
                <w:szCs w:val="18"/>
              </w:rPr>
              <w:fldChar w:fldCharType="end"/>
            </w:r>
          </w:p>
        </w:tc>
        <w:tc>
          <w:tcPr>
            <w:tcW w:w="425" w:type="pct"/>
            <w:shd w:val="clear" w:color="auto" w:fill="auto"/>
          </w:tcPr>
          <w:p w14:paraId="7DAB2327"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178 (86:92)</w:t>
            </w:r>
          </w:p>
        </w:tc>
        <w:tc>
          <w:tcPr>
            <w:tcW w:w="368" w:type="pct"/>
            <w:shd w:val="clear" w:color="auto" w:fill="auto"/>
          </w:tcPr>
          <w:p w14:paraId="29709D15"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127:51</w:t>
            </w:r>
          </w:p>
        </w:tc>
        <w:tc>
          <w:tcPr>
            <w:tcW w:w="884" w:type="pct"/>
            <w:shd w:val="clear" w:color="auto" w:fill="auto"/>
          </w:tcPr>
          <w:p w14:paraId="604709AA"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Mean: 42.71 (18-86)</w:t>
            </w:r>
          </w:p>
        </w:tc>
        <w:tc>
          <w:tcPr>
            <w:tcW w:w="723" w:type="pct"/>
            <w:shd w:val="clear" w:color="auto" w:fill="auto"/>
          </w:tcPr>
          <w:p w14:paraId="204AB333"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480" w:type="pct"/>
            <w:shd w:val="clear" w:color="auto" w:fill="auto"/>
          </w:tcPr>
          <w:p w14:paraId="6CC96957"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86 (48)</w:t>
            </w:r>
          </w:p>
        </w:tc>
        <w:tc>
          <w:tcPr>
            <w:tcW w:w="617" w:type="pct"/>
            <w:shd w:val="clear" w:color="auto" w:fill="auto"/>
          </w:tcPr>
          <w:p w14:paraId="05DB2931"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63 (35)</w:t>
            </w:r>
          </w:p>
        </w:tc>
        <w:tc>
          <w:tcPr>
            <w:tcW w:w="440" w:type="pct"/>
            <w:shd w:val="clear" w:color="auto" w:fill="auto"/>
          </w:tcPr>
          <w:p w14:paraId="43C7F692"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42 (24)</w:t>
            </w:r>
          </w:p>
        </w:tc>
        <w:tc>
          <w:tcPr>
            <w:tcW w:w="528" w:type="pct"/>
            <w:shd w:val="clear" w:color="auto" w:fill="auto"/>
          </w:tcPr>
          <w:p w14:paraId="694B1A99"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178 (100)</w:t>
            </w:r>
          </w:p>
        </w:tc>
      </w:tr>
      <w:tr w:rsidR="00384D17" w:rsidRPr="00D07897" w14:paraId="3F58767A" w14:textId="77777777" w:rsidTr="00384D17">
        <w:trPr>
          <w:trHeight w:val="500"/>
        </w:trPr>
        <w:tc>
          <w:tcPr>
            <w:tcW w:w="534" w:type="pct"/>
            <w:vMerge w:val="restart"/>
            <w:shd w:val="clear" w:color="auto" w:fill="auto"/>
          </w:tcPr>
          <w:p w14:paraId="505BB605" w14:textId="5AA7F091"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 xml:space="preserve">Sumi </w:t>
            </w:r>
            <w:r w:rsidR="00C24200" w:rsidRPr="00D07897">
              <w:rPr>
                <w:rFonts w:ascii="Book Antiqua" w:hAnsi="Book Antiqua" w:cs="Arial"/>
                <w:i/>
                <w:color w:val="000000" w:themeColor="text1"/>
                <w:sz w:val="18"/>
                <w:szCs w:val="18"/>
              </w:rPr>
              <w:t>et al</w:t>
            </w:r>
            <w:r w:rsidRPr="00D07897">
              <w:rPr>
                <w:rFonts w:ascii="Book Antiqua" w:hAnsi="Book Antiqua" w:cs="Arial"/>
                <w:color w:val="000000" w:themeColor="text1"/>
                <w:sz w:val="18"/>
                <w:szCs w:val="18"/>
              </w:rPr>
              <w:fldChar w:fldCharType="begin" w:fldLock="1"/>
            </w:r>
            <w:r w:rsidR="001B7C5F" w:rsidRPr="00D07897">
              <w:rPr>
                <w:rFonts w:ascii="Book Antiqua" w:hAnsi="Book Antiqua" w:cs="Arial"/>
                <w:color w:val="000000" w:themeColor="text1"/>
                <w:sz w:val="18"/>
                <w:szCs w:val="18"/>
              </w:rPr>
              <w:instrText>ADDIN CSL_CITATION {"citationItems":[{"id":"ITEM-1","itemData":{"DOI":"https://dx.doi.org/10.1007/s00595-015-1257-5","ISSN":"1436-2813","abstract":"PURPOSE: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today","id":"ITEM-1","issue":"8","issued":{"date-parts":[["2016"]]},"page":"922-929","publisher-place":"Japan","title":"Influence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[27]&lt;/sup&gt;","plainTextFormattedCitation":"[27]","previouslyFormattedCitation":"&lt;sup&gt;[26]&lt;/sup&gt;"},"properties":{"noteIndex":0},"schema":"https://github.com/citation-style-language/schema/raw/master/csl-citation.json"}</w:instrText>
            </w:r>
            <w:r w:rsidRPr="00D07897">
              <w:rPr>
                <w:rFonts w:ascii="Book Antiqua" w:hAnsi="Book Antiqua" w:cs="Arial"/>
                <w:color w:val="000000" w:themeColor="text1"/>
                <w:sz w:val="18"/>
                <w:szCs w:val="18"/>
              </w:rPr>
              <w:fldChar w:fldCharType="separate"/>
            </w:r>
            <w:r w:rsidR="001B7C5F" w:rsidRPr="00D07897">
              <w:rPr>
                <w:rFonts w:ascii="Book Antiqua" w:hAnsi="Book Antiqua" w:cs="Arial"/>
                <w:noProof/>
                <w:color w:val="000000" w:themeColor="text1"/>
                <w:sz w:val="18"/>
                <w:szCs w:val="18"/>
                <w:vertAlign w:val="superscript"/>
              </w:rPr>
              <w:t>[27]</w:t>
            </w:r>
            <w:r w:rsidRPr="00D07897">
              <w:rPr>
                <w:rFonts w:ascii="Book Antiqua" w:hAnsi="Book Antiqua" w:cs="Arial"/>
                <w:color w:val="000000" w:themeColor="text1"/>
                <w:sz w:val="18"/>
                <w:szCs w:val="18"/>
              </w:rPr>
              <w:fldChar w:fldCharType="end"/>
            </w:r>
          </w:p>
        </w:tc>
        <w:tc>
          <w:tcPr>
            <w:tcW w:w="425" w:type="pct"/>
            <w:vMerge w:val="restart"/>
            <w:shd w:val="clear" w:color="auto" w:fill="auto"/>
          </w:tcPr>
          <w:p w14:paraId="6962B4A8"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16 (12:4)</w:t>
            </w:r>
          </w:p>
        </w:tc>
        <w:tc>
          <w:tcPr>
            <w:tcW w:w="368" w:type="pct"/>
            <w:vMerge w:val="restart"/>
            <w:shd w:val="clear" w:color="auto" w:fill="auto"/>
          </w:tcPr>
          <w:p w14:paraId="0AB98A58"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16:0</w:t>
            </w:r>
          </w:p>
        </w:tc>
        <w:tc>
          <w:tcPr>
            <w:tcW w:w="884" w:type="pct"/>
            <w:shd w:val="clear" w:color="auto" w:fill="auto"/>
          </w:tcPr>
          <w:p w14:paraId="0AFD085F" w14:textId="6364DA7F"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 xml:space="preserve">Responders </w:t>
            </w:r>
            <w:r w:rsidR="00384D17" w:rsidRPr="00D07897">
              <w:rPr>
                <w:rFonts w:ascii="Book Antiqua" w:hAnsi="Book Antiqua" w:cs="Arial"/>
                <w:color w:val="000000" w:themeColor="text1"/>
                <w:sz w:val="18"/>
                <w:szCs w:val="18"/>
              </w:rPr>
              <w:t>m</w:t>
            </w:r>
            <w:r w:rsidRPr="00D07897">
              <w:rPr>
                <w:rFonts w:ascii="Book Antiqua" w:hAnsi="Book Antiqua" w:cs="Arial"/>
                <w:color w:val="000000" w:themeColor="text1"/>
                <w:sz w:val="18"/>
                <w:szCs w:val="18"/>
              </w:rPr>
              <w:t>edian: 34 (18-68)</w:t>
            </w:r>
          </w:p>
        </w:tc>
        <w:tc>
          <w:tcPr>
            <w:tcW w:w="723" w:type="pct"/>
            <w:shd w:val="clear" w:color="auto" w:fill="auto"/>
          </w:tcPr>
          <w:p w14:paraId="2836D30B" w14:textId="6D935E36"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 xml:space="preserve">Responders </w:t>
            </w:r>
            <w:r w:rsidR="00384D17" w:rsidRPr="00D07897">
              <w:rPr>
                <w:rFonts w:ascii="Book Antiqua" w:hAnsi="Book Antiqua" w:cs="Arial"/>
                <w:color w:val="000000" w:themeColor="text1"/>
                <w:sz w:val="18"/>
                <w:szCs w:val="18"/>
              </w:rPr>
              <w:t>m</w:t>
            </w:r>
            <w:r w:rsidRPr="00D07897">
              <w:rPr>
                <w:rFonts w:ascii="Book Antiqua" w:hAnsi="Book Antiqua" w:cs="Arial"/>
                <w:color w:val="000000" w:themeColor="text1"/>
                <w:sz w:val="18"/>
                <w:szCs w:val="18"/>
              </w:rPr>
              <w:t>edian: 21.7</w:t>
            </w:r>
          </w:p>
        </w:tc>
        <w:tc>
          <w:tcPr>
            <w:tcW w:w="480" w:type="pct"/>
            <w:vMerge w:val="restart"/>
            <w:shd w:val="clear" w:color="auto" w:fill="auto"/>
          </w:tcPr>
          <w:p w14:paraId="5A4B1F1E"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5 (31)</w:t>
            </w:r>
          </w:p>
        </w:tc>
        <w:tc>
          <w:tcPr>
            <w:tcW w:w="617" w:type="pct"/>
            <w:vMerge w:val="restart"/>
            <w:shd w:val="clear" w:color="auto" w:fill="auto"/>
          </w:tcPr>
          <w:p w14:paraId="0EF59EBD"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8 (50)</w:t>
            </w:r>
          </w:p>
        </w:tc>
        <w:tc>
          <w:tcPr>
            <w:tcW w:w="440" w:type="pct"/>
            <w:vMerge w:val="restart"/>
            <w:shd w:val="clear" w:color="auto" w:fill="auto"/>
          </w:tcPr>
          <w:p w14:paraId="7FD76E28"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528" w:type="pct"/>
            <w:vMerge w:val="restart"/>
            <w:shd w:val="clear" w:color="auto" w:fill="auto"/>
          </w:tcPr>
          <w:p w14:paraId="06A9E8E6"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9 (56)</w:t>
            </w:r>
          </w:p>
        </w:tc>
      </w:tr>
      <w:tr w:rsidR="00384D17" w:rsidRPr="00D07897" w14:paraId="13C1BC33" w14:textId="77777777" w:rsidTr="00384D17">
        <w:trPr>
          <w:trHeight w:val="500"/>
        </w:trPr>
        <w:tc>
          <w:tcPr>
            <w:tcW w:w="534" w:type="pct"/>
            <w:vMerge/>
            <w:shd w:val="clear" w:color="auto" w:fill="auto"/>
          </w:tcPr>
          <w:p w14:paraId="3FC605A1" w14:textId="77777777" w:rsidR="00222864" w:rsidRPr="00D07897" w:rsidRDefault="00222864" w:rsidP="00F96F15">
            <w:pPr>
              <w:spacing w:line="360" w:lineRule="auto"/>
              <w:jc w:val="both"/>
              <w:rPr>
                <w:rFonts w:ascii="Book Antiqua" w:hAnsi="Book Antiqua" w:cs="Arial"/>
                <w:color w:val="000000" w:themeColor="text1"/>
                <w:sz w:val="18"/>
                <w:szCs w:val="18"/>
              </w:rPr>
            </w:pPr>
          </w:p>
        </w:tc>
        <w:tc>
          <w:tcPr>
            <w:tcW w:w="425" w:type="pct"/>
            <w:vMerge/>
            <w:shd w:val="clear" w:color="auto" w:fill="auto"/>
          </w:tcPr>
          <w:p w14:paraId="2AD2CD21" w14:textId="77777777" w:rsidR="00222864" w:rsidRPr="00D07897" w:rsidRDefault="00222864" w:rsidP="00F96F15">
            <w:pPr>
              <w:spacing w:line="360" w:lineRule="auto"/>
              <w:jc w:val="both"/>
              <w:rPr>
                <w:rFonts w:ascii="Book Antiqua" w:hAnsi="Book Antiqua" w:cs="Arial"/>
                <w:color w:val="000000" w:themeColor="text1"/>
                <w:sz w:val="18"/>
                <w:szCs w:val="18"/>
              </w:rPr>
            </w:pPr>
          </w:p>
        </w:tc>
        <w:tc>
          <w:tcPr>
            <w:tcW w:w="368" w:type="pct"/>
            <w:vMerge/>
            <w:shd w:val="clear" w:color="auto" w:fill="auto"/>
          </w:tcPr>
          <w:p w14:paraId="74142415" w14:textId="77777777" w:rsidR="00222864" w:rsidRPr="00D07897" w:rsidRDefault="00222864" w:rsidP="00F96F15">
            <w:pPr>
              <w:spacing w:line="360" w:lineRule="auto"/>
              <w:jc w:val="both"/>
              <w:rPr>
                <w:rFonts w:ascii="Book Antiqua" w:hAnsi="Book Antiqua" w:cs="Arial"/>
                <w:color w:val="000000" w:themeColor="text1"/>
                <w:sz w:val="18"/>
                <w:szCs w:val="18"/>
              </w:rPr>
            </w:pPr>
          </w:p>
        </w:tc>
        <w:tc>
          <w:tcPr>
            <w:tcW w:w="884" w:type="pct"/>
            <w:shd w:val="clear" w:color="auto" w:fill="auto"/>
          </w:tcPr>
          <w:p w14:paraId="43B92334" w14:textId="566A87E3"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Non-</w:t>
            </w:r>
            <w:r w:rsidR="00384D17" w:rsidRPr="00D07897">
              <w:rPr>
                <w:rFonts w:ascii="Book Antiqua" w:hAnsi="Book Antiqua" w:cs="Arial"/>
                <w:color w:val="000000" w:themeColor="text1"/>
                <w:sz w:val="18"/>
                <w:szCs w:val="18"/>
              </w:rPr>
              <w:t>r</w:t>
            </w:r>
            <w:r w:rsidRPr="00D07897">
              <w:rPr>
                <w:rFonts w:ascii="Book Antiqua" w:hAnsi="Book Antiqua" w:cs="Arial"/>
                <w:color w:val="000000" w:themeColor="text1"/>
                <w:sz w:val="18"/>
                <w:szCs w:val="18"/>
              </w:rPr>
              <w:t xml:space="preserve">esponders </w:t>
            </w:r>
            <w:r w:rsidR="00384D17" w:rsidRPr="00D07897">
              <w:rPr>
                <w:rFonts w:ascii="Book Antiqua" w:hAnsi="Book Antiqua" w:cs="Arial"/>
                <w:color w:val="000000" w:themeColor="text1"/>
                <w:sz w:val="18"/>
                <w:szCs w:val="18"/>
              </w:rPr>
              <w:t>m</w:t>
            </w:r>
            <w:r w:rsidRPr="00D07897">
              <w:rPr>
                <w:rFonts w:ascii="Book Antiqua" w:hAnsi="Book Antiqua" w:cs="Arial"/>
                <w:color w:val="000000" w:themeColor="text1"/>
                <w:sz w:val="18"/>
                <w:szCs w:val="18"/>
              </w:rPr>
              <w:t>edian: 31 (23-46)</w:t>
            </w:r>
          </w:p>
        </w:tc>
        <w:tc>
          <w:tcPr>
            <w:tcW w:w="723" w:type="pct"/>
            <w:shd w:val="clear" w:color="auto" w:fill="auto"/>
          </w:tcPr>
          <w:p w14:paraId="3088592F"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Non-responders Median: 16.8</w:t>
            </w:r>
          </w:p>
        </w:tc>
        <w:tc>
          <w:tcPr>
            <w:tcW w:w="480" w:type="pct"/>
            <w:vMerge/>
            <w:shd w:val="clear" w:color="auto" w:fill="auto"/>
          </w:tcPr>
          <w:p w14:paraId="79D22B00" w14:textId="77777777" w:rsidR="00222864" w:rsidRPr="00D07897" w:rsidRDefault="00222864" w:rsidP="00F96F15">
            <w:pPr>
              <w:spacing w:line="360" w:lineRule="auto"/>
              <w:jc w:val="both"/>
              <w:rPr>
                <w:rFonts w:ascii="Book Antiqua" w:hAnsi="Book Antiqua" w:cs="Arial"/>
                <w:color w:val="000000" w:themeColor="text1"/>
                <w:sz w:val="18"/>
                <w:szCs w:val="18"/>
              </w:rPr>
            </w:pPr>
          </w:p>
        </w:tc>
        <w:tc>
          <w:tcPr>
            <w:tcW w:w="617" w:type="pct"/>
            <w:vMerge/>
            <w:shd w:val="clear" w:color="auto" w:fill="auto"/>
          </w:tcPr>
          <w:p w14:paraId="0EC8916B" w14:textId="77777777" w:rsidR="00222864" w:rsidRPr="00D07897" w:rsidRDefault="00222864" w:rsidP="00F96F15">
            <w:pPr>
              <w:spacing w:line="360" w:lineRule="auto"/>
              <w:jc w:val="both"/>
              <w:rPr>
                <w:rFonts w:ascii="Book Antiqua" w:hAnsi="Book Antiqua" w:cs="Arial"/>
                <w:color w:val="000000" w:themeColor="text1"/>
                <w:sz w:val="18"/>
                <w:szCs w:val="18"/>
              </w:rPr>
            </w:pPr>
          </w:p>
        </w:tc>
        <w:tc>
          <w:tcPr>
            <w:tcW w:w="440" w:type="pct"/>
            <w:vMerge/>
            <w:shd w:val="clear" w:color="auto" w:fill="auto"/>
          </w:tcPr>
          <w:p w14:paraId="3F7F776F" w14:textId="77777777" w:rsidR="00222864" w:rsidRPr="00D07897" w:rsidRDefault="00222864" w:rsidP="00F96F15">
            <w:pPr>
              <w:spacing w:line="360" w:lineRule="auto"/>
              <w:jc w:val="both"/>
              <w:rPr>
                <w:rFonts w:ascii="Book Antiqua" w:hAnsi="Book Antiqua" w:cs="Arial"/>
                <w:color w:val="000000" w:themeColor="text1"/>
                <w:sz w:val="18"/>
                <w:szCs w:val="18"/>
              </w:rPr>
            </w:pPr>
          </w:p>
        </w:tc>
        <w:tc>
          <w:tcPr>
            <w:tcW w:w="528" w:type="pct"/>
            <w:vMerge/>
            <w:shd w:val="clear" w:color="auto" w:fill="auto"/>
          </w:tcPr>
          <w:p w14:paraId="1815B4B2" w14:textId="77777777" w:rsidR="00222864" w:rsidRPr="00D07897" w:rsidRDefault="00222864" w:rsidP="00F96F15">
            <w:pPr>
              <w:spacing w:line="360" w:lineRule="auto"/>
              <w:jc w:val="both"/>
              <w:rPr>
                <w:rFonts w:ascii="Book Antiqua" w:hAnsi="Book Antiqua" w:cs="Arial"/>
                <w:color w:val="000000" w:themeColor="text1"/>
                <w:sz w:val="18"/>
                <w:szCs w:val="18"/>
              </w:rPr>
            </w:pPr>
          </w:p>
        </w:tc>
      </w:tr>
      <w:tr w:rsidR="00384D17" w:rsidRPr="00D07897" w14:paraId="5DB45F27" w14:textId="77777777" w:rsidTr="00384D17">
        <w:tc>
          <w:tcPr>
            <w:tcW w:w="534" w:type="pct"/>
            <w:shd w:val="clear" w:color="auto" w:fill="auto"/>
          </w:tcPr>
          <w:p w14:paraId="0A5DB876" w14:textId="564C3EBB"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 xml:space="preserve">Takaoka </w:t>
            </w:r>
            <w:r w:rsidR="00C24200" w:rsidRPr="00D07897">
              <w:rPr>
                <w:rFonts w:ascii="Book Antiqua" w:hAnsi="Book Antiqua" w:cs="Arial"/>
                <w:i/>
                <w:color w:val="000000" w:themeColor="text1"/>
                <w:sz w:val="18"/>
                <w:szCs w:val="18"/>
              </w:rPr>
              <w:t>et al</w:t>
            </w:r>
            <w:r w:rsidRPr="00D07897">
              <w:rPr>
                <w:rFonts w:ascii="Book Antiqua" w:hAnsi="Book Antiqua" w:cs="Arial"/>
                <w:color w:val="000000" w:themeColor="text1"/>
                <w:sz w:val="18"/>
                <w:szCs w:val="18"/>
              </w:rPr>
              <w:fldChar w:fldCharType="begin" w:fldLock="1"/>
            </w:r>
            <w:r w:rsidR="001B7C5F" w:rsidRPr="00D07897">
              <w:rPr>
                <w:rFonts w:ascii="Book Antiqua" w:hAnsi="Book Antiqua" w:cs="Arial"/>
                <w:color w:val="000000" w:themeColor="text1"/>
                <w:sz w:val="18"/>
                <w:szCs w:val="18"/>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Pr="00D07897">
              <w:rPr>
                <w:rFonts w:ascii="Book Antiqua" w:hAnsi="Book Antiqua" w:cs="Arial"/>
                <w:color w:val="000000" w:themeColor="text1"/>
                <w:sz w:val="18"/>
                <w:szCs w:val="18"/>
              </w:rPr>
              <w:fldChar w:fldCharType="separate"/>
            </w:r>
            <w:r w:rsidR="00596584" w:rsidRPr="00D07897">
              <w:rPr>
                <w:rFonts w:ascii="Book Antiqua" w:hAnsi="Book Antiqua" w:cs="Arial"/>
                <w:noProof/>
                <w:color w:val="000000" w:themeColor="text1"/>
                <w:sz w:val="18"/>
                <w:szCs w:val="18"/>
                <w:vertAlign w:val="superscript"/>
              </w:rPr>
              <w:t>[13]</w:t>
            </w:r>
            <w:r w:rsidRPr="00D07897">
              <w:rPr>
                <w:rFonts w:ascii="Book Antiqua" w:hAnsi="Book Antiqua" w:cs="Arial"/>
                <w:color w:val="000000" w:themeColor="text1"/>
                <w:sz w:val="18"/>
                <w:szCs w:val="18"/>
              </w:rPr>
              <w:fldChar w:fldCharType="end"/>
            </w:r>
          </w:p>
        </w:tc>
        <w:tc>
          <w:tcPr>
            <w:tcW w:w="425" w:type="pct"/>
            <w:shd w:val="clear" w:color="auto" w:fill="auto"/>
          </w:tcPr>
          <w:p w14:paraId="487A48BB"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40 (30:10)</w:t>
            </w:r>
          </w:p>
        </w:tc>
        <w:tc>
          <w:tcPr>
            <w:tcW w:w="368" w:type="pct"/>
            <w:shd w:val="clear" w:color="auto" w:fill="auto"/>
          </w:tcPr>
          <w:p w14:paraId="1644FAD0"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40:0</w:t>
            </w:r>
          </w:p>
        </w:tc>
        <w:tc>
          <w:tcPr>
            <w:tcW w:w="884" w:type="pct"/>
            <w:shd w:val="clear" w:color="auto" w:fill="auto"/>
          </w:tcPr>
          <w:p w14:paraId="6F56BEF9"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Median: 32.4 (25.3-37.8)</w:t>
            </w:r>
          </w:p>
        </w:tc>
        <w:tc>
          <w:tcPr>
            <w:tcW w:w="723" w:type="pct"/>
            <w:shd w:val="clear" w:color="auto" w:fill="auto"/>
          </w:tcPr>
          <w:p w14:paraId="6DE9463F"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Median:19.2</w:t>
            </w:r>
          </w:p>
        </w:tc>
        <w:tc>
          <w:tcPr>
            <w:tcW w:w="480" w:type="pct"/>
            <w:shd w:val="clear" w:color="auto" w:fill="auto"/>
          </w:tcPr>
          <w:p w14:paraId="2938DF64"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12 (30)</w:t>
            </w:r>
          </w:p>
        </w:tc>
        <w:tc>
          <w:tcPr>
            <w:tcW w:w="617" w:type="pct"/>
            <w:shd w:val="clear" w:color="auto" w:fill="auto"/>
          </w:tcPr>
          <w:p w14:paraId="05DEC697"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15 (38)</w:t>
            </w:r>
          </w:p>
        </w:tc>
        <w:tc>
          <w:tcPr>
            <w:tcW w:w="440" w:type="pct"/>
            <w:shd w:val="clear" w:color="auto" w:fill="auto"/>
          </w:tcPr>
          <w:p w14:paraId="4E75385D"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30 (75)</w:t>
            </w:r>
          </w:p>
        </w:tc>
        <w:tc>
          <w:tcPr>
            <w:tcW w:w="528" w:type="pct"/>
            <w:shd w:val="clear" w:color="auto" w:fill="auto"/>
          </w:tcPr>
          <w:p w14:paraId="020039C1"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13 (33)</w:t>
            </w:r>
          </w:p>
        </w:tc>
      </w:tr>
      <w:tr w:rsidR="00384D17" w:rsidRPr="00D07897" w14:paraId="791816A0" w14:textId="77777777" w:rsidTr="00384D17">
        <w:tc>
          <w:tcPr>
            <w:tcW w:w="534" w:type="pct"/>
            <w:shd w:val="clear" w:color="auto" w:fill="auto"/>
          </w:tcPr>
          <w:p w14:paraId="73EF8CB2" w14:textId="0C8F3D79" w:rsidR="00420BA6" w:rsidRPr="00D07897" w:rsidRDefault="00420BA6" w:rsidP="00F96F15">
            <w:pPr>
              <w:spacing w:line="360" w:lineRule="auto"/>
              <w:jc w:val="both"/>
              <w:rPr>
                <w:rFonts w:ascii="Book Antiqua" w:hAnsi="Book Antiqua" w:cs="Arial"/>
                <w:color w:val="000000" w:themeColor="text1"/>
                <w:sz w:val="18"/>
                <w:szCs w:val="18"/>
              </w:rPr>
            </w:pPr>
            <w:proofErr w:type="spellStart"/>
            <w:r w:rsidRPr="00D07897">
              <w:rPr>
                <w:rFonts w:ascii="Book Antiqua" w:hAnsi="Book Antiqua" w:cs="Arial"/>
                <w:color w:val="000000" w:themeColor="text1"/>
                <w:sz w:val="18"/>
                <w:szCs w:val="18"/>
              </w:rPr>
              <w:t>Thiberge</w:t>
            </w:r>
            <w:proofErr w:type="spellEnd"/>
            <w:r w:rsidRPr="00D07897">
              <w:rPr>
                <w:rFonts w:ascii="Book Antiqua" w:hAnsi="Book Antiqua" w:cs="Arial"/>
                <w:color w:val="000000" w:themeColor="text1"/>
                <w:sz w:val="18"/>
                <w:szCs w:val="18"/>
              </w:rPr>
              <w:t xml:space="preserve"> </w:t>
            </w:r>
            <w:r w:rsidR="00C24200" w:rsidRPr="00D07897">
              <w:rPr>
                <w:rFonts w:ascii="Book Antiqua" w:hAnsi="Book Antiqua" w:cs="Arial"/>
                <w:i/>
                <w:color w:val="000000" w:themeColor="text1"/>
                <w:sz w:val="18"/>
                <w:szCs w:val="18"/>
              </w:rPr>
              <w:t>et al</w:t>
            </w:r>
            <w:r w:rsidR="007D5C67" w:rsidRPr="00D07897">
              <w:rPr>
                <w:rFonts w:ascii="Book Antiqua" w:hAnsi="Book Antiqua" w:cs="Arial"/>
                <w:color w:val="000000" w:themeColor="text1"/>
                <w:sz w:val="18"/>
                <w:szCs w:val="18"/>
              </w:rPr>
              <w:fldChar w:fldCharType="begin" w:fldLock="1"/>
            </w:r>
            <w:r w:rsidR="001B7C5F" w:rsidRPr="00D07897">
              <w:rPr>
                <w:rFonts w:ascii="Book Antiqua" w:hAnsi="Book Antiqua" w:cs="Arial"/>
                <w:color w:val="000000" w:themeColor="text1"/>
                <w:sz w:val="18"/>
                <w:szCs w:val="18"/>
              </w:rPr>
              <w:instrText>ADDIN CSL_CITATION {"citationItems":[{"id":"ITEM-1","itemData":{"DOI":"10.1093/ecco-jcc/jjy124","ISSN":"1876-4479","abstract":"BACKGROUND AND AIMS: Changes in body composition have been described in patients with Crohn's disease, but their predictive performances on disease evolution remain undefined. The aims of our study were to assess, in patients with Crohn's disease requiring abdominal computed tomography, body composition by computed tomography, and to study the outcome according to various body composition parameters at the time of the computed tomography. METHODS: Patients with Crohn's disease who underwent abdominal computed tomography for suspected complications were retrospectively included. The definition of adverse outcome included death or need for surgery within 6 months of the computed tomography. Skeletal muscle index and visceral and subcutaneous adiposity indexes were calculated from tissue surface areas measured at the third lumbar vertebra, divided by the height squared. RESULTS: The prevalence of underweight was 26.8% and the prevalence of sarcopenia was 33.6%. After gender adjustment, skeletal muscle index tended to be reduced in patients with adverse outcome, compared with patients without surgery or death [p = 0.07]. Moreover, subcutaneous adiposity index and visceral adiposity index were significantly lower in patients with surgery or death [p = 0.009 and p &lt; 0.001, respectively]. These differences were almost equivalent in both genders for the subcutaneous adiposity index but were clearly stronger in men for the visceral adiposity index. CONCLUSIONS: Subcutaneous and visceral adiposity indexes correlate inversely with adverse outcome in patients with Crohn's disease. Alteration of body composition assessed by computed tomography in these patients appears to be a marker of disease severity.","author":[{"dropping-particle":"","family":"Thiberge","given":"Claire","non-dropping-particle":"","parse-names":false,"suffix":""},{"dropping-particle":"","family":"Charpentier","given":"Cloé","non-dropping-particle":"","parse-names":false,"suffix":""},{"dropping-particle":"","family":"Gillibert","given":"André","non-dropping-particle":"","parse-names":false,"suffix":""},{"dropping-particle":"","family":"Modzelewski","given":"Romain","non-dropping-particle":"","parse-names":false,"suffix":""},{"dropping-particle":"","family":"Dacher","given":"Jean-Nicolas","non-dropping-particle":"","parse-names":false,"suffix":""},{"dropping-particle":"","family":"Savoye","given":"Guillaume","non-dropping-particle":"","parse-names":false,"suffix":""},{"dropping-particle":"","family":"Savoye-Collet","given":"Céline","non-dropping-particle":"","parse-names":false,"suffix":""}],"container-title":"Journal of Crohn's &amp; colitis","id":"ITEM-1","issue":"12","issued":{"date-parts":[["2018","11","28"]]},"page":"1429-1437","publisher-place":"England","title":"Lower Subcutaneous or Visceral Adiposity Assessed by Abdominal Computed Tomography Could Predict Adverse Outcome in Patients With Crohn's Disease","type":"article-journal","volume":"12"},"uris":["http://www.mendeley.com/documents/?uuid=24be24ce-8d64-4a00-ba9d-1bda6687be41"]}],"mendeley":{"formattedCitation":"&lt;sup&gt;[32]&lt;/sup&gt;","plainTextFormattedCitation":"[32]","previouslyFormattedCitation":"&lt;sup&gt;[31]&lt;/sup&gt;"},"properties":{"noteIndex":0},"schema":"https://github.com/citation-style-language/schema/raw/master/csl-citation.json"}</w:instrText>
            </w:r>
            <w:r w:rsidR="007D5C67" w:rsidRPr="00D07897">
              <w:rPr>
                <w:rFonts w:ascii="Book Antiqua" w:hAnsi="Book Antiqua" w:cs="Arial"/>
                <w:color w:val="000000" w:themeColor="text1"/>
                <w:sz w:val="18"/>
                <w:szCs w:val="18"/>
              </w:rPr>
              <w:fldChar w:fldCharType="separate"/>
            </w:r>
            <w:r w:rsidR="001B7C5F" w:rsidRPr="00D07897">
              <w:rPr>
                <w:rFonts w:ascii="Book Antiqua" w:hAnsi="Book Antiqua" w:cs="Arial"/>
                <w:noProof/>
                <w:color w:val="000000" w:themeColor="text1"/>
                <w:sz w:val="18"/>
                <w:szCs w:val="18"/>
                <w:vertAlign w:val="superscript"/>
              </w:rPr>
              <w:t>[32]</w:t>
            </w:r>
            <w:r w:rsidR="007D5C67" w:rsidRPr="00D07897">
              <w:rPr>
                <w:rFonts w:ascii="Book Antiqua" w:hAnsi="Book Antiqua" w:cs="Arial"/>
                <w:color w:val="000000" w:themeColor="text1"/>
                <w:sz w:val="18"/>
                <w:szCs w:val="18"/>
              </w:rPr>
              <w:fldChar w:fldCharType="end"/>
            </w:r>
          </w:p>
        </w:tc>
        <w:tc>
          <w:tcPr>
            <w:tcW w:w="425" w:type="pct"/>
            <w:shd w:val="clear" w:color="auto" w:fill="auto"/>
          </w:tcPr>
          <w:p w14:paraId="47F56D98" w14:textId="020A29F1" w:rsidR="00420BA6" w:rsidRPr="00D07897" w:rsidRDefault="00A06B11"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149 (68:81)</w:t>
            </w:r>
          </w:p>
        </w:tc>
        <w:tc>
          <w:tcPr>
            <w:tcW w:w="368" w:type="pct"/>
            <w:shd w:val="clear" w:color="auto" w:fill="auto"/>
          </w:tcPr>
          <w:p w14:paraId="2D7A2D79" w14:textId="1AE319DB" w:rsidR="00420BA6" w:rsidRPr="00D07897" w:rsidRDefault="0052323B"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149:0</w:t>
            </w:r>
          </w:p>
        </w:tc>
        <w:tc>
          <w:tcPr>
            <w:tcW w:w="884" w:type="pct"/>
            <w:shd w:val="clear" w:color="auto" w:fill="auto"/>
          </w:tcPr>
          <w:p w14:paraId="432F38D9" w14:textId="07C97CA9" w:rsidR="00420BA6" w:rsidRPr="00D07897" w:rsidRDefault="0052323B"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Mean: 41.0 ± 17.5</w:t>
            </w:r>
          </w:p>
        </w:tc>
        <w:tc>
          <w:tcPr>
            <w:tcW w:w="723" w:type="pct"/>
            <w:shd w:val="clear" w:color="auto" w:fill="auto"/>
          </w:tcPr>
          <w:p w14:paraId="05A4B806" w14:textId="74E1530A" w:rsidR="00420BA6" w:rsidRPr="00D07897" w:rsidRDefault="0052323B"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Mean: 22.7 ± 6.1</w:t>
            </w:r>
          </w:p>
        </w:tc>
        <w:tc>
          <w:tcPr>
            <w:tcW w:w="480" w:type="pct"/>
            <w:shd w:val="clear" w:color="auto" w:fill="auto"/>
          </w:tcPr>
          <w:p w14:paraId="1B3473D5" w14:textId="11C1A2FD" w:rsidR="00420BA6" w:rsidRPr="00D07897" w:rsidRDefault="0052323B"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108</w:t>
            </w:r>
          </w:p>
        </w:tc>
        <w:tc>
          <w:tcPr>
            <w:tcW w:w="617" w:type="pct"/>
            <w:shd w:val="clear" w:color="auto" w:fill="auto"/>
          </w:tcPr>
          <w:p w14:paraId="464C67F4" w14:textId="42F907F0" w:rsidR="00420BA6" w:rsidRPr="00D07897" w:rsidRDefault="0052323B"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85</w:t>
            </w:r>
          </w:p>
        </w:tc>
        <w:tc>
          <w:tcPr>
            <w:tcW w:w="440" w:type="pct"/>
            <w:shd w:val="clear" w:color="auto" w:fill="auto"/>
          </w:tcPr>
          <w:p w14:paraId="7C3CD09B" w14:textId="65C31038" w:rsidR="00420BA6" w:rsidRPr="00D07897" w:rsidRDefault="0052323B"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86</w:t>
            </w:r>
          </w:p>
        </w:tc>
        <w:tc>
          <w:tcPr>
            <w:tcW w:w="528" w:type="pct"/>
            <w:shd w:val="clear" w:color="auto" w:fill="auto"/>
          </w:tcPr>
          <w:p w14:paraId="441BC9C3" w14:textId="743E787D" w:rsidR="00420BA6" w:rsidRPr="00D07897" w:rsidRDefault="0052323B"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85</w:t>
            </w:r>
          </w:p>
        </w:tc>
      </w:tr>
      <w:tr w:rsidR="00384D17" w:rsidRPr="00D07897" w14:paraId="3C4C987F" w14:textId="77777777" w:rsidTr="00384D17">
        <w:tc>
          <w:tcPr>
            <w:tcW w:w="534" w:type="pct"/>
            <w:shd w:val="clear" w:color="auto" w:fill="auto"/>
          </w:tcPr>
          <w:p w14:paraId="6BB3444B" w14:textId="4BE6DA5D"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 xml:space="preserve">Zhang T </w:t>
            </w:r>
            <w:r w:rsidR="00C24200" w:rsidRPr="00D07897">
              <w:rPr>
                <w:rFonts w:ascii="Book Antiqua" w:hAnsi="Book Antiqua" w:cs="Arial"/>
                <w:i/>
                <w:color w:val="000000" w:themeColor="text1"/>
                <w:sz w:val="18"/>
                <w:szCs w:val="18"/>
              </w:rPr>
              <w:t>et al</w:t>
            </w:r>
            <w:r w:rsidRPr="00D07897">
              <w:rPr>
                <w:rFonts w:ascii="Book Antiqua" w:hAnsi="Book Antiqua" w:cs="Arial"/>
                <w:color w:val="000000" w:themeColor="text1"/>
                <w:sz w:val="18"/>
                <w:szCs w:val="18"/>
              </w:rPr>
              <w:fldChar w:fldCharType="begin" w:fldLock="1"/>
            </w:r>
            <w:r w:rsidR="001B7C5F" w:rsidRPr="00D07897">
              <w:rPr>
                <w:rFonts w:ascii="Book Antiqua" w:hAnsi="Book Antiqua" w:cs="Arial"/>
                <w:color w:val="000000" w:themeColor="text1"/>
                <w:sz w:val="18"/>
                <w:szCs w:val="18"/>
              </w:rPr>
              <w:instrText>ADDIN CSL_CITATION {"citationItems":[{"id":"ITEM-1","itemData":{"DOI":"10.1177/0148607115612054","ISSN":"1941-2444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nutrition","id":"ITEM-1","issue":"4","issued":{"date-parts":[["2017","5"]]},"language":"eng","page":"592-600","publisher-place":"United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mendeley":{"formattedCitation":"&lt;sup&gt;[10]&lt;/sup&gt;","plainTextFormattedCitation":"[10]","previouslyFormattedCitation":"&lt;sup&gt;[10]&lt;/sup&gt;"},"properties":{"noteIndex":0},"schema":"https://github.com/citation-style-language/schema/raw/master/csl-citation.json"}</w:instrText>
            </w:r>
            <w:r w:rsidRPr="00D07897">
              <w:rPr>
                <w:rFonts w:ascii="Book Antiqua" w:hAnsi="Book Antiqua" w:cs="Arial"/>
                <w:color w:val="000000" w:themeColor="text1"/>
                <w:sz w:val="18"/>
                <w:szCs w:val="18"/>
              </w:rPr>
              <w:fldChar w:fldCharType="separate"/>
            </w:r>
            <w:r w:rsidR="00596584" w:rsidRPr="00D07897">
              <w:rPr>
                <w:rFonts w:ascii="Book Antiqua" w:hAnsi="Book Antiqua" w:cs="Arial"/>
                <w:noProof/>
                <w:color w:val="000000" w:themeColor="text1"/>
                <w:sz w:val="18"/>
                <w:szCs w:val="18"/>
                <w:vertAlign w:val="superscript"/>
              </w:rPr>
              <w:t>[10]</w:t>
            </w:r>
            <w:r w:rsidRPr="00D07897">
              <w:rPr>
                <w:rFonts w:ascii="Book Antiqua" w:hAnsi="Book Antiqua" w:cs="Arial"/>
                <w:color w:val="000000" w:themeColor="text1"/>
                <w:sz w:val="18"/>
                <w:szCs w:val="18"/>
              </w:rPr>
              <w:fldChar w:fldCharType="end"/>
            </w:r>
          </w:p>
        </w:tc>
        <w:tc>
          <w:tcPr>
            <w:tcW w:w="425" w:type="pct"/>
            <w:shd w:val="clear" w:color="auto" w:fill="auto"/>
          </w:tcPr>
          <w:p w14:paraId="574FDC05"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114 (75:39)</w:t>
            </w:r>
          </w:p>
        </w:tc>
        <w:tc>
          <w:tcPr>
            <w:tcW w:w="368" w:type="pct"/>
            <w:shd w:val="clear" w:color="auto" w:fill="auto"/>
          </w:tcPr>
          <w:p w14:paraId="2DB87F83"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114:0</w:t>
            </w:r>
          </w:p>
        </w:tc>
        <w:tc>
          <w:tcPr>
            <w:tcW w:w="884" w:type="pct"/>
            <w:shd w:val="clear" w:color="auto" w:fill="auto"/>
          </w:tcPr>
          <w:p w14:paraId="1A009A4F"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Mean: 32 ± 11.47</w:t>
            </w:r>
          </w:p>
        </w:tc>
        <w:tc>
          <w:tcPr>
            <w:tcW w:w="723" w:type="pct"/>
            <w:shd w:val="clear" w:color="auto" w:fill="auto"/>
          </w:tcPr>
          <w:p w14:paraId="242C9ABF"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Median: 13.66</w:t>
            </w:r>
          </w:p>
        </w:tc>
        <w:tc>
          <w:tcPr>
            <w:tcW w:w="480" w:type="pct"/>
            <w:shd w:val="clear" w:color="auto" w:fill="auto"/>
          </w:tcPr>
          <w:p w14:paraId="5E396741"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617" w:type="pct"/>
            <w:shd w:val="clear" w:color="auto" w:fill="auto"/>
          </w:tcPr>
          <w:p w14:paraId="5B3B0898"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440" w:type="pct"/>
            <w:shd w:val="clear" w:color="auto" w:fill="auto"/>
          </w:tcPr>
          <w:p w14:paraId="02C5A336"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528" w:type="pct"/>
            <w:shd w:val="clear" w:color="auto" w:fill="auto"/>
          </w:tcPr>
          <w:p w14:paraId="731308FC"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114 (100)</w:t>
            </w:r>
          </w:p>
        </w:tc>
      </w:tr>
      <w:tr w:rsidR="00384D17" w:rsidRPr="00D07897" w14:paraId="5E176496" w14:textId="77777777" w:rsidTr="00384D17">
        <w:tc>
          <w:tcPr>
            <w:tcW w:w="534" w:type="pct"/>
            <w:shd w:val="clear" w:color="auto" w:fill="auto"/>
          </w:tcPr>
          <w:p w14:paraId="61830EBC" w14:textId="7C0D1EE9"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 xml:space="preserve">Zhang T </w:t>
            </w:r>
            <w:r w:rsidR="00C24200" w:rsidRPr="00D07897">
              <w:rPr>
                <w:rFonts w:ascii="Book Antiqua" w:hAnsi="Book Antiqua" w:cs="Arial"/>
                <w:i/>
                <w:color w:val="000000" w:themeColor="text1"/>
                <w:sz w:val="18"/>
                <w:szCs w:val="18"/>
              </w:rPr>
              <w:t>et al</w:t>
            </w:r>
            <w:r w:rsidRPr="00D07897">
              <w:rPr>
                <w:rFonts w:ascii="Book Antiqua" w:hAnsi="Book Antiqua" w:cs="Arial"/>
                <w:color w:val="000000" w:themeColor="text1"/>
                <w:sz w:val="18"/>
                <w:szCs w:val="18"/>
              </w:rPr>
              <w:fldChar w:fldCharType="begin" w:fldLock="1"/>
            </w:r>
            <w:r w:rsidR="001B7C5F" w:rsidRPr="00D07897">
              <w:rPr>
                <w:rFonts w:ascii="Book Antiqua" w:hAnsi="Book Antiqua" w:cs="Arial"/>
                <w:color w:val="000000" w:themeColor="text1"/>
                <w:sz w:val="18"/>
                <w:szCs w:val="18"/>
              </w:rPr>
              <w:instrText>ADDIN CSL_CITATION {"citationItems":[{"id":"ITEM-1","itemData":{"DOI":"10.1016/j.clnu.2016.10.004","ISSN":"1532-1983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Scotland)","id":"ITEM-1","issue":"6","issued":{"date-parts":[["2017","12"]]},"language":"eng","page":"1586-1592","publisher-place":"England","title":"Skeletal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mendeley":{"formattedCitation":"&lt;sup&gt;[11]&lt;/sup&gt;","plainTextFormattedCitation":"[11]","previouslyFormattedCitation":"&lt;sup&gt;[11]&lt;/sup&gt;"},"properties":{"noteIndex":0},"schema":"https://github.com/citation-style-language/schema/raw/master/csl-citation.json"}</w:instrText>
            </w:r>
            <w:r w:rsidRPr="00D07897">
              <w:rPr>
                <w:rFonts w:ascii="Book Antiqua" w:hAnsi="Book Antiqua" w:cs="Arial"/>
                <w:color w:val="000000" w:themeColor="text1"/>
                <w:sz w:val="18"/>
                <w:szCs w:val="18"/>
              </w:rPr>
              <w:fldChar w:fldCharType="separate"/>
            </w:r>
            <w:r w:rsidR="00596584" w:rsidRPr="00D07897">
              <w:rPr>
                <w:rFonts w:ascii="Book Antiqua" w:hAnsi="Book Antiqua" w:cs="Arial"/>
                <w:noProof/>
                <w:color w:val="000000" w:themeColor="text1"/>
                <w:sz w:val="18"/>
                <w:szCs w:val="18"/>
                <w:vertAlign w:val="superscript"/>
              </w:rPr>
              <w:t>[11]</w:t>
            </w:r>
            <w:r w:rsidRPr="00D07897">
              <w:rPr>
                <w:rFonts w:ascii="Book Antiqua" w:hAnsi="Book Antiqua" w:cs="Arial"/>
                <w:color w:val="000000" w:themeColor="text1"/>
                <w:sz w:val="18"/>
                <w:szCs w:val="18"/>
              </w:rPr>
              <w:fldChar w:fldCharType="end"/>
            </w:r>
          </w:p>
        </w:tc>
        <w:tc>
          <w:tcPr>
            <w:tcW w:w="425" w:type="pct"/>
            <w:shd w:val="clear" w:color="auto" w:fill="auto"/>
          </w:tcPr>
          <w:p w14:paraId="7BD930E3"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204 (NR)</w:t>
            </w:r>
          </w:p>
        </w:tc>
        <w:tc>
          <w:tcPr>
            <w:tcW w:w="368" w:type="pct"/>
            <w:shd w:val="clear" w:color="auto" w:fill="auto"/>
          </w:tcPr>
          <w:p w14:paraId="56357890"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105:99</w:t>
            </w:r>
          </w:p>
        </w:tc>
        <w:tc>
          <w:tcPr>
            <w:tcW w:w="884" w:type="pct"/>
            <w:shd w:val="clear" w:color="auto" w:fill="auto"/>
          </w:tcPr>
          <w:p w14:paraId="5C5F0F24"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NR (min 18; max 65)</w:t>
            </w:r>
          </w:p>
        </w:tc>
        <w:tc>
          <w:tcPr>
            <w:tcW w:w="723" w:type="pct"/>
            <w:shd w:val="clear" w:color="auto" w:fill="auto"/>
          </w:tcPr>
          <w:p w14:paraId="45D4C852"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Median: 18.41</w:t>
            </w:r>
          </w:p>
        </w:tc>
        <w:tc>
          <w:tcPr>
            <w:tcW w:w="480" w:type="pct"/>
            <w:shd w:val="clear" w:color="auto" w:fill="auto"/>
          </w:tcPr>
          <w:p w14:paraId="0F15CF61"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99 (49)</w:t>
            </w:r>
          </w:p>
        </w:tc>
        <w:tc>
          <w:tcPr>
            <w:tcW w:w="617" w:type="pct"/>
            <w:shd w:val="clear" w:color="auto" w:fill="auto"/>
          </w:tcPr>
          <w:p w14:paraId="52C16AB1"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53 (26)</w:t>
            </w:r>
          </w:p>
        </w:tc>
        <w:tc>
          <w:tcPr>
            <w:tcW w:w="440" w:type="pct"/>
            <w:shd w:val="clear" w:color="auto" w:fill="auto"/>
          </w:tcPr>
          <w:p w14:paraId="6126F9D1"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25 (12)</w:t>
            </w:r>
          </w:p>
        </w:tc>
        <w:tc>
          <w:tcPr>
            <w:tcW w:w="528" w:type="pct"/>
            <w:shd w:val="clear" w:color="auto" w:fill="auto"/>
          </w:tcPr>
          <w:p w14:paraId="2F4AA7E2"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14 (7)</w:t>
            </w:r>
          </w:p>
        </w:tc>
      </w:tr>
      <w:tr w:rsidR="00384D17" w:rsidRPr="00D07897" w14:paraId="01D0C922" w14:textId="77777777" w:rsidTr="00384D17">
        <w:tc>
          <w:tcPr>
            <w:tcW w:w="534" w:type="pct"/>
            <w:tcBorders>
              <w:bottom w:val="single" w:sz="4" w:space="0" w:color="auto"/>
            </w:tcBorders>
            <w:shd w:val="clear" w:color="auto" w:fill="auto"/>
          </w:tcPr>
          <w:p w14:paraId="427AC661" w14:textId="493DB2A3"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 xml:space="preserve">Zhang W </w:t>
            </w:r>
            <w:r w:rsidR="00C24200" w:rsidRPr="00D07897">
              <w:rPr>
                <w:rFonts w:ascii="Book Antiqua" w:hAnsi="Book Antiqua" w:cs="Arial"/>
                <w:i/>
                <w:color w:val="000000" w:themeColor="text1"/>
                <w:sz w:val="18"/>
                <w:szCs w:val="18"/>
              </w:rPr>
              <w:t>et al</w:t>
            </w:r>
            <w:r w:rsidRPr="00D07897">
              <w:rPr>
                <w:rFonts w:ascii="Book Antiqua" w:hAnsi="Book Antiqua" w:cs="Arial"/>
                <w:color w:val="000000" w:themeColor="text1"/>
                <w:sz w:val="18"/>
                <w:szCs w:val="18"/>
              </w:rPr>
              <w:fldChar w:fldCharType="begin" w:fldLock="1"/>
            </w:r>
            <w:r w:rsidR="001B7C5F" w:rsidRPr="00D07897">
              <w:rPr>
                <w:rFonts w:ascii="Book Antiqua" w:hAnsi="Book Antiqua" w:cs="Arial"/>
                <w:color w:val="000000" w:themeColor="text1"/>
                <w:sz w:val="18"/>
                <w:szCs w:val="18"/>
              </w:rPr>
              <w:instrText>ADDIN CSL_CITATION {"citationItems":[{"id":"ITEM-1","itemData":{"DOI":"https://dx.doi.org/10.1007/s11605-015-2763-x","ISSN":"1873-4626","abstract":"BACKGROUND: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Tract","id":"ITEM-1","issue":"4","issued":{"date-parts":[["2015"]]},"page":"715-721","publisher-place":"United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mendeley":{"formattedCitation":"&lt;sup&gt;[28]&lt;/sup&gt;","plainTextFormattedCitation":"[28]","previouslyFormattedCitation":"&lt;sup&gt;[27]&lt;/sup&gt;"},"properties":{"noteIndex":0},"schema":"https://github.com/citation-style-language/schema/raw/master/csl-citation.json"}</w:instrText>
            </w:r>
            <w:r w:rsidRPr="00D07897">
              <w:rPr>
                <w:rFonts w:ascii="Book Antiqua" w:hAnsi="Book Antiqua" w:cs="Arial"/>
                <w:color w:val="000000" w:themeColor="text1"/>
                <w:sz w:val="18"/>
                <w:szCs w:val="18"/>
              </w:rPr>
              <w:fldChar w:fldCharType="separate"/>
            </w:r>
            <w:r w:rsidR="001B7C5F" w:rsidRPr="00D07897">
              <w:rPr>
                <w:rFonts w:ascii="Book Antiqua" w:hAnsi="Book Antiqua" w:cs="Arial"/>
                <w:noProof/>
                <w:color w:val="000000" w:themeColor="text1"/>
                <w:sz w:val="18"/>
                <w:szCs w:val="18"/>
                <w:vertAlign w:val="superscript"/>
              </w:rPr>
              <w:t>[28]</w:t>
            </w:r>
            <w:r w:rsidRPr="00D07897">
              <w:rPr>
                <w:rFonts w:ascii="Book Antiqua" w:hAnsi="Book Antiqua" w:cs="Arial"/>
                <w:color w:val="000000" w:themeColor="text1"/>
                <w:sz w:val="18"/>
                <w:szCs w:val="18"/>
              </w:rPr>
              <w:fldChar w:fldCharType="end"/>
            </w:r>
          </w:p>
        </w:tc>
        <w:tc>
          <w:tcPr>
            <w:tcW w:w="425" w:type="pct"/>
            <w:tcBorders>
              <w:bottom w:val="single" w:sz="4" w:space="0" w:color="auto"/>
            </w:tcBorders>
            <w:shd w:val="clear" w:color="auto" w:fill="auto"/>
          </w:tcPr>
          <w:p w14:paraId="7B1942B0"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138 (86:52)</w:t>
            </w:r>
          </w:p>
        </w:tc>
        <w:tc>
          <w:tcPr>
            <w:tcW w:w="368" w:type="pct"/>
            <w:tcBorders>
              <w:bottom w:val="single" w:sz="4" w:space="0" w:color="auto"/>
            </w:tcBorders>
            <w:shd w:val="clear" w:color="auto" w:fill="auto"/>
          </w:tcPr>
          <w:p w14:paraId="132056C5"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138:0</w:t>
            </w:r>
          </w:p>
        </w:tc>
        <w:tc>
          <w:tcPr>
            <w:tcW w:w="884" w:type="pct"/>
            <w:tcBorders>
              <w:bottom w:val="single" w:sz="4" w:space="0" w:color="auto"/>
            </w:tcBorders>
            <w:shd w:val="clear" w:color="auto" w:fill="auto"/>
          </w:tcPr>
          <w:p w14:paraId="5AAD8EB8"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Median: 29 (16-60)</w:t>
            </w:r>
          </w:p>
        </w:tc>
        <w:tc>
          <w:tcPr>
            <w:tcW w:w="723" w:type="pct"/>
            <w:tcBorders>
              <w:bottom w:val="single" w:sz="4" w:space="0" w:color="auto"/>
            </w:tcBorders>
            <w:shd w:val="clear" w:color="auto" w:fill="auto"/>
          </w:tcPr>
          <w:p w14:paraId="4F4909CD"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Median: 17.9</w:t>
            </w:r>
          </w:p>
        </w:tc>
        <w:tc>
          <w:tcPr>
            <w:tcW w:w="480" w:type="pct"/>
            <w:tcBorders>
              <w:bottom w:val="single" w:sz="4" w:space="0" w:color="auto"/>
            </w:tcBorders>
            <w:shd w:val="clear" w:color="auto" w:fill="auto"/>
          </w:tcPr>
          <w:p w14:paraId="4009D8F6"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13 (9)</w:t>
            </w:r>
          </w:p>
        </w:tc>
        <w:tc>
          <w:tcPr>
            <w:tcW w:w="617" w:type="pct"/>
            <w:tcBorders>
              <w:bottom w:val="single" w:sz="4" w:space="0" w:color="auto"/>
            </w:tcBorders>
            <w:shd w:val="clear" w:color="auto" w:fill="auto"/>
          </w:tcPr>
          <w:p w14:paraId="54D526E3"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50 (36)</w:t>
            </w:r>
          </w:p>
        </w:tc>
        <w:tc>
          <w:tcPr>
            <w:tcW w:w="440" w:type="pct"/>
            <w:tcBorders>
              <w:bottom w:val="single" w:sz="4" w:space="0" w:color="auto"/>
            </w:tcBorders>
            <w:shd w:val="clear" w:color="auto" w:fill="auto"/>
          </w:tcPr>
          <w:p w14:paraId="1041C449"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w:t>
            </w:r>
          </w:p>
        </w:tc>
        <w:tc>
          <w:tcPr>
            <w:tcW w:w="528" w:type="pct"/>
            <w:tcBorders>
              <w:bottom w:val="single" w:sz="4" w:space="0" w:color="auto"/>
            </w:tcBorders>
            <w:shd w:val="clear" w:color="auto" w:fill="auto"/>
          </w:tcPr>
          <w:p w14:paraId="4613D4A0" w14:textId="77777777" w:rsidR="00222864" w:rsidRPr="00D07897" w:rsidRDefault="00222864" w:rsidP="00F96F15">
            <w:pPr>
              <w:spacing w:line="360" w:lineRule="auto"/>
              <w:jc w:val="both"/>
              <w:rPr>
                <w:rFonts w:ascii="Book Antiqua" w:hAnsi="Book Antiqua" w:cs="Arial"/>
                <w:color w:val="000000" w:themeColor="text1"/>
                <w:sz w:val="18"/>
                <w:szCs w:val="18"/>
              </w:rPr>
            </w:pPr>
            <w:r w:rsidRPr="00D07897">
              <w:rPr>
                <w:rFonts w:ascii="Book Antiqua" w:hAnsi="Book Antiqua" w:cs="Arial"/>
                <w:color w:val="000000" w:themeColor="text1"/>
                <w:sz w:val="18"/>
                <w:szCs w:val="18"/>
              </w:rPr>
              <w:t>37 (27)</w:t>
            </w:r>
          </w:p>
        </w:tc>
      </w:tr>
    </w:tbl>
    <w:p w14:paraId="41C0CA02" w14:textId="415AFB3B" w:rsidR="00222864" w:rsidRPr="00D07897" w:rsidRDefault="0022286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NR</w:t>
      </w:r>
      <w:r w:rsidR="00384D17" w:rsidRPr="00D07897">
        <w:rPr>
          <w:rFonts w:ascii="Book Antiqua" w:hAnsi="Book Antiqua" w:cs="Arial"/>
          <w:color w:val="000000" w:themeColor="text1"/>
        </w:rPr>
        <w:t>:</w:t>
      </w:r>
      <w:r w:rsidRPr="00D07897">
        <w:rPr>
          <w:rFonts w:ascii="Book Antiqua" w:hAnsi="Book Antiqua" w:cs="Arial"/>
          <w:color w:val="000000" w:themeColor="text1"/>
        </w:rPr>
        <w:t xml:space="preserve"> Not </w:t>
      </w:r>
      <w:r w:rsidR="00384D17" w:rsidRPr="00D07897">
        <w:rPr>
          <w:rFonts w:ascii="Book Antiqua" w:hAnsi="Book Antiqua" w:cs="Arial"/>
          <w:color w:val="000000" w:themeColor="text1"/>
        </w:rPr>
        <w:t>r</w:t>
      </w:r>
      <w:r w:rsidRPr="00D07897">
        <w:rPr>
          <w:rFonts w:ascii="Book Antiqua" w:hAnsi="Book Antiqua" w:cs="Arial"/>
          <w:color w:val="000000" w:themeColor="text1"/>
        </w:rPr>
        <w:t>eported; CD</w:t>
      </w:r>
      <w:r w:rsidR="00384D17" w:rsidRPr="00D07897">
        <w:rPr>
          <w:rFonts w:ascii="Book Antiqua" w:hAnsi="Book Antiqua" w:cs="Arial"/>
          <w:color w:val="000000" w:themeColor="text1"/>
        </w:rPr>
        <w:t>:</w:t>
      </w:r>
      <w:r w:rsidRPr="00D07897">
        <w:rPr>
          <w:rFonts w:ascii="Book Antiqua" w:hAnsi="Book Antiqua" w:cs="Arial"/>
          <w:color w:val="000000" w:themeColor="text1"/>
        </w:rPr>
        <w:t xml:space="preserve"> Crohn’s </w:t>
      </w:r>
      <w:r w:rsidR="00384D17" w:rsidRPr="00D07897">
        <w:rPr>
          <w:rFonts w:ascii="Book Antiqua" w:hAnsi="Book Antiqua" w:cs="Arial"/>
          <w:color w:val="000000" w:themeColor="text1"/>
        </w:rPr>
        <w:t>d</w:t>
      </w:r>
      <w:r w:rsidRPr="00D07897">
        <w:rPr>
          <w:rFonts w:ascii="Book Antiqua" w:hAnsi="Book Antiqua" w:cs="Arial"/>
          <w:color w:val="000000" w:themeColor="text1"/>
        </w:rPr>
        <w:t>isease; UC</w:t>
      </w:r>
      <w:r w:rsidR="00384D17" w:rsidRPr="00D07897">
        <w:rPr>
          <w:rFonts w:ascii="Book Antiqua" w:hAnsi="Book Antiqua" w:cs="Arial"/>
          <w:color w:val="000000" w:themeColor="text1"/>
        </w:rPr>
        <w:t>:</w:t>
      </w:r>
      <w:r w:rsidRPr="00D07897">
        <w:rPr>
          <w:rFonts w:ascii="Book Antiqua" w:hAnsi="Book Antiqua" w:cs="Arial"/>
          <w:color w:val="000000" w:themeColor="text1"/>
        </w:rPr>
        <w:t xml:space="preserve"> Ulcerative </w:t>
      </w:r>
      <w:r w:rsidR="00384D17" w:rsidRPr="00D07897">
        <w:rPr>
          <w:rFonts w:ascii="Book Antiqua" w:hAnsi="Book Antiqua" w:cs="Arial"/>
          <w:color w:val="000000" w:themeColor="text1"/>
        </w:rPr>
        <w:t>c</w:t>
      </w:r>
      <w:r w:rsidRPr="00D07897">
        <w:rPr>
          <w:rFonts w:ascii="Book Antiqua" w:hAnsi="Book Antiqua" w:cs="Arial"/>
          <w:color w:val="000000" w:themeColor="text1"/>
        </w:rPr>
        <w:t>olitis</w:t>
      </w:r>
      <w:r w:rsidR="00384D17" w:rsidRPr="00D07897">
        <w:rPr>
          <w:rFonts w:ascii="Book Antiqua" w:hAnsi="Book Antiqua" w:cs="Arial"/>
          <w:color w:val="000000" w:themeColor="text1"/>
        </w:rPr>
        <w:t>.</w:t>
      </w:r>
    </w:p>
    <w:p w14:paraId="1C129276" w14:textId="77777777" w:rsidR="00222864" w:rsidRPr="00D07897" w:rsidRDefault="00222864" w:rsidP="00F96F15">
      <w:pPr>
        <w:spacing w:line="360" w:lineRule="auto"/>
        <w:jc w:val="both"/>
        <w:rPr>
          <w:rFonts w:ascii="Book Antiqua" w:hAnsi="Book Antiqua" w:cs="Arial"/>
          <w:color w:val="000000" w:themeColor="text1"/>
        </w:rPr>
      </w:pPr>
    </w:p>
    <w:p w14:paraId="7C3E3931" w14:textId="4C5C25F1" w:rsidR="00384D17" w:rsidRPr="00D07897" w:rsidRDefault="00384D17">
      <w:pPr>
        <w:rPr>
          <w:rFonts w:ascii="Book Antiqua" w:hAnsi="Book Antiqua" w:cs="Arial"/>
          <w:color w:val="000000" w:themeColor="text1"/>
        </w:rPr>
      </w:pPr>
      <w:r w:rsidRPr="00D07897">
        <w:rPr>
          <w:rFonts w:ascii="Book Antiqua" w:hAnsi="Book Antiqua" w:cs="Arial"/>
          <w:color w:val="000000" w:themeColor="text1"/>
        </w:rPr>
        <w:br w:type="page"/>
      </w:r>
    </w:p>
    <w:p w14:paraId="30B5FDC3" w14:textId="7D13C531" w:rsidR="009D2B3F" w:rsidRPr="00D07897" w:rsidRDefault="009D2B3F" w:rsidP="00F96F15">
      <w:pPr>
        <w:spacing w:line="360" w:lineRule="auto"/>
        <w:jc w:val="both"/>
        <w:rPr>
          <w:rFonts w:ascii="Book Antiqua" w:hAnsi="Book Antiqua" w:cs="Arial"/>
          <w:b/>
          <w:bCs/>
          <w:color w:val="000000" w:themeColor="text1"/>
        </w:rPr>
      </w:pPr>
      <w:r w:rsidRPr="00D07897">
        <w:rPr>
          <w:rFonts w:ascii="Book Antiqua" w:hAnsi="Book Antiqua" w:cs="Arial"/>
          <w:b/>
          <w:bCs/>
          <w:color w:val="000000" w:themeColor="text1"/>
        </w:rPr>
        <w:lastRenderedPageBreak/>
        <w:t xml:space="preserve">Table 2 Components and </w:t>
      </w:r>
      <w:r w:rsidR="00384D17" w:rsidRPr="00D07897">
        <w:rPr>
          <w:rFonts w:ascii="Book Antiqua" w:hAnsi="Book Antiqua" w:cs="Arial"/>
          <w:b/>
          <w:bCs/>
          <w:color w:val="000000" w:themeColor="text1"/>
        </w:rPr>
        <w:t>interpretation of nutrition screening tools</w:t>
      </w:r>
    </w:p>
    <w:tbl>
      <w:tblPr>
        <w:tblW w:w="5000" w:type="pct"/>
        <w:tblLook w:val="04A0" w:firstRow="1" w:lastRow="0" w:firstColumn="1" w:lastColumn="0" w:noHBand="0" w:noVBand="1"/>
      </w:tblPr>
      <w:tblGrid>
        <w:gridCol w:w="1075"/>
        <w:gridCol w:w="2795"/>
        <w:gridCol w:w="2464"/>
        <w:gridCol w:w="2441"/>
        <w:gridCol w:w="1883"/>
        <w:gridCol w:w="3958"/>
      </w:tblGrid>
      <w:tr w:rsidR="00F96F15" w:rsidRPr="00D07897" w14:paraId="1F1C55AA" w14:textId="5F90F068" w:rsidTr="00384D17">
        <w:trPr>
          <w:trHeight w:val="141"/>
        </w:trPr>
        <w:tc>
          <w:tcPr>
            <w:tcW w:w="368" w:type="pct"/>
            <w:tcBorders>
              <w:top w:val="single" w:sz="4" w:space="0" w:color="auto"/>
              <w:bottom w:val="single" w:sz="4" w:space="0" w:color="auto"/>
            </w:tcBorders>
            <w:shd w:val="clear" w:color="auto" w:fill="auto"/>
            <w:vAlign w:val="center"/>
          </w:tcPr>
          <w:p w14:paraId="50D4EF3E" w14:textId="77777777" w:rsidR="00C95430" w:rsidRPr="00D07897" w:rsidRDefault="00C95430" w:rsidP="00F96F15">
            <w:pPr>
              <w:spacing w:line="360" w:lineRule="auto"/>
              <w:jc w:val="both"/>
              <w:rPr>
                <w:rFonts w:ascii="Book Antiqua" w:hAnsi="Book Antiqua" w:cs="Arial"/>
                <w:b/>
                <w:color w:val="000000" w:themeColor="text1"/>
                <w:sz w:val="21"/>
                <w:szCs w:val="21"/>
              </w:rPr>
            </w:pPr>
            <w:r w:rsidRPr="00D07897">
              <w:rPr>
                <w:rFonts w:ascii="Book Antiqua" w:hAnsi="Book Antiqua" w:cs="Arial"/>
                <w:b/>
                <w:color w:val="000000" w:themeColor="text1"/>
                <w:sz w:val="21"/>
                <w:szCs w:val="21"/>
              </w:rPr>
              <w:t>NST</w:t>
            </w:r>
          </w:p>
        </w:tc>
        <w:tc>
          <w:tcPr>
            <w:tcW w:w="956" w:type="pct"/>
            <w:tcBorders>
              <w:top w:val="single" w:sz="4" w:space="0" w:color="auto"/>
              <w:bottom w:val="single" w:sz="4" w:space="0" w:color="auto"/>
            </w:tcBorders>
            <w:shd w:val="clear" w:color="auto" w:fill="auto"/>
            <w:vAlign w:val="center"/>
          </w:tcPr>
          <w:p w14:paraId="13EAF4DB" w14:textId="5DDE99A5" w:rsidR="00C95430" w:rsidRPr="00D07897" w:rsidRDefault="00C95430" w:rsidP="00F96F15">
            <w:pPr>
              <w:spacing w:line="360" w:lineRule="auto"/>
              <w:jc w:val="both"/>
              <w:rPr>
                <w:rFonts w:ascii="Book Antiqua" w:hAnsi="Book Antiqua" w:cs="Arial"/>
                <w:b/>
                <w:color w:val="000000" w:themeColor="text1"/>
                <w:sz w:val="21"/>
                <w:szCs w:val="21"/>
              </w:rPr>
            </w:pPr>
            <w:r w:rsidRPr="00D07897">
              <w:rPr>
                <w:rFonts w:ascii="Book Antiqua" w:hAnsi="Book Antiqua" w:cs="Arial"/>
                <w:b/>
                <w:color w:val="000000" w:themeColor="text1"/>
                <w:sz w:val="21"/>
                <w:szCs w:val="21"/>
              </w:rPr>
              <w:t>NRS-2002</w:t>
            </w:r>
            <w:r w:rsidR="0023032E" w:rsidRPr="00D07897">
              <w:rPr>
                <w:rFonts w:ascii="Book Antiqua" w:hAnsi="Book Antiqua" w:cs="Arial"/>
                <w:b/>
                <w:color w:val="000000" w:themeColor="text1"/>
                <w:sz w:val="21"/>
                <w:szCs w:val="21"/>
              </w:rPr>
              <w:fldChar w:fldCharType="begin" w:fldLock="1"/>
            </w:r>
            <w:r w:rsidR="001B7C5F" w:rsidRPr="00D07897">
              <w:rPr>
                <w:rFonts w:ascii="Book Antiqua" w:hAnsi="Book Antiqua" w:cs="Arial"/>
                <w:b/>
                <w:color w:val="000000" w:themeColor="text1"/>
                <w:sz w:val="21"/>
                <w:szCs w:val="2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23032E" w:rsidRPr="00D07897">
              <w:rPr>
                <w:rFonts w:ascii="Book Antiqua" w:hAnsi="Book Antiqua" w:cs="Arial"/>
                <w:b/>
                <w:color w:val="000000" w:themeColor="text1"/>
                <w:sz w:val="21"/>
                <w:szCs w:val="21"/>
              </w:rPr>
              <w:fldChar w:fldCharType="separate"/>
            </w:r>
            <w:r w:rsidR="00596584" w:rsidRPr="00D07897">
              <w:rPr>
                <w:rFonts w:ascii="Book Antiqua" w:hAnsi="Book Antiqua" w:cs="Arial"/>
                <w:b/>
                <w:noProof/>
                <w:color w:val="000000" w:themeColor="text1"/>
                <w:sz w:val="21"/>
                <w:szCs w:val="21"/>
                <w:vertAlign w:val="superscript"/>
              </w:rPr>
              <w:t>[9]</w:t>
            </w:r>
            <w:r w:rsidR="0023032E" w:rsidRPr="00D07897">
              <w:rPr>
                <w:rFonts w:ascii="Book Antiqua" w:hAnsi="Book Antiqua" w:cs="Arial"/>
                <w:b/>
                <w:color w:val="000000" w:themeColor="text1"/>
                <w:sz w:val="21"/>
                <w:szCs w:val="21"/>
              </w:rPr>
              <w:fldChar w:fldCharType="end"/>
            </w:r>
          </w:p>
        </w:tc>
        <w:tc>
          <w:tcPr>
            <w:tcW w:w="843" w:type="pct"/>
            <w:tcBorders>
              <w:top w:val="single" w:sz="4" w:space="0" w:color="auto"/>
              <w:bottom w:val="single" w:sz="4" w:space="0" w:color="auto"/>
            </w:tcBorders>
            <w:shd w:val="clear" w:color="auto" w:fill="auto"/>
            <w:vAlign w:val="center"/>
          </w:tcPr>
          <w:p w14:paraId="37C030C1" w14:textId="46D48207" w:rsidR="00C95430" w:rsidRPr="00D07897" w:rsidRDefault="00C95430" w:rsidP="00F96F15">
            <w:pPr>
              <w:spacing w:line="360" w:lineRule="auto"/>
              <w:jc w:val="both"/>
              <w:rPr>
                <w:rFonts w:ascii="Book Antiqua" w:hAnsi="Book Antiqua" w:cs="Arial"/>
                <w:b/>
                <w:color w:val="000000" w:themeColor="text1"/>
                <w:sz w:val="21"/>
                <w:szCs w:val="21"/>
              </w:rPr>
            </w:pPr>
            <w:r w:rsidRPr="00D07897">
              <w:rPr>
                <w:rFonts w:ascii="Book Antiqua" w:hAnsi="Book Antiqua" w:cs="Arial"/>
                <w:b/>
                <w:color w:val="000000" w:themeColor="text1"/>
                <w:sz w:val="21"/>
                <w:szCs w:val="21"/>
              </w:rPr>
              <w:t>MUST</w:t>
            </w:r>
            <w:r w:rsidR="0023032E" w:rsidRPr="00D07897">
              <w:rPr>
                <w:rFonts w:ascii="Book Antiqua" w:hAnsi="Book Antiqua" w:cs="Arial"/>
                <w:b/>
                <w:color w:val="000000" w:themeColor="text1"/>
                <w:sz w:val="21"/>
                <w:szCs w:val="21"/>
              </w:rPr>
              <w:fldChar w:fldCharType="begin" w:fldLock="1"/>
            </w:r>
            <w:r w:rsidR="001B7C5F" w:rsidRPr="00D07897">
              <w:rPr>
                <w:rFonts w:ascii="Book Antiqua" w:hAnsi="Book Antiqua" w:cs="Arial"/>
                <w:b/>
                <w:color w:val="000000" w:themeColor="text1"/>
                <w:sz w:val="21"/>
                <w:szCs w:val="2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23032E" w:rsidRPr="00D07897">
              <w:rPr>
                <w:rFonts w:ascii="Book Antiqua" w:hAnsi="Book Antiqua" w:cs="Arial"/>
                <w:b/>
                <w:color w:val="000000" w:themeColor="text1"/>
                <w:sz w:val="21"/>
                <w:szCs w:val="21"/>
              </w:rPr>
              <w:fldChar w:fldCharType="separate"/>
            </w:r>
            <w:r w:rsidR="00596584" w:rsidRPr="00D07897">
              <w:rPr>
                <w:rFonts w:ascii="Book Antiqua" w:hAnsi="Book Antiqua" w:cs="Arial"/>
                <w:b/>
                <w:noProof/>
                <w:color w:val="000000" w:themeColor="text1"/>
                <w:sz w:val="21"/>
                <w:szCs w:val="21"/>
                <w:vertAlign w:val="superscript"/>
              </w:rPr>
              <w:t>[9]</w:t>
            </w:r>
            <w:r w:rsidR="0023032E" w:rsidRPr="00D07897">
              <w:rPr>
                <w:rFonts w:ascii="Book Antiqua" w:hAnsi="Book Antiqua" w:cs="Arial"/>
                <w:b/>
                <w:color w:val="000000" w:themeColor="text1"/>
                <w:sz w:val="21"/>
                <w:szCs w:val="21"/>
              </w:rPr>
              <w:fldChar w:fldCharType="end"/>
            </w:r>
          </w:p>
        </w:tc>
        <w:tc>
          <w:tcPr>
            <w:tcW w:w="835" w:type="pct"/>
            <w:tcBorders>
              <w:top w:val="single" w:sz="4" w:space="0" w:color="auto"/>
              <w:bottom w:val="single" w:sz="4" w:space="0" w:color="auto"/>
            </w:tcBorders>
            <w:shd w:val="clear" w:color="auto" w:fill="auto"/>
            <w:vAlign w:val="center"/>
          </w:tcPr>
          <w:p w14:paraId="631B229E" w14:textId="6ED3AD1B" w:rsidR="00C95430" w:rsidRPr="00D07897" w:rsidRDefault="00C95430" w:rsidP="00F96F15">
            <w:pPr>
              <w:spacing w:line="360" w:lineRule="auto"/>
              <w:jc w:val="both"/>
              <w:rPr>
                <w:rFonts w:ascii="Book Antiqua" w:hAnsi="Book Antiqua" w:cs="Arial"/>
                <w:b/>
                <w:color w:val="000000" w:themeColor="text1"/>
                <w:sz w:val="21"/>
                <w:szCs w:val="21"/>
              </w:rPr>
            </w:pPr>
            <w:r w:rsidRPr="00D07897">
              <w:rPr>
                <w:rFonts w:ascii="Book Antiqua" w:hAnsi="Book Antiqua" w:cs="Arial"/>
                <w:b/>
                <w:color w:val="000000" w:themeColor="text1"/>
                <w:sz w:val="21"/>
                <w:szCs w:val="21"/>
              </w:rPr>
              <w:t>NRI</w:t>
            </w:r>
            <w:r w:rsidR="0023032E" w:rsidRPr="00D07897">
              <w:rPr>
                <w:rFonts w:ascii="Book Antiqua" w:hAnsi="Book Antiqua" w:cs="Arial"/>
                <w:b/>
                <w:color w:val="000000" w:themeColor="text1"/>
                <w:sz w:val="21"/>
                <w:szCs w:val="21"/>
              </w:rPr>
              <w:fldChar w:fldCharType="begin" w:fldLock="1"/>
            </w:r>
            <w:r w:rsidR="001B7C5F" w:rsidRPr="00D07897">
              <w:rPr>
                <w:rFonts w:ascii="Book Antiqua" w:hAnsi="Book Antiqua" w:cs="Arial"/>
                <w:b/>
                <w:color w:val="000000" w:themeColor="text1"/>
                <w:sz w:val="21"/>
                <w:szCs w:val="21"/>
              </w:rPr>
              <w:instrText>ADDIN CSL_CITATION {"citationItems":[{"id":"ITEM-1","itemData":{"DOI":"https://dx.doi.org/10.1007/s00595-015-1257-5","ISSN":"1436-2813","abstract":"PURPOSE: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today","id":"ITEM-1","issue":"8","issued":{"date-parts":[["2016"]]},"page":"922-929","publisher-place":"Japan","title":"Influence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[27]&lt;/sup&gt;","plainTextFormattedCitation":"[27]","previouslyFormattedCitation":"&lt;sup&gt;[26]&lt;/sup&gt;"},"properties":{"noteIndex":0},"schema":"https://github.com/citation-style-language/schema/raw/master/csl-citation.json"}</w:instrText>
            </w:r>
            <w:r w:rsidR="0023032E" w:rsidRPr="00D07897">
              <w:rPr>
                <w:rFonts w:ascii="Book Antiqua" w:hAnsi="Book Antiqua" w:cs="Arial"/>
                <w:b/>
                <w:color w:val="000000" w:themeColor="text1"/>
                <w:sz w:val="21"/>
                <w:szCs w:val="21"/>
              </w:rPr>
              <w:fldChar w:fldCharType="separate"/>
            </w:r>
            <w:r w:rsidR="001B7C5F" w:rsidRPr="00D07897">
              <w:rPr>
                <w:rFonts w:ascii="Book Antiqua" w:hAnsi="Book Antiqua" w:cs="Arial"/>
                <w:noProof/>
                <w:color w:val="000000" w:themeColor="text1"/>
                <w:sz w:val="21"/>
                <w:szCs w:val="21"/>
                <w:vertAlign w:val="superscript"/>
              </w:rPr>
              <w:t>[27]</w:t>
            </w:r>
            <w:r w:rsidR="0023032E" w:rsidRPr="00D07897">
              <w:rPr>
                <w:rFonts w:ascii="Book Antiqua" w:hAnsi="Book Antiqua" w:cs="Arial"/>
                <w:b/>
                <w:color w:val="000000" w:themeColor="text1"/>
                <w:sz w:val="21"/>
                <w:szCs w:val="21"/>
              </w:rPr>
              <w:fldChar w:fldCharType="end"/>
            </w:r>
          </w:p>
        </w:tc>
        <w:tc>
          <w:tcPr>
            <w:tcW w:w="643" w:type="pct"/>
            <w:tcBorders>
              <w:top w:val="single" w:sz="4" w:space="0" w:color="auto"/>
              <w:bottom w:val="single" w:sz="4" w:space="0" w:color="auto"/>
            </w:tcBorders>
            <w:shd w:val="clear" w:color="auto" w:fill="auto"/>
            <w:vAlign w:val="center"/>
          </w:tcPr>
          <w:p w14:paraId="230C04AE" w14:textId="19AB557E" w:rsidR="00C95430" w:rsidRPr="00D07897" w:rsidRDefault="00C95430" w:rsidP="00F96F15">
            <w:pPr>
              <w:spacing w:line="360" w:lineRule="auto"/>
              <w:jc w:val="both"/>
              <w:rPr>
                <w:rFonts w:ascii="Book Antiqua" w:hAnsi="Book Antiqua" w:cs="Arial"/>
                <w:b/>
                <w:color w:val="000000" w:themeColor="text1"/>
                <w:sz w:val="21"/>
                <w:szCs w:val="21"/>
              </w:rPr>
            </w:pPr>
            <w:r w:rsidRPr="00D07897">
              <w:rPr>
                <w:rFonts w:ascii="Book Antiqua" w:hAnsi="Book Antiqua" w:cs="Arial"/>
                <w:b/>
                <w:color w:val="000000" w:themeColor="text1"/>
                <w:sz w:val="21"/>
                <w:szCs w:val="21"/>
              </w:rPr>
              <w:t>MIRT</w:t>
            </w:r>
            <w:r w:rsidR="0023032E" w:rsidRPr="00D07897">
              <w:rPr>
                <w:rFonts w:ascii="Book Antiqua" w:hAnsi="Book Antiqua" w:cs="Arial"/>
                <w:b/>
                <w:color w:val="000000" w:themeColor="text1"/>
                <w:sz w:val="21"/>
                <w:szCs w:val="21"/>
              </w:rPr>
              <w:fldChar w:fldCharType="begin" w:fldLock="1"/>
            </w:r>
            <w:r w:rsidR="001B7C5F" w:rsidRPr="00D07897">
              <w:rPr>
                <w:rFonts w:ascii="Book Antiqua" w:hAnsi="Book Antiqua" w:cs="Arial"/>
                <w:b/>
                <w:color w:val="000000" w:themeColor="text1"/>
                <w:sz w:val="21"/>
                <w:szCs w:val="2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0023032E" w:rsidRPr="00D07897">
              <w:rPr>
                <w:rFonts w:ascii="Book Antiqua" w:hAnsi="Book Antiqua" w:cs="Arial"/>
                <w:b/>
                <w:color w:val="000000" w:themeColor="text1"/>
                <w:sz w:val="21"/>
                <w:szCs w:val="21"/>
              </w:rPr>
              <w:fldChar w:fldCharType="separate"/>
            </w:r>
            <w:r w:rsidR="00596584" w:rsidRPr="00D07897">
              <w:rPr>
                <w:rFonts w:ascii="Book Antiqua" w:hAnsi="Book Antiqua" w:cs="Arial"/>
                <w:b/>
                <w:noProof/>
                <w:color w:val="000000" w:themeColor="text1"/>
                <w:sz w:val="21"/>
                <w:szCs w:val="21"/>
                <w:vertAlign w:val="superscript"/>
              </w:rPr>
              <w:t>[8]</w:t>
            </w:r>
            <w:r w:rsidR="0023032E" w:rsidRPr="00D07897">
              <w:rPr>
                <w:rFonts w:ascii="Book Antiqua" w:hAnsi="Book Antiqua" w:cs="Arial"/>
                <w:b/>
                <w:color w:val="000000" w:themeColor="text1"/>
                <w:sz w:val="21"/>
                <w:szCs w:val="21"/>
              </w:rPr>
              <w:fldChar w:fldCharType="end"/>
            </w:r>
          </w:p>
        </w:tc>
        <w:tc>
          <w:tcPr>
            <w:tcW w:w="1354" w:type="pct"/>
            <w:tcBorders>
              <w:top w:val="single" w:sz="4" w:space="0" w:color="auto"/>
              <w:bottom w:val="single" w:sz="4" w:space="0" w:color="auto"/>
            </w:tcBorders>
          </w:tcPr>
          <w:p w14:paraId="5663BC3E" w14:textId="1522725A" w:rsidR="00C95430" w:rsidRPr="00D07897" w:rsidRDefault="00C95430" w:rsidP="00F96F15">
            <w:pPr>
              <w:spacing w:line="360" w:lineRule="auto"/>
              <w:jc w:val="both"/>
              <w:rPr>
                <w:rFonts w:ascii="Book Antiqua" w:hAnsi="Book Antiqua" w:cs="Arial"/>
                <w:b/>
                <w:color w:val="000000" w:themeColor="text1"/>
                <w:sz w:val="21"/>
                <w:szCs w:val="21"/>
              </w:rPr>
            </w:pPr>
            <w:proofErr w:type="spellStart"/>
            <w:r w:rsidRPr="00D07897">
              <w:rPr>
                <w:rFonts w:ascii="Book Antiqua" w:hAnsi="Book Antiqua" w:cs="Arial"/>
                <w:b/>
                <w:color w:val="000000" w:themeColor="text1"/>
                <w:sz w:val="21"/>
                <w:szCs w:val="21"/>
              </w:rPr>
              <w:t>SaskIBD</w:t>
            </w:r>
            <w:proofErr w:type="spellEnd"/>
            <w:r w:rsidR="00384D17" w:rsidRPr="00D07897">
              <w:rPr>
                <w:rFonts w:ascii="Book Antiqua" w:hAnsi="Book Antiqua" w:cs="Arial"/>
                <w:b/>
                <w:color w:val="000000" w:themeColor="text1"/>
                <w:sz w:val="21"/>
                <w:szCs w:val="21"/>
              </w:rPr>
              <w:t>-</w:t>
            </w:r>
            <w:r w:rsidRPr="00D07897">
              <w:rPr>
                <w:rFonts w:ascii="Book Antiqua" w:hAnsi="Book Antiqua" w:cs="Arial"/>
                <w:b/>
                <w:color w:val="000000" w:themeColor="text1"/>
                <w:sz w:val="21"/>
                <w:szCs w:val="21"/>
              </w:rPr>
              <w:t>NR</w:t>
            </w:r>
            <w:r w:rsidR="0023032E" w:rsidRPr="00D07897">
              <w:rPr>
                <w:rFonts w:ascii="Book Antiqua" w:hAnsi="Book Antiqua" w:cs="Arial"/>
                <w:b/>
                <w:color w:val="000000" w:themeColor="text1"/>
                <w:sz w:val="21"/>
                <w:szCs w:val="21"/>
              </w:rPr>
              <w:fldChar w:fldCharType="begin" w:fldLock="1"/>
            </w:r>
            <w:r w:rsidR="001B7C5F" w:rsidRPr="00D07897">
              <w:rPr>
                <w:rFonts w:ascii="Book Antiqua" w:hAnsi="Book Antiqua" w:cs="Arial"/>
                <w:b/>
                <w:color w:val="000000" w:themeColor="text1"/>
                <w:sz w:val="21"/>
                <w:szCs w:val="2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23032E" w:rsidRPr="00D07897">
              <w:rPr>
                <w:rFonts w:ascii="Book Antiqua" w:hAnsi="Book Antiqua" w:cs="Arial"/>
                <w:b/>
                <w:color w:val="000000" w:themeColor="text1"/>
                <w:sz w:val="21"/>
                <w:szCs w:val="21"/>
              </w:rPr>
              <w:fldChar w:fldCharType="separate"/>
            </w:r>
            <w:r w:rsidR="001B7C5F" w:rsidRPr="00D07897">
              <w:rPr>
                <w:rFonts w:ascii="Book Antiqua" w:hAnsi="Book Antiqua" w:cs="Arial"/>
                <w:noProof/>
                <w:color w:val="000000" w:themeColor="text1"/>
                <w:sz w:val="21"/>
                <w:szCs w:val="21"/>
                <w:vertAlign w:val="superscript"/>
              </w:rPr>
              <w:t>[35]</w:t>
            </w:r>
            <w:r w:rsidR="0023032E" w:rsidRPr="00D07897">
              <w:rPr>
                <w:rFonts w:ascii="Book Antiqua" w:hAnsi="Book Antiqua" w:cs="Arial"/>
                <w:b/>
                <w:color w:val="000000" w:themeColor="text1"/>
                <w:sz w:val="21"/>
                <w:szCs w:val="21"/>
              </w:rPr>
              <w:fldChar w:fldCharType="end"/>
            </w:r>
            <w:r w:rsidRPr="00D07897">
              <w:rPr>
                <w:rFonts w:ascii="Book Antiqua" w:hAnsi="Book Antiqua" w:cs="Arial"/>
                <w:b/>
                <w:color w:val="000000" w:themeColor="text1"/>
                <w:sz w:val="21"/>
                <w:szCs w:val="21"/>
              </w:rPr>
              <w:t xml:space="preserve"> </w:t>
            </w:r>
          </w:p>
        </w:tc>
      </w:tr>
      <w:tr w:rsidR="00F96F15" w:rsidRPr="00D07897" w14:paraId="66A779B3" w14:textId="4B397708" w:rsidTr="00384D17">
        <w:trPr>
          <w:trHeight w:val="170"/>
        </w:trPr>
        <w:tc>
          <w:tcPr>
            <w:tcW w:w="3646" w:type="pct"/>
            <w:gridSpan w:val="5"/>
            <w:tcBorders>
              <w:top w:val="single" w:sz="4" w:space="0" w:color="auto"/>
            </w:tcBorders>
            <w:shd w:val="clear" w:color="auto" w:fill="auto"/>
          </w:tcPr>
          <w:p w14:paraId="1D0F150E" w14:textId="77777777" w:rsidR="00C95430" w:rsidRPr="00D07897" w:rsidRDefault="00C95430" w:rsidP="00F96F15">
            <w:pPr>
              <w:spacing w:line="360" w:lineRule="auto"/>
              <w:jc w:val="both"/>
              <w:rPr>
                <w:rFonts w:ascii="Book Antiqua" w:hAnsi="Book Antiqua" w:cs="Arial"/>
                <w:b/>
                <w:color w:val="000000" w:themeColor="text1"/>
                <w:sz w:val="21"/>
                <w:szCs w:val="21"/>
              </w:rPr>
            </w:pPr>
            <w:r w:rsidRPr="00D07897">
              <w:rPr>
                <w:rFonts w:ascii="Book Antiqua" w:hAnsi="Book Antiqua" w:cs="Arial"/>
                <w:b/>
                <w:color w:val="000000" w:themeColor="text1"/>
                <w:sz w:val="21"/>
                <w:szCs w:val="21"/>
              </w:rPr>
              <w:t>NST components</w:t>
            </w:r>
          </w:p>
        </w:tc>
        <w:tc>
          <w:tcPr>
            <w:tcW w:w="1354" w:type="pct"/>
            <w:tcBorders>
              <w:top w:val="single" w:sz="4" w:space="0" w:color="auto"/>
            </w:tcBorders>
          </w:tcPr>
          <w:p w14:paraId="769845F2" w14:textId="77777777" w:rsidR="00C95430" w:rsidRPr="00D07897" w:rsidRDefault="00C95430" w:rsidP="00F96F15">
            <w:pPr>
              <w:spacing w:line="360" w:lineRule="auto"/>
              <w:jc w:val="both"/>
              <w:rPr>
                <w:rFonts w:ascii="Book Antiqua" w:hAnsi="Book Antiqua" w:cs="Arial"/>
                <w:b/>
                <w:color w:val="000000" w:themeColor="text1"/>
                <w:sz w:val="21"/>
                <w:szCs w:val="21"/>
              </w:rPr>
            </w:pPr>
          </w:p>
        </w:tc>
      </w:tr>
      <w:tr w:rsidR="00F96F15" w:rsidRPr="00D07897" w14:paraId="6D8587F8" w14:textId="4AC03F29" w:rsidTr="00A629BF">
        <w:trPr>
          <w:trHeight w:val="2598"/>
        </w:trPr>
        <w:tc>
          <w:tcPr>
            <w:tcW w:w="368" w:type="pct"/>
            <w:shd w:val="clear" w:color="auto" w:fill="auto"/>
          </w:tcPr>
          <w:p w14:paraId="41F4AA09" w14:textId="77777777" w:rsidR="00C95430" w:rsidRPr="00D07897" w:rsidRDefault="00C95430" w:rsidP="00F96F15">
            <w:pPr>
              <w:spacing w:line="360" w:lineRule="auto"/>
              <w:jc w:val="both"/>
              <w:rPr>
                <w:rFonts w:ascii="Book Antiqua" w:hAnsi="Book Antiqua" w:cs="Arial"/>
                <w:color w:val="000000" w:themeColor="text1"/>
                <w:sz w:val="21"/>
                <w:szCs w:val="21"/>
              </w:rPr>
            </w:pPr>
          </w:p>
        </w:tc>
        <w:tc>
          <w:tcPr>
            <w:tcW w:w="956" w:type="pct"/>
            <w:shd w:val="clear" w:color="auto" w:fill="auto"/>
          </w:tcPr>
          <w:p w14:paraId="622BE539" w14:textId="6DA11C7C"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 xml:space="preserve">Initial </w:t>
            </w:r>
            <w:r w:rsidR="00384D17" w:rsidRPr="00D07897">
              <w:rPr>
                <w:rFonts w:ascii="Book Antiqua" w:hAnsi="Book Antiqua" w:cs="Arial"/>
                <w:color w:val="000000" w:themeColor="text1"/>
                <w:sz w:val="21"/>
                <w:szCs w:val="21"/>
              </w:rPr>
              <w:t>s</w:t>
            </w:r>
            <w:r w:rsidRPr="00D07897">
              <w:rPr>
                <w:rFonts w:ascii="Book Antiqua" w:hAnsi="Book Antiqua" w:cs="Arial"/>
                <w:color w:val="000000" w:themeColor="text1"/>
                <w:sz w:val="21"/>
                <w:szCs w:val="21"/>
              </w:rPr>
              <w:t>creening</w:t>
            </w:r>
          </w:p>
          <w:p w14:paraId="4905A043" w14:textId="77777777"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BMI</w:t>
            </w:r>
          </w:p>
          <w:p w14:paraId="77E1FB09" w14:textId="58CEC512"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 xml:space="preserve">Weight loss (last 6 </w:t>
            </w:r>
            <w:proofErr w:type="spellStart"/>
            <w:r w:rsidRPr="00D07897">
              <w:rPr>
                <w:rFonts w:ascii="Book Antiqua" w:hAnsi="Book Antiqua" w:cs="Arial"/>
                <w:color w:val="000000" w:themeColor="text1"/>
                <w:sz w:val="21"/>
                <w:szCs w:val="21"/>
              </w:rPr>
              <w:t>mo</w:t>
            </w:r>
            <w:proofErr w:type="spellEnd"/>
            <w:r w:rsidRPr="00D07897">
              <w:rPr>
                <w:rFonts w:ascii="Book Antiqua" w:hAnsi="Book Antiqua" w:cs="Arial"/>
                <w:color w:val="000000" w:themeColor="text1"/>
                <w:sz w:val="21"/>
                <w:szCs w:val="21"/>
              </w:rPr>
              <w:t xml:space="preserve">) </w:t>
            </w:r>
          </w:p>
          <w:p w14:paraId="33687A29" w14:textId="1BA3604B"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 xml:space="preserve">Dietary </w:t>
            </w:r>
            <w:r w:rsidR="00384D17" w:rsidRPr="00D07897">
              <w:rPr>
                <w:rFonts w:ascii="Book Antiqua" w:hAnsi="Book Antiqua" w:cs="Arial"/>
                <w:color w:val="000000" w:themeColor="text1"/>
                <w:sz w:val="21"/>
                <w:szCs w:val="21"/>
              </w:rPr>
              <w:t>i</w:t>
            </w:r>
            <w:r w:rsidRPr="00D07897">
              <w:rPr>
                <w:rFonts w:ascii="Book Antiqua" w:hAnsi="Book Antiqua" w:cs="Arial"/>
                <w:color w:val="000000" w:themeColor="text1"/>
                <w:sz w:val="21"/>
                <w:szCs w:val="21"/>
              </w:rPr>
              <w:t>ntake (last week)</w:t>
            </w:r>
          </w:p>
          <w:p w14:paraId="4A235454" w14:textId="77777777"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ICU patient</w:t>
            </w:r>
          </w:p>
          <w:p w14:paraId="486707C3" w14:textId="77777777" w:rsidR="00C95430" w:rsidRPr="00D07897" w:rsidRDefault="00C95430" w:rsidP="00F96F15">
            <w:pPr>
              <w:spacing w:line="360" w:lineRule="auto"/>
              <w:jc w:val="both"/>
              <w:rPr>
                <w:rFonts w:ascii="Book Antiqua" w:hAnsi="Book Antiqua" w:cs="Arial"/>
                <w:color w:val="000000" w:themeColor="text1"/>
                <w:sz w:val="21"/>
                <w:szCs w:val="21"/>
              </w:rPr>
            </w:pPr>
          </w:p>
          <w:p w14:paraId="33A1973C" w14:textId="07D8602A" w:rsidR="00C95430" w:rsidRPr="00D07897" w:rsidRDefault="00C95430" w:rsidP="00F96F15">
            <w:pPr>
              <w:spacing w:line="360" w:lineRule="auto"/>
              <w:jc w:val="both"/>
              <w:rPr>
                <w:rFonts w:ascii="Book Antiqua" w:hAnsi="Book Antiqua" w:cs="Arial"/>
                <w:color w:val="000000" w:themeColor="text1"/>
                <w:sz w:val="21"/>
                <w:szCs w:val="21"/>
                <w:vertAlign w:val="superscript"/>
              </w:rPr>
            </w:pPr>
            <w:r w:rsidRPr="00D07897">
              <w:rPr>
                <w:rFonts w:ascii="Book Antiqua" w:hAnsi="Book Antiqua" w:cs="Arial"/>
                <w:color w:val="000000" w:themeColor="text1"/>
                <w:sz w:val="21"/>
                <w:szCs w:val="21"/>
              </w:rPr>
              <w:t>Final Screening</w:t>
            </w:r>
            <w:r w:rsidR="001908E5" w:rsidRPr="00D07897">
              <w:rPr>
                <w:rFonts w:ascii="Book Antiqua" w:hAnsi="Book Antiqua" w:cs="Arial"/>
                <w:color w:val="000000" w:themeColor="text1"/>
                <w:sz w:val="21"/>
                <w:szCs w:val="21"/>
                <w:vertAlign w:val="superscript"/>
              </w:rPr>
              <w:t>1</w:t>
            </w:r>
          </w:p>
          <w:p w14:paraId="5933B901" w14:textId="77777777"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Weight loss</w:t>
            </w:r>
          </w:p>
          <w:p w14:paraId="304D3DE5" w14:textId="77777777"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Food intake</w:t>
            </w:r>
          </w:p>
          <w:p w14:paraId="1E4C4E90" w14:textId="76E3E6DD" w:rsidR="00C95430" w:rsidRPr="00D07897" w:rsidRDefault="00C95430" w:rsidP="00F96F15">
            <w:pPr>
              <w:spacing w:line="360" w:lineRule="auto"/>
              <w:jc w:val="both"/>
              <w:rPr>
                <w:rFonts w:ascii="Book Antiqua" w:hAnsi="Book Antiqua" w:cs="Arial"/>
                <w:color w:val="000000" w:themeColor="text1"/>
                <w:sz w:val="21"/>
                <w:szCs w:val="21"/>
                <w:vertAlign w:val="superscript"/>
              </w:rPr>
            </w:pPr>
            <w:r w:rsidRPr="00D07897">
              <w:rPr>
                <w:rFonts w:ascii="Book Antiqua" w:hAnsi="Book Antiqua" w:cs="Arial"/>
                <w:color w:val="000000" w:themeColor="text1"/>
                <w:sz w:val="21"/>
                <w:szCs w:val="21"/>
              </w:rPr>
              <w:t>Disease severity</w:t>
            </w:r>
            <w:r w:rsidR="001908E5" w:rsidRPr="00D07897">
              <w:rPr>
                <w:rFonts w:ascii="Book Antiqua" w:hAnsi="Book Antiqua" w:cs="Arial"/>
                <w:color w:val="000000" w:themeColor="text1"/>
                <w:sz w:val="21"/>
                <w:szCs w:val="21"/>
                <w:vertAlign w:val="superscript"/>
              </w:rPr>
              <w:t>2</w:t>
            </w:r>
          </w:p>
        </w:tc>
        <w:tc>
          <w:tcPr>
            <w:tcW w:w="843" w:type="pct"/>
            <w:shd w:val="clear" w:color="auto" w:fill="auto"/>
          </w:tcPr>
          <w:p w14:paraId="706EB204" w14:textId="77777777"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BMI</w:t>
            </w:r>
          </w:p>
          <w:p w14:paraId="61B03D23" w14:textId="65B1CFF8"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 xml:space="preserve">Weight loss (last 3-6 </w:t>
            </w:r>
            <w:proofErr w:type="spellStart"/>
            <w:r w:rsidRPr="00D07897">
              <w:rPr>
                <w:rFonts w:ascii="Book Antiqua" w:hAnsi="Book Antiqua" w:cs="Arial"/>
                <w:color w:val="000000" w:themeColor="text1"/>
                <w:sz w:val="21"/>
                <w:szCs w:val="21"/>
              </w:rPr>
              <w:t>mo</w:t>
            </w:r>
            <w:proofErr w:type="spellEnd"/>
            <w:r w:rsidRPr="00D07897">
              <w:rPr>
                <w:rFonts w:ascii="Book Antiqua" w:hAnsi="Book Antiqua" w:cs="Arial"/>
                <w:color w:val="000000" w:themeColor="text1"/>
                <w:sz w:val="21"/>
                <w:szCs w:val="21"/>
              </w:rPr>
              <w:t>)</w:t>
            </w:r>
          </w:p>
          <w:p w14:paraId="412640F4" w14:textId="1BA36083" w:rsidR="00C95430" w:rsidRPr="00D07897" w:rsidRDefault="00C95430" w:rsidP="00F96F15">
            <w:pPr>
              <w:spacing w:line="360" w:lineRule="auto"/>
              <w:jc w:val="both"/>
              <w:rPr>
                <w:rFonts w:ascii="Book Antiqua" w:hAnsi="Book Antiqua" w:cs="Arial"/>
                <w:color w:val="000000" w:themeColor="text1"/>
                <w:sz w:val="21"/>
                <w:szCs w:val="21"/>
                <w:vertAlign w:val="superscript"/>
              </w:rPr>
            </w:pPr>
            <w:r w:rsidRPr="00D07897">
              <w:rPr>
                <w:rFonts w:ascii="Book Antiqua" w:hAnsi="Book Antiqua" w:cs="Arial"/>
                <w:color w:val="000000" w:themeColor="text1"/>
                <w:sz w:val="21"/>
                <w:szCs w:val="21"/>
              </w:rPr>
              <w:t>Acute disease effect</w:t>
            </w:r>
            <w:r w:rsidR="001908E5" w:rsidRPr="00D07897">
              <w:rPr>
                <w:rFonts w:ascii="Book Antiqua" w:hAnsi="Book Antiqua" w:cs="Arial"/>
                <w:color w:val="000000" w:themeColor="text1"/>
                <w:sz w:val="21"/>
                <w:szCs w:val="21"/>
                <w:vertAlign w:val="superscript"/>
              </w:rPr>
              <w:t>3</w:t>
            </w:r>
          </w:p>
        </w:tc>
        <w:tc>
          <w:tcPr>
            <w:tcW w:w="835" w:type="pct"/>
            <w:shd w:val="clear" w:color="auto" w:fill="auto"/>
          </w:tcPr>
          <w:p w14:paraId="7396B74A" w14:textId="7A771D50"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 xml:space="preserve">Serum </w:t>
            </w:r>
            <w:r w:rsidR="00A629BF" w:rsidRPr="00D07897">
              <w:rPr>
                <w:rFonts w:ascii="Book Antiqua" w:hAnsi="Book Antiqua" w:cs="Arial"/>
                <w:color w:val="000000" w:themeColor="text1"/>
                <w:sz w:val="21"/>
                <w:szCs w:val="21"/>
              </w:rPr>
              <w:t>a</w:t>
            </w:r>
            <w:r w:rsidRPr="00D07897">
              <w:rPr>
                <w:rFonts w:ascii="Book Antiqua" w:hAnsi="Book Antiqua" w:cs="Arial"/>
                <w:color w:val="000000" w:themeColor="text1"/>
                <w:sz w:val="21"/>
                <w:szCs w:val="21"/>
              </w:rPr>
              <w:t>lbumin</w:t>
            </w:r>
          </w:p>
          <w:p w14:paraId="78028C3D" w14:textId="7DD0E038"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Present weight/</w:t>
            </w:r>
            <w:r w:rsidR="00384D17" w:rsidRPr="00D07897">
              <w:rPr>
                <w:rFonts w:ascii="Book Antiqua" w:hAnsi="Book Antiqua" w:cs="Arial"/>
                <w:color w:val="000000" w:themeColor="text1"/>
                <w:sz w:val="21"/>
                <w:szCs w:val="21"/>
              </w:rPr>
              <w:t>u</w:t>
            </w:r>
            <w:r w:rsidRPr="00D07897">
              <w:rPr>
                <w:rFonts w:ascii="Book Antiqua" w:hAnsi="Book Antiqua" w:cs="Arial"/>
                <w:color w:val="000000" w:themeColor="text1"/>
                <w:sz w:val="21"/>
                <w:szCs w:val="21"/>
              </w:rPr>
              <w:t>sual weight</w:t>
            </w:r>
          </w:p>
        </w:tc>
        <w:tc>
          <w:tcPr>
            <w:tcW w:w="643" w:type="pct"/>
            <w:shd w:val="clear" w:color="auto" w:fill="auto"/>
          </w:tcPr>
          <w:p w14:paraId="14CAF1D4" w14:textId="77777777"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BMI</w:t>
            </w:r>
          </w:p>
          <w:p w14:paraId="48AC1A9F" w14:textId="5136B543"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 xml:space="preserve">Weight loss (last 3 </w:t>
            </w:r>
            <w:proofErr w:type="spellStart"/>
            <w:r w:rsidRPr="00D07897">
              <w:rPr>
                <w:rFonts w:ascii="Book Antiqua" w:hAnsi="Book Antiqua" w:cs="Arial"/>
                <w:color w:val="000000" w:themeColor="text1"/>
                <w:sz w:val="21"/>
                <w:szCs w:val="21"/>
              </w:rPr>
              <w:t>mo</w:t>
            </w:r>
            <w:proofErr w:type="spellEnd"/>
            <w:r w:rsidRPr="00D07897">
              <w:rPr>
                <w:rFonts w:ascii="Book Antiqua" w:hAnsi="Book Antiqua" w:cs="Arial"/>
                <w:color w:val="000000" w:themeColor="text1"/>
                <w:sz w:val="21"/>
                <w:szCs w:val="21"/>
              </w:rPr>
              <w:t>)</w:t>
            </w:r>
          </w:p>
          <w:p w14:paraId="0D861FFB" w14:textId="77777777"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CRP</w:t>
            </w:r>
          </w:p>
        </w:tc>
        <w:tc>
          <w:tcPr>
            <w:tcW w:w="1354" w:type="pct"/>
          </w:tcPr>
          <w:p w14:paraId="0CE2B677" w14:textId="66CC41B8" w:rsidR="00C95430" w:rsidRPr="00D07897" w:rsidRDefault="005206E6"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Symptoms (</w:t>
            </w:r>
            <w:r w:rsidR="00CA5ECE" w:rsidRPr="00D07897">
              <w:rPr>
                <w:rFonts w:ascii="Book Antiqua" w:hAnsi="Book Antiqua" w:cs="Arial"/>
                <w:color w:val="000000" w:themeColor="text1"/>
                <w:sz w:val="21"/>
                <w:szCs w:val="21"/>
              </w:rPr>
              <w:t xml:space="preserve">nausea/vomiting/diarrhea/poor appetite &gt; 2 </w:t>
            </w:r>
            <w:proofErr w:type="spellStart"/>
            <w:r w:rsidR="00CA5ECE" w:rsidRPr="00D07897">
              <w:rPr>
                <w:rFonts w:ascii="Book Antiqua" w:hAnsi="Book Antiqua" w:cs="Arial"/>
                <w:color w:val="000000" w:themeColor="text1"/>
                <w:sz w:val="21"/>
                <w:szCs w:val="21"/>
              </w:rPr>
              <w:t>wk</w:t>
            </w:r>
            <w:proofErr w:type="spellEnd"/>
            <w:r w:rsidRPr="00D07897">
              <w:rPr>
                <w:rFonts w:ascii="Book Antiqua" w:hAnsi="Book Antiqua" w:cs="Arial"/>
                <w:color w:val="000000" w:themeColor="text1"/>
                <w:sz w:val="21"/>
                <w:szCs w:val="21"/>
              </w:rPr>
              <w:t>)</w:t>
            </w:r>
          </w:p>
          <w:p w14:paraId="375153FC" w14:textId="77777777" w:rsidR="00CA5ECE" w:rsidRPr="00D07897" w:rsidRDefault="00CA5ECE"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Weight loss (last month)</w:t>
            </w:r>
          </w:p>
          <w:p w14:paraId="7FAA8859" w14:textId="537BBA01" w:rsidR="00CA5ECE" w:rsidRPr="00D07897" w:rsidRDefault="005206E6"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Anorexia</w:t>
            </w:r>
          </w:p>
          <w:p w14:paraId="4C43F79D" w14:textId="7BFABC11" w:rsidR="00CA5ECE" w:rsidRPr="00D07897" w:rsidRDefault="005206E6"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 xml:space="preserve">Food </w:t>
            </w:r>
            <w:r w:rsidR="00A629BF" w:rsidRPr="00D07897">
              <w:rPr>
                <w:rFonts w:ascii="Book Antiqua" w:hAnsi="Book Antiqua" w:cs="Arial"/>
                <w:color w:val="000000" w:themeColor="text1"/>
                <w:sz w:val="21"/>
                <w:szCs w:val="21"/>
              </w:rPr>
              <w:t>r</w:t>
            </w:r>
            <w:r w:rsidRPr="00D07897">
              <w:rPr>
                <w:rFonts w:ascii="Book Antiqua" w:hAnsi="Book Antiqua" w:cs="Arial"/>
                <w:color w:val="000000" w:themeColor="text1"/>
                <w:sz w:val="21"/>
                <w:szCs w:val="21"/>
              </w:rPr>
              <w:t>estriction</w:t>
            </w:r>
          </w:p>
        </w:tc>
      </w:tr>
      <w:tr w:rsidR="00F96F15" w:rsidRPr="00D07897" w14:paraId="36E7BAC6" w14:textId="667F1534" w:rsidTr="00384D17">
        <w:trPr>
          <w:trHeight w:val="278"/>
        </w:trPr>
        <w:tc>
          <w:tcPr>
            <w:tcW w:w="3646" w:type="pct"/>
            <w:gridSpan w:val="5"/>
            <w:shd w:val="clear" w:color="auto" w:fill="auto"/>
          </w:tcPr>
          <w:p w14:paraId="36BE203E" w14:textId="77777777" w:rsidR="00C95430" w:rsidRPr="00D07897" w:rsidRDefault="00C95430" w:rsidP="00F96F15">
            <w:pPr>
              <w:spacing w:line="360" w:lineRule="auto"/>
              <w:jc w:val="both"/>
              <w:rPr>
                <w:rFonts w:ascii="Book Antiqua" w:hAnsi="Book Antiqua" w:cs="Arial"/>
                <w:b/>
                <w:color w:val="000000" w:themeColor="text1"/>
                <w:sz w:val="21"/>
                <w:szCs w:val="21"/>
              </w:rPr>
            </w:pPr>
            <w:r w:rsidRPr="00D07897">
              <w:rPr>
                <w:rFonts w:ascii="Book Antiqua" w:hAnsi="Book Antiqua" w:cs="Arial"/>
                <w:b/>
                <w:color w:val="000000" w:themeColor="text1"/>
                <w:sz w:val="21"/>
                <w:szCs w:val="21"/>
              </w:rPr>
              <w:t>NST score indicating risk of malnutrition</w:t>
            </w:r>
          </w:p>
        </w:tc>
        <w:tc>
          <w:tcPr>
            <w:tcW w:w="1354" w:type="pct"/>
          </w:tcPr>
          <w:p w14:paraId="345D5D8F" w14:textId="77777777" w:rsidR="00C95430" w:rsidRPr="00D07897" w:rsidRDefault="00C95430" w:rsidP="00F96F15">
            <w:pPr>
              <w:spacing w:line="360" w:lineRule="auto"/>
              <w:jc w:val="both"/>
              <w:rPr>
                <w:rFonts w:ascii="Book Antiqua" w:hAnsi="Book Antiqua" w:cs="Arial"/>
                <w:color w:val="000000" w:themeColor="text1"/>
                <w:sz w:val="21"/>
                <w:szCs w:val="21"/>
              </w:rPr>
            </w:pPr>
          </w:p>
        </w:tc>
      </w:tr>
      <w:tr w:rsidR="00F96F15" w:rsidRPr="00D07897" w14:paraId="577F6BAA" w14:textId="7CDAFF7A" w:rsidTr="00A629BF">
        <w:trPr>
          <w:trHeight w:val="1005"/>
        </w:trPr>
        <w:tc>
          <w:tcPr>
            <w:tcW w:w="368" w:type="pct"/>
            <w:tcBorders>
              <w:bottom w:val="single" w:sz="4" w:space="0" w:color="auto"/>
            </w:tcBorders>
            <w:shd w:val="clear" w:color="auto" w:fill="auto"/>
          </w:tcPr>
          <w:p w14:paraId="72F50602" w14:textId="77777777" w:rsidR="00C95430" w:rsidRPr="00D07897" w:rsidRDefault="00C95430" w:rsidP="00F96F15">
            <w:pPr>
              <w:spacing w:line="360" w:lineRule="auto"/>
              <w:jc w:val="both"/>
              <w:rPr>
                <w:rFonts w:ascii="Book Antiqua" w:hAnsi="Book Antiqua" w:cs="Arial"/>
                <w:color w:val="000000" w:themeColor="text1"/>
                <w:sz w:val="21"/>
                <w:szCs w:val="21"/>
              </w:rPr>
            </w:pPr>
          </w:p>
        </w:tc>
        <w:tc>
          <w:tcPr>
            <w:tcW w:w="956" w:type="pct"/>
            <w:tcBorders>
              <w:bottom w:val="single" w:sz="4" w:space="0" w:color="auto"/>
            </w:tcBorders>
            <w:shd w:val="clear" w:color="auto" w:fill="auto"/>
          </w:tcPr>
          <w:p w14:paraId="3CF470E4" w14:textId="788603B9"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0</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Low</w:t>
            </w:r>
          </w:p>
          <w:p w14:paraId="089B9F8B" w14:textId="4FE49F50"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1</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Mild</w:t>
            </w:r>
          </w:p>
          <w:p w14:paraId="55443A43" w14:textId="46C63122"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2</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Moderate</w:t>
            </w:r>
          </w:p>
          <w:p w14:paraId="357C00F8" w14:textId="20EC4A7F"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sym w:font="Symbol" w:char="F0B3"/>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3</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 xml:space="preserve">High </w:t>
            </w:r>
          </w:p>
        </w:tc>
        <w:tc>
          <w:tcPr>
            <w:tcW w:w="843" w:type="pct"/>
            <w:tcBorders>
              <w:bottom w:val="single" w:sz="4" w:space="0" w:color="auto"/>
            </w:tcBorders>
            <w:shd w:val="clear" w:color="auto" w:fill="auto"/>
          </w:tcPr>
          <w:p w14:paraId="713E01C2" w14:textId="31D3F0D3"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0</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 xml:space="preserve">Low </w:t>
            </w:r>
          </w:p>
          <w:p w14:paraId="72D65D3E" w14:textId="38226450"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1</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 xml:space="preserve">Medium </w:t>
            </w:r>
          </w:p>
          <w:p w14:paraId="24C417C6" w14:textId="09C8B6F7"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sym w:font="Symbol" w:char="F0B3"/>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2</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 xml:space="preserve">High </w:t>
            </w:r>
          </w:p>
        </w:tc>
        <w:tc>
          <w:tcPr>
            <w:tcW w:w="835" w:type="pct"/>
            <w:tcBorders>
              <w:bottom w:val="single" w:sz="4" w:space="0" w:color="auto"/>
            </w:tcBorders>
            <w:shd w:val="clear" w:color="auto" w:fill="auto"/>
          </w:tcPr>
          <w:p w14:paraId="12FB91E2" w14:textId="065CABBF"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&gt;</w:t>
            </w:r>
            <w:r w:rsidR="00A629BF" w:rsidRPr="00D07897">
              <w:rPr>
                <w:rFonts w:ascii="Book Antiqua" w:hAnsi="Book Antiqua" w:cs="Arial"/>
                <w:color w:val="000000" w:themeColor="text1"/>
                <w:sz w:val="21"/>
                <w:szCs w:val="21"/>
              </w:rPr>
              <w:t xml:space="preserve"> </w:t>
            </w:r>
            <w:r w:rsidR="00583B9C" w:rsidRPr="00D07897">
              <w:rPr>
                <w:rFonts w:ascii="Book Antiqua" w:hAnsi="Book Antiqua" w:cs="Arial"/>
                <w:color w:val="000000" w:themeColor="text1"/>
                <w:sz w:val="21"/>
                <w:szCs w:val="21"/>
              </w:rPr>
              <w:t>97.5</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 xml:space="preserve">= </w:t>
            </w:r>
            <w:r w:rsidR="00583B9C" w:rsidRPr="00D07897">
              <w:rPr>
                <w:rFonts w:ascii="Book Antiqua" w:hAnsi="Book Antiqua" w:cs="Arial"/>
                <w:color w:val="000000" w:themeColor="text1"/>
                <w:sz w:val="21"/>
                <w:szCs w:val="21"/>
              </w:rPr>
              <w:t>No</w:t>
            </w:r>
            <w:r w:rsidRPr="00D07897">
              <w:rPr>
                <w:rFonts w:ascii="Book Antiqua" w:hAnsi="Book Antiqua" w:cs="Arial"/>
                <w:color w:val="000000" w:themeColor="text1"/>
                <w:sz w:val="21"/>
                <w:szCs w:val="21"/>
              </w:rPr>
              <w:t xml:space="preserve"> Risk</w:t>
            </w:r>
          </w:p>
          <w:p w14:paraId="58184312" w14:textId="18CE436D"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83.5</w:t>
            </w:r>
            <w:r w:rsidR="00A152BF" w:rsidRPr="00D07897">
              <w:rPr>
                <w:rFonts w:ascii="Book Antiqua" w:hAnsi="Book Antiqua" w:cs="Arial"/>
                <w:color w:val="000000" w:themeColor="text1"/>
                <w:sz w:val="21"/>
                <w:szCs w:val="21"/>
              </w:rPr>
              <w:t>-</w:t>
            </w:r>
            <w:r w:rsidRPr="00D07897">
              <w:rPr>
                <w:rFonts w:ascii="Book Antiqua" w:hAnsi="Book Antiqua" w:cs="Arial"/>
                <w:color w:val="000000" w:themeColor="text1"/>
                <w:sz w:val="21"/>
                <w:szCs w:val="21"/>
              </w:rPr>
              <w:t>97.5</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 xml:space="preserve">Moderate </w:t>
            </w:r>
          </w:p>
          <w:p w14:paraId="35D1FDAE" w14:textId="4F7C1EAC"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&lt;</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83.5</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 xml:space="preserve">High </w:t>
            </w:r>
          </w:p>
        </w:tc>
        <w:tc>
          <w:tcPr>
            <w:tcW w:w="643" w:type="pct"/>
            <w:tcBorders>
              <w:bottom w:val="single" w:sz="4" w:space="0" w:color="auto"/>
            </w:tcBorders>
            <w:shd w:val="clear" w:color="auto" w:fill="auto"/>
          </w:tcPr>
          <w:p w14:paraId="53FDC484" w14:textId="6A69F685"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Score range</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0-8 0</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 xml:space="preserve">Lowest </w:t>
            </w:r>
          </w:p>
          <w:p w14:paraId="4968E0A8" w14:textId="27D4632D" w:rsidR="00C95430" w:rsidRPr="00D07897" w:rsidRDefault="00C95430"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8</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 xml:space="preserve">Highest </w:t>
            </w:r>
          </w:p>
        </w:tc>
        <w:tc>
          <w:tcPr>
            <w:tcW w:w="1354" w:type="pct"/>
            <w:tcBorders>
              <w:bottom w:val="single" w:sz="4" w:space="0" w:color="auto"/>
            </w:tcBorders>
          </w:tcPr>
          <w:p w14:paraId="67709CAB" w14:textId="2F278813" w:rsidR="00C95430" w:rsidRPr="00D07897" w:rsidRDefault="00CA5ECE"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0</w:t>
            </w:r>
            <w:r w:rsidR="00A629BF" w:rsidRPr="00D07897">
              <w:rPr>
                <w:rFonts w:ascii="Book Antiqua" w:hAnsi="Book Antiqua" w:cs="Arial"/>
                <w:color w:val="000000" w:themeColor="text1"/>
                <w:sz w:val="21"/>
                <w:szCs w:val="21"/>
              </w:rPr>
              <w:t>-</w:t>
            </w:r>
            <w:r w:rsidRPr="00D07897">
              <w:rPr>
                <w:rFonts w:ascii="Book Antiqua" w:hAnsi="Book Antiqua" w:cs="Arial"/>
                <w:color w:val="000000" w:themeColor="text1"/>
                <w:sz w:val="21"/>
                <w:szCs w:val="21"/>
              </w:rPr>
              <w:t xml:space="preserve">2 = Low </w:t>
            </w:r>
            <w:r w:rsidR="00A629BF" w:rsidRPr="00D07897">
              <w:rPr>
                <w:rFonts w:ascii="Book Antiqua" w:hAnsi="Book Antiqua" w:cs="Arial"/>
                <w:color w:val="000000" w:themeColor="text1"/>
                <w:sz w:val="21"/>
                <w:szCs w:val="21"/>
              </w:rPr>
              <w:t>r</w:t>
            </w:r>
            <w:r w:rsidRPr="00D07897">
              <w:rPr>
                <w:rFonts w:ascii="Book Antiqua" w:hAnsi="Book Antiqua" w:cs="Arial"/>
                <w:color w:val="000000" w:themeColor="text1"/>
                <w:sz w:val="21"/>
                <w:szCs w:val="21"/>
              </w:rPr>
              <w:t>isk</w:t>
            </w:r>
          </w:p>
          <w:p w14:paraId="7ABA4F7A" w14:textId="7247965B" w:rsidR="00CA5ECE" w:rsidRPr="00D07897" w:rsidRDefault="00CA5ECE"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3</w:t>
            </w:r>
            <w:r w:rsidR="00A629BF" w:rsidRPr="00D07897">
              <w:rPr>
                <w:rFonts w:ascii="Book Antiqua" w:hAnsi="Book Antiqua" w:cs="Arial"/>
                <w:color w:val="000000" w:themeColor="text1"/>
                <w:sz w:val="21"/>
                <w:szCs w:val="21"/>
              </w:rPr>
              <w:t>-</w:t>
            </w:r>
            <w:r w:rsidRPr="00D07897">
              <w:rPr>
                <w:rFonts w:ascii="Book Antiqua" w:hAnsi="Book Antiqua" w:cs="Arial"/>
                <w:color w:val="000000" w:themeColor="text1"/>
                <w:sz w:val="21"/>
                <w:szCs w:val="21"/>
              </w:rPr>
              <w:t xml:space="preserve">4 = Medium </w:t>
            </w:r>
            <w:r w:rsidR="00A629BF" w:rsidRPr="00D07897">
              <w:rPr>
                <w:rFonts w:ascii="Book Antiqua" w:hAnsi="Book Antiqua" w:cs="Arial"/>
                <w:color w:val="000000" w:themeColor="text1"/>
                <w:sz w:val="21"/>
                <w:szCs w:val="21"/>
              </w:rPr>
              <w:t>r</w:t>
            </w:r>
            <w:r w:rsidRPr="00D07897">
              <w:rPr>
                <w:rFonts w:ascii="Book Antiqua" w:hAnsi="Book Antiqua" w:cs="Arial"/>
                <w:color w:val="000000" w:themeColor="text1"/>
                <w:sz w:val="21"/>
                <w:szCs w:val="21"/>
              </w:rPr>
              <w:t>isk</w:t>
            </w:r>
          </w:p>
          <w:p w14:paraId="7887E4ED" w14:textId="64538B65" w:rsidR="00CA5ECE" w:rsidRPr="00D07897" w:rsidRDefault="00CA5ECE"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sym w:font="Symbol" w:char="F0B3"/>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 xml:space="preserve">5 = High </w:t>
            </w:r>
            <w:r w:rsidR="00A629BF" w:rsidRPr="00D07897">
              <w:rPr>
                <w:rFonts w:ascii="Book Antiqua" w:hAnsi="Book Antiqua" w:cs="Arial"/>
                <w:color w:val="000000" w:themeColor="text1"/>
                <w:sz w:val="21"/>
                <w:szCs w:val="21"/>
              </w:rPr>
              <w:t>r</w:t>
            </w:r>
            <w:r w:rsidRPr="00D07897">
              <w:rPr>
                <w:rFonts w:ascii="Book Antiqua" w:hAnsi="Book Antiqua" w:cs="Arial"/>
                <w:color w:val="000000" w:themeColor="text1"/>
                <w:sz w:val="21"/>
                <w:szCs w:val="21"/>
              </w:rPr>
              <w:t xml:space="preserve">isk </w:t>
            </w:r>
          </w:p>
        </w:tc>
      </w:tr>
    </w:tbl>
    <w:p w14:paraId="6C110FF3" w14:textId="659DD57E" w:rsidR="00040D98" w:rsidRPr="00D07897" w:rsidRDefault="001908E5"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shd w:val="clear" w:color="auto" w:fill="FFFFFF"/>
          <w:vertAlign w:val="superscript"/>
        </w:rPr>
        <w:t>1</w:t>
      </w:r>
      <w:r w:rsidRPr="00D07897">
        <w:rPr>
          <w:rFonts w:ascii="Book Antiqua" w:hAnsi="Book Antiqua" w:cs="Arial"/>
          <w:color w:val="000000" w:themeColor="text1"/>
          <w:shd w:val="clear" w:color="auto" w:fill="FFFFFF"/>
          <w:lang w:val="en-CA"/>
        </w:rPr>
        <w:t>To be conducted if there is a “YES” to any one of initial screening questions</w:t>
      </w:r>
      <w:r w:rsidR="00A629BF" w:rsidRPr="00D07897">
        <w:rPr>
          <w:rFonts w:ascii="Book Antiqua" w:hAnsi="Book Antiqua" w:cs="Arial"/>
          <w:color w:val="000000" w:themeColor="text1"/>
          <w:shd w:val="clear" w:color="auto" w:fill="FFFFFF"/>
          <w:lang w:val="en-CA"/>
        </w:rPr>
        <w:t>;</w:t>
      </w:r>
      <w:r w:rsidRPr="00D07897">
        <w:rPr>
          <w:rFonts w:ascii="Book Antiqua" w:hAnsi="Book Antiqua" w:cs="Arial"/>
          <w:color w:val="000000" w:themeColor="text1"/>
          <w:shd w:val="clear" w:color="auto" w:fill="FFFFFF"/>
        </w:rPr>
        <w:t xml:space="preserve"> </w:t>
      </w:r>
      <w:r w:rsidRPr="00D07897">
        <w:rPr>
          <w:rFonts w:ascii="Book Antiqua" w:hAnsi="Book Antiqua" w:cs="Arial"/>
          <w:color w:val="000000" w:themeColor="text1"/>
          <w:shd w:val="clear" w:color="auto" w:fill="FFFFFF"/>
          <w:vertAlign w:val="superscript"/>
        </w:rPr>
        <w:t>2</w:t>
      </w:r>
      <w:r w:rsidRPr="00D07897">
        <w:rPr>
          <w:rFonts w:ascii="Book Antiqua" w:hAnsi="Book Antiqua" w:cs="Arial"/>
          <w:color w:val="000000" w:themeColor="text1"/>
          <w:shd w:val="clear" w:color="auto" w:fill="FFFFFF"/>
        </w:rPr>
        <w:t>C</w:t>
      </w:r>
      <w:r w:rsidR="009D2B3F" w:rsidRPr="00D07897">
        <w:rPr>
          <w:rFonts w:ascii="Book Antiqua" w:hAnsi="Book Antiqua" w:cs="Arial"/>
          <w:color w:val="000000" w:themeColor="text1"/>
          <w:shd w:val="clear" w:color="auto" w:fill="FFFFFF"/>
        </w:rPr>
        <w:t xml:space="preserve">ategorized into mild/moderate/severe based on descriptors in </w:t>
      </w:r>
      <w:r w:rsidR="00A629BF" w:rsidRPr="00D07897">
        <w:rPr>
          <w:rFonts w:ascii="Book Antiqua" w:hAnsi="Book Antiqua" w:cs="Arial"/>
          <w:color w:val="000000" w:themeColor="text1"/>
        </w:rPr>
        <w:t xml:space="preserve">Nutrition Risk Screening 2002 </w:t>
      </w:r>
      <w:r w:rsidR="009D2B3F" w:rsidRPr="00D07897">
        <w:rPr>
          <w:rFonts w:ascii="Book Antiqua" w:hAnsi="Book Antiqua" w:cs="Arial"/>
          <w:color w:val="000000" w:themeColor="text1"/>
          <w:shd w:val="clear" w:color="auto" w:fill="FFFFFF"/>
        </w:rPr>
        <w:t>Tool</w:t>
      </w:r>
      <w:r w:rsidR="00A629BF" w:rsidRPr="00D07897">
        <w:rPr>
          <w:rFonts w:ascii="Book Antiqua" w:hAnsi="Book Antiqua" w:cs="Arial"/>
          <w:color w:val="000000" w:themeColor="text1"/>
          <w:shd w:val="clear" w:color="auto" w:fill="FFFFFF"/>
        </w:rPr>
        <w:t>;</w:t>
      </w:r>
      <w:r w:rsidR="009D2B3F" w:rsidRPr="00D07897">
        <w:rPr>
          <w:rFonts w:ascii="Book Antiqua" w:hAnsi="Book Antiqua" w:cs="Arial"/>
          <w:color w:val="000000" w:themeColor="text1"/>
          <w:shd w:val="clear" w:color="auto" w:fill="FFFFFF"/>
        </w:rPr>
        <w:t xml:space="preserve"> </w:t>
      </w:r>
      <w:r w:rsidRPr="00D07897">
        <w:rPr>
          <w:rFonts w:ascii="Book Antiqua" w:hAnsi="Book Antiqua" w:cs="Arial"/>
          <w:color w:val="000000" w:themeColor="text1"/>
          <w:shd w:val="clear" w:color="auto" w:fill="FFFFFF"/>
          <w:vertAlign w:val="superscript"/>
        </w:rPr>
        <w:t>3</w:t>
      </w:r>
      <w:r w:rsidR="009D2B3F" w:rsidRPr="00D07897">
        <w:rPr>
          <w:rFonts w:ascii="Book Antiqua" w:hAnsi="Book Antiqua" w:cs="Arial"/>
          <w:color w:val="000000" w:themeColor="text1"/>
          <w:shd w:val="clear" w:color="auto" w:fill="FFFFFF"/>
        </w:rPr>
        <w:t>Patient is acutely ill AND there has been/likely to be no nutrition intake &gt;</w:t>
      </w:r>
      <w:r w:rsidR="00A629BF" w:rsidRPr="00D07897">
        <w:rPr>
          <w:rFonts w:ascii="Book Antiqua" w:hAnsi="Book Antiqua" w:cs="Arial"/>
          <w:color w:val="000000" w:themeColor="text1"/>
          <w:shd w:val="clear" w:color="auto" w:fill="FFFFFF"/>
        </w:rPr>
        <w:t xml:space="preserve"> </w:t>
      </w:r>
      <w:r w:rsidR="009D2B3F" w:rsidRPr="00D07897">
        <w:rPr>
          <w:rFonts w:ascii="Book Antiqua" w:hAnsi="Book Antiqua" w:cs="Arial"/>
          <w:color w:val="000000" w:themeColor="text1"/>
          <w:shd w:val="clear" w:color="auto" w:fill="FFFFFF"/>
        </w:rPr>
        <w:t>5 d</w:t>
      </w:r>
      <w:r w:rsidR="00A629BF" w:rsidRPr="00D07897">
        <w:rPr>
          <w:rFonts w:ascii="Book Antiqua" w:hAnsi="Book Antiqua" w:cs="Arial"/>
          <w:color w:val="000000" w:themeColor="text1"/>
          <w:shd w:val="clear" w:color="auto" w:fill="FFFFFF"/>
        </w:rPr>
        <w:t xml:space="preserve">. </w:t>
      </w:r>
      <w:r w:rsidR="00A629BF" w:rsidRPr="00D07897">
        <w:rPr>
          <w:rFonts w:ascii="Book Antiqua" w:hAnsi="Book Antiqua" w:cs="Arial"/>
          <w:color w:val="000000" w:themeColor="text1"/>
        </w:rPr>
        <w:t xml:space="preserve">BMI: Body mass index; CRP: C-reactive protein; ICU: Intensive care unit. NST: Nutrition screening tools; NRS-2002: Nutrition Risk Screening 2002; MUST: Malnutrition universal screening tool; NRI: Nutritional Risk Index; MIRT: Malnutrition Inflammation Risk Tool; </w:t>
      </w:r>
      <w:proofErr w:type="spellStart"/>
      <w:r w:rsidR="00A629BF" w:rsidRPr="00D07897">
        <w:rPr>
          <w:rFonts w:ascii="Book Antiqua" w:hAnsi="Book Antiqua" w:cs="Arial"/>
          <w:color w:val="000000" w:themeColor="text1"/>
        </w:rPr>
        <w:t>SaskIBD</w:t>
      </w:r>
      <w:proofErr w:type="spellEnd"/>
      <w:r w:rsidR="00A629BF" w:rsidRPr="00D07897">
        <w:rPr>
          <w:rFonts w:ascii="Book Antiqua" w:hAnsi="Book Antiqua" w:cs="Arial"/>
          <w:color w:val="000000" w:themeColor="text1"/>
        </w:rPr>
        <w:t>-NR: Saskatchewan Inflammatory Bowel Disease Nutrition Risk.</w:t>
      </w:r>
    </w:p>
    <w:p w14:paraId="11DF0814" w14:textId="2F2C800F" w:rsidR="00150811" w:rsidRPr="00D07897" w:rsidRDefault="00150811">
      <w:pPr>
        <w:rPr>
          <w:rFonts w:ascii="Book Antiqua" w:hAnsi="Book Antiqua" w:cs="Arial"/>
          <w:color w:val="000000" w:themeColor="text1"/>
        </w:rPr>
      </w:pPr>
      <w:r w:rsidRPr="00D07897">
        <w:rPr>
          <w:rFonts w:ascii="Book Antiqua" w:hAnsi="Book Antiqua" w:cs="Arial"/>
          <w:color w:val="000000" w:themeColor="text1"/>
        </w:rPr>
        <w:br w:type="page"/>
      </w:r>
    </w:p>
    <w:p w14:paraId="11FCAF78" w14:textId="514C9964" w:rsidR="00F144CC" w:rsidRPr="00D07897" w:rsidRDefault="00040D98" w:rsidP="00F96F15">
      <w:pPr>
        <w:spacing w:line="360" w:lineRule="auto"/>
        <w:jc w:val="both"/>
        <w:rPr>
          <w:rFonts w:ascii="Book Antiqua" w:hAnsi="Book Antiqua" w:cs="Arial"/>
          <w:b/>
          <w:bCs/>
          <w:color w:val="000000" w:themeColor="text1"/>
        </w:rPr>
      </w:pPr>
      <w:r w:rsidRPr="00D07897">
        <w:rPr>
          <w:rFonts w:ascii="Book Antiqua" w:hAnsi="Book Antiqua" w:cs="Arial"/>
          <w:b/>
          <w:bCs/>
          <w:color w:val="000000" w:themeColor="text1"/>
        </w:rPr>
        <w:lastRenderedPageBreak/>
        <w:t xml:space="preserve">Table </w:t>
      </w:r>
      <w:r w:rsidR="002B7CA0" w:rsidRPr="00D07897">
        <w:rPr>
          <w:rFonts w:ascii="Book Antiqua" w:hAnsi="Book Antiqua" w:cs="Arial"/>
          <w:b/>
          <w:bCs/>
          <w:color w:val="000000" w:themeColor="text1"/>
        </w:rPr>
        <w:t>3</w:t>
      </w:r>
      <w:r w:rsidRPr="00D07897">
        <w:rPr>
          <w:rFonts w:ascii="Book Antiqua" w:hAnsi="Book Antiqua" w:cs="Arial"/>
          <w:b/>
          <w:bCs/>
          <w:color w:val="000000" w:themeColor="text1"/>
        </w:rPr>
        <w:t xml:space="preserve"> Components and </w:t>
      </w:r>
      <w:r w:rsidR="00A629BF" w:rsidRPr="00D07897">
        <w:rPr>
          <w:rFonts w:ascii="Book Antiqua" w:hAnsi="Book Antiqua" w:cs="Arial"/>
          <w:b/>
          <w:bCs/>
          <w:color w:val="000000" w:themeColor="text1"/>
        </w:rPr>
        <w:t>interpretation of nutrition assessment tools</w:t>
      </w:r>
    </w:p>
    <w:tbl>
      <w:tblPr>
        <w:tblStyle w:val="a4"/>
        <w:tblW w:w="14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6"/>
        <w:gridCol w:w="3647"/>
        <w:gridCol w:w="2835"/>
        <w:gridCol w:w="4050"/>
      </w:tblGrid>
      <w:tr w:rsidR="00F96F15" w:rsidRPr="00D07897" w14:paraId="5526761B" w14:textId="77777777" w:rsidTr="00A629BF">
        <w:trPr>
          <w:trHeight w:val="479"/>
        </w:trPr>
        <w:tc>
          <w:tcPr>
            <w:tcW w:w="14398" w:type="dxa"/>
            <w:gridSpan w:val="4"/>
            <w:tcBorders>
              <w:top w:val="single" w:sz="4" w:space="0" w:color="auto"/>
              <w:bottom w:val="single" w:sz="4" w:space="0" w:color="auto"/>
            </w:tcBorders>
          </w:tcPr>
          <w:p w14:paraId="56780361" w14:textId="77777777" w:rsidR="00040D98" w:rsidRPr="00D07897" w:rsidRDefault="00040D98" w:rsidP="00F96F15">
            <w:pPr>
              <w:spacing w:line="360" w:lineRule="auto"/>
              <w:jc w:val="both"/>
              <w:rPr>
                <w:rFonts w:ascii="Book Antiqua" w:hAnsi="Book Antiqua" w:cs="Arial"/>
                <w:b/>
                <w:color w:val="000000" w:themeColor="text1"/>
                <w:sz w:val="21"/>
                <w:szCs w:val="21"/>
              </w:rPr>
            </w:pPr>
            <w:r w:rsidRPr="00D07897">
              <w:rPr>
                <w:rFonts w:ascii="Book Antiqua" w:hAnsi="Book Antiqua" w:cs="Arial"/>
                <w:b/>
                <w:color w:val="000000" w:themeColor="text1"/>
                <w:sz w:val="21"/>
                <w:szCs w:val="21"/>
              </w:rPr>
              <w:t>Nutrition Assessment Tools</w:t>
            </w:r>
          </w:p>
        </w:tc>
      </w:tr>
      <w:tr w:rsidR="00F96F15" w:rsidRPr="00D07897" w14:paraId="040DCFA2" w14:textId="77777777" w:rsidTr="00A629BF">
        <w:trPr>
          <w:trHeight w:val="415"/>
        </w:trPr>
        <w:tc>
          <w:tcPr>
            <w:tcW w:w="3866" w:type="dxa"/>
            <w:tcBorders>
              <w:top w:val="single" w:sz="4" w:space="0" w:color="auto"/>
            </w:tcBorders>
          </w:tcPr>
          <w:p w14:paraId="3F8DC9CB" w14:textId="0BF50075"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SGA</w:t>
            </w:r>
            <w:r w:rsidR="00D95C42" w:rsidRPr="00D07897">
              <w:rPr>
                <w:rFonts w:ascii="Book Antiqua" w:hAnsi="Book Antiqua" w:cs="Arial"/>
                <w:color w:val="000000" w:themeColor="text1"/>
                <w:sz w:val="21"/>
                <w:szCs w:val="21"/>
              </w:rPr>
              <w:fldChar w:fldCharType="begin" w:fldLock="1"/>
            </w:r>
            <w:r w:rsidR="001B7C5F" w:rsidRPr="00D07897">
              <w:rPr>
                <w:rFonts w:ascii="Book Antiqua" w:hAnsi="Book Antiqua" w:cs="Arial"/>
                <w:color w:val="000000" w:themeColor="text1"/>
                <w:sz w:val="21"/>
                <w:szCs w:val="2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disease.","type":"article-journal","volume":"12"},"uris":["http://www.mendeley.com/documents/?uuid=73a11d92-9bee-468c-bbed-3189266c43db"]},{"id":"ITEM-2","itemData":{"DOI":"10.1159/000485637","ISSN":"1421-9697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metabolism","id":"ITEM-2","issue":"3-4","issued":{"date-parts":[["2017"]]},"language":"eng","page":"266-272","publisher-place":"Switzerland","title":"Nutritional Screening and Clinical Outcome in Hospitalized Patients with Crohn's  Disease.","type":"article-journal","volume":"71"},"uris":["http://www.mendeley.com/documents/?uuid=cd857bcf-f832-4ca4-aa54-3d63c71b8d64"]},{"id":"ITEM-3","itemData":{"DOI":"10.1017/S0007114516003044","ISSN":"1475-2662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nutrition","id":"ITEM-3","issue":"6","issued":{"date-parts":[["2016","9"]]},"language":"eng","page":"1061-1067","publisher-place":"England","title":"Inflammation-driven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[8,9,13]&lt;/sup&gt;","plainTextFormattedCitation":"[8,9,13]","previouslyFormattedCitation":"&lt;sup&gt;[8,9,13]&lt;/sup&gt;"},"properties":{"noteIndex":0},"schema":"https://github.com/citation-style-language/schema/raw/master/csl-citation.json"}</w:instrText>
            </w:r>
            <w:r w:rsidR="00D95C42" w:rsidRPr="00D07897">
              <w:rPr>
                <w:rFonts w:ascii="Book Antiqua" w:hAnsi="Book Antiqua" w:cs="Arial"/>
                <w:color w:val="000000" w:themeColor="text1"/>
                <w:sz w:val="21"/>
                <w:szCs w:val="21"/>
              </w:rPr>
              <w:fldChar w:fldCharType="separate"/>
            </w:r>
            <w:r w:rsidR="00596584" w:rsidRPr="00D07897">
              <w:rPr>
                <w:rFonts w:ascii="Book Antiqua" w:hAnsi="Book Antiqua" w:cs="Arial"/>
                <w:noProof/>
                <w:color w:val="000000" w:themeColor="text1"/>
                <w:sz w:val="21"/>
                <w:szCs w:val="21"/>
                <w:vertAlign w:val="superscript"/>
              </w:rPr>
              <w:t>[8,9,13]</w:t>
            </w:r>
            <w:r w:rsidR="00D95C42" w:rsidRPr="00D07897">
              <w:rPr>
                <w:rFonts w:ascii="Book Antiqua" w:hAnsi="Book Antiqua" w:cs="Arial"/>
                <w:color w:val="000000" w:themeColor="text1"/>
                <w:sz w:val="21"/>
                <w:szCs w:val="21"/>
              </w:rPr>
              <w:fldChar w:fldCharType="end"/>
            </w:r>
          </w:p>
        </w:tc>
        <w:tc>
          <w:tcPr>
            <w:tcW w:w="3647" w:type="dxa"/>
            <w:tcBorders>
              <w:top w:val="single" w:sz="4" w:space="0" w:color="auto"/>
            </w:tcBorders>
          </w:tcPr>
          <w:p w14:paraId="3D833E5F" w14:textId="25B4A566"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Comprehensive RD/GI Assessment</w:t>
            </w:r>
            <w:r w:rsidR="00D95C42" w:rsidRPr="00D07897">
              <w:rPr>
                <w:rFonts w:ascii="Book Antiqua" w:hAnsi="Book Antiqua" w:cs="Arial"/>
                <w:color w:val="000000" w:themeColor="text1"/>
                <w:sz w:val="21"/>
                <w:szCs w:val="21"/>
              </w:rPr>
              <w:fldChar w:fldCharType="begin" w:fldLock="1"/>
            </w:r>
            <w:r w:rsidR="001B7C5F" w:rsidRPr="00D07897">
              <w:rPr>
                <w:rFonts w:ascii="Book Antiqua" w:hAnsi="Book Antiqua" w:cs="Arial"/>
                <w:color w:val="000000" w:themeColor="text1"/>
                <w:sz w:val="21"/>
                <w:szCs w:val="2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D95C42" w:rsidRPr="00D07897">
              <w:rPr>
                <w:rFonts w:ascii="Book Antiqua" w:hAnsi="Book Antiqua" w:cs="Arial"/>
                <w:color w:val="000000" w:themeColor="text1"/>
                <w:sz w:val="21"/>
                <w:szCs w:val="21"/>
              </w:rPr>
              <w:fldChar w:fldCharType="separate"/>
            </w:r>
            <w:r w:rsidR="001B7C5F" w:rsidRPr="00D07897">
              <w:rPr>
                <w:rFonts w:ascii="Book Antiqua" w:hAnsi="Book Antiqua" w:cs="Arial"/>
                <w:noProof/>
                <w:color w:val="000000" w:themeColor="text1"/>
                <w:sz w:val="21"/>
                <w:szCs w:val="21"/>
                <w:vertAlign w:val="superscript"/>
              </w:rPr>
              <w:t>[35]</w:t>
            </w:r>
            <w:r w:rsidR="00D95C42" w:rsidRPr="00D07897">
              <w:rPr>
                <w:rFonts w:ascii="Book Antiqua" w:hAnsi="Book Antiqua" w:cs="Arial"/>
                <w:color w:val="000000" w:themeColor="text1"/>
                <w:sz w:val="21"/>
                <w:szCs w:val="21"/>
              </w:rPr>
              <w:fldChar w:fldCharType="end"/>
            </w:r>
          </w:p>
        </w:tc>
        <w:tc>
          <w:tcPr>
            <w:tcW w:w="2835" w:type="dxa"/>
            <w:tcBorders>
              <w:top w:val="single" w:sz="4" w:space="0" w:color="auto"/>
            </w:tcBorders>
          </w:tcPr>
          <w:p w14:paraId="6EFCA33E" w14:textId="0E3A5A4C"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BIA</w:t>
            </w:r>
            <w:r w:rsidR="00D95C42" w:rsidRPr="00D07897">
              <w:rPr>
                <w:rFonts w:ascii="Book Antiqua" w:hAnsi="Book Antiqua" w:cs="Arial"/>
                <w:color w:val="000000" w:themeColor="text1"/>
                <w:sz w:val="21"/>
                <w:szCs w:val="21"/>
              </w:rPr>
              <w:fldChar w:fldCharType="begin" w:fldLock="1"/>
            </w:r>
            <w:r w:rsidR="001B7C5F" w:rsidRPr="00D07897">
              <w:rPr>
                <w:rFonts w:ascii="Book Antiqua" w:hAnsi="Book Antiqua" w:cs="Arial"/>
                <w:color w:val="000000" w:themeColor="text1"/>
                <w:sz w:val="21"/>
                <w:szCs w:val="2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disease.","type":"article-journal","volume":"109"},"uris":["http://www.mendeley.com/documents/?uuid=a2e30909-7161-4f77-ba2e-199b14c8197c"]},{"id":"ITEM-2","itemData":{"DOI":"https://dx.doi.org/10.1007/s11605-015-2763-x","ISSN":"1873-4626","abstract":"BACKGROUND: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Tract","id":"ITEM-2","issue":"4","issued":{"date-parts":[["2015"]]},"page":"715-721","publisher-place":"United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mendeley":{"formattedCitation":"&lt;sup&gt;[28,30]&lt;/sup&gt;","plainTextFormattedCitation":"[28,30]","previouslyFormattedCitation":"&lt;sup&gt;[27,29]&lt;/sup&gt;"},"properties":{"noteIndex":0},"schema":"https://github.com/citation-style-language/schema/raw/master/csl-citation.json"}</w:instrText>
            </w:r>
            <w:r w:rsidR="00D95C42" w:rsidRPr="00D07897">
              <w:rPr>
                <w:rFonts w:ascii="Book Antiqua" w:hAnsi="Book Antiqua" w:cs="Arial"/>
                <w:color w:val="000000" w:themeColor="text1"/>
                <w:sz w:val="21"/>
                <w:szCs w:val="21"/>
              </w:rPr>
              <w:fldChar w:fldCharType="separate"/>
            </w:r>
            <w:r w:rsidR="001B7C5F" w:rsidRPr="00D07897">
              <w:rPr>
                <w:rFonts w:ascii="Book Antiqua" w:hAnsi="Book Antiqua" w:cs="Arial"/>
                <w:noProof/>
                <w:color w:val="000000" w:themeColor="text1"/>
                <w:sz w:val="21"/>
                <w:szCs w:val="21"/>
                <w:vertAlign w:val="superscript"/>
              </w:rPr>
              <w:t>[28,30]</w:t>
            </w:r>
            <w:r w:rsidR="00D95C42" w:rsidRPr="00D07897">
              <w:rPr>
                <w:rFonts w:ascii="Book Antiqua" w:hAnsi="Book Antiqua" w:cs="Arial"/>
                <w:color w:val="000000" w:themeColor="text1"/>
                <w:sz w:val="21"/>
                <w:szCs w:val="21"/>
              </w:rPr>
              <w:fldChar w:fldCharType="end"/>
            </w:r>
          </w:p>
        </w:tc>
        <w:tc>
          <w:tcPr>
            <w:tcW w:w="4050" w:type="dxa"/>
            <w:tcBorders>
              <w:top w:val="single" w:sz="4" w:space="0" w:color="auto"/>
            </w:tcBorders>
          </w:tcPr>
          <w:p w14:paraId="6D0F6E77" w14:textId="3CB3365E"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CT Scan</w:t>
            </w:r>
            <w:r w:rsidR="00D95C42" w:rsidRPr="00D07897">
              <w:rPr>
                <w:rFonts w:ascii="Book Antiqua" w:hAnsi="Book Antiqua" w:cs="Arial"/>
                <w:color w:val="000000" w:themeColor="text1"/>
                <w:sz w:val="21"/>
                <w:szCs w:val="21"/>
              </w:rPr>
              <w:fldChar w:fldCharType="begin" w:fldLock="1"/>
            </w:r>
            <w:r w:rsidR="001B7C5F" w:rsidRPr="00D07897">
              <w:rPr>
                <w:rFonts w:ascii="Book Antiqua" w:hAnsi="Book Antiqua" w:cs="Arial"/>
                <w:color w:val="000000" w:themeColor="text1"/>
                <w:sz w:val="21"/>
                <w:szCs w:val="21"/>
              </w:rPr>
              <w:instrText>ADDIN CSL_CITATION {"citationItems":[{"id":"ITEM-1","itemData":{"DOI":"10.1097/MIB.0000000000001128","ISSN":"1536-4844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diseases","id":"ITEM-1","issue":"7","issued":{"date-parts":[["2017","7"]]},"language":"eng","page":"1182-1186","publisher-place":"United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Surgery.","type":"article-journal","volume":"23"},"uris":["http://www.mendeley.com/documents/?uuid=6b4f2d39-091b-48c7-a8f9-3935125eeaf6"]},{"id":"ITEM-2","itemData":{"DOI":"https://dx.doi.org/10.1371/journal.pone.0180036","ISSN":"1932-6203","abstract":"The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one","id":"ITEM-2","issue":"6","issued":{"date-parts":[["2017"]]},"page":"e0180036","publisher-place":"United States","title":"Sarcopenia is a predictive factor for intestinal resection in admitted patients with Crohn's disease.","type":"article-journal","volume":"12"},"uris":["http://www.mendeley.com/documents/?uuid=73a11d92-9bee-468c-bbed-3189266c43db"]},{"id":"ITEM-3","itemData":{"DOI":"10.1093/ecco-jcc/jjy064","ISSN":"1876-4479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colitis","id":"ITEM-3","issued":{"date-parts":[["2018","5"]]},"language":"eng","publisher-place":"England","title":"Sarcopenia is a Novel Predictor of the Need for Rescue Therapy in Hospitalized Ulcerative Colitis Patients.","type":"article-journal"},"uris":["http://www.mendeley.com/documents/?uuid=e255b58f-95e7-489e-b9af-18a0b87f7525"]},{"id":"ITEM-4","itemData":{"DOI":"10.1007/s00595-016-1357-x","ISSN":"1436-2813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today","id":"ITEM-4","issue":"1","issued":{"date-parts":[["2017","1"]]},"language":"eng","page":"92-98","publisher-place":"Japan","title":"Impact of sarcopenia on surgical site infection after restorative proctocolectomy for ulcerative colitis.","type":"article-journal","volume":"47"},"uris":["http://www.mendeley.com/documents/?uuid=a3ecc717-75fe-4b70-b40a-518331ec5a8e"]},{"id":"ITEM-5","itemData":{"DOI":"https://dx.doi.org/10.1111/apt.14018","ISSN":"1365-2036","abstract":"BACKGROUND: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therapeutics","id":"ITEM-5","issue":"9","issued":{"date-parts":[["2017"]]},"page":"1255-1264","publisher-place":"England","title":"Visceral adiposity predicts post-operative Crohn's disease recurrence.","type":"article-journal","volume":"45"},"uris":["http://www.mendeley.com/documents/?uuid=2f42bc0f-c075-4ed5-ae3f-d90c75e83b1a"]},{"id":"ITEM-6","itemData":{"DOI":"10.1186/s41747-018-0072-3","ISSN":"2509-9280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experimental","id":"ITEM-6","issue":"1","issued":{"date-parts":[["2018","11"]]},"language":"eng","page":"37","publisher-place":"England","title":"The impact of sarcopenia and myosteatosis on postoperative outcomes in patients with inflammatory bowel disease.","type":"article-journal","volume":"2"},"uris":["http://www.mendeley.com/documents/?uuid=e0b53979-80b7-49e6-bb0a-439e8ff7d904"]},{"id":"ITEM-7","itemData":{"DOI":"10.1097/MIB.0000000000001166","ISSN":"1536-4844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diseases","id":"ITEM-7","issue":"10","issued":{"date-parts":[["2017","10"]]},"language":"eng","page":"1867-1872","publisher-place":"United States","title":"Sarcopenia is a Predictor of Surgical Morbidity in Inflammatory Bowel Disease.","type":"article-journal","volume":"23"},"uris":["http://www.mendeley.com/documents/?uuid=6853f06f-1efd-4924-a01f-3879684bf57f"]},{"id":"ITEM-8","itemData":{"DOI":"10.1016/j.clnu.2016.10.004","ISSN":"1532-1983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Scotland)","id":"ITEM-8","issue":"6","issued":{"date-parts":[["2017","12"]]},"language":"eng","page":"1586-1592","publisher-place":"England","title":"Skeletal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colectomy.","type":"article-journal","volume":"36"},"uris":["http://www.mendeley.com/documents/?uuid=289f93c3-ba8a-4a99-af8c-01b5584e14b0"]},{"id":"ITEM-9","itemData":{"DOI":"10.1093/ecco-jcc/jjy124","ISSN":"1876-4479","abstract":"BACKGROUND AND AIMS: Changes in body composition have been described in patients with Crohn's disease, but their predictive performances on disease evolution remain undefined. The aims of our study were to assess, in patients with Crohn's disease requiring abdominal computed tomography, body composition by computed tomography, and to study the outcome according to various body composition parameters at the time of the computed tomography. METHODS: Patients with Crohn's disease who underwent abdominal computed tomography for suspected complications were retrospectively included. The definition of adverse outcome included death or need for surgery within 6 months of the computed tomography. Skeletal muscle index and visceral and subcutaneous adiposity indexes were calculated from tissue surface areas measured at the third lumbar vertebra, divided by the height squared. RESULTS: The prevalence of underweight was 26.8% and the prevalence of sarcopenia was 33.6%. After gender adjustment, skeletal muscle index tended to be reduced in patients with adverse outcome, compared with patients without surgery or death [p = 0.07]. Moreover, subcutaneous adiposity index and visceral adiposity index were significantly lower in patients with surgery or death [p = 0.009 and p &lt; 0.001, respectively]. These differences were almost equivalent in both genders for the subcutaneous adiposity index but were clearly stronger in men for the visceral adiposity index. CONCLUSIONS: Subcutaneous and visceral adiposity indexes correlate inversely with adverse outcome in patients with Crohn's disease. Alteration of body composition assessed by computed tomography in these patients appears to be a marker of disease severity.","author":[{"dropping-particle":"","family":"Thiberge","given":"Claire","non-dropping-particle":"","parse-names":false,"suffix":""},{"dropping-particle":"","family":"Charpentier","given":"Cloé","non-dropping-particle":"","parse-names":false,"suffix":""},{"dropping-particle":"","family":"Gillibert","given":"André","non-dropping-particle":"","parse-names":false,"suffix":""},{"dropping-particle":"","family":"Modzelewski","given":"Romain","non-dropping-particle":"","parse-names":false,"suffix":""},{"dropping-particle":"","family":"Dacher","given":"Jean-Nicolas","non-dropping-particle":"","parse-names":false,"suffix":""},{"dropping-particle":"","family":"Savoye","given":"Guillaume","non-dropping-particle":"","parse-names":false,"suffix":""},{"dropping-particle":"","family":"Savoye-Collet","given":"Céline","non-dropping-particle":"","parse-names":false,"suffix":""}],"container-title":"Journal of Crohn's &amp; colitis","id":"ITEM-9","issue":"12","issued":{"date-parts":[["2018","11","28"]]},"page":"1429-1437","publisher-place":"England","title":"Lower Subcutaneous or Visceral Adiposity Assessed by Abdominal Computed Tomography Could Predict Adverse Outcome in Patients With Crohn's Disease","type":"article-journal","volume":"12"},"uris":["http://www.mendeley.com/documents/?uuid=24be24ce-8d64-4a00-ba9d-1bda6687be41"]},{"id":"ITEM-10","itemData":{"DOI":"10.1177/0148607115612054","ISSN":"1941-2444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nutrition","id":"ITEM-10","issue":"4","issued":{"date-parts":[["2017","5"]]},"language":"eng","page":"592-600","publisher-place":"United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mendeley":{"formattedCitation":"&lt;sup&gt;[9–12,29,31–34,36]&lt;/sup&gt;","plainTextFormattedCitation":"[9–12,29,31–34,36]","previouslyFormattedCitation":"&lt;sup&gt;[9–12,28,30–33,35]&lt;/sup&gt;"},"properties":{"noteIndex":0},"schema":"https://github.com/citation-style-language/schema/raw/master/csl-citation.json"}</w:instrText>
            </w:r>
            <w:r w:rsidR="00D95C42" w:rsidRPr="00D07897">
              <w:rPr>
                <w:rFonts w:ascii="Book Antiqua" w:hAnsi="Book Antiqua" w:cs="Arial"/>
                <w:color w:val="000000" w:themeColor="text1"/>
                <w:sz w:val="21"/>
                <w:szCs w:val="21"/>
              </w:rPr>
              <w:fldChar w:fldCharType="separate"/>
            </w:r>
            <w:r w:rsidR="001B7C5F" w:rsidRPr="00D07897">
              <w:rPr>
                <w:rFonts w:ascii="Book Antiqua" w:hAnsi="Book Antiqua" w:cs="Arial"/>
                <w:noProof/>
                <w:color w:val="000000" w:themeColor="text1"/>
                <w:sz w:val="21"/>
                <w:szCs w:val="21"/>
                <w:vertAlign w:val="superscript"/>
              </w:rPr>
              <w:t>[9</w:t>
            </w:r>
            <w:r w:rsidR="00A629BF" w:rsidRPr="00D07897">
              <w:rPr>
                <w:rFonts w:ascii="Book Antiqua" w:hAnsi="Book Antiqua" w:cs="Arial"/>
                <w:noProof/>
                <w:color w:val="000000" w:themeColor="text1"/>
                <w:sz w:val="21"/>
                <w:szCs w:val="21"/>
                <w:vertAlign w:val="superscript"/>
              </w:rPr>
              <w:t>-</w:t>
            </w:r>
            <w:r w:rsidR="001B7C5F" w:rsidRPr="00D07897">
              <w:rPr>
                <w:rFonts w:ascii="Book Antiqua" w:hAnsi="Book Antiqua" w:cs="Arial"/>
                <w:noProof/>
                <w:color w:val="000000" w:themeColor="text1"/>
                <w:sz w:val="21"/>
                <w:szCs w:val="21"/>
                <w:vertAlign w:val="superscript"/>
              </w:rPr>
              <w:t>12,29,31</w:t>
            </w:r>
            <w:r w:rsidR="00A629BF" w:rsidRPr="00D07897">
              <w:rPr>
                <w:rFonts w:ascii="Book Antiqua" w:hAnsi="Book Antiqua" w:cs="Arial"/>
                <w:noProof/>
                <w:color w:val="000000" w:themeColor="text1"/>
                <w:sz w:val="21"/>
                <w:szCs w:val="21"/>
                <w:vertAlign w:val="superscript"/>
              </w:rPr>
              <w:t>-</w:t>
            </w:r>
            <w:r w:rsidR="001B7C5F" w:rsidRPr="00D07897">
              <w:rPr>
                <w:rFonts w:ascii="Book Antiqua" w:hAnsi="Book Antiqua" w:cs="Arial"/>
                <w:noProof/>
                <w:color w:val="000000" w:themeColor="text1"/>
                <w:sz w:val="21"/>
                <w:szCs w:val="21"/>
                <w:vertAlign w:val="superscript"/>
              </w:rPr>
              <w:t>34,36]</w:t>
            </w:r>
            <w:r w:rsidR="00D95C42" w:rsidRPr="00D07897">
              <w:rPr>
                <w:rFonts w:ascii="Book Antiqua" w:hAnsi="Book Antiqua" w:cs="Arial"/>
                <w:color w:val="000000" w:themeColor="text1"/>
                <w:sz w:val="21"/>
                <w:szCs w:val="21"/>
              </w:rPr>
              <w:fldChar w:fldCharType="end"/>
            </w:r>
          </w:p>
        </w:tc>
      </w:tr>
      <w:tr w:rsidR="00F96F15" w:rsidRPr="00D07897" w14:paraId="461543C6" w14:textId="77777777" w:rsidTr="00A629BF">
        <w:trPr>
          <w:trHeight w:val="381"/>
        </w:trPr>
        <w:tc>
          <w:tcPr>
            <w:tcW w:w="14398" w:type="dxa"/>
            <w:gridSpan w:val="4"/>
          </w:tcPr>
          <w:p w14:paraId="20E32BD5" w14:textId="77777777" w:rsidR="00040D98" w:rsidRPr="00D07897" w:rsidRDefault="00040D98" w:rsidP="00F96F15">
            <w:pPr>
              <w:spacing w:line="360" w:lineRule="auto"/>
              <w:jc w:val="both"/>
              <w:rPr>
                <w:rFonts w:ascii="Book Antiqua" w:hAnsi="Book Antiqua" w:cs="Arial"/>
                <w:b/>
                <w:color w:val="000000" w:themeColor="text1"/>
                <w:sz w:val="21"/>
                <w:szCs w:val="21"/>
              </w:rPr>
            </w:pPr>
            <w:r w:rsidRPr="00D07897">
              <w:rPr>
                <w:rFonts w:ascii="Book Antiqua" w:hAnsi="Book Antiqua" w:cs="Arial"/>
                <w:b/>
                <w:color w:val="000000" w:themeColor="text1"/>
                <w:sz w:val="21"/>
                <w:szCs w:val="21"/>
              </w:rPr>
              <w:t xml:space="preserve">NAT Components </w:t>
            </w:r>
          </w:p>
        </w:tc>
      </w:tr>
      <w:tr w:rsidR="00F96F15" w:rsidRPr="00D07897" w14:paraId="04DDF346" w14:textId="77777777" w:rsidTr="00A629BF">
        <w:trPr>
          <w:trHeight w:val="400"/>
        </w:trPr>
        <w:tc>
          <w:tcPr>
            <w:tcW w:w="3866" w:type="dxa"/>
          </w:tcPr>
          <w:p w14:paraId="38D5E204"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Nutrient Intake</w:t>
            </w:r>
          </w:p>
          <w:p w14:paraId="004C7A31"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Weight loss</w:t>
            </w:r>
          </w:p>
          <w:p w14:paraId="10F848E6"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Symptoms affecting oral intake</w:t>
            </w:r>
          </w:p>
          <w:p w14:paraId="201161A5"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Functional capacity</w:t>
            </w:r>
          </w:p>
          <w:p w14:paraId="55DBC0BA"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Metabolic requirement</w:t>
            </w:r>
          </w:p>
          <w:p w14:paraId="6A7D7E0D"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Physical examination</w:t>
            </w:r>
          </w:p>
        </w:tc>
        <w:tc>
          <w:tcPr>
            <w:tcW w:w="3647" w:type="dxa"/>
          </w:tcPr>
          <w:p w14:paraId="6B59BACC"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BMI</w:t>
            </w:r>
          </w:p>
          <w:p w14:paraId="6C600A89"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GI symptoms, oral intake</w:t>
            </w:r>
          </w:p>
          <w:p w14:paraId="3B810F4C"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IBD location, severity, concurrent conditions</w:t>
            </w:r>
          </w:p>
          <w:p w14:paraId="6134B53E"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Surgical history, medications</w:t>
            </w:r>
          </w:p>
          <w:p w14:paraId="3E19F52C"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Laboratory parameters (Albumin/Vit D/Iron/Vit B12)</w:t>
            </w:r>
          </w:p>
          <w:p w14:paraId="04DF772C"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SCAI, HBS</w:t>
            </w:r>
          </w:p>
        </w:tc>
        <w:tc>
          <w:tcPr>
            <w:tcW w:w="2835" w:type="dxa"/>
          </w:tcPr>
          <w:p w14:paraId="0BEB92D4"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SMP</w:t>
            </w:r>
          </w:p>
          <w:p w14:paraId="676C7933"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FFMI</w:t>
            </w:r>
          </w:p>
        </w:tc>
        <w:tc>
          <w:tcPr>
            <w:tcW w:w="4050" w:type="dxa"/>
          </w:tcPr>
          <w:p w14:paraId="47727D7B" w14:textId="77777777" w:rsidR="00040D98" w:rsidRPr="00D07897" w:rsidRDefault="00040D98" w:rsidP="00F96F15">
            <w:pPr>
              <w:spacing w:line="360" w:lineRule="auto"/>
              <w:jc w:val="both"/>
              <w:rPr>
                <w:rFonts w:ascii="Book Antiqua" w:hAnsi="Book Antiqua" w:cs="Arial"/>
                <w:color w:val="000000" w:themeColor="text1"/>
                <w:sz w:val="21"/>
                <w:szCs w:val="21"/>
              </w:rPr>
            </w:pPr>
            <w:proofErr w:type="spellStart"/>
            <w:r w:rsidRPr="00D07897">
              <w:rPr>
                <w:rFonts w:ascii="Book Antiqua" w:hAnsi="Book Antiqua" w:cs="Arial"/>
                <w:color w:val="000000" w:themeColor="text1"/>
                <w:sz w:val="21"/>
                <w:szCs w:val="21"/>
              </w:rPr>
              <w:t>mHUAC</w:t>
            </w:r>
            <w:proofErr w:type="spellEnd"/>
          </w:p>
          <w:p w14:paraId="0E44BD5D"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L3 SMI</w:t>
            </w:r>
          </w:p>
          <w:p w14:paraId="7E215EEA"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L4 TPA</w:t>
            </w:r>
          </w:p>
          <w:p w14:paraId="614337CF"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ASMI</w:t>
            </w:r>
          </w:p>
          <w:p w14:paraId="6AC0E354"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SMA</w:t>
            </w:r>
          </w:p>
        </w:tc>
      </w:tr>
      <w:tr w:rsidR="00F96F15" w:rsidRPr="00D07897" w14:paraId="5D7E26F0" w14:textId="77777777" w:rsidTr="00A629BF">
        <w:trPr>
          <w:trHeight w:val="381"/>
        </w:trPr>
        <w:tc>
          <w:tcPr>
            <w:tcW w:w="14398" w:type="dxa"/>
            <w:gridSpan w:val="4"/>
          </w:tcPr>
          <w:p w14:paraId="51CA6B2B" w14:textId="5984DA4B" w:rsidR="00040D98" w:rsidRPr="00D07897" w:rsidRDefault="00040D98" w:rsidP="00F96F15">
            <w:pPr>
              <w:spacing w:line="360" w:lineRule="auto"/>
              <w:jc w:val="both"/>
              <w:rPr>
                <w:rFonts w:ascii="Book Antiqua" w:hAnsi="Book Antiqua" w:cs="Arial"/>
                <w:b/>
                <w:color w:val="000000" w:themeColor="text1"/>
                <w:sz w:val="21"/>
                <w:szCs w:val="21"/>
              </w:rPr>
            </w:pPr>
            <w:r w:rsidRPr="00D07897">
              <w:rPr>
                <w:rFonts w:ascii="Book Antiqua" w:hAnsi="Book Antiqua" w:cs="Arial"/>
                <w:b/>
                <w:color w:val="000000" w:themeColor="text1"/>
                <w:sz w:val="21"/>
                <w:szCs w:val="21"/>
              </w:rPr>
              <w:t xml:space="preserve">NAT </w:t>
            </w:r>
            <w:r w:rsidR="00A629BF" w:rsidRPr="00D07897">
              <w:rPr>
                <w:rFonts w:ascii="Book Antiqua" w:hAnsi="Book Antiqua" w:cs="Arial"/>
                <w:b/>
                <w:color w:val="000000" w:themeColor="text1"/>
                <w:sz w:val="21"/>
                <w:szCs w:val="21"/>
              </w:rPr>
              <w:t>i</w:t>
            </w:r>
            <w:r w:rsidRPr="00D07897">
              <w:rPr>
                <w:rFonts w:ascii="Book Antiqua" w:hAnsi="Book Antiqua" w:cs="Arial"/>
                <w:b/>
                <w:color w:val="000000" w:themeColor="text1"/>
                <w:sz w:val="21"/>
                <w:szCs w:val="21"/>
              </w:rPr>
              <w:t>nterpretation</w:t>
            </w:r>
          </w:p>
        </w:tc>
      </w:tr>
      <w:tr w:rsidR="00F96F15" w:rsidRPr="00D07897" w14:paraId="0E6C6786" w14:textId="77777777" w:rsidTr="00A629BF">
        <w:trPr>
          <w:trHeight w:val="76"/>
        </w:trPr>
        <w:tc>
          <w:tcPr>
            <w:tcW w:w="3866" w:type="dxa"/>
            <w:tcBorders>
              <w:bottom w:val="single" w:sz="4" w:space="0" w:color="auto"/>
            </w:tcBorders>
          </w:tcPr>
          <w:p w14:paraId="4BA8A89E" w14:textId="2D224873"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 xml:space="preserve">A = Well </w:t>
            </w:r>
            <w:r w:rsidR="00A629BF" w:rsidRPr="00D07897">
              <w:rPr>
                <w:rFonts w:ascii="Book Antiqua" w:hAnsi="Book Antiqua" w:cs="Arial"/>
                <w:color w:val="000000" w:themeColor="text1"/>
                <w:sz w:val="21"/>
                <w:szCs w:val="21"/>
              </w:rPr>
              <w:t>n</w:t>
            </w:r>
            <w:r w:rsidRPr="00D07897">
              <w:rPr>
                <w:rFonts w:ascii="Book Antiqua" w:hAnsi="Book Antiqua" w:cs="Arial"/>
                <w:color w:val="000000" w:themeColor="text1"/>
                <w:sz w:val="21"/>
                <w:szCs w:val="21"/>
              </w:rPr>
              <w:t>ourished</w:t>
            </w:r>
          </w:p>
          <w:p w14:paraId="205990AA" w14:textId="60E8C27C"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B = Mild/</w:t>
            </w:r>
            <w:r w:rsidR="00A629BF" w:rsidRPr="00D07897">
              <w:rPr>
                <w:rFonts w:ascii="Book Antiqua" w:hAnsi="Book Antiqua" w:cs="Arial"/>
                <w:color w:val="000000" w:themeColor="text1"/>
                <w:sz w:val="21"/>
                <w:szCs w:val="21"/>
              </w:rPr>
              <w:t>m</w:t>
            </w:r>
            <w:r w:rsidRPr="00D07897">
              <w:rPr>
                <w:rFonts w:ascii="Book Antiqua" w:hAnsi="Book Antiqua" w:cs="Arial"/>
                <w:color w:val="000000" w:themeColor="text1"/>
                <w:sz w:val="21"/>
                <w:szCs w:val="21"/>
              </w:rPr>
              <w:t xml:space="preserve">oderately </w:t>
            </w:r>
            <w:r w:rsidR="00A629BF" w:rsidRPr="00D07897">
              <w:rPr>
                <w:rFonts w:ascii="Book Antiqua" w:hAnsi="Book Antiqua" w:cs="Arial"/>
                <w:color w:val="000000" w:themeColor="text1"/>
                <w:sz w:val="21"/>
                <w:szCs w:val="21"/>
              </w:rPr>
              <w:t>m</w:t>
            </w:r>
            <w:r w:rsidRPr="00D07897">
              <w:rPr>
                <w:rFonts w:ascii="Book Antiqua" w:hAnsi="Book Antiqua" w:cs="Arial"/>
                <w:color w:val="000000" w:themeColor="text1"/>
                <w:sz w:val="21"/>
                <w:szCs w:val="21"/>
              </w:rPr>
              <w:t>alnourished</w:t>
            </w:r>
          </w:p>
          <w:p w14:paraId="270F8660" w14:textId="50CD65C0"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 xml:space="preserve">C = Severely </w:t>
            </w:r>
            <w:r w:rsidR="00A629BF" w:rsidRPr="00D07897">
              <w:rPr>
                <w:rFonts w:ascii="Book Antiqua" w:hAnsi="Book Antiqua" w:cs="Arial"/>
                <w:color w:val="000000" w:themeColor="text1"/>
                <w:sz w:val="21"/>
                <w:szCs w:val="21"/>
              </w:rPr>
              <w:t>m</w:t>
            </w:r>
            <w:r w:rsidRPr="00D07897">
              <w:rPr>
                <w:rFonts w:ascii="Book Antiqua" w:hAnsi="Book Antiqua" w:cs="Arial"/>
                <w:color w:val="000000" w:themeColor="text1"/>
                <w:sz w:val="21"/>
                <w:szCs w:val="21"/>
              </w:rPr>
              <w:t>alnourished</w:t>
            </w:r>
          </w:p>
        </w:tc>
        <w:tc>
          <w:tcPr>
            <w:tcW w:w="3647" w:type="dxa"/>
            <w:tcBorders>
              <w:bottom w:val="single" w:sz="4" w:space="0" w:color="auto"/>
            </w:tcBorders>
          </w:tcPr>
          <w:p w14:paraId="19A2E8B2" w14:textId="016438A1"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 xml:space="preserve">At </w:t>
            </w:r>
            <w:r w:rsidR="00A629BF" w:rsidRPr="00D07897">
              <w:rPr>
                <w:rFonts w:ascii="Book Antiqua" w:hAnsi="Book Antiqua" w:cs="Arial"/>
                <w:color w:val="000000" w:themeColor="text1"/>
                <w:sz w:val="21"/>
                <w:szCs w:val="21"/>
              </w:rPr>
              <w:t>r</w:t>
            </w:r>
            <w:r w:rsidRPr="00D07897">
              <w:rPr>
                <w:rFonts w:ascii="Book Antiqua" w:hAnsi="Book Antiqua" w:cs="Arial"/>
                <w:color w:val="000000" w:themeColor="text1"/>
                <w:sz w:val="21"/>
                <w:szCs w:val="21"/>
              </w:rPr>
              <w:t>isk</w:t>
            </w:r>
          </w:p>
          <w:p w14:paraId="19C5A3A6" w14:textId="4ADE408F"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 xml:space="preserve">Not at </w:t>
            </w:r>
            <w:r w:rsidR="00A629BF" w:rsidRPr="00D07897">
              <w:rPr>
                <w:rFonts w:ascii="Book Antiqua" w:hAnsi="Book Antiqua" w:cs="Arial"/>
                <w:color w:val="000000" w:themeColor="text1"/>
                <w:sz w:val="21"/>
                <w:szCs w:val="21"/>
              </w:rPr>
              <w:t>r</w:t>
            </w:r>
            <w:r w:rsidRPr="00D07897">
              <w:rPr>
                <w:rFonts w:ascii="Book Antiqua" w:hAnsi="Book Antiqua" w:cs="Arial"/>
                <w:color w:val="000000" w:themeColor="text1"/>
                <w:sz w:val="21"/>
                <w:szCs w:val="21"/>
              </w:rPr>
              <w:t>isk</w:t>
            </w:r>
          </w:p>
        </w:tc>
        <w:tc>
          <w:tcPr>
            <w:tcW w:w="2835" w:type="dxa"/>
            <w:tcBorders>
              <w:bottom w:val="single" w:sz="4" w:space="0" w:color="auto"/>
            </w:tcBorders>
          </w:tcPr>
          <w:p w14:paraId="4E23C682"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Sarcopenia:</w:t>
            </w:r>
          </w:p>
          <w:p w14:paraId="4D8353B3"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 xml:space="preserve">FFMI: </w:t>
            </w:r>
          </w:p>
          <w:p w14:paraId="422ED823"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 xml:space="preserve">Men: </w:t>
            </w:r>
            <w:r w:rsidRPr="00D07897">
              <w:rPr>
                <w:rFonts w:ascii="Book Antiqua" w:hAnsi="Book Antiqua" w:cs="Arial"/>
                <w:color w:val="000000" w:themeColor="text1"/>
                <w:sz w:val="21"/>
                <w:szCs w:val="21"/>
              </w:rPr>
              <w:sym w:font="Symbol" w:char="F0A3"/>
            </w:r>
            <w:r w:rsidRPr="00D07897">
              <w:rPr>
                <w:rFonts w:ascii="Book Antiqua" w:hAnsi="Book Antiqua" w:cs="Arial"/>
                <w:color w:val="000000" w:themeColor="text1"/>
                <w:sz w:val="21"/>
                <w:szCs w:val="21"/>
              </w:rPr>
              <w:t xml:space="preserve"> 17 kg/m</w:t>
            </w:r>
            <w:r w:rsidRPr="00D07897">
              <w:rPr>
                <w:rFonts w:ascii="Book Antiqua" w:hAnsi="Book Antiqua" w:cs="Arial"/>
                <w:color w:val="000000" w:themeColor="text1"/>
                <w:sz w:val="21"/>
                <w:szCs w:val="21"/>
                <w:vertAlign w:val="superscript"/>
              </w:rPr>
              <w:t>2</w:t>
            </w:r>
          </w:p>
          <w:p w14:paraId="1A2695F4"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 xml:space="preserve">Women: </w:t>
            </w:r>
            <w:r w:rsidRPr="00D07897">
              <w:rPr>
                <w:rFonts w:ascii="Book Antiqua" w:hAnsi="Book Antiqua" w:cs="Arial"/>
                <w:color w:val="000000" w:themeColor="text1"/>
                <w:sz w:val="21"/>
                <w:szCs w:val="21"/>
              </w:rPr>
              <w:sym w:font="Symbol" w:char="F0A3"/>
            </w:r>
            <w:r w:rsidRPr="00D07897">
              <w:rPr>
                <w:rFonts w:ascii="Book Antiqua" w:hAnsi="Book Antiqua" w:cs="Arial"/>
                <w:color w:val="000000" w:themeColor="text1"/>
                <w:sz w:val="21"/>
                <w:szCs w:val="21"/>
              </w:rPr>
              <w:t xml:space="preserve"> 15 kg/m</w:t>
            </w:r>
            <w:r w:rsidRPr="00D07897">
              <w:rPr>
                <w:rFonts w:ascii="Book Antiqua" w:hAnsi="Book Antiqua" w:cs="Arial"/>
                <w:color w:val="000000" w:themeColor="text1"/>
                <w:sz w:val="21"/>
                <w:szCs w:val="21"/>
                <w:vertAlign w:val="superscript"/>
              </w:rPr>
              <w:t>2</w:t>
            </w:r>
          </w:p>
          <w:p w14:paraId="55535FF2" w14:textId="77777777" w:rsidR="00040D98" w:rsidRPr="00D07897" w:rsidRDefault="00040D98" w:rsidP="00F96F15">
            <w:pPr>
              <w:spacing w:line="360" w:lineRule="auto"/>
              <w:jc w:val="both"/>
              <w:rPr>
                <w:rFonts w:ascii="Book Antiqua" w:hAnsi="Book Antiqua" w:cs="Arial"/>
                <w:color w:val="000000" w:themeColor="text1"/>
                <w:sz w:val="21"/>
                <w:szCs w:val="21"/>
              </w:rPr>
            </w:pPr>
          </w:p>
          <w:p w14:paraId="7A94AA7E" w14:textId="0A75E2ED"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 xml:space="preserve">SMP: Continuous </w:t>
            </w:r>
            <w:r w:rsidR="00A629BF" w:rsidRPr="00D07897">
              <w:rPr>
                <w:rFonts w:ascii="Book Antiqua" w:hAnsi="Book Antiqua" w:cs="Arial"/>
                <w:color w:val="000000" w:themeColor="text1"/>
                <w:sz w:val="21"/>
                <w:szCs w:val="21"/>
              </w:rPr>
              <w:t>v</w:t>
            </w:r>
            <w:r w:rsidRPr="00D07897">
              <w:rPr>
                <w:rFonts w:ascii="Book Antiqua" w:hAnsi="Book Antiqua" w:cs="Arial"/>
                <w:color w:val="000000" w:themeColor="text1"/>
                <w:sz w:val="21"/>
                <w:szCs w:val="21"/>
              </w:rPr>
              <w:t>ariable</w:t>
            </w:r>
          </w:p>
          <w:p w14:paraId="345D8CF9" w14:textId="77777777" w:rsidR="00040D98" w:rsidRPr="00D07897" w:rsidRDefault="00040D98" w:rsidP="00F96F15">
            <w:pPr>
              <w:spacing w:line="360" w:lineRule="auto"/>
              <w:jc w:val="both"/>
              <w:rPr>
                <w:rFonts w:ascii="Book Antiqua" w:hAnsi="Book Antiqua" w:cs="Arial"/>
                <w:color w:val="000000" w:themeColor="text1"/>
                <w:sz w:val="21"/>
                <w:szCs w:val="21"/>
              </w:rPr>
            </w:pPr>
          </w:p>
        </w:tc>
        <w:tc>
          <w:tcPr>
            <w:tcW w:w="4050" w:type="dxa"/>
            <w:tcBorders>
              <w:bottom w:val="single" w:sz="4" w:space="0" w:color="auto"/>
            </w:tcBorders>
          </w:tcPr>
          <w:p w14:paraId="03F60733" w14:textId="77777777"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Sarcopenia:</w:t>
            </w:r>
          </w:p>
          <w:p w14:paraId="107EE1BC" w14:textId="77777777" w:rsidR="00040D98" w:rsidRPr="00D07897" w:rsidRDefault="00040D98" w:rsidP="00F96F15">
            <w:pPr>
              <w:spacing w:line="360" w:lineRule="auto"/>
              <w:jc w:val="both"/>
              <w:rPr>
                <w:rFonts w:ascii="Book Antiqua" w:hAnsi="Book Antiqua" w:cs="Arial"/>
                <w:color w:val="000000" w:themeColor="text1"/>
                <w:sz w:val="21"/>
                <w:szCs w:val="21"/>
              </w:rPr>
            </w:pPr>
            <w:proofErr w:type="spellStart"/>
            <w:r w:rsidRPr="00D07897">
              <w:rPr>
                <w:rFonts w:ascii="Book Antiqua" w:hAnsi="Book Antiqua" w:cs="Arial"/>
                <w:color w:val="000000" w:themeColor="text1"/>
                <w:sz w:val="21"/>
                <w:szCs w:val="21"/>
              </w:rPr>
              <w:t>mHUAC</w:t>
            </w:r>
            <w:proofErr w:type="spellEnd"/>
            <w:r w:rsidRPr="00D07897">
              <w:rPr>
                <w:rFonts w:ascii="Book Antiqua" w:hAnsi="Book Antiqua" w:cs="Arial"/>
                <w:color w:val="000000" w:themeColor="text1"/>
                <w:sz w:val="21"/>
                <w:szCs w:val="21"/>
              </w:rPr>
              <w:t xml:space="preserve">: Lowest sex quartile at level of L3 vertebrae </w:t>
            </w:r>
          </w:p>
          <w:p w14:paraId="6EA6913B" w14:textId="5D7CF04B"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L3 SMI: Lowest sex quartile, variable between studies (Male: &lt;</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42</w:t>
            </w:r>
            <w:r w:rsidR="00A629BF" w:rsidRPr="00D07897">
              <w:rPr>
                <w:rFonts w:ascii="Book Antiqua" w:hAnsi="Book Antiqua" w:cs="Arial"/>
                <w:color w:val="000000" w:themeColor="text1"/>
                <w:sz w:val="21"/>
                <w:szCs w:val="21"/>
              </w:rPr>
              <w:t>-</w:t>
            </w:r>
            <w:r w:rsidRPr="00D07897">
              <w:rPr>
                <w:rFonts w:ascii="Book Antiqua" w:hAnsi="Book Antiqua" w:cs="Arial"/>
                <w:color w:val="000000" w:themeColor="text1"/>
                <w:sz w:val="21"/>
                <w:szCs w:val="21"/>
              </w:rPr>
              <w:t>55</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cm</w:t>
            </w:r>
            <w:r w:rsidRPr="00D07897">
              <w:rPr>
                <w:rFonts w:ascii="Book Antiqua" w:hAnsi="Book Antiqua" w:cs="Arial"/>
                <w:color w:val="000000" w:themeColor="text1"/>
                <w:sz w:val="21"/>
                <w:szCs w:val="21"/>
                <w:vertAlign w:val="superscript"/>
              </w:rPr>
              <w:t>2</w:t>
            </w:r>
            <w:r w:rsidRPr="00D07897">
              <w:rPr>
                <w:rFonts w:ascii="Book Antiqua" w:hAnsi="Book Antiqua" w:cs="Arial"/>
                <w:color w:val="000000" w:themeColor="text1"/>
                <w:sz w:val="21"/>
                <w:szCs w:val="21"/>
              </w:rPr>
              <w:t>/m</w:t>
            </w:r>
            <w:r w:rsidRPr="00D07897">
              <w:rPr>
                <w:rFonts w:ascii="Book Antiqua" w:hAnsi="Book Antiqua" w:cs="Arial"/>
                <w:color w:val="000000" w:themeColor="text1"/>
                <w:sz w:val="21"/>
                <w:szCs w:val="21"/>
                <w:vertAlign w:val="superscript"/>
              </w:rPr>
              <w:t>2</w:t>
            </w:r>
            <w:r w:rsidRPr="00D07897">
              <w:rPr>
                <w:rFonts w:ascii="Book Antiqua" w:hAnsi="Book Antiqua" w:cs="Arial"/>
                <w:color w:val="000000" w:themeColor="text1"/>
                <w:sz w:val="21"/>
                <w:szCs w:val="21"/>
              </w:rPr>
              <w:t>; Female: &lt;</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35.6</w:t>
            </w:r>
            <w:r w:rsidR="00A629BF" w:rsidRPr="00D07897">
              <w:rPr>
                <w:rFonts w:ascii="Book Antiqua" w:hAnsi="Book Antiqua" w:cs="Arial"/>
                <w:color w:val="000000" w:themeColor="text1"/>
                <w:sz w:val="21"/>
                <w:szCs w:val="21"/>
              </w:rPr>
              <w:t>-</w:t>
            </w:r>
            <w:r w:rsidRPr="00D07897">
              <w:rPr>
                <w:rFonts w:ascii="Book Antiqua" w:hAnsi="Book Antiqua" w:cs="Arial"/>
                <w:color w:val="000000" w:themeColor="text1"/>
                <w:sz w:val="21"/>
                <w:szCs w:val="21"/>
              </w:rPr>
              <w:t>41</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cm</w:t>
            </w:r>
            <w:r w:rsidRPr="00D07897">
              <w:rPr>
                <w:rFonts w:ascii="Book Antiqua" w:hAnsi="Book Antiqua" w:cs="Arial"/>
                <w:color w:val="000000" w:themeColor="text1"/>
                <w:sz w:val="21"/>
                <w:szCs w:val="21"/>
                <w:vertAlign w:val="superscript"/>
              </w:rPr>
              <w:t>2</w:t>
            </w:r>
            <w:r w:rsidRPr="00D07897">
              <w:rPr>
                <w:rFonts w:ascii="Book Antiqua" w:hAnsi="Book Antiqua" w:cs="Arial"/>
                <w:color w:val="000000" w:themeColor="text1"/>
                <w:sz w:val="21"/>
                <w:szCs w:val="21"/>
              </w:rPr>
              <w:t>/m</w:t>
            </w:r>
            <w:r w:rsidRPr="00D07897">
              <w:rPr>
                <w:rFonts w:ascii="Book Antiqua" w:hAnsi="Book Antiqua" w:cs="Arial"/>
                <w:color w:val="000000" w:themeColor="text1"/>
                <w:sz w:val="21"/>
                <w:szCs w:val="21"/>
                <w:vertAlign w:val="superscript"/>
              </w:rPr>
              <w:t>2</w:t>
            </w:r>
            <w:r w:rsidRPr="00D07897">
              <w:rPr>
                <w:rFonts w:ascii="Book Antiqua" w:hAnsi="Book Antiqua" w:cs="Arial"/>
                <w:color w:val="000000" w:themeColor="text1"/>
                <w:sz w:val="21"/>
                <w:szCs w:val="21"/>
              </w:rPr>
              <w:t>)</w:t>
            </w:r>
          </w:p>
          <w:p w14:paraId="071E7D86" w14:textId="3D37A97F"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L4 TPA: Lowest sex quartile (Male &lt;</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56.7 cm</w:t>
            </w:r>
            <w:r w:rsidRPr="00D07897">
              <w:rPr>
                <w:rFonts w:ascii="Book Antiqua" w:hAnsi="Book Antiqua" w:cs="Arial"/>
                <w:color w:val="000000" w:themeColor="text1"/>
                <w:sz w:val="21"/>
                <w:szCs w:val="21"/>
                <w:vertAlign w:val="superscript"/>
              </w:rPr>
              <w:t>2</w:t>
            </w:r>
            <w:r w:rsidRPr="00D07897">
              <w:rPr>
                <w:rFonts w:ascii="Book Antiqua" w:hAnsi="Book Antiqua" w:cs="Arial"/>
                <w:color w:val="000000" w:themeColor="text1"/>
                <w:sz w:val="21"/>
                <w:szCs w:val="21"/>
              </w:rPr>
              <w:t>/m</w:t>
            </w:r>
            <w:r w:rsidRPr="00D07897">
              <w:rPr>
                <w:rFonts w:ascii="Book Antiqua" w:hAnsi="Book Antiqua" w:cs="Arial"/>
                <w:color w:val="000000" w:themeColor="text1"/>
                <w:sz w:val="21"/>
                <w:szCs w:val="21"/>
                <w:vertAlign w:val="superscript"/>
              </w:rPr>
              <w:t>2</w:t>
            </w:r>
            <w:r w:rsidRPr="00D07897">
              <w:rPr>
                <w:rFonts w:ascii="Book Antiqua" w:hAnsi="Book Antiqua" w:cs="Arial"/>
                <w:color w:val="000000" w:themeColor="text1"/>
                <w:sz w:val="21"/>
                <w:szCs w:val="21"/>
              </w:rPr>
              <w:t>, Female: &lt;</w:t>
            </w:r>
            <w:r w:rsidR="00A629BF" w:rsidRPr="00D07897">
              <w:rPr>
                <w:rFonts w:ascii="Book Antiqua" w:hAnsi="Book Antiqua" w:cs="Arial"/>
                <w:color w:val="000000" w:themeColor="text1"/>
                <w:sz w:val="21"/>
                <w:szCs w:val="21"/>
              </w:rPr>
              <w:t xml:space="preserve"> </w:t>
            </w:r>
            <w:r w:rsidRPr="00D07897">
              <w:rPr>
                <w:rFonts w:ascii="Book Antiqua" w:hAnsi="Book Antiqua" w:cs="Arial"/>
                <w:color w:val="000000" w:themeColor="text1"/>
                <w:sz w:val="21"/>
                <w:szCs w:val="21"/>
              </w:rPr>
              <w:t>35.6 cm</w:t>
            </w:r>
            <w:r w:rsidRPr="00D07897">
              <w:rPr>
                <w:rFonts w:ascii="Book Antiqua" w:hAnsi="Book Antiqua" w:cs="Arial"/>
                <w:color w:val="000000" w:themeColor="text1"/>
                <w:sz w:val="21"/>
                <w:szCs w:val="21"/>
                <w:vertAlign w:val="superscript"/>
              </w:rPr>
              <w:t>2</w:t>
            </w:r>
            <w:r w:rsidRPr="00D07897">
              <w:rPr>
                <w:rFonts w:ascii="Book Antiqua" w:hAnsi="Book Antiqua" w:cs="Arial"/>
                <w:color w:val="000000" w:themeColor="text1"/>
                <w:sz w:val="21"/>
                <w:szCs w:val="21"/>
              </w:rPr>
              <w:t>/m</w:t>
            </w:r>
            <w:r w:rsidRPr="00D07897">
              <w:rPr>
                <w:rFonts w:ascii="Book Antiqua" w:hAnsi="Book Antiqua" w:cs="Arial"/>
                <w:color w:val="000000" w:themeColor="text1"/>
                <w:sz w:val="21"/>
                <w:szCs w:val="21"/>
                <w:vertAlign w:val="superscript"/>
              </w:rPr>
              <w:t>2</w:t>
            </w:r>
            <w:r w:rsidRPr="00D07897">
              <w:rPr>
                <w:rFonts w:ascii="Book Antiqua" w:hAnsi="Book Antiqua" w:cs="Arial"/>
                <w:color w:val="000000" w:themeColor="text1"/>
                <w:sz w:val="21"/>
                <w:szCs w:val="21"/>
              </w:rPr>
              <w:t>)</w:t>
            </w:r>
          </w:p>
          <w:p w14:paraId="2D32BC3E" w14:textId="71384FE5" w:rsidR="00040D98" w:rsidRPr="00D07897" w:rsidRDefault="00040D98" w:rsidP="00F96F15">
            <w:pPr>
              <w:spacing w:line="360" w:lineRule="auto"/>
              <w:jc w:val="both"/>
              <w:rPr>
                <w:rFonts w:ascii="Book Antiqua" w:hAnsi="Book Antiqua" w:cs="Arial"/>
                <w:color w:val="000000" w:themeColor="text1"/>
                <w:sz w:val="21"/>
                <w:szCs w:val="21"/>
              </w:rPr>
            </w:pPr>
            <w:r w:rsidRPr="00D07897">
              <w:rPr>
                <w:rFonts w:ascii="Book Antiqua" w:hAnsi="Book Antiqua" w:cs="Arial"/>
                <w:color w:val="000000" w:themeColor="text1"/>
                <w:sz w:val="21"/>
                <w:szCs w:val="21"/>
              </w:rPr>
              <w:t xml:space="preserve">ASMI/SMA: Continuous </w:t>
            </w:r>
            <w:r w:rsidR="00A629BF" w:rsidRPr="00D07897">
              <w:rPr>
                <w:rFonts w:ascii="Book Antiqua" w:hAnsi="Book Antiqua" w:cs="Arial"/>
                <w:color w:val="000000" w:themeColor="text1"/>
                <w:sz w:val="21"/>
                <w:szCs w:val="21"/>
              </w:rPr>
              <w:t>v</w:t>
            </w:r>
            <w:r w:rsidRPr="00D07897">
              <w:rPr>
                <w:rFonts w:ascii="Book Antiqua" w:hAnsi="Book Antiqua" w:cs="Arial"/>
                <w:color w:val="000000" w:themeColor="text1"/>
                <w:sz w:val="21"/>
                <w:szCs w:val="21"/>
              </w:rPr>
              <w:t>ariable</w:t>
            </w:r>
          </w:p>
        </w:tc>
      </w:tr>
    </w:tbl>
    <w:p w14:paraId="13F8D6F3" w14:textId="5645CBA0" w:rsidR="00150811" w:rsidRPr="00D07897" w:rsidRDefault="00040D98" w:rsidP="00D05D5B">
      <w:pPr>
        <w:spacing w:line="360" w:lineRule="auto"/>
        <w:jc w:val="both"/>
        <w:rPr>
          <w:rFonts w:ascii="Book Antiqua" w:hAnsi="Book Antiqua" w:cs="Arial"/>
          <w:color w:val="000000" w:themeColor="text1"/>
        </w:rPr>
      </w:pPr>
      <w:r w:rsidRPr="00D07897">
        <w:rPr>
          <w:rFonts w:ascii="Book Antiqua" w:hAnsi="Book Antiqua" w:cs="Arial"/>
          <w:color w:val="000000" w:themeColor="text1"/>
        </w:rPr>
        <w:t>BMI</w:t>
      </w:r>
      <w:r w:rsidR="00A629BF" w:rsidRPr="00D07897">
        <w:rPr>
          <w:rFonts w:ascii="Book Antiqua" w:hAnsi="Book Antiqua" w:cs="Arial"/>
          <w:color w:val="000000" w:themeColor="text1"/>
        </w:rPr>
        <w:t>:</w:t>
      </w:r>
      <w:r w:rsidRPr="00D07897">
        <w:rPr>
          <w:rFonts w:ascii="Book Antiqua" w:hAnsi="Book Antiqua" w:cs="Arial"/>
          <w:color w:val="000000" w:themeColor="text1"/>
        </w:rPr>
        <w:t xml:space="preserve"> </w:t>
      </w:r>
      <w:r w:rsidR="00A629BF" w:rsidRPr="00D07897">
        <w:rPr>
          <w:rFonts w:ascii="Book Antiqua" w:hAnsi="Book Antiqua" w:cs="Arial"/>
          <w:color w:val="000000" w:themeColor="text1"/>
        </w:rPr>
        <w:t>B</w:t>
      </w:r>
      <w:r w:rsidRPr="00D07897">
        <w:rPr>
          <w:rFonts w:ascii="Book Antiqua" w:hAnsi="Book Antiqua" w:cs="Arial"/>
          <w:color w:val="000000" w:themeColor="text1"/>
        </w:rPr>
        <w:t>ody mass index; SCAI</w:t>
      </w:r>
      <w:r w:rsidR="00A629BF" w:rsidRPr="00D07897">
        <w:rPr>
          <w:rFonts w:ascii="Book Antiqua" w:hAnsi="Book Antiqua" w:cs="Arial"/>
          <w:color w:val="000000" w:themeColor="text1"/>
        </w:rPr>
        <w:t>:</w:t>
      </w:r>
      <w:r w:rsidRPr="00D07897">
        <w:rPr>
          <w:rFonts w:ascii="Book Antiqua" w:hAnsi="Book Antiqua" w:cs="Arial"/>
          <w:color w:val="000000" w:themeColor="text1"/>
        </w:rPr>
        <w:t xml:space="preserve"> Simple Colitis Activity Index; HBS</w:t>
      </w:r>
      <w:r w:rsidR="00A629BF" w:rsidRPr="00D07897">
        <w:rPr>
          <w:rFonts w:ascii="Book Antiqua" w:hAnsi="Book Antiqua" w:cs="Arial"/>
          <w:color w:val="000000" w:themeColor="text1"/>
        </w:rPr>
        <w:t>:</w:t>
      </w:r>
      <w:r w:rsidRPr="00D07897">
        <w:rPr>
          <w:rFonts w:ascii="Book Antiqua" w:hAnsi="Book Antiqua" w:cs="Arial"/>
          <w:color w:val="000000" w:themeColor="text1"/>
        </w:rPr>
        <w:t xml:space="preserve"> Harvey Bradshaw Score; SGA</w:t>
      </w:r>
      <w:r w:rsidR="00D05D5B" w:rsidRPr="00D07897">
        <w:rPr>
          <w:rFonts w:ascii="Book Antiqua" w:hAnsi="Book Antiqua" w:cs="Arial"/>
          <w:color w:val="000000" w:themeColor="text1"/>
        </w:rPr>
        <w:t>:</w:t>
      </w:r>
      <w:r w:rsidRPr="00D07897">
        <w:rPr>
          <w:rFonts w:ascii="Book Antiqua" w:hAnsi="Book Antiqua" w:cs="Arial"/>
          <w:color w:val="000000" w:themeColor="text1"/>
        </w:rPr>
        <w:t xml:space="preserve"> Subjective Global Assessment; SMP</w:t>
      </w:r>
      <w:r w:rsidR="00D05D5B" w:rsidRPr="00D07897">
        <w:rPr>
          <w:rFonts w:ascii="Book Antiqua" w:hAnsi="Book Antiqua" w:cs="Arial"/>
          <w:color w:val="000000" w:themeColor="text1"/>
        </w:rPr>
        <w:t>:</w:t>
      </w:r>
      <w:r w:rsidRPr="00D07897">
        <w:rPr>
          <w:rFonts w:ascii="Book Antiqua" w:hAnsi="Book Antiqua" w:cs="Arial"/>
          <w:color w:val="000000" w:themeColor="text1"/>
        </w:rPr>
        <w:t xml:space="preserve"> Skeletal Muscle Percentage; FFMI</w:t>
      </w:r>
      <w:r w:rsidR="00D05D5B" w:rsidRPr="00D07897">
        <w:rPr>
          <w:rFonts w:ascii="Book Antiqua" w:hAnsi="Book Antiqua" w:cs="Arial"/>
          <w:color w:val="000000" w:themeColor="text1"/>
        </w:rPr>
        <w:t>:</w:t>
      </w:r>
      <w:r w:rsidRPr="00D07897">
        <w:rPr>
          <w:rFonts w:ascii="Book Antiqua" w:hAnsi="Book Antiqua" w:cs="Arial"/>
          <w:color w:val="000000" w:themeColor="text1"/>
        </w:rPr>
        <w:t xml:space="preserve"> Fat Free Mass Index; </w:t>
      </w:r>
      <w:proofErr w:type="spellStart"/>
      <w:r w:rsidR="00D05D5B" w:rsidRPr="00D07897">
        <w:rPr>
          <w:rFonts w:ascii="Book Antiqua" w:hAnsi="Book Antiqua" w:cs="Arial"/>
          <w:color w:val="000000" w:themeColor="text1"/>
        </w:rPr>
        <w:t>mHUAC</w:t>
      </w:r>
      <w:proofErr w:type="spellEnd"/>
      <w:r w:rsidR="00D05D5B" w:rsidRPr="00D07897">
        <w:rPr>
          <w:rFonts w:ascii="Book Antiqua" w:hAnsi="Book Antiqua" w:cs="Arial"/>
          <w:color w:val="000000" w:themeColor="text1"/>
        </w:rPr>
        <w:t xml:space="preserve">: </w:t>
      </w:r>
      <w:r w:rsidRPr="00D07897">
        <w:rPr>
          <w:rFonts w:ascii="Book Antiqua" w:hAnsi="Book Antiqua" w:cs="Arial"/>
          <w:color w:val="000000" w:themeColor="text1"/>
        </w:rPr>
        <w:t>Mean Hounsfield Unit Area Calculation; ASMI</w:t>
      </w:r>
      <w:r w:rsidR="00D05D5B" w:rsidRPr="00D07897">
        <w:rPr>
          <w:rFonts w:ascii="Book Antiqua" w:hAnsi="Book Antiqua" w:cs="Arial"/>
          <w:color w:val="000000" w:themeColor="text1"/>
        </w:rPr>
        <w:t>:</w:t>
      </w:r>
      <w:r w:rsidRPr="00D07897">
        <w:rPr>
          <w:rFonts w:ascii="Book Antiqua" w:hAnsi="Book Antiqua" w:cs="Arial"/>
          <w:color w:val="000000" w:themeColor="text1"/>
        </w:rPr>
        <w:t xml:space="preserve"> Appendicular Skeletal Muscle Index; L3 SMI</w:t>
      </w:r>
      <w:r w:rsidR="00D05D5B" w:rsidRPr="00D07897">
        <w:rPr>
          <w:rFonts w:ascii="Book Antiqua" w:hAnsi="Book Antiqua" w:cs="Arial"/>
          <w:color w:val="000000" w:themeColor="text1"/>
        </w:rPr>
        <w:t>:</w:t>
      </w:r>
      <w:r w:rsidRPr="00D07897">
        <w:rPr>
          <w:rFonts w:ascii="Book Antiqua" w:hAnsi="Book Antiqua" w:cs="Arial"/>
          <w:color w:val="000000" w:themeColor="text1"/>
        </w:rPr>
        <w:t xml:space="preserve"> L3 Vertebrae Skeletal Muscle Index; SMA</w:t>
      </w:r>
      <w:r w:rsidR="00D05D5B" w:rsidRPr="00D07897">
        <w:rPr>
          <w:rFonts w:ascii="Book Antiqua" w:hAnsi="Book Antiqua" w:cs="Arial"/>
          <w:color w:val="000000" w:themeColor="text1"/>
        </w:rPr>
        <w:t>:</w:t>
      </w:r>
      <w:r w:rsidRPr="00D07897">
        <w:rPr>
          <w:rFonts w:ascii="Book Antiqua" w:hAnsi="Book Antiqua" w:cs="Arial"/>
          <w:color w:val="000000" w:themeColor="text1"/>
        </w:rPr>
        <w:t xml:space="preserve"> Skeletal Muscle Area</w:t>
      </w:r>
      <w:r w:rsidR="00D05D5B" w:rsidRPr="00D07897">
        <w:rPr>
          <w:rFonts w:ascii="Book Antiqua" w:hAnsi="Book Antiqua" w:cs="Arial"/>
          <w:color w:val="000000" w:themeColor="text1"/>
        </w:rPr>
        <w:t xml:space="preserve">; IBD: Inflammatory bowel disease; CT: </w:t>
      </w:r>
      <w:r w:rsidR="00D05D5B" w:rsidRPr="00D07897">
        <w:rPr>
          <w:rFonts w:ascii="Book Antiqua" w:hAnsi="Book Antiqua"/>
        </w:rPr>
        <w:t xml:space="preserve">Computed tomography; RD: </w:t>
      </w:r>
      <w:r w:rsidR="00D05D5B" w:rsidRPr="00D07897">
        <w:rPr>
          <w:rFonts w:ascii="Book Antiqua" w:hAnsi="Book Antiqua" w:cs="Arial"/>
          <w:color w:val="000000" w:themeColor="text1"/>
        </w:rPr>
        <w:t>Registered dietitian</w:t>
      </w:r>
      <w:r w:rsidR="006D4D69" w:rsidRPr="00D07897">
        <w:rPr>
          <w:rFonts w:ascii="Book Antiqua" w:hAnsi="Book Antiqua" w:cs="Arial"/>
          <w:color w:val="000000" w:themeColor="text1"/>
        </w:rPr>
        <w:t>; GI: Gastroenterologist.</w:t>
      </w:r>
      <w:r w:rsidR="00150811" w:rsidRPr="00D07897">
        <w:rPr>
          <w:rFonts w:ascii="Book Antiqua" w:hAnsi="Book Antiqua" w:cs="Arial"/>
          <w:color w:val="000000" w:themeColor="text1"/>
        </w:rPr>
        <w:br w:type="page"/>
      </w:r>
    </w:p>
    <w:p w14:paraId="6C7CD089" w14:textId="013DA433" w:rsidR="009F0269" w:rsidRPr="00D07897" w:rsidRDefault="009F0269" w:rsidP="00F96F15">
      <w:pPr>
        <w:spacing w:line="360" w:lineRule="auto"/>
        <w:jc w:val="both"/>
        <w:rPr>
          <w:rFonts w:ascii="Book Antiqua" w:hAnsi="Book Antiqua" w:cs="Arial"/>
          <w:b/>
          <w:bCs/>
          <w:color w:val="000000" w:themeColor="text1"/>
        </w:rPr>
      </w:pPr>
      <w:r w:rsidRPr="00D07897">
        <w:rPr>
          <w:rFonts w:ascii="Book Antiqua" w:hAnsi="Book Antiqua" w:cs="Arial"/>
          <w:b/>
          <w:bCs/>
          <w:color w:val="000000" w:themeColor="text1"/>
        </w:rPr>
        <w:lastRenderedPageBreak/>
        <w:t xml:space="preserve">Table </w:t>
      </w:r>
      <w:r w:rsidR="002B7CA0" w:rsidRPr="00D07897">
        <w:rPr>
          <w:rFonts w:ascii="Book Antiqua" w:hAnsi="Book Antiqua" w:cs="Arial"/>
          <w:b/>
          <w:bCs/>
          <w:color w:val="000000" w:themeColor="text1"/>
        </w:rPr>
        <w:t>4</w:t>
      </w:r>
      <w:r w:rsidRPr="00D07897">
        <w:rPr>
          <w:rFonts w:ascii="Book Antiqua" w:hAnsi="Book Antiqua" w:cs="Arial"/>
          <w:b/>
          <w:bCs/>
          <w:color w:val="000000" w:themeColor="text1"/>
        </w:rPr>
        <w:t xml:space="preserve"> Proportion of </w:t>
      </w:r>
      <w:r w:rsidR="00D05D5B" w:rsidRPr="00D07897">
        <w:rPr>
          <w:rFonts w:ascii="Book Antiqua" w:hAnsi="Book Antiqua" w:cs="Arial"/>
          <w:b/>
          <w:bCs/>
          <w:color w:val="000000" w:themeColor="text1"/>
        </w:rPr>
        <w:t xml:space="preserve">nutrition abnormalities </w:t>
      </w:r>
      <w:r w:rsidR="00D05D5B" w:rsidRPr="00D07897">
        <w:rPr>
          <w:rFonts w:ascii="Book Antiqua" w:hAnsi="Book Antiqua" w:cs="Arial"/>
          <w:b/>
          <w:bCs/>
          <w:i/>
          <w:iCs/>
          <w:color w:val="000000" w:themeColor="text1"/>
        </w:rPr>
        <w:t>via</w:t>
      </w:r>
      <w:r w:rsidR="00D05D5B" w:rsidRPr="00D07897">
        <w:rPr>
          <w:rFonts w:ascii="Book Antiqua" w:hAnsi="Book Antiqua" w:cs="Arial"/>
          <w:b/>
          <w:bCs/>
          <w:color w:val="000000" w:themeColor="text1"/>
        </w:rPr>
        <w:t xml:space="preserve"> nutrition screening tools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519"/>
        <w:gridCol w:w="2869"/>
        <w:gridCol w:w="2868"/>
        <w:gridCol w:w="2742"/>
      </w:tblGrid>
      <w:tr w:rsidR="00F96F15" w:rsidRPr="00D07897" w14:paraId="3040A7F0" w14:textId="77777777" w:rsidTr="00D05D5B">
        <w:trPr>
          <w:trHeight w:val="794"/>
        </w:trPr>
        <w:tc>
          <w:tcPr>
            <w:tcW w:w="2796" w:type="dxa"/>
            <w:tcBorders>
              <w:top w:val="single" w:sz="4" w:space="0" w:color="auto"/>
              <w:bottom w:val="single" w:sz="4" w:space="0" w:color="auto"/>
            </w:tcBorders>
          </w:tcPr>
          <w:p w14:paraId="377025FF" w14:textId="77777777" w:rsidR="009F0269" w:rsidRPr="00D07897" w:rsidRDefault="009F0269"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NST</w:t>
            </w:r>
          </w:p>
        </w:tc>
        <w:tc>
          <w:tcPr>
            <w:tcW w:w="2519" w:type="dxa"/>
            <w:tcBorders>
              <w:top w:val="single" w:sz="4" w:space="0" w:color="auto"/>
              <w:bottom w:val="single" w:sz="4" w:space="0" w:color="auto"/>
            </w:tcBorders>
          </w:tcPr>
          <w:p w14:paraId="646E7AF5" w14:textId="756B0EFF" w:rsidR="009F0269" w:rsidRPr="00D07897" w:rsidRDefault="009F0269"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 xml:space="preserve">Proportion of </w:t>
            </w:r>
            <w:r w:rsidR="00D05D5B" w:rsidRPr="00D07897">
              <w:rPr>
                <w:rFonts w:ascii="Book Antiqua" w:hAnsi="Book Antiqua" w:cs="Arial"/>
                <w:b/>
                <w:color w:val="000000" w:themeColor="text1"/>
              </w:rPr>
              <w:t>low risk p</w:t>
            </w:r>
            <w:r w:rsidRPr="00D07897">
              <w:rPr>
                <w:rFonts w:ascii="Book Antiqua" w:hAnsi="Book Antiqua" w:cs="Arial"/>
                <w:b/>
                <w:color w:val="000000" w:themeColor="text1"/>
              </w:rPr>
              <w:t xml:space="preserve">atient’s </w:t>
            </w:r>
            <w:r w:rsidRPr="00D07897">
              <w:rPr>
                <w:rFonts w:ascii="Book Antiqua" w:hAnsi="Book Antiqua" w:cs="Arial"/>
                <w:b/>
                <w:i/>
                <w:iCs/>
                <w:color w:val="000000" w:themeColor="text1"/>
              </w:rPr>
              <w:t>n</w:t>
            </w:r>
            <w:r w:rsidRPr="00D07897">
              <w:rPr>
                <w:rFonts w:ascii="Book Antiqua" w:hAnsi="Book Antiqua" w:cs="Arial"/>
                <w:b/>
                <w:color w:val="000000" w:themeColor="text1"/>
              </w:rPr>
              <w:t xml:space="preserve"> (%)</w:t>
            </w:r>
          </w:p>
        </w:tc>
        <w:tc>
          <w:tcPr>
            <w:tcW w:w="2869" w:type="dxa"/>
            <w:tcBorders>
              <w:top w:val="single" w:sz="4" w:space="0" w:color="auto"/>
              <w:bottom w:val="single" w:sz="4" w:space="0" w:color="auto"/>
            </w:tcBorders>
          </w:tcPr>
          <w:p w14:paraId="7D6FE23D" w14:textId="245E5848" w:rsidR="009F0269" w:rsidRPr="00D07897" w:rsidRDefault="009F0269"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 xml:space="preserve">Proportion of </w:t>
            </w:r>
            <w:r w:rsidR="00D05D5B" w:rsidRPr="00D07897">
              <w:rPr>
                <w:rFonts w:ascii="Book Antiqua" w:hAnsi="Book Antiqua" w:cs="Arial"/>
                <w:b/>
                <w:color w:val="000000" w:themeColor="text1"/>
              </w:rPr>
              <w:t xml:space="preserve">mild-moderate risk patient’s </w:t>
            </w:r>
            <w:r w:rsidRPr="00D07897">
              <w:rPr>
                <w:rFonts w:ascii="Book Antiqua" w:hAnsi="Book Antiqua" w:cs="Arial"/>
                <w:b/>
                <w:i/>
                <w:iCs/>
                <w:color w:val="000000" w:themeColor="text1"/>
              </w:rPr>
              <w:t>n</w:t>
            </w:r>
            <w:r w:rsidRPr="00D07897">
              <w:rPr>
                <w:rFonts w:ascii="Book Antiqua" w:hAnsi="Book Antiqua" w:cs="Arial"/>
                <w:b/>
                <w:color w:val="000000" w:themeColor="text1"/>
              </w:rPr>
              <w:t xml:space="preserve"> (%)</w:t>
            </w:r>
          </w:p>
        </w:tc>
        <w:tc>
          <w:tcPr>
            <w:tcW w:w="2868" w:type="dxa"/>
            <w:tcBorders>
              <w:top w:val="single" w:sz="4" w:space="0" w:color="auto"/>
              <w:bottom w:val="single" w:sz="4" w:space="0" w:color="auto"/>
            </w:tcBorders>
          </w:tcPr>
          <w:p w14:paraId="48474B2D" w14:textId="64E30D46" w:rsidR="009F0269" w:rsidRPr="00D07897" w:rsidRDefault="009F0269"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 xml:space="preserve">Proportion of </w:t>
            </w:r>
            <w:r w:rsidR="00D05D5B" w:rsidRPr="00D07897">
              <w:rPr>
                <w:rFonts w:ascii="Book Antiqua" w:hAnsi="Book Antiqua" w:cs="Arial"/>
                <w:b/>
                <w:color w:val="000000" w:themeColor="text1"/>
              </w:rPr>
              <w:t xml:space="preserve">high-risk patient’s </w:t>
            </w:r>
            <w:r w:rsidRPr="00D07897">
              <w:rPr>
                <w:rFonts w:ascii="Book Antiqua" w:hAnsi="Book Antiqua" w:cs="Arial"/>
                <w:b/>
                <w:i/>
                <w:iCs/>
                <w:color w:val="000000" w:themeColor="text1"/>
              </w:rPr>
              <w:t>n</w:t>
            </w:r>
            <w:r w:rsidRPr="00D07897">
              <w:rPr>
                <w:rFonts w:ascii="Book Antiqua" w:hAnsi="Book Antiqua" w:cs="Arial"/>
                <w:b/>
                <w:color w:val="000000" w:themeColor="text1"/>
              </w:rPr>
              <w:t xml:space="preserve"> (%)</w:t>
            </w:r>
          </w:p>
        </w:tc>
        <w:tc>
          <w:tcPr>
            <w:tcW w:w="2742" w:type="dxa"/>
            <w:tcBorders>
              <w:top w:val="single" w:sz="4" w:space="0" w:color="auto"/>
              <w:bottom w:val="single" w:sz="4" w:space="0" w:color="auto"/>
            </w:tcBorders>
          </w:tcPr>
          <w:p w14:paraId="721BD17D" w14:textId="77777777" w:rsidR="009F0269" w:rsidRPr="00D07897" w:rsidRDefault="009F0269"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 xml:space="preserve"> Study ID</w:t>
            </w:r>
          </w:p>
        </w:tc>
      </w:tr>
      <w:tr w:rsidR="00F96F15" w:rsidRPr="00D07897" w14:paraId="0CAF3191" w14:textId="77777777" w:rsidTr="00D05D5B">
        <w:trPr>
          <w:trHeight w:val="198"/>
        </w:trPr>
        <w:tc>
          <w:tcPr>
            <w:tcW w:w="2796" w:type="dxa"/>
            <w:vMerge w:val="restart"/>
            <w:tcBorders>
              <w:top w:val="single" w:sz="4" w:space="0" w:color="auto"/>
            </w:tcBorders>
          </w:tcPr>
          <w:p w14:paraId="3B778205" w14:textId="77777777" w:rsidR="009F0269" w:rsidRPr="00D07897" w:rsidRDefault="009F0269" w:rsidP="00F96F15">
            <w:pPr>
              <w:spacing w:line="360" w:lineRule="auto"/>
              <w:jc w:val="both"/>
              <w:rPr>
                <w:rFonts w:ascii="Book Antiqua" w:hAnsi="Book Antiqua" w:cs="Arial"/>
                <w:color w:val="000000" w:themeColor="text1"/>
              </w:rPr>
            </w:pPr>
          </w:p>
          <w:p w14:paraId="72C3DFDE" w14:textId="77777777"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MUST </w:t>
            </w:r>
          </w:p>
        </w:tc>
        <w:tc>
          <w:tcPr>
            <w:tcW w:w="2519" w:type="dxa"/>
            <w:tcBorders>
              <w:top w:val="single" w:sz="4" w:space="0" w:color="auto"/>
            </w:tcBorders>
          </w:tcPr>
          <w:p w14:paraId="5F70309F" w14:textId="4905011C"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12 (16.7)</w:t>
            </w:r>
          </w:p>
        </w:tc>
        <w:tc>
          <w:tcPr>
            <w:tcW w:w="2869" w:type="dxa"/>
            <w:tcBorders>
              <w:top w:val="single" w:sz="4" w:space="0" w:color="auto"/>
            </w:tcBorders>
          </w:tcPr>
          <w:p w14:paraId="6E063008" w14:textId="7CFA8B80"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27 (37.5)</w:t>
            </w:r>
          </w:p>
        </w:tc>
        <w:tc>
          <w:tcPr>
            <w:tcW w:w="2868" w:type="dxa"/>
            <w:tcBorders>
              <w:top w:val="single" w:sz="4" w:space="0" w:color="auto"/>
            </w:tcBorders>
          </w:tcPr>
          <w:p w14:paraId="7E6D8ECD" w14:textId="7C1EEA07"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49 (68.1)</w:t>
            </w:r>
          </w:p>
        </w:tc>
        <w:tc>
          <w:tcPr>
            <w:tcW w:w="2742" w:type="dxa"/>
            <w:tcBorders>
              <w:top w:val="single" w:sz="4" w:space="0" w:color="auto"/>
            </w:tcBorders>
          </w:tcPr>
          <w:p w14:paraId="4C0C3DE4" w14:textId="566598D2" w:rsidR="009F0269" w:rsidRPr="00D07897" w:rsidRDefault="009F0269" w:rsidP="00F96F15">
            <w:pPr>
              <w:spacing w:line="360" w:lineRule="auto"/>
              <w:jc w:val="both"/>
              <w:rPr>
                <w:rFonts w:ascii="Book Antiqua" w:hAnsi="Book Antiqua" w:cs="Arial"/>
                <w:color w:val="000000" w:themeColor="text1"/>
              </w:rPr>
            </w:pPr>
            <w:proofErr w:type="spellStart"/>
            <w:r w:rsidRPr="00D07897">
              <w:rPr>
                <w:rFonts w:ascii="Book Antiqua" w:hAnsi="Book Antiqua" w:cs="Arial"/>
                <w:color w:val="000000" w:themeColor="text1"/>
              </w:rPr>
              <w:t>Bamba</w:t>
            </w:r>
            <w:proofErr w:type="spellEnd"/>
            <w:r w:rsidRPr="00D07897">
              <w:rPr>
                <w:rFonts w:ascii="Book Antiqua" w:hAnsi="Book Antiqua" w:cs="Arial"/>
                <w:color w:val="000000" w:themeColor="text1"/>
              </w:rPr>
              <w:t xml:space="preserve"> </w:t>
            </w:r>
            <w:r w:rsidR="00C24200" w:rsidRPr="00D07897">
              <w:rPr>
                <w:rFonts w:ascii="Book Antiqua" w:hAnsi="Book Antiqua" w:cs="Arial"/>
                <w:i/>
                <w:color w:val="000000" w:themeColor="text1"/>
              </w:rPr>
              <w:t>et al</w:t>
            </w:r>
            <w:r w:rsidR="00D95C42"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D95C42"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[9]</w:t>
            </w:r>
            <w:r w:rsidR="00D95C42" w:rsidRPr="00D07897">
              <w:rPr>
                <w:rFonts w:ascii="Book Antiqua" w:hAnsi="Book Antiqua" w:cs="Arial"/>
                <w:color w:val="000000" w:themeColor="text1"/>
              </w:rPr>
              <w:fldChar w:fldCharType="end"/>
            </w:r>
          </w:p>
        </w:tc>
      </w:tr>
      <w:tr w:rsidR="00F96F15" w:rsidRPr="00D07897" w14:paraId="3C1775FA" w14:textId="77777777" w:rsidTr="00D05D5B">
        <w:trPr>
          <w:trHeight w:val="208"/>
        </w:trPr>
        <w:tc>
          <w:tcPr>
            <w:tcW w:w="2796" w:type="dxa"/>
            <w:vMerge/>
          </w:tcPr>
          <w:p w14:paraId="380D4412" w14:textId="77777777" w:rsidR="009F0269" w:rsidRPr="00D07897" w:rsidRDefault="009F0269" w:rsidP="00F96F15">
            <w:pPr>
              <w:spacing w:line="360" w:lineRule="auto"/>
              <w:jc w:val="both"/>
              <w:rPr>
                <w:rFonts w:ascii="Book Antiqua" w:hAnsi="Book Antiqua" w:cs="Arial"/>
                <w:color w:val="000000" w:themeColor="text1"/>
              </w:rPr>
            </w:pPr>
          </w:p>
        </w:tc>
        <w:tc>
          <w:tcPr>
            <w:tcW w:w="2519" w:type="dxa"/>
          </w:tcPr>
          <w:p w14:paraId="6FF92973" w14:textId="60085EAB"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118 (68.2)</w:t>
            </w:r>
          </w:p>
        </w:tc>
        <w:tc>
          <w:tcPr>
            <w:tcW w:w="2869" w:type="dxa"/>
          </w:tcPr>
          <w:p w14:paraId="44B8027C" w14:textId="32C6B92B"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18 (10.4)</w:t>
            </w:r>
          </w:p>
        </w:tc>
        <w:tc>
          <w:tcPr>
            <w:tcW w:w="2868" w:type="dxa"/>
          </w:tcPr>
          <w:p w14:paraId="6244237D" w14:textId="723526D0"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37 (21.4)</w:t>
            </w:r>
          </w:p>
        </w:tc>
        <w:tc>
          <w:tcPr>
            <w:tcW w:w="2742" w:type="dxa"/>
          </w:tcPr>
          <w:p w14:paraId="6B126772" w14:textId="7E84C1FF" w:rsidR="009F0269" w:rsidRPr="00D07897" w:rsidRDefault="009F0269" w:rsidP="00F96F15">
            <w:pPr>
              <w:spacing w:line="360" w:lineRule="auto"/>
              <w:jc w:val="both"/>
              <w:rPr>
                <w:rFonts w:ascii="Book Antiqua" w:hAnsi="Book Antiqua" w:cs="Arial"/>
                <w:color w:val="000000" w:themeColor="text1"/>
              </w:rPr>
            </w:pPr>
            <w:proofErr w:type="spellStart"/>
            <w:r w:rsidRPr="00D07897">
              <w:rPr>
                <w:rFonts w:ascii="Book Antiqua" w:hAnsi="Book Antiqua" w:cs="Arial"/>
                <w:color w:val="000000" w:themeColor="text1"/>
              </w:rPr>
              <w:t>Csontos</w:t>
            </w:r>
            <w:proofErr w:type="spellEnd"/>
            <w:r w:rsidRPr="00D07897">
              <w:rPr>
                <w:rFonts w:ascii="Book Antiqua" w:hAnsi="Book Antiqua" w:cs="Arial"/>
                <w:color w:val="000000" w:themeColor="text1"/>
              </w:rPr>
              <w:t xml:space="preserve"> </w:t>
            </w:r>
            <w:r w:rsidR="00C24200" w:rsidRPr="00D07897">
              <w:rPr>
                <w:rFonts w:ascii="Book Antiqua" w:hAnsi="Book Antiqua" w:cs="Arial"/>
                <w:i/>
                <w:color w:val="000000" w:themeColor="text1"/>
              </w:rPr>
              <w:t>et al</w:t>
            </w:r>
            <w:r w:rsidR="00D95C42"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mendeley":{"formattedCitation":"&lt;sup&gt;[30]&lt;/sup&gt;","plainTextFormattedCitation":"[30]","previouslyFormattedCitation":"&lt;sup&gt;[29]&lt;/sup&gt;"},"properties":{"noteIndex":0},"schema":"https://github.com/citation-style-language/schema/raw/master/csl-citation.json"}</w:instrText>
            </w:r>
            <w:r w:rsidR="00D95C42"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[30]</w:t>
            </w:r>
            <w:r w:rsidR="00D95C42" w:rsidRPr="00D07897">
              <w:rPr>
                <w:rFonts w:ascii="Book Antiqua" w:hAnsi="Book Antiqua" w:cs="Arial"/>
                <w:color w:val="000000" w:themeColor="text1"/>
              </w:rPr>
              <w:fldChar w:fldCharType="end"/>
            </w:r>
          </w:p>
        </w:tc>
      </w:tr>
      <w:tr w:rsidR="00F96F15" w:rsidRPr="00D07897" w14:paraId="5F98A4A6" w14:textId="77777777" w:rsidTr="00D05D5B">
        <w:trPr>
          <w:trHeight w:val="198"/>
        </w:trPr>
        <w:tc>
          <w:tcPr>
            <w:tcW w:w="2796" w:type="dxa"/>
            <w:vMerge/>
          </w:tcPr>
          <w:p w14:paraId="6B15D182" w14:textId="77777777" w:rsidR="009F0269" w:rsidRPr="00D07897" w:rsidRDefault="009F0269" w:rsidP="00F96F15">
            <w:pPr>
              <w:spacing w:line="360" w:lineRule="auto"/>
              <w:jc w:val="both"/>
              <w:rPr>
                <w:rFonts w:ascii="Book Antiqua" w:hAnsi="Book Antiqua" w:cs="Arial"/>
                <w:color w:val="000000" w:themeColor="text1"/>
              </w:rPr>
            </w:pPr>
          </w:p>
        </w:tc>
        <w:tc>
          <w:tcPr>
            <w:tcW w:w="2519" w:type="dxa"/>
          </w:tcPr>
          <w:p w14:paraId="3F135253" w14:textId="3C24BB9C"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93 (84.5)</w:t>
            </w:r>
          </w:p>
        </w:tc>
        <w:tc>
          <w:tcPr>
            <w:tcW w:w="2869" w:type="dxa"/>
          </w:tcPr>
          <w:p w14:paraId="634A1BC8" w14:textId="0CBA7047"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12 (10.9)</w:t>
            </w:r>
          </w:p>
        </w:tc>
        <w:tc>
          <w:tcPr>
            <w:tcW w:w="2868" w:type="dxa"/>
          </w:tcPr>
          <w:p w14:paraId="2D18BB7F" w14:textId="0A336EFA"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5 (4.5)</w:t>
            </w:r>
          </w:p>
        </w:tc>
        <w:tc>
          <w:tcPr>
            <w:tcW w:w="2742" w:type="dxa"/>
          </w:tcPr>
          <w:p w14:paraId="28DDC9EF" w14:textId="6D90F1B9"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Haskey </w:t>
            </w:r>
            <w:r w:rsidR="00C24200" w:rsidRPr="00D07897">
              <w:rPr>
                <w:rFonts w:ascii="Book Antiqua" w:hAnsi="Book Antiqua" w:cs="Arial"/>
                <w:i/>
                <w:color w:val="000000" w:themeColor="text1"/>
              </w:rPr>
              <w:t>et al</w:t>
            </w:r>
            <w:r w:rsidR="00D95C42"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D95C42"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[35]</w:t>
            </w:r>
            <w:r w:rsidR="00D95C42" w:rsidRPr="00D07897">
              <w:rPr>
                <w:rFonts w:ascii="Book Antiqua" w:hAnsi="Book Antiqua" w:cs="Arial"/>
                <w:color w:val="000000" w:themeColor="text1"/>
              </w:rPr>
              <w:fldChar w:fldCharType="end"/>
            </w:r>
          </w:p>
        </w:tc>
      </w:tr>
      <w:tr w:rsidR="00F96F15" w:rsidRPr="00D07897" w14:paraId="2576998D" w14:textId="77777777" w:rsidTr="00D05D5B">
        <w:trPr>
          <w:trHeight w:val="208"/>
        </w:trPr>
        <w:tc>
          <w:tcPr>
            <w:tcW w:w="2796" w:type="dxa"/>
            <w:vMerge/>
          </w:tcPr>
          <w:p w14:paraId="7DF15170" w14:textId="77777777" w:rsidR="009F0269" w:rsidRPr="00D07897" w:rsidRDefault="009F0269" w:rsidP="00F96F15">
            <w:pPr>
              <w:spacing w:line="360" w:lineRule="auto"/>
              <w:jc w:val="both"/>
              <w:rPr>
                <w:rFonts w:ascii="Book Antiqua" w:hAnsi="Book Antiqua" w:cs="Arial"/>
                <w:color w:val="000000" w:themeColor="text1"/>
              </w:rPr>
            </w:pPr>
          </w:p>
        </w:tc>
        <w:tc>
          <w:tcPr>
            <w:tcW w:w="2519" w:type="dxa"/>
          </w:tcPr>
          <w:p w14:paraId="2DCE2D6D" w14:textId="683E2251"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10 (25.0)</w:t>
            </w:r>
          </w:p>
        </w:tc>
        <w:tc>
          <w:tcPr>
            <w:tcW w:w="2869" w:type="dxa"/>
          </w:tcPr>
          <w:p w14:paraId="59B16C43" w14:textId="67721C79"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6 (15)</w:t>
            </w:r>
          </w:p>
        </w:tc>
        <w:tc>
          <w:tcPr>
            <w:tcW w:w="2868" w:type="dxa"/>
          </w:tcPr>
          <w:p w14:paraId="069332FD" w14:textId="33A98A82"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24 (60)</w:t>
            </w:r>
          </w:p>
        </w:tc>
        <w:tc>
          <w:tcPr>
            <w:tcW w:w="2742" w:type="dxa"/>
          </w:tcPr>
          <w:p w14:paraId="5817D5EC" w14:textId="51B3EA89"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Takaoka </w:t>
            </w:r>
            <w:r w:rsidR="00C24200" w:rsidRPr="00D07897">
              <w:rPr>
                <w:rFonts w:ascii="Book Antiqua" w:hAnsi="Book Antiqua" w:cs="Arial"/>
                <w:i/>
                <w:color w:val="000000" w:themeColor="text1"/>
              </w:rPr>
              <w:t>et al</w:t>
            </w:r>
            <w:r w:rsidR="00D95C42"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D95C42"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[13]</w:t>
            </w:r>
            <w:r w:rsidR="00D95C42" w:rsidRPr="00D07897">
              <w:rPr>
                <w:rFonts w:ascii="Book Antiqua" w:hAnsi="Book Antiqua" w:cs="Arial"/>
                <w:color w:val="000000" w:themeColor="text1"/>
              </w:rPr>
              <w:fldChar w:fldCharType="end"/>
            </w:r>
          </w:p>
        </w:tc>
      </w:tr>
      <w:tr w:rsidR="00F96F15" w:rsidRPr="00D07897" w14:paraId="584E8EE1" w14:textId="77777777" w:rsidTr="00D05D5B">
        <w:trPr>
          <w:trHeight w:val="198"/>
        </w:trPr>
        <w:tc>
          <w:tcPr>
            <w:tcW w:w="2796" w:type="dxa"/>
          </w:tcPr>
          <w:p w14:paraId="51ED6F64" w14:textId="77777777"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NRI </w:t>
            </w:r>
          </w:p>
        </w:tc>
        <w:tc>
          <w:tcPr>
            <w:tcW w:w="2519" w:type="dxa"/>
          </w:tcPr>
          <w:p w14:paraId="1CD73FDF" w14:textId="32B764AE"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5 (31.3)</w:t>
            </w:r>
          </w:p>
        </w:tc>
        <w:tc>
          <w:tcPr>
            <w:tcW w:w="5737" w:type="dxa"/>
            <w:gridSpan w:val="2"/>
          </w:tcPr>
          <w:p w14:paraId="08BA211C" w14:textId="1FBB2F24"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11 (68.8)</w:t>
            </w:r>
          </w:p>
        </w:tc>
        <w:tc>
          <w:tcPr>
            <w:tcW w:w="2742" w:type="dxa"/>
          </w:tcPr>
          <w:p w14:paraId="6794F381" w14:textId="3D607414"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Sumi </w:t>
            </w:r>
            <w:r w:rsidR="00C24200" w:rsidRPr="00D07897">
              <w:rPr>
                <w:rFonts w:ascii="Book Antiqua" w:hAnsi="Book Antiqua" w:cs="Arial"/>
                <w:i/>
                <w:color w:val="000000" w:themeColor="text1"/>
              </w:rPr>
              <w:t>et al</w:t>
            </w:r>
            <w:r w:rsidR="00D95C42"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today","id":"ITEM-1","issue":"8","issued":{"date-parts":[["2016"]]},"page":"922-929","publisher-place":"Japan","title":"Influence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[27]&lt;/sup&gt;","plainTextFormattedCitation":"[27]","previouslyFormattedCitation":"&lt;sup&gt;[26]&lt;/sup&gt;"},"properties":{"noteIndex":0},"schema":"https://github.com/citation-style-language/schema/raw/master/csl-citation.json"}</w:instrText>
            </w:r>
            <w:r w:rsidR="00D95C42"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[27]</w:t>
            </w:r>
            <w:r w:rsidR="00D95C42" w:rsidRPr="00D07897">
              <w:rPr>
                <w:rFonts w:ascii="Book Antiqua" w:hAnsi="Book Antiqua" w:cs="Arial"/>
                <w:color w:val="000000" w:themeColor="text1"/>
              </w:rPr>
              <w:fldChar w:fldCharType="end"/>
            </w:r>
          </w:p>
        </w:tc>
      </w:tr>
      <w:tr w:rsidR="00F96F15" w:rsidRPr="00D07897" w14:paraId="2CDEFADF" w14:textId="77777777" w:rsidTr="00D05D5B">
        <w:trPr>
          <w:trHeight w:val="198"/>
        </w:trPr>
        <w:tc>
          <w:tcPr>
            <w:tcW w:w="2796" w:type="dxa"/>
            <w:vMerge w:val="restart"/>
          </w:tcPr>
          <w:p w14:paraId="58CC209C" w14:textId="453A3725"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NRS</w:t>
            </w:r>
            <w:r w:rsidR="00D05D5B" w:rsidRPr="00D07897">
              <w:rPr>
                <w:rFonts w:ascii="Book Antiqua" w:hAnsi="Book Antiqua" w:cs="Arial"/>
                <w:color w:val="000000" w:themeColor="text1"/>
              </w:rPr>
              <w:t>-</w:t>
            </w:r>
            <w:r w:rsidRPr="00D07897">
              <w:rPr>
                <w:rFonts w:ascii="Book Antiqua" w:hAnsi="Book Antiqua" w:cs="Arial"/>
                <w:color w:val="000000" w:themeColor="text1"/>
              </w:rPr>
              <w:t xml:space="preserve">2002 </w:t>
            </w:r>
          </w:p>
        </w:tc>
        <w:tc>
          <w:tcPr>
            <w:tcW w:w="2519" w:type="dxa"/>
          </w:tcPr>
          <w:p w14:paraId="2A0BD677" w14:textId="409E263A"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0 (0)</w:t>
            </w:r>
          </w:p>
        </w:tc>
        <w:tc>
          <w:tcPr>
            <w:tcW w:w="2869" w:type="dxa"/>
          </w:tcPr>
          <w:p w14:paraId="232F6C3F" w14:textId="6B0C421B"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24 (33.3)</w:t>
            </w:r>
          </w:p>
        </w:tc>
        <w:tc>
          <w:tcPr>
            <w:tcW w:w="2868" w:type="dxa"/>
          </w:tcPr>
          <w:p w14:paraId="6D587EA2" w14:textId="2CEDA396"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48 (66.7)</w:t>
            </w:r>
          </w:p>
        </w:tc>
        <w:tc>
          <w:tcPr>
            <w:tcW w:w="2742" w:type="dxa"/>
          </w:tcPr>
          <w:p w14:paraId="76FEED35" w14:textId="4C22CC26" w:rsidR="009F0269" w:rsidRPr="00D07897" w:rsidRDefault="009F0269" w:rsidP="00F96F15">
            <w:pPr>
              <w:spacing w:line="360" w:lineRule="auto"/>
              <w:jc w:val="both"/>
              <w:rPr>
                <w:rFonts w:ascii="Book Antiqua" w:hAnsi="Book Antiqua" w:cs="Arial"/>
                <w:color w:val="000000" w:themeColor="text1"/>
              </w:rPr>
            </w:pPr>
            <w:proofErr w:type="spellStart"/>
            <w:r w:rsidRPr="00D07897">
              <w:rPr>
                <w:rFonts w:ascii="Book Antiqua" w:hAnsi="Book Antiqua" w:cs="Arial"/>
                <w:color w:val="000000" w:themeColor="text1"/>
              </w:rPr>
              <w:t>Bamba</w:t>
            </w:r>
            <w:proofErr w:type="spellEnd"/>
            <w:r w:rsidRPr="00D07897">
              <w:rPr>
                <w:rFonts w:ascii="Book Antiqua" w:hAnsi="Book Antiqua" w:cs="Arial"/>
                <w:color w:val="000000" w:themeColor="text1"/>
              </w:rPr>
              <w:t xml:space="preserve"> </w:t>
            </w:r>
            <w:r w:rsidR="00C24200" w:rsidRPr="00D07897">
              <w:rPr>
                <w:rFonts w:ascii="Book Antiqua" w:hAnsi="Book Antiqua" w:cs="Arial"/>
                <w:i/>
                <w:color w:val="000000" w:themeColor="text1"/>
              </w:rPr>
              <w:t>et al</w:t>
            </w:r>
            <w:r w:rsidR="00D95C42"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D95C42"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[9]</w:t>
            </w:r>
            <w:r w:rsidR="00D95C42" w:rsidRPr="00D07897">
              <w:rPr>
                <w:rFonts w:ascii="Book Antiqua" w:hAnsi="Book Antiqua" w:cs="Arial"/>
                <w:color w:val="000000" w:themeColor="text1"/>
              </w:rPr>
              <w:fldChar w:fldCharType="end"/>
            </w:r>
          </w:p>
        </w:tc>
      </w:tr>
      <w:tr w:rsidR="00F96F15" w:rsidRPr="00D07897" w14:paraId="394ED65D" w14:textId="77777777" w:rsidTr="00D05D5B">
        <w:trPr>
          <w:trHeight w:val="208"/>
        </w:trPr>
        <w:tc>
          <w:tcPr>
            <w:tcW w:w="2796" w:type="dxa"/>
            <w:vMerge/>
          </w:tcPr>
          <w:p w14:paraId="014B1728" w14:textId="77777777" w:rsidR="009F0269" w:rsidRPr="00D07897" w:rsidRDefault="009F0269" w:rsidP="00F96F15">
            <w:pPr>
              <w:spacing w:line="360" w:lineRule="auto"/>
              <w:jc w:val="both"/>
              <w:rPr>
                <w:rFonts w:ascii="Book Antiqua" w:hAnsi="Book Antiqua" w:cs="Arial"/>
                <w:color w:val="000000" w:themeColor="text1"/>
              </w:rPr>
            </w:pPr>
          </w:p>
        </w:tc>
        <w:tc>
          <w:tcPr>
            <w:tcW w:w="5388" w:type="dxa"/>
            <w:gridSpan w:val="2"/>
          </w:tcPr>
          <w:p w14:paraId="38C3FA5A" w14:textId="0E2D4FB2"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13 (32.5)</w:t>
            </w:r>
          </w:p>
        </w:tc>
        <w:tc>
          <w:tcPr>
            <w:tcW w:w="2868" w:type="dxa"/>
          </w:tcPr>
          <w:p w14:paraId="5168179A" w14:textId="5E383247"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27 (67.5)</w:t>
            </w:r>
          </w:p>
        </w:tc>
        <w:tc>
          <w:tcPr>
            <w:tcW w:w="2742" w:type="dxa"/>
          </w:tcPr>
          <w:p w14:paraId="215E4A23" w14:textId="200762F7"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Takaoka </w:t>
            </w:r>
            <w:r w:rsidR="00C24200" w:rsidRPr="00D07897">
              <w:rPr>
                <w:rFonts w:ascii="Book Antiqua" w:hAnsi="Book Antiqua" w:cs="Arial"/>
                <w:i/>
                <w:color w:val="000000" w:themeColor="text1"/>
              </w:rPr>
              <w:t>et al</w:t>
            </w:r>
            <w:r w:rsidR="00D95C42"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D95C42"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[13]</w:t>
            </w:r>
            <w:r w:rsidR="00D95C42" w:rsidRPr="00D07897">
              <w:rPr>
                <w:rFonts w:ascii="Book Antiqua" w:hAnsi="Book Antiqua" w:cs="Arial"/>
                <w:color w:val="000000" w:themeColor="text1"/>
              </w:rPr>
              <w:fldChar w:fldCharType="end"/>
            </w:r>
          </w:p>
        </w:tc>
      </w:tr>
      <w:tr w:rsidR="009F0269" w:rsidRPr="00D07897" w14:paraId="0BBC5583" w14:textId="77777777" w:rsidTr="00D05D5B">
        <w:trPr>
          <w:trHeight w:val="64"/>
        </w:trPr>
        <w:tc>
          <w:tcPr>
            <w:tcW w:w="2796" w:type="dxa"/>
            <w:tcBorders>
              <w:bottom w:val="single" w:sz="4" w:space="0" w:color="auto"/>
            </w:tcBorders>
          </w:tcPr>
          <w:p w14:paraId="208289B9" w14:textId="77777777" w:rsidR="009F0269" w:rsidRPr="00D07897" w:rsidRDefault="009F0269" w:rsidP="00F96F15">
            <w:pPr>
              <w:spacing w:line="360" w:lineRule="auto"/>
              <w:jc w:val="both"/>
              <w:rPr>
                <w:rFonts w:ascii="Book Antiqua" w:hAnsi="Book Antiqua" w:cs="Arial"/>
                <w:color w:val="000000" w:themeColor="text1"/>
              </w:rPr>
            </w:pPr>
            <w:proofErr w:type="spellStart"/>
            <w:r w:rsidRPr="00D07897">
              <w:rPr>
                <w:rFonts w:ascii="Book Antiqua" w:hAnsi="Book Antiqua" w:cs="Arial"/>
                <w:color w:val="000000" w:themeColor="text1"/>
              </w:rPr>
              <w:t>SaskIBD</w:t>
            </w:r>
            <w:proofErr w:type="spellEnd"/>
            <w:r w:rsidRPr="00D07897">
              <w:rPr>
                <w:rFonts w:ascii="Book Antiqua" w:hAnsi="Book Antiqua" w:cs="Arial"/>
                <w:color w:val="000000" w:themeColor="text1"/>
              </w:rPr>
              <w:t xml:space="preserve">-NRT </w:t>
            </w:r>
          </w:p>
        </w:tc>
        <w:tc>
          <w:tcPr>
            <w:tcW w:w="2519" w:type="dxa"/>
            <w:tcBorders>
              <w:bottom w:val="single" w:sz="4" w:space="0" w:color="auto"/>
            </w:tcBorders>
          </w:tcPr>
          <w:p w14:paraId="4AEA532D" w14:textId="7B572438"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89 (80.9)</w:t>
            </w:r>
          </w:p>
        </w:tc>
        <w:tc>
          <w:tcPr>
            <w:tcW w:w="2869" w:type="dxa"/>
            <w:tcBorders>
              <w:bottom w:val="single" w:sz="4" w:space="0" w:color="auto"/>
            </w:tcBorders>
          </w:tcPr>
          <w:p w14:paraId="1A85BE71" w14:textId="5050F154"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12 (10.9)</w:t>
            </w:r>
          </w:p>
        </w:tc>
        <w:tc>
          <w:tcPr>
            <w:tcW w:w="2868" w:type="dxa"/>
            <w:tcBorders>
              <w:bottom w:val="single" w:sz="4" w:space="0" w:color="auto"/>
            </w:tcBorders>
          </w:tcPr>
          <w:p w14:paraId="17E7A768" w14:textId="4C471688"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9 (8.2)</w:t>
            </w:r>
          </w:p>
        </w:tc>
        <w:tc>
          <w:tcPr>
            <w:tcW w:w="2742" w:type="dxa"/>
            <w:tcBorders>
              <w:bottom w:val="single" w:sz="4" w:space="0" w:color="auto"/>
            </w:tcBorders>
          </w:tcPr>
          <w:p w14:paraId="2D0DF6A8" w14:textId="2FB9C3F5"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Haskey </w:t>
            </w:r>
            <w:r w:rsidR="00C24200" w:rsidRPr="00D07897">
              <w:rPr>
                <w:rFonts w:ascii="Book Antiqua" w:hAnsi="Book Antiqua" w:cs="Arial"/>
                <w:i/>
                <w:color w:val="000000" w:themeColor="text1"/>
              </w:rPr>
              <w:t>et al</w:t>
            </w:r>
            <w:r w:rsidR="00D95C42"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D95C42"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[35]</w:t>
            </w:r>
            <w:r w:rsidR="00D95C42" w:rsidRPr="00D07897">
              <w:rPr>
                <w:rFonts w:ascii="Book Antiqua" w:hAnsi="Book Antiqua" w:cs="Arial"/>
                <w:color w:val="000000" w:themeColor="text1"/>
              </w:rPr>
              <w:fldChar w:fldCharType="end"/>
            </w:r>
          </w:p>
        </w:tc>
      </w:tr>
    </w:tbl>
    <w:p w14:paraId="3D866B88" w14:textId="19D9762A" w:rsidR="00D05D5B" w:rsidRPr="00D07897" w:rsidRDefault="00D05D5B" w:rsidP="00D05D5B">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NST: Nutrition screening tools; NRS-2002: Nutrition Risk Screening 2002; MUST: Malnutrition universal screening tool; NRI: Nutritional Risk Index; </w:t>
      </w:r>
      <w:proofErr w:type="spellStart"/>
      <w:r w:rsidRPr="00D07897">
        <w:rPr>
          <w:rFonts w:ascii="Book Antiqua" w:hAnsi="Book Antiqua" w:cs="Arial"/>
          <w:color w:val="000000" w:themeColor="text1"/>
        </w:rPr>
        <w:t>SaskIBD</w:t>
      </w:r>
      <w:proofErr w:type="spellEnd"/>
      <w:r w:rsidRPr="00D07897">
        <w:rPr>
          <w:rFonts w:ascii="Book Antiqua" w:hAnsi="Book Antiqua" w:cs="Arial"/>
          <w:color w:val="000000" w:themeColor="text1"/>
        </w:rPr>
        <w:t>-NRT: Saskatchewan Inflammatory Bowel Disease Nutrition Risk Tool.</w:t>
      </w:r>
    </w:p>
    <w:p w14:paraId="53294B32" w14:textId="54669185" w:rsidR="009F0269" w:rsidRPr="00D07897" w:rsidRDefault="009F0269" w:rsidP="00F96F15">
      <w:pPr>
        <w:spacing w:line="360" w:lineRule="auto"/>
        <w:jc w:val="both"/>
        <w:rPr>
          <w:rFonts w:ascii="Book Antiqua" w:hAnsi="Book Antiqua" w:cs="Arial"/>
          <w:color w:val="000000" w:themeColor="text1"/>
        </w:rPr>
      </w:pPr>
    </w:p>
    <w:p w14:paraId="04683E5C" w14:textId="2D675F14" w:rsidR="00150811" w:rsidRPr="00D07897" w:rsidRDefault="00150811">
      <w:pPr>
        <w:rPr>
          <w:rFonts w:ascii="Book Antiqua" w:hAnsi="Book Antiqua" w:cs="Arial"/>
          <w:color w:val="000000" w:themeColor="text1"/>
        </w:rPr>
      </w:pPr>
      <w:r w:rsidRPr="00D07897">
        <w:rPr>
          <w:rFonts w:ascii="Book Antiqua" w:hAnsi="Book Antiqua" w:cs="Arial"/>
          <w:color w:val="000000" w:themeColor="text1"/>
        </w:rPr>
        <w:br w:type="page"/>
      </w:r>
    </w:p>
    <w:p w14:paraId="389638EB" w14:textId="1BCACA01" w:rsidR="00D05D5B" w:rsidRPr="00D07897" w:rsidRDefault="009F0269" w:rsidP="00F96F15">
      <w:pPr>
        <w:spacing w:line="360" w:lineRule="auto"/>
        <w:jc w:val="both"/>
        <w:rPr>
          <w:rFonts w:ascii="Book Antiqua" w:hAnsi="Book Antiqua" w:cs="Arial"/>
          <w:b/>
          <w:bCs/>
          <w:color w:val="000000" w:themeColor="text1"/>
        </w:rPr>
      </w:pPr>
      <w:r w:rsidRPr="00D07897">
        <w:rPr>
          <w:rFonts w:ascii="Book Antiqua" w:hAnsi="Book Antiqua" w:cs="Arial"/>
          <w:b/>
          <w:bCs/>
          <w:color w:val="000000" w:themeColor="text1"/>
        </w:rPr>
        <w:lastRenderedPageBreak/>
        <w:t xml:space="preserve">Table </w:t>
      </w:r>
      <w:r w:rsidR="00010CD2" w:rsidRPr="00D07897">
        <w:rPr>
          <w:rFonts w:ascii="Book Antiqua" w:hAnsi="Book Antiqua" w:cs="Arial"/>
          <w:b/>
          <w:bCs/>
          <w:color w:val="000000" w:themeColor="text1"/>
        </w:rPr>
        <w:t>5</w:t>
      </w:r>
      <w:r w:rsidRPr="00D07897">
        <w:rPr>
          <w:rFonts w:ascii="Book Antiqua" w:hAnsi="Book Antiqua" w:cs="Arial"/>
          <w:b/>
          <w:bCs/>
          <w:color w:val="000000" w:themeColor="text1"/>
        </w:rPr>
        <w:t xml:space="preserve"> Proportion of </w:t>
      </w:r>
      <w:r w:rsidR="00D05D5B" w:rsidRPr="00D07897">
        <w:rPr>
          <w:rFonts w:ascii="Book Antiqua" w:hAnsi="Book Antiqua" w:cs="Arial"/>
          <w:b/>
          <w:bCs/>
          <w:color w:val="000000" w:themeColor="text1"/>
        </w:rPr>
        <w:t xml:space="preserve">nutrition abnormalities </w:t>
      </w:r>
      <w:r w:rsidR="00D05D5B" w:rsidRPr="00D07897">
        <w:rPr>
          <w:rFonts w:ascii="Book Antiqua" w:hAnsi="Book Antiqua" w:cs="Arial"/>
          <w:b/>
          <w:bCs/>
          <w:i/>
          <w:iCs/>
          <w:color w:val="000000" w:themeColor="text1"/>
        </w:rPr>
        <w:t>via</w:t>
      </w:r>
      <w:r w:rsidR="00D05D5B" w:rsidRPr="00D07897">
        <w:rPr>
          <w:rFonts w:ascii="Book Antiqua" w:hAnsi="Book Antiqua" w:cs="Arial"/>
          <w:b/>
          <w:bCs/>
          <w:color w:val="000000" w:themeColor="text1"/>
        </w:rPr>
        <w:t xml:space="preserve"> nutrition assessment tools</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61"/>
        <w:gridCol w:w="2458"/>
        <w:gridCol w:w="1348"/>
        <w:gridCol w:w="1521"/>
        <w:gridCol w:w="375"/>
        <w:gridCol w:w="2493"/>
        <w:gridCol w:w="11"/>
        <w:gridCol w:w="2731"/>
        <w:gridCol w:w="54"/>
      </w:tblGrid>
      <w:tr w:rsidR="00D05D5B" w:rsidRPr="00D07897" w14:paraId="38B3AED1" w14:textId="77777777" w:rsidTr="00D05D5B">
        <w:trPr>
          <w:gridAfter w:val="1"/>
          <w:wAfter w:w="54" w:type="dxa"/>
          <w:trHeight w:val="64"/>
        </w:trPr>
        <w:tc>
          <w:tcPr>
            <w:tcW w:w="2796" w:type="dxa"/>
            <w:tcBorders>
              <w:top w:val="single" w:sz="4" w:space="0" w:color="auto"/>
              <w:bottom w:val="single" w:sz="4" w:space="0" w:color="auto"/>
            </w:tcBorders>
          </w:tcPr>
          <w:p w14:paraId="0E111584" w14:textId="74AFFCB9" w:rsidR="00D05D5B" w:rsidRPr="00D07897" w:rsidRDefault="00D05D5B" w:rsidP="00C10906">
            <w:pPr>
              <w:spacing w:line="360" w:lineRule="auto"/>
              <w:jc w:val="both"/>
              <w:rPr>
                <w:rFonts w:ascii="Book Antiqua" w:hAnsi="Book Antiqua" w:cs="Arial"/>
                <w:color w:val="000000" w:themeColor="text1"/>
              </w:rPr>
            </w:pPr>
            <w:r w:rsidRPr="00D07897">
              <w:rPr>
                <w:rFonts w:ascii="Book Antiqua" w:hAnsi="Book Antiqua" w:cs="Arial"/>
                <w:b/>
                <w:color w:val="000000" w:themeColor="text1"/>
              </w:rPr>
              <w:t>NAT measure</w:t>
            </w:r>
          </w:p>
        </w:tc>
        <w:tc>
          <w:tcPr>
            <w:tcW w:w="2519" w:type="dxa"/>
            <w:gridSpan w:val="2"/>
            <w:tcBorders>
              <w:top w:val="single" w:sz="4" w:space="0" w:color="auto"/>
              <w:bottom w:val="single" w:sz="4" w:space="0" w:color="auto"/>
            </w:tcBorders>
          </w:tcPr>
          <w:p w14:paraId="407329B1" w14:textId="2F5982AC" w:rsidR="00D05D5B" w:rsidRPr="00D07897" w:rsidRDefault="00D05D5B" w:rsidP="00C10906">
            <w:pPr>
              <w:spacing w:line="360" w:lineRule="auto"/>
              <w:jc w:val="both"/>
              <w:rPr>
                <w:rFonts w:ascii="Book Antiqua" w:hAnsi="Book Antiqua" w:cs="Arial"/>
                <w:color w:val="000000" w:themeColor="text1"/>
              </w:rPr>
            </w:pPr>
          </w:p>
        </w:tc>
        <w:tc>
          <w:tcPr>
            <w:tcW w:w="2869" w:type="dxa"/>
            <w:gridSpan w:val="2"/>
            <w:tcBorders>
              <w:top w:val="single" w:sz="4" w:space="0" w:color="auto"/>
              <w:bottom w:val="single" w:sz="4" w:space="0" w:color="auto"/>
            </w:tcBorders>
          </w:tcPr>
          <w:p w14:paraId="1D1342BF" w14:textId="148D3D21" w:rsidR="00D05D5B" w:rsidRPr="00D07897" w:rsidRDefault="00D05D5B" w:rsidP="00C10906">
            <w:pPr>
              <w:spacing w:line="360" w:lineRule="auto"/>
              <w:jc w:val="both"/>
              <w:rPr>
                <w:rFonts w:ascii="Book Antiqua" w:hAnsi="Book Antiqua" w:cs="Arial"/>
                <w:color w:val="000000" w:themeColor="text1"/>
              </w:rPr>
            </w:pPr>
          </w:p>
        </w:tc>
        <w:tc>
          <w:tcPr>
            <w:tcW w:w="2868" w:type="dxa"/>
            <w:gridSpan w:val="2"/>
            <w:tcBorders>
              <w:top w:val="single" w:sz="4" w:space="0" w:color="auto"/>
              <w:bottom w:val="single" w:sz="4" w:space="0" w:color="auto"/>
            </w:tcBorders>
          </w:tcPr>
          <w:p w14:paraId="06F44BE4" w14:textId="3C691367" w:rsidR="00D05D5B" w:rsidRPr="00D07897" w:rsidRDefault="00D05D5B" w:rsidP="00C10906">
            <w:pPr>
              <w:spacing w:line="360" w:lineRule="auto"/>
              <w:jc w:val="both"/>
              <w:rPr>
                <w:rFonts w:ascii="Book Antiqua" w:hAnsi="Book Antiqua" w:cs="Arial"/>
                <w:color w:val="000000" w:themeColor="text1"/>
              </w:rPr>
            </w:pPr>
          </w:p>
        </w:tc>
        <w:tc>
          <w:tcPr>
            <w:tcW w:w="2742" w:type="dxa"/>
            <w:gridSpan w:val="2"/>
            <w:tcBorders>
              <w:top w:val="single" w:sz="4" w:space="0" w:color="auto"/>
              <w:bottom w:val="single" w:sz="4" w:space="0" w:color="auto"/>
            </w:tcBorders>
          </w:tcPr>
          <w:p w14:paraId="65102DA3" w14:textId="60465147" w:rsidR="00D05D5B" w:rsidRPr="00D07897" w:rsidRDefault="00D05D5B" w:rsidP="00C10906">
            <w:pPr>
              <w:spacing w:line="360" w:lineRule="auto"/>
              <w:jc w:val="both"/>
              <w:rPr>
                <w:rFonts w:ascii="Book Antiqua" w:hAnsi="Book Antiqua" w:cs="Arial"/>
                <w:color w:val="000000" w:themeColor="text1"/>
              </w:rPr>
            </w:pPr>
          </w:p>
        </w:tc>
      </w:tr>
      <w:tr w:rsidR="00F96F15" w:rsidRPr="00D07897" w14:paraId="6CA8B18B" w14:textId="77777777" w:rsidTr="00D05D5B">
        <w:trPr>
          <w:trHeight w:val="679"/>
        </w:trPr>
        <w:tc>
          <w:tcPr>
            <w:tcW w:w="2857" w:type="dxa"/>
            <w:gridSpan w:val="2"/>
            <w:vMerge w:val="restart"/>
            <w:tcBorders>
              <w:top w:val="single" w:sz="4" w:space="0" w:color="auto"/>
            </w:tcBorders>
          </w:tcPr>
          <w:p w14:paraId="264BEB30" w14:textId="77777777" w:rsidR="009F0269" w:rsidRPr="00D07897" w:rsidRDefault="009F0269" w:rsidP="00F96F15">
            <w:pPr>
              <w:spacing w:line="360" w:lineRule="auto"/>
              <w:jc w:val="both"/>
              <w:rPr>
                <w:rFonts w:ascii="Book Antiqua" w:hAnsi="Book Antiqua" w:cs="Arial"/>
                <w:color w:val="000000" w:themeColor="text1"/>
              </w:rPr>
            </w:pPr>
          </w:p>
          <w:p w14:paraId="498A6781" w14:textId="77777777" w:rsidR="009F0269" w:rsidRPr="00D07897" w:rsidRDefault="009F0269" w:rsidP="00F96F15">
            <w:pPr>
              <w:spacing w:line="360" w:lineRule="auto"/>
              <w:jc w:val="both"/>
              <w:rPr>
                <w:rFonts w:ascii="Book Antiqua" w:hAnsi="Book Antiqua" w:cs="Arial"/>
                <w:color w:val="000000" w:themeColor="text1"/>
              </w:rPr>
            </w:pPr>
          </w:p>
          <w:p w14:paraId="5DB19C40" w14:textId="77777777" w:rsidR="009F0269" w:rsidRPr="00D07897" w:rsidRDefault="009F0269" w:rsidP="00F96F15">
            <w:pPr>
              <w:spacing w:line="360" w:lineRule="auto"/>
              <w:jc w:val="both"/>
              <w:rPr>
                <w:rFonts w:ascii="Book Antiqua" w:hAnsi="Book Antiqua" w:cs="Arial"/>
                <w:color w:val="000000" w:themeColor="text1"/>
              </w:rPr>
            </w:pPr>
          </w:p>
          <w:p w14:paraId="01C41BAB" w14:textId="77777777" w:rsidR="009F0269" w:rsidRPr="00D07897" w:rsidRDefault="009F0269" w:rsidP="00F96F15">
            <w:pPr>
              <w:spacing w:line="360" w:lineRule="auto"/>
              <w:jc w:val="both"/>
              <w:rPr>
                <w:rFonts w:ascii="Book Antiqua" w:hAnsi="Book Antiqua" w:cs="Arial"/>
                <w:color w:val="000000" w:themeColor="text1"/>
              </w:rPr>
            </w:pPr>
          </w:p>
          <w:p w14:paraId="5B662F7C" w14:textId="77777777" w:rsidR="009F0269" w:rsidRPr="00D07897" w:rsidRDefault="009F0269" w:rsidP="00F96F15">
            <w:pPr>
              <w:spacing w:line="360" w:lineRule="auto"/>
              <w:jc w:val="both"/>
              <w:rPr>
                <w:rFonts w:ascii="Book Antiqua" w:hAnsi="Book Antiqua" w:cs="Arial"/>
                <w:color w:val="000000" w:themeColor="text1"/>
              </w:rPr>
            </w:pPr>
          </w:p>
          <w:p w14:paraId="7A388302" w14:textId="77777777" w:rsidR="009F0269" w:rsidRPr="00D07897" w:rsidRDefault="009F0269" w:rsidP="00F96F15">
            <w:pPr>
              <w:spacing w:line="360" w:lineRule="auto"/>
              <w:jc w:val="both"/>
              <w:rPr>
                <w:rFonts w:ascii="Book Antiqua" w:hAnsi="Book Antiqua" w:cs="Arial"/>
                <w:color w:val="000000" w:themeColor="text1"/>
              </w:rPr>
            </w:pPr>
          </w:p>
          <w:p w14:paraId="6506E833" w14:textId="77777777"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Sarcopenia</w:t>
            </w:r>
          </w:p>
        </w:tc>
        <w:tc>
          <w:tcPr>
            <w:tcW w:w="3806" w:type="dxa"/>
            <w:gridSpan w:val="2"/>
          </w:tcPr>
          <w:p w14:paraId="5506CBC3" w14:textId="34290A20" w:rsidR="009F0269" w:rsidRPr="00D07897" w:rsidRDefault="009F0269"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 xml:space="preserve">Proportion of non-sarcopenic </w:t>
            </w:r>
            <w:proofErr w:type="gramStart"/>
            <w:r w:rsidRPr="00D07897">
              <w:rPr>
                <w:rFonts w:ascii="Book Antiqua" w:hAnsi="Book Antiqua" w:cs="Arial"/>
                <w:b/>
                <w:color w:val="000000" w:themeColor="text1"/>
              </w:rPr>
              <w:t>patients</w:t>
            </w:r>
            <w:proofErr w:type="gramEnd"/>
            <w:r w:rsidR="00D05D5B" w:rsidRPr="00D07897">
              <w:rPr>
                <w:rFonts w:ascii="Book Antiqua" w:hAnsi="Book Antiqua" w:cs="Arial"/>
                <w:b/>
                <w:color w:val="000000" w:themeColor="text1"/>
              </w:rPr>
              <w:t xml:space="preserve"> </w:t>
            </w:r>
            <w:r w:rsidR="00D05D5B" w:rsidRPr="00D07897">
              <w:rPr>
                <w:rFonts w:ascii="Book Antiqua" w:hAnsi="Book Antiqua" w:cs="Arial"/>
                <w:b/>
                <w:i/>
                <w:iCs/>
                <w:color w:val="000000" w:themeColor="text1"/>
              </w:rPr>
              <w:t>n</w:t>
            </w:r>
            <w:r w:rsidR="00D05D5B" w:rsidRPr="00D07897">
              <w:rPr>
                <w:rFonts w:ascii="Book Antiqua" w:hAnsi="Book Antiqua" w:cs="Arial"/>
                <w:b/>
                <w:color w:val="000000" w:themeColor="text1"/>
              </w:rPr>
              <w:t xml:space="preserve"> (%)</w:t>
            </w:r>
          </w:p>
        </w:tc>
        <w:tc>
          <w:tcPr>
            <w:tcW w:w="4400" w:type="dxa"/>
            <w:gridSpan w:val="4"/>
          </w:tcPr>
          <w:p w14:paraId="72897ACE" w14:textId="75B494F4" w:rsidR="009F0269" w:rsidRPr="00D07897" w:rsidRDefault="009F0269"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 xml:space="preserve">Proportion of sarcopenic </w:t>
            </w:r>
            <w:proofErr w:type="gramStart"/>
            <w:r w:rsidRPr="00D07897">
              <w:rPr>
                <w:rFonts w:ascii="Book Antiqua" w:hAnsi="Book Antiqua" w:cs="Arial"/>
                <w:b/>
                <w:color w:val="000000" w:themeColor="text1"/>
              </w:rPr>
              <w:t>patients</w:t>
            </w:r>
            <w:proofErr w:type="gramEnd"/>
            <w:r w:rsidR="00D05D5B" w:rsidRPr="00D07897">
              <w:rPr>
                <w:rFonts w:ascii="Book Antiqua" w:hAnsi="Book Antiqua" w:cs="Arial"/>
                <w:b/>
                <w:color w:val="000000" w:themeColor="text1"/>
              </w:rPr>
              <w:t xml:space="preserve"> </w:t>
            </w:r>
            <w:r w:rsidR="00D05D5B" w:rsidRPr="00D07897">
              <w:rPr>
                <w:rFonts w:ascii="Book Antiqua" w:hAnsi="Book Antiqua" w:cs="Arial"/>
                <w:b/>
                <w:i/>
                <w:iCs/>
                <w:color w:val="000000" w:themeColor="text1"/>
              </w:rPr>
              <w:t>n</w:t>
            </w:r>
            <w:r w:rsidR="00D05D5B" w:rsidRPr="00D07897">
              <w:rPr>
                <w:rFonts w:ascii="Book Antiqua" w:hAnsi="Book Antiqua" w:cs="Arial"/>
                <w:b/>
                <w:color w:val="000000" w:themeColor="text1"/>
              </w:rPr>
              <w:t xml:space="preserve"> (%)</w:t>
            </w:r>
          </w:p>
        </w:tc>
        <w:tc>
          <w:tcPr>
            <w:tcW w:w="2785" w:type="dxa"/>
            <w:gridSpan w:val="2"/>
          </w:tcPr>
          <w:p w14:paraId="1F391A0A" w14:textId="77777777" w:rsidR="009F0269" w:rsidRPr="00D07897" w:rsidRDefault="009F0269"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Study ID</w:t>
            </w:r>
          </w:p>
        </w:tc>
      </w:tr>
      <w:tr w:rsidR="00F96F15" w:rsidRPr="00D07897" w14:paraId="3572819F" w14:textId="77777777" w:rsidTr="00D05D5B">
        <w:trPr>
          <w:trHeight w:val="305"/>
        </w:trPr>
        <w:tc>
          <w:tcPr>
            <w:tcW w:w="2857" w:type="dxa"/>
            <w:gridSpan w:val="2"/>
            <w:vMerge/>
          </w:tcPr>
          <w:p w14:paraId="1EB01F61" w14:textId="77777777" w:rsidR="009F0269" w:rsidRPr="00D07897" w:rsidRDefault="009F0269" w:rsidP="00F96F15">
            <w:pPr>
              <w:spacing w:line="360" w:lineRule="auto"/>
              <w:jc w:val="both"/>
              <w:rPr>
                <w:rFonts w:ascii="Book Antiqua" w:hAnsi="Book Antiqua" w:cs="Arial"/>
                <w:color w:val="000000" w:themeColor="text1"/>
              </w:rPr>
            </w:pPr>
          </w:p>
        </w:tc>
        <w:tc>
          <w:tcPr>
            <w:tcW w:w="3806" w:type="dxa"/>
            <w:gridSpan w:val="2"/>
          </w:tcPr>
          <w:p w14:paraId="65B085B5" w14:textId="47BA4C60"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49 (54.4)</w:t>
            </w:r>
          </w:p>
        </w:tc>
        <w:tc>
          <w:tcPr>
            <w:tcW w:w="4400" w:type="dxa"/>
            <w:gridSpan w:val="4"/>
          </w:tcPr>
          <w:p w14:paraId="4E3D05CF" w14:textId="7FB41829"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41 (45.6)</w:t>
            </w:r>
          </w:p>
        </w:tc>
        <w:tc>
          <w:tcPr>
            <w:tcW w:w="2785" w:type="dxa"/>
            <w:gridSpan w:val="2"/>
          </w:tcPr>
          <w:p w14:paraId="1614C266" w14:textId="3FD2183E"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Adams </w:t>
            </w:r>
            <w:r w:rsidR="00C24200" w:rsidRPr="00D07897">
              <w:rPr>
                <w:rFonts w:ascii="Book Antiqua" w:hAnsi="Book Antiqua" w:cs="Arial"/>
                <w:i/>
                <w:color w:val="000000" w:themeColor="text1"/>
              </w:rPr>
              <w:t>et al</w:t>
            </w:r>
            <w:r w:rsidR="00D95C42"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diseases","id":"ITEM-1","issue":"7","issued":{"date-parts":[["2017","7"]]},"language":"eng","page":"1182-1186","publisher-place":"United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mendeley":{"formattedCitation":"&lt;sup&gt;[33]&lt;/sup&gt;","plainTextFormattedCitation":"[33]","previouslyFormattedCitation":"&lt;sup&gt;[32]&lt;/sup&gt;"},"properties":{"noteIndex":0},"schema":"https://github.com/citation-style-language/schema/raw/master/csl-citation.json"}</w:instrText>
            </w:r>
            <w:r w:rsidR="00D95C42"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[33]</w:t>
            </w:r>
            <w:r w:rsidR="00D95C42" w:rsidRPr="00D07897">
              <w:rPr>
                <w:rFonts w:ascii="Book Antiqua" w:hAnsi="Book Antiqua" w:cs="Arial"/>
                <w:color w:val="000000" w:themeColor="text1"/>
              </w:rPr>
              <w:fldChar w:fldCharType="end"/>
            </w:r>
          </w:p>
        </w:tc>
      </w:tr>
      <w:tr w:rsidR="00F96F15" w:rsidRPr="00D07897" w14:paraId="00F6328A" w14:textId="77777777" w:rsidTr="00D05D5B">
        <w:trPr>
          <w:trHeight w:val="290"/>
        </w:trPr>
        <w:tc>
          <w:tcPr>
            <w:tcW w:w="2857" w:type="dxa"/>
            <w:gridSpan w:val="2"/>
            <w:vMerge/>
          </w:tcPr>
          <w:p w14:paraId="04E37DF1" w14:textId="77777777" w:rsidR="009F0269" w:rsidRPr="00D07897" w:rsidRDefault="009F0269" w:rsidP="00F96F15">
            <w:pPr>
              <w:spacing w:line="360" w:lineRule="auto"/>
              <w:jc w:val="both"/>
              <w:rPr>
                <w:rFonts w:ascii="Book Antiqua" w:hAnsi="Book Antiqua" w:cs="Arial"/>
                <w:color w:val="000000" w:themeColor="text1"/>
              </w:rPr>
            </w:pPr>
          </w:p>
        </w:tc>
        <w:tc>
          <w:tcPr>
            <w:tcW w:w="3806" w:type="dxa"/>
            <w:gridSpan w:val="2"/>
          </w:tcPr>
          <w:p w14:paraId="26633D7A" w14:textId="5110DBDC"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42 (58.3)</w:t>
            </w:r>
          </w:p>
        </w:tc>
        <w:tc>
          <w:tcPr>
            <w:tcW w:w="4400" w:type="dxa"/>
            <w:gridSpan w:val="4"/>
          </w:tcPr>
          <w:p w14:paraId="7A744E56" w14:textId="14B85C28"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30 (41.7)</w:t>
            </w:r>
          </w:p>
        </w:tc>
        <w:tc>
          <w:tcPr>
            <w:tcW w:w="2785" w:type="dxa"/>
            <w:gridSpan w:val="2"/>
          </w:tcPr>
          <w:p w14:paraId="5AEE3F10" w14:textId="644B2835" w:rsidR="009F0269" w:rsidRPr="00D07897" w:rsidRDefault="009F0269" w:rsidP="00F96F15">
            <w:pPr>
              <w:spacing w:line="360" w:lineRule="auto"/>
              <w:jc w:val="both"/>
              <w:rPr>
                <w:rFonts w:ascii="Book Antiqua" w:hAnsi="Book Antiqua" w:cs="Arial"/>
                <w:color w:val="000000" w:themeColor="text1"/>
              </w:rPr>
            </w:pPr>
            <w:proofErr w:type="spellStart"/>
            <w:r w:rsidRPr="00D07897">
              <w:rPr>
                <w:rFonts w:ascii="Book Antiqua" w:hAnsi="Book Antiqua" w:cs="Arial"/>
                <w:color w:val="000000" w:themeColor="text1"/>
              </w:rPr>
              <w:t>Bamba</w:t>
            </w:r>
            <w:proofErr w:type="spellEnd"/>
            <w:r w:rsidRPr="00D07897">
              <w:rPr>
                <w:rFonts w:ascii="Book Antiqua" w:hAnsi="Book Antiqua" w:cs="Arial"/>
                <w:color w:val="000000" w:themeColor="text1"/>
              </w:rPr>
              <w:t xml:space="preserve"> </w:t>
            </w:r>
            <w:r w:rsidR="00C24200" w:rsidRPr="00D07897">
              <w:rPr>
                <w:rFonts w:ascii="Book Antiqua" w:hAnsi="Book Antiqua" w:cs="Arial"/>
                <w:i/>
                <w:color w:val="000000" w:themeColor="text1"/>
              </w:rPr>
              <w:t>et al</w:t>
            </w:r>
            <w:r w:rsidR="00D95C42"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D95C42"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[9]</w:t>
            </w:r>
            <w:r w:rsidR="00D95C42" w:rsidRPr="00D07897">
              <w:rPr>
                <w:rFonts w:ascii="Book Antiqua" w:hAnsi="Book Antiqua" w:cs="Arial"/>
                <w:color w:val="000000" w:themeColor="text1"/>
              </w:rPr>
              <w:fldChar w:fldCharType="end"/>
            </w:r>
          </w:p>
        </w:tc>
      </w:tr>
      <w:tr w:rsidR="00F96F15" w:rsidRPr="00D07897" w14:paraId="412ACABA" w14:textId="77777777" w:rsidTr="00D05D5B">
        <w:trPr>
          <w:trHeight w:val="305"/>
        </w:trPr>
        <w:tc>
          <w:tcPr>
            <w:tcW w:w="2857" w:type="dxa"/>
            <w:gridSpan w:val="2"/>
            <w:vMerge/>
          </w:tcPr>
          <w:p w14:paraId="7FFD96EB" w14:textId="77777777" w:rsidR="009F0269" w:rsidRPr="00D07897" w:rsidRDefault="009F0269" w:rsidP="00F96F15">
            <w:pPr>
              <w:spacing w:line="360" w:lineRule="auto"/>
              <w:jc w:val="both"/>
              <w:rPr>
                <w:rFonts w:ascii="Book Antiqua" w:hAnsi="Book Antiqua" w:cs="Arial"/>
                <w:color w:val="000000" w:themeColor="text1"/>
              </w:rPr>
            </w:pPr>
          </w:p>
        </w:tc>
        <w:tc>
          <w:tcPr>
            <w:tcW w:w="3806" w:type="dxa"/>
            <w:gridSpan w:val="2"/>
          </w:tcPr>
          <w:p w14:paraId="3E93BDD1" w14:textId="0ECF70B9"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125 (72.3)</w:t>
            </w:r>
          </w:p>
        </w:tc>
        <w:tc>
          <w:tcPr>
            <w:tcW w:w="4400" w:type="dxa"/>
            <w:gridSpan w:val="4"/>
          </w:tcPr>
          <w:p w14:paraId="4087B038" w14:textId="3B06F380"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48 (27.7)</w:t>
            </w:r>
          </w:p>
        </w:tc>
        <w:tc>
          <w:tcPr>
            <w:tcW w:w="2785" w:type="dxa"/>
            <w:gridSpan w:val="2"/>
          </w:tcPr>
          <w:p w14:paraId="308032D4" w14:textId="5AB5FDF7" w:rsidR="009F0269" w:rsidRPr="00D07897" w:rsidRDefault="009F0269" w:rsidP="00F96F15">
            <w:pPr>
              <w:spacing w:line="360" w:lineRule="auto"/>
              <w:jc w:val="both"/>
              <w:rPr>
                <w:rFonts w:ascii="Book Antiqua" w:hAnsi="Book Antiqua" w:cs="Arial"/>
                <w:color w:val="000000" w:themeColor="text1"/>
              </w:rPr>
            </w:pPr>
            <w:proofErr w:type="spellStart"/>
            <w:r w:rsidRPr="00D07897">
              <w:rPr>
                <w:rFonts w:ascii="Book Antiqua" w:hAnsi="Book Antiqua" w:cs="Arial"/>
                <w:color w:val="000000" w:themeColor="text1"/>
              </w:rPr>
              <w:t>Csontos</w:t>
            </w:r>
            <w:proofErr w:type="spellEnd"/>
            <w:r w:rsidRPr="00D07897">
              <w:rPr>
                <w:rFonts w:ascii="Book Antiqua" w:hAnsi="Book Antiqua" w:cs="Arial"/>
                <w:color w:val="000000" w:themeColor="text1"/>
              </w:rPr>
              <w:t xml:space="preserve"> </w:t>
            </w:r>
            <w:r w:rsidR="00C24200" w:rsidRPr="00D07897">
              <w:rPr>
                <w:rFonts w:ascii="Book Antiqua" w:hAnsi="Book Antiqua" w:cs="Arial"/>
                <w:i/>
                <w:color w:val="000000" w:themeColor="text1"/>
              </w:rPr>
              <w:t>et al</w:t>
            </w:r>
            <w:r w:rsidR="00F06271"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mendeley":{"formattedCitation":"&lt;sup&gt;[30]&lt;/sup&gt;","plainTextFormattedCitation":"[30]","previouslyFormattedCitation":"&lt;sup&gt;[29]&lt;/sup&gt;"},"properties":{"noteIndex":0},"schema":"https://github.com/citation-style-language/schema/raw/master/csl-citation.json"}</w:instrText>
            </w:r>
            <w:r w:rsidR="00F06271"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[30]</w:t>
            </w:r>
            <w:r w:rsidR="00F06271" w:rsidRPr="00D07897">
              <w:rPr>
                <w:rFonts w:ascii="Book Antiqua" w:hAnsi="Book Antiqua" w:cs="Arial"/>
                <w:color w:val="000000" w:themeColor="text1"/>
              </w:rPr>
              <w:fldChar w:fldCharType="end"/>
            </w:r>
          </w:p>
        </w:tc>
      </w:tr>
      <w:tr w:rsidR="00F96F15" w:rsidRPr="00D07897" w14:paraId="1D46C363" w14:textId="77777777" w:rsidTr="00D05D5B">
        <w:trPr>
          <w:trHeight w:val="305"/>
        </w:trPr>
        <w:tc>
          <w:tcPr>
            <w:tcW w:w="2857" w:type="dxa"/>
            <w:gridSpan w:val="2"/>
            <w:vMerge/>
          </w:tcPr>
          <w:p w14:paraId="21B02800" w14:textId="77777777" w:rsidR="009F0269" w:rsidRPr="00D07897" w:rsidRDefault="009F0269" w:rsidP="00F96F15">
            <w:pPr>
              <w:spacing w:line="360" w:lineRule="auto"/>
              <w:jc w:val="both"/>
              <w:rPr>
                <w:rFonts w:ascii="Book Antiqua" w:hAnsi="Book Antiqua" w:cs="Arial"/>
                <w:color w:val="000000" w:themeColor="text1"/>
              </w:rPr>
            </w:pPr>
          </w:p>
        </w:tc>
        <w:tc>
          <w:tcPr>
            <w:tcW w:w="3806" w:type="dxa"/>
            <w:gridSpan w:val="2"/>
          </w:tcPr>
          <w:p w14:paraId="7DFB4716" w14:textId="47242EF7"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25 (30.5)</w:t>
            </w:r>
          </w:p>
        </w:tc>
        <w:tc>
          <w:tcPr>
            <w:tcW w:w="4400" w:type="dxa"/>
            <w:gridSpan w:val="4"/>
          </w:tcPr>
          <w:p w14:paraId="41A76ECA" w14:textId="50E9F91F"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57 (69.5)</w:t>
            </w:r>
          </w:p>
        </w:tc>
        <w:tc>
          <w:tcPr>
            <w:tcW w:w="2785" w:type="dxa"/>
            <w:gridSpan w:val="2"/>
          </w:tcPr>
          <w:p w14:paraId="4F522448" w14:textId="3DDAFD27"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Cushing </w:t>
            </w:r>
            <w:r w:rsidR="00C24200" w:rsidRPr="00D07897">
              <w:rPr>
                <w:rFonts w:ascii="Book Antiqua" w:hAnsi="Book Antiqua" w:cs="Arial"/>
                <w:i/>
                <w:color w:val="000000" w:themeColor="text1"/>
              </w:rPr>
              <w:t>et al</w:t>
            </w:r>
            <w:r w:rsidR="00F06271"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colitis","id":"ITEM-1","issued":{"date-parts":[["2018","5"]]},"language":"eng","publisher-place":"England","title":"Sarcopenia is a Novel Predictor of the Need for Rescue Therapy in Hospitalized Ulcerative Colitis Patients.","type":"article-journal"},"uris":["http://www.mendeley.com/documents/?uuid=e255b58f-95e7-489e-b9af-18a0b87f7525"]}],"mendeley":{"formattedCitation":"&lt;sup&gt;[34]&lt;/sup&gt;","plainTextFormattedCitation":"[34]","previouslyFormattedCitation":"&lt;sup&gt;[33]&lt;/sup&gt;"},"properties":{"noteIndex":0},"schema":"https://github.com/citation-style-language/schema/raw/master/csl-citation.json"}</w:instrText>
            </w:r>
            <w:r w:rsidR="00F06271"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[34]</w:t>
            </w:r>
            <w:r w:rsidR="00F06271" w:rsidRPr="00D07897">
              <w:rPr>
                <w:rFonts w:ascii="Book Antiqua" w:hAnsi="Book Antiqua" w:cs="Arial"/>
                <w:color w:val="000000" w:themeColor="text1"/>
              </w:rPr>
              <w:fldChar w:fldCharType="end"/>
            </w:r>
          </w:p>
        </w:tc>
      </w:tr>
      <w:tr w:rsidR="00F96F15" w:rsidRPr="00D07897" w14:paraId="5D0747A0" w14:textId="77777777" w:rsidTr="00D05D5B">
        <w:trPr>
          <w:trHeight w:val="305"/>
        </w:trPr>
        <w:tc>
          <w:tcPr>
            <w:tcW w:w="2857" w:type="dxa"/>
            <w:gridSpan w:val="2"/>
            <w:vMerge/>
          </w:tcPr>
          <w:p w14:paraId="3EC26FA7" w14:textId="77777777" w:rsidR="009F0269" w:rsidRPr="00D07897" w:rsidRDefault="009F0269" w:rsidP="00F96F15">
            <w:pPr>
              <w:spacing w:line="360" w:lineRule="auto"/>
              <w:jc w:val="both"/>
              <w:rPr>
                <w:rFonts w:ascii="Book Antiqua" w:hAnsi="Book Antiqua" w:cs="Arial"/>
                <w:color w:val="000000" w:themeColor="text1"/>
              </w:rPr>
            </w:pPr>
          </w:p>
        </w:tc>
        <w:tc>
          <w:tcPr>
            <w:tcW w:w="3806" w:type="dxa"/>
            <w:gridSpan w:val="2"/>
          </w:tcPr>
          <w:p w14:paraId="44422678" w14:textId="522A97B1"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51 (73.9)</w:t>
            </w:r>
          </w:p>
        </w:tc>
        <w:tc>
          <w:tcPr>
            <w:tcW w:w="4400" w:type="dxa"/>
            <w:gridSpan w:val="4"/>
          </w:tcPr>
          <w:p w14:paraId="51F7FEF8" w14:textId="26742631"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18 (26.1)</w:t>
            </w:r>
          </w:p>
        </w:tc>
        <w:tc>
          <w:tcPr>
            <w:tcW w:w="2785" w:type="dxa"/>
            <w:gridSpan w:val="2"/>
          </w:tcPr>
          <w:p w14:paraId="31FD49DC" w14:textId="2CEB8178"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Fujikawa </w:t>
            </w:r>
            <w:r w:rsidR="00C24200" w:rsidRPr="00D07897">
              <w:rPr>
                <w:rFonts w:ascii="Book Antiqua" w:hAnsi="Book Antiqua" w:cs="Arial"/>
                <w:i/>
                <w:color w:val="000000" w:themeColor="text1"/>
              </w:rPr>
              <w:t>et al</w:t>
            </w:r>
            <w:r w:rsidR="00F06271"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today","id":"ITEM-1","issue":"1","issued":{"date-parts":[["2017","1"]]},"language":"eng","page":"92-98","publisher-place":"Japan","title":"Impact of sarcopenia on surgical site infection after restorative proctocolectomy for ulcerative colitis.","type":"article-journal","volume":"47"},"uris":["http://www.mendeley.com/documents/?uuid=a3ecc717-75fe-4b70-b40a-518331ec5a8e"]}],"mendeley":{"formattedCitation":"&lt;sup&gt;[29]&lt;/sup&gt;","plainTextFormattedCitation":"[29]","previouslyFormattedCitation":"&lt;sup&gt;[28]&lt;/sup&gt;"},"properties":{"noteIndex":0},"schema":"https://github.com/citation-style-language/schema/raw/master/csl-citation.json"}</w:instrText>
            </w:r>
            <w:r w:rsidR="00F06271"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[29]</w:t>
            </w:r>
            <w:r w:rsidR="00F06271" w:rsidRPr="00D07897">
              <w:rPr>
                <w:rFonts w:ascii="Book Antiqua" w:hAnsi="Book Antiqua" w:cs="Arial"/>
                <w:color w:val="000000" w:themeColor="text1"/>
              </w:rPr>
              <w:fldChar w:fldCharType="end"/>
            </w:r>
          </w:p>
        </w:tc>
      </w:tr>
      <w:tr w:rsidR="00F96F15" w:rsidRPr="00D07897" w14:paraId="144A6209" w14:textId="77777777" w:rsidTr="00D05D5B">
        <w:trPr>
          <w:trHeight w:val="290"/>
        </w:trPr>
        <w:tc>
          <w:tcPr>
            <w:tcW w:w="2857" w:type="dxa"/>
            <w:gridSpan w:val="2"/>
            <w:vMerge/>
          </w:tcPr>
          <w:p w14:paraId="7B53A2A2" w14:textId="77777777" w:rsidR="009F0269" w:rsidRPr="00D07897" w:rsidRDefault="009F0269" w:rsidP="00F96F15">
            <w:pPr>
              <w:spacing w:line="360" w:lineRule="auto"/>
              <w:jc w:val="both"/>
              <w:rPr>
                <w:rFonts w:ascii="Book Antiqua" w:hAnsi="Book Antiqua" w:cs="Arial"/>
                <w:color w:val="000000" w:themeColor="text1"/>
              </w:rPr>
            </w:pPr>
          </w:p>
        </w:tc>
        <w:tc>
          <w:tcPr>
            <w:tcW w:w="3806" w:type="dxa"/>
            <w:gridSpan w:val="2"/>
          </w:tcPr>
          <w:p w14:paraId="52931511" w14:textId="470A3299"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47 (67.1)</w:t>
            </w:r>
          </w:p>
        </w:tc>
        <w:tc>
          <w:tcPr>
            <w:tcW w:w="4400" w:type="dxa"/>
            <w:gridSpan w:val="4"/>
          </w:tcPr>
          <w:p w14:paraId="4E33883B" w14:textId="657A78AB"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30 (38.9)</w:t>
            </w:r>
          </w:p>
        </w:tc>
        <w:tc>
          <w:tcPr>
            <w:tcW w:w="2785" w:type="dxa"/>
            <w:gridSpan w:val="2"/>
          </w:tcPr>
          <w:p w14:paraId="29FE1A79" w14:textId="5B92433C"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O’Brien </w:t>
            </w:r>
            <w:r w:rsidR="00C24200" w:rsidRPr="00D07897">
              <w:rPr>
                <w:rFonts w:ascii="Book Antiqua" w:hAnsi="Book Antiqua" w:cs="Arial"/>
                <w:i/>
                <w:color w:val="000000" w:themeColor="text1"/>
              </w:rPr>
              <w:t>et al</w:t>
            </w:r>
            <w:r w:rsidR="00F06271"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{"citationItems":[{"id":"ITEM-1","itemData":{"DOI":"10.1186/s41747-018-0072-3","ISSN":"2509-9280 (Electronic)","PMID":"30460523","abstract":"BACKGROUND: Inflammatory bowel disease (IBD) is a relatively common disorder with significant associated morbidity. Sarcopenia and myosteatosis are associated with adverse postoperative outcomes. This study investigated outcomes in IBD patients undergoing surgical resection relative to the presence of sarcopenia and myosteatosis. METHODS: A retrospective analysis of a prospectively maintained surgical database was conducted. All patients undergoing elective or emergency resection for IBD between 2011 and 2016, with a contemporaneous perioperative computed tomography (CT) scan, were included. Patient demographics, clinical and biochemical measurements were collected. Skeletal muscle index and attenuation were measured on perioperative CT scans using Osirix version 5.6.1. Univariate and multivariate regression analysis was used to identify risk factors for adverse postoperative outcomes. RESULTS: Seventy-seven patients (46 male, 31 female; mean age 42 years, range 20-80 years) were included. Thirty patients (30%) had sarcopenia and 26 (34%) had myosteatosis. Myosteatosis was significantly associated with increased hospital stay postoperatively (9 versus 13 days). Sarcopenia and myosteatosis were associated with hospital readmission within 30 days on univariate analysis. Multivariate regression analysis demonstrated an independent association between myosteatosis and hospital readmission. Sixteen patients (21%) had a clinically relevant postoperative complication, but an association with sarcopenia and myosteatosis was not observed. A neutrophil-lymphocyte ratio greater than 5 was predictive of clinically relevant postoperative complications on multivariate regression analysis. CONCLUSIONS: Myosteatosis was associated with increased hospital stay and increased 30-day hospital readmission rates on multivariate regression analysis. Sarcopenia and myosteatosis in IBD were not associated with clinically relevant postoperative complications.","author":[{"dropping-particle":"","family":"O'Brien","given":"Stephen","non-dropping-particle":"","parse-names":false,"suffix":""},{"dropping-particle":"","family":"Kavanagh","given":"Richard G","non-dropping-particle":"","parse-names":false,"suffix":""},{"dropping-particle":"","family":"Carey","given":"Brian W","non-dropping-particle":"","parse-names":false,"suffix":""},{"dropping-particle":"","family":"Maher","given":"Michael M","non-dropping-particle":"","parse-names":false,"suffix":""},{"dropping-particle":"","family":"O'Connor","given":"Owen J","non-dropping-particle":"","parse-names":false,"suffix":""},{"dropping-particle":"","family":"Andrews","given":"Emmet J","non-dropping-particle":"","parse-names":false,"suffix":""}],"container-title":"European radiology experimental","id":"ITEM-1","issue":"1","issued":{"date-parts":[["2018","11"]]},"language":"eng","page":"37","publisher-place":"England","title":"The impact of sarcopenia and myosteatosis on postoperative outcomes in patients with inflammatory bowel disease.","type":"article-journal","volume":"2"},"uris":["http://www.mendeley.com/documents/?uuid=e0b53979-80b7-49e6-bb0a-439e8ff7d904"]}],"mendeley":{"formattedCitation":"&lt;sup&gt;[31]&lt;/sup&gt;","plainTextFormattedCitation":"[31]","previouslyFormattedCitation":"&lt;sup&gt;[30]&lt;/sup&gt;"},"properties":{"noteIndex":0},"schema":"https://github.com/citation-style-language/schema/raw/master/csl-citation.json"}</w:instrText>
            </w:r>
            <w:r w:rsidR="00F06271"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[31]</w:t>
            </w:r>
            <w:r w:rsidR="00F06271" w:rsidRPr="00D07897">
              <w:rPr>
                <w:rFonts w:ascii="Book Antiqua" w:hAnsi="Book Antiqua" w:cs="Arial"/>
                <w:color w:val="000000" w:themeColor="text1"/>
              </w:rPr>
              <w:fldChar w:fldCharType="end"/>
            </w:r>
          </w:p>
        </w:tc>
      </w:tr>
      <w:tr w:rsidR="00F96F15" w:rsidRPr="00D07897" w14:paraId="2DD612CF" w14:textId="77777777" w:rsidTr="00D05D5B">
        <w:trPr>
          <w:trHeight w:val="305"/>
        </w:trPr>
        <w:tc>
          <w:tcPr>
            <w:tcW w:w="2857" w:type="dxa"/>
            <w:gridSpan w:val="2"/>
            <w:vMerge/>
          </w:tcPr>
          <w:p w14:paraId="049FB117" w14:textId="77777777" w:rsidR="009F0269" w:rsidRPr="00D07897" w:rsidRDefault="009F0269" w:rsidP="00F96F15">
            <w:pPr>
              <w:spacing w:line="360" w:lineRule="auto"/>
              <w:jc w:val="both"/>
              <w:rPr>
                <w:rFonts w:ascii="Book Antiqua" w:hAnsi="Book Antiqua" w:cs="Arial"/>
                <w:color w:val="000000" w:themeColor="text1"/>
              </w:rPr>
            </w:pPr>
          </w:p>
        </w:tc>
        <w:tc>
          <w:tcPr>
            <w:tcW w:w="3806" w:type="dxa"/>
            <w:gridSpan w:val="2"/>
          </w:tcPr>
          <w:p w14:paraId="7D596D35" w14:textId="6D43F47E"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134 (75.3)</w:t>
            </w:r>
          </w:p>
        </w:tc>
        <w:tc>
          <w:tcPr>
            <w:tcW w:w="4400" w:type="dxa"/>
            <w:gridSpan w:val="4"/>
          </w:tcPr>
          <w:p w14:paraId="5220F163" w14:textId="4071B6B1"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44 (24.7)</w:t>
            </w:r>
          </w:p>
        </w:tc>
        <w:tc>
          <w:tcPr>
            <w:tcW w:w="2785" w:type="dxa"/>
            <w:gridSpan w:val="2"/>
          </w:tcPr>
          <w:p w14:paraId="54D9426C" w14:textId="220CA838"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Pedersen </w:t>
            </w:r>
            <w:r w:rsidR="00C24200" w:rsidRPr="00D07897">
              <w:rPr>
                <w:rFonts w:ascii="Book Antiqua" w:hAnsi="Book Antiqua" w:cs="Arial"/>
                <w:i/>
                <w:color w:val="000000" w:themeColor="text1"/>
              </w:rPr>
              <w:t>et al</w:t>
            </w:r>
            <w:r w:rsidR="00F06271"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diseases","id":"ITEM-1","issue":"10","issued":{"date-parts":[["2017","10"]]},"language":"eng","page":"1867-1872","publisher-place":"United States","title":"Sarcopenia is a Predictor of Surgical Morbidity in Inflammatory Bowel Disease.","type":"article-journal","volume":"23"},"uris":["http://www.mendeley.com/documents/?uuid=6853f06f-1efd-4924-a01f-3879684bf57f"]}],"mendeley":{"formattedCitation":"&lt;sup&gt;[12]&lt;/sup&gt;","plainTextFormattedCitation":"[12]","previouslyFormattedCitation":"&lt;sup&gt;[12]&lt;/sup&gt;"},"properties":{"noteIndex":0},"schema":"https://github.com/citation-style-language/schema/raw/master/csl-citation.json"}</w:instrText>
            </w:r>
            <w:r w:rsidR="00F06271"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[12]</w:t>
            </w:r>
            <w:r w:rsidR="00F06271" w:rsidRPr="00D07897">
              <w:rPr>
                <w:rFonts w:ascii="Book Antiqua" w:hAnsi="Book Antiqua" w:cs="Arial"/>
                <w:color w:val="000000" w:themeColor="text1"/>
              </w:rPr>
              <w:fldChar w:fldCharType="end"/>
            </w:r>
          </w:p>
        </w:tc>
      </w:tr>
      <w:tr w:rsidR="00F96F15" w:rsidRPr="00D07897" w14:paraId="18AA3952" w14:textId="77777777" w:rsidTr="00D05D5B">
        <w:trPr>
          <w:trHeight w:val="305"/>
        </w:trPr>
        <w:tc>
          <w:tcPr>
            <w:tcW w:w="2857" w:type="dxa"/>
            <w:gridSpan w:val="2"/>
            <w:vMerge/>
          </w:tcPr>
          <w:p w14:paraId="089C666B" w14:textId="77777777" w:rsidR="009F0269" w:rsidRPr="00D07897" w:rsidRDefault="009F0269" w:rsidP="00F96F15">
            <w:pPr>
              <w:spacing w:line="360" w:lineRule="auto"/>
              <w:jc w:val="both"/>
              <w:rPr>
                <w:rFonts w:ascii="Book Antiqua" w:hAnsi="Book Antiqua" w:cs="Arial"/>
                <w:color w:val="000000" w:themeColor="text1"/>
              </w:rPr>
            </w:pPr>
          </w:p>
        </w:tc>
        <w:tc>
          <w:tcPr>
            <w:tcW w:w="3806" w:type="dxa"/>
            <w:gridSpan w:val="2"/>
          </w:tcPr>
          <w:p w14:paraId="7311DAD4" w14:textId="6307689A"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99 (66.4)</w:t>
            </w:r>
          </w:p>
        </w:tc>
        <w:tc>
          <w:tcPr>
            <w:tcW w:w="4400" w:type="dxa"/>
            <w:gridSpan w:val="4"/>
          </w:tcPr>
          <w:p w14:paraId="4B1A21D9" w14:textId="17AF703E"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50 (33.6)</w:t>
            </w:r>
          </w:p>
        </w:tc>
        <w:tc>
          <w:tcPr>
            <w:tcW w:w="2785" w:type="dxa"/>
            <w:gridSpan w:val="2"/>
          </w:tcPr>
          <w:p w14:paraId="449163B0" w14:textId="452D1E0C" w:rsidR="009F0269" w:rsidRPr="00D07897" w:rsidRDefault="009F0269" w:rsidP="00F96F15">
            <w:pPr>
              <w:spacing w:line="360" w:lineRule="auto"/>
              <w:jc w:val="both"/>
              <w:rPr>
                <w:rFonts w:ascii="Book Antiqua" w:hAnsi="Book Antiqua" w:cs="Arial"/>
                <w:color w:val="000000" w:themeColor="text1"/>
              </w:rPr>
            </w:pPr>
            <w:proofErr w:type="spellStart"/>
            <w:r w:rsidRPr="00D07897">
              <w:rPr>
                <w:rFonts w:ascii="Book Antiqua" w:hAnsi="Book Antiqua" w:cs="Arial"/>
                <w:color w:val="000000" w:themeColor="text1"/>
              </w:rPr>
              <w:t>Thiberge</w:t>
            </w:r>
            <w:proofErr w:type="spellEnd"/>
            <w:r w:rsidRPr="00D07897">
              <w:rPr>
                <w:rFonts w:ascii="Book Antiqua" w:hAnsi="Book Antiqua" w:cs="Arial"/>
                <w:color w:val="000000" w:themeColor="text1"/>
              </w:rPr>
              <w:t xml:space="preserve"> </w:t>
            </w:r>
            <w:r w:rsidR="00C24200" w:rsidRPr="00D07897">
              <w:rPr>
                <w:rFonts w:ascii="Book Antiqua" w:hAnsi="Book Antiqua" w:cs="Arial"/>
                <w:i/>
                <w:color w:val="000000" w:themeColor="text1"/>
              </w:rPr>
              <w:t>et al</w:t>
            </w:r>
            <w:r w:rsidR="00F06271"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{"citationItems":[{"id":"ITEM-1","itemData":{"DOI":"10.1093/ecco-jcc/jjy124","ISSN":"1876-4479","abstract":"BACKGROUND AND AIMS: Changes in body composition have been described in patients with Crohn's disease, but their predictive performances on disease evolution remain undefined. The aims of our study were to assess, in patients with Crohn's disease requiring abdominal computed tomography, body composition by computed tomography, and to study the outcome according to various body composition parameters at the time of the computed tomography. METHODS: Patients with Crohn's disease who underwent abdominal computed tomography for suspected complications were retrospectively included. The definition of adverse outcome included death or need for surgery within 6 months of the computed tomography. Skeletal muscle index and visceral and subcutaneous adiposity indexes were calculated from tissue surface areas measured at the third lumbar vertebra, divided by the height squared. RESULTS: The prevalence of underweight was 26.8% and the prevalence of sarcopenia was 33.6%. After gender adjustment, skeletal muscle index tended to be reduced in patients with adverse outcome, compared with patients without surgery or death [p = 0.07]. Moreover, subcutaneous adiposity index and visceral adiposity index were significantly lower in patients with surgery or death [p = 0.009 and p &lt; 0.001, respectively]. These differences were almost equivalent in both genders for the subcutaneous adiposity index but were clearly stronger in men for the visceral adiposity index. CONCLUSIONS: Subcutaneous and visceral adiposity indexes correlate inversely with adverse outcome in patients with Crohn's disease. Alteration of body composition assessed by computed tomography in these patients appears to be a marker of disease severity.","author":[{"dropping-particle":"","family":"Thiberge","given":"Claire","non-dropping-particle":"","parse-names":false,"suffix":""},{"dropping-particle":"","family":"Charpentier","given":"Cloé","non-dropping-particle":"","parse-names":false,"suffix":""},{"dropping-particle":"","family":"Gillibert","given":"André","non-dropping-particle":"","parse-names":false,"suffix":""},{"dropping-particle":"","family":"Modzelewski","given":"Romain","non-dropping-particle":"","parse-names":false,"suffix":""},{"dropping-particle":"","family":"Dacher","given":"Jean-Nicolas","non-dropping-particle":"","parse-names":false,"suffix":""},{"dropping-particle":"","family":"Savoye","given":"Guillaume","non-dropping-particle":"","parse-names":false,"suffix":""},{"dropping-particle":"","family":"Savoye-Collet","given":"Céline","non-dropping-particle":"","parse-names":false,"suffix":""}],"container-title":"Journal of Crohn's &amp; colitis","id":"ITEM-1","issue":"12","issued":{"date-parts":[["2018","11","28"]]},"page":"1429-1437","publisher-place":"England","title":"Lower Subcutaneous or Visceral Adiposity Assessed by Abdominal Computed Tomography Could Predict Adverse Outcome in Patients With Crohn's Disease","type":"article-journal","volume":"12"},"uris":["http://www.mendeley.com/documents/?uuid=24be24ce-8d64-4a00-ba9d-1bda6687be41"]}],"mendeley":{"formattedCitation":"&lt;sup&gt;[32]&lt;/sup&gt;","plainTextFormattedCitation":"[32]","previouslyFormattedCitation":"&lt;sup&gt;[31]&lt;/sup&gt;"},"properties":{"noteIndex":0},"schema":"https://github.com/citation-style-language/schema/raw/master/csl-citation.json"}</w:instrText>
            </w:r>
            <w:r w:rsidR="00F06271"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[32]</w:t>
            </w:r>
            <w:r w:rsidR="00F06271" w:rsidRPr="00D07897">
              <w:rPr>
                <w:rFonts w:ascii="Book Antiqua" w:hAnsi="Book Antiqua" w:cs="Arial"/>
                <w:color w:val="000000" w:themeColor="text1"/>
              </w:rPr>
              <w:fldChar w:fldCharType="end"/>
            </w:r>
          </w:p>
        </w:tc>
      </w:tr>
      <w:tr w:rsidR="00F96F15" w:rsidRPr="00D07897" w14:paraId="16B40D4A" w14:textId="77777777" w:rsidTr="00D05D5B">
        <w:trPr>
          <w:trHeight w:val="305"/>
        </w:trPr>
        <w:tc>
          <w:tcPr>
            <w:tcW w:w="2857" w:type="dxa"/>
            <w:gridSpan w:val="2"/>
            <w:vMerge/>
          </w:tcPr>
          <w:p w14:paraId="5565C538" w14:textId="77777777" w:rsidR="009F0269" w:rsidRPr="00D07897" w:rsidRDefault="009F0269" w:rsidP="00F96F15">
            <w:pPr>
              <w:spacing w:line="360" w:lineRule="auto"/>
              <w:jc w:val="both"/>
              <w:rPr>
                <w:rFonts w:ascii="Book Antiqua" w:hAnsi="Book Antiqua" w:cs="Arial"/>
                <w:color w:val="000000" w:themeColor="text1"/>
              </w:rPr>
            </w:pPr>
          </w:p>
        </w:tc>
        <w:tc>
          <w:tcPr>
            <w:tcW w:w="3806" w:type="dxa"/>
            <w:gridSpan w:val="2"/>
          </w:tcPr>
          <w:p w14:paraId="3C4BEBA8" w14:textId="2E44CC44"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115 (56.4)</w:t>
            </w:r>
          </w:p>
        </w:tc>
        <w:tc>
          <w:tcPr>
            <w:tcW w:w="4400" w:type="dxa"/>
            <w:gridSpan w:val="4"/>
          </w:tcPr>
          <w:p w14:paraId="54E61A3A" w14:textId="4CF2BFA8"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89 (43.6)</w:t>
            </w:r>
          </w:p>
        </w:tc>
        <w:tc>
          <w:tcPr>
            <w:tcW w:w="2785" w:type="dxa"/>
            <w:gridSpan w:val="2"/>
          </w:tcPr>
          <w:p w14:paraId="1A890C92" w14:textId="5CABDF9D"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Zhang </w:t>
            </w:r>
            <w:r w:rsidR="00C24200" w:rsidRPr="00D07897">
              <w:rPr>
                <w:rFonts w:ascii="Book Antiqua" w:hAnsi="Book Antiqua" w:cs="Arial"/>
                <w:i/>
                <w:color w:val="000000" w:themeColor="text1"/>
              </w:rPr>
              <w:t>et al</w:t>
            </w:r>
            <w:r w:rsidR="00F06271"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Scotland)","id":"ITEM-1","issue":"6","issued":{"date-parts":[["2017","12"]]},"language":"eng","page":"1586-1592","publisher-place":"England","title":"Skeletal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mendeley":{"formattedCitation":"&lt;sup&gt;[11]&lt;/sup&gt;","plainTextFormattedCitation":"[11]","previouslyFormattedCitation":"&lt;sup&gt;[11]&lt;/sup&gt;"},"properties":{"noteIndex":0},"schema":"https://github.com/citation-style-language/schema/raw/master/csl-citation.json"}</w:instrText>
            </w:r>
            <w:r w:rsidR="00F06271"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[11]</w:t>
            </w:r>
            <w:r w:rsidR="00F06271" w:rsidRPr="00D07897">
              <w:rPr>
                <w:rFonts w:ascii="Book Antiqua" w:hAnsi="Book Antiqua" w:cs="Arial"/>
                <w:color w:val="000000" w:themeColor="text1"/>
              </w:rPr>
              <w:fldChar w:fldCharType="end"/>
            </w:r>
          </w:p>
        </w:tc>
      </w:tr>
      <w:tr w:rsidR="00F96F15" w:rsidRPr="00D07897" w14:paraId="5A850072" w14:textId="77777777" w:rsidTr="00D05D5B">
        <w:trPr>
          <w:trHeight w:val="305"/>
        </w:trPr>
        <w:tc>
          <w:tcPr>
            <w:tcW w:w="2857" w:type="dxa"/>
            <w:gridSpan w:val="2"/>
            <w:vMerge/>
          </w:tcPr>
          <w:p w14:paraId="146E97F8" w14:textId="77777777" w:rsidR="009F0269" w:rsidRPr="00D07897" w:rsidRDefault="009F0269" w:rsidP="00F96F15">
            <w:pPr>
              <w:spacing w:line="360" w:lineRule="auto"/>
              <w:jc w:val="both"/>
              <w:rPr>
                <w:rFonts w:ascii="Book Antiqua" w:hAnsi="Book Antiqua" w:cs="Arial"/>
                <w:color w:val="000000" w:themeColor="text1"/>
              </w:rPr>
            </w:pPr>
          </w:p>
        </w:tc>
        <w:tc>
          <w:tcPr>
            <w:tcW w:w="3806" w:type="dxa"/>
            <w:gridSpan w:val="2"/>
          </w:tcPr>
          <w:p w14:paraId="71C8AE87" w14:textId="205D0AE5"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44 (35.1)</w:t>
            </w:r>
          </w:p>
        </w:tc>
        <w:tc>
          <w:tcPr>
            <w:tcW w:w="4400" w:type="dxa"/>
            <w:gridSpan w:val="4"/>
          </w:tcPr>
          <w:p w14:paraId="32C3D429" w14:textId="1DE3F31F"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70 (61.4)</w:t>
            </w:r>
          </w:p>
        </w:tc>
        <w:tc>
          <w:tcPr>
            <w:tcW w:w="2785" w:type="dxa"/>
            <w:gridSpan w:val="2"/>
          </w:tcPr>
          <w:p w14:paraId="1DAEEB49" w14:textId="53B93E33"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Zhang </w:t>
            </w:r>
            <w:r w:rsidR="00C24200" w:rsidRPr="00D07897">
              <w:rPr>
                <w:rFonts w:ascii="Book Antiqua" w:hAnsi="Book Antiqua" w:cs="Arial"/>
                <w:i/>
                <w:color w:val="000000" w:themeColor="text1"/>
              </w:rPr>
              <w:t>et al</w:t>
            </w:r>
            <w:r w:rsidR="00F06271"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nutrition","id":"ITEM-1","issue":"4","issued":{"date-parts":[["2017","5"]]},"language":"eng","page":"592-600","publisher-place":"United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mendeley":{"formattedCitation":"&lt;sup&gt;[10]&lt;/sup&gt;","plainTextFormattedCitation":"[10]","previouslyFormattedCitation":"&lt;sup&gt;[10]&lt;/sup&gt;"},"properties":{"noteIndex":0},"schema":"https://github.com/citation-style-language/schema/raw/master/csl-citation.json"}</w:instrText>
            </w:r>
            <w:r w:rsidR="00F06271"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[10]</w:t>
            </w:r>
            <w:r w:rsidR="00F06271" w:rsidRPr="00D07897">
              <w:rPr>
                <w:rFonts w:ascii="Book Antiqua" w:hAnsi="Book Antiqua" w:cs="Arial"/>
                <w:color w:val="000000" w:themeColor="text1"/>
              </w:rPr>
              <w:fldChar w:fldCharType="end"/>
            </w:r>
          </w:p>
        </w:tc>
      </w:tr>
      <w:tr w:rsidR="00F96F15" w:rsidRPr="00D07897" w14:paraId="7EF9096F" w14:textId="77777777" w:rsidTr="00D05D5B">
        <w:trPr>
          <w:trHeight w:val="601"/>
        </w:trPr>
        <w:tc>
          <w:tcPr>
            <w:tcW w:w="2857" w:type="dxa"/>
            <w:gridSpan w:val="2"/>
          </w:tcPr>
          <w:p w14:paraId="3B6F06B5" w14:textId="77777777" w:rsidR="009F0269" w:rsidRPr="00D07897" w:rsidRDefault="009F0269"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Comprehensive RD/GI Assessment</w:t>
            </w:r>
          </w:p>
        </w:tc>
        <w:tc>
          <w:tcPr>
            <w:tcW w:w="3806" w:type="dxa"/>
            <w:gridSpan w:val="2"/>
          </w:tcPr>
          <w:p w14:paraId="2D6119CF" w14:textId="7D0591F5" w:rsidR="009F0269" w:rsidRPr="00D07897" w:rsidRDefault="009F0269"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Proportion of patients not at risk</w:t>
            </w:r>
            <w:r w:rsidR="00D05D5B" w:rsidRPr="00D07897">
              <w:rPr>
                <w:rFonts w:ascii="Book Antiqua" w:hAnsi="Book Antiqua" w:cs="Arial"/>
                <w:b/>
                <w:color w:val="000000" w:themeColor="text1"/>
              </w:rPr>
              <w:t xml:space="preserve"> </w:t>
            </w:r>
            <w:r w:rsidR="00D05D5B" w:rsidRPr="00D07897">
              <w:rPr>
                <w:rFonts w:ascii="Book Antiqua" w:hAnsi="Book Antiqua" w:cs="Arial"/>
                <w:b/>
                <w:i/>
                <w:iCs/>
                <w:color w:val="000000" w:themeColor="text1"/>
              </w:rPr>
              <w:t>n</w:t>
            </w:r>
            <w:r w:rsidR="00D05D5B" w:rsidRPr="00D07897">
              <w:rPr>
                <w:rFonts w:ascii="Book Antiqua" w:hAnsi="Book Antiqua" w:cs="Arial"/>
                <w:b/>
                <w:color w:val="000000" w:themeColor="text1"/>
              </w:rPr>
              <w:t xml:space="preserve"> (%)</w:t>
            </w:r>
          </w:p>
        </w:tc>
        <w:tc>
          <w:tcPr>
            <w:tcW w:w="4400" w:type="dxa"/>
            <w:gridSpan w:val="4"/>
          </w:tcPr>
          <w:p w14:paraId="7123BF55" w14:textId="5104FF13" w:rsidR="009F0269" w:rsidRPr="00D07897" w:rsidRDefault="009F0269"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Proportion of patients at risk of malnutrition</w:t>
            </w:r>
            <w:r w:rsidR="00D05D5B" w:rsidRPr="00D07897">
              <w:rPr>
                <w:rFonts w:ascii="Book Antiqua" w:hAnsi="Book Antiqua" w:cs="Arial"/>
                <w:b/>
                <w:color w:val="000000" w:themeColor="text1"/>
              </w:rPr>
              <w:t xml:space="preserve"> </w:t>
            </w:r>
            <w:r w:rsidR="00D05D5B" w:rsidRPr="00D07897">
              <w:rPr>
                <w:rFonts w:ascii="Book Antiqua" w:hAnsi="Book Antiqua" w:cs="Arial"/>
                <w:b/>
                <w:i/>
                <w:iCs/>
                <w:color w:val="000000" w:themeColor="text1"/>
              </w:rPr>
              <w:t>n</w:t>
            </w:r>
            <w:r w:rsidR="00D05D5B" w:rsidRPr="00D07897">
              <w:rPr>
                <w:rFonts w:ascii="Book Antiqua" w:hAnsi="Book Antiqua" w:cs="Arial"/>
                <w:b/>
                <w:color w:val="000000" w:themeColor="text1"/>
              </w:rPr>
              <w:t xml:space="preserve"> (%)</w:t>
            </w:r>
          </w:p>
        </w:tc>
        <w:tc>
          <w:tcPr>
            <w:tcW w:w="2785" w:type="dxa"/>
            <w:gridSpan w:val="2"/>
          </w:tcPr>
          <w:p w14:paraId="03701C44" w14:textId="77777777" w:rsidR="009F0269" w:rsidRPr="00D07897" w:rsidRDefault="009F0269"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Study ID</w:t>
            </w:r>
          </w:p>
        </w:tc>
      </w:tr>
      <w:tr w:rsidR="00F96F15" w:rsidRPr="00D07897" w14:paraId="39E56ED6" w14:textId="77777777" w:rsidTr="00D05D5B">
        <w:trPr>
          <w:trHeight w:val="275"/>
        </w:trPr>
        <w:tc>
          <w:tcPr>
            <w:tcW w:w="2857" w:type="dxa"/>
            <w:gridSpan w:val="2"/>
          </w:tcPr>
          <w:p w14:paraId="32EBD206" w14:textId="77777777" w:rsidR="009F0269" w:rsidRPr="00D07897" w:rsidRDefault="009F0269" w:rsidP="00F96F15">
            <w:pPr>
              <w:spacing w:line="360" w:lineRule="auto"/>
              <w:jc w:val="both"/>
              <w:rPr>
                <w:rFonts w:ascii="Book Antiqua" w:hAnsi="Book Antiqua" w:cs="Arial"/>
                <w:color w:val="000000" w:themeColor="text1"/>
              </w:rPr>
            </w:pPr>
          </w:p>
        </w:tc>
        <w:tc>
          <w:tcPr>
            <w:tcW w:w="3806" w:type="dxa"/>
            <w:gridSpan w:val="2"/>
          </w:tcPr>
          <w:p w14:paraId="1BE4FCD5" w14:textId="2C77C3E4"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87 (79.1)</w:t>
            </w:r>
          </w:p>
        </w:tc>
        <w:tc>
          <w:tcPr>
            <w:tcW w:w="4400" w:type="dxa"/>
            <w:gridSpan w:val="4"/>
          </w:tcPr>
          <w:p w14:paraId="17614F0C" w14:textId="7E910E71"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23 (20.9)</w:t>
            </w:r>
          </w:p>
        </w:tc>
        <w:tc>
          <w:tcPr>
            <w:tcW w:w="2785" w:type="dxa"/>
            <w:gridSpan w:val="2"/>
          </w:tcPr>
          <w:p w14:paraId="0B223204" w14:textId="0CC2012B"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Haskey </w:t>
            </w:r>
            <w:r w:rsidR="00C24200" w:rsidRPr="00D07897">
              <w:rPr>
                <w:rFonts w:ascii="Book Antiqua" w:hAnsi="Book Antiqua" w:cs="Arial"/>
                <w:i/>
                <w:color w:val="000000" w:themeColor="text1"/>
              </w:rPr>
              <w:t>et al</w:t>
            </w:r>
            <w:r w:rsidR="00F06271"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F06271"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[35]</w:t>
            </w:r>
            <w:r w:rsidR="00F06271" w:rsidRPr="00D07897">
              <w:rPr>
                <w:rFonts w:ascii="Book Antiqua" w:hAnsi="Book Antiqua" w:cs="Arial"/>
                <w:color w:val="000000" w:themeColor="text1"/>
              </w:rPr>
              <w:fldChar w:fldCharType="end"/>
            </w:r>
          </w:p>
        </w:tc>
      </w:tr>
      <w:tr w:rsidR="00F96F15" w:rsidRPr="00D07897" w14:paraId="57406DF0" w14:textId="77777777" w:rsidTr="00D05D5B">
        <w:trPr>
          <w:trHeight w:val="581"/>
        </w:trPr>
        <w:tc>
          <w:tcPr>
            <w:tcW w:w="2857" w:type="dxa"/>
            <w:gridSpan w:val="2"/>
            <w:vMerge w:val="restart"/>
          </w:tcPr>
          <w:p w14:paraId="31D9E81A" w14:textId="77777777" w:rsidR="009F0269" w:rsidRPr="00D07897" w:rsidRDefault="009F0269" w:rsidP="00F96F15">
            <w:pPr>
              <w:spacing w:line="360" w:lineRule="auto"/>
              <w:jc w:val="both"/>
              <w:rPr>
                <w:rFonts w:ascii="Book Antiqua" w:hAnsi="Book Antiqua" w:cs="Arial"/>
                <w:color w:val="000000" w:themeColor="text1"/>
              </w:rPr>
            </w:pPr>
          </w:p>
          <w:p w14:paraId="0FA9F78D" w14:textId="77777777" w:rsidR="009F0269" w:rsidRPr="00D07897" w:rsidRDefault="009F0269" w:rsidP="00F96F15">
            <w:pPr>
              <w:spacing w:line="360" w:lineRule="auto"/>
              <w:jc w:val="both"/>
              <w:rPr>
                <w:rFonts w:ascii="Book Antiqua" w:hAnsi="Book Antiqua" w:cs="Arial"/>
                <w:color w:val="000000" w:themeColor="text1"/>
              </w:rPr>
            </w:pPr>
          </w:p>
          <w:p w14:paraId="068AA85B" w14:textId="77777777"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SGA</w:t>
            </w:r>
          </w:p>
        </w:tc>
        <w:tc>
          <w:tcPr>
            <w:tcW w:w="3806" w:type="dxa"/>
            <w:gridSpan w:val="2"/>
          </w:tcPr>
          <w:p w14:paraId="10694D27" w14:textId="77777777"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Proportion of SGA A</w:t>
            </w:r>
          </w:p>
        </w:tc>
        <w:tc>
          <w:tcPr>
            <w:tcW w:w="1896" w:type="dxa"/>
            <w:gridSpan w:val="2"/>
          </w:tcPr>
          <w:p w14:paraId="32C19D72" w14:textId="77777777"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Proportion of SGA B</w:t>
            </w:r>
          </w:p>
        </w:tc>
        <w:tc>
          <w:tcPr>
            <w:tcW w:w="2504" w:type="dxa"/>
            <w:gridSpan w:val="2"/>
          </w:tcPr>
          <w:p w14:paraId="48C1F4CE" w14:textId="77777777"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Proportion of SGA C</w:t>
            </w:r>
          </w:p>
        </w:tc>
        <w:tc>
          <w:tcPr>
            <w:tcW w:w="2785" w:type="dxa"/>
            <w:gridSpan w:val="2"/>
          </w:tcPr>
          <w:p w14:paraId="53D96D3C" w14:textId="77777777"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Study ID</w:t>
            </w:r>
          </w:p>
        </w:tc>
      </w:tr>
      <w:tr w:rsidR="00F96F15" w:rsidRPr="00D07897" w14:paraId="2666729B" w14:textId="77777777" w:rsidTr="00D05D5B">
        <w:trPr>
          <w:trHeight w:val="305"/>
        </w:trPr>
        <w:tc>
          <w:tcPr>
            <w:tcW w:w="2857" w:type="dxa"/>
            <w:gridSpan w:val="2"/>
            <w:vMerge/>
          </w:tcPr>
          <w:p w14:paraId="5DC6738A" w14:textId="77777777" w:rsidR="009F0269" w:rsidRPr="00D07897" w:rsidRDefault="009F0269" w:rsidP="00F96F15">
            <w:pPr>
              <w:spacing w:line="360" w:lineRule="auto"/>
              <w:jc w:val="both"/>
              <w:rPr>
                <w:rFonts w:ascii="Book Antiqua" w:hAnsi="Book Antiqua" w:cs="Arial"/>
                <w:color w:val="000000" w:themeColor="text1"/>
              </w:rPr>
            </w:pPr>
          </w:p>
        </w:tc>
        <w:tc>
          <w:tcPr>
            <w:tcW w:w="3806" w:type="dxa"/>
            <w:gridSpan w:val="2"/>
          </w:tcPr>
          <w:p w14:paraId="214B6FCB" w14:textId="09A2CD5C"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8 (11.1)</w:t>
            </w:r>
          </w:p>
        </w:tc>
        <w:tc>
          <w:tcPr>
            <w:tcW w:w="1896" w:type="dxa"/>
            <w:gridSpan w:val="2"/>
          </w:tcPr>
          <w:p w14:paraId="660C7F7B" w14:textId="1760FB30"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37 (51.4)</w:t>
            </w:r>
          </w:p>
        </w:tc>
        <w:tc>
          <w:tcPr>
            <w:tcW w:w="2504" w:type="dxa"/>
            <w:gridSpan w:val="2"/>
          </w:tcPr>
          <w:p w14:paraId="08838F7E" w14:textId="77777777"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27 (37.5%)</w:t>
            </w:r>
          </w:p>
        </w:tc>
        <w:tc>
          <w:tcPr>
            <w:tcW w:w="2785" w:type="dxa"/>
            <w:gridSpan w:val="2"/>
          </w:tcPr>
          <w:p w14:paraId="3A248747" w14:textId="3658C30C" w:rsidR="009F0269" w:rsidRPr="00D07897" w:rsidRDefault="009F0269" w:rsidP="00F96F15">
            <w:pPr>
              <w:spacing w:line="360" w:lineRule="auto"/>
              <w:jc w:val="both"/>
              <w:rPr>
                <w:rFonts w:ascii="Book Antiqua" w:hAnsi="Book Antiqua" w:cs="Arial"/>
                <w:color w:val="000000" w:themeColor="text1"/>
              </w:rPr>
            </w:pPr>
            <w:proofErr w:type="spellStart"/>
            <w:r w:rsidRPr="00D07897">
              <w:rPr>
                <w:rFonts w:ascii="Book Antiqua" w:hAnsi="Book Antiqua" w:cs="Arial"/>
                <w:color w:val="000000" w:themeColor="text1"/>
              </w:rPr>
              <w:t>Bamba</w:t>
            </w:r>
            <w:proofErr w:type="spellEnd"/>
            <w:r w:rsidRPr="00D07897">
              <w:rPr>
                <w:rFonts w:ascii="Book Antiqua" w:hAnsi="Book Antiqua" w:cs="Arial"/>
                <w:color w:val="000000" w:themeColor="text1"/>
              </w:rPr>
              <w:t xml:space="preserve"> </w:t>
            </w:r>
            <w:r w:rsidR="00C24200" w:rsidRPr="00D07897">
              <w:rPr>
                <w:rFonts w:ascii="Book Antiqua" w:hAnsi="Book Antiqua" w:cs="Arial"/>
                <w:i/>
                <w:color w:val="000000" w:themeColor="text1"/>
              </w:rPr>
              <w:t>et al</w:t>
            </w:r>
            <w:r w:rsidR="00F06271"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F06271"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[9]</w:t>
            </w:r>
            <w:r w:rsidR="00F06271" w:rsidRPr="00D07897">
              <w:rPr>
                <w:rFonts w:ascii="Book Antiqua" w:hAnsi="Book Antiqua" w:cs="Arial"/>
                <w:color w:val="000000" w:themeColor="text1"/>
              </w:rPr>
              <w:fldChar w:fldCharType="end"/>
            </w:r>
          </w:p>
        </w:tc>
      </w:tr>
      <w:tr w:rsidR="00F96F15" w:rsidRPr="00D07897" w14:paraId="752F52A7" w14:textId="77777777" w:rsidTr="00D05D5B">
        <w:trPr>
          <w:trHeight w:val="290"/>
        </w:trPr>
        <w:tc>
          <w:tcPr>
            <w:tcW w:w="2857" w:type="dxa"/>
            <w:gridSpan w:val="2"/>
            <w:vMerge/>
          </w:tcPr>
          <w:p w14:paraId="4347668C" w14:textId="77777777" w:rsidR="009F0269" w:rsidRPr="00D07897" w:rsidRDefault="009F0269" w:rsidP="00F96F15">
            <w:pPr>
              <w:spacing w:line="360" w:lineRule="auto"/>
              <w:jc w:val="both"/>
              <w:rPr>
                <w:rFonts w:ascii="Book Antiqua" w:hAnsi="Book Antiqua" w:cs="Arial"/>
                <w:color w:val="000000" w:themeColor="text1"/>
              </w:rPr>
            </w:pPr>
          </w:p>
        </w:tc>
        <w:tc>
          <w:tcPr>
            <w:tcW w:w="3806" w:type="dxa"/>
            <w:gridSpan w:val="2"/>
          </w:tcPr>
          <w:p w14:paraId="2535D237" w14:textId="45ACF97F"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8 (20.0)</w:t>
            </w:r>
          </w:p>
        </w:tc>
        <w:tc>
          <w:tcPr>
            <w:tcW w:w="1896" w:type="dxa"/>
            <w:gridSpan w:val="2"/>
          </w:tcPr>
          <w:p w14:paraId="1CCE5B27" w14:textId="658AC2D3"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17 (42.5)</w:t>
            </w:r>
          </w:p>
        </w:tc>
        <w:tc>
          <w:tcPr>
            <w:tcW w:w="2504" w:type="dxa"/>
            <w:gridSpan w:val="2"/>
          </w:tcPr>
          <w:p w14:paraId="338BB279" w14:textId="77777777"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15 (37.5%)</w:t>
            </w:r>
          </w:p>
        </w:tc>
        <w:tc>
          <w:tcPr>
            <w:tcW w:w="2785" w:type="dxa"/>
            <w:gridSpan w:val="2"/>
          </w:tcPr>
          <w:p w14:paraId="114A947E" w14:textId="10D7A689"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Takaoka </w:t>
            </w:r>
            <w:r w:rsidR="00C24200" w:rsidRPr="00D07897">
              <w:rPr>
                <w:rFonts w:ascii="Book Antiqua" w:hAnsi="Book Antiqua" w:cs="Arial"/>
                <w:i/>
                <w:color w:val="000000" w:themeColor="text1"/>
              </w:rPr>
              <w:t>et al</w:t>
            </w:r>
            <w:r w:rsidR="00F06271"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F06271"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[13]</w:t>
            </w:r>
            <w:r w:rsidR="00F06271" w:rsidRPr="00D07897">
              <w:rPr>
                <w:rFonts w:ascii="Book Antiqua" w:hAnsi="Book Antiqua" w:cs="Arial"/>
                <w:color w:val="000000" w:themeColor="text1"/>
              </w:rPr>
              <w:fldChar w:fldCharType="end"/>
            </w:r>
          </w:p>
        </w:tc>
      </w:tr>
      <w:tr w:rsidR="00F96F15" w:rsidRPr="00D07897" w14:paraId="2CAE35E5" w14:textId="77777777" w:rsidTr="00D05D5B">
        <w:trPr>
          <w:trHeight w:val="305"/>
        </w:trPr>
        <w:tc>
          <w:tcPr>
            <w:tcW w:w="2857" w:type="dxa"/>
            <w:gridSpan w:val="2"/>
            <w:vMerge/>
            <w:tcBorders>
              <w:bottom w:val="single" w:sz="4" w:space="0" w:color="auto"/>
            </w:tcBorders>
          </w:tcPr>
          <w:p w14:paraId="3382C94E" w14:textId="77777777" w:rsidR="009F0269" w:rsidRPr="00D07897" w:rsidRDefault="009F0269" w:rsidP="00F96F15">
            <w:pPr>
              <w:spacing w:line="360" w:lineRule="auto"/>
              <w:jc w:val="both"/>
              <w:rPr>
                <w:rFonts w:ascii="Book Antiqua" w:hAnsi="Book Antiqua" w:cs="Arial"/>
                <w:color w:val="000000" w:themeColor="text1"/>
              </w:rPr>
            </w:pPr>
          </w:p>
        </w:tc>
        <w:tc>
          <w:tcPr>
            <w:tcW w:w="3806" w:type="dxa"/>
            <w:gridSpan w:val="2"/>
            <w:tcBorders>
              <w:bottom w:val="single" w:sz="4" w:space="0" w:color="auto"/>
            </w:tcBorders>
          </w:tcPr>
          <w:p w14:paraId="3B7179E5" w14:textId="17EC4406"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48 (87.3)</w:t>
            </w:r>
          </w:p>
        </w:tc>
        <w:tc>
          <w:tcPr>
            <w:tcW w:w="4400" w:type="dxa"/>
            <w:gridSpan w:val="4"/>
            <w:tcBorders>
              <w:bottom w:val="single" w:sz="4" w:space="0" w:color="auto"/>
            </w:tcBorders>
          </w:tcPr>
          <w:p w14:paraId="0B5E27C0" w14:textId="5DFA4736"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7 (12.7)</w:t>
            </w:r>
          </w:p>
        </w:tc>
        <w:tc>
          <w:tcPr>
            <w:tcW w:w="2785" w:type="dxa"/>
            <w:gridSpan w:val="2"/>
            <w:tcBorders>
              <w:bottom w:val="single" w:sz="4" w:space="0" w:color="auto"/>
            </w:tcBorders>
          </w:tcPr>
          <w:p w14:paraId="3627B742" w14:textId="7B507270" w:rsidR="009F0269" w:rsidRPr="00D07897" w:rsidRDefault="009F026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Jansen </w:t>
            </w:r>
            <w:r w:rsidR="00C24200" w:rsidRPr="00D07897">
              <w:rPr>
                <w:rFonts w:ascii="Book Antiqua" w:hAnsi="Book Antiqua" w:cs="Arial"/>
                <w:i/>
                <w:color w:val="000000" w:themeColor="text1"/>
              </w:rPr>
              <w:t>et al</w:t>
            </w:r>
            <w:r w:rsidR="00F06271"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00F06271"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[8]</w:t>
            </w:r>
            <w:r w:rsidR="00F06271" w:rsidRPr="00D07897">
              <w:rPr>
                <w:rFonts w:ascii="Book Antiqua" w:hAnsi="Book Antiqua" w:cs="Arial"/>
                <w:color w:val="000000" w:themeColor="text1"/>
              </w:rPr>
              <w:fldChar w:fldCharType="end"/>
            </w:r>
          </w:p>
        </w:tc>
      </w:tr>
    </w:tbl>
    <w:p w14:paraId="46EFB5F8" w14:textId="7122B0CF" w:rsidR="00150811" w:rsidRPr="00D07897" w:rsidRDefault="006D4D69" w:rsidP="00F96F15">
      <w:pPr>
        <w:spacing w:line="360" w:lineRule="auto"/>
        <w:jc w:val="both"/>
        <w:rPr>
          <w:rFonts w:ascii="Book Antiqua" w:eastAsia="等线" w:hAnsi="Book Antiqua" w:cs="Arial"/>
          <w:color w:val="000000" w:themeColor="text1"/>
          <w:lang w:eastAsia="zh-CN"/>
        </w:rPr>
      </w:pPr>
      <w:r w:rsidRPr="00D07897">
        <w:rPr>
          <w:rFonts w:ascii="Book Antiqua" w:eastAsia="等线" w:hAnsi="Book Antiqua" w:cs="Arial" w:hint="eastAsia"/>
          <w:color w:val="000000" w:themeColor="text1"/>
          <w:lang w:eastAsia="zh-CN"/>
        </w:rPr>
        <w:t>N</w:t>
      </w:r>
      <w:r w:rsidRPr="00D07897">
        <w:rPr>
          <w:rFonts w:ascii="Book Antiqua" w:eastAsia="等线" w:hAnsi="Book Antiqua" w:cs="Arial"/>
          <w:color w:val="000000" w:themeColor="text1"/>
          <w:lang w:eastAsia="zh-CN"/>
        </w:rPr>
        <w:t xml:space="preserve">AT: </w:t>
      </w:r>
      <w:r w:rsidRPr="00D07897">
        <w:rPr>
          <w:rFonts w:ascii="Book Antiqua" w:hAnsi="Book Antiqua" w:cs="Arial"/>
          <w:color w:val="000000" w:themeColor="text1"/>
        </w:rPr>
        <w:t>Nutrition assessment tools; RD/GI: Registered dietitian/Gastroenterologist.</w:t>
      </w:r>
    </w:p>
    <w:p w14:paraId="36607923" w14:textId="77777777" w:rsidR="00150811" w:rsidRPr="00D07897" w:rsidRDefault="00150811">
      <w:pPr>
        <w:rPr>
          <w:rFonts w:ascii="Book Antiqua" w:hAnsi="Book Antiqua" w:cs="Arial"/>
          <w:color w:val="000000" w:themeColor="text1"/>
        </w:rPr>
      </w:pPr>
      <w:r w:rsidRPr="00D07897">
        <w:rPr>
          <w:rFonts w:ascii="Book Antiqua" w:hAnsi="Book Antiqua" w:cs="Arial"/>
          <w:color w:val="000000" w:themeColor="text1"/>
        </w:rPr>
        <w:br w:type="page"/>
      </w:r>
    </w:p>
    <w:p w14:paraId="38E73CF9" w14:textId="1DB1E5C0" w:rsidR="00AF71E4" w:rsidRPr="00D07897" w:rsidRDefault="00AF71E4" w:rsidP="00F96F15">
      <w:pPr>
        <w:spacing w:line="360" w:lineRule="auto"/>
        <w:jc w:val="both"/>
        <w:rPr>
          <w:rFonts w:ascii="Book Antiqua" w:hAnsi="Book Antiqua" w:cs="Arial"/>
          <w:b/>
          <w:bCs/>
          <w:color w:val="000000" w:themeColor="text1"/>
        </w:rPr>
      </w:pPr>
      <w:r w:rsidRPr="00D07897">
        <w:rPr>
          <w:rFonts w:ascii="Book Antiqua" w:hAnsi="Book Antiqua" w:cs="Arial"/>
          <w:b/>
          <w:bCs/>
          <w:color w:val="000000" w:themeColor="text1"/>
        </w:rPr>
        <w:lastRenderedPageBreak/>
        <w:t xml:space="preserve">Table </w:t>
      </w:r>
      <w:r w:rsidR="00010CD2" w:rsidRPr="00D07897">
        <w:rPr>
          <w:rFonts w:ascii="Book Antiqua" w:hAnsi="Book Antiqua" w:cs="Arial"/>
          <w:b/>
          <w:bCs/>
          <w:color w:val="000000" w:themeColor="text1"/>
        </w:rPr>
        <w:t>6</w:t>
      </w:r>
      <w:r w:rsidRPr="00D07897">
        <w:rPr>
          <w:rFonts w:ascii="Book Antiqua" w:hAnsi="Book Antiqua" w:cs="Arial"/>
          <w:b/>
          <w:bCs/>
          <w:color w:val="000000" w:themeColor="text1"/>
        </w:rPr>
        <w:t xml:space="preserve"> N</w:t>
      </w:r>
      <w:r w:rsidR="00010CD2" w:rsidRPr="00D07897">
        <w:rPr>
          <w:rFonts w:ascii="Book Antiqua" w:hAnsi="Book Antiqua" w:cs="Arial"/>
          <w:b/>
          <w:bCs/>
          <w:color w:val="000000" w:themeColor="text1"/>
        </w:rPr>
        <w:t xml:space="preserve">utrition </w:t>
      </w:r>
      <w:r w:rsidR="006D4D69" w:rsidRPr="00D07897">
        <w:rPr>
          <w:rFonts w:ascii="Book Antiqua" w:hAnsi="Book Antiqua" w:cs="Arial"/>
          <w:b/>
          <w:bCs/>
          <w:color w:val="000000" w:themeColor="text1"/>
        </w:rPr>
        <w:t>screening tools correlating with nutrition assessment tools</w:t>
      </w:r>
    </w:p>
    <w:tbl>
      <w:tblPr>
        <w:tblW w:w="5000" w:type="pct"/>
        <w:tblLook w:val="04A0" w:firstRow="1" w:lastRow="0" w:firstColumn="1" w:lastColumn="0" w:noHBand="0" w:noVBand="1"/>
      </w:tblPr>
      <w:tblGrid>
        <w:gridCol w:w="2450"/>
        <w:gridCol w:w="1798"/>
        <w:gridCol w:w="5525"/>
        <w:gridCol w:w="2423"/>
        <w:gridCol w:w="2420"/>
      </w:tblGrid>
      <w:tr w:rsidR="00F96F15" w:rsidRPr="00D07897" w14:paraId="5C90A41B" w14:textId="77777777" w:rsidTr="006D4D69">
        <w:tc>
          <w:tcPr>
            <w:tcW w:w="838" w:type="pct"/>
            <w:tcBorders>
              <w:top w:val="single" w:sz="4" w:space="0" w:color="auto"/>
              <w:bottom w:val="single" w:sz="4" w:space="0" w:color="auto"/>
            </w:tcBorders>
            <w:shd w:val="clear" w:color="auto" w:fill="auto"/>
            <w:vAlign w:val="center"/>
          </w:tcPr>
          <w:p w14:paraId="1A1AE67D" w14:textId="77777777" w:rsidR="00AF71E4" w:rsidRPr="00D07897" w:rsidRDefault="00AF71E4"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NST</w:t>
            </w:r>
          </w:p>
        </w:tc>
        <w:tc>
          <w:tcPr>
            <w:tcW w:w="615" w:type="pct"/>
            <w:tcBorders>
              <w:top w:val="single" w:sz="4" w:space="0" w:color="auto"/>
              <w:bottom w:val="single" w:sz="4" w:space="0" w:color="auto"/>
            </w:tcBorders>
            <w:shd w:val="clear" w:color="auto" w:fill="auto"/>
            <w:vAlign w:val="center"/>
          </w:tcPr>
          <w:p w14:paraId="15090E92" w14:textId="77777777" w:rsidR="00AF71E4" w:rsidRPr="00D07897" w:rsidRDefault="00AF71E4"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Comparative NAT measure</w:t>
            </w:r>
          </w:p>
        </w:tc>
        <w:tc>
          <w:tcPr>
            <w:tcW w:w="1890" w:type="pct"/>
            <w:tcBorders>
              <w:top w:val="single" w:sz="4" w:space="0" w:color="auto"/>
              <w:bottom w:val="single" w:sz="4" w:space="0" w:color="auto"/>
            </w:tcBorders>
            <w:shd w:val="clear" w:color="auto" w:fill="auto"/>
            <w:vAlign w:val="center"/>
          </w:tcPr>
          <w:p w14:paraId="1780C39E" w14:textId="77777777" w:rsidR="00AF71E4" w:rsidRPr="00D07897" w:rsidRDefault="00AF71E4"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Statistical Variable</w:t>
            </w:r>
          </w:p>
        </w:tc>
        <w:tc>
          <w:tcPr>
            <w:tcW w:w="829" w:type="pct"/>
            <w:tcBorders>
              <w:top w:val="single" w:sz="4" w:space="0" w:color="auto"/>
              <w:bottom w:val="single" w:sz="4" w:space="0" w:color="auto"/>
            </w:tcBorders>
            <w:shd w:val="clear" w:color="auto" w:fill="auto"/>
            <w:vAlign w:val="center"/>
          </w:tcPr>
          <w:p w14:paraId="41DD504D" w14:textId="77777777" w:rsidR="00AF71E4" w:rsidRPr="00D07897" w:rsidRDefault="00AF71E4"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Value</w:t>
            </w:r>
          </w:p>
        </w:tc>
        <w:tc>
          <w:tcPr>
            <w:tcW w:w="828" w:type="pct"/>
            <w:tcBorders>
              <w:top w:val="single" w:sz="4" w:space="0" w:color="auto"/>
              <w:bottom w:val="single" w:sz="4" w:space="0" w:color="auto"/>
            </w:tcBorders>
            <w:shd w:val="clear" w:color="auto" w:fill="auto"/>
            <w:vAlign w:val="center"/>
          </w:tcPr>
          <w:p w14:paraId="625E73E3" w14:textId="77777777" w:rsidR="00AF71E4" w:rsidRPr="00D07897" w:rsidRDefault="00AF71E4"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Study ID</w:t>
            </w:r>
          </w:p>
        </w:tc>
      </w:tr>
      <w:tr w:rsidR="00F96F15" w:rsidRPr="00D07897" w14:paraId="08D6001D" w14:textId="77777777" w:rsidTr="006D4D69">
        <w:tc>
          <w:tcPr>
            <w:tcW w:w="838" w:type="pct"/>
            <w:vMerge w:val="restart"/>
            <w:tcBorders>
              <w:top w:val="single" w:sz="4" w:space="0" w:color="auto"/>
            </w:tcBorders>
            <w:shd w:val="clear" w:color="auto" w:fill="auto"/>
          </w:tcPr>
          <w:p w14:paraId="6AC870AF" w14:textId="77777777" w:rsidR="00C95430" w:rsidRPr="00D07897" w:rsidRDefault="00C95430" w:rsidP="00F96F15">
            <w:pPr>
              <w:spacing w:line="360" w:lineRule="auto"/>
              <w:jc w:val="both"/>
              <w:rPr>
                <w:rFonts w:ascii="Book Antiqua" w:hAnsi="Book Antiqua" w:cs="Arial"/>
                <w:color w:val="000000" w:themeColor="text1"/>
              </w:rPr>
            </w:pPr>
          </w:p>
          <w:p w14:paraId="2C3B3CA7" w14:textId="77777777" w:rsidR="00C95430" w:rsidRPr="00D07897" w:rsidRDefault="00C95430" w:rsidP="00F96F15">
            <w:pPr>
              <w:spacing w:line="360" w:lineRule="auto"/>
              <w:jc w:val="both"/>
              <w:rPr>
                <w:rFonts w:ascii="Book Antiqua" w:hAnsi="Book Antiqua" w:cs="Arial"/>
                <w:color w:val="000000" w:themeColor="text1"/>
              </w:rPr>
            </w:pPr>
          </w:p>
          <w:p w14:paraId="33F47514" w14:textId="2697E50F" w:rsidR="00067E27" w:rsidRPr="00D07897" w:rsidRDefault="00067E27"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MUST</w:t>
            </w:r>
          </w:p>
          <w:p w14:paraId="443C4EDE" w14:textId="77777777" w:rsidR="00067E27" w:rsidRPr="00D07897" w:rsidRDefault="00067E27" w:rsidP="00F96F15">
            <w:pPr>
              <w:spacing w:line="360" w:lineRule="auto"/>
              <w:jc w:val="both"/>
              <w:rPr>
                <w:rFonts w:ascii="Book Antiqua" w:hAnsi="Book Antiqua" w:cs="Arial"/>
                <w:color w:val="000000" w:themeColor="text1"/>
              </w:rPr>
            </w:pPr>
          </w:p>
        </w:tc>
        <w:tc>
          <w:tcPr>
            <w:tcW w:w="615" w:type="pct"/>
            <w:tcBorders>
              <w:top w:val="single" w:sz="4" w:space="0" w:color="auto"/>
            </w:tcBorders>
            <w:shd w:val="clear" w:color="auto" w:fill="auto"/>
          </w:tcPr>
          <w:p w14:paraId="58AA62E1" w14:textId="77777777" w:rsidR="00067E27" w:rsidRPr="00D07897" w:rsidRDefault="00067E27"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FFMI</w:t>
            </w:r>
          </w:p>
        </w:tc>
        <w:tc>
          <w:tcPr>
            <w:tcW w:w="1890" w:type="pct"/>
            <w:tcBorders>
              <w:top w:val="single" w:sz="4" w:space="0" w:color="auto"/>
            </w:tcBorders>
            <w:shd w:val="clear" w:color="auto" w:fill="auto"/>
          </w:tcPr>
          <w:p w14:paraId="1BA02F7A" w14:textId="604DFC43" w:rsidR="00067E27" w:rsidRPr="00D07897" w:rsidRDefault="00067E27"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Cohen’s Kappa (low/normal FFMI </w:t>
            </w:r>
            <w:r w:rsidRPr="00D07897">
              <w:rPr>
                <w:rFonts w:ascii="Book Antiqua" w:hAnsi="Book Antiqua" w:cs="Arial"/>
                <w:i/>
                <w:iCs/>
                <w:color w:val="000000" w:themeColor="text1"/>
              </w:rPr>
              <w:t>vs</w:t>
            </w:r>
            <w:r w:rsidRPr="00D07897">
              <w:rPr>
                <w:rFonts w:ascii="Book Antiqua" w:hAnsi="Book Antiqua" w:cs="Arial"/>
                <w:color w:val="000000" w:themeColor="text1"/>
              </w:rPr>
              <w:t xml:space="preserve"> low MUST)</w:t>
            </w:r>
          </w:p>
        </w:tc>
        <w:tc>
          <w:tcPr>
            <w:tcW w:w="829" w:type="pct"/>
            <w:tcBorders>
              <w:top w:val="single" w:sz="4" w:space="0" w:color="auto"/>
            </w:tcBorders>
            <w:shd w:val="clear" w:color="auto" w:fill="auto"/>
          </w:tcPr>
          <w:p w14:paraId="6B4A17B6" w14:textId="65C84441" w:rsidR="00067E27" w:rsidRPr="00D07897" w:rsidRDefault="00067E27"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κ</w:t>
            </w:r>
            <w:r w:rsidR="006D4D69" w:rsidRPr="00D07897">
              <w:rPr>
                <w:rFonts w:ascii="Book Antiqua" w:hAnsi="Book Antiqua" w:cs="Arial"/>
                <w:color w:val="000000" w:themeColor="text1"/>
              </w:rPr>
              <w:t xml:space="preserve"> </w:t>
            </w:r>
            <w:r w:rsidRPr="00D07897">
              <w:rPr>
                <w:rFonts w:ascii="Book Antiqua" w:hAnsi="Book Antiqua" w:cs="Arial"/>
                <w:color w:val="000000" w:themeColor="text1"/>
              </w:rPr>
              <w:t>= 0.53 (95%CI: 0.39-0.67)</w:t>
            </w:r>
          </w:p>
        </w:tc>
        <w:tc>
          <w:tcPr>
            <w:tcW w:w="828" w:type="pct"/>
            <w:tcBorders>
              <w:top w:val="single" w:sz="4" w:space="0" w:color="auto"/>
            </w:tcBorders>
            <w:shd w:val="clear" w:color="auto" w:fill="auto"/>
          </w:tcPr>
          <w:p w14:paraId="147C8A65" w14:textId="24CB567A" w:rsidR="00067E27" w:rsidRPr="00D07897" w:rsidRDefault="00067E27" w:rsidP="00F96F15">
            <w:pPr>
              <w:spacing w:line="360" w:lineRule="auto"/>
              <w:jc w:val="both"/>
              <w:rPr>
                <w:rFonts w:ascii="Book Antiqua" w:hAnsi="Book Antiqua" w:cs="Arial"/>
                <w:color w:val="000000" w:themeColor="text1"/>
              </w:rPr>
            </w:pPr>
            <w:proofErr w:type="spellStart"/>
            <w:r w:rsidRPr="00D07897">
              <w:rPr>
                <w:rFonts w:ascii="Book Antiqua" w:hAnsi="Book Antiqua" w:cs="Arial"/>
                <w:color w:val="000000" w:themeColor="text1"/>
              </w:rPr>
              <w:t>Csontos</w:t>
            </w:r>
            <w:proofErr w:type="spellEnd"/>
            <w:r w:rsidRPr="00D07897">
              <w:rPr>
                <w:rFonts w:ascii="Book Antiqua" w:hAnsi="Book Antiqua" w:cs="Arial"/>
                <w:color w:val="000000" w:themeColor="text1"/>
              </w:rPr>
              <w:t xml:space="preserve"> </w:t>
            </w:r>
            <w:r w:rsidR="00C24200" w:rsidRPr="00D07897">
              <w:rPr>
                <w:rFonts w:ascii="Book Antiqua" w:hAnsi="Book Antiqua" w:cs="Arial"/>
                <w:i/>
                <w:color w:val="000000" w:themeColor="text1"/>
              </w:rPr>
              <w:t>et al</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{"citationItems":[{"id":"ITEM-1","itemData":{"DOI":"https://dx.doi.org/10.17235/reed.2016.4557/2016","ISSN":"1130-0108","abstract":"The purpose of malnutrition screening is to predict the probability of a worse outcome due to nutritional factors. The Malnutrition Universal Screening Tool (MUST) can be used for screening in inflammatory bowel disease (IBD); however, it does not provide details about body composition. Our aim was to assess the body composition and combine this with the MUST method to screen risk of malnutrition and sarcopenia. A total of 173 IBD outpatients were enrolled in this cross-sectional study. The MUST scale indicated 21.4% of IBD patients to be at risk of malnutrition. A risk of sarcopenia was detected in 27.7%. However, one third of these patients were not considered to be at risk by their MUST score. Furthermore, Crohn's disease (CD) patients had a strongly unfavorable fat-free mass index (FFMI) value compared to ulcerative colitis (UC) patients, and these differences were significant among men (FFMI: 18.62 +/- 2.16 vs 19.85 +/- 2.22, p = 0.02, in CD and UC males, respectively). As sarcopenia is a relevant prognostic factor, the MUST method should be expanded to include body composition analysis to detect more IBD patients at risk of malnutrition and sarcopenia in order to start their nutritional therapy immediately.","author":[{"dropping-particle":"","family":"Csontos","given":"Agnes Anna","non-dropping-particle":"","parse-names":false,"suffix":""},{"dropping-particle":"","family":"Molnar","given":"Andrea","non-dropping-particle":"","parse-names":false,"suffix":""},{"dropping-particle":"","family":"Piri","given":"Zsolt","non-dropping-particle":"","parse-names":false,"suffix":""},{"dropping-particle":"","family":"Palfi","given":"Erzsebet","non-dropping-particle":"","parse-names":false,"suffix":""},{"dropping-particle":"","family":"Miheller","given":"Pal","non-dropping-particle":"","parse-names":false,"suffix":""}],"container-title":"Revista espanola de enfermedades digestivas : organo oficial de la Sociedad Espanola de Patologia Digestiva","id":"ITEM-1","issue":"1","issued":{"date-parts":[["2017"]]},"page":"26-32","publisher-place":"Spain","title":"Malnutrition risk questionnaire combined with body composition measurement in malnutrition screening in inflammatory bowel disease.","type":"article-journal","volume":"109"},"uris":["http://www.mendeley.com/documents/?uuid=a2e30909-7161-4f77-ba2e-199b14c8197c"]}],"mendeley":{"formattedCitation":"&lt;sup&gt;[30]&lt;/sup&gt;","plainTextFormattedCitation":"[30]","previouslyFormattedCitation":"&lt;sup&gt;[29]&lt;/sup&gt;"},"properties":{"noteIndex":0},"schema":"https://github.com/citation-style-language/schema/raw/master/csl-citation.json"}</w:instrText>
            </w:r>
            <w:r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[30]</w:t>
            </w:r>
            <w:r w:rsidRPr="00D07897">
              <w:rPr>
                <w:rFonts w:ascii="Book Antiqua" w:hAnsi="Book Antiqua" w:cs="Arial"/>
                <w:color w:val="000000" w:themeColor="text1"/>
              </w:rPr>
              <w:fldChar w:fldCharType="end"/>
            </w:r>
          </w:p>
        </w:tc>
      </w:tr>
      <w:tr w:rsidR="00F96F15" w:rsidRPr="00D07897" w14:paraId="0B49C4D2" w14:textId="77777777" w:rsidTr="006D4D69">
        <w:tc>
          <w:tcPr>
            <w:tcW w:w="838" w:type="pct"/>
            <w:vMerge/>
            <w:shd w:val="clear" w:color="auto" w:fill="auto"/>
          </w:tcPr>
          <w:p w14:paraId="14CF0D96" w14:textId="77777777" w:rsidR="00067E27" w:rsidRPr="00D07897" w:rsidRDefault="00067E27" w:rsidP="00F96F15">
            <w:pPr>
              <w:spacing w:line="360" w:lineRule="auto"/>
              <w:jc w:val="both"/>
              <w:rPr>
                <w:rFonts w:ascii="Book Antiqua" w:hAnsi="Book Antiqua" w:cs="Arial"/>
                <w:color w:val="000000" w:themeColor="text1"/>
              </w:rPr>
            </w:pPr>
          </w:p>
        </w:tc>
        <w:tc>
          <w:tcPr>
            <w:tcW w:w="615" w:type="pct"/>
            <w:shd w:val="clear" w:color="auto" w:fill="auto"/>
          </w:tcPr>
          <w:p w14:paraId="6648FE0B" w14:textId="77777777" w:rsidR="00067E27" w:rsidRPr="00D07897" w:rsidRDefault="00067E27"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SMI</w:t>
            </w:r>
          </w:p>
        </w:tc>
        <w:tc>
          <w:tcPr>
            <w:tcW w:w="1890" w:type="pct"/>
            <w:shd w:val="clear" w:color="auto" w:fill="auto"/>
          </w:tcPr>
          <w:p w14:paraId="1946E1F0" w14:textId="2125D5D3" w:rsidR="00067E27" w:rsidRPr="00D07897" w:rsidRDefault="00067E27"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Logistic Regression (MUST 0,1 </w:t>
            </w:r>
            <w:r w:rsidRPr="00D07897">
              <w:rPr>
                <w:rFonts w:ascii="Book Antiqua" w:hAnsi="Book Antiqua" w:cs="Arial"/>
                <w:i/>
                <w:iCs/>
                <w:color w:val="000000" w:themeColor="text1"/>
              </w:rPr>
              <w:t>vs</w:t>
            </w:r>
            <w:r w:rsidRPr="00D07897">
              <w:rPr>
                <w:rFonts w:ascii="Book Antiqua" w:hAnsi="Book Antiqua" w:cs="Arial"/>
                <w:color w:val="000000" w:themeColor="text1"/>
              </w:rPr>
              <w:t xml:space="preserve"> </w:t>
            </w:r>
            <w:r w:rsidRPr="00D07897">
              <w:rPr>
                <w:rFonts w:ascii="Book Antiqua" w:hAnsi="Book Antiqua" w:cs="Arial"/>
                <w:color w:val="000000" w:themeColor="text1"/>
              </w:rPr>
              <w:sym w:font="Symbol" w:char="F0B3"/>
            </w:r>
            <w:r w:rsidR="006D4D69" w:rsidRPr="00D07897">
              <w:rPr>
                <w:rFonts w:ascii="Book Antiqua" w:hAnsi="Book Antiqua" w:cs="Arial"/>
                <w:color w:val="000000" w:themeColor="text1"/>
              </w:rPr>
              <w:t xml:space="preserve"> </w:t>
            </w:r>
            <w:r w:rsidRPr="00D07897">
              <w:rPr>
                <w:rFonts w:ascii="Book Antiqua" w:hAnsi="Book Antiqua" w:cs="Arial"/>
                <w:color w:val="000000" w:themeColor="text1"/>
              </w:rPr>
              <w:t>2)</w:t>
            </w:r>
          </w:p>
        </w:tc>
        <w:tc>
          <w:tcPr>
            <w:tcW w:w="829" w:type="pct"/>
            <w:shd w:val="clear" w:color="auto" w:fill="auto"/>
          </w:tcPr>
          <w:p w14:paraId="4F5663EB" w14:textId="205D9EA8" w:rsidR="00067E27" w:rsidRPr="00D07897" w:rsidRDefault="00067E27" w:rsidP="00F96F15">
            <w:pPr>
              <w:spacing w:line="360" w:lineRule="auto"/>
              <w:jc w:val="both"/>
              <w:rPr>
                <w:rFonts w:ascii="Book Antiqua" w:hAnsi="Book Antiqua" w:cs="Arial"/>
                <w:color w:val="000000" w:themeColor="text1"/>
                <w:vertAlign w:val="superscript"/>
              </w:rPr>
            </w:pPr>
            <w:r w:rsidRPr="00D07897">
              <w:rPr>
                <w:rFonts w:ascii="Book Antiqua" w:hAnsi="Book Antiqua" w:cs="Arial"/>
                <w:color w:val="000000" w:themeColor="text1"/>
              </w:rPr>
              <w:t xml:space="preserve">OR: 0.934, </w:t>
            </w:r>
            <w:r w:rsidR="006D4D69" w:rsidRPr="00D07897">
              <w:rPr>
                <w:rFonts w:ascii="Book Antiqua" w:hAnsi="Book Antiqua" w:cs="Arial"/>
                <w:i/>
                <w:iCs/>
                <w:color w:val="000000" w:themeColor="text1"/>
              </w:rPr>
              <w:t>P</w:t>
            </w:r>
            <w:r w:rsidR="006D4D69"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D4D69" w:rsidRPr="00D07897">
              <w:rPr>
                <w:rFonts w:ascii="Book Antiqua" w:hAnsi="Book Antiqua" w:cs="Arial"/>
                <w:color w:val="000000" w:themeColor="text1"/>
              </w:rPr>
              <w:t xml:space="preserve"> </w:t>
            </w:r>
            <w:r w:rsidRPr="00D07897">
              <w:rPr>
                <w:rFonts w:ascii="Book Antiqua" w:hAnsi="Book Antiqua" w:cs="Arial"/>
                <w:color w:val="000000" w:themeColor="text1"/>
              </w:rPr>
              <w:t>0.014</w:t>
            </w:r>
            <w:r w:rsidR="006160EF" w:rsidRPr="00D07897">
              <w:rPr>
                <w:rFonts w:ascii="Book Antiqua" w:hAnsi="Book Antiqua" w:cs="Arial"/>
                <w:color w:val="000000" w:themeColor="text1"/>
                <w:vertAlign w:val="superscript"/>
              </w:rPr>
              <w:t>a</w:t>
            </w:r>
          </w:p>
        </w:tc>
        <w:tc>
          <w:tcPr>
            <w:tcW w:w="828" w:type="pct"/>
            <w:shd w:val="clear" w:color="auto" w:fill="auto"/>
          </w:tcPr>
          <w:p w14:paraId="4043FCE5" w14:textId="793CC41E" w:rsidR="00067E27" w:rsidRPr="00D07897" w:rsidRDefault="00067E27" w:rsidP="00F96F15">
            <w:pPr>
              <w:spacing w:line="360" w:lineRule="auto"/>
              <w:jc w:val="both"/>
              <w:rPr>
                <w:rFonts w:ascii="Book Antiqua" w:hAnsi="Book Antiqua" w:cs="Arial"/>
                <w:color w:val="000000" w:themeColor="text1"/>
              </w:rPr>
            </w:pPr>
            <w:proofErr w:type="spellStart"/>
            <w:r w:rsidRPr="00D07897">
              <w:rPr>
                <w:rFonts w:ascii="Book Antiqua" w:hAnsi="Book Antiqua" w:cs="Arial"/>
                <w:color w:val="000000" w:themeColor="text1"/>
              </w:rPr>
              <w:t>Bamba</w:t>
            </w:r>
            <w:proofErr w:type="spellEnd"/>
            <w:r w:rsidRPr="00D07897">
              <w:rPr>
                <w:rFonts w:ascii="Book Antiqua" w:hAnsi="Book Antiqua" w:cs="Arial"/>
                <w:color w:val="000000" w:themeColor="text1"/>
              </w:rPr>
              <w:t xml:space="preserve"> </w:t>
            </w:r>
            <w:r w:rsidR="00C24200" w:rsidRPr="00D07897">
              <w:rPr>
                <w:rFonts w:ascii="Book Antiqua" w:hAnsi="Book Antiqua" w:cs="Arial"/>
                <w:i/>
                <w:color w:val="000000" w:themeColor="text1"/>
              </w:rPr>
              <w:t>et al</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[9]</w:t>
            </w:r>
            <w:r w:rsidRPr="00D07897">
              <w:rPr>
                <w:rFonts w:ascii="Book Antiqua" w:hAnsi="Book Antiqua" w:cs="Arial"/>
                <w:color w:val="000000" w:themeColor="text1"/>
              </w:rPr>
              <w:fldChar w:fldCharType="end"/>
            </w:r>
          </w:p>
        </w:tc>
      </w:tr>
      <w:tr w:rsidR="00F96F15" w:rsidRPr="00D07897" w14:paraId="1AB5FBB7" w14:textId="77777777" w:rsidTr="006D4D69">
        <w:tc>
          <w:tcPr>
            <w:tcW w:w="838" w:type="pct"/>
            <w:vMerge/>
            <w:shd w:val="clear" w:color="auto" w:fill="auto"/>
          </w:tcPr>
          <w:p w14:paraId="172F52F0" w14:textId="77777777" w:rsidR="00067E27" w:rsidRPr="00D07897" w:rsidRDefault="00067E27" w:rsidP="00F96F15">
            <w:pPr>
              <w:spacing w:line="360" w:lineRule="auto"/>
              <w:jc w:val="both"/>
              <w:rPr>
                <w:rFonts w:ascii="Book Antiqua" w:hAnsi="Book Antiqua" w:cs="Arial"/>
                <w:color w:val="000000" w:themeColor="text1"/>
              </w:rPr>
            </w:pPr>
          </w:p>
        </w:tc>
        <w:tc>
          <w:tcPr>
            <w:tcW w:w="615" w:type="pct"/>
            <w:shd w:val="clear" w:color="auto" w:fill="auto"/>
          </w:tcPr>
          <w:p w14:paraId="0D8D768A" w14:textId="27F26B55" w:rsidR="00067E27" w:rsidRPr="00D07897" w:rsidRDefault="00067E27"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RD/GI Assessment</w:t>
            </w:r>
          </w:p>
        </w:tc>
        <w:tc>
          <w:tcPr>
            <w:tcW w:w="1890" w:type="pct"/>
            <w:shd w:val="clear" w:color="auto" w:fill="auto"/>
          </w:tcPr>
          <w:p w14:paraId="07094C33" w14:textId="4A642405" w:rsidR="00067E27" w:rsidRPr="00D07897" w:rsidRDefault="00067E27"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Cohen’s Kappa </w:t>
            </w:r>
          </w:p>
        </w:tc>
        <w:tc>
          <w:tcPr>
            <w:tcW w:w="829" w:type="pct"/>
            <w:shd w:val="clear" w:color="auto" w:fill="auto"/>
          </w:tcPr>
          <w:p w14:paraId="0ABCFF9F" w14:textId="429C5891" w:rsidR="00067E27" w:rsidRPr="00D07897" w:rsidRDefault="00067E27"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κ</w:t>
            </w:r>
            <w:r w:rsidR="006D4D69" w:rsidRPr="00D07897">
              <w:rPr>
                <w:rFonts w:ascii="Book Antiqua" w:hAnsi="Book Antiqua" w:cs="Arial"/>
                <w:color w:val="000000" w:themeColor="text1"/>
              </w:rPr>
              <w:t xml:space="preserve"> </w:t>
            </w:r>
            <w:r w:rsidRPr="00D07897">
              <w:rPr>
                <w:rFonts w:ascii="Book Antiqua" w:hAnsi="Book Antiqua" w:cs="Arial"/>
                <w:color w:val="000000" w:themeColor="text1"/>
              </w:rPr>
              <w:t>= 0.15</w:t>
            </w:r>
          </w:p>
        </w:tc>
        <w:tc>
          <w:tcPr>
            <w:tcW w:w="828" w:type="pct"/>
            <w:shd w:val="clear" w:color="auto" w:fill="auto"/>
          </w:tcPr>
          <w:p w14:paraId="0FA727FE" w14:textId="6C8DD87D" w:rsidR="00067E27" w:rsidRPr="00D07897" w:rsidRDefault="00C95430"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Haskey </w:t>
            </w:r>
            <w:r w:rsidR="00C24200" w:rsidRPr="00D07897">
              <w:rPr>
                <w:rFonts w:ascii="Book Antiqua" w:hAnsi="Book Antiqua" w:cs="Arial"/>
                <w:i/>
                <w:color w:val="000000" w:themeColor="text1"/>
              </w:rPr>
              <w:t>et al</w:t>
            </w:r>
            <w:r w:rsidR="0052323B"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52323B"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[35]</w:t>
            </w:r>
            <w:r w:rsidR="0052323B" w:rsidRPr="00D07897">
              <w:rPr>
                <w:rFonts w:ascii="Book Antiqua" w:hAnsi="Book Antiqua" w:cs="Arial"/>
                <w:color w:val="000000" w:themeColor="text1"/>
              </w:rPr>
              <w:fldChar w:fldCharType="end"/>
            </w:r>
          </w:p>
        </w:tc>
      </w:tr>
      <w:tr w:rsidR="00F96F15" w:rsidRPr="00D07897" w14:paraId="18CE8473" w14:textId="77777777" w:rsidTr="006D4D69">
        <w:tc>
          <w:tcPr>
            <w:tcW w:w="838" w:type="pct"/>
            <w:shd w:val="clear" w:color="auto" w:fill="auto"/>
          </w:tcPr>
          <w:p w14:paraId="281067C9" w14:textId="77777777" w:rsidR="005735AB" w:rsidRPr="00D07897" w:rsidRDefault="005735A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MIRT</w:t>
            </w:r>
          </w:p>
        </w:tc>
        <w:tc>
          <w:tcPr>
            <w:tcW w:w="615" w:type="pct"/>
            <w:shd w:val="clear" w:color="auto" w:fill="auto"/>
          </w:tcPr>
          <w:p w14:paraId="186A460A" w14:textId="77777777" w:rsidR="005735AB" w:rsidRPr="00D07897" w:rsidRDefault="005735A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SGA</w:t>
            </w:r>
          </w:p>
        </w:tc>
        <w:tc>
          <w:tcPr>
            <w:tcW w:w="1890" w:type="pct"/>
            <w:shd w:val="clear" w:color="auto" w:fill="auto"/>
          </w:tcPr>
          <w:p w14:paraId="400DB411" w14:textId="77777777" w:rsidR="005735AB" w:rsidRPr="00D07897" w:rsidRDefault="005735A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Spearman’s Rank Correlation</w:t>
            </w:r>
          </w:p>
        </w:tc>
        <w:tc>
          <w:tcPr>
            <w:tcW w:w="829" w:type="pct"/>
            <w:shd w:val="clear" w:color="auto" w:fill="auto"/>
          </w:tcPr>
          <w:p w14:paraId="68C1C01F" w14:textId="0047A560" w:rsidR="005735AB" w:rsidRPr="00D07897" w:rsidRDefault="005735AB" w:rsidP="00F96F15">
            <w:pPr>
              <w:spacing w:line="360" w:lineRule="auto"/>
              <w:jc w:val="both"/>
              <w:rPr>
                <w:rFonts w:ascii="Book Antiqua" w:hAnsi="Book Antiqua" w:cs="Arial"/>
                <w:color w:val="000000" w:themeColor="text1"/>
                <w:vertAlign w:val="superscript"/>
              </w:rPr>
            </w:pPr>
            <w:r w:rsidRPr="00D07897">
              <w:rPr>
                <w:rFonts w:ascii="Book Antiqua" w:hAnsi="Book Antiqua" w:cs="Arial"/>
                <w:color w:val="000000" w:themeColor="text1"/>
              </w:rPr>
              <w:t>ρ</w:t>
            </w:r>
            <w:r w:rsidR="006D4D69"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D4D69" w:rsidRPr="00D07897">
              <w:rPr>
                <w:rFonts w:ascii="Book Antiqua" w:hAnsi="Book Antiqua" w:cs="Arial"/>
                <w:color w:val="000000" w:themeColor="text1"/>
              </w:rPr>
              <w:t xml:space="preserve"> </w:t>
            </w:r>
            <w:r w:rsidRPr="00D07897">
              <w:rPr>
                <w:rFonts w:ascii="Book Antiqua" w:hAnsi="Book Antiqua" w:cs="Arial"/>
                <w:color w:val="000000" w:themeColor="text1"/>
              </w:rPr>
              <w:t xml:space="preserve">0.394, </w:t>
            </w:r>
            <w:r w:rsidR="006D4D69" w:rsidRPr="00D07897">
              <w:rPr>
                <w:rFonts w:ascii="Book Antiqua" w:hAnsi="Book Antiqua" w:cs="Arial"/>
                <w:i/>
                <w:iCs/>
                <w:color w:val="000000" w:themeColor="text1"/>
              </w:rPr>
              <w:t>P</w:t>
            </w:r>
            <w:r w:rsidR="006D4D69"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D4D69" w:rsidRPr="00D07897">
              <w:rPr>
                <w:rFonts w:ascii="Book Antiqua" w:hAnsi="Book Antiqua" w:cs="Arial"/>
                <w:color w:val="000000" w:themeColor="text1"/>
              </w:rPr>
              <w:t xml:space="preserve"> </w:t>
            </w:r>
            <w:r w:rsidRPr="00D07897">
              <w:rPr>
                <w:rFonts w:ascii="Book Antiqua" w:hAnsi="Book Antiqua" w:cs="Arial"/>
                <w:color w:val="000000" w:themeColor="text1"/>
              </w:rPr>
              <w:t>0.005</w:t>
            </w:r>
            <w:r w:rsidR="006160EF" w:rsidRPr="00D07897">
              <w:rPr>
                <w:rFonts w:ascii="Book Antiqua" w:hAnsi="Book Antiqua" w:cs="Arial"/>
                <w:color w:val="000000" w:themeColor="text1"/>
                <w:vertAlign w:val="superscript"/>
              </w:rPr>
              <w:t>a</w:t>
            </w:r>
          </w:p>
        </w:tc>
        <w:tc>
          <w:tcPr>
            <w:tcW w:w="828" w:type="pct"/>
            <w:shd w:val="clear" w:color="auto" w:fill="auto"/>
          </w:tcPr>
          <w:p w14:paraId="6BF45E32" w14:textId="4604FF8A" w:rsidR="005735AB" w:rsidRPr="00D07897" w:rsidRDefault="005735A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Jansen </w:t>
            </w:r>
            <w:r w:rsidR="00C24200" w:rsidRPr="00D07897">
              <w:rPr>
                <w:rFonts w:ascii="Book Antiqua" w:hAnsi="Book Antiqua" w:cs="Arial"/>
                <w:i/>
                <w:color w:val="000000" w:themeColor="text1"/>
              </w:rPr>
              <w:t>et al</w:t>
            </w:r>
            <w:r w:rsidR="00CC2F76"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00CC2F76"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[8]</w:t>
            </w:r>
            <w:r w:rsidR="00CC2F76" w:rsidRPr="00D07897">
              <w:rPr>
                <w:rFonts w:ascii="Book Antiqua" w:hAnsi="Book Antiqua" w:cs="Arial"/>
                <w:color w:val="000000" w:themeColor="text1"/>
              </w:rPr>
              <w:fldChar w:fldCharType="end"/>
            </w:r>
          </w:p>
        </w:tc>
      </w:tr>
      <w:tr w:rsidR="00F96F15" w:rsidRPr="00D07897" w14:paraId="4241F688" w14:textId="77777777" w:rsidTr="006D4D69">
        <w:tc>
          <w:tcPr>
            <w:tcW w:w="838" w:type="pct"/>
            <w:shd w:val="clear" w:color="auto" w:fill="auto"/>
          </w:tcPr>
          <w:p w14:paraId="45BBF2FD" w14:textId="77777777" w:rsidR="005735AB" w:rsidRPr="00D07897" w:rsidRDefault="005735A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NRS-2002</w:t>
            </w:r>
          </w:p>
        </w:tc>
        <w:tc>
          <w:tcPr>
            <w:tcW w:w="615" w:type="pct"/>
            <w:shd w:val="clear" w:color="auto" w:fill="auto"/>
          </w:tcPr>
          <w:p w14:paraId="5665AB20" w14:textId="77777777" w:rsidR="005735AB" w:rsidRPr="00D07897" w:rsidRDefault="005735A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SMI</w:t>
            </w:r>
          </w:p>
        </w:tc>
        <w:tc>
          <w:tcPr>
            <w:tcW w:w="1890" w:type="pct"/>
            <w:shd w:val="clear" w:color="auto" w:fill="auto"/>
          </w:tcPr>
          <w:p w14:paraId="1562D4F3" w14:textId="4E769C79" w:rsidR="005735AB" w:rsidRPr="00D07897" w:rsidRDefault="005735A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Logistic Regression (NRS-2002 1, 2 </w:t>
            </w:r>
            <w:r w:rsidRPr="00D07897">
              <w:rPr>
                <w:rFonts w:ascii="Book Antiqua" w:hAnsi="Book Antiqua" w:cs="Arial"/>
                <w:i/>
                <w:iCs/>
                <w:color w:val="000000" w:themeColor="text1"/>
              </w:rPr>
              <w:t>vs</w:t>
            </w:r>
            <w:r w:rsidRPr="00D07897">
              <w:rPr>
                <w:rFonts w:ascii="Book Antiqua" w:hAnsi="Book Antiqua" w:cs="Arial"/>
                <w:color w:val="000000" w:themeColor="text1"/>
              </w:rPr>
              <w:t xml:space="preserve"> </w:t>
            </w:r>
            <w:r w:rsidRPr="00D07897">
              <w:rPr>
                <w:rFonts w:ascii="Book Antiqua" w:hAnsi="Book Antiqua" w:cs="Arial"/>
                <w:color w:val="000000" w:themeColor="text1"/>
              </w:rPr>
              <w:sym w:font="Symbol" w:char="F0B3"/>
            </w:r>
            <w:r w:rsidR="006D4D69" w:rsidRPr="00D07897">
              <w:rPr>
                <w:rFonts w:ascii="Book Antiqua" w:hAnsi="Book Antiqua" w:cs="Arial"/>
                <w:color w:val="000000" w:themeColor="text1"/>
              </w:rPr>
              <w:t xml:space="preserve"> </w:t>
            </w:r>
            <w:r w:rsidRPr="00D07897">
              <w:rPr>
                <w:rFonts w:ascii="Book Antiqua" w:hAnsi="Book Antiqua" w:cs="Arial"/>
                <w:color w:val="000000" w:themeColor="text1"/>
              </w:rPr>
              <w:t xml:space="preserve">3) </w:t>
            </w:r>
          </w:p>
        </w:tc>
        <w:tc>
          <w:tcPr>
            <w:tcW w:w="829" w:type="pct"/>
            <w:shd w:val="clear" w:color="auto" w:fill="auto"/>
          </w:tcPr>
          <w:p w14:paraId="0B903E74" w14:textId="4E3056B7" w:rsidR="005735AB" w:rsidRPr="00D07897" w:rsidRDefault="005735AB" w:rsidP="00F96F15">
            <w:pPr>
              <w:spacing w:line="360" w:lineRule="auto"/>
              <w:jc w:val="both"/>
              <w:rPr>
                <w:rFonts w:ascii="Book Antiqua" w:hAnsi="Book Antiqua" w:cs="Arial"/>
                <w:color w:val="000000" w:themeColor="text1"/>
                <w:vertAlign w:val="superscript"/>
              </w:rPr>
            </w:pPr>
            <w:r w:rsidRPr="00D07897">
              <w:rPr>
                <w:rFonts w:ascii="Book Antiqua" w:hAnsi="Book Antiqua" w:cs="Arial"/>
                <w:color w:val="000000" w:themeColor="text1"/>
              </w:rPr>
              <w:t xml:space="preserve">OR: 0.928, </w:t>
            </w:r>
            <w:r w:rsidR="006D4D69" w:rsidRPr="00D07897">
              <w:rPr>
                <w:rFonts w:ascii="Book Antiqua" w:hAnsi="Book Antiqua" w:cs="Arial"/>
                <w:i/>
                <w:iCs/>
                <w:color w:val="000000" w:themeColor="text1"/>
              </w:rPr>
              <w:t>P</w:t>
            </w:r>
            <w:r w:rsidR="006D4D69"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D4D69" w:rsidRPr="00D07897">
              <w:rPr>
                <w:rFonts w:ascii="Book Antiqua" w:hAnsi="Book Antiqua" w:cs="Arial"/>
                <w:color w:val="000000" w:themeColor="text1"/>
              </w:rPr>
              <w:t xml:space="preserve"> </w:t>
            </w:r>
            <w:r w:rsidRPr="00D07897">
              <w:rPr>
                <w:rFonts w:ascii="Book Antiqua" w:hAnsi="Book Antiqua" w:cs="Arial"/>
                <w:color w:val="000000" w:themeColor="text1"/>
              </w:rPr>
              <w:t>0.008</w:t>
            </w:r>
            <w:r w:rsidR="006160EF" w:rsidRPr="00D07897">
              <w:rPr>
                <w:rFonts w:ascii="Book Antiqua" w:hAnsi="Book Antiqua" w:cs="Arial"/>
                <w:color w:val="000000" w:themeColor="text1"/>
                <w:vertAlign w:val="superscript"/>
              </w:rPr>
              <w:t>a</w:t>
            </w:r>
          </w:p>
        </w:tc>
        <w:tc>
          <w:tcPr>
            <w:tcW w:w="828" w:type="pct"/>
            <w:shd w:val="clear" w:color="auto" w:fill="auto"/>
          </w:tcPr>
          <w:p w14:paraId="37B8A941" w14:textId="07005C65" w:rsidR="005735AB" w:rsidRPr="00D07897" w:rsidRDefault="005735AB" w:rsidP="00F96F15">
            <w:pPr>
              <w:spacing w:line="360" w:lineRule="auto"/>
              <w:jc w:val="both"/>
              <w:rPr>
                <w:rFonts w:ascii="Book Antiqua" w:hAnsi="Book Antiqua" w:cs="Arial"/>
                <w:color w:val="000000" w:themeColor="text1"/>
              </w:rPr>
            </w:pPr>
            <w:proofErr w:type="spellStart"/>
            <w:r w:rsidRPr="00D07897">
              <w:rPr>
                <w:rFonts w:ascii="Book Antiqua" w:hAnsi="Book Antiqua" w:cs="Arial"/>
                <w:color w:val="000000" w:themeColor="text1"/>
              </w:rPr>
              <w:t>Bamba</w:t>
            </w:r>
            <w:proofErr w:type="spellEnd"/>
            <w:r w:rsidRPr="00D07897">
              <w:rPr>
                <w:rFonts w:ascii="Book Antiqua" w:hAnsi="Book Antiqua" w:cs="Arial"/>
                <w:color w:val="000000" w:themeColor="text1"/>
              </w:rPr>
              <w:t xml:space="preserve"> </w:t>
            </w:r>
            <w:r w:rsidR="00C24200" w:rsidRPr="00D07897">
              <w:rPr>
                <w:rFonts w:ascii="Book Antiqua" w:hAnsi="Book Antiqua" w:cs="Arial"/>
                <w:i/>
                <w:color w:val="000000" w:themeColor="text1"/>
              </w:rPr>
              <w:t>et al</w:t>
            </w:r>
            <w:r w:rsidR="00CC2F76"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00CC2F76"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[9]</w:t>
            </w:r>
            <w:r w:rsidR="00CC2F76" w:rsidRPr="00D07897">
              <w:rPr>
                <w:rFonts w:ascii="Book Antiqua" w:hAnsi="Book Antiqua" w:cs="Arial"/>
                <w:color w:val="000000" w:themeColor="text1"/>
              </w:rPr>
              <w:fldChar w:fldCharType="end"/>
            </w:r>
          </w:p>
        </w:tc>
      </w:tr>
      <w:tr w:rsidR="00F96F15" w:rsidRPr="00D07897" w14:paraId="28C3D7E2" w14:textId="77777777" w:rsidTr="006D4D69">
        <w:tc>
          <w:tcPr>
            <w:tcW w:w="838" w:type="pct"/>
            <w:tcBorders>
              <w:bottom w:val="single" w:sz="4" w:space="0" w:color="auto"/>
            </w:tcBorders>
            <w:shd w:val="clear" w:color="auto" w:fill="auto"/>
          </w:tcPr>
          <w:p w14:paraId="3CF71D90" w14:textId="6CD91D82" w:rsidR="00C95430" w:rsidRPr="00D07897" w:rsidRDefault="00C95430" w:rsidP="00F96F15">
            <w:pPr>
              <w:spacing w:line="360" w:lineRule="auto"/>
              <w:jc w:val="both"/>
              <w:rPr>
                <w:rFonts w:ascii="Book Antiqua" w:hAnsi="Book Antiqua" w:cs="Arial"/>
                <w:color w:val="000000" w:themeColor="text1"/>
              </w:rPr>
            </w:pPr>
            <w:proofErr w:type="spellStart"/>
            <w:r w:rsidRPr="00D07897">
              <w:rPr>
                <w:rFonts w:ascii="Book Antiqua" w:hAnsi="Book Antiqua" w:cs="Arial"/>
                <w:color w:val="000000" w:themeColor="text1"/>
              </w:rPr>
              <w:t>SaskIBD</w:t>
            </w:r>
            <w:proofErr w:type="spellEnd"/>
            <w:r w:rsidR="006D4D69" w:rsidRPr="00D07897">
              <w:rPr>
                <w:rFonts w:ascii="Book Antiqua" w:hAnsi="Book Antiqua" w:cs="Arial"/>
                <w:color w:val="000000" w:themeColor="text1"/>
              </w:rPr>
              <w:t>-</w:t>
            </w:r>
            <w:r w:rsidRPr="00D07897">
              <w:rPr>
                <w:rFonts w:ascii="Book Antiqua" w:hAnsi="Book Antiqua" w:cs="Arial"/>
                <w:color w:val="000000" w:themeColor="text1"/>
              </w:rPr>
              <w:t xml:space="preserve">NR </w:t>
            </w:r>
          </w:p>
        </w:tc>
        <w:tc>
          <w:tcPr>
            <w:tcW w:w="615" w:type="pct"/>
            <w:tcBorders>
              <w:bottom w:val="single" w:sz="4" w:space="0" w:color="auto"/>
            </w:tcBorders>
            <w:shd w:val="clear" w:color="auto" w:fill="auto"/>
          </w:tcPr>
          <w:p w14:paraId="6F3602D6" w14:textId="59FC670F" w:rsidR="00C95430" w:rsidRPr="00D07897" w:rsidRDefault="00C95430"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RD/GI Assessment</w:t>
            </w:r>
          </w:p>
        </w:tc>
        <w:tc>
          <w:tcPr>
            <w:tcW w:w="1890" w:type="pct"/>
            <w:tcBorders>
              <w:bottom w:val="single" w:sz="4" w:space="0" w:color="auto"/>
            </w:tcBorders>
            <w:shd w:val="clear" w:color="auto" w:fill="auto"/>
          </w:tcPr>
          <w:p w14:paraId="0617D0AB" w14:textId="38C38803" w:rsidR="00C95430" w:rsidRPr="00D07897" w:rsidRDefault="00C95430"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Cohen’s Kappa </w:t>
            </w:r>
          </w:p>
        </w:tc>
        <w:tc>
          <w:tcPr>
            <w:tcW w:w="829" w:type="pct"/>
            <w:tcBorders>
              <w:bottom w:val="single" w:sz="4" w:space="0" w:color="auto"/>
            </w:tcBorders>
            <w:shd w:val="clear" w:color="auto" w:fill="auto"/>
          </w:tcPr>
          <w:p w14:paraId="5AACEC96" w14:textId="2F7B92B5" w:rsidR="00C95430" w:rsidRPr="00D07897" w:rsidRDefault="00C95430"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κ</w:t>
            </w:r>
            <w:r w:rsidR="006D4D69" w:rsidRPr="00D07897">
              <w:rPr>
                <w:rFonts w:ascii="Book Antiqua" w:hAnsi="Book Antiqua" w:cs="Arial"/>
                <w:color w:val="000000" w:themeColor="text1"/>
              </w:rPr>
              <w:t xml:space="preserve"> </w:t>
            </w:r>
            <w:r w:rsidRPr="00D07897">
              <w:rPr>
                <w:rFonts w:ascii="Book Antiqua" w:hAnsi="Book Antiqua" w:cs="Arial"/>
                <w:color w:val="000000" w:themeColor="text1"/>
              </w:rPr>
              <w:t>= 0.73</w:t>
            </w:r>
          </w:p>
        </w:tc>
        <w:tc>
          <w:tcPr>
            <w:tcW w:w="828" w:type="pct"/>
            <w:tcBorders>
              <w:bottom w:val="single" w:sz="4" w:space="0" w:color="auto"/>
            </w:tcBorders>
            <w:shd w:val="clear" w:color="auto" w:fill="auto"/>
          </w:tcPr>
          <w:p w14:paraId="36FD26BC" w14:textId="5E16DC89" w:rsidR="00C95430" w:rsidRPr="00D07897" w:rsidRDefault="00C95430"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Haskey </w:t>
            </w:r>
            <w:r w:rsidR="00C24200" w:rsidRPr="00D07897">
              <w:rPr>
                <w:rFonts w:ascii="Book Antiqua" w:hAnsi="Book Antiqua" w:cs="Arial"/>
                <w:i/>
                <w:color w:val="000000" w:themeColor="text1"/>
              </w:rPr>
              <w:t>et al</w:t>
            </w:r>
            <w:r w:rsidR="0052323B"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{"citationItems":[{"id":"ITEM-1","itemData":{"DOI":"10.6133/apjcn.112017.01","ISSN":"0964-7058 (Print)","PMID":"30045418","abstract":"BACKGROUND AND OBJECTIVES: Malnutrition is a known complication of Inflammatory Bowel Disease (IBD). We assessed a known screening tool, as well as developed and validated a novel screening tool, to detect nutrition risk in outpatients with IBD. METHODS AND STUDY DESIGN: The Saskatchewan IBD-Nutrition Risk (SaskIBD-NR Tool) was developed and administered alongside the Malnutrition Universal Screening Tool (MUST). Nutrition risk was confirmed by the IBD dietitian (RD) and gastroenterologist (GI). Agreement between screening tools and RD/GI assessment was computed using Cohen's kappa. RESULTS: Of the 110 patients screened, 75 (68.2%) patients had Crohn's Disease and 35 (31.8%) ulcerative colitis. Mean BMI was 26.4 kg/m2 (SD=5.8). RD/GI assessment identified 23 patients (20.9%) at nutrition risk. The SaskIBD-NR tool classified 21 (19.1%) at some nutrition risk, while MUST classified 17 (15.5%). The SaskIBD-NR tool had significant agreement with the RD/GI assessment (k 0.83, p&lt;0.001), while MUST showed a lack of agreement (k 0.15, p=0.12). The SaskIBD-NR had better sensitivity (82.6% vs 26.1%), specificity (97.7% vs 87.4%), positive predictive value (90.5% vs 35.3%), and negative predictive value (95.5% vs 81.7%) than the MUST. CONCLUSION: The SaskIBD-NR, which assesses GI symptoms, food restriction, and weight loss, adequately detects nutrition risk in IBD patients. Broader validation is required.","author":[{"dropping-particle":"","family":"Haskey","given":"Natasha","non-dropping-particle":"","parse-names":false,"suffix":""},{"dropping-particle":"","family":"Pena-Sanchez","given":"Juan Nicolas","non-dropping-particle":"","parse-names":false,"suffix":""},{"dropping-particle":"","family":"Jones","given":"Jennifer L","non-dropping-particle":"","parse-names":false,"suffix":""},{"dropping-particle":"","family":"Fowler","given":"Sharyle A","non-dropping-particle":"","parse-names":false,"suffix":""}],"container-title":"Asia Pacific journal of clinical nutrition","id":"ITEM-1","issue":"4","issued":{"date-parts":[["2018"]]},"language":"eng","page":"756-762","publisher-place":"Australia","title":"Development of a screening tool to detect nutrition risk in patients with inflammatory bowel disease.","type":"article-journal","volume":"27"},"uris":["http://www.mendeley.com/documents/?uuid=e52d4073-2a21-491f-bee7-5614c6147365"]}],"mendeley":{"formattedCitation":"&lt;sup&gt;[35]&lt;/sup&gt;","plainTextFormattedCitation":"[35]","previouslyFormattedCitation":"&lt;sup&gt;[34]&lt;/sup&gt;"},"properties":{"noteIndex":0},"schema":"https://github.com/citation-style-language/schema/raw/master/csl-citation.json"}</w:instrText>
            </w:r>
            <w:r w:rsidR="0052323B"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[35]</w:t>
            </w:r>
            <w:r w:rsidR="0052323B" w:rsidRPr="00D07897">
              <w:rPr>
                <w:rFonts w:ascii="Book Antiqua" w:hAnsi="Book Antiqua" w:cs="Arial"/>
                <w:color w:val="000000" w:themeColor="text1"/>
              </w:rPr>
              <w:fldChar w:fldCharType="end"/>
            </w:r>
          </w:p>
        </w:tc>
      </w:tr>
    </w:tbl>
    <w:p w14:paraId="2DC10A00" w14:textId="2C03ABD5" w:rsidR="00417F55" w:rsidRPr="00D07897" w:rsidRDefault="006D4D69" w:rsidP="00F96F15">
      <w:pPr>
        <w:spacing w:line="360" w:lineRule="auto"/>
        <w:jc w:val="both"/>
        <w:rPr>
          <w:rFonts w:ascii="Book Antiqua" w:hAnsi="Book Antiqua" w:cs="Arial"/>
          <w:color w:val="000000" w:themeColor="text1"/>
        </w:rPr>
      </w:pPr>
      <w:proofErr w:type="spellStart"/>
      <w:proofErr w:type="gramStart"/>
      <w:r w:rsidRPr="00D07897">
        <w:rPr>
          <w:rFonts w:ascii="Book Antiqua" w:hAnsi="Book Antiqua" w:cs="Arial"/>
          <w:color w:val="000000" w:themeColor="text1"/>
          <w:vertAlign w:val="superscript"/>
        </w:rPr>
        <w:t>a</w:t>
      </w:r>
      <w:r w:rsidRPr="00D07897">
        <w:rPr>
          <w:rFonts w:ascii="Book Antiqua" w:hAnsi="Book Antiqua" w:cs="Arial"/>
          <w:color w:val="000000" w:themeColor="text1"/>
        </w:rPr>
        <w:t>Indicates</w:t>
      </w:r>
      <w:proofErr w:type="spellEnd"/>
      <w:proofErr w:type="gramEnd"/>
      <w:r w:rsidRPr="00D07897">
        <w:rPr>
          <w:rFonts w:ascii="Book Antiqua" w:hAnsi="Book Antiqua" w:cs="Arial"/>
          <w:color w:val="000000" w:themeColor="text1"/>
        </w:rPr>
        <w:t xml:space="preserve"> significant </w:t>
      </w:r>
      <w:r w:rsidRPr="00D07897">
        <w:rPr>
          <w:rFonts w:ascii="Book Antiqua" w:hAnsi="Book Antiqua" w:cs="Arial"/>
          <w:i/>
          <w:iCs/>
          <w:color w:val="000000" w:themeColor="text1"/>
        </w:rPr>
        <w:t>P</w:t>
      </w:r>
      <w:r w:rsidRPr="00D07897">
        <w:rPr>
          <w:rFonts w:ascii="Book Antiqua" w:hAnsi="Book Antiqua" w:cs="Arial"/>
          <w:color w:val="000000" w:themeColor="text1"/>
        </w:rPr>
        <w:t xml:space="preserve"> value &lt; 0.05.</w:t>
      </w:r>
      <w:r w:rsidRPr="00D07897">
        <w:rPr>
          <w:rFonts w:ascii="Book Antiqua" w:eastAsia="等线" w:hAnsi="Book Antiqua" w:cs="Arial" w:hint="eastAsia"/>
          <w:color w:val="000000" w:themeColor="text1"/>
          <w:lang w:eastAsia="zh-CN"/>
        </w:rPr>
        <w:t xml:space="preserve"> </w:t>
      </w:r>
      <w:r w:rsidR="00C46DA0" w:rsidRPr="00D07897">
        <w:rPr>
          <w:rFonts w:ascii="Book Antiqua" w:hAnsi="Book Antiqua" w:cs="Arial"/>
          <w:color w:val="000000" w:themeColor="text1"/>
        </w:rPr>
        <w:t>FFMI</w:t>
      </w:r>
      <w:r w:rsidRPr="00D07897">
        <w:rPr>
          <w:rFonts w:ascii="Book Antiqua" w:hAnsi="Book Antiqua" w:cs="Arial"/>
          <w:color w:val="000000" w:themeColor="text1"/>
        </w:rPr>
        <w:t>:</w:t>
      </w:r>
      <w:r w:rsidR="00C46DA0" w:rsidRPr="00D07897">
        <w:rPr>
          <w:rFonts w:ascii="Book Antiqua" w:hAnsi="Book Antiqua" w:cs="Arial"/>
          <w:color w:val="000000" w:themeColor="text1"/>
        </w:rPr>
        <w:t xml:space="preserve"> Fat Free Mas Index; SMI</w:t>
      </w:r>
      <w:r w:rsidRPr="00D07897">
        <w:rPr>
          <w:rFonts w:ascii="Book Antiqua" w:hAnsi="Book Antiqua" w:cs="Arial"/>
          <w:color w:val="000000" w:themeColor="text1"/>
        </w:rPr>
        <w:t>:</w:t>
      </w:r>
      <w:r w:rsidR="00C46DA0" w:rsidRPr="00D07897">
        <w:rPr>
          <w:rFonts w:ascii="Book Antiqua" w:hAnsi="Book Antiqua" w:cs="Arial"/>
          <w:color w:val="000000" w:themeColor="text1"/>
        </w:rPr>
        <w:t xml:space="preserve"> Skeletal Muscle Index; SGA</w:t>
      </w:r>
      <w:r w:rsidRPr="00D07897">
        <w:rPr>
          <w:rFonts w:ascii="Book Antiqua" w:hAnsi="Book Antiqua" w:cs="Arial"/>
          <w:color w:val="000000" w:themeColor="text1"/>
        </w:rPr>
        <w:t>:</w:t>
      </w:r>
      <w:r w:rsidR="00C46DA0" w:rsidRPr="00D07897">
        <w:rPr>
          <w:rFonts w:ascii="Book Antiqua" w:hAnsi="Book Antiqua" w:cs="Arial"/>
          <w:color w:val="000000" w:themeColor="text1"/>
        </w:rPr>
        <w:t xml:space="preserve"> Subjective Global Assessment; OR</w:t>
      </w:r>
      <w:r w:rsidRPr="00D07897">
        <w:rPr>
          <w:rFonts w:ascii="Book Antiqua" w:hAnsi="Book Antiqua" w:cs="Arial"/>
          <w:color w:val="000000" w:themeColor="text1"/>
        </w:rPr>
        <w:t>:</w:t>
      </w:r>
      <w:r w:rsidR="00C46DA0" w:rsidRPr="00D07897">
        <w:rPr>
          <w:rFonts w:ascii="Book Antiqua" w:hAnsi="Book Antiqua" w:cs="Arial"/>
          <w:color w:val="000000" w:themeColor="text1"/>
        </w:rPr>
        <w:t xml:space="preserve"> Odds </w:t>
      </w:r>
      <w:r w:rsidRPr="00D07897">
        <w:rPr>
          <w:rFonts w:ascii="Book Antiqua" w:hAnsi="Book Antiqua" w:cs="Arial"/>
          <w:color w:val="000000" w:themeColor="text1"/>
        </w:rPr>
        <w:t>r</w:t>
      </w:r>
      <w:r w:rsidR="00C46DA0" w:rsidRPr="00D07897">
        <w:rPr>
          <w:rFonts w:ascii="Book Antiqua" w:hAnsi="Book Antiqua" w:cs="Arial"/>
          <w:color w:val="000000" w:themeColor="text1"/>
        </w:rPr>
        <w:t>atio</w:t>
      </w:r>
      <w:r w:rsidRPr="00D07897">
        <w:rPr>
          <w:rFonts w:ascii="Book Antiqua" w:hAnsi="Book Antiqua" w:cs="Arial"/>
          <w:color w:val="000000" w:themeColor="text1"/>
        </w:rPr>
        <w:t xml:space="preserve">; NST: Nutrition screening tools; NRS-2002: Nutrition Risk Screening 2002; MUST: Malnutrition universal screening tool; </w:t>
      </w:r>
      <w:proofErr w:type="spellStart"/>
      <w:r w:rsidRPr="00D07897">
        <w:rPr>
          <w:rFonts w:ascii="Book Antiqua" w:hAnsi="Book Antiqua" w:cs="Arial"/>
          <w:color w:val="000000" w:themeColor="text1"/>
        </w:rPr>
        <w:t>SaskIBD</w:t>
      </w:r>
      <w:proofErr w:type="spellEnd"/>
      <w:r w:rsidRPr="00D07897">
        <w:rPr>
          <w:rFonts w:ascii="Book Antiqua" w:hAnsi="Book Antiqua" w:cs="Arial"/>
          <w:color w:val="000000" w:themeColor="text1"/>
        </w:rPr>
        <w:t>-NR: Saskatchewan Inflammatory Bowel Disease Nutrition Risk Tool; MIRT: Malnutrition Inflammation Risk Tool; RD/GI: Registered dietitian/Gastroenterologist.</w:t>
      </w:r>
    </w:p>
    <w:p w14:paraId="6676BE9C" w14:textId="2E13F67A" w:rsidR="00150811" w:rsidRPr="00D07897" w:rsidRDefault="00150811">
      <w:pPr>
        <w:rPr>
          <w:rFonts w:ascii="Book Antiqua" w:hAnsi="Book Antiqua" w:cs="Arial"/>
          <w:color w:val="000000" w:themeColor="text1"/>
        </w:rPr>
      </w:pPr>
      <w:r w:rsidRPr="00D07897">
        <w:rPr>
          <w:rFonts w:ascii="Book Antiqua" w:hAnsi="Book Antiqua" w:cs="Arial"/>
          <w:color w:val="000000" w:themeColor="text1"/>
        </w:rPr>
        <w:br w:type="page"/>
      </w:r>
    </w:p>
    <w:p w14:paraId="687C3F36" w14:textId="3989DB88" w:rsidR="00417F55" w:rsidRPr="00D07897" w:rsidRDefault="009D2B3F" w:rsidP="00F96F15">
      <w:pPr>
        <w:spacing w:line="360" w:lineRule="auto"/>
        <w:jc w:val="both"/>
        <w:rPr>
          <w:rFonts w:ascii="Book Antiqua" w:hAnsi="Book Antiqua" w:cs="Arial"/>
          <w:b/>
          <w:bCs/>
          <w:color w:val="000000" w:themeColor="text1"/>
        </w:rPr>
      </w:pPr>
      <w:r w:rsidRPr="00D07897">
        <w:rPr>
          <w:rFonts w:ascii="Book Antiqua" w:hAnsi="Book Antiqua" w:cs="Arial"/>
          <w:b/>
          <w:bCs/>
          <w:color w:val="000000" w:themeColor="text1"/>
        </w:rPr>
        <w:lastRenderedPageBreak/>
        <w:t xml:space="preserve">Table </w:t>
      </w:r>
      <w:r w:rsidR="00010CD2" w:rsidRPr="00D07897">
        <w:rPr>
          <w:rFonts w:ascii="Book Antiqua" w:hAnsi="Book Antiqua" w:cs="Arial"/>
          <w:b/>
          <w:bCs/>
          <w:color w:val="000000" w:themeColor="text1"/>
        </w:rPr>
        <w:t>7</w:t>
      </w:r>
      <w:r w:rsidR="00417F55" w:rsidRPr="00D07897">
        <w:rPr>
          <w:rFonts w:ascii="Book Antiqua" w:hAnsi="Book Antiqua" w:cs="Arial"/>
          <w:b/>
          <w:bCs/>
          <w:color w:val="000000" w:themeColor="text1"/>
        </w:rPr>
        <w:t xml:space="preserve"> Significant </w:t>
      </w:r>
      <w:r w:rsidR="006B692F" w:rsidRPr="00D07897">
        <w:rPr>
          <w:rFonts w:ascii="Book Antiqua" w:hAnsi="Book Antiqua" w:cs="Arial"/>
          <w:b/>
          <w:bCs/>
          <w:color w:val="000000" w:themeColor="text1"/>
        </w:rPr>
        <w:t>nutrition screening tool correlations with clinical outcomes</w:t>
      </w:r>
    </w:p>
    <w:tbl>
      <w:tblPr>
        <w:tblW w:w="5000" w:type="pct"/>
        <w:tblLook w:val="04A0" w:firstRow="1" w:lastRow="0" w:firstColumn="1" w:lastColumn="0" w:noHBand="0" w:noVBand="1"/>
      </w:tblPr>
      <w:tblGrid>
        <w:gridCol w:w="1638"/>
        <w:gridCol w:w="3781"/>
        <w:gridCol w:w="3704"/>
        <w:gridCol w:w="2745"/>
        <w:gridCol w:w="2748"/>
      </w:tblGrid>
      <w:tr w:rsidR="00F96F15" w:rsidRPr="00D07897" w14:paraId="344CDA21" w14:textId="77777777" w:rsidTr="006B692F">
        <w:tc>
          <w:tcPr>
            <w:tcW w:w="560" w:type="pct"/>
            <w:tcBorders>
              <w:top w:val="single" w:sz="4" w:space="0" w:color="auto"/>
              <w:bottom w:val="single" w:sz="4" w:space="0" w:color="auto"/>
            </w:tcBorders>
            <w:shd w:val="clear" w:color="auto" w:fill="auto"/>
            <w:vAlign w:val="center"/>
          </w:tcPr>
          <w:p w14:paraId="0191E1A6" w14:textId="77777777" w:rsidR="00417F55" w:rsidRPr="00D07897" w:rsidRDefault="00417F55"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NST</w:t>
            </w:r>
          </w:p>
        </w:tc>
        <w:tc>
          <w:tcPr>
            <w:tcW w:w="1293" w:type="pct"/>
            <w:tcBorders>
              <w:top w:val="single" w:sz="4" w:space="0" w:color="auto"/>
              <w:bottom w:val="single" w:sz="4" w:space="0" w:color="auto"/>
            </w:tcBorders>
            <w:shd w:val="clear" w:color="auto" w:fill="auto"/>
            <w:vAlign w:val="center"/>
          </w:tcPr>
          <w:p w14:paraId="548A476A" w14:textId="64FAA167" w:rsidR="00417F55" w:rsidRPr="00D07897" w:rsidRDefault="00417F55"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 xml:space="preserve">Comparative </w:t>
            </w:r>
            <w:r w:rsidR="006B692F" w:rsidRPr="00D07897">
              <w:rPr>
                <w:rFonts w:ascii="Book Antiqua" w:hAnsi="Book Antiqua" w:cs="Arial"/>
                <w:b/>
                <w:color w:val="000000" w:themeColor="text1"/>
              </w:rPr>
              <w:t>o</w:t>
            </w:r>
            <w:r w:rsidRPr="00D07897">
              <w:rPr>
                <w:rFonts w:ascii="Book Antiqua" w:hAnsi="Book Antiqua" w:cs="Arial"/>
                <w:b/>
                <w:color w:val="000000" w:themeColor="text1"/>
              </w:rPr>
              <w:t>utcome measure</w:t>
            </w:r>
          </w:p>
        </w:tc>
        <w:tc>
          <w:tcPr>
            <w:tcW w:w="1267" w:type="pct"/>
            <w:tcBorders>
              <w:top w:val="single" w:sz="4" w:space="0" w:color="auto"/>
              <w:bottom w:val="single" w:sz="4" w:space="0" w:color="auto"/>
            </w:tcBorders>
            <w:shd w:val="clear" w:color="auto" w:fill="auto"/>
            <w:vAlign w:val="center"/>
          </w:tcPr>
          <w:p w14:paraId="57E28A7E" w14:textId="1AAD0310" w:rsidR="00417F55" w:rsidRPr="00D07897" w:rsidRDefault="00417F55"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 xml:space="preserve">Statistical </w:t>
            </w:r>
            <w:r w:rsidR="006B692F" w:rsidRPr="00D07897">
              <w:rPr>
                <w:rFonts w:ascii="Book Antiqua" w:hAnsi="Book Antiqua" w:cs="Arial"/>
                <w:b/>
                <w:color w:val="000000" w:themeColor="text1"/>
              </w:rPr>
              <w:t>v</w:t>
            </w:r>
            <w:r w:rsidRPr="00D07897">
              <w:rPr>
                <w:rFonts w:ascii="Book Antiqua" w:hAnsi="Book Antiqua" w:cs="Arial"/>
                <w:b/>
                <w:color w:val="000000" w:themeColor="text1"/>
              </w:rPr>
              <w:t>ariable</w:t>
            </w:r>
          </w:p>
        </w:tc>
        <w:tc>
          <w:tcPr>
            <w:tcW w:w="939" w:type="pct"/>
            <w:tcBorders>
              <w:top w:val="single" w:sz="4" w:space="0" w:color="auto"/>
              <w:bottom w:val="single" w:sz="4" w:space="0" w:color="auto"/>
            </w:tcBorders>
            <w:shd w:val="clear" w:color="auto" w:fill="auto"/>
            <w:vAlign w:val="center"/>
          </w:tcPr>
          <w:p w14:paraId="28E7F90A" w14:textId="77777777" w:rsidR="00417F55" w:rsidRPr="00D07897" w:rsidRDefault="00417F55"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Value</w:t>
            </w:r>
          </w:p>
        </w:tc>
        <w:tc>
          <w:tcPr>
            <w:tcW w:w="940" w:type="pct"/>
            <w:tcBorders>
              <w:top w:val="single" w:sz="4" w:space="0" w:color="auto"/>
              <w:bottom w:val="single" w:sz="4" w:space="0" w:color="auto"/>
            </w:tcBorders>
            <w:shd w:val="clear" w:color="auto" w:fill="auto"/>
            <w:vAlign w:val="center"/>
          </w:tcPr>
          <w:p w14:paraId="6649B25F" w14:textId="77777777" w:rsidR="00417F55" w:rsidRPr="00D07897" w:rsidRDefault="00417F55"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Study ID</w:t>
            </w:r>
          </w:p>
        </w:tc>
      </w:tr>
      <w:tr w:rsidR="00F96F15" w:rsidRPr="00D07897" w14:paraId="4FD081D8" w14:textId="77777777" w:rsidTr="006B692F">
        <w:tc>
          <w:tcPr>
            <w:tcW w:w="560" w:type="pct"/>
            <w:vMerge w:val="restart"/>
            <w:tcBorders>
              <w:top w:val="single" w:sz="4" w:space="0" w:color="auto"/>
            </w:tcBorders>
            <w:shd w:val="clear" w:color="auto" w:fill="auto"/>
          </w:tcPr>
          <w:p w14:paraId="0358E1E2" w14:textId="77777777" w:rsidR="00331526" w:rsidRPr="00D07897" w:rsidRDefault="00331526"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MIRT</w:t>
            </w:r>
          </w:p>
          <w:p w14:paraId="03DE4FEE" w14:textId="77777777" w:rsidR="00331526" w:rsidRPr="00D07897" w:rsidRDefault="00331526" w:rsidP="00F96F15">
            <w:pPr>
              <w:spacing w:line="360" w:lineRule="auto"/>
              <w:jc w:val="both"/>
              <w:rPr>
                <w:rFonts w:ascii="Book Antiqua" w:hAnsi="Book Antiqua" w:cs="Arial"/>
                <w:color w:val="000000" w:themeColor="text1"/>
              </w:rPr>
            </w:pPr>
          </w:p>
        </w:tc>
        <w:tc>
          <w:tcPr>
            <w:tcW w:w="1293" w:type="pct"/>
            <w:tcBorders>
              <w:top w:val="single" w:sz="4" w:space="0" w:color="auto"/>
            </w:tcBorders>
            <w:shd w:val="clear" w:color="auto" w:fill="auto"/>
          </w:tcPr>
          <w:p w14:paraId="02AD131D" w14:textId="77777777" w:rsidR="00331526" w:rsidRPr="00D07897" w:rsidRDefault="00331526"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Hospitalization</w:t>
            </w:r>
          </w:p>
        </w:tc>
        <w:tc>
          <w:tcPr>
            <w:tcW w:w="1267" w:type="pct"/>
            <w:vMerge w:val="restart"/>
            <w:tcBorders>
              <w:top w:val="single" w:sz="4" w:space="0" w:color="auto"/>
            </w:tcBorders>
            <w:shd w:val="clear" w:color="auto" w:fill="auto"/>
          </w:tcPr>
          <w:p w14:paraId="44C2F51C" w14:textId="77777777" w:rsidR="00331526" w:rsidRPr="00D07897" w:rsidRDefault="00331526" w:rsidP="00F96F15">
            <w:pPr>
              <w:spacing w:line="360" w:lineRule="auto"/>
              <w:jc w:val="both"/>
              <w:rPr>
                <w:rFonts w:ascii="Book Antiqua" w:hAnsi="Book Antiqua" w:cs="Arial"/>
                <w:color w:val="000000" w:themeColor="text1"/>
              </w:rPr>
            </w:pPr>
          </w:p>
          <w:p w14:paraId="06420826" w14:textId="77777777" w:rsidR="00331526" w:rsidRPr="00D07897" w:rsidRDefault="00331526" w:rsidP="00F96F15">
            <w:pPr>
              <w:spacing w:line="360" w:lineRule="auto"/>
              <w:jc w:val="both"/>
              <w:rPr>
                <w:rFonts w:ascii="Book Antiqua" w:hAnsi="Book Antiqua" w:cs="Arial"/>
                <w:color w:val="000000" w:themeColor="text1"/>
              </w:rPr>
            </w:pPr>
          </w:p>
          <w:p w14:paraId="2E3F3D2C" w14:textId="58DCB881" w:rsidR="00331526" w:rsidRPr="00D07897" w:rsidRDefault="00331526"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Spearman’s </w:t>
            </w:r>
            <w:r w:rsidR="006B692F" w:rsidRPr="00D07897">
              <w:rPr>
                <w:rFonts w:ascii="Book Antiqua" w:hAnsi="Book Antiqua" w:cs="Arial"/>
                <w:color w:val="000000" w:themeColor="text1"/>
              </w:rPr>
              <w:t>rank correlation</w:t>
            </w:r>
          </w:p>
          <w:p w14:paraId="4B1A90A2" w14:textId="77777777" w:rsidR="00331526" w:rsidRPr="00D07897" w:rsidRDefault="00331526" w:rsidP="00F96F15">
            <w:pPr>
              <w:spacing w:line="360" w:lineRule="auto"/>
              <w:jc w:val="both"/>
              <w:rPr>
                <w:rFonts w:ascii="Book Antiqua" w:hAnsi="Book Antiqua" w:cs="Arial"/>
                <w:color w:val="000000" w:themeColor="text1"/>
              </w:rPr>
            </w:pPr>
          </w:p>
        </w:tc>
        <w:tc>
          <w:tcPr>
            <w:tcW w:w="939" w:type="pct"/>
            <w:tcBorders>
              <w:top w:val="single" w:sz="4" w:space="0" w:color="auto"/>
            </w:tcBorders>
            <w:shd w:val="clear" w:color="auto" w:fill="auto"/>
          </w:tcPr>
          <w:p w14:paraId="552B73E9" w14:textId="0351A8AF" w:rsidR="00331526" w:rsidRPr="00D07897" w:rsidRDefault="00331526" w:rsidP="00F96F15">
            <w:pPr>
              <w:spacing w:line="360" w:lineRule="auto"/>
              <w:jc w:val="both"/>
              <w:rPr>
                <w:rFonts w:ascii="Book Antiqua" w:hAnsi="Book Antiqua" w:cs="Arial"/>
                <w:color w:val="000000" w:themeColor="text1"/>
                <w:vertAlign w:val="superscript"/>
              </w:rPr>
            </w:pPr>
            <w:r w:rsidRPr="00D07897">
              <w:rPr>
                <w:rFonts w:ascii="Book Antiqua" w:hAnsi="Book Antiqua" w:cs="Arial"/>
                <w:color w:val="000000" w:themeColor="text1"/>
              </w:rPr>
              <w:t>ρ</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 xml:space="preserve">0.398, </w:t>
            </w:r>
            <w:r w:rsidR="006B692F" w:rsidRPr="00D07897">
              <w:rPr>
                <w:rFonts w:ascii="Book Antiqua" w:hAnsi="Book Antiqua" w:cs="Arial"/>
                <w:i/>
                <w:iCs/>
                <w:color w:val="000000" w:themeColor="text1"/>
              </w:rPr>
              <w:t>P</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0.003</w:t>
            </w:r>
            <w:r w:rsidR="006160EF" w:rsidRPr="00D07897">
              <w:rPr>
                <w:rFonts w:ascii="Book Antiqua" w:hAnsi="Book Antiqua" w:cs="Arial"/>
                <w:color w:val="000000" w:themeColor="text1"/>
                <w:vertAlign w:val="superscript"/>
              </w:rPr>
              <w:t>a</w:t>
            </w:r>
          </w:p>
        </w:tc>
        <w:tc>
          <w:tcPr>
            <w:tcW w:w="940" w:type="pct"/>
            <w:vMerge w:val="restart"/>
            <w:tcBorders>
              <w:top w:val="single" w:sz="4" w:space="0" w:color="auto"/>
            </w:tcBorders>
            <w:shd w:val="clear" w:color="auto" w:fill="auto"/>
          </w:tcPr>
          <w:p w14:paraId="7F0AA268" w14:textId="77777777" w:rsidR="00331526" w:rsidRPr="00D07897" w:rsidRDefault="00331526" w:rsidP="00F96F15">
            <w:pPr>
              <w:spacing w:line="360" w:lineRule="auto"/>
              <w:jc w:val="both"/>
              <w:rPr>
                <w:rFonts w:ascii="Book Antiqua" w:hAnsi="Book Antiqua" w:cs="Arial"/>
                <w:color w:val="000000" w:themeColor="text1"/>
              </w:rPr>
            </w:pPr>
          </w:p>
          <w:p w14:paraId="56057E25" w14:textId="77777777" w:rsidR="00331526" w:rsidRPr="00D07897" w:rsidRDefault="00331526" w:rsidP="00F96F15">
            <w:pPr>
              <w:spacing w:line="360" w:lineRule="auto"/>
              <w:jc w:val="both"/>
              <w:rPr>
                <w:rFonts w:ascii="Book Antiqua" w:hAnsi="Book Antiqua" w:cs="Arial"/>
                <w:color w:val="000000" w:themeColor="text1"/>
              </w:rPr>
            </w:pPr>
          </w:p>
          <w:p w14:paraId="2BC52FC7" w14:textId="325B0AE4" w:rsidR="00331526" w:rsidRPr="00D07897" w:rsidRDefault="00331526"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Jansen </w:t>
            </w:r>
            <w:r w:rsidR="00C24200" w:rsidRPr="00D07897">
              <w:rPr>
                <w:rFonts w:ascii="Book Antiqua" w:hAnsi="Book Antiqua" w:cs="Arial"/>
                <w:i/>
                <w:color w:val="000000" w:themeColor="text1"/>
              </w:rPr>
              <w:t>et al</w:t>
            </w:r>
            <w:r w:rsidR="008F0522"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{"citationItems":[{"id":"ITEM-1","itemData":{"DOI":"10.1017/S0007114516003044","ISSN":"1475-2662 (Electronic)","PMID":"27546478","abstract":"Malnutrition is a frequent feature in Crohn's disease (CD), affects patient outcome and must be recognised. For chronic inflammatory diseases, recent guidelines recommend the development of combined malnutrition and inflammation risk scores. We aimed to design and evaluate a new screening tool that combines both malnutrition and inflammation parameters that might help predict clinical outcome. In a prospective cohort study, we examined fifty-five patients with CD in remission (Crohn's disease activity index (CDAI) &lt;200) at 0 and 6 months. We assessed disease activity (CDAI, Harvey-Bradshaw index), inflammation (C-reactive protein (CRP), faecal calprotectin (FC)), malnutrition (BMI, subjective global assessment (SGA), serum albumin, handgrip strength), body composition (bioelectrical impedance analysis) and administered the newly developed 'Malnutrition Inflammation Risk Tool' (MIRT; containing BMI, unintentional weight loss over 3 months and CRP). All parameters were evaluated regarding their ability to predict disease outcome prospectively at 6 months. At baseline, more than one-third of patients showed elevated inflammatory markers despite clinical remission (36.4 % CRP &gt;/=5 mg/l, 41.5 % FC &gt;/=100 microg/g). Prevalence of malnutrition at baseline according to BMI, SGA and serum albumin was 2-16 %. At 6 months, MIRT significantly predicted outcome in numerous nutritional and clinical parameters (SGA, CD-related flares, hospitalisations and surgeries). In contrast, SGA, handgrip strength, BMI, albumin and body composition had no influence on the clinical course. The newly developed MIRT was found to reliably predict clinical outcome in CD patients. This screening tool might be used to facilitate clinical decision making, including treatment of both inflammation and malnutrition in order to prevent complications.","author":[{"dropping-particle":"","family":"Jansen","given":"Irene","non-dropping-particle":"","parse-names":false,"suffix":""},{"dropping-particle":"","family":"Prager","given":"Matthias","non-dropping-particle":"","parse-names":false,"suffix":""},{"dropping-particle":"","family":"Valentini","given":"Luzia","non-dropping-particle":"","parse-names":false,"suffix":""},{"dropping-particle":"","family":"Buning","given":"Carsten","non-dropping-particle":"","parse-names":false,"suffix":""}],"container-title":"The British journal of nutrition","id":"ITEM-1","issue":"6","issued":{"date-parts":[["2016","9"]]},"language":"eng","page":"1061-1067","publisher-place":"England","title":"Inflammation-driven malnutrition: a new screening tool predicts outcome in Crohn's disease.","type":"article-journal","volume":"116"},"uris":["http://www.mendeley.com/documents/?uuid=7a1220e5-e4f6-481d-b52c-83a9e8be8be2"]}],"mendeley":{"formattedCitation":"&lt;sup&gt;[8]&lt;/sup&gt;","plainTextFormattedCitation":"[8]","previouslyFormattedCitation":"&lt;sup&gt;[8]&lt;/sup&gt;"},"properties":{"noteIndex":0},"schema":"https://github.com/citation-style-language/schema/raw/master/csl-citation.json"}</w:instrText>
            </w:r>
            <w:r w:rsidR="008F0522"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[8]</w:t>
            </w:r>
            <w:r w:rsidR="008F0522" w:rsidRPr="00D07897">
              <w:rPr>
                <w:rFonts w:ascii="Book Antiqua" w:hAnsi="Book Antiqua" w:cs="Arial"/>
                <w:color w:val="000000" w:themeColor="text1"/>
              </w:rPr>
              <w:fldChar w:fldCharType="end"/>
            </w:r>
          </w:p>
          <w:p w14:paraId="46C6B312" w14:textId="77777777" w:rsidR="00331526" w:rsidRPr="00D07897" w:rsidRDefault="00331526" w:rsidP="00F96F15">
            <w:pPr>
              <w:spacing w:line="360" w:lineRule="auto"/>
              <w:jc w:val="both"/>
              <w:rPr>
                <w:rFonts w:ascii="Book Antiqua" w:hAnsi="Book Antiqua" w:cs="Arial"/>
                <w:color w:val="000000" w:themeColor="text1"/>
              </w:rPr>
            </w:pPr>
          </w:p>
        </w:tc>
      </w:tr>
      <w:tr w:rsidR="00F96F15" w:rsidRPr="00D07897" w14:paraId="4B5D9893" w14:textId="77777777" w:rsidTr="006B692F">
        <w:tc>
          <w:tcPr>
            <w:tcW w:w="560" w:type="pct"/>
            <w:vMerge/>
            <w:shd w:val="clear" w:color="auto" w:fill="auto"/>
          </w:tcPr>
          <w:p w14:paraId="0D12202D" w14:textId="77777777" w:rsidR="00331526" w:rsidRPr="00D07897" w:rsidRDefault="00331526" w:rsidP="00F96F15">
            <w:pPr>
              <w:spacing w:line="360" w:lineRule="auto"/>
              <w:jc w:val="both"/>
              <w:rPr>
                <w:rFonts w:ascii="Book Antiqua" w:hAnsi="Book Antiqua" w:cs="Arial"/>
                <w:color w:val="000000" w:themeColor="text1"/>
              </w:rPr>
            </w:pPr>
          </w:p>
        </w:tc>
        <w:tc>
          <w:tcPr>
            <w:tcW w:w="1293" w:type="pct"/>
            <w:shd w:val="clear" w:color="auto" w:fill="auto"/>
          </w:tcPr>
          <w:p w14:paraId="0B69169F" w14:textId="77777777" w:rsidR="00331526" w:rsidRPr="00D07897" w:rsidRDefault="00331526"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Disease flare </w:t>
            </w:r>
          </w:p>
        </w:tc>
        <w:tc>
          <w:tcPr>
            <w:tcW w:w="1267" w:type="pct"/>
            <w:vMerge/>
            <w:shd w:val="clear" w:color="auto" w:fill="auto"/>
          </w:tcPr>
          <w:p w14:paraId="5995950C" w14:textId="77777777" w:rsidR="00331526" w:rsidRPr="00D07897" w:rsidRDefault="00331526" w:rsidP="00F96F15">
            <w:pPr>
              <w:spacing w:line="360" w:lineRule="auto"/>
              <w:jc w:val="both"/>
              <w:rPr>
                <w:rFonts w:ascii="Book Antiqua" w:hAnsi="Book Antiqua" w:cs="Arial"/>
                <w:color w:val="000000" w:themeColor="text1"/>
              </w:rPr>
            </w:pPr>
          </w:p>
        </w:tc>
        <w:tc>
          <w:tcPr>
            <w:tcW w:w="939" w:type="pct"/>
            <w:shd w:val="clear" w:color="auto" w:fill="auto"/>
          </w:tcPr>
          <w:p w14:paraId="5A83CB8B" w14:textId="38B5456D" w:rsidR="00331526" w:rsidRPr="00D07897" w:rsidRDefault="00331526" w:rsidP="00F96F15">
            <w:pPr>
              <w:spacing w:line="360" w:lineRule="auto"/>
              <w:jc w:val="both"/>
              <w:rPr>
                <w:rFonts w:ascii="Book Antiqua" w:hAnsi="Book Antiqua" w:cs="Arial"/>
                <w:color w:val="000000" w:themeColor="text1"/>
                <w:vertAlign w:val="superscript"/>
              </w:rPr>
            </w:pPr>
            <w:r w:rsidRPr="00D07897">
              <w:rPr>
                <w:rFonts w:ascii="Book Antiqua" w:hAnsi="Book Antiqua" w:cs="Arial"/>
                <w:color w:val="000000" w:themeColor="text1"/>
              </w:rPr>
              <w:t>ρ</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 xml:space="preserve">0.299, </w:t>
            </w:r>
            <w:r w:rsidR="006B692F" w:rsidRPr="00D07897">
              <w:rPr>
                <w:rFonts w:ascii="Book Antiqua" w:hAnsi="Book Antiqua" w:cs="Arial"/>
                <w:i/>
                <w:iCs/>
                <w:color w:val="000000" w:themeColor="text1"/>
              </w:rPr>
              <w:t>P</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0.030</w:t>
            </w:r>
            <w:r w:rsidR="006160EF" w:rsidRPr="00D07897">
              <w:rPr>
                <w:rFonts w:ascii="Book Antiqua" w:hAnsi="Book Antiqua" w:cs="Arial"/>
                <w:color w:val="000000" w:themeColor="text1"/>
                <w:vertAlign w:val="superscript"/>
              </w:rPr>
              <w:t>a</w:t>
            </w:r>
          </w:p>
        </w:tc>
        <w:tc>
          <w:tcPr>
            <w:tcW w:w="940" w:type="pct"/>
            <w:vMerge/>
            <w:shd w:val="clear" w:color="auto" w:fill="auto"/>
          </w:tcPr>
          <w:p w14:paraId="0D2479B4" w14:textId="77777777" w:rsidR="00331526" w:rsidRPr="00D07897" w:rsidRDefault="00331526" w:rsidP="00F96F15">
            <w:pPr>
              <w:spacing w:line="360" w:lineRule="auto"/>
              <w:jc w:val="both"/>
              <w:rPr>
                <w:rFonts w:ascii="Book Antiqua" w:hAnsi="Book Antiqua" w:cs="Arial"/>
                <w:color w:val="000000" w:themeColor="text1"/>
              </w:rPr>
            </w:pPr>
          </w:p>
        </w:tc>
      </w:tr>
      <w:tr w:rsidR="00F96F15" w:rsidRPr="00D07897" w14:paraId="0EFA3428" w14:textId="77777777" w:rsidTr="006B692F">
        <w:tc>
          <w:tcPr>
            <w:tcW w:w="560" w:type="pct"/>
            <w:vMerge/>
            <w:shd w:val="clear" w:color="auto" w:fill="auto"/>
          </w:tcPr>
          <w:p w14:paraId="60B3235B" w14:textId="77777777" w:rsidR="00331526" w:rsidRPr="00D07897" w:rsidRDefault="00331526" w:rsidP="00F96F15">
            <w:pPr>
              <w:spacing w:line="360" w:lineRule="auto"/>
              <w:jc w:val="both"/>
              <w:rPr>
                <w:rFonts w:ascii="Book Antiqua" w:hAnsi="Book Antiqua" w:cs="Arial"/>
                <w:color w:val="000000" w:themeColor="text1"/>
              </w:rPr>
            </w:pPr>
          </w:p>
        </w:tc>
        <w:tc>
          <w:tcPr>
            <w:tcW w:w="1293" w:type="pct"/>
            <w:shd w:val="clear" w:color="auto" w:fill="auto"/>
          </w:tcPr>
          <w:p w14:paraId="53603FBC" w14:textId="46204F3C" w:rsidR="00331526" w:rsidRPr="00D07897" w:rsidRDefault="00331526" w:rsidP="00F96F15">
            <w:pPr>
              <w:spacing w:line="360" w:lineRule="auto"/>
              <w:jc w:val="both"/>
              <w:rPr>
                <w:rFonts w:ascii="Book Antiqua" w:hAnsi="Book Antiqua" w:cs="Arial"/>
                <w:color w:val="000000" w:themeColor="text1"/>
                <w:vertAlign w:val="superscript"/>
                <w:lang w:val="en-CA"/>
              </w:rPr>
            </w:pPr>
            <w:r w:rsidRPr="00D07897">
              <w:rPr>
                <w:rFonts w:ascii="Book Antiqua" w:hAnsi="Book Antiqua" w:cs="Arial"/>
                <w:color w:val="000000" w:themeColor="text1"/>
              </w:rPr>
              <w:t>Disease complication</w:t>
            </w:r>
            <w:r w:rsidRPr="00D07897">
              <w:rPr>
                <w:rFonts w:ascii="Book Antiqua" w:hAnsi="Book Antiqua" w:cs="Arial"/>
                <w:color w:val="000000" w:themeColor="text1"/>
                <w:shd w:val="clear" w:color="auto" w:fill="FFFFFF"/>
                <w:lang w:val="en-CA"/>
              </w:rPr>
              <w:t>s</w:t>
            </w:r>
            <w:r w:rsidR="006160EF" w:rsidRPr="00D07897">
              <w:rPr>
                <w:rFonts w:ascii="Book Antiqua" w:hAnsi="Book Antiqua" w:cs="Arial"/>
                <w:color w:val="000000" w:themeColor="text1"/>
                <w:shd w:val="clear" w:color="auto" w:fill="FFFFFF"/>
                <w:vertAlign w:val="superscript"/>
              </w:rPr>
              <w:t>1</w:t>
            </w:r>
          </w:p>
          <w:p w14:paraId="2E79FBCB" w14:textId="77777777" w:rsidR="00331526" w:rsidRPr="00D07897" w:rsidRDefault="00331526" w:rsidP="00F96F15">
            <w:pPr>
              <w:spacing w:line="360" w:lineRule="auto"/>
              <w:jc w:val="both"/>
              <w:rPr>
                <w:rFonts w:ascii="Book Antiqua" w:hAnsi="Book Antiqua" w:cs="Arial"/>
                <w:color w:val="000000" w:themeColor="text1"/>
              </w:rPr>
            </w:pPr>
          </w:p>
        </w:tc>
        <w:tc>
          <w:tcPr>
            <w:tcW w:w="1267" w:type="pct"/>
            <w:vMerge/>
            <w:shd w:val="clear" w:color="auto" w:fill="auto"/>
          </w:tcPr>
          <w:p w14:paraId="18BD7530" w14:textId="77777777" w:rsidR="00331526" w:rsidRPr="00D07897" w:rsidRDefault="00331526" w:rsidP="00F96F15">
            <w:pPr>
              <w:spacing w:line="360" w:lineRule="auto"/>
              <w:jc w:val="both"/>
              <w:rPr>
                <w:rFonts w:ascii="Book Antiqua" w:hAnsi="Book Antiqua" w:cs="Arial"/>
                <w:color w:val="000000" w:themeColor="text1"/>
              </w:rPr>
            </w:pPr>
          </w:p>
        </w:tc>
        <w:tc>
          <w:tcPr>
            <w:tcW w:w="939" w:type="pct"/>
            <w:shd w:val="clear" w:color="auto" w:fill="auto"/>
          </w:tcPr>
          <w:p w14:paraId="37456F21" w14:textId="4FCF16EB" w:rsidR="00331526" w:rsidRPr="00D07897" w:rsidRDefault="00331526" w:rsidP="00F96F15">
            <w:pPr>
              <w:spacing w:line="360" w:lineRule="auto"/>
              <w:jc w:val="both"/>
              <w:rPr>
                <w:rFonts w:ascii="Book Antiqua" w:hAnsi="Book Antiqua" w:cs="Arial"/>
                <w:color w:val="000000" w:themeColor="text1"/>
                <w:vertAlign w:val="superscript"/>
              </w:rPr>
            </w:pPr>
            <w:r w:rsidRPr="00D07897">
              <w:rPr>
                <w:rFonts w:ascii="Book Antiqua" w:hAnsi="Book Antiqua" w:cs="Arial"/>
                <w:color w:val="000000" w:themeColor="text1"/>
              </w:rPr>
              <w:t>ρ</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 xml:space="preserve">0.333, </w:t>
            </w:r>
            <w:r w:rsidR="006B692F" w:rsidRPr="00D07897">
              <w:rPr>
                <w:rFonts w:ascii="Book Antiqua" w:hAnsi="Book Antiqua" w:cs="Arial"/>
                <w:i/>
                <w:iCs/>
                <w:color w:val="000000" w:themeColor="text1"/>
              </w:rPr>
              <w:t>P</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0.015</w:t>
            </w:r>
            <w:r w:rsidR="006160EF" w:rsidRPr="00D07897">
              <w:rPr>
                <w:rFonts w:ascii="Book Antiqua" w:hAnsi="Book Antiqua" w:cs="Arial"/>
                <w:color w:val="000000" w:themeColor="text1"/>
                <w:vertAlign w:val="superscript"/>
              </w:rPr>
              <w:t>a</w:t>
            </w:r>
          </w:p>
        </w:tc>
        <w:tc>
          <w:tcPr>
            <w:tcW w:w="940" w:type="pct"/>
            <w:vMerge/>
            <w:shd w:val="clear" w:color="auto" w:fill="auto"/>
          </w:tcPr>
          <w:p w14:paraId="7DC523C5" w14:textId="77777777" w:rsidR="00331526" w:rsidRPr="00D07897" w:rsidRDefault="00331526" w:rsidP="00F96F15">
            <w:pPr>
              <w:spacing w:line="360" w:lineRule="auto"/>
              <w:jc w:val="both"/>
              <w:rPr>
                <w:rFonts w:ascii="Book Antiqua" w:hAnsi="Book Antiqua" w:cs="Arial"/>
                <w:color w:val="000000" w:themeColor="text1"/>
              </w:rPr>
            </w:pPr>
          </w:p>
        </w:tc>
      </w:tr>
      <w:tr w:rsidR="00F96F15" w:rsidRPr="00D07897" w14:paraId="25F2FF7D" w14:textId="77777777" w:rsidTr="006B692F">
        <w:tc>
          <w:tcPr>
            <w:tcW w:w="560" w:type="pct"/>
            <w:vMerge/>
            <w:shd w:val="clear" w:color="auto" w:fill="auto"/>
          </w:tcPr>
          <w:p w14:paraId="2FAF921D" w14:textId="77777777" w:rsidR="00331526" w:rsidRPr="00D07897" w:rsidRDefault="00331526" w:rsidP="00F96F15">
            <w:pPr>
              <w:spacing w:line="360" w:lineRule="auto"/>
              <w:jc w:val="both"/>
              <w:rPr>
                <w:rFonts w:ascii="Book Antiqua" w:hAnsi="Book Antiqua" w:cs="Arial"/>
                <w:color w:val="000000" w:themeColor="text1"/>
              </w:rPr>
            </w:pPr>
          </w:p>
        </w:tc>
        <w:tc>
          <w:tcPr>
            <w:tcW w:w="1293" w:type="pct"/>
            <w:shd w:val="clear" w:color="auto" w:fill="auto"/>
          </w:tcPr>
          <w:p w14:paraId="7D85231F" w14:textId="77777777" w:rsidR="00331526" w:rsidRPr="00D07897" w:rsidRDefault="00331526"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Need for surgery</w:t>
            </w:r>
          </w:p>
        </w:tc>
        <w:tc>
          <w:tcPr>
            <w:tcW w:w="1267" w:type="pct"/>
            <w:vMerge/>
            <w:shd w:val="clear" w:color="auto" w:fill="auto"/>
          </w:tcPr>
          <w:p w14:paraId="77A14C20" w14:textId="77777777" w:rsidR="00331526" w:rsidRPr="00D07897" w:rsidRDefault="00331526" w:rsidP="00F96F15">
            <w:pPr>
              <w:spacing w:line="360" w:lineRule="auto"/>
              <w:jc w:val="both"/>
              <w:rPr>
                <w:rFonts w:ascii="Book Antiqua" w:hAnsi="Book Antiqua" w:cs="Arial"/>
                <w:color w:val="000000" w:themeColor="text1"/>
              </w:rPr>
            </w:pPr>
          </w:p>
        </w:tc>
        <w:tc>
          <w:tcPr>
            <w:tcW w:w="939" w:type="pct"/>
            <w:shd w:val="clear" w:color="auto" w:fill="auto"/>
          </w:tcPr>
          <w:p w14:paraId="01F26F2D" w14:textId="71644BC9" w:rsidR="00331526" w:rsidRPr="00D07897" w:rsidRDefault="00331526" w:rsidP="00F96F15">
            <w:pPr>
              <w:spacing w:line="360" w:lineRule="auto"/>
              <w:jc w:val="both"/>
              <w:rPr>
                <w:rFonts w:ascii="Book Antiqua" w:hAnsi="Book Antiqua" w:cs="Arial"/>
                <w:color w:val="000000" w:themeColor="text1"/>
                <w:vertAlign w:val="superscript"/>
              </w:rPr>
            </w:pPr>
            <w:r w:rsidRPr="00D07897">
              <w:rPr>
                <w:rFonts w:ascii="Book Antiqua" w:hAnsi="Book Antiqua" w:cs="Arial"/>
                <w:color w:val="000000" w:themeColor="text1"/>
              </w:rPr>
              <w:t>ρ</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 xml:space="preserve">0.371, </w:t>
            </w:r>
            <w:r w:rsidR="006B692F" w:rsidRPr="00D07897">
              <w:rPr>
                <w:rFonts w:ascii="Book Antiqua" w:hAnsi="Book Antiqua" w:cs="Arial"/>
                <w:i/>
                <w:iCs/>
                <w:color w:val="000000" w:themeColor="text1"/>
              </w:rPr>
              <w:t>P</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0.006</w:t>
            </w:r>
            <w:r w:rsidR="006160EF" w:rsidRPr="00D07897">
              <w:rPr>
                <w:rFonts w:ascii="Book Antiqua" w:hAnsi="Book Antiqua" w:cs="Arial"/>
                <w:color w:val="000000" w:themeColor="text1"/>
                <w:vertAlign w:val="superscript"/>
              </w:rPr>
              <w:t>a</w:t>
            </w:r>
          </w:p>
        </w:tc>
        <w:tc>
          <w:tcPr>
            <w:tcW w:w="940" w:type="pct"/>
            <w:vMerge/>
            <w:shd w:val="clear" w:color="auto" w:fill="auto"/>
          </w:tcPr>
          <w:p w14:paraId="4C9FB517" w14:textId="77777777" w:rsidR="00331526" w:rsidRPr="00D07897" w:rsidRDefault="00331526" w:rsidP="00F96F15">
            <w:pPr>
              <w:spacing w:line="360" w:lineRule="auto"/>
              <w:jc w:val="both"/>
              <w:rPr>
                <w:rFonts w:ascii="Book Antiqua" w:hAnsi="Book Antiqua" w:cs="Arial"/>
                <w:color w:val="000000" w:themeColor="text1"/>
              </w:rPr>
            </w:pPr>
          </w:p>
        </w:tc>
      </w:tr>
      <w:tr w:rsidR="00F96F15" w:rsidRPr="00D07897" w14:paraId="685B2257" w14:textId="77777777" w:rsidTr="006B692F">
        <w:tc>
          <w:tcPr>
            <w:tcW w:w="560" w:type="pct"/>
            <w:shd w:val="clear" w:color="auto" w:fill="auto"/>
          </w:tcPr>
          <w:p w14:paraId="76401781" w14:textId="77777777" w:rsidR="005735AB" w:rsidRPr="00D07897" w:rsidRDefault="005735A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NRI</w:t>
            </w:r>
          </w:p>
        </w:tc>
        <w:tc>
          <w:tcPr>
            <w:tcW w:w="1293" w:type="pct"/>
            <w:shd w:val="clear" w:color="auto" w:fill="auto"/>
          </w:tcPr>
          <w:p w14:paraId="13D29971" w14:textId="77777777" w:rsidR="005735AB" w:rsidRPr="00D07897" w:rsidRDefault="005735A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Response to infliximab</w:t>
            </w:r>
          </w:p>
        </w:tc>
        <w:tc>
          <w:tcPr>
            <w:tcW w:w="1267" w:type="pct"/>
            <w:shd w:val="clear" w:color="auto" w:fill="auto"/>
          </w:tcPr>
          <w:p w14:paraId="115534FB" w14:textId="7DC558A2" w:rsidR="005735AB" w:rsidRPr="00D07897" w:rsidRDefault="005735A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Fischer’s </w:t>
            </w:r>
            <w:r w:rsidR="006B692F" w:rsidRPr="00D07897">
              <w:rPr>
                <w:rFonts w:ascii="Book Antiqua" w:hAnsi="Book Antiqua" w:cs="Arial"/>
                <w:color w:val="000000" w:themeColor="text1"/>
              </w:rPr>
              <w:t>exact test</w:t>
            </w:r>
          </w:p>
        </w:tc>
        <w:tc>
          <w:tcPr>
            <w:tcW w:w="939" w:type="pct"/>
            <w:shd w:val="clear" w:color="auto" w:fill="auto"/>
          </w:tcPr>
          <w:p w14:paraId="0CDE4C1E" w14:textId="5CCD6D9C" w:rsidR="005735AB" w:rsidRPr="00D07897" w:rsidRDefault="006B692F" w:rsidP="00F96F15">
            <w:pPr>
              <w:spacing w:line="360" w:lineRule="auto"/>
              <w:jc w:val="both"/>
              <w:rPr>
                <w:rFonts w:ascii="Book Antiqua" w:hAnsi="Book Antiqua" w:cs="Arial"/>
                <w:color w:val="000000" w:themeColor="text1"/>
                <w:vertAlign w:val="superscript"/>
              </w:rPr>
            </w:pPr>
            <w:r w:rsidRPr="00D07897">
              <w:rPr>
                <w:rFonts w:ascii="Book Antiqua" w:hAnsi="Book Antiqua" w:cs="Arial"/>
                <w:i/>
                <w:iCs/>
                <w:color w:val="000000" w:themeColor="text1"/>
              </w:rPr>
              <w:t>P</w:t>
            </w:r>
            <w:r w:rsidRPr="00D07897">
              <w:rPr>
                <w:rFonts w:ascii="Book Antiqua" w:hAnsi="Book Antiqua" w:cs="Arial"/>
                <w:color w:val="000000" w:themeColor="text1"/>
              </w:rPr>
              <w:t xml:space="preserve"> </w:t>
            </w:r>
            <w:r w:rsidR="005735AB" w:rsidRPr="00D07897">
              <w:rPr>
                <w:rFonts w:ascii="Book Antiqua" w:hAnsi="Book Antiqua" w:cs="Arial"/>
                <w:color w:val="000000" w:themeColor="text1"/>
              </w:rPr>
              <w:t>=</w:t>
            </w:r>
            <w:r w:rsidRPr="00D07897">
              <w:rPr>
                <w:rFonts w:ascii="Book Antiqua" w:hAnsi="Book Antiqua" w:cs="Arial"/>
                <w:color w:val="000000" w:themeColor="text1"/>
              </w:rPr>
              <w:t xml:space="preserve"> </w:t>
            </w:r>
            <w:r w:rsidR="005735AB" w:rsidRPr="00D07897">
              <w:rPr>
                <w:rFonts w:ascii="Book Antiqua" w:hAnsi="Book Antiqua" w:cs="Arial"/>
                <w:color w:val="000000" w:themeColor="text1"/>
              </w:rPr>
              <w:t>0.037</w:t>
            </w:r>
            <w:r w:rsidR="006160EF" w:rsidRPr="00D07897">
              <w:rPr>
                <w:rFonts w:ascii="Book Antiqua" w:hAnsi="Book Antiqua" w:cs="Arial"/>
                <w:color w:val="000000" w:themeColor="text1"/>
                <w:vertAlign w:val="superscript"/>
              </w:rPr>
              <w:t>a</w:t>
            </w:r>
          </w:p>
        </w:tc>
        <w:tc>
          <w:tcPr>
            <w:tcW w:w="940" w:type="pct"/>
            <w:shd w:val="clear" w:color="auto" w:fill="auto"/>
          </w:tcPr>
          <w:p w14:paraId="471AC096" w14:textId="73FC7D59" w:rsidR="005735AB" w:rsidRPr="00D07897" w:rsidRDefault="005735A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Sumi </w:t>
            </w:r>
            <w:r w:rsidR="00C24200" w:rsidRPr="00D07897">
              <w:rPr>
                <w:rFonts w:ascii="Book Antiqua" w:hAnsi="Book Antiqua" w:cs="Arial"/>
                <w:i/>
                <w:color w:val="000000" w:themeColor="text1"/>
              </w:rPr>
              <w:t>et al</w:t>
            </w:r>
            <w:r w:rsidR="008F0522"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{"citationItems":[{"id":"ITEM-1","itemData":{"DOI":"https://dx.doi.org/10.1007/s00595-015-1257-5","ISSN":"1436-2813","abstract":"PURPOSE: Crohn's disease (CD) is a refractory inflammatory bowel disease of unknown etiology, frequently complicated by malnutrition. It is thought that the delayed wound healing associated with this malnutrition in CD patients might adversely affect the therapeutic benefits of infliximab (IFX). Therefore, we investigated the effects of nutritional status on IFX treatment., METHODS: We assessed nutritional status and CD activity when IFX therapy was initiated and following the third dose, 6 weeks later. Nutritional status was assessed using the body mass index (BMI) and nutritional risk index (NRI), whereas CD activity was assessed using the CD activity index (CDAI)., RESULTS: All patients with a BMI &gt;= 18.5 kg/m(2) at the time of IFX therapy met the effective criteria for the CDAI, and IFX treatment was considered responsive in these patients. Furthermore, IFX treatment was responsive, with a high level of effectiveness, in all five subjects (31.3 %) with NRI scores of 97.5 and above with no risk of malnutrition (p = 0.037)., CONCLUSIONS: Our results suggest that nutritional status does influence the therapeutic effect of IFX in CD patients. The response rate to IFX treatment thus could be improved by optimizing the nutritional status. We recommend comprehensive nutritional assessment and intervention prior to IFX treatment schedules.","author":[{"dropping-particle":"","family":"Sumi","given":"Ryoko","non-dropping-particle":"","parse-names":false,"suffix":""},{"dropping-particle":"","family":"Nakajima","given":"Kiyokazu","non-dropping-particle":"","parse-names":false,"suffix":""},{"dropping-particle":"","family":"Iijima","given":"Hideki","non-dropping-particle":"","parse-names":false,"suffix":""},{"dropping-particle":"","family":"Wasa","given":"Masafumi","non-dropping-particle":"","parse-names":false,"suffix":""},{"dropping-particle":"","family":"Shinzaki","given":"Shinichiro","non-dropping-particle":"","parse-names":false,"suffix":""},{"dropping-particle":"","family":"Nezu","given":"Riichiro","non-dropping-particle":"","parse-names":false,"suffix":""},{"dropping-particle":"","family":"Inoue","given":"Yoshifumi","non-dropping-particle":"","parse-names":false,"suffix":""},{"dropping-particle":"","family":"Ito","given":"Toshinori","non-dropping-particle":"","parse-names":false,"suffix":""}],"container-title":"Surgery today","id":"ITEM-1","issue":"8","issued":{"date-parts":[["2016"]]},"page":"922-929","publisher-place":"Japan","title":"Influence of nutritional status on the therapeutic effect of infliximab in patients with Crohn's disease.","type":"article-journal","volume":"46"},"uris":["http://www.mendeley.com/documents/?uuid=6cc80495-0e41-4013-8604-780a0cfc9b33"]}],"mendeley":{"formattedCitation":"&lt;sup&gt;[27]&lt;/sup&gt;","plainTextFormattedCitation":"[27]","previouslyFormattedCitation":"&lt;sup&gt;[26]&lt;/sup&gt;"},"properties":{"noteIndex":0},"schema":"https://github.com/citation-style-language/schema/raw/master/csl-citation.json"}</w:instrText>
            </w:r>
            <w:r w:rsidR="008F0522"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[27]</w:t>
            </w:r>
            <w:r w:rsidR="008F0522" w:rsidRPr="00D07897">
              <w:rPr>
                <w:rFonts w:ascii="Book Antiqua" w:hAnsi="Book Antiqua" w:cs="Arial"/>
                <w:color w:val="000000" w:themeColor="text1"/>
              </w:rPr>
              <w:fldChar w:fldCharType="end"/>
            </w:r>
          </w:p>
        </w:tc>
      </w:tr>
      <w:tr w:rsidR="00F96F15" w:rsidRPr="00D07897" w14:paraId="118E7182" w14:textId="77777777" w:rsidTr="006B692F">
        <w:tc>
          <w:tcPr>
            <w:tcW w:w="560" w:type="pct"/>
            <w:tcBorders>
              <w:bottom w:val="single" w:sz="4" w:space="0" w:color="auto"/>
            </w:tcBorders>
            <w:shd w:val="clear" w:color="auto" w:fill="auto"/>
          </w:tcPr>
          <w:p w14:paraId="0B415A5F" w14:textId="77777777" w:rsidR="005735AB" w:rsidRPr="00D07897" w:rsidRDefault="005735A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NRS-2002</w:t>
            </w:r>
          </w:p>
        </w:tc>
        <w:tc>
          <w:tcPr>
            <w:tcW w:w="1293" w:type="pct"/>
            <w:tcBorders>
              <w:bottom w:val="single" w:sz="4" w:space="0" w:color="auto"/>
            </w:tcBorders>
            <w:shd w:val="clear" w:color="auto" w:fill="auto"/>
          </w:tcPr>
          <w:p w14:paraId="65349E2A" w14:textId="7B8EAA6D" w:rsidR="005735AB" w:rsidRPr="00D07897" w:rsidRDefault="005735A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Length of stay (&lt;</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 xml:space="preserve">28 </w:t>
            </w:r>
            <w:r w:rsidRPr="00D07897">
              <w:rPr>
                <w:rFonts w:ascii="Book Antiqua" w:hAnsi="Book Antiqua" w:cs="Arial"/>
                <w:i/>
                <w:iCs/>
                <w:color w:val="000000" w:themeColor="text1"/>
              </w:rPr>
              <w:t>vs</w:t>
            </w:r>
            <w:r w:rsidRPr="00D07897">
              <w:rPr>
                <w:rFonts w:ascii="Book Antiqua" w:hAnsi="Book Antiqua" w:cs="Arial"/>
                <w:color w:val="000000" w:themeColor="text1"/>
              </w:rPr>
              <w:t xml:space="preserve"> </w:t>
            </w:r>
            <w:r w:rsidRPr="00D07897">
              <w:rPr>
                <w:rFonts w:ascii="Book Antiqua" w:hAnsi="Book Antiqua" w:cs="Arial"/>
                <w:color w:val="000000" w:themeColor="text1"/>
              </w:rPr>
              <w:sym w:font="Symbol" w:char="F0B3"/>
            </w:r>
            <w:r w:rsidR="002645DD" w:rsidRPr="00D07897">
              <w:rPr>
                <w:rFonts w:ascii="Book Antiqua" w:hAnsi="Book Antiqua" w:cs="Arial"/>
                <w:color w:val="000000" w:themeColor="text1"/>
              </w:rPr>
              <w:t>28 d</w:t>
            </w:r>
            <w:r w:rsidRPr="00D07897">
              <w:rPr>
                <w:rFonts w:ascii="Book Antiqua" w:hAnsi="Book Antiqua" w:cs="Arial"/>
                <w:color w:val="000000" w:themeColor="text1"/>
              </w:rPr>
              <w:t>)</w:t>
            </w:r>
          </w:p>
        </w:tc>
        <w:tc>
          <w:tcPr>
            <w:tcW w:w="1267" w:type="pct"/>
            <w:tcBorders>
              <w:bottom w:val="single" w:sz="4" w:space="0" w:color="auto"/>
            </w:tcBorders>
            <w:shd w:val="clear" w:color="auto" w:fill="auto"/>
          </w:tcPr>
          <w:p w14:paraId="2EA49F2E" w14:textId="056AE0B9" w:rsidR="005735AB" w:rsidRPr="00D07897" w:rsidRDefault="005735A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Chi-</w:t>
            </w:r>
            <w:r w:rsidR="006B692F" w:rsidRPr="00D07897">
              <w:rPr>
                <w:rFonts w:ascii="Book Antiqua" w:hAnsi="Book Antiqua" w:cs="Arial"/>
                <w:color w:val="000000" w:themeColor="text1"/>
              </w:rPr>
              <w:t>square test</w:t>
            </w:r>
          </w:p>
        </w:tc>
        <w:tc>
          <w:tcPr>
            <w:tcW w:w="939" w:type="pct"/>
            <w:tcBorders>
              <w:bottom w:val="single" w:sz="4" w:space="0" w:color="auto"/>
            </w:tcBorders>
            <w:shd w:val="clear" w:color="auto" w:fill="auto"/>
          </w:tcPr>
          <w:p w14:paraId="7C7B6D17" w14:textId="54D51B56" w:rsidR="005735AB" w:rsidRPr="00D07897" w:rsidRDefault="006B692F" w:rsidP="00F96F15">
            <w:pPr>
              <w:spacing w:line="360" w:lineRule="auto"/>
              <w:jc w:val="both"/>
              <w:rPr>
                <w:rFonts w:ascii="Book Antiqua" w:hAnsi="Book Antiqua" w:cs="Arial"/>
                <w:color w:val="000000" w:themeColor="text1"/>
                <w:vertAlign w:val="superscript"/>
              </w:rPr>
            </w:pPr>
            <w:r w:rsidRPr="00D07897">
              <w:rPr>
                <w:rFonts w:ascii="Book Antiqua" w:hAnsi="Book Antiqua" w:cs="Arial"/>
                <w:i/>
                <w:iCs/>
                <w:color w:val="000000" w:themeColor="text1"/>
              </w:rPr>
              <w:t>P</w:t>
            </w:r>
            <w:r w:rsidRPr="00D07897">
              <w:rPr>
                <w:rFonts w:ascii="Book Antiqua" w:hAnsi="Book Antiqua" w:cs="Arial"/>
                <w:color w:val="000000" w:themeColor="text1"/>
              </w:rPr>
              <w:t xml:space="preserve"> </w:t>
            </w:r>
            <w:r w:rsidR="005735AB" w:rsidRPr="00D07897">
              <w:rPr>
                <w:rFonts w:ascii="Book Antiqua" w:hAnsi="Book Antiqua" w:cs="Arial"/>
                <w:color w:val="000000" w:themeColor="text1"/>
              </w:rPr>
              <w:t>=</w:t>
            </w:r>
            <w:r w:rsidRPr="00D07897">
              <w:rPr>
                <w:rFonts w:ascii="Book Antiqua" w:hAnsi="Book Antiqua" w:cs="Arial"/>
                <w:color w:val="000000" w:themeColor="text1"/>
              </w:rPr>
              <w:t xml:space="preserve"> </w:t>
            </w:r>
            <w:r w:rsidR="005735AB" w:rsidRPr="00D07897">
              <w:rPr>
                <w:rFonts w:ascii="Book Antiqua" w:hAnsi="Book Antiqua" w:cs="Arial"/>
                <w:color w:val="000000" w:themeColor="text1"/>
              </w:rPr>
              <w:t>0.032</w:t>
            </w:r>
            <w:r w:rsidR="006160EF" w:rsidRPr="00D07897">
              <w:rPr>
                <w:rFonts w:ascii="Book Antiqua" w:hAnsi="Book Antiqua" w:cs="Arial"/>
                <w:color w:val="000000" w:themeColor="text1"/>
                <w:vertAlign w:val="superscript"/>
              </w:rPr>
              <w:t>a</w:t>
            </w:r>
          </w:p>
        </w:tc>
        <w:tc>
          <w:tcPr>
            <w:tcW w:w="940" w:type="pct"/>
            <w:tcBorders>
              <w:bottom w:val="single" w:sz="4" w:space="0" w:color="auto"/>
            </w:tcBorders>
            <w:shd w:val="clear" w:color="auto" w:fill="auto"/>
          </w:tcPr>
          <w:p w14:paraId="26151334" w14:textId="7E9A7071" w:rsidR="005735AB" w:rsidRPr="00D07897" w:rsidRDefault="005735A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Takaoka </w:t>
            </w:r>
            <w:r w:rsidR="00C24200" w:rsidRPr="00D07897">
              <w:rPr>
                <w:rFonts w:ascii="Book Antiqua" w:hAnsi="Book Antiqua" w:cs="Arial"/>
                <w:i/>
                <w:color w:val="000000" w:themeColor="text1"/>
              </w:rPr>
              <w:t>et al</w:t>
            </w:r>
            <w:r w:rsidR="008F0522"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008F0522"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[13]</w:t>
            </w:r>
            <w:r w:rsidR="008F0522" w:rsidRPr="00D07897">
              <w:rPr>
                <w:rFonts w:ascii="Book Antiqua" w:hAnsi="Book Antiqua" w:cs="Arial"/>
                <w:color w:val="000000" w:themeColor="text1"/>
              </w:rPr>
              <w:fldChar w:fldCharType="end"/>
            </w:r>
          </w:p>
        </w:tc>
      </w:tr>
    </w:tbl>
    <w:p w14:paraId="4E8CF6CA" w14:textId="01C68617" w:rsidR="00633E70" w:rsidRPr="00D07897" w:rsidRDefault="006160EF" w:rsidP="00F96F15">
      <w:pPr>
        <w:spacing w:line="360" w:lineRule="auto"/>
        <w:jc w:val="both"/>
        <w:rPr>
          <w:rFonts w:ascii="Book Antiqua" w:hAnsi="Book Antiqua" w:cs="Arial"/>
          <w:color w:val="000000" w:themeColor="text1"/>
        </w:rPr>
      </w:pPr>
      <w:proofErr w:type="spellStart"/>
      <w:proofErr w:type="gramStart"/>
      <w:r w:rsidRPr="00D07897">
        <w:rPr>
          <w:rFonts w:ascii="Book Antiqua" w:hAnsi="Book Antiqua" w:cs="Arial"/>
          <w:color w:val="000000" w:themeColor="text1"/>
          <w:vertAlign w:val="superscript"/>
        </w:rPr>
        <w:t>a</w:t>
      </w:r>
      <w:r w:rsidR="006B692F" w:rsidRPr="00D07897">
        <w:rPr>
          <w:rFonts w:ascii="Book Antiqua" w:hAnsi="Book Antiqua" w:cs="Arial"/>
          <w:color w:val="000000" w:themeColor="text1"/>
        </w:rPr>
        <w:t>I</w:t>
      </w:r>
      <w:r w:rsidR="00417F55" w:rsidRPr="00D07897">
        <w:rPr>
          <w:rFonts w:ascii="Book Antiqua" w:hAnsi="Book Antiqua" w:cs="Arial"/>
          <w:color w:val="000000" w:themeColor="text1"/>
        </w:rPr>
        <w:t>ndicates</w:t>
      </w:r>
      <w:proofErr w:type="spellEnd"/>
      <w:proofErr w:type="gramEnd"/>
      <w:r w:rsidR="00417F55" w:rsidRPr="00D07897">
        <w:rPr>
          <w:rFonts w:ascii="Book Antiqua" w:hAnsi="Book Antiqua" w:cs="Arial"/>
          <w:color w:val="000000" w:themeColor="text1"/>
        </w:rPr>
        <w:t xml:space="preserve"> significant</w:t>
      </w:r>
      <w:r w:rsidR="006B692F" w:rsidRPr="00D07897">
        <w:rPr>
          <w:rFonts w:ascii="Book Antiqua" w:hAnsi="Book Antiqua" w:cs="Arial"/>
          <w:i/>
          <w:iCs/>
          <w:color w:val="000000" w:themeColor="text1"/>
        </w:rPr>
        <w:t xml:space="preserve"> P</w:t>
      </w:r>
      <w:r w:rsidR="006B692F" w:rsidRPr="00D07897">
        <w:rPr>
          <w:rFonts w:ascii="Book Antiqua" w:hAnsi="Book Antiqua" w:cs="Arial"/>
          <w:color w:val="000000" w:themeColor="text1"/>
        </w:rPr>
        <w:t xml:space="preserve"> </w:t>
      </w:r>
      <w:r w:rsidR="00417F55" w:rsidRPr="00D07897">
        <w:rPr>
          <w:rFonts w:ascii="Book Antiqua" w:hAnsi="Book Antiqua" w:cs="Arial"/>
          <w:color w:val="000000" w:themeColor="text1"/>
        </w:rPr>
        <w:t>value</w:t>
      </w:r>
      <w:r w:rsidRPr="00D07897">
        <w:rPr>
          <w:rFonts w:ascii="Book Antiqua" w:hAnsi="Book Antiqua" w:cs="Arial"/>
          <w:color w:val="000000" w:themeColor="text1"/>
        </w:rPr>
        <w:t xml:space="preserve"> &lt;</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rPr>
        <w:t>0.05)</w:t>
      </w:r>
      <w:r w:rsidR="006B692F" w:rsidRPr="00D07897">
        <w:rPr>
          <w:rFonts w:ascii="Book Antiqua" w:hAnsi="Book Antiqua" w:cs="Arial"/>
          <w:color w:val="000000" w:themeColor="text1"/>
        </w:rPr>
        <w:t xml:space="preserve">; </w:t>
      </w:r>
      <w:r w:rsidRPr="00D07897">
        <w:rPr>
          <w:rFonts w:ascii="Book Antiqua" w:hAnsi="Book Antiqua" w:cs="Arial"/>
          <w:color w:val="000000" w:themeColor="text1"/>
          <w:shd w:val="clear" w:color="auto" w:fill="FFFFFF"/>
          <w:vertAlign w:val="superscript"/>
        </w:rPr>
        <w:t>1</w:t>
      </w:r>
      <w:r w:rsidR="003B60E8" w:rsidRPr="00D07897">
        <w:rPr>
          <w:rFonts w:ascii="Book Antiqua" w:hAnsi="Book Antiqua" w:cs="Arial"/>
          <w:color w:val="000000" w:themeColor="text1"/>
        </w:rPr>
        <w:t>Newly occurred stenosis, fistula or abscess</w:t>
      </w:r>
      <w:r w:rsidR="006B692F" w:rsidRPr="00D07897">
        <w:rPr>
          <w:rFonts w:ascii="Book Antiqua" w:hAnsi="Book Antiqua" w:cs="Arial"/>
          <w:color w:val="000000" w:themeColor="text1"/>
        </w:rPr>
        <w:t xml:space="preserve">. NST: Nutrition screening tools; NRS-2002: Nutrition Risk Screening 2002; </w:t>
      </w:r>
      <w:r w:rsidR="00EB6E66" w:rsidRPr="00D07897">
        <w:rPr>
          <w:rFonts w:ascii="Book Antiqua" w:hAnsi="Book Antiqua" w:cs="Arial"/>
          <w:color w:val="000000" w:themeColor="text1"/>
        </w:rPr>
        <w:t>NRI: Nutritional Risk Index; MIRT: Malnutrition Inflammation Risk Tool.</w:t>
      </w:r>
      <w:bookmarkStart w:id="138" w:name="_Hlk520583270"/>
    </w:p>
    <w:p w14:paraId="586DC2A7" w14:textId="07CFA10C" w:rsidR="00150811" w:rsidRPr="00D07897" w:rsidRDefault="00150811">
      <w:pPr>
        <w:rPr>
          <w:rFonts w:ascii="Book Antiqua" w:hAnsi="Book Antiqua" w:cs="Arial"/>
          <w:color w:val="000000" w:themeColor="text1"/>
        </w:rPr>
      </w:pPr>
      <w:r w:rsidRPr="00D07897">
        <w:rPr>
          <w:rFonts w:ascii="Book Antiqua" w:hAnsi="Book Antiqua" w:cs="Arial"/>
          <w:color w:val="000000" w:themeColor="text1"/>
        </w:rPr>
        <w:br w:type="page"/>
      </w:r>
    </w:p>
    <w:p w14:paraId="0B308A4E" w14:textId="7176EDE0" w:rsidR="00417F55" w:rsidRPr="00D07897" w:rsidRDefault="009D2B3F" w:rsidP="00F96F15">
      <w:pPr>
        <w:spacing w:line="360" w:lineRule="auto"/>
        <w:jc w:val="both"/>
        <w:rPr>
          <w:rFonts w:ascii="Book Antiqua" w:hAnsi="Book Antiqua" w:cs="Arial"/>
          <w:b/>
          <w:bCs/>
          <w:color w:val="000000" w:themeColor="text1"/>
        </w:rPr>
      </w:pPr>
      <w:r w:rsidRPr="00D07897">
        <w:rPr>
          <w:rFonts w:ascii="Book Antiqua" w:hAnsi="Book Antiqua" w:cs="Arial"/>
          <w:b/>
          <w:bCs/>
          <w:color w:val="000000" w:themeColor="text1"/>
        </w:rPr>
        <w:lastRenderedPageBreak/>
        <w:t xml:space="preserve">Table </w:t>
      </w:r>
      <w:r w:rsidR="00010CD2" w:rsidRPr="00D07897">
        <w:rPr>
          <w:rFonts w:ascii="Book Antiqua" w:hAnsi="Book Antiqua" w:cs="Arial"/>
          <w:b/>
          <w:bCs/>
          <w:color w:val="000000" w:themeColor="text1"/>
        </w:rPr>
        <w:t>8</w:t>
      </w:r>
      <w:r w:rsidR="00417F55" w:rsidRPr="00D07897">
        <w:rPr>
          <w:rFonts w:ascii="Book Antiqua" w:hAnsi="Book Antiqua" w:cs="Arial"/>
          <w:b/>
          <w:bCs/>
          <w:color w:val="000000" w:themeColor="text1"/>
        </w:rPr>
        <w:t xml:space="preserve"> Significant </w:t>
      </w:r>
      <w:r w:rsidR="00056CDC" w:rsidRPr="00D07897">
        <w:rPr>
          <w:rFonts w:ascii="Book Antiqua" w:hAnsi="Book Antiqua" w:cs="Arial"/>
          <w:b/>
          <w:bCs/>
          <w:color w:val="000000" w:themeColor="text1"/>
        </w:rPr>
        <w:t xml:space="preserve">nutrition assessment tool correlations with clinical outcomes </w:t>
      </w:r>
    </w:p>
    <w:tbl>
      <w:tblPr>
        <w:tblW w:w="0" w:type="auto"/>
        <w:tblLook w:val="04A0" w:firstRow="1" w:lastRow="0" w:firstColumn="1" w:lastColumn="0" w:noHBand="0" w:noVBand="1"/>
      </w:tblPr>
      <w:tblGrid>
        <w:gridCol w:w="1384"/>
        <w:gridCol w:w="4322"/>
        <w:gridCol w:w="2516"/>
        <w:gridCol w:w="4111"/>
        <w:gridCol w:w="2067"/>
      </w:tblGrid>
      <w:tr w:rsidR="00F96F15" w:rsidRPr="00D07897" w14:paraId="7B0461E6" w14:textId="77777777" w:rsidTr="00056CDC">
        <w:tc>
          <w:tcPr>
            <w:tcW w:w="1384" w:type="dxa"/>
            <w:tcBorders>
              <w:top w:val="single" w:sz="4" w:space="0" w:color="auto"/>
              <w:bottom w:val="single" w:sz="4" w:space="0" w:color="auto"/>
            </w:tcBorders>
            <w:shd w:val="clear" w:color="auto" w:fill="auto"/>
            <w:vAlign w:val="center"/>
          </w:tcPr>
          <w:p w14:paraId="60368E5A" w14:textId="77777777" w:rsidR="00417F55" w:rsidRPr="00D07897" w:rsidRDefault="00417F55"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NAT</w:t>
            </w:r>
          </w:p>
        </w:tc>
        <w:tc>
          <w:tcPr>
            <w:tcW w:w="4322" w:type="dxa"/>
            <w:tcBorders>
              <w:top w:val="single" w:sz="4" w:space="0" w:color="auto"/>
              <w:bottom w:val="single" w:sz="4" w:space="0" w:color="auto"/>
            </w:tcBorders>
            <w:shd w:val="clear" w:color="auto" w:fill="auto"/>
            <w:vAlign w:val="center"/>
          </w:tcPr>
          <w:p w14:paraId="27FFFF7E" w14:textId="20873401" w:rsidR="00417F55" w:rsidRPr="00D07897" w:rsidRDefault="00417F55"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 xml:space="preserve">Comparative </w:t>
            </w:r>
            <w:r w:rsidR="00056CDC" w:rsidRPr="00D07897">
              <w:rPr>
                <w:rFonts w:ascii="Book Antiqua" w:hAnsi="Book Antiqua" w:cs="Arial"/>
                <w:b/>
                <w:color w:val="000000" w:themeColor="text1"/>
              </w:rPr>
              <w:t>outcome measure</w:t>
            </w:r>
          </w:p>
        </w:tc>
        <w:tc>
          <w:tcPr>
            <w:tcW w:w="2516" w:type="dxa"/>
            <w:tcBorders>
              <w:top w:val="single" w:sz="4" w:space="0" w:color="auto"/>
              <w:bottom w:val="single" w:sz="4" w:space="0" w:color="auto"/>
            </w:tcBorders>
            <w:shd w:val="clear" w:color="auto" w:fill="auto"/>
            <w:vAlign w:val="center"/>
          </w:tcPr>
          <w:p w14:paraId="22F954B9" w14:textId="00517EFF" w:rsidR="00417F55" w:rsidRPr="00D07897" w:rsidRDefault="00417F55"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 xml:space="preserve">Statistical </w:t>
            </w:r>
            <w:r w:rsidR="00056CDC" w:rsidRPr="00D07897">
              <w:rPr>
                <w:rFonts w:ascii="Book Antiqua" w:hAnsi="Book Antiqua" w:cs="Arial"/>
                <w:b/>
                <w:color w:val="000000" w:themeColor="text1"/>
              </w:rPr>
              <w:t>a</w:t>
            </w:r>
            <w:r w:rsidRPr="00D07897">
              <w:rPr>
                <w:rFonts w:ascii="Book Antiqua" w:hAnsi="Book Antiqua" w:cs="Arial"/>
                <w:b/>
                <w:color w:val="000000" w:themeColor="text1"/>
              </w:rPr>
              <w:t>nalysis</w:t>
            </w:r>
          </w:p>
        </w:tc>
        <w:tc>
          <w:tcPr>
            <w:tcW w:w="4111" w:type="dxa"/>
            <w:tcBorders>
              <w:top w:val="single" w:sz="4" w:space="0" w:color="auto"/>
              <w:bottom w:val="single" w:sz="4" w:space="0" w:color="auto"/>
            </w:tcBorders>
            <w:shd w:val="clear" w:color="auto" w:fill="auto"/>
            <w:vAlign w:val="center"/>
          </w:tcPr>
          <w:p w14:paraId="52340FC7" w14:textId="77777777" w:rsidR="00417F55" w:rsidRPr="00D07897" w:rsidRDefault="00417F55"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Result</w:t>
            </w:r>
          </w:p>
        </w:tc>
        <w:tc>
          <w:tcPr>
            <w:tcW w:w="2067" w:type="dxa"/>
            <w:tcBorders>
              <w:top w:val="single" w:sz="4" w:space="0" w:color="auto"/>
              <w:bottom w:val="single" w:sz="4" w:space="0" w:color="auto"/>
            </w:tcBorders>
            <w:shd w:val="clear" w:color="auto" w:fill="auto"/>
            <w:vAlign w:val="center"/>
          </w:tcPr>
          <w:p w14:paraId="324E2594" w14:textId="77777777" w:rsidR="00417F55" w:rsidRPr="00D07897" w:rsidRDefault="00417F55" w:rsidP="00F96F15">
            <w:pPr>
              <w:spacing w:line="360" w:lineRule="auto"/>
              <w:jc w:val="both"/>
              <w:rPr>
                <w:rFonts w:ascii="Book Antiqua" w:hAnsi="Book Antiqua" w:cs="Arial"/>
                <w:b/>
                <w:color w:val="000000" w:themeColor="text1"/>
              </w:rPr>
            </w:pPr>
            <w:r w:rsidRPr="00D07897">
              <w:rPr>
                <w:rFonts w:ascii="Book Antiqua" w:hAnsi="Book Antiqua" w:cs="Arial"/>
                <w:b/>
                <w:color w:val="000000" w:themeColor="text1"/>
              </w:rPr>
              <w:t>Study ID</w:t>
            </w:r>
          </w:p>
        </w:tc>
      </w:tr>
      <w:tr w:rsidR="00F96F15" w:rsidRPr="00D07897" w14:paraId="07045D43" w14:textId="77777777" w:rsidTr="00056CDC">
        <w:trPr>
          <w:trHeight w:val="418"/>
        </w:trPr>
        <w:tc>
          <w:tcPr>
            <w:tcW w:w="1384" w:type="dxa"/>
            <w:tcBorders>
              <w:top w:val="single" w:sz="4" w:space="0" w:color="auto"/>
            </w:tcBorders>
            <w:shd w:val="clear" w:color="auto" w:fill="auto"/>
          </w:tcPr>
          <w:p w14:paraId="00AD6CB8" w14:textId="1B2CE4FF" w:rsidR="003E0CE8" w:rsidRPr="00D07897" w:rsidRDefault="003E0CE8"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SGA</w:t>
            </w:r>
          </w:p>
        </w:tc>
        <w:tc>
          <w:tcPr>
            <w:tcW w:w="4322" w:type="dxa"/>
            <w:tcBorders>
              <w:top w:val="single" w:sz="4" w:space="0" w:color="auto"/>
            </w:tcBorders>
            <w:shd w:val="clear" w:color="auto" w:fill="auto"/>
          </w:tcPr>
          <w:p w14:paraId="18308EFC" w14:textId="2459CF7F" w:rsidR="003E0CE8" w:rsidRPr="00D07897" w:rsidRDefault="003E0CE8"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Length of stay in hospital</w:t>
            </w:r>
          </w:p>
        </w:tc>
        <w:tc>
          <w:tcPr>
            <w:tcW w:w="2516" w:type="dxa"/>
            <w:tcBorders>
              <w:top w:val="single" w:sz="4" w:space="0" w:color="auto"/>
            </w:tcBorders>
            <w:shd w:val="clear" w:color="auto" w:fill="auto"/>
          </w:tcPr>
          <w:p w14:paraId="19EA1F9C" w14:textId="5563CD2E" w:rsidR="003E0CE8" w:rsidRPr="00D07897" w:rsidRDefault="003E0CE8"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Chi-</w:t>
            </w:r>
            <w:r w:rsidR="00056CDC" w:rsidRPr="00D07897">
              <w:rPr>
                <w:rFonts w:ascii="Book Antiqua" w:hAnsi="Book Antiqua" w:cs="Arial"/>
                <w:color w:val="000000" w:themeColor="text1"/>
              </w:rPr>
              <w:t>square test</w:t>
            </w:r>
          </w:p>
        </w:tc>
        <w:tc>
          <w:tcPr>
            <w:tcW w:w="4111" w:type="dxa"/>
            <w:tcBorders>
              <w:top w:val="single" w:sz="4" w:space="0" w:color="auto"/>
            </w:tcBorders>
            <w:shd w:val="clear" w:color="auto" w:fill="auto"/>
          </w:tcPr>
          <w:p w14:paraId="45CB5C48" w14:textId="3BCC7598" w:rsidR="003E0CE8" w:rsidRPr="00D07897" w:rsidRDefault="00056CDC" w:rsidP="00F96F15">
            <w:pPr>
              <w:spacing w:line="360" w:lineRule="auto"/>
              <w:jc w:val="both"/>
              <w:rPr>
                <w:rFonts w:ascii="Book Antiqua" w:hAnsi="Book Antiqua" w:cs="Arial"/>
                <w:color w:val="000000" w:themeColor="text1"/>
              </w:rPr>
            </w:pPr>
            <w:r w:rsidRPr="00D07897">
              <w:rPr>
                <w:rFonts w:ascii="Book Antiqua" w:hAnsi="Book Antiqua" w:cs="Arial"/>
                <w:i/>
                <w:iCs/>
                <w:color w:val="000000" w:themeColor="text1"/>
              </w:rPr>
              <w:t>P</w:t>
            </w:r>
            <w:r w:rsidRPr="00D07897">
              <w:rPr>
                <w:rFonts w:ascii="Book Antiqua" w:hAnsi="Book Antiqua" w:cs="Arial"/>
                <w:color w:val="000000" w:themeColor="text1"/>
              </w:rPr>
              <w:t xml:space="preserve"> </w:t>
            </w:r>
            <w:r w:rsidR="003E0CE8" w:rsidRPr="00D07897">
              <w:rPr>
                <w:rFonts w:ascii="Book Antiqua" w:hAnsi="Book Antiqua" w:cs="Arial"/>
                <w:color w:val="000000" w:themeColor="text1"/>
              </w:rPr>
              <w:t>=</w:t>
            </w:r>
            <w:r w:rsidRPr="00D07897">
              <w:rPr>
                <w:rFonts w:ascii="Book Antiqua" w:hAnsi="Book Antiqua" w:cs="Arial"/>
                <w:color w:val="000000" w:themeColor="text1"/>
              </w:rPr>
              <w:t xml:space="preserve"> </w:t>
            </w:r>
            <w:r w:rsidR="003E0CE8" w:rsidRPr="00D07897">
              <w:rPr>
                <w:rFonts w:ascii="Book Antiqua" w:hAnsi="Book Antiqua" w:cs="Arial"/>
                <w:color w:val="000000" w:themeColor="text1"/>
              </w:rPr>
              <w:t>0.008</w:t>
            </w:r>
          </w:p>
        </w:tc>
        <w:tc>
          <w:tcPr>
            <w:tcW w:w="2067" w:type="dxa"/>
            <w:tcBorders>
              <w:top w:val="single" w:sz="4" w:space="0" w:color="auto"/>
            </w:tcBorders>
            <w:shd w:val="clear" w:color="auto" w:fill="auto"/>
          </w:tcPr>
          <w:p w14:paraId="25A0059F" w14:textId="7DC08189" w:rsidR="003E0CE8" w:rsidRPr="00D07897" w:rsidRDefault="003E0CE8"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Takaoka </w:t>
            </w:r>
            <w:r w:rsidR="00C24200" w:rsidRPr="00D07897">
              <w:rPr>
                <w:rFonts w:ascii="Book Antiqua" w:hAnsi="Book Antiqua" w:cs="Arial"/>
                <w:i/>
                <w:color w:val="000000" w:themeColor="text1"/>
              </w:rPr>
              <w:t>et al</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{"citationItems":[{"id":"ITEM-1","itemData":{"DOI":"10.1159/000485637","ISSN":"1421-9697 (Electronic)","PMID":"29241167","abstract":"BACKGROUND/AIMS: Hospitalized patients with Crohn's disease (CD) can develop severe nutritional deficits. However, the nutritional screening tools with the most utility for such patients are still unknown. METHODS: Nutritional status of 40 CD patients was assessed on admission using several screening tools and laboratory tests. Their validity was evaluated in relation to length of hospital stay (LOS) and intestinal resection. Receiver operating characteristic analysis was performed to predict prolonged LOS (&gt;/=28 days). RESULTS: Prolonged LOS was correlated with each of the following screening parameters: Subjective Global Assessment, Nutrition Risk Screening 2002 (NRS 2002), Onodera's Prognostic Nutritional Index (O-PNI), Controlling Nutritional Status, serum albumin level, and weight loss. These parameters were not correlated with intestinal resection. Evaluation of prognostic yield showed cutoff values of serum albumin 3.3 g/dL (AUC 0.797, sensitivity 57.1%, specificity 89.5%) and O-PNI 36.5 (0.749, 71.4%, 73.7%). By combining the serum albumin cutoff value and NRS 2002 score, patients were divided into 4 groups, with a prolonged LOS rate of 68.2% in the group with the worst prognosis. CONCLUSIONS: A combination of serum albumin (given the simplicity of testing) and NRS 2002 as nutritional screening tools may be useful for hospitalized CD patients.","author":[{"dropping-particle":"","family":"Takaoka","given":"Azusa","non-dropping-particle":"","parse-names":false,"suffix":""},{"dropping-particle":"","family":"Sasaki","given":"Masaya","non-dropping-particle":"","parse-names":false,"suffix":""},{"dropping-particle":"","family":"Nakanishi","given":"Naoko","non-dropping-particle":"","parse-names":false,"suffix":""},{"dropping-particle":"","family":"Kurihara","given":"Mika","non-dropping-particle":"","parse-names":false,"suffix":""},{"dropping-particle":"","family":"Ohi","given":"Akiko","non-dropping-particle":"","parse-names":false,"suffix":""},{"dropping-particle":"","family":"Bamba","given":"Shigeki","non-dropping-particle":"","parse-names":false,"suffix":""},{"dropping-particle":"","family":"Andoh","given":"Akira","non-dropping-particle":"","parse-names":false,"suffix":""}],"container-title":"Annals of nutrition &amp; metabolism","id":"ITEM-1","issue":"3-4","issued":{"date-parts":[["2017"]]},"language":"eng","page":"266-272","publisher-place":"Switzerland","title":"Nutritional Screening and Clinical Outcome in Hospitalized Patients with Crohn's  Disease.","type":"article-journal","volume":"71"},"uris":["http://www.mendeley.com/documents/?uuid=cd857bcf-f832-4ca4-aa54-3d63c71b8d64"]}],"mendeley":{"formattedCitation":"&lt;sup&gt;[13]&lt;/sup&gt;","plainTextFormattedCitation":"[13]","previouslyFormattedCitation":"&lt;sup&gt;[13]&lt;/sup&gt;"},"properties":{"noteIndex":0},"schema":"https://github.com/citation-style-language/schema/raw/master/csl-citation.json"}</w:instrText>
            </w:r>
            <w:r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[13]</w:t>
            </w:r>
            <w:r w:rsidRPr="00D07897">
              <w:rPr>
                <w:rFonts w:ascii="Book Antiqua" w:hAnsi="Book Antiqua" w:cs="Arial"/>
                <w:color w:val="000000" w:themeColor="text1"/>
              </w:rPr>
              <w:fldChar w:fldCharType="end"/>
            </w:r>
          </w:p>
        </w:tc>
      </w:tr>
      <w:tr w:rsidR="00F96F15" w:rsidRPr="00D07897" w14:paraId="470C297A" w14:textId="77777777" w:rsidTr="00056CDC">
        <w:trPr>
          <w:trHeight w:val="280"/>
        </w:trPr>
        <w:tc>
          <w:tcPr>
            <w:tcW w:w="1384" w:type="dxa"/>
            <w:vMerge w:val="restart"/>
            <w:shd w:val="clear" w:color="auto" w:fill="auto"/>
            <w:vAlign w:val="center"/>
          </w:tcPr>
          <w:p w14:paraId="36AF58C7" w14:textId="0934446E" w:rsidR="00FE77F9" w:rsidRPr="00D07897" w:rsidRDefault="00FE77F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Sarcopenia </w:t>
            </w:r>
          </w:p>
        </w:tc>
        <w:tc>
          <w:tcPr>
            <w:tcW w:w="4322" w:type="dxa"/>
            <w:vMerge w:val="restart"/>
            <w:shd w:val="clear" w:color="auto" w:fill="auto"/>
          </w:tcPr>
          <w:p w14:paraId="7FEDA122" w14:textId="703CAE28" w:rsidR="00FE77F9" w:rsidRPr="00D07897" w:rsidRDefault="00FE77F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Change in IBD disease activity at 6 </w:t>
            </w:r>
            <w:proofErr w:type="spellStart"/>
            <w:r w:rsidRPr="00D07897">
              <w:rPr>
                <w:rFonts w:ascii="Book Antiqua" w:hAnsi="Book Antiqua" w:cs="Arial"/>
                <w:color w:val="000000" w:themeColor="text1"/>
              </w:rPr>
              <w:t>mo</w:t>
            </w:r>
            <w:proofErr w:type="spellEnd"/>
            <w:r w:rsidRPr="00D07897">
              <w:rPr>
                <w:rFonts w:ascii="Book Antiqua" w:hAnsi="Book Antiqua" w:cs="Arial"/>
                <w:color w:val="000000" w:themeColor="text1"/>
              </w:rPr>
              <w:t xml:space="preserve"> (HBI) </w:t>
            </w:r>
          </w:p>
        </w:tc>
        <w:tc>
          <w:tcPr>
            <w:tcW w:w="2516" w:type="dxa"/>
            <w:vMerge w:val="restart"/>
            <w:shd w:val="clear" w:color="auto" w:fill="auto"/>
          </w:tcPr>
          <w:p w14:paraId="5A4B8332" w14:textId="00A7446E" w:rsidR="00FE77F9" w:rsidRPr="00D07897" w:rsidRDefault="00FE77F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Paired </w:t>
            </w:r>
            <w:r w:rsidRPr="00D07897">
              <w:rPr>
                <w:rFonts w:ascii="Book Antiqua" w:hAnsi="Book Antiqua" w:cs="Arial"/>
                <w:i/>
                <w:iCs/>
                <w:color w:val="000000" w:themeColor="text1"/>
              </w:rPr>
              <w:t>t</w:t>
            </w:r>
            <w:r w:rsidRPr="00D07897">
              <w:rPr>
                <w:rFonts w:ascii="Book Antiqua" w:hAnsi="Book Antiqua" w:cs="Arial"/>
                <w:color w:val="000000" w:themeColor="text1"/>
              </w:rPr>
              <w:t xml:space="preserve">-test (baseline </w:t>
            </w:r>
            <w:proofErr w:type="spellStart"/>
            <w:r w:rsidRPr="00D07897">
              <w:rPr>
                <w:rFonts w:ascii="Book Antiqua" w:hAnsi="Book Antiqua" w:cs="Arial"/>
                <w:i/>
                <w:iCs/>
                <w:color w:val="000000" w:themeColor="text1"/>
              </w:rPr>
              <w:t>vs</w:t>
            </w:r>
            <w:proofErr w:type="spellEnd"/>
            <w:r w:rsidRPr="00D07897">
              <w:rPr>
                <w:rFonts w:ascii="Book Antiqua" w:hAnsi="Book Antiqua" w:cs="Arial"/>
                <w:color w:val="000000" w:themeColor="text1"/>
              </w:rPr>
              <w:t xml:space="preserve"> 6 </w:t>
            </w:r>
            <w:proofErr w:type="spellStart"/>
            <w:r w:rsidRPr="00D07897">
              <w:rPr>
                <w:rFonts w:ascii="Book Antiqua" w:hAnsi="Book Antiqua" w:cs="Arial"/>
                <w:color w:val="000000" w:themeColor="text1"/>
              </w:rPr>
              <w:t>mo</w:t>
            </w:r>
            <w:proofErr w:type="spellEnd"/>
            <w:r w:rsidRPr="00D07897">
              <w:rPr>
                <w:rFonts w:ascii="Book Antiqua" w:hAnsi="Book Antiqua" w:cs="Arial"/>
                <w:color w:val="000000" w:themeColor="text1"/>
              </w:rPr>
              <w:t xml:space="preserve">) </w:t>
            </w:r>
          </w:p>
        </w:tc>
        <w:tc>
          <w:tcPr>
            <w:tcW w:w="4111" w:type="dxa"/>
            <w:shd w:val="clear" w:color="auto" w:fill="auto"/>
          </w:tcPr>
          <w:p w14:paraId="1DF4FA18" w14:textId="4164AEE9" w:rsidR="00FE77F9" w:rsidRPr="00D07897" w:rsidRDefault="00FE77F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Sarcopenic: 0.4 (</w:t>
            </w:r>
            <w:r w:rsidR="00056CDC" w:rsidRPr="00D07897">
              <w:rPr>
                <w:rFonts w:ascii="Book Antiqua" w:hAnsi="Book Antiqua" w:cs="Arial"/>
                <w:i/>
                <w:iCs/>
                <w:color w:val="000000" w:themeColor="text1"/>
              </w:rPr>
              <w:t>P</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0.80)</w:t>
            </w:r>
          </w:p>
        </w:tc>
        <w:tc>
          <w:tcPr>
            <w:tcW w:w="2067" w:type="dxa"/>
            <w:vMerge w:val="restart"/>
            <w:shd w:val="clear" w:color="auto" w:fill="auto"/>
          </w:tcPr>
          <w:p w14:paraId="5A2B37E5" w14:textId="3FFDB85D" w:rsidR="00FE77F9" w:rsidRPr="00D07897" w:rsidRDefault="00FE77F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Adams </w:t>
            </w:r>
            <w:r w:rsidR="00C24200" w:rsidRPr="00D07897">
              <w:rPr>
                <w:rFonts w:ascii="Book Antiqua" w:hAnsi="Book Antiqua" w:cs="Arial"/>
                <w:i/>
                <w:color w:val="000000" w:themeColor="text1"/>
              </w:rPr>
              <w:t>et al</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{"citationItems":[{"id":"ITEM-1","itemData":{"DOI":"10.1097/MIB.0000000000001128","ISSN":"1536-4844 (Electronic)","PMID":"28410342","abstract":"BACKGROUND: Inflammatory bowel disease (IBD) is associated with altered body composition, such as low muscle mass, which affects clinical outcomes. Body composition changes in overweight patients with IBD are less understood. The study aim was to determine the prevalence of sarcopenic overweight and obese patients in a cohort of patients with IBD starting new anti-tumor necrosis factor-alpha therapy and examine differences in response. METHODS: This is a retrospective review of patients with IBD starting a new anti-tumor necrosis factor-alpha medication that had computed tomography within 3 months of initiation. L3 vertebral slice was used for segmentation of body composition and identification of sarcopenia. CRP, ESR, Harvey Bradshaw Index, albumin, 25-OH vitamin D, and body mass index at anti-tumor necrosis factor-alpha initiation and at 6 months were collected. Outcomes included hospitalization, need for surgery, or new biological medication. RESULTS: Ninety patients were studied. Forty-one of ninety (45%) were sarcopenic; of these, 17 (41.5%) had a normal body mass index and 8 (19.5%) were overweight/obese. More men were sarcopenic (68% versus 32%, P &lt; 0.001). CRP was higher and albumin lower in sarcopenic subjects. Sarcopenia did not predict outcomes in the cohort but was the only significant predictor of need for surgery in overweight and obese subjects (P = 0.002). CONCLUSIONS: Almost half of our cohort was sarcopenic. Most of these patients are normal or overweight and would not be identified as malnourished by traditional measures. Sarcopenia was a predictor of surgery in patients with a body mass index &gt;/= 25. Identification of sarcopenia has implications for medical nutrition therapy as typically efforts are focused on underweight patients.","author":[{"dropping-particle":"","family":"Adams","given":"Dawn W","non-dropping-particle":"","parse-names":false,"suffix":""},{"dropping-particle":"","family":"Gurwara","given":"Shelly","non-dropping-particle":"","parse-names":false,"suffix":""},{"dropping-particle":"","family":"Silver","given":"Heidi J","non-dropping-particle":"","parse-names":false,"suffix":""},{"dropping-particle":"","family":"Horst","given":"Sara N","non-dropping-particle":"","parse-names":false,"suffix":""},{"dropping-particle":"","family":"Beaulieu","given":"Dawn B","non-dropping-particle":"","parse-names":false,"suffix":""},{"dropping-particle":"","family":"Schwartz","given":"David A","non-dropping-particle":"","parse-names":false,"suffix":""},{"dropping-particle":"","family":"Seidner","given":"Douglas L","non-dropping-particle":"","parse-names":false,"suffix":""}],"container-title":"Inflammatory bowel diseases","id":"ITEM-1","issue":"7","issued":{"date-parts":[["2017","7"]]},"language":"eng","page":"1182-1186","publisher-place":"United States","title":"Sarcopenia Is Common in Overweight Patients with Inflammatory Bowel Disease and May Predict Need for Surgery.","type":"article-journal","volume":"23"},"uris":["http://www.mendeley.com/documents/?uuid=6b4f2d39-091b-48c7-a8f9-3935125eeaf6"]}],"mendeley":{"formattedCitation":"&lt;sup&gt;[33]&lt;/sup&gt;","plainTextFormattedCitation":"[33]","previouslyFormattedCitation":"&lt;sup&gt;[32]&lt;/sup&gt;"},"properties":{"noteIndex":0},"schema":"https://github.com/citation-style-language/schema/raw/master/csl-citation.json"}</w:instrText>
            </w:r>
            <w:r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[33]</w:t>
            </w:r>
            <w:r w:rsidRPr="00D07897">
              <w:rPr>
                <w:rFonts w:ascii="Book Antiqua" w:hAnsi="Book Antiqua" w:cs="Arial"/>
                <w:color w:val="000000" w:themeColor="text1"/>
              </w:rPr>
              <w:fldChar w:fldCharType="end"/>
            </w:r>
          </w:p>
        </w:tc>
      </w:tr>
      <w:tr w:rsidR="00F96F15" w:rsidRPr="00D07897" w14:paraId="175899EA" w14:textId="77777777" w:rsidTr="00056CDC">
        <w:trPr>
          <w:trHeight w:val="280"/>
        </w:trPr>
        <w:tc>
          <w:tcPr>
            <w:tcW w:w="1384" w:type="dxa"/>
            <w:vMerge/>
            <w:shd w:val="clear" w:color="auto" w:fill="auto"/>
            <w:vAlign w:val="center"/>
          </w:tcPr>
          <w:p w14:paraId="38A00CA1" w14:textId="77777777" w:rsidR="00FE77F9" w:rsidRPr="00D07897" w:rsidRDefault="00FE77F9" w:rsidP="00F96F15">
            <w:pPr>
              <w:spacing w:line="360" w:lineRule="auto"/>
              <w:jc w:val="both"/>
              <w:rPr>
                <w:rFonts w:ascii="Book Antiqua" w:hAnsi="Book Antiqua" w:cs="Arial"/>
                <w:color w:val="000000" w:themeColor="text1"/>
              </w:rPr>
            </w:pPr>
          </w:p>
        </w:tc>
        <w:tc>
          <w:tcPr>
            <w:tcW w:w="4322" w:type="dxa"/>
            <w:vMerge/>
            <w:shd w:val="clear" w:color="auto" w:fill="auto"/>
          </w:tcPr>
          <w:p w14:paraId="6F11581F" w14:textId="77777777" w:rsidR="00FE77F9" w:rsidRPr="00D07897" w:rsidRDefault="00FE77F9" w:rsidP="00F96F15">
            <w:pPr>
              <w:spacing w:line="360" w:lineRule="auto"/>
              <w:jc w:val="both"/>
              <w:rPr>
                <w:rFonts w:ascii="Book Antiqua" w:hAnsi="Book Antiqua" w:cs="Arial"/>
                <w:color w:val="000000" w:themeColor="text1"/>
              </w:rPr>
            </w:pPr>
          </w:p>
        </w:tc>
        <w:tc>
          <w:tcPr>
            <w:tcW w:w="2516" w:type="dxa"/>
            <w:vMerge/>
            <w:shd w:val="clear" w:color="auto" w:fill="auto"/>
          </w:tcPr>
          <w:p w14:paraId="076EA316" w14:textId="77777777" w:rsidR="00FE77F9" w:rsidRPr="00D07897" w:rsidRDefault="00FE77F9" w:rsidP="00F96F15">
            <w:pPr>
              <w:spacing w:line="360" w:lineRule="auto"/>
              <w:jc w:val="both"/>
              <w:rPr>
                <w:rFonts w:ascii="Book Antiqua" w:hAnsi="Book Antiqua" w:cs="Arial"/>
                <w:color w:val="000000" w:themeColor="text1"/>
              </w:rPr>
            </w:pPr>
          </w:p>
        </w:tc>
        <w:tc>
          <w:tcPr>
            <w:tcW w:w="4111" w:type="dxa"/>
            <w:shd w:val="clear" w:color="auto" w:fill="auto"/>
          </w:tcPr>
          <w:p w14:paraId="3A73465A" w14:textId="06652F6D" w:rsidR="00FE77F9" w:rsidRPr="00D07897" w:rsidRDefault="00FE77F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Non-</w:t>
            </w:r>
            <w:r w:rsidR="00056CDC" w:rsidRPr="00D07897">
              <w:rPr>
                <w:rFonts w:ascii="Book Antiqua" w:hAnsi="Book Antiqua" w:cs="Arial"/>
                <w:color w:val="000000" w:themeColor="text1"/>
              </w:rPr>
              <w:t>s</w:t>
            </w:r>
            <w:r w:rsidRPr="00D07897">
              <w:rPr>
                <w:rFonts w:ascii="Book Antiqua" w:hAnsi="Book Antiqua" w:cs="Arial"/>
                <w:color w:val="000000" w:themeColor="text1"/>
              </w:rPr>
              <w:t>arcopenic: -2.3 (</w:t>
            </w:r>
            <w:r w:rsidR="00056CDC" w:rsidRPr="00D07897">
              <w:rPr>
                <w:rFonts w:ascii="Book Antiqua" w:hAnsi="Book Antiqua" w:cs="Arial"/>
                <w:i/>
                <w:iCs/>
                <w:color w:val="000000" w:themeColor="text1"/>
              </w:rPr>
              <w:t>P</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0.004)</w:t>
            </w:r>
          </w:p>
        </w:tc>
        <w:tc>
          <w:tcPr>
            <w:tcW w:w="2067" w:type="dxa"/>
            <w:vMerge/>
            <w:shd w:val="clear" w:color="auto" w:fill="auto"/>
          </w:tcPr>
          <w:p w14:paraId="735ECFD8" w14:textId="77777777" w:rsidR="00FE77F9" w:rsidRPr="00D07897" w:rsidRDefault="00FE77F9" w:rsidP="00F96F15">
            <w:pPr>
              <w:spacing w:line="360" w:lineRule="auto"/>
              <w:jc w:val="both"/>
              <w:rPr>
                <w:rFonts w:ascii="Book Antiqua" w:hAnsi="Book Antiqua" w:cs="Arial"/>
                <w:color w:val="000000" w:themeColor="text1"/>
              </w:rPr>
            </w:pPr>
          </w:p>
        </w:tc>
      </w:tr>
      <w:tr w:rsidR="00F96F15" w:rsidRPr="00D07897" w14:paraId="33C45C99" w14:textId="77777777" w:rsidTr="00056CDC">
        <w:tc>
          <w:tcPr>
            <w:tcW w:w="1384" w:type="dxa"/>
            <w:vMerge/>
            <w:shd w:val="clear" w:color="auto" w:fill="auto"/>
            <w:vAlign w:val="center"/>
          </w:tcPr>
          <w:p w14:paraId="3D157701" w14:textId="77777777" w:rsidR="00FE77F9" w:rsidRPr="00D07897" w:rsidRDefault="00FE77F9" w:rsidP="00F96F15">
            <w:pPr>
              <w:spacing w:line="360" w:lineRule="auto"/>
              <w:jc w:val="both"/>
              <w:rPr>
                <w:rFonts w:ascii="Book Antiqua" w:hAnsi="Book Antiqua" w:cs="Arial"/>
                <w:color w:val="000000" w:themeColor="text1"/>
              </w:rPr>
            </w:pPr>
          </w:p>
        </w:tc>
        <w:tc>
          <w:tcPr>
            <w:tcW w:w="4322" w:type="dxa"/>
            <w:vMerge w:val="restart"/>
            <w:shd w:val="clear" w:color="auto" w:fill="auto"/>
          </w:tcPr>
          <w:p w14:paraId="7B8348C3" w14:textId="77777777" w:rsidR="00FE77F9" w:rsidRPr="00D07897" w:rsidRDefault="00FE77F9" w:rsidP="00F96F15">
            <w:pPr>
              <w:spacing w:line="360" w:lineRule="auto"/>
              <w:jc w:val="both"/>
              <w:rPr>
                <w:rFonts w:ascii="Book Antiqua" w:hAnsi="Book Antiqua" w:cs="Arial"/>
                <w:color w:val="000000" w:themeColor="text1"/>
              </w:rPr>
            </w:pPr>
          </w:p>
          <w:p w14:paraId="768B5427" w14:textId="77777777" w:rsidR="00FE77F9" w:rsidRPr="00D07897" w:rsidRDefault="00FE77F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Need for operation (operation free survival curve)</w:t>
            </w:r>
          </w:p>
          <w:p w14:paraId="5A284AFC" w14:textId="77777777" w:rsidR="00FE77F9" w:rsidRPr="00D07897" w:rsidRDefault="00FE77F9" w:rsidP="00F96F15">
            <w:pPr>
              <w:spacing w:line="360" w:lineRule="auto"/>
              <w:jc w:val="both"/>
              <w:rPr>
                <w:rFonts w:ascii="Book Antiqua" w:hAnsi="Book Antiqua" w:cs="Arial"/>
                <w:color w:val="000000" w:themeColor="text1"/>
              </w:rPr>
            </w:pPr>
          </w:p>
        </w:tc>
        <w:tc>
          <w:tcPr>
            <w:tcW w:w="2516" w:type="dxa"/>
            <w:vMerge w:val="restart"/>
            <w:shd w:val="clear" w:color="auto" w:fill="auto"/>
          </w:tcPr>
          <w:p w14:paraId="56D19843" w14:textId="77777777" w:rsidR="00FE77F9" w:rsidRPr="00D07897" w:rsidRDefault="00FE77F9" w:rsidP="00F96F15">
            <w:pPr>
              <w:spacing w:line="360" w:lineRule="auto"/>
              <w:jc w:val="both"/>
              <w:rPr>
                <w:rFonts w:ascii="Book Antiqua" w:hAnsi="Book Antiqua" w:cs="Arial"/>
                <w:color w:val="000000" w:themeColor="text1"/>
              </w:rPr>
            </w:pPr>
          </w:p>
          <w:p w14:paraId="41CB1FB3" w14:textId="77777777" w:rsidR="00FE77F9" w:rsidRPr="00D07897" w:rsidRDefault="00FE77F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Kaplan-Meier Analysis</w:t>
            </w:r>
          </w:p>
          <w:p w14:paraId="288BFC4E" w14:textId="77777777" w:rsidR="00FE77F9" w:rsidRPr="00D07897" w:rsidRDefault="00FE77F9" w:rsidP="00F96F15">
            <w:pPr>
              <w:spacing w:line="360" w:lineRule="auto"/>
              <w:jc w:val="both"/>
              <w:rPr>
                <w:rFonts w:ascii="Book Antiqua" w:hAnsi="Book Antiqua" w:cs="Arial"/>
                <w:color w:val="000000" w:themeColor="text1"/>
              </w:rPr>
            </w:pPr>
          </w:p>
        </w:tc>
        <w:tc>
          <w:tcPr>
            <w:tcW w:w="4111" w:type="dxa"/>
            <w:shd w:val="clear" w:color="auto" w:fill="auto"/>
          </w:tcPr>
          <w:p w14:paraId="1D5B13DB" w14:textId="0F342E52" w:rsidR="00FE77F9" w:rsidRPr="00D07897" w:rsidRDefault="00056CDC" w:rsidP="00F96F15">
            <w:pPr>
              <w:spacing w:line="360" w:lineRule="auto"/>
              <w:jc w:val="both"/>
              <w:rPr>
                <w:rFonts w:ascii="Book Antiqua" w:hAnsi="Book Antiqua" w:cs="Arial"/>
                <w:color w:val="000000" w:themeColor="text1"/>
              </w:rPr>
            </w:pPr>
            <w:r w:rsidRPr="00D07897">
              <w:rPr>
                <w:rFonts w:ascii="Book Antiqua" w:hAnsi="Book Antiqua" w:cs="Arial"/>
                <w:i/>
                <w:iCs/>
                <w:color w:val="000000" w:themeColor="text1"/>
              </w:rPr>
              <w:t>P</w:t>
            </w:r>
            <w:r w:rsidRPr="00D07897">
              <w:rPr>
                <w:rFonts w:ascii="Book Antiqua" w:hAnsi="Book Antiqua" w:cs="Arial"/>
                <w:color w:val="000000" w:themeColor="text1"/>
              </w:rPr>
              <w:t xml:space="preserve"> </w:t>
            </w:r>
            <w:r w:rsidR="00FE77F9" w:rsidRPr="00D07897">
              <w:rPr>
                <w:rFonts w:ascii="Book Antiqua" w:hAnsi="Book Antiqua" w:cs="Arial"/>
                <w:color w:val="000000" w:themeColor="text1"/>
              </w:rPr>
              <w:t>=</w:t>
            </w:r>
            <w:r w:rsidRPr="00D07897">
              <w:rPr>
                <w:rFonts w:ascii="Book Antiqua" w:hAnsi="Book Antiqua" w:cs="Arial"/>
                <w:color w:val="000000" w:themeColor="text1"/>
              </w:rPr>
              <w:t xml:space="preserve"> </w:t>
            </w:r>
            <w:r w:rsidR="00FE77F9" w:rsidRPr="00D07897">
              <w:rPr>
                <w:rFonts w:ascii="Book Antiqua" w:hAnsi="Book Antiqua" w:cs="Arial"/>
                <w:color w:val="000000" w:themeColor="text1"/>
              </w:rPr>
              <w:t>0.003</w:t>
            </w:r>
          </w:p>
        </w:tc>
        <w:tc>
          <w:tcPr>
            <w:tcW w:w="2067" w:type="dxa"/>
            <w:shd w:val="clear" w:color="auto" w:fill="auto"/>
          </w:tcPr>
          <w:p w14:paraId="4A157207" w14:textId="4A6B36BF" w:rsidR="00FE77F9" w:rsidRPr="00D07897" w:rsidRDefault="00FE77F9" w:rsidP="00F96F15">
            <w:pPr>
              <w:spacing w:line="360" w:lineRule="auto"/>
              <w:jc w:val="both"/>
              <w:rPr>
                <w:rFonts w:ascii="Book Antiqua" w:hAnsi="Book Antiqua" w:cs="Arial"/>
                <w:color w:val="000000" w:themeColor="text1"/>
              </w:rPr>
            </w:pPr>
            <w:proofErr w:type="spellStart"/>
            <w:r w:rsidRPr="00D07897">
              <w:rPr>
                <w:rFonts w:ascii="Book Antiqua" w:hAnsi="Book Antiqua" w:cs="Arial"/>
                <w:color w:val="000000" w:themeColor="text1"/>
              </w:rPr>
              <w:t>Bamba</w:t>
            </w:r>
            <w:proofErr w:type="spellEnd"/>
            <w:r w:rsidRPr="00D07897">
              <w:rPr>
                <w:rFonts w:ascii="Book Antiqua" w:hAnsi="Book Antiqua" w:cs="Arial"/>
                <w:color w:val="000000" w:themeColor="text1"/>
              </w:rPr>
              <w:t xml:space="preserve"> </w:t>
            </w:r>
            <w:r w:rsidR="00FF0389" w:rsidRPr="00D07897">
              <w:rPr>
                <w:rFonts w:ascii="Book Antiqua" w:hAnsi="Book Antiqua" w:cs="Arial"/>
                <w:i/>
                <w:color w:val="000000" w:themeColor="text1"/>
              </w:rPr>
              <w:t>et al</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[9]</w:t>
            </w:r>
            <w:r w:rsidRPr="00D07897">
              <w:rPr>
                <w:rFonts w:ascii="Book Antiqua" w:hAnsi="Book Antiqua" w:cs="Arial"/>
                <w:color w:val="000000" w:themeColor="text1"/>
              </w:rPr>
              <w:fldChar w:fldCharType="end"/>
            </w:r>
          </w:p>
        </w:tc>
      </w:tr>
      <w:tr w:rsidR="00F96F15" w:rsidRPr="00D07897" w14:paraId="746EDAFD" w14:textId="77777777" w:rsidTr="00056CDC">
        <w:tc>
          <w:tcPr>
            <w:tcW w:w="1384" w:type="dxa"/>
            <w:vMerge/>
            <w:shd w:val="clear" w:color="auto" w:fill="auto"/>
            <w:vAlign w:val="center"/>
          </w:tcPr>
          <w:p w14:paraId="0F211C32" w14:textId="77777777" w:rsidR="00FE77F9" w:rsidRPr="00D07897" w:rsidRDefault="00FE77F9" w:rsidP="00F96F15">
            <w:pPr>
              <w:spacing w:line="360" w:lineRule="auto"/>
              <w:jc w:val="both"/>
              <w:rPr>
                <w:rFonts w:ascii="Book Antiqua" w:hAnsi="Book Antiqua" w:cs="Arial"/>
                <w:color w:val="000000" w:themeColor="text1"/>
              </w:rPr>
            </w:pPr>
          </w:p>
        </w:tc>
        <w:tc>
          <w:tcPr>
            <w:tcW w:w="4322" w:type="dxa"/>
            <w:vMerge/>
            <w:shd w:val="clear" w:color="auto" w:fill="auto"/>
          </w:tcPr>
          <w:p w14:paraId="04437000" w14:textId="77777777" w:rsidR="00FE77F9" w:rsidRPr="00D07897" w:rsidRDefault="00FE77F9" w:rsidP="00F96F15">
            <w:pPr>
              <w:spacing w:line="360" w:lineRule="auto"/>
              <w:jc w:val="both"/>
              <w:rPr>
                <w:rFonts w:ascii="Book Antiqua" w:hAnsi="Book Antiqua" w:cs="Arial"/>
                <w:color w:val="000000" w:themeColor="text1"/>
              </w:rPr>
            </w:pPr>
          </w:p>
        </w:tc>
        <w:tc>
          <w:tcPr>
            <w:tcW w:w="2516" w:type="dxa"/>
            <w:vMerge/>
            <w:shd w:val="clear" w:color="auto" w:fill="auto"/>
          </w:tcPr>
          <w:p w14:paraId="2A2C6E91" w14:textId="77777777" w:rsidR="00FE77F9" w:rsidRPr="00D07897" w:rsidRDefault="00FE77F9" w:rsidP="00F96F15">
            <w:pPr>
              <w:spacing w:line="360" w:lineRule="auto"/>
              <w:jc w:val="both"/>
              <w:rPr>
                <w:rFonts w:ascii="Book Antiqua" w:hAnsi="Book Antiqua" w:cs="Arial"/>
                <w:color w:val="000000" w:themeColor="text1"/>
              </w:rPr>
            </w:pPr>
          </w:p>
        </w:tc>
        <w:tc>
          <w:tcPr>
            <w:tcW w:w="4111" w:type="dxa"/>
            <w:shd w:val="clear" w:color="auto" w:fill="auto"/>
          </w:tcPr>
          <w:p w14:paraId="059A7DDB" w14:textId="5FE1B07E" w:rsidR="00FE77F9" w:rsidRPr="00D07897" w:rsidRDefault="00056CDC" w:rsidP="00F96F15">
            <w:pPr>
              <w:spacing w:line="360" w:lineRule="auto"/>
              <w:jc w:val="both"/>
              <w:rPr>
                <w:rFonts w:ascii="Book Antiqua" w:hAnsi="Book Antiqua" w:cs="Arial"/>
                <w:color w:val="000000" w:themeColor="text1"/>
              </w:rPr>
            </w:pPr>
            <w:r w:rsidRPr="00D07897">
              <w:rPr>
                <w:rFonts w:ascii="Book Antiqua" w:hAnsi="Book Antiqua" w:cs="Arial"/>
                <w:i/>
                <w:iCs/>
                <w:color w:val="000000" w:themeColor="text1"/>
              </w:rPr>
              <w:t>P</w:t>
            </w:r>
            <w:r w:rsidRPr="00D07897">
              <w:rPr>
                <w:rFonts w:ascii="Book Antiqua" w:hAnsi="Book Antiqua" w:cs="Arial"/>
                <w:color w:val="000000" w:themeColor="text1"/>
              </w:rPr>
              <w:t xml:space="preserve"> </w:t>
            </w:r>
            <w:r w:rsidR="00FE77F9" w:rsidRPr="00D07897">
              <w:rPr>
                <w:rFonts w:ascii="Book Antiqua" w:hAnsi="Book Antiqua" w:cs="Arial"/>
                <w:color w:val="000000" w:themeColor="text1"/>
              </w:rPr>
              <w:t>=</w:t>
            </w:r>
            <w:r w:rsidRPr="00D07897">
              <w:rPr>
                <w:rFonts w:ascii="Book Antiqua" w:hAnsi="Book Antiqua" w:cs="Arial"/>
                <w:color w:val="000000" w:themeColor="text1"/>
              </w:rPr>
              <w:t xml:space="preserve"> </w:t>
            </w:r>
            <w:r w:rsidR="00FE77F9" w:rsidRPr="00D07897">
              <w:rPr>
                <w:rFonts w:ascii="Book Antiqua" w:hAnsi="Book Antiqua" w:cs="Arial"/>
                <w:color w:val="000000" w:themeColor="text1"/>
              </w:rPr>
              <w:t>0.003</w:t>
            </w:r>
          </w:p>
        </w:tc>
        <w:tc>
          <w:tcPr>
            <w:tcW w:w="2067" w:type="dxa"/>
            <w:shd w:val="clear" w:color="auto" w:fill="auto"/>
          </w:tcPr>
          <w:p w14:paraId="12DAF17C" w14:textId="54B0B897" w:rsidR="00FE77F9" w:rsidRPr="00D07897" w:rsidRDefault="00FE77F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Zhang </w:t>
            </w:r>
            <w:r w:rsidR="00FF0389" w:rsidRPr="00D07897">
              <w:rPr>
                <w:rFonts w:ascii="Book Antiqua" w:hAnsi="Book Antiqua" w:cs="Arial"/>
                <w:i/>
                <w:color w:val="000000" w:themeColor="text1"/>
              </w:rPr>
              <w:t>et al</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Scotland)","id":"ITEM-1","issue":"6","issued":{"date-parts":[["2017","12"]]},"language":"eng","page":"1586-1592","publisher-place":"England","title":"Skeletal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mendeley":{"formattedCitation":"&lt;sup&gt;[11]&lt;/sup&gt;","plainTextFormattedCitation":"[11]","previouslyFormattedCitation":"&lt;sup&gt;[11]&lt;/sup&gt;"},"properties":{"noteIndex":0},"schema":"https://github.com/citation-style-language/schema/raw/master/csl-citation.json"}</w:instrText>
            </w:r>
            <w:r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[11]</w:t>
            </w:r>
            <w:r w:rsidRPr="00D07897">
              <w:rPr>
                <w:rFonts w:ascii="Book Antiqua" w:hAnsi="Book Antiqua" w:cs="Arial"/>
                <w:color w:val="000000" w:themeColor="text1"/>
              </w:rPr>
              <w:fldChar w:fldCharType="end"/>
            </w:r>
          </w:p>
        </w:tc>
      </w:tr>
      <w:tr w:rsidR="00F96F15" w:rsidRPr="00D07897" w14:paraId="4AD938C2" w14:textId="77777777" w:rsidTr="00056CDC">
        <w:tc>
          <w:tcPr>
            <w:tcW w:w="1384" w:type="dxa"/>
            <w:vMerge/>
            <w:shd w:val="clear" w:color="auto" w:fill="auto"/>
            <w:vAlign w:val="center"/>
          </w:tcPr>
          <w:p w14:paraId="5BD41DE9" w14:textId="77777777" w:rsidR="00FE77F9" w:rsidRPr="00D07897" w:rsidRDefault="00FE77F9" w:rsidP="00F96F15">
            <w:pPr>
              <w:spacing w:line="360" w:lineRule="auto"/>
              <w:jc w:val="both"/>
              <w:rPr>
                <w:rFonts w:ascii="Book Antiqua" w:hAnsi="Book Antiqua" w:cs="Arial"/>
                <w:color w:val="000000" w:themeColor="text1"/>
              </w:rPr>
            </w:pPr>
          </w:p>
        </w:tc>
        <w:tc>
          <w:tcPr>
            <w:tcW w:w="4322" w:type="dxa"/>
            <w:shd w:val="clear" w:color="auto" w:fill="auto"/>
          </w:tcPr>
          <w:p w14:paraId="738C532D" w14:textId="77777777" w:rsidR="00FE77F9" w:rsidRPr="00D07897" w:rsidRDefault="00FE77F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Need for operation</w:t>
            </w:r>
          </w:p>
        </w:tc>
        <w:tc>
          <w:tcPr>
            <w:tcW w:w="2516" w:type="dxa"/>
            <w:shd w:val="clear" w:color="auto" w:fill="auto"/>
          </w:tcPr>
          <w:p w14:paraId="695FD5E3" w14:textId="77777777" w:rsidR="00FE77F9" w:rsidRPr="00D07897" w:rsidRDefault="00FE77F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Cox-regression (multivariate)</w:t>
            </w:r>
          </w:p>
        </w:tc>
        <w:tc>
          <w:tcPr>
            <w:tcW w:w="4111" w:type="dxa"/>
            <w:shd w:val="clear" w:color="auto" w:fill="auto"/>
          </w:tcPr>
          <w:p w14:paraId="1C9D5F13" w14:textId="2850DE16" w:rsidR="00FE77F9" w:rsidRPr="00D07897" w:rsidRDefault="00FE77F9"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HR 0.318 (0.126-0.802), </w:t>
            </w:r>
            <w:r w:rsidR="00056CDC" w:rsidRPr="00D07897">
              <w:rPr>
                <w:rFonts w:ascii="Book Antiqua" w:hAnsi="Book Antiqua" w:cs="Arial"/>
                <w:i/>
                <w:iCs/>
                <w:color w:val="000000" w:themeColor="text1"/>
              </w:rPr>
              <w:t>P</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0.015</w:t>
            </w:r>
          </w:p>
        </w:tc>
        <w:tc>
          <w:tcPr>
            <w:tcW w:w="2067" w:type="dxa"/>
            <w:shd w:val="clear" w:color="auto" w:fill="auto"/>
          </w:tcPr>
          <w:p w14:paraId="5C552E2C" w14:textId="579DAA2A" w:rsidR="00FE77F9" w:rsidRPr="00D07897" w:rsidRDefault="00FE77F9" w:rsidP="00F96F15">
            <w:pPr>
              <w:spacing w:line="360" w:lineRule="auto"/>
              <w:jc w:val="both"/>
              <w:rPr>
                <w:rFonts w:ascii="Book Antiqua" w:hAnsi="Book Antiqua" w:cs="Arial"/>
                <w:color w:val="000000" w:themeColor="text1"/>
              </w:rPr>
            </w:pPr>
            <w:proofErr w:type="spellStart"/>
            <w:r w:rsidRPr="00D07897">
              <w:rPr>
                <w:rFonts w:ascii="Book Antiqua" w:hAnsi="Book Antiqua" w:cs="Arial"/>
                <w:color w:val="000000" w:themeColor="text1"/>
              </w:rPr>
              <w:t>Bamba</w:t>
            </w:r>
            <w:proofErr w:type="spellEnd"/>
            <w:r w:rsidRPr="00D07897">
              <w:rPr>
                <w:rFonts w:ascii="Book Antiqua" w:hAnsi="Book Antiqua" w:cs="Arial"/>
                <w:color w:val="000000" w:themeColor="text1"/>
              </w:rPr>
              <w:t xml:space="preserve"> </w:t>
            </w:r>
            <w:r w:rsidR="00FF0389" w:rsidRPr="00D07897">
              <w:rPr>
                <w:rFonts w:ascii="Book Antiqua" w:hAnsi="Book Antiqua" w:cs="Arial"/>
                <w:i/>
                <w:color w:val="000000" w:themeColor="text1"/>
              </w:rPr>
              <w:t>et al</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{"citationItems":[{"id":"ITEM-1","itemData":{"DOI":"https://dx.doi.org/10.1371/journal.pone.0180036","ISSN":"1932-6203","abstract":"The relationship between skeletal muscle volume and the prognosis of patients with inflammatory bowel disease (IBD) remains undetermined. We conducted a retrospective study of 72 IBD patients who were admitted to the hospital due to disease exacerbation. We enrolled IBD patients who had undergone abdominal computed tomography and assessed the nutritional indices, such as the Onodera's prognostic nutritional index (O-PNI) and the controlling nutritional status (CONUT) index. The L3 skeletal muscle index (SMI), which is the ratio of the cross-sectional area of skeletal muscles at the level of the third lumbar (L3) vertebra to the height squared, was used to identify sarcopenia. Sarcopenia, defined as a low SMI, was observed in 42% of all IBD patients (37% with Crohn's disease (CD) and 48% with ulcerative colitis (UC)). In UC patients, the O-PNI and CONUT values, height, and albumin levels were significantly lower than in CD patients. The SMI strongly correlated with sex, body weight, albumin level, and O-PNI in IBD patients. Multivariate analysis using the Cox regression model demonstrated that the presence of sarcopenia (P = 0.015) and disease type (CD or UC) (P = 0.007) were significant factors predicting intestinal resection. The cumulative operation-free survival rate was significantly lower for sarcopenic patients than in all IBD patients (P = 0.003) and a stratified analysis of CD patients (P = 0.001) using the Kaplan-Meier method and log-rank test. The L3 skeletal muscle area is a prognostic factor for intestinal resection in patients with CD.","author":[{"dropping-particle":"","family":"Bamba","given":"Shigeki","non-dropping-particle":"","parse-names":false,"suffix":""},{"dropping-particle":"","family":"Sasaki","given":"Masaya","non-dropping-particle":"","parse-names":false,"suffix":""},{"dropping-particle":"","family":"Takaoka","given":"Azusa","non-dropping-particle":"","parse-names":false,"suffix":""},{"dropping-particle":"","family":"Takahashi","given":"Kenichiro","non-dropping-particle":"","parse-names":false,"suffix":""},{"dropping-particle":"","family":"Imaeda","given":"Hirotsugu","non-dropping-particle":"","parse-names":false,"suffix":""},{"dropping-particle":"","family":"Nishida","given":"Atsushi","non-dropping-particle":"","parse-names":false,"suffix":""},{"dropping-particle":"","family":"Inatomi","given":"Osamu","non-dropping-particle":"","parse-names":false,"suffix":""},{"dropping-particle":"","family":"Sugimoto","given":"Mitsushige","non-dropping-particle":"","parse-names":false,"suffix":""},{"dropping-particle":"","family":"Andoh","given":"Akira","non-dropping-particle":"","parse-names":false,"suffix":""}],"container-title":"PloS one","id":"ITEM-1","issue":"6","issued":{"date-parts":[["2017"]]},"page":"e0180036","publisher-place":"United States","title":"Sarcopenia is a predictive factor for intestinal resection in admitted patients with Crohn's disease.","type":"article-journal","volume":"12"},"uris":["http://www.mendeley.com/documents/?uuid=73a11d92-9bee-468c-bbed-3189266c43db"]}],"mendeley":{"formattedCitation":"&lt;sup&gt;[9]&lt;/sup&gt;","plainTextFormattedCitation":"[9]","previouslyFormattedCitation":"&lt;sup&gt;[9]&lt;/sup&gt;"},"properties":{"noteIndex":0},"schema":"https://github.com/citation-style-language/schema/raw/master/csl-citation.json"}</w:instrText>
            </w:r>
            <w:r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[9]</w:t>
            </w:r>
            <w:r w:rsidRPr="00D07897">
              <w:rPr>
                <w:rFonts w:ascii="Book Antiqua" w:hAnsi="Book Antiqua" w:cs="Arial"/>
                <w:color w:val="000000" w:themeColor="text1"/>
              </w:rPr>
              <w:fldChar w:fldCharType="end"/>
            </w:r>
          </w:p>
        </w:tc>
      </w:tr>
      <w:tr w:rsidR="00F96F15" w:rsidRPr="00D07897" w14:paraId="32A8461A" w14:textId="77777777" w:rsidTr="00056CDC">
        <w:tc>
          <w:tcPr>
            <w:tcW w:w="1384" w:type="dxa"/>
            <w:vMerge/>
            <w:shd w:val="clear" w:color="auto" w:fill="auto"/>
            <w:vAlign w:val="center"/>
          </w:tcPr>
          <w:p w14:paraId="4DD86498" w14:textId="77777777" w:rsidR="00365CE4" w:rsidRPr="00D07897" w:rsidRDefault="00365CE4" w:rsidP="00F96F15">
            <w:pPr>
              <w:spacing w:line="360" w:lineRule="auto"/>
              <w:jc w:val="both"/>
              <w:rPr>
                <w:rFonts w:ascii="Book Antiqua" w:hAnsi="Book Antiqua" w:cs="Arial"/>
                <w:color w:val="000000" w:themeColor="text1"/>
              </w:rPr>
            </w:pPr>
          </w:p>
        </w:tc>
        <w:tc>
          <w:tcPr>
            <w:tcW w:w="4322" w:type="dxa"/>
            <w:vMerge w:val="restart"/>
            <w:shd w:val="clear" w:color="auto" w:fill="auto"/>
          </w:tcPr>
          <w:p w14:paraId="01980240" w14:textId="70286D1F"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Need for any rescue therapy (medical/surgical)</w:t>
            </w:r>
          </w:p>
        </w:tc>
        <w:tc>
          <w:tcPr>
            <w:tcW w:w="2516" w:type="dxa"/>
            <w:shd w:val="clear" w:color="auto" w:fill="auto"/>
          </w:tcPr>
          <w:p w14:paraId="3F9AFB5C" w14:textId="15E090C7" w:rsidR="00365CE4" w:rsidRPr="00D07897" w:rsidRDefault="00365CE4" w:rsidP="00F96F15">
            <w:pPr>
              <w:spacing w:line="360" w:lineRule="auto"/>
              <w:jc w:val="both"/>
              <w:rPr>
                <w:rFonts w:ascii="Book Antiqua" w:hAnsi="Book Antiqua" w:cs="Arial"/>
                <w:color w:val="000000" w:themeColor="text1"/>
              </w:rPr>
            </w:pPr>
            <w:proofErr w:type="spellStart"/>
            <w:r w:rsidRPr="00D07897">
              <w:rPr>
                <w:rFonts w:ascii="Book Antiqua" w:hAnsi="Book Antiqua" w:cs="Arial"/>
                <w:color w:val="000000" w:themeColor="text1"/>
              </w:rPr>
              <w:t>Fischers</w:t>
            </w:r>
            <w:proofErr w:type="spellEnd"/>
            <w:r w:rsidRPr="00D07897">
              <w:rPr>
                <w:rFonts w:ascii="Book Antiqua" w:hAnsi="Book Antiqua" w:cs="Arial"/>
                <w:color w:val="000000" w:themeColor="text1"/>
              </w:rPr>
              <w:t xml:space="preserve"> </w:t>
            </w:r>
            <w:r w:rsidR="00056CDC" w:rsidRPr="00D07897">
              <w:rPr>
                <w:rFonts w:ascii="Book Antiqua" w:hAnsi="Book Antiqua" w:cs="Arial"/>
                <w:color w:val="000000" w:themeColor="text1"/>
              </w:rPr>
              <w:t>exact test</w:t>
            </w:r>
          </w:p>
        </w:tc>
        <w:tc>
          <w:tcPr>
            <w:tcW w:w="4111" w:type="dxa"/>
            <w:shd w:val="clear" w:color="auto" w:fill="auto"/>
          </w:tcPr>
          <w:p w14:paraId="37A9D569" w14:textId="05BFC0B7" w:rsidR="00365CE4" w:rsidRPr="00D07897" w:rsidRDefault="00056CDC" w:rsidP="00F96F15">
            <w:pPr>
              <w:spacing w:line="360" w:lineRule="auto"/>
              <w:jc w:val="both"/>
              <w:rPr>
                <w:rFonts w:ascii="Book Antiqua" w:hAnsi="Book Antiqua" w:cs="Arial"/>
                <w:color w:val="000000" w:themeColor="text1"/>
              </w:rPr>
            </w:pPr>
            <w:r w:rsidRPr="00D07897">
              <w:rPr>
                <w:rFonts w:ascii="Book Antiqua" w:hAnsi="Book Antiqua" w:cs="Arial"/>
                <w:i/>
                <w:iCs/>
                <w:color w:val="000000" w:themeColor="text1"/>
              </w:rPr>
              <w:t>P</w:t>
            </w:r>
            <w:r w:rsidRPr="00D07897">
              <w:rPr>
                <w:rFonts w:ascii="Book Antiqua" w:hAnsi="Book Antiqua" w:cs="Arial"/>
                <w:color w:val="000000" w:themeColor="text1"/>
              </w:rPr>
              <w:t xml:space="preserve"> </w:t>
            </w:r>
            <w:r w:rsidR="00365CE4" w:rsidRPr="00D07897">
              <w:rPr>
                <w:rFonts w:ascii="Book Antiqua" w:hAnsi="Book Antiqua" w:cs="Arial"/>
                <w:color w:val="000000" w:themeColor="text1"/>
              </w:rPr>
              <w:t>=</w:t>
            </w:r>
            <w:r w:rsidRPr="00D07897">
              <w:rPr>
                <w:rFonts w:ascii="Book Antiqua" w:hAnsi="Book Antiqua" w:cs="Arial"/>
                <w:color w:val="000000" w:themeColor="text1"/>
              </w:rPr>
              <w:t xml:space="preserve"> </w:t>
            </w:r>
            <w:r w:rsidR="00365CE4" w:rsidRPr="00D07897">
              <w:rPr>
                <w:rFonts w:ascii="Book Antiqua" w:hAnsi="Book Antiqua" w:cs="Arial"/>
                <w:color w:val="000000" w:themeColor="text1"/>
              </w:rPr>
              <w:t>0.02</w:t>
            </w:r>
          </w:p>
        </w:tc>
        <w:tc>
          <w:tcPr>
            <w:tcW w:w="2067" w:type="dxa"/>
            <w:vMerge w:val="restart"/>
            <w:shd w:val="clear" w:color="auto" w:fill="auto"/>
          </w:tcPr>
          <w:p w14:paraId="096CEC0C" w14:textId="6E44FCA8"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Cushing </w:t>
            </w:r>
            <w:r w:rsidR="00FF0389" w:rsidRPr="00D07897">
              <w:rPr>
                <w:rFonts w:ascii="Book Antiqua" w:hAnsi="Book Antiqua" w:cs="Arial"/>
                <w:i/>
                <w:color w:val="000000" w:themeColor="text1"/>
              </w:rPr>
              <w:t>et al</w:t>
            </w:r>
            <w:r w:rsidR="00BA7500"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{"citationItems":[{"id":"ITEM-1","itemData":{"DOI":"10.1093/ecco-jcc/jjy064","ISSN":"1876-4479 (Electronic)","PMID":"29762697","abstract":"Background: Acute severe ulcerative colitis (ASUC) affects one in four patients with UC. Clinical parameters perform modestly in predicting need for rescue therapy. Sarcopenia and visceral adiposity predict natural history in Crohn's disease, but the role of such metabolic factors on ASUC outcomes is unknown. Aim: To define the effect of sarcopenia and visceral adiposity on outcomes in ASUC. Methods: We studied patients hospitalized for ASUC who underwent an abdominal CT scan during the hospitalization. Quantification of skeletal muscle mass and visceral adiposity was performed by radiologists blinded to the outcome. Sarcopenia was defined as a skeletal muscle index &lt; 55 cm2/m2 for men and &lt; 39 cm2/m2 for women. The primary outcome of interest was need for medical or surgical rescue therapy. Results: Our study included 89 patients with ASUC among whom 39 (43.8%) patients required medical rescue therapy or surgery. Two-thirds of the cohort (70%) met the definition of sarcopenia (81% men, 48% women). Patients with sarcopenia had similar disease-characteristics and laboratory parameters as those with a normal muscle mass. However, a larger proportion of patients with sarcopenia required rescue therapy compared to those without (56% vs 28%, multivariable Odds ratio (OR) 3.98, 95% confidence interval (CI) 1.12 - 14.1). Visceral (p=0.23) or subcutaneous adiposity (p=0.53) did not predict need for rescue therapy. Conclusions: Sarcopenia as determined on abdominal CT was a novel predictor of need for rescue therapy in hospitalized UC.","author":[{"dropping-particle":"","family":"Cushing","given":"Kelly C","non-dropping-particle":"","parse-names":false,"suffix":""},{"dropping-particle":"","family":"Kordbacheh","given":"Hamed","non-dropping-particle":"","parse-names":false,"suffix":""},{"dropping-particle":"","family":"Gee","given":"Michael S","non-dropping-particle":"","parse-names":false,"suffix":""},{"dropping-particle":"","family":"Kambadakone","given":"Avinash","non-dropping-particle":"","parse-names":false,"suffix":""},{"dropping-particle":"","family":"Ananthakrishnan","given":"Ashwin N","non-dropping-particle":"","parse-names":false,"suffix":""}],"container-title":"Journal of Crohn's &amp; colitis","id":"ITEM-1","issued":{"date-parts":[["2018","5"]]},"language":"eng","publisher-place":"England","title":"Sarcopenia is a Novel Predictor of the Need for Rescue Therapy in Hospitalized Ulcerative Colitis Patients.","type":"article-journal"},"uris":["http://www.mendeley.com/documents/?uuid=e255b58f-95e7-489e-b9af-18a0b87f7525"]}],"mendeley":{"formattedCitation":"&lt;sup&gt;[34]&lt;/sup&gt;","plainTextFormattedCitation":"[34]","previouslyFormattedCitation":"&lt;sup&gt;[33]&lt;/sup&gt;"},"properties":{"noteIndex":0},"schema":"https://github.com/citation-style-language/schema/raw/master/csl-citation.json"}</w:instrText>
            </w:r>
            <w:r w:rsidR="00BA7500"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[34]</w:t>
            </w:r>
            <w:r w:rsidR="00BA7500" w:rsidRPr="00D07897">
              <w:rPr>
                <w:rFonts w:ascii="Book Antiqua" w:hAnsi="Book Antiqua" w:cs="Arial"/>
                <w:color w:val="000000" w:themeColor="text1"/>
              </w:rPr>
              <w:fldChar w:fldCharType="end"/>
            </w:r>
          </w:p>
        </w:tc>
      </w:tr>
      <w:tr w:rsidR="00F96F15" w:rsidRPr="00D07897" w14:paraId="0C978B58" w14:textId="77777777" w:rsidTr="00056CDC">
        <w:tc>
          <w:tcPr>
            <w:tcW w:w="1384" w:type="dxa"/>
            <w:vMerge/>
            <w:shd w:val="clear" w:color="auto" w:fill="auto"/>
            <w:vAlign w:val="center"/>
          </w:tcPr>
          <w:p w14:paraId="51C035B6" w14:textId="77777777" w:rsidR="00365CE4" w:rsidRPr="00D07897" w:rsidRDefault="00365CE4" w:rsidP="00F96F15">
            <w:pPr>
              <w:spacing w:line="360" w:lineRule="auto"/>
              <w:jc w:val="both"/>
              <w:rPr>
                <w:rFonts w:ascii="Book Antiqua" w:hAnsi="Book Antiqua" w:cs="Arial"/>
                <w:color w:val="000000" w:themeColor="text1"/>
              </w:rPr>
            </w:pPr>
          </w:p>
        </w:tc>
        <w:tc>
          <w:tcPr>
            <w:tcW w:w="4322" w:type="dxa"/>
            <w:vMerge/>
            <w:shd w:val="clear" w:color="auto" w:fill="auto"/>
          </w:tcPr>
          <w:p w14:paraId="55D9592A" w14:textId="7B3E121F" w:rsidR="00365CE4" w:rsidRPr="00D07897" w:rsidRDefault="00365CE4" w:rsidP="00F96F15">
            <w:pPr>
              <w:spacing w:line="360" w:lineRule="auto"/>
              <w:jc w:val="both"/>
              <w:rPr>
                <w:rFonts w:ascii="Book Antiqua" w:hAnsi="Book Antiqua" w:cs="Arial"/>
                <w:color w:val="000000" w:themeColor="text1"/>
              </w:rPr>
            </w:pPr>
          </w:p>
        </w:tc>
        <w:tc>
          <w:tcPr>
            <w:tcW w:w="2516" w:type="dxa"/>
            <w:vMerge w:val="restart"/>
            <w:shd w:val="clear" w:color="auto" w:fill="auto"/>
          </w:tcPr>
          <w:p w14:paraId="0E3E7621" w14:textId="778942B6"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Multivariate </w:t>
            </w:r>
            <w:r w:rsidR="00056CDC" w:rsidRPr="00D07897">
              <w:rPr>
                <w:rFonts w:ascii="Book Antiqua" w:hAnsi="Book Antiqua" w:cs="Arial"/>
                <w:color w:val="000000" w:themeColor="text1"/>
              </w:rPr>
              <w:t>logistic regression</w:t>
            </w:r>
          </w:p>
        </w:tc>
        <w:tc>
          <w:tcPr>
            <w:tcW w:w="4111" w:type="dxa"/>
            <w:shd w:val="clear" w:color="auto" w:fill="auto"/>
          </w:tcPr>
          <w:p w14:paraId="0D46899D" w14:textId="0A9E2128"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OR 3.98 (95%CI 1.12</w:t>
            </w:r>
            <w:r w:rsidR="00056CDC" w:rsidRPr="00D07897">
              <w:rPr>
                <w:rFonts w:ascii="Book Antiqua" w:hAnsi="Book Antiqua" w:cs="Arial"/>
                <w:color w:val="000000" w:themeColor="text1"/>
              </w:rPr>
              <w:t>-</w:t>
            </w:r>
            <w:r w:rsidRPr="00D07897">
              <w:rPr>
                <w:rFonts w:ascii="Book Antiqua" w:hAnsi="Book Antiqua" w:cs="Arial"/>
                <w:color w:val="000000" w:themeColor="text1"/>
              </w:rPr>
              <w:t>14.1)</w:t>
            </w:r>
            <w:r w:rsidR="00056CDC" w:rsidRPr="00D07897">
              <w:rPr>
                <w:rFonts w:ascii="Book Antiqua" w:hAnsi="Book Antiqua" w:cs="Arial"/>
                <w:color w:val="000000" w:themeColor="text1"/>
              </w:rPr>
              <w:t>,</w:t>
            </w:r>
            <w:r w:rsidRPr="00D07897">
              <w:rPr>
                <w:rFonts w:ascii="Book Antiqua" w:hAnsi="Book Antiqua" w:cs="Arial"/>
                <w:color w:val="000000" w:themeColor="text1"/>
              </w:rPr>
              <w:t xml:space="preserve"> </w:t>
            </w:r>
            <w:r w:rsidR="00056CDC" w:rsidRPr="00D07897">
              <w:rPr>
                <w:rFonts w:ascii="Book Antiqua" w:hAnsi="Book Antiqua" w:cs="Arial"/>
                <w:i/>
                <w:iCs/>
                <w:color w:val="000000" w:themeColor="text1"/>
              </w:rPr>
              <w:t>P</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0.033</w:t>
            </w:r>
          </w:p>
        </w:tc>
        <w:tc>
          <w:tcPr>
            <w:tcW w:w="2067" w:type="dxa"/>
            <w:vMerge/>
            <w:shd w:val="clear" w:color="auto" w:fill="auto"/>
          </w:tcPr>
          <w:p w14:paraId="6619F34C" w14:textId="77777777" w:rsidR="00365CE4" w:rsidRPr="00D07897" w:rsidRDefault="00365CE4" w:rsidP="00F96F15">
            <w:pPr>
              <w:spacing w:line="360" w:lineRule="auto"/>
              <w:jc w:val="both"/>
              <w:rPr>
                <w:rFonts w:ascii="Book Antiqua" w:hAnsi="Book Antiqua" w:cs="Arial"/>
                <w:color w:val="000000" w:themeColor="text1"/>
              </w:rPr>
            </w:pPr>
          </w:p>
        </w:tc>
      </w:tr>
      <w:tr w:rsidR="00F96F15" w:rsidRPr="00D07897" w14:paraId="6C56E3DF" w14:textId="77777777" w:rsidTr="00056CDC">
        <w:tc>
          <w:tcPr>
            <w:tcW w:w="1384" w:type="dxa"/>
            <w:vMerge/>
            <w:shd w:val="clear" w:color="auto" w:fill="auto"/>
            <w:vAlign w:val="center"/>
          </w:tcPr>
          <w:p w14:paraId="0A633E1A" w14:textId="77777777" w:rsidR="00365CE4" w:rsidRPr="00D07897" w:rsidRDefault="00365CE4" w:rsidP="00F96F15">
            <w:pPr>
              <w:spacing w:line="360" w:lineRule="auto"/>
              <w:jc w:val="both"/>
              <w:rPr>
                <w:rFonts w:ascii="Book Antiqua" w:hAnsi="Book Antiqua" w:cs="Arial"/>
                <w:color w:val="000000" w:themeColor="text1"/>
              </w:rPr>
            </w:pPr>
          </w:p>
        </w:tc>
        <w:tc>
          <w:tcPr>
            <w:tcW w:w="4322" w:type="dxa"/>
            <w:shd w:val="clear" w:color="auto" w:fill="auto"/>
          </w:tcPr>
          <w:p w14:paraId="1C5213D6" w14:textId="1089AE0D" w:rsidR="00365CE4" w:rsidRPr="00D07897" w:rsidRDefault="00365CE4" w:rsidP="00F96F15">
            <w:pPr>
              <w:spacing w:line="360" w:lineRule="auto"/>
              <w:jc w:val="both"/>
              <w:rPr>
                <w:rFonts w:ascii="Book Antiqua" w:hAnsi="Book Antiqua" w:cs="Arial"/>
                <w:color w:val="000000" w:themeColor="text1"/>
                <w:lang w:val="en-CA"/>
              </w:rPr>
            </w:pPr>
            <w:r w:rsidRPr="00D07897">
              <w:rPr>
                <w:rFonts w:ascii="Book Antiqua" w:hAnsi="Book Antiqua" w:cs="Arial"/>
                <w:color w:val="000000" w:themeColor="text1"/>
              </w:rPr>
              <w:t>Post-operative complications (Major)</w:t>
            </w:r>
            <w:r w:rsidR="00104D00" w:rsidRPr="00D07897">
              <w:rPr>
                <w:rFonts w:ascii="Book Antiqua" w:hAnsi="Book Antiqua" w:cs="Arial"/>
                <w:color w:val="000000" w:themeColor="text1"/>
                <w:shd w:val="clear" w:color="auto" w:fill="FFFFFF"/>
                <w:vertAlign w:val="superscript"/>
                <w:lang w:val="en-CA"/>
              </w:rPr>
              <w:t>1</w:t>
            </w:r>
          </w:p>
        </w:tc>
        <w:tc>
          <w:tcPr>
            <w:tcW w:w="2516" w:type="dxa"/>
            <w:vMerge/>
            <w:shd w:val="clear" w:color="auto" w:fill="auto"/>
          </w:tcPr>
          <w:p w14:paraId="46215CA3" w14:textId="1EED2FF3" w:rsidR="00365CE4" w:rsidRPr="00D07897" w:rsidRDefault="00365CE4" w:rsidP="00F96F15">
            <w:pPr>
              <w:spacing w:line="360" w:lineRule="auto"/>
              <w:jc w:val="both"/>
              <w:rPr>
                <w:rFonts w:ascii="Book Antiqua" w:hAnsi="Book Antiqua" w:cs="Arial"/>
                <w:color w:val="000000" w:themeColor="text1"/>
              </w:rPr>
            </w:pPr>
          </w:p>
        </w:tc>
        <w:tc>
          <w:tcPr>
            <w:tcW w:w="4111" w:type="dxa"/>
            <w:shd w:val="clear" w:color="auto" w:fill="auto"/>
          </w:tcPr>
          <w:p w14:paraId="08EBC172" w14:textId="6F6AAA36"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OR 9.24 (95%CI 1.10-77.50)</w:t>
            </w:r>
            <w:r w:rsidR="00056CDC" w:rsidRPr="00D07897">
              <w:rPr>
                <w:rFonts w:ascii="Book Antiqua" w:hAnsi="Book Antiqua" w:cs="Arial"/>
                <w:color w:val="000000" w:themeColor="text1"/>
              </w:rPr>
              <w:t>.</w:t>
            </w:r>
            <w:r w:rsidRPr="00D07897">
              <w:rPr>
                <w:rFonts w:ascii="Book Antiqua" w:hAnsi="Book Antiqua" w:cs="Arial"/>
                <w:color w:val="000000" w:themeColor="text1"/>
              </w:rPr>
              <w:t xml:space="preserve"> </w:t>
            </w:r>
            <w:r w:rsidR="00056CDC" w:rsidRPr="00D07897">
              <w:rPr>
                <w:rFonts w:ascii="Book Antiqua" w:hAnsi="Book Antiqua" w:cs="Arial"/>
                <w:i/>
                <w:iCs/>
                <w:color w:val="000000" w:themeColor="text1"/>
              </w:rPr>
              <w:t>P</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0.04</w:t>
            </w:r>
          </w:p>
        </w:tc>
        <w:tc>
          <w:tcPr>
            <w:tcW w:w="2067" w:type="dxa"/>
            <w:shd w:val="clear" w:color="auto" w:fill="auto"/>
          </w:tcPr>
          <w:p w14:paraId="5768D8ED" w14:textId="4EAABC81"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Zhang </w:t>
            </w:r>
            <w:r w:rsidR="00FF0389" w:rsidRPr="00D07897">
              <w:rPr>
                <w:rFonts w:ascii="Book Antiqua" w:hAnsi="Book Antiqua" w:cs="Arial"/>
                <w:i/>
                <w:color w:val="000000" w:themeColor="text1"/>
              </w:rPr>
              <w:t>et al</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{"citationItems":[{"id":"ITEM-1","itemData":{"DOI":"10.1177/0148607115612054","ISSN":"1941-2444 (Electronic)","PMID":"26471990","abstract":"BACKGROUND: Sarcopenia has been proposed to be a prognostic factor of outcomes for various diseases but has not been applied to Crohn's disease (CD). We aimed to assess the impact of sarcopenia on postoperative outcomes after bowel resection in patients with CD. MATERIALS AND METHODS: Abdominal computed tomography images within 30 days before bowel resection in 114 patients with CD between May 2011 and March 2014 were assessed for sarcopenia as well as visceral fat areas and subcutaneous fat areas. The impact of sarcopenia on postoperative outcomes was evaluated using univariate and multivariate analyses. RESULTS: Of 114 patients, 70 (61.4%) had sarcopenia. Patients with sarcopenia had a lower body mass index, lower preoperative levels of serum albumin, and more major complications (15.7% vs 2.3%, P = .027) compared with patients without sarcopenia. Moreover, predictors of major postoperative complications were sarcopenia (odds ratio [OR], 9.24; P = .04) and a decreased skeletal muscle index (1.11; P = .023). Preoperative enteral nutrition (OR, 0.13; P = .004) and preoperative serum albumin level &gt;35 g/L (0.19; P = .017) were protective factors in multivariate analyses. CONCLUSION: The prevalence of sarcopenia is high in patients with CD requiring bowel resection. It significantly increases the risk of major postoperative complications and has clinical implications with respect to nutrition management before surgery for CD.","author":[{"dropping-particle":"","family":"Zhang","given":"Tenghui","non-dropping-particle":"","parse-names":false,"suffix":""},{"dropping-particle":"","family":"Cao","given":"Lei","non-dropping-particle":"","parse-names":false,"suffix":""},{"dropping-particle":"","family":"Cao","given":"Tingzhi","non-dropping-particle":"","parse-names":false,"suffix":""},{"dropping-particle":"","family":"Yang","given":"Jianb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JPEN. Journal of parenteral and enteral nutrition","id":"ITEM-1","issue":"4","issued":{"date-parts":[["2017","5"]]},"language":"eng","page":"592-600","publisher-place":"United States","title":"Prevalence of Sarcopenia and Its Impact on Postoperative Outcome in Patients With Crohn's Disease Undergoing Bowel Resection.","type":"article-journal","volume":"41"},"uris":["http://www.mendeley.com/documents/?uuid=db984d59-d589-4f73-9f02-3b7ac10b008c"]}],"mendeley":{"formattedCitation":"&lt;sup&gt;[10]&lt;/sup&gt;","plainTextFormattedCitation":"[10]","previouslyFormattedCitation":"&lt;sup&gt;[10]&lt;/sup&gt;"},"properties":{"noteIndex":0},"schema":"https://github.com/citation-style-language/schema/raw/master/csl-citation.json"}</w:instrText>
            </w:r>
            <w:r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[10]</w:t>
            </w:r>
            <w:r w:rsidRPr="00D07897">
              <w:rPr>
                <w:rFonts w:ascii="Book Antiqua" w:hAnsi="Book Antiqua" w:cs="Arial"/>
                <w:color w:val="000000" w:themeColor="text1"/>
              </w:rPr>
              <w:fldChar w:fldCharType="end"/>
            </w:r>
            <w:r w:rsidRPr="00D07897">
              <w:rPr>
                <w:rFonts w:ascii="Book Antiqua" w:hAnsi="Book Antiqua" w:cs="Arial"/>
                <w:color w:val="000000" w:themeColor="text1"/>
              </w:rPr>
              <w:t xml:space="preserve"> </w:t>
            </w:r>
          </w:p>
        </w:tc>
      </w:tr>
      <w:tr w:rsidR="00F96F15" w:rsidRPr="00D07897" w14:paraId="7D715D31" w14:textId="77777777" w:rsidTr="00056CDC">
        <w:tc>
          <w:tcPr>
            <w:tcW w:w="1384" w:type="dxa"/>
            <w:vMerge/>
            <w:shd w:val="clear" w:color="auto" w:fill="auto"/>
            <w:vAlign w:val="center"/>
          </w:tcPr>
          <w:p w14:paraId="5C70D1CE" w14:textId="77777777" w:rsidR="00365CE4" w:rsidRPr="00D07897" w:rsidRDefault="00365CE4" w:rsidP="00F96F15">
            <w:pPr>
              <w:spacing w:line="360" w:lineRule="auto"/>
              <w:jc w:val="both"/>
              <w:rPr>
                <w:rFonts w:ascii="Book Antiqua" w:hAnsi="Book Antiqua" w:cs="Arial"/>
                <w:color w:val="000000" w:themeColor="text1"/>
              </w:rPr>
            </w:pPr>
          </w:p>
        </w:tc>
        <w:tc>
          <w:tcPr>
            <w:tcW w:w="4322" w:type="dxa"/>
            <w:shd w:val="clear" w:color="auto" w:fill="auto"/>
          </w:tcPr>
          <w:p w14:paraId="6F2DA5F9" w14:textId="77777777"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UC disease activity (Mayo Score ≥ 6)</w:t>
            </w:r>
          </w:p>
        </w:tc>
        <w:tc>
          <w:tcPr>
            <w:tcW w:w="2516" w:type="dxa"/>
            <w:vMerge/>
            <w:shd w:val="clear" w:color="auto" w:fill="auto"/>
          </w:tcPr>
          <w:p w14:paraId="45452F01" w14:textId="77777777" w:rsidR="00365CE4" w:rsidRPr="00D07897" w:rsidRDefault="00365CE4" w:rsidP="00F96F15">
            <w:pPr>
              <w:spacing w:line="360" w:lineRule="auto"/>
              <w:jc w:val="both"/>
              <w:rPr>
                <w:rFonts w:ascii="Book Antiqua" w:hAnsi="Book Antiqua" w:cs="Arial"/>
                <w:color w:val="000000" w:themeColor="text1"/>
              </w:rPr>
            </w:pPr>
          </w:p>
        </w:tc>
        <w:tc>
          <w:tcPr>
            <w:tcW w:w="4111" w:type="dxa"/>
            <w:shd w:val="clear" w:color="auto" w:fill="auto"/>
          </w:tcPr>
          <w:p w14:paraId="0A29026C" w14:textId="6A10B9AC"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OR 8.49 (95%CI 1.80-40.10)</w:t>
            </w:r>
            <w:r w:rsidR="00056CDC" w:rsidRPr="00D07897">
              <w:rPr>
                <w:rFonts w:ascii="Book Antiqua" w:hAnsi="Book Antiqua" w:cs="Arial"/>
                <w:color w:val="000000" w:themeColor="text1"/>
              </w:rPr>
              <w:t>,</w:t>
            </w:r>
            <w:r w:rsidRPr="00D07897">
              <w:rPr>
                <w:rFonts w:ascii="Book Antiqua" w:hAnsi="Book Antiqua" w:cs="Arial"/>
                <w:color w:val="000000" w:themeColor="text1"/>
              </w:rPr>
              <w:t xml:space="preserve"> </w:t>
            </w:r>
            <w:r w:rsidR="00056CDC" w:rsidRPr="00D07897">
              <w:rPr>
                <w:rFonts w:ascii="Book Antiqua" w:hAnsi="Book Antiqua" w:cs="Arial"/>
                <w:i/>
                <w:iCs/>
                <w:color w:val="000000" w:themeColor="text1"/>
              </w:rPr>
              <w:t>P</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0.007</w:t>
            </w:r>
          </w:p>
        </w:tc>
        <w:tc>
          <w:tcPr>
            <w:tcW w:w="2067" w:type="dxa"/>
            <w:shd w:val="clear" w:color="auto" w:fill="auto"/>
          </w:tcPr>
          <w:p w14:paraId="624EA088" w14:textId="306F69EE"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Zhang </w:t>
            </w:r>
            <w:r w:rsidR="00FF0389" w:rsidRPr="00D07897">
              <w:rPr>
                <w:rFonts w:ascii="Book Antiqua" w:hAnsi="Book Antiqua" w:cs="Arial"/>
                <w:i/>
                <w:color w:val="000000" w:themeColor="text1"/>
              </w:rPr>
              <w:t>et al</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Scotland)","id":"ITEM-1","issue":"6","issued":{"date-parts":[["2017","12"]]},"language":"eng","page":"1586-1592","publisher-place":"England","title":"Skeletal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mendeley":{"formattedCitation":"&lt;sup&gt;[11]&lt;/sup&gt;","plainTextFormattedCitation":"[11]","previouslyFormattedCitation":"&lt;sup&gt;[11]&lt;/sup&gt;"},"properties":{"noteIndex":0},"schema":"https://github.com/citation-style-language/schema/raw/master/csl-citation.json"}</w:instrText>
            </w:r>
            <w:r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[11]</w:t>
            </w:r>
            <w:r w:rsidRPr="00D07897">
              <w:rPr>
                <w:rFonts w:ascii="Book Antiqua" w:hAnsi="Book Antiqua" w:cs="Arial"/>
                <w:color w:val="000000" w:themeColor="text1"/>
              </w:rPr>
              <w:fldChar w:fldCharType="end"/>
            </w:r>
          </w:p>
        </w:tc>
      </w:tr>
      <w:tr w:rsidR="00F96F15" w:rsidRPr="00D07897" w14:paraId="3628335F" w14:textId="77777777" w:rsidTr="00056CDC">
        <w:tc>
          <w:tcPr>
            <w:tcW w:w="1384" w:type="dxa"/>
            <w:vMerge/>
            <w:shd w:val="clear" w:color="auto" w:fill="auto"/>
            <w:vAlign w:val="center"/>
          </w:tcPr>
          <w:p w14:paraId="3B87D3FB" w14:textId="4489A107" w:rsidR="00365CE4" w:rsidRPr="00D07897" w:rsidRDefault="00365CE4" w:rsidP="00F96F15">
            <w:pPr>
              <w:spacing w:line="360" w:lineRule="auto"/>
              <w:jc w:val="both"/>
              <w:rPr>
                <w:rFonts w:ascii="Book Antiqua" w:hAnsi="Book Antiqua" w:cs="Arial"/>
                <w:color w:val="000000" w:themeColor="text1"/>
              </w:rPr>
            </w:pPr>
          </w:p>
        </w:tc>
        <w:tc>
          <w:tcPr>
            <w:tcW w:w="4322" w:type="dxa"/>
            <w:shd w:val="clear" w:color="auto" w:fill="auto"/>
          </w:tcPr>
          <w:p w14:paraId="64DC1C26" w14:textId="1319F233"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Post-operative surgical site infection</w:t>
            </w:r>
          </w:p>
        </w:tc>
        <w:tc>
          <w:tcPr>
            <w:tcW w:w="2516" w:type="dxa"/>
            <w:vMerge/>
            <w:shd w:val="clear" w:color="auto" w:fill="auto"/>
          </w:tcPr>
          <w:p w14:paraId="6B30C115" w14:textId="77777777" w:rsidR="00365CE4" w:rsidRPr="00D07897" w:rsidRDefault="00365CE4" w:rsidP="00F96F15">
            <w:pPr>
              <w:spacing w:line="360" w:lineRule="auto"/>
              <w:jc w:val="both"/>
              <w:rPr>
                <w:rFonts w:ascii="Book Antiqua" w:hAnsi="Book Antiqua" w:cs="Arial"/>
                <w:color w:val="000000" w:themeColor="text1"/>
              </w:rPr>
            </w:pPr>
          </w:p>
        </w:tc>
        <w:tc>
          <w:tcPr>
            <w:tcW w:w="4111" w:type="dxa"/>
            <w:shd w:val="clear" w:color="auto" w:fill="auto"/>
          </w:tcPr>
          <w:p w14:paraId="486C3651" w14:textId="078B644C"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OR 4.91 (95%CI 1.09</w:t>
            </w:r>
            <w:r w:rsidR="00056CDC" w:rsidRPr="00D07897">
              <w:rPr>
                <w:rFonts w:ascii="Book Antiqua" w:hAnsi="Book Antiqua" w:cs="Arial"/>
                <w:color w:val="000000" w:themeColor="text1"/>
              </w:rPr>
              <w:t>-</w:t>
            </w:r>
            <w:r w:rsidRPr="00D07897">
              <w:rPr>
                <w:rFonts w:ascii="Book Antiqua" w:hAnsi="Book Antiqua" w:cs="Arial"/>
                <w:color w:val="000000" w:themeColor="text1"/>
              </w:rPr>
              <w:t>23.50)</w:t>
            </w:r>
            <w:r w:rsidR="00056CDC" w:rsidRPr="00D07897">
              <w:rPr>
                <w:rFonts w:ascii="Book Antiqua" w:hAnsi="Book Antiqua" w:cs="Arial"/>
                <w:color w:val="000000" w:themeColor="text1"/>
              </w:rPr>
              <w:t>,</w:t>
            </w:r>
            <w:r w:rsidRPr="00D07897">
              <w:rPr>
                <w:rFonts w:ascii="Book Antiqua" w:hAnsi="Book Antiqua" w:cs="Arial"/>
                <w:color w:val="000000" w:themeColor="text1"/>
              </w:rPr>
              <w:t xml:space="preserve"> </w:t>
            </w:r>
            <w:r w:rsidR="00056CDC" w:rsidRPr="00D07897">
              <w:rPr>
                <w:rFonts w:ascii="Book Antiqua" w:hAnsi="Book Antiqua" w:cs="Arial"/>
                <w:i/>
                <w:iCs/>
                <w:color w:val="000000" w:themeColor="text1"/>
              </w:rPr>
              <w:t>P</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0.03</w:t>
            </w:r>
          </w:p>
        </w:tc>
        <w:tc>
          <w:tcPr>
            <w:tcW w:w="2067" w:type="dxa"/>
            <w:shd w:val="clear" w:color="auto" w:fill="auto"/>
          </w:tcPr>
          <w:p w14:paraId="7A6CACA5" w14:textId="0C0B31FF"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Fujikawa </w:t>
            </w:r>
            <w:r w:rsidR="00FF0389" w:rsidRPr="00D07897">
              <w:rPr>
                <w:rFonts w:ascii="Book Antiqua" w:hAnsi="Book Antiqua" w:cs="Arial"/>
                <w:i/>
                <w:color w:val="000000" w:themeColor="text1"/>
              </w:rPr>
              <w:t>et al</w:t>
            </w:r>
            <w:r w:rsidR="00BA7500"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{"citationItems":[{"id":"ITEM-1","itemData":{"DOI":"10.1007/s00595-016-1357-x","ISSN":"1436-2813 (Electronic)","PMID":"27255541","abstract":"PURPOSE: The coexistence of sarcopenia is associated with postoperative complications, including infection after abdominal surgery. We evaluated the association between sarcopenia and surgical site infection (SSI) after surgery for ulcerative colitis. METHODS: The subjects of this retrospective study were 69 patients who underwent restorative proctocolectomy with perioperative abdominal computed tomography (CT). Sarcopenia was diagnosed by measuring the cross-sectional area of the right and left psoas muscles as the total psoas muscle area on CT images. We assessed whether sarcopenia was associated with SSI and clinical factors, including nutritional and inflammatory markers. RESULTS: The lowest quartiles defined as sarcopenia in men and women were 567.4 and 355.8 mm(2)/m(2), respectively. According to this classification, 12 men and 6 women had sarcopenia. Patients with sarcopenia had a lower body mass index (p = 0.0004) and a higher C-reactive protein concentration (p = 0.05) than those without sarcopenia. SSIs were identified in 12 patients (17.3 %) and included six pelvic abscesses and seven wound infections. According to multivariate analysis, sarcopenia was an independent risk factor for SSI (odds ratio = 4.91, 95 % confidence interval 1.09-23.5, p = 0.03). CONCLUSION: Sarcopenia is predictive of SSI after pouch surgery for ulcerative colitis.","author":[{"dropping-particle":"","family":"Fujikawa","given":"Hiroyuki","non-dropping-particle":"","parse-names":false,"suffix":""},{"dropping-particle":"","family":"Araki","given":"Toshimitsu","non-dropping-particle":"","parse-names":false,"suffix":""},{"dropping-particle":"","family":"Okita","given":"Yoshiki","non-dropping-particle":"","parse-names":false,"suffix":""},{"dropping-particle":"","family":"Kondo","given":"Satoru","non-dropping-particle":"","parse-names":false,"suffix":""},{"dropping-particle":"","family":"Kawamura","given":"Mikio","non-dropping-particle":"","parse-names":false,"suffix":""},{"dropping-particle":"","family":"Hiro","given":"Junichiro","non-dropping-particle":"","parse-names":false,"suffix":""},{"dropping-particle":"","family":"Toiyama","given":"Yuji","non-dropping-particle":"","parse-names":false,"suffix":""},{"dropping-particle":"","family":"Kobayashi","given":"Minako","non-dropping-particle":"","parse-names":false,"suffix":""},{"dropping-particle":"","family":"Tanaka","given":"Koji","non-dropping-particle":"","parse-names":false,"suffix":""},{"dropping-particle":"","family":"Inoue","given":"Yasuhiro","non-dropping-particle":"","parse-names":false,"suffix":""},{"dropping-particle":"","family":"Mohri","given":"Yasuhiko","non-dropping-particle":"","parse-names":false,"suffix":""},{"dropping-particle":"","family":"Uchida","given":"Keiichi","non-dropping-particle":"","parse-names":false,"suffix":""},{"dropping-particle":"","family":"Kusunoki","given":"Masato","non-dropping-particle":"","parse-names":false,"suffix":""}],"container-title":"Surgery today","id":"ITEM-1","issue":"1","issued":{"date-parts":[["2017","1"]]},"language":"eng","page":"92-98","publisher-place":"Japan","title":"Impact of sarcopenia on surgical site infection after restorative proctocolectomy for ulcerative colitis.","type":"article-journal","volume":"47"},"uris":["http://www.mendeley.com/documents/?uuid=a3ecc717-75fe-4b70-b40a-518331ec5a8e"]}],"mendeley":{"formattedCitation":"&lt;sup&gt;[29]&lt;/sup&gt;","plainTextFormattedCitation":"[29]","previouslyFormattedCitation":"&lt;sup&gt;[28]&lt;/sup&gt;"},"properties":{"noteIndex":0},"schema":"https://github.com/citation-style-language/schema/raw/master/csl-citation.json"}</w:instrText>
            </w:r>
            <w:r w:rsidR="00BA7500"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[29]</w:t>
            </w:r>
            <w:r w:rsidR="00BA7500" w:rsidRPr="00D07897">
              <w:rPr>
                <w:rFonts w:ascii="Book Antiqua" w:hAnsi="Book Antiqua" w:cs="Arial"/>
                <w:color w:val="000000" w:themeColor="text1"/>
              </w:rPr>
              <w:fldChar w:fldCharType="end"/>
            </w:r>
          </w:p>
        </w:tc>
      </w:tr>
      <w:tr w:rsidR="00F96F15" w:rsidRPr="00D07897" w14:paraId="673D6F71" w14:textId="77777777" w:rsidTr="00056CDC">
        <w:tc>
          <w:tcPr>
            <w:tcW w:w="1384" w:type="dxa"/>
            <w:vMerge/>
            <w:shd w:val="clear" w:color="auto" w:fill="auto"/>
            <w:vAlign w:val="center"/>
          </w:tcPr>
          <w:p w14:paraId="065A7580" w14:textId="77777777" w:rsidR="00365CE4" w:rsidRPr="00D07897" w:rsidRDefault="00365CE4" w:rsidP="00F96F15">
            <w:pPr>
              <w:spacing w:line="360" w:lineRule="auto"/>
              <w:jc w:val="both"/>
              <w:rPr>
                <w:rFonts w:ascii="Book Antiqua" w:hAnsi="Book Antiqua" w:cs="Arial"/>
                <w:color w:val="000000" w:themeColor="text1"/>
              </w:rPr>
            </w:pPr>
          </w:p>
        </w:tc>
        <w:tc>
          <w:tcPr>
            <w:tcW w:w="4322" w:type="dxa"/>
            <w:shd w:val="clear" w:color="auto" w:fill="auto"/>
          </w:tcPr>
          <w:p w14:paraId="575A611A" w14:textId="77777777"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Need for red blood cell transfusion</w:t>
            </w:r>
          </w:p>
        </w:tc>
        <w:tc>
          <w:tcPr>
            <w:tcW w:w="2516" w:type="dxa"/>
            <w:vMerge/>
            <w:shd w:val="clear" w:color="auto" w:fill="auto"/>
          </w:tcPr>
          <w:p w14:paraId="414C1139" w14:textId="77777777" w:rsidR="00365CE4" w:rsidRPr="00D07897" w:rsidRDefault="00365CE4" w:rsidP="00F96F15">
            <w:pPr>
              <w:spacing w:line="360" w:lineRule="auto"/>
              <w:jc w:val="both"/>
              <w:rPr>
                <w:rFonts w:ascii="Book Antiqua" w:hAnsi="Book Antiqua" w:cs="Arial"/>
                <w:color w:val="000000" w:themeColor="text1"/>
              </w:rPr>
            </w:pPr>
          </w:p>
        </w:tc>
        <w:tc>
          <w:tcPr>
            <w:tcW w:w="4111" w:type="dxa"/>
            <w:shd w:val="clear" w:color="auto" w:fill="auto"/>
          </w:tcPr>
          <w:p w14:paraId="1E3D8C14" w14:textId="717E2DCC"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OR 1.31, </w:t>
            </w:r>
            <w:r w:rsidR="00056CDC" w:rsidRPr="00D07897">
              <w:rPr>
                <w:rFonts w:ascii="Book Antiqua" w:hAnsi="Book Antiqua" w:cs="Arial"/>
                <w:i/>
                <w:iCs/>
                <w:color w:val="000000" w:themeColor="text1"/>
              </w:rPr>
              <w:t>P</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0.014</w:t>
            </w:r>
          </w:p>
        </w:tc>
        <w:tc>
          <w:tcPr>
            <w:tcW w:w="2067" w:type="dxa"/>
            <w:vMerge w:val="restart"/>
            <w:shd w:val="clear" w:color="auto" w:fill="auto"/>
          </w:tcPr>
          <w:p w14:paraId="3A33A2F9" w14:textId="77777777" w:rsidR="00365CE4" w:rsidRPr="00D07897" w:rsidRDefault="00365CE4" w:rsidP="00F96F15">
            <w:pPr>
              <w:spacing w:line="360" w:lineRule="auto"/>
              <w:jc w:val="both"/>
              <w:rPr>
                <w:rFonts w:ascii="Book Antiqua" w:hAnsi="Book Antiqua" w:cs="Arial"/>
                <w:color w:val="000000" w:themeColor="text1"/>
              </w:rPr>
            </w:pPr>
          </w:p>
          <w:p w14:paraId="69FFFDC6" w14:textId="77777777" w:rsidR="00365CE4" w:rsidRPr="00D07897" w:rsidRDefault="00365CE4" w:rsidP="00F96F15">
            <w:pPr>
              <w:spacing w:line="360" w:lineRule="auto"/>
              <w:jc w:val="both"/>
              <w:rPr>
                <w:rFonts w:ascii="Book Antiqua" w:hAnsi="Book Antiqua" w:cs="Arial"/>
                <w:color w:val="000000" w:themeColor="text1"/>
              </w:rPr>
            </w:pPr>
          </w:p>
          <w:p w14:paraId="1CB79489" w14:textId="7A2B010F"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Pedersen </w:t>
            </w:r>
            <w:r w:rsidR="00FF0389" w:rsidRPr="00D07897">
              <w:rPr>
                <w:rFonts w:ascii="Book Antiqua" w:hAnsi="Book Antiqua" w:cs="Arial"/>
                <w:i/>
                <w:color w:val="000000" w:themeColor="text1"/>
              </w:rPr>
              <w:t>et al</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{"citationItems":[{"id":"ITEM-1","itemData":{"DOI":"10.1097/MIB.0000000000001166","ISSN":"1536-4844 (Electronic)","PMID":"28604415","abstract":"BACKGROUND: Sarcopenia is associated with an increased risk of operative morbidity and mortality. The impact of sarcopenia in inflammatory bowel disease (IBD) has not been evaluated. This study assessed the role of sarcopenia on operative outcomes in IBD. METHODS: A retrospective review of American College of Surgeons National Surgical Quality Improvement Program data of patients with IBD was completed. Records were abstracted for comorbidities and perioperative complications. The Hounsfield unit average calculation was used from preoperative computed tomography (CT). Criteria for sarcopenia were based on the lowest 25th percentile. Complications were graded using the Clavien-Dindo classification system. Statistical analysis was completed using SAS. RESULTS: There were 178 patients included. Sarcopenic patients were more likely to be older (P = 0.001), have hypertension (odds ratio = 2.23), and be diabetic (5.27). In those patients younger than 40 years, sarcopenia was an independent predictor of complications. This subset was significantly more likely to have a normal or elevated body mass index. CONCLUSIONS: In this population, the average age of sarcopenic patients is increased from those who do not meet criteria. Among patients younger than 40 years, sarcopenia affects surgical outcomes. Assessment of sarcopenia can be used to improve preoperative management and describe risks before surgery in patients with IBD.","author":[{"dropping-particle":"","family":"Pedersen","given":"Mark","non-dropping-particle":"","parse-names":false,"suffix":""},{"dropping-particle":"","family":"Cromwell","given":"John","non-dropping-particle":"","parse-names":false,"suffix":""},{"dropping-particle":"","family":"Nau","given":"Peter","non-dropping-particle":"","parse-names":false,"suffix":""}],"container-title":"Inflammatory bowel diseases","id":"ITEM-1","issue":"10","issued":{"date-parts":[["2017","10"]]},"language":"eng","page":"1867-1872","publisher-place":"United States","title":"Sarcopenia is a Predictor of Surgical Morbidity in Inflammatory Bowel Disease.","type":"article-journal","volume":"23"},"uris":["http://www.mendeley.com/documents/?uuid=6853f06f-1efd-4924-a01f-3879684bf57f"]}],"mendeley":{"formattedCitation":"&lt;sup&gt;[12]&lt;/sup&gt;","plainTextFormattedCitation":"[12]","previouslyFormattedCitation":"&lt;sup&gt;[12]&lt;/sup&gt;"},"properties":{"noteIndex":0},"schema":"https://github.com/citation-style-language/schema/raw/master/csl-citation.json"}</w:instrText>
            </w:r>
            <w:r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[12]</w:t>
            </w:r>
            <w:r w:rsidRPr="00D07897">
              <w:rPr>
                <w:rFonts w:ascii="Book Antiqua" w:hAnsi="Book Antiqua" w:cs="Arial"/>
                <w:color w:val="000000" w:themeColor="text1"/>
              </w:rPr>
              <w:fldChar w:fldCharType="end"/>
            </w:r>
          </w:p>
          <w:p w14:paraId="49CA0C0F" w14:textId="77777777" w:rsidR="00365CE4" w:rsidRPr="00D07897" w:rsidRDefault="00365CE4" w:rsidP="00F96F15">
            <w:pPr>
              <w:spacing w:line="360" w:lineRule="auto"/>
              <w:jc w:val="both"/>
              <w:rPr>
                <w:rFonts w:ascii="Book Antiqua" w:hAnsi="Book Antiqua" w:cs="Arial"/>
                <w:color w:val="000000" w:themeColor="text1"/>
              </w:rPr>
            </w:pPr>
          </w:p>
        </w:tc>
      </w:tr>
      <w:tr w:rsidR="00F96F15" w:rsidRPr="00D07897" w14:paraId="173F1BE4" w14:textId="77777777" w:rsidTr="00056CDC">
        <w:tc>
          <w:tcPr>
            <w:tcW w:w="1384" w:type="dxa"/>
            <w:vMerge/>
            <w:shd w:val="clear" w:color="auto" w:fill="auto"/>
          </w:tcPr>
          <w:p w14:paraId="3AE933A5" w14:textId="77777777" w:rsidR="00365CE4" w:rsidRPr="00D07897" w:rsidRDefault="00365CE4" w:rsidP="00F96F15">
            <w:pPr>
              <w:spacing w:line="360" w:lineRule="auto"/>
              <w:jc w:val="both"/>
              <w:rPr>
                <w:rFonts w:ascii="Book Antiqua" w:hAnsi="Book Antiqua" w:cs="Arial"/>
                <w:color w:val="000000" w:themeColor="text1"/>
              </w:rPr>
            </w:pPr>
          </w:p>
        </w:tc>
        <w:tc>
          <w:tcPr>
            <w:tcW w:w="4322" w:type="dxa"/>
            <w:shd w:val="clear" w:color="auto" w:fill="auto"/>
          </w:tcPr>
          <w:p w14:paraId="1F6F0282" w14:textId="77777777"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ICU admission</w:t>
            </w:r>
          </w:p>
        </w:tc>
        <w:tc>
          <w:tcPr>
            <w:tcW w:w="2516" w:type="dxa"/>
            <w:vMerge/>
            <w:shd w:val="clear" w:color="auto" w:fill="auto"/>
          </w:tcPr>
          <w:p w14:paraId="00BFE63C" w14:textId="77777777" w:rsidR="00365CE4" w:rsidRPr="00D07897" w:rsidRDefault="00365CE4" w:rsidP="00F96F15">
            <w:pPr>
              <w:spacing w:line="360" w:lineRule="auto"/>
              <w:jc w:val="both"/>
              <w:rPr>
                <w:rFonts w:ascii="Book Antiqua" w:hAnsi="Book Antiqua" w:cs="Arial"/>
                <w:color w:val="000000" w:themeColor="text1"/>
              </w:rPr>
            </w:pPr>
          </w:p>
        </w:tc>
        <w:tc>
          <w:tcPr>
            <w:tcW w:w="4111" w:type="dxa"/>
            <w:shd w:val="clear" w:color="auto" w:fill="auto"/>
          </w:tcPr>
          <w:p w14:paraId="5CF03754" w14:textId="25BD7D57"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OR 1.32, </w:t>
            </w:r>
            <w:r w:rsidR="00056CDC" w:rsidRPr="00D07897">
              <w:rPr>
                <w:rFonts w:ascii="Book Antiqua" w:hAnsi="Book Antiqua" w:cs="Arial"/>
                <w:i/>
                <w:iCs/>
                <w:color w:val="000000" w:themeColor="text1"/>
              </w:rPr>
              <w:t>P</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0.016</w:t>
            </w:r>
          </w:p>
        </w:tc>
        <w:tc>
          <w:tcPr>
            <w:tcW w:w="2067" w:type="dxa"/>
            <w:vMerge/>
            <w:shd w:val="clear" w:color="auto" w:fill="auto"/>
          </w:tcPr>
          <w:p w14:paraId="06877FD1" w14:textId="77777777" w:rsidR="00365CE4" w:rsidRPr="00D07897" w:rsidRDefault="00365CE4" w:rsidP="00F96F15">
            <w:pPr>
              <w:spacing w:line="360" w:lineRule="auto"/>
              <w:jc w:val="both"/>
              <w:rPr>
                <w:rFonts w:ascii="Book Antiqua" w:hAnsi="Book Antiqua" w:cs="Arial"/>
                <w:color w:val="000000" w:themeColor="text1"/>
              </w:rPr>
            </w:pPr>
          </w:p>
        </w:tc>
      </w:tr>
      <w:tr w:rsidR="00F96F15" w:rsidRPr="00D07897" w14:paraId="7DAA5ACD" w14:textId="77777777" w:rsidTr="00056CDC">
        <w:tc>
          <w:tcPr>
            <w:tcW w:w="1384" w:type="dxa"/>
            <w:vMerge/>
            <w:shd w:val="clear" w:color="auto" w:fill="auto"/>
          </w:tcPr>
          <w:p w14:paraId="6B1DBEAF" w14:textId="77777777" w:rsidR="00365CE4" w:rsidRPr="00D07897" w:rsidRDefault="00365CE4" w:rsidP="00F96F15">
            <w:pPr>
              <w:spacing w:line="360" w:lineRule="auto"/>
              <w:jc w:val="both"/>
              <w:rPr>
                <w:rFonts w:ascii="Book Antiqua" w:hAnsi="Book Antiqua" w:cs="Arial"/>
                <w:color w:val="000000" w:themeColor="text1"/>
              </w:rPr>
            </w:pPr>
          </w:p>
        </w:tc>
        <w:tc>
          <w:tcPr>
            <w:tcW w:w="4322" w:type="dxa"/>
            <w:shd w:val="clear" w:color="auto" w:fill="auto"/>
          </w:tcPr>
          <w:p w14:paraId="6F293D00" w14:textId="77777777"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Post-operative sepsis</w:t>
            </w:r>
          </w:p>
        </w:tc>
        <w:tc>
          <w:tcPr>
            <w:tcW w:w="2516" w:type="dxa"/>
            <w:vMerge/>
            <w:shd w:val="clear" w:color="auto" w:fill="auto"/>
          </w:tcPr>
          <w:p w14:paraId="1C162BE7" w14:textId="77777777" w:rsidR="00365CE4" w:rsidRPr="00D07897" w:rsidRDefault="00365CE4" w:rsidP="00F96F15">
            <w:pPr>
              <w:spacing w:line="360" w:lineRule="auto"/>
              <w:jc w:val="both"/>
              <w:rPr>
                <w:rFonts w:ascii="Book Antiqua" w:hAnsi="Book Antiqua" w:cs="Arial"/>
                <w:color w:val="000000" w:themeColor="text1"/>
              </w:rPr>
            </w:pPr>
          </w:p>
        </w:tc>
        <w:tc>
          <w:tcPr>
            <w:tcW w:w="4111" w:type="dxa"/>
            <w:shd w:val="clear" w:color="auto" w:fill="auto"/>
          </w:tcPr>
          <w:p w14:paraId="199EFCFC" w14:textId="368BA173"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OR 1.325, </w:t>
            </w:r>
            <w:r w:rsidR="00056CDC" w:rsidRPr="00D07897">
              <w:rPr>
                <w:rFonts w:ascii="Book Antiqua" w:hAnsi="Book Antiqua" w:cs="Arial"/>
                <w:i/>
                <w:iCs/>
                <w:color w:val="000000" w:themeColor="text1"/>
              </w:rPr>
              <w:t>P</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0.009</w:t>
            </w:r>
          </w:p>
        </w:tc>
        <w:tc>
          <w:tcPr>
            <w:tcW w:w="2067" w:type="dxa"/>
            <w:vMerge/>
            <w:shd w:val="clear" w:color="auto" w:fill="auto"/>
          </w:tcPr>
          <w:p w14:paraId="035C0EA4" w14:textId="77777777" w:rsidR="00365CE4" w:rsidRPr="00D07897" w:rsidRDefault="00365CE4" w:rsidP="00F96F15">
            <w:pPr>
              <w:spacing w:line="360" w:lineRule="auto"/>
              <w:jc w:val="both"/>
              <w:rPr>
                <w:rFonts w:ascii="Book Antiqua" w:hAnsi="Book Antiqua" w:cs="Arial"/>
                <w:color w:val="000000" w:themeColor="text1"/>
              </w:rPr>
            </w:pPr>
          </w:p>
        </w:tc>
      </w:tr>
      <w:tr w:rsidR="00F96F15" w:rsidRPr="00D07897" w14:paraId="70E8F9FA" w14:textId="77777777" w:rsidTr="00056CDC">
        <w:tc>
          <w:tcPr>
            <w:tcW w:w="1384" w:type="dxa"/>
            <w:vMerge/>
            <w:shd w:val="clear" w:color="auto" w:fill="auto"/>
          </w:tcPr>
          <w:p w14:paraId="0B6A77A4" w14:textId="77777777" w:rsidR="00365CE4" w:rsidRPr="00D07897" w:rsidRDefault="00365CE4" w:rsidP="00F96F15">
            <w:pPr>
              <w:spacing w:line="360" w:lineRule="auto"/>
              <w:jc w:val="both"/>
              <w:rPr>
                <w:rFonts w:ascii="Book Antiqua" w:hAnsi="Book Antiqua" w:cs="Arial"/>
                <w:color w:val="000000" w:themeColor="text1"/>
              </w:rPr>
            </w:pPr>
          </w:p>
        </w:tc>
        <w:tc>
          <w:tcPr>
            <w:tcW w:w="4322" w:type="dxa"/>
            <w:shd w:val="clear" w:color="auto" w:fill="auto"/>
          </w:tcPr>
          <w:p w14:paraId="0E7C8A26" w14:textId="77777777"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Deep vein thrombosis</w:t>
            </w:r>
          </w:p>
        </w:tc>
        <w:tc>
          <w:tcPr>
            <w:tcW w:w="2516" w:type="dxa"/>
            <w:vMerge/>
            <w:shd w:val="clear" w:color="auto" w:fill="auto"/>
          </w:tcPr>
          <w:p w14:paraId="5ACC96CA" w14:textId="77777777" w:rsidR="00365CE4" w:rsidRPr="00D07897" w:rsidRDefault="00365CE4" w:rsidP="00F96F15">
            <w:pPr>
              <w:spacing w:line="360" w:lineRule="auto"/>
              <w:jc w:val="both"/>
              <w:rPr>
                <w:rFonts w:ascii="Book Antiqua" w:hAnsi="Book Antiqua" w:cs="Arial"/>
                <w:color w:val="000000" w:themeColor="text1"/>
              </w:rPr>
            </w:pPr>
          </w:p>
        </w:tc>
        <w:tc>
          <w:tcPr>
            <w:tcW w:w="4111" w:type="dxa"/>
            <w:shd w:val="clear" w:color="auto" w:fill="auto"/>
          </w:tcPr>
          <w:p w14:paraId="75C1AC0E" w14:textId="76C31F10"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OR 1.265, </w:t>
            </w:r>
            <w:r w:rsidR="00056CDC" w:rsidRPr="00D07897">
              <w:rPr>
                <w:rFonts w:ascii="Book Antiqua" w:hAnsi="Book Antiqua" w:cs="Arial"/>
                <w:i/>
                <w:iCs/>
                <w:color w:val="000000" w:themeColor="text1"/>
              </w:rPr>
              <w:t>P</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0.0173</w:t>
            </w:r>
          </w:p>
        </w:tc>
        <w:tc>
          <w:tcPr>
            <w:tcW w:w="2067" w:type="dxa"/>
            <w:vMerge/>
            <w:shd w:val="clear" w:color="auto" w:fill="auto"/>
          </w:tcPr>
          <w:p w14:paraId="21F28BC6" w14:textId="77777777" w:rsidR="00365CE4" w:rsidRPr="00D07897" w:rsidRDefault="00365CE4" w:rsidP="00F96F15">
            <w:pPr>
              <w:spacing w:line="360" w:lineRule="auto"/>
              <w:jc w:val="both"/>
              <w:rPr>
                <w:rFonts w:ascii="Book Antiqua" w:hAnsi="Book Antiqua" w:cs="Arial"/>
                <w:color w:val="000000" w:themeColor="text1"/>
              </w:rPr>
            </w:pPr>
          </w:p>
        </w:tc>
      </w:tr>
      <w:tr w:rsidR="00F96F15" w:rsidRPr="00D07897" w14:paraId="4E6327FB" w14:textId="77777777" w:rsidTr="00056CDC">
        <w:tc>
          <w:tcPr>
            <w:tcW w:w="1384" w:type="dxa"/>
            <w:vMerge/>
            <w:shd w:val="clear" w:color="auto" w:fill="auto"/>
          </w:tcPr>
          <w:p w14:paraId="34CADDDD" w14:textId="77777777" w:rsidR="00365CE4" w:rsidRPr="00D07897" w:rsidRDefault="00365CE4" w:rsidP="00F96F15">
            <w:pPr>
              <w:spacing w:line="360" w:lineRule="auto"/>
              <w:jc w:val="both"/>
              <w:rPr>
                <w:rFonts w:ascii="Book Antiqua" w:hAnsi="Book Antiqua" w:cs="Arial"/>
                <w:color w:val="000000" w:themeColor="text1"/>
              </w:rPr>
            </w:pPr>
          </w:p>
        </w:tc>
        <w:tc>
          <w:tcPr>
            <w:tcW w:w="4322" w:type="dxa"/>
            <w:shd w:val="clear" w:color="auto" w:fill="auto"/>
          </w:tcPr>
          <w:p w14:paraId="65AE2C71" w14:textId="77777777" w:rsidR="00365CE4" w:rsidRPr="00D07897" w:rsidRDefault="00365CE4" w:rsidP="00F96F15">
            <w:pPr>
              <w:spacing w:line="360" w:lineRule="auto"/>
              <w:jc w:val="both"/>
              <w:rPr>
                <w:rFonts w:ascii="Book Antiqua" w:hAnsi="Book Antiqua" w:cs="Arial"/>
                <w:color w:val="000000" w:themeColor="text1"/>
              </w:rPr>
            </w:pPr>
            <w:proofErr w:type="spellStart"/>
            <w:r w:rsidRPr="00D07897">
              <w:rPr>
                <w:rFonts w:ascii="Book Antiqua" w:hAnsi="Book Antiqua" w:cs="Arial"/>
                <w:color w:val="000000" w:themeColor="text1"/>
              </w:rPr>
              <w:t>Clavien-Dindo</w:t>
            </w:r>
            <w:proofErr w:type="spellEnd"/>
            <w:r w:rsidRPr="00D07897">
              <w:rPr>
                <w:rFonts w:ascii="Book Antiqua" w:hAnsi="Book Antiqua" w:cs="Arial"/>
                <w:color w:val="000000" w:themeColor="text1"/>
              </w:rPr>
              <w:t xml:space="preserve"> grade 4 complication</w:t>
            </w:r>
          </w:p>
        </w:tc>
        <w:tc>
          <w:tcPr>
            <w:tcW w:w="2516" w:type="dxa"/>
            <w:vMerge/>
            <w:shd w:val="clear" w:color="auto" w:fill="auto"/>
          </w:tcPr>
          <w:p w14:paraId="65EBDDFD" w14:textId="77777777" w:rsidR="00365CE4" w:rsidRPr="00D07897" w:rsidRDefault="00365CE4" w:rsidP="00F96F15">
            <w:pPr>
              <w:spacing w:line="360" w:lineRule="auto"/>
              <w:jc w:val="both"/>
              <w:rPr>
                <w:rFonts w:ascii="Book Antiqua" w:hAnsi="Book Antiqua" w:cs="Arial"/>
                <w:color w:val="000000" w:themeColor="text1"/>
              </w:rPr>
            </w:pPr>
          </w:p>
        </w:tc>
        <w:tc>
          <w:tcPr>
            <w:tcW w:w="4111" w:type="dxa"/>
            <w:shd w:val="clear" w:color="auto" w:fill="auto"/>
          </w:tcPr>
          <w:p w14:paraId="24B0252E" w14:textId="5A6BDB26" w:rsidR="00365CE4" w:rsidRPr="00D07897" w:rsidRDefault="00365CE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OR 1.329, </w:t>
            </w:r>
            <w:r w:rsidR="00056CDC" w:rsidRPr="00D07897">
              <w:rPr>
                <w:rFonts w:ascii="Book Antiqua" w:hAnsi="Book Antiqua" w:cs="Arial"/>
                <w:i/>
                <w:iCs/>
                <w:color w:val="000000" w:themeColor="text1"/>
              </w:rPr>
              <w:t>P</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0.0052</w:t>
            </w:r>
          </w:p>
        </w:tc>
        <w:tc>
          <w:tcPr>
            <w:tcW w:w="2067" w:type="dxa"/>
            <w:vMerge/>
            <w:shd w:val="clear" w:color="auto" w:fill="auto"/>
          </w:tcPr>
          <w:p w14:paraId="148F0944" w14:textId="77777777" w:rsidR="00365CE4" w:rsidRPr="00D07897" w:rsidRDefault="00365CE4" w:rsidP="00F96F15">
            <w:pPr>
              <w:spacing w:line="360" w:lineRule="auto"/>
              <w:jc w:val="both"/>
              <w:rPr>
                <w:rFonts w:ascii="Book Antiqua" w:hAnsi="Book Antiqua" w:cs="Arial"/>
                <w:color w:val="000000" w:themeColor="text1"/>
              </w:rPr>
            </w:pPr>
          </w:p>
        </w:tc>
      </w:tr>
      <w:tr w:rsidR="00F96F15" w:rsidRPr="00D07897" w14:paraId="42561D97" w14:textId="77777777" w:rsidTr="00056CDC">
        <w:tc>
          <w:tcPr>
            <w:tcW w:w="1384" w:type="dxa"/>
            <w:shd w:val="clear" w:color="auto" w:fill="auto"/>
          </w:tcPr>
          <w:p w14:paraId="4D019D74" w14:textId="77777777" w:rsidR="0052323B" w:rsidRPr="00D07897" w:rsidRDefault="0052323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ASMI</w:t>
            </w:r>
          </w:p>
        </w:tc>
        <w:tc>
          <w:tcPr>
            <w:tcW w:w="4322" w:type="dxa"/>
            <w:shd w:val="clear" w:color="auto" w:fill="auto"/>
          </w:tcPr>
          <w:p w14:paraId="520239BD" w14:textId="77777777" w:rsidR="0052323B" w:rsidRPr="00D07897" w:rsidRDefault="0052323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Fecal calprotectin</w:t>
            </w:r>
          </w:p>
        </w:tc>
        <w:tc>
          <w:tcPr>
            <w:tcW w:w="2516" w:type="dxa"/>
            <w:vMerge w:val="restart"/>
            <w:shd w:val="clear" w:color="auto" w:fill="auto"/>
          </w:tcPr>
          <w:p w14:paraId="3A6DF641" w14:textId="77777777" w:rsidR="0052323B" w:rsidRPr="00D07897" w:rsidRDefault="0052323B" w:rsidP="00F96F15">
            <w:pPr>
              <w:spacing w:line="360" w:lineRule="auto"/>
              <w:jc w:val="both"/>
              <w:rPr>
                <w:rFonts w:ascii="Book Antiqua" w:hAnsi="Book Antiqua" w:cs="Arial"/>
                <w:color w:val="000000" w:themeColor="text1"/>
              </w:rPr>
            </w:pPr>
          </w:p>
          <w:p w14:paraId="6646AE16" w14:textId="77532646" w:rsidR="0052323B" w:rsidRPr="00D07897" w:rsidRDefault="0052323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Spearman’s Rank </w:t>
            </w:r>
            <w:r w:rsidRPr="00D07897">
              <w:rPr>
                <w:rFonts w:ascii="Book Antiqua" w:hAnsi="Book Antiqua" w:cs="Arial"/>
                <w:color w:val="000000" w:themeColor="text1"/>
              </w:rPr>
              <w:lastRenderedPageBreak/>
              <w:t>Correlation</w:t>
            </w:r>
          </w:p>
        </w:tc>
        <w:tc>
          <w:tcPr>
            <w:tcW w:w="4111" w:type="dxa"/>
            <w:shd w:val="clear" w:color="auto" w:fill="auto"/>
          </w:tcPr>
          <w:p w14:paraId="40916B44" w14:textId="01029070" w:rsidR="0052323B" w:rsidRPr="00D07897" w:rsidRDefault="0052323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lastRenderedPageBreak/>
              <w:t>ρ</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 xml:space="preserve">-0.564, </w:t>
            </w:r>
            <w:r w:rsidR="00056CDC" w:rsidRPr="00D07897">
              <w:rPr>
                <w:rFonts w:ascii="Book Antiqua" w:hAnsi="Book Antiqua" w:cs="Arial"/>
                <w:i/>
                <w:iCs/>
                <w:color w:val="000000" w:themeColor="text1"/>
              </w:rPr>
              <w:t>P</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0.005</w:t>
            </w:r>
          </w:p>
        </w:tc>
        <w:tc>
          <w:tcPr>
            <w:tcW w:w="2067" w:type="dxa"/>
            <w:shd w:val="clear" w:color="auto" w:fill="auto"/>
          </w:tcPr>
          <w:p w14:paraId="25CCF169" w14:textId="0F9215C3" w:rsidR="0052323B" w:rsidRPr="00D07897" w:rsidRDefault="0052323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Holt </w:t>
            </w:r>
            <w:r w:rsidR="00FF0389" w:rsidRPr="00D07897">
              <w:rPr>
                <w:rFonts w:ascii="Book Antiqua" w:hAnsi="Book Antiqua" w:cs="Arial"/>
                <w:i/>
                <w:color w:val="000000" w:themeColor="text1"/>
              </w:rPr>
              <w:t>et al</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{"citationItems":[{"id":"ITEM-1","itemData":{"DOI":"https://dx.doi.org/10.1111/apt.14018","ISSN":"1365-2036","abstract":"BACKGROUND: Excessive visceral adipose tissue has been associated with poorer outcomes in patients with inflammatory bowel disease., AIM: To determine whether body composition is associated with outcome in a prospective study of post-operative Crohn's disease patients., METHODS: The POCER study evaluated management strategies for prevention of post-operative Crohn's disease recurrence; subjects were enrolled after resection of all macroscopic Crohn's disease and were randomised to early endoscopy and possible treatment escalation, or standard care. The primary endpoint was endoscopic recurrence at 18 months. 44 subjects with cross-sectional abdominal imaging were studied, and body composition analysis performed using established techniques to measure visceral adipose tissue area, subcutaneous adipose tissue area, and skeletal muscle area., RESULTS: The body composition parameter with the greatest variance was visceral adipose tissue. Regardless of treatment, all subjects with visceral adipose tissue/height2 &gt;1.5 times the gender-specific mean experienced endoscopic recurrence at 18 months (compared to 47%) [relative risk 2.1, 95% CI 1.5-3.0, P = 0.012]. Waist circumference correlated strongly with visceral adipose tissue area (p = 0.840, P &lt; 0.001). Low skeletal muscle was prevalent (41% of patients), but did not predict endoscopic recurrence; however, appendicular skeletal muscle indices correlated inversely with faecal calprotectin (p = 0.560, P = 0.046)., CONCLUSIONS: Visceral adiposity is an independent risk factor for endoscopic recurrence of Crohn's disease after surgery. Sarcopenia correlates with inflammatory biomarkers. Measures of visceral adipose tissue may help to stratify risk in post-operative management strategies.Copyright © 2017 John Wiley &amp; Sons Ltd.","author":[{"dropping-particle":"","family":"Holt","given":"D Q","non-dropping-particle":"","parse-names":false,"suffix":""},{"dropping-particle":"","family":"Moore","given":"G T","non-dropping-particle":"","parse-names":false,"suffix":""},{"dropping-particle":"","family":"Strauss","given":"B J G","non-dropping-particle":"","parse-names":false,"suffix":""},{"dropping-particle":"","family":"Hamilton","given":"A L","non-dropping-particle":"","parse-names":false,"suffix":""},{"dropping-particle":"","family":"Cruz","given":"P","non-dropping-particle":"De","parse-names":false,"suffix":""},{"dropping-particle":"","family":"Kamm","given":"M A","non-dropping-particle":"","parse-names":false,"suffix":""}],"container-title":"Alimentary pharmacology &amp; therapeutics","id":"ITEM-1","issue":"9","issued":{"date-parts":[["2017"]]},"page":"1255-1264","publisher-place":"England","title":"Visceral adiposity predicts post-operative Crohn's disease recurrence.","type":"article-journal","volume":"45"},"uris":["http://www.mendeley.com/documents/?uuid=2f42bc0f-c075-4ed5-ae3f-d90c75e83b1a"]}],"mendeley":{"formattedCitation":"&lt;sup&gt;[36]&lt;/sup&gt;","plainTextFormattedCitation":"[36]","previouslyFormattedCitation":"&lt;sup&gt;[35]&lt;/sup&gt;"},"properties":{"noteIndex":0},"schema":"https://github.com/citation-style-language/schema/raw/master/csl-citation.json"}</w:instrText>
            </w:r>
            <w:r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[36]</w:t>
            </w:r>
            <w:r w:rsidRPr="00D07897">
              <w:rPr>
                <w:rFonts w:ascii="Book Antiqua" w:hAnsi="Book Antiqua" w:cs="Arial"/>
                <w:color w:val="000000" w:themeColor="text1"/>
              </w:rPr>
              <w:fldChar w:fldCharType="end"/>
            </w:r>
          </w:p>
        </w:tc>
      </w:tr>
      <w:tr w:rsidR="00F96F15" w:rsidRPr="00D07897" w14:paraId="036B7CC1" w14:textId="77777777" w:rsidTr="00056CDC">
        <w:tc>
          <w:tcPr>
            <w:tcW w:w="1384" w:type="dxa"/>
            <w:shd w:val="clear" w:color="auto" w:fill="auto"/>
          </w:tcPr>
          <w:p w14:paraId="7CB9F887" w14:textId="3605DFDC" w:rsidR="0052323B" w:rsidRPr="00D07897" w:rsidRDefault="00983D54"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L3 </w:t>
            </w:r>
            <w:r w:rsidR="0052323B" w:rsidRPr="00D07897">
              <w:rPr>
                <w:rFonts w:ascii="Book Antiqua" w:hAnsi="Book Antiqua" w:cs="Arial"/>
                <w:color w:val="000000" w:themeColor="text1"/>
              </w:rPr>
              <w:t>SMI</w:t>
            </w:r>
          </w:p>
        </w:tc>
        <w:tc>
          <w:tcPr>
            <w:tcW w:w="4322" w:type="dxa"/>
            <w:vMerge w:val="restart"/>
            <w:shd w:val="clear" w:color="auto" w:fill="auto"/>
          </w:tcPr>
          <w:p w14:paraId="11008FBD" w14:textId="1DE1BBC7" w:rsidR="0052323B" w:rsidRPr="00D07897" w:rsidRDefault="0052323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UC disease activity (Mayo Score)</w:t>
            </w:r>
          </w:p>
        </w:tc>
        <w:tc>
          <w:tcPr>
            <w:tcW w:w="2516" w:type="dxa"/>
            <w:vMerge/>
            <w:shd w:val="clear" w:color="auto" w:fill="auto"/>
          </w:tcPr>
          <w:p w14:paraId="5D9700ED" w14:textId="77777777" w:rsidR="0052323B" w:rsidRPr="00D07897" w:rsidRDefault="0052323B" w:rsidP="00F96F15">
            <w:pPr>
              <w:spacing w:line="360" w:lineRule="auto"/>
              <w:jc w:val="both"/>
              <w:rPr>
                <w:rFonts w:ascii="Book Antiqua" w:hAnsi="Book Antiqua" w:cs="Arial"/>
                <w:color w:val="000000" w:themeColor="text1"/>
              </w:rPr>
            </w:pPr>
          </w:p>
        </w:tc>
        <w:tc>
          <w:tcPr>
            <w:tcW w:w="4111" w:type="dxa"/>
            <w:shd w:val="clear" w:color="auto" w:fill="auto"/>
          </w:tcPr>
          <w:p w14:paraId="050B77F1" w14:textId="61B6C606" w:rsidR="0052323B" w:rsidRPr="00D07897" w:rsidRDefault="0052323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ρ</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-0.523,</w:t>
            </w:r>
            <w:r w:rsidR="00056CDC" w:rsidRPr="00D07897">
              <w:rPr>
                <w:rFonts w:ascii="Book Antiqua" w:hAnsi="Book Antiqua" w:cs="Arial"/>
                <w:i/>
                <w:iCs/>
                <w:color w:val="000000" w:themeColor="text1"/>
              </w:rPr>
              <w:t xml:space="preserve"> P</w:t>
            </w:r>
            <w:r w:rsidR="00056CDC" w:rsidRPr="00D07897">
              <w:rPr>
                <w:rFonts w:ascii="Book Antiqua" w:hAnsi="Book Antiqua" w:cs="Arial"/>
                <w:color w:val="000000" w:themeColor="text1"/>
              </w:rPr>
              <w:t xml:space="preserve"> ≤ </w:t>
            </w:r>
            <w:r w:rsidRPr="00D07897">
              <w:rPr>
                <w:rFonts w:ascii="Book Antiqua" w:hAnsi="Book Antiqua" w:cs="Arial"/>
                <w:color w:val="000000" w:themeColor="text1"/>
              </w:rPr>
              <w:t>0.01</w:t>
            </w:r>
          </w:p>
        </w:tc>
        <w:tc>
          <w:tcPr>
            <w:tcW w:w="2067" w:type="dxa"/>
            <w:vMerge w:val="restart"/>
            <w:shd w:val="clear" w:color="auto" w:fill="auto"/>
          </w:tcPr>
          <w:p w14:paraId="760A47A5" w14:textId="3D1FB8FC" w:rsidR="0052323B" w:rsidRPr="00D07897" w:rsidRDefault="0052323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Zhang </w:t>
            </w:r>
            <w:r w:rsidR="00FF0389" w:rsidRPr="00D07897">
              <w:rPr>
                <w:rFonts w:ascii="Book Antiqua" w:hAnsi="Book Antiqua" w:cs="Arial"/>
                <w:i/>
                <w:color w:val="000000" w:themeColor="text1"/>
              </w:rPr>
              <w:t>et al</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{"citationItems":[{"id":"ITEM-1","itemData":{"DOI":"10.1016/j.clnu.2016.10.004","ISSN":"1532-1983 (Electronic)","PMID":"27814937","abstract":"BACKGROUND &amp; AIMS: The body composition of patients with ulcerative colitis (UC)  remains unclear. This study evaluated body composition in adult patients with UC and the associations of body composition with disease activity and surgical intervention. METHODS: This study included 99 patients with UC, 105 with Crohn's disease (CD) and 60 controls. Skeletal muscle area (SMA), visceral fat area (VFA) and subcutaneous fat area (SFA) of the third lumbar vertebrae were evaluated by abdominal computed tomography. The effects of medical therapy and surgery on body composition in UC patients were determined. RESULTS: Sarcopenia was more frequent in UC patients (27.3%) than in controls (8.3%), but less frequent than in CD patients (59.0%). The prevalence of sarcopenia was significantly higher (33.8% vs. 4.5%, p &lt; 0.001), and SMA (144.26 vs. 182.32 cm(2), p &lt; 0.001), skeletal muscle index (SMI) (52.22 vs. 65.52 cm(2)/m(2), p &lt; 0.001) significantly lower, in UC patients with high (&gt;/=6) than low (&lt;6) Mayo score, but SFA and VFA were similar. The prevalence of sarcopenia and alterations in body composition were reversed, along with UC disease activity, following medical treatment or surgery. SMA and SMI correlated significantly with disease activity in UC patients. Multivariate analysis showed that sarcopenia (odds ratio, 8.49; 95% confidence interval, 1.80-40.10; p = 0.007) was a negative predictor of high Mayo score in UC patients. Sarcopenic patients with UC had high probability of need for colectomy in Kaplan-Meier survival curves. CONCLUSIONS: Sarcopenia is associated with high disease activity and poor clinical outcome in UC patients. Medical treatment and colectomy have positive effects on sarcopenia and skeletal muscle depletion.","author":[{"dropping-particle":"","family":"Zhang","given":"Tenghui","non-dropping-particle":"","parse-names":false,"suffix":""},{"dropping-particle":"","family":"Ding","given":"Chao","non-dropping-particle":"","parse-names":false,"suffix":""},{"dropping-particle":"","family":"Xie","given":"Tingbin","non-dropping-particle":"","parse-names":false,"suffix":""},{"dropping-particle":"","family":"Yang","given":"Jianbo","non-dropping-particle":"","parse-names":false,"suffix":""},{"dropping-particle":"","family":"Dai","given":"Xujie","non-dropping-particle":"","parse-names":false,"suffix":""},{"dropping-particle":"","family":"Lv","given":"Tengfei","non-dropping-particle":"","parse-names":false,"suffix":""},{"dropping-particle":"","family":"Li","given":"Yi","non-dropping-particle":"","parse-names":false,"suffix":""},{"dropping-particle":"","family":"Gu","given":"Lili","non-dropping-particle":"","parse-names":false,"suffix":""},{"dropping-particle":"","family":"Wei","given":"Yao","non-dropping-particle":"","parse-names":false,"suffix":""},{"dropping-particle":"","family":"Gong","given":"Jianfeng","non-dropping-particle":"","parse-names":false,"suffix":""},{"dropping-particle":"","family":"Zhu","given":"Weiming","non-dropping-particle":"","parse-names":false,"suffix":""},{"dropping-particle":"","family":"Li","given":"Ning","non-dropping-particle":"","parse-names":false,"suffix":""},{"dropping-particle":"","family":"Li","given":"Jieshou","non-dropping-particle":"","parse-names":false,"suffix":""}],"container-title":"Clinical nutrition (Edinburgh, Scotland)","id":"ITEM-1","issue":"6","issued":{"date-parts":[["2017","12"]]},"language":"eng","page":"1586-1592","publisher-place":"England","title":"Skeletal muscle depletion correlates with disease activity in ulcerative colitis  and is reversed after colectomy.","type":"article-journal","volume":"36"},"uris":["http://www.mendeley.com/documents/?uuid=289f93c3-ba8a-4a99-af8c-01b5584e14b0"]}],"mendeley":{"formattedCitation":"&lt;sup&gt;[11]&lt;/sup&gt;","plainTextFormattedCitation":"[11]","previouslyFormattedCitation":"&lt;sup&gt;[11]&lt;/sup&gt;"},"properties":{"noteIndex":0},"schema":"https://github.com/citation-style-language/schema/raw/master/csl-citation.json"}</w:instrText>
            </w:r>
            <w:r w:rsidRPr="00D07897">
              <w:rPr>
                <w:rFonts w:ascii="Book Antiqua" w:hAnsi="Book Antiqua" w:cs="Arial"/>
                <w:color w:val="000000" w:themeColor="text1"/>
              </w:rPr>
              <w:fldChar w:fldCharType="separate"/>
            </w:r>
            <w:r w:rsidR="00596584" w:rsidRPr="00D07897">
              <w:rPr>
                <w:rFonts w:ascii="Book Antiqua" w:hAnsi="Book Antiqua" w:cs="Arial"/>
                <w:noProof/>
                <w:color w:val="000000" w:themeColor="text1"/>
                <w:vertAlign w:val="superscript"/>
              </w:rPr>
              <w:t>[11]</w:t>
            </w:r>
            <w:r w:rsidRPr="00D07897">
              <w:rPr>
                <w:rFonts w:ascii="Book Antiqua" w:hAnsi="Book Antiqua" w:cs="Arial"/>
                <w:color w:val="000000" w:themeColor="text1"/>
              </w:rPr>
              <w:fldChar w:fldCharType="end"/>
            </w:r>
          </w:p>
        </w:tc>
      </w:tr>
      <w:tr w:rsidR="00F96F15" w:rsidRPr="00D07897" w14:paraId="750C4A8A" w14:textId="77777777" w:rsidTr="00056CDC">
        <w:trPr>
          <w:trHeight w:val="458"/>
        </w:trPr>
        <w:tc>
          <w:tcPr>
            <w:tcW w:w="1384" w:type="dxa"/>
            <w:shd w:val="clear" w:color="auto" w:fill="auto"/>
          </w:tcPr>
          <w:p w14:paraId="4D9DBCAC" w14:textId="77777777" w:rsidR="0052323B" w:rsidRPr="00D07897" w:rsidRDefault="0052323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lastRenderedPageBreak/>
              <w:t>SMA</w:t>
            </w:r>
          </w:p>
        </w:tc>
        <w:tc>
          <w:tcPr>
            <w:tcW w:w="4322" w:type="dxa"/>
            <w:vMerge/>
            <w:shd w:val="clear" w:color="auto" w:fill="auto"/>
          </w:tcPr>
          <w:p w14:paraId="375BF40B" w14:textId="77777777" w:rsidR="0052323B" w:rsidRPr="00D07897" w:rsidRDefault="0052323B" w:rsidP="00F96F15">
            <w:pPr>
              <w:spacing w:line="360" w:lineRule="auto"/>
              <w:jc w:val="both"/>
              <w:rPr>
                <w:rFonts w:ascii="Book Antiqua" w:hAnsi="Book Antiqua" w:cs="Arial"/>
                <w:color w:val="000000" w:themeColor="text1"/>
              </w:rPr>
            </w:pPr>
          </w:p>
        </w:tc>
        <w:tc>
          <w:tcPr>
            <w:tcW w:w="2516" w:type="dxa"/>
            <w:vMerge/>
            <w:shd w:val="clear" w:color="auto" w:fill="auto"/>
          </w:tcPr>
          <w:p w14:paraId="5DAE1081" w14:textId="77777777" w:rsidR="0052323B" w:rsidRPr="00D07897" w:rsidRDefault="0052323B" w:rsidP="00F96F15">
            <w:pPr>
              <w:spacing w:line="360" w:lineRule="auto"/>
              <w:jc w:val="both"/>
              <w:rPr>
                <w:rFonts w:ascii="Book Antiqua" w:hAnsi="Book Antiqua" w:cs="Arial"/>
                <w:color w:val="000000" w:themeColor="text1"/>
              </w:rPr>
            </w:pPr>
          </w:p>
        </w:tc>
        <w:tc>
          <w:tcPr>
            <w:tcW w:w="4111" w:type="dxa"/>
            <w:shd w:val="clear" w:color="auto" w:fill="auto"/>
          </w:tcPr>
          <w:p w14:paraId="79BBFBC7" w14:textId="6838D4FB" w:rsidR="004C5A5B" w:rsidRPr="00D07897" w:rsidRDefault="0052323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ρ</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 xml:space="preserve">-0.445, </w:t>
            </w:r>
            <w:r w:rsidR="00056CDC" w:rsidRPr="00D07897">
              <w:rPr>
                <w:rFonts w:ascii="Book Antiqua" w:hAnsi="Book Antiqua" w:cs="Arial"/>
                <w:i/>
                <w:iCs/>
                <w:color w:val="000000" w:themeColor="text1"/>
              </w:rPr>
              <w:t>P</w:t>
            </w:r>
            <w:r w:rsidR="00056CDC" w:rsidRPr="00D07897">
              <w:rPr>
                <w:rFonts w:ascii="Book Antiqua" w:hAnsi="Book Antiqua" w:cs="Arial"/>
                <w:color w:val="000000" w:themeColor="text1"/>
              </w:rPr>
              <w:t xml:space="preserve"> ≤ </w:t>
            </w:r>
            <w:r w:rsidRPr="00D07897">
              <w:rPr>
                <w:rFonts w:ascii="Book Antiqua" w:hAnsi="Book Antiqua" w:cs="Arial"/>
                <w:color w:val="000000" w:themeColor="text1"/>
              </w:rPr>
              <w:t>0.01</w:t>
            </w:r>
          </w:p>
        </w:tc>
        <w:tc>
          <w:tcPr>
            <w:tcW w:w="2067" w:type="dxa"/>
            <w:vMerge/>
            <w:shd w:val="clear" w:color="auto" w:fill="auto"/>
          </w:tcPr>
          <w:p w14:paraId="3BB6F61B" w14:textId="77777777" w:rsidR="0052323B" w:rsidRPr="00D07897" w:rsidRDefault="0052323B" w:rsidP="00F96F15">
            <w:pPr>
              <w:spacing w:line="360" w:lineRule="auto"/>
              <w:jc w:val="both"/>
              <w:rPr>
                <w:rFonts w:ascii="Book Antiqua" w:hAnsi="Book Antiqua" w:cs="Arial"/>
                <w:color w:val="000000" w:themeColor="text1"/>
              </w:rPr>
            </w:pPr>
          </w:p>
        </w:tc>
      </w:tr>
      <w:tr w:rsidR="00F96F15" w:rsidRPr="00D07897" w14:paraId="5F63A7A6" w14:textId="77777777" w:rsidTr="00056CDC">
        <w:trPr>
          <w:trHeight w:val="470"/>
        </w:trPr>
        <w:tc>
          <w:tcPr>
            <w:tcW w:w="1384" w:type="dxa"/>
            <w:vMerge w:val="restart"/>
            <w:shd w:val="clear" w:color="auto" w:fill="auto"/>
          </w:tcPr>
          <w:p w14:paraId="73947D13" w14:textId="77777777" w:rsidR="0052323B" w:rsidRPr="00D07897" w:rsidRDefault="0052323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lastRenderedPageBreak/>
              <w:t>SMP</w:t>
            </w:r>
          </w:p>
          <w:p w14:paraId="228F464E" w14:textId="77777777" w:rsidR="0052323B" w:rsidRPr="00D07897" w:rsidRDefault="0052323B" w:rsidP="00F96F15">
            <w:pPr>
              <w:spacing w:line="360" w:lineRule="auto"/>
              <w:jc w:val="both"/>
              <w:rPr>
                <w:rFonts w:ascii="Book Antiqua" w:hAnsi="Book Antiqua" w:cs="Arial"/>
                <w:color w:val="000000" w:themeColor="text1"/>
              </w:rPr>
            </w:pPr>
          </w:p>
        </w:tc>
        <w:tc>
          <w:tcPr>
            <w:tcW w:w="4322" w:type="dxa"/>
            <w:shd w:val="clear" w:color="auto" w:fill="auto"/>
          </w:tcPr>
          <w:p w14:paraId="34AC6CD2" w14:textId="506B9D03" w:rsidR="0052323B" w:rsidRPr="00D07897" w:rsidRDefault="0052323B" w:rsidP="00F96F15">
            <w:pPr>
              <w:spacing w:line="360" w:lineRule="auto"/>
              <w:jc w:val="both"/>
              <w:rPr>
                <w:rFonts w:ascii="Book Antiqua" w:hAnsi="Book Antiqua" w:cs="Arial"/>
                <w:color w:val="000000" w:themeColor="text1"/>
                <w:lang w:val="en-CA"/>
              </w:rPr>
            </w:pPr>
            <w:r w:rsidRPr="00D07897">
              <w:rPr>
                <w:rFonts w:ascii="Book Antiqua" w:hAnsi="Book Antiqua" w:cs="Arial"/>
                <w:color w:val="000000" w:themeColor="text1"/>
              </w:rPr>
              <w:t>Post-operative complications (Overall)</w:t>
            </w:r>
            <w:r w:rsidR="00104D00" w:rsidRPr="00D07897">
              <w:rPr>
                <w:rFonts w:ascii="Book Antiqua" w:hAnsi="Book Antiqua" w:cs="Arial"/>
                <w:color w:val="000000" w:themeColor="text1"/>
                <w:shd w:val="clear" w:color="auto" w:fill="FFFFFF"/>
                <w:vertAlign w:val="superscript"/>
                <w:lang w:val="en-CA"/>
              </w:rPr>
              <w:t>2</w:t>
            </w:r>
          </w:p>
        </w:tc>
        <w:tc>
          <w:tcPr>
            <w:tcW w:w="2516" w:type="dxa"/>
            <w:vMerge w:val="restart"/>
            <w:shd w:val="clear" w:color="auto" w:fill="auto"/>
          </w:tcPr>
          <w:p w14:paraId="55D79386" w14:textId="77777777" w:rsidR="0052323B" w:rsidRPr="00D07897" w:rsidRDefault="0052323B" w:rsidP="00F96F15">
            <w:pPr>
              <w:spacing w:line="360" w:lineRule="auto"/>
              <w:jc w:val="both"/>
              <w:rPr>
                <w:rFonts w:ascii="Book Antiqua" w:hAnsi="Book Antiqua" w:cs="Arial"/>
                <w:color w:val="000000" w:themeColor="text1"/>
              </w:rPr>
            </w:pPr>
          </w:p>
          <w:p w14:paraId="136E49EA" w14:textId="77777777" w:rsidR="0052323B" w:rsidRPr="00D07897" w:rsidRDefault="0052323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Multivariate logistic regression analysis</w:t>
            </w:r>
          </w:p>
          <w:p w14:paraId="091658D9" w14:textId="77777777" w:rsidR="0052323B" w:rsidRPr="00D07897" w:rsidRDefault="0052323B" w:rsidP="00F96F15">
            <w:pPr>
              <w:spacing w:line="360" w:lineRule="auto"/>
              <w:jc w:val="both"/>
              <w:rPr>
                <w:rFonts w:ascii="Book Antiqua" w:hAnsi="Book Antiqua" w:cs="Arial"/>
                <w:color w:val="000000" w:themeColor="text1"/>
              </w:rPr>
            </w:pPr>
          </w:p>
        </w:tc>
        <w:tc>
          <w:tcPr>
            <w:tcW w:w="4111" w:type="dxa"/>
            <w:shd w:val="clear" w:color="auto" w:fill="auto"/>
          </w:tcPr>
          <w:p w14:paraId="395B3135" w14:textId="65AA6949" w:rsidR="0052323B" w:rsidRPr="00D07897" w:rsidRDefault="0052323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OR: 0.487 (95%CI 0.307-0.772) </w:t>
            </w:r>
            <w:r w:rsidR="00056CDC" w:rsidRPr="00D07897">
              <w:rPr>
                <w:rFonts w:ascii="Book Antiqua" w:hAnsi="Book Antiqua" w:cs="Arial"/>
                <w:i/>
                <w:iCs/>
                <w:color w:val="000000" w:themeColor="text1"/>
              </w:rPr>
              <w:t>P</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0.002</w:t>
            </w:r>
            <w:r w:rsidR="00056CDC" w:rsidRPr="00D07897">
              <w:rPr>
                <w:rFonts w:ascii="Book Antiqua" w:hAnsi="Book Antiqua" w:cs="Arial"/>
                <w:color w:val="000000" w:themeColor="text1"/>
                <w:vertAlign w:val="superscript"/>
              </w:rPr>
              <w:t>a</w:t>
            </w:r>
          </w:p>
        </w:tc>
        <w:tc>
          <w:tcPr>
            <w:tcW w:w="2067" w:type="dxa"/>
            <w:vMerge w:val="restart"/>
            <w:shd w:val="clear" w:color="auto" w:fill="auto"/>
          </w:tcPr>
          <w:p w14:paraId="7A7B96D1" w14:textId="77777777" w:rsidR="0052323B" w:rsidRPr="00D07897" w:rsidRDefault="0052323B" w:rsidP="00F96F15">
            <w:pPr>
              <w:spacing w:line="360" w:lineRule="auto"/>
              <w:jc w:val="both"/>
              <w:rPr>
                <w:rFonts w:ascii="Book Antiqua" w:hAnsi="Book Antiqua" w:cs="Arial"/>
                <w:color w:val="000000" w:themeColor="text1"/>
              </w:rPr>
            </w:pPr>
          </w:p>
          <w:p w14:paraId="7255C496" w14:textId="2E6CC934" w:rsidR="0052323B" w:rsidRPr="00D07897" w:rsidRDefault="0052323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Zhang </w:t>
            </w:r>
            <w:r w:rsidR="00FF0389" w:rsidRPr="00D07897">
              <w:rPr>
                <w:rFonts w:ascii="Book Antiqua" w:hAnsi="Book Antiqua" w:cs="Arial"/>
                <w:i/>
                <w:color w:val="000000" w:themeColor="text1"/>
              </w:rPr>
              <w:t>et al</w:t>
            </w:r>
            <w:r w:rsidRPr="00D07897">
              <w:rPr>
                <w:rFonts w:ascii="Book Antiqua" w:hAnsi="Book Antiqua" w:cs="Arial"/>
                <w:color w:val="000000" w:themeColor="text1"/>
              </w:rPr>
              <w:fldChar w:fldCharType="begin" w:fldLock="1"/>
            </w:r>
            <w:r w:rsidR="001B7C5F" w:rsidRPr="00D07897">
              <w:rPr>
                <w:rFonts w:ascii="Book Antiqua" w:hAnsi="Book Antiqua" w:cs="Arial"/>
                <w:color w:val="000000" w:themeColor="text1"/>
              </w:rPr>
              <w:instrText>ADDIN CSL_CITATION {"citationItems":[{"id":"ITEM-1","itemData":{"DOI":"https://dx.doi.org/10.1007/s11605-015-2763-x","ISSN":"1873-4626","abstract":"BACKGROUND: There are no appropriate variables for predicting postoperative morbidity in Crohn's disease (CD) patients with severe malnutrition. We examined a retrospective cohort to clarify these., MATERIALS AND METHODS: Between 2005 and 2013, 138 CD patients with severe malnutrition underwent elective intestinal resection after preoperative management, consisting of nutritional support, abscess drainage, intravenous antibiotics, steroids tapering, and infliximab weaning, as appropriate. The severity of postoperative morbidity (within the first 30 days) was examined according to the Clavien-Dindo classification system., RESULTS: After a median duration of 26 days of preoperative management, Crohn's disease activity index (CDAI) and C-reactive protein (CRP) significantly decreased, and body mass index (BMI), skeletal muscle percentage (SMP), body fat percentage (BFP), albumin, prealbumin, and hemoglobin significantly increased (P&lt;0.001). Postoperative overall morbidities occurred in 28 (20.3%) patients including 15 (10.8%) major complications (Clavien-Dindo classification&gt;=III). In the multivariate logistic regression analysis, preoperative CRP (P=0.044, OR 1.156, 95% CI 1.004-1.331) was a significantly independent risk factor for overall complications, and preoperative SMP (P=0.002, OR 0.487, 95% CI 0.307-0.772) and BFP (P=0.036, OR 0.691, 95% CI 0.490-0.996) were significantly independent protective factors. Notably, only preoperative SMP (P=0.002, OR 0.588, 95% CI 0.422-0.820) was a significantly independent protective factor for major complications, and our threshold of SMP was 24.3% (P&lt;0.001, sensitivity 83.7%, specificity 95.9%)., CONCLUSIONS: Preoperative SMP is a protective factor for postoperative overall and major complications in CD patients with severe malnutrition and deserves further study.","author":[{"dropping-particle":"","family":"Zhang","given":"Wei","non-dropping-particle":"","parse-names":false,"suffix":""},{"dropping-particle":"","family":"Zhu","given":"Weiming","non-dropping-particle":"","parse-names":false,"suffix":""},{"dropping-particle":"","family":"Ren","given":"Jianan","non-dropping-particle":"","parse-names":false,"suffix":""},{"dropping-particle":"","family":"Zuo","given":"Lugen","non-dropping-particle":"","parse-names":false,"suffix":""},{"dropping-particle":"","family":"Wu","given":"Xiuwen","non-dropping-particle":"","parse-names":false,"suffix":""},{"dropping-particle":"","family":"Li","given":"Jieshou","non-dropping-particle":"","parse-names":false,"suffix":""}],"container-title":"Journal of gastrointestinal surgery : official journal of the Society for Surgery of the Alimentary Tract","id":"ITEM-1","issue":"4","issued":{"date-parts":[["2015"]]},"page":"715-721","publisher-place":"United States","title":"Skeletal muscle percentage: a protective factor for postoperative morbidity in Crohn's disease patients with severe malnutrition.","type":"article-journal","volume":"19"},"uris":["http://www.mendeley.com/documents/?uuid=bce9beff-5643-45ff-bd09-fffc819a41d0"]}],"mendeley":{"formattedCitation":"&lt;sup&gt;[28]&lt;/sup&gt;","plainTextFormattedCitation":"[28]","previouslyFormattedCitation":"&lt;sup&gt;[27]&lt;/sup&gt;"},"properties":{"noteIndex":0},"schema":"https://github.com/citation-style-language/schema/raw/master/csl-citation.json"}</w:instrText>
            </w:r>
            <w:r w:rsidRPr="00D07897">
              <w:rPr>
                <w:rFonts w:ascii="Book Antiqua" w:hAnsi="Book Antiqua" w:cs="Arial"/>
                <w:color w:val="000000" w:themeColor="text1"/>
              </w:rPr>
              <w:fldChar w:fldCharType="separate"/>
            </w:r>
            <w:r w:rsidR="001B7C5F" w:rsidRPr="00D07897">
              <w:rPr>
                <w:rFonts w:ascii="Book Antiqua" w:hAnsi="Book Antiqua" w:cs="Arial"/>
                <w:noProof/>
                <w:color w:val="000000" w:themeColor="text1"/>
                <w:vertAlign w:val="superscript"/>
              </w:rPr>
              <w:t>[28]</w:t>
            </w:r>
            <w:r w:rsidRPr="00D07897">
              <w:rPr>
                <w:rFonts w:ascii="Book Antiqua" w:hAnsi="Book Antiqua" w:cs="Arial"/>
                <w:color w:val="000000" w:themeColor="text1"/>
              </w:rPr>
              <w:fldChar w:fldCharType="end"/>
            </w:r>
          </w:p>
        </w:tc>
      </w:tr>
      <w:tr w:rsidR="00F96F15" w:rsidRPr="00D07897" w14:paraId="3659B164" w14:textId="77777777" w:rsidTr="00056CDC">
        <w:tc>
          <w:tcPr>
            <w:tcW w:w="1384" w:type="dxa"/>
            <w:vMerge/>
            <w:tcBorders>
              <w:bottom w:val="single" w:sz="4" w:space="0" w:color="auto"/>
            </w:tcBorders>
            <w:shd w:val="clear" w:color="auto" w:fill="auto"/>
          </w:tcPr>
          <w:p w14:paraId="0D238092" w14:textId="77777777" w:rsidR="0052323B" w:rsidRPr="00D07897" w:rsidRDefault="0052323B" w:rsidP="00F96F15">
            <w:pPr>
              <w:spacing w:line="360" w:lineRule="auto"/>
              <w:jc w:val="both"/>
              <w:rPr>
                <w:rFonts w:ascii="Book Antiqua" w:hAnsi="Book Antiqua" w:cs="Arial"/>
                <w:color w:val="000000" w:themeColor="text1"/>
              </w:rPr>
            </w:pPr>
          </w:p>
        </w:tc>
        <w:tc>
          <w:tcPr>
            <w:tcW w:w="4322" w:type="dxa"/>
            <w:tcBorders>
              <w:bottom w:val="single" w:sz="4" w:space="0" w:color="auto"/>
            </w:tcBorders>
            <w:shd w:val="clear" w:color="auto" w:fill="auto"/>
          </w:tcPr>
          <w:p w14:paraId="2091ABE9" w14:textId="4B736DAE" w:rsidR="0052323B" w:rsidRPr="00D07897" w:rsidRDefault="0052323B" w:rsidP="00F96F15">
            <w:pPr>
              <w:spacing w:line="360" w:lineRule="auto"/>
              <w:jc w:val="both"/>
              <w:rPr>
                <w:rFonts w:ascii="Book Antiqua" w:hAnsi="Book Antiqua" w:cs="Arial"/>
                <w:color w:val="000000" w:themeColor="text1"/>
                <w:lang w:val="en-CA"/>
              </w:rPr>
            </w:pPr>
            <w:r w:rsidRPr="00D07897">
              <w:rPr>
                <w:rFonts w:ascii="Book Antiqua" w:hAnsi="Book Antiqua" w:cs="Arial"/>
                <w:color w:val="000000" w:themeColor="text1"/>
              </w:rPr>
              <w:t>Post-op complications (Major)</w:t>
            </w:r>
            <w:r w:rsidR="00104D00" w:rsidRPr="00D07897">
              <w:rPr>
                <w:rFonts w:ascii="Book Antiqua" w:hAnsi="Book Antiqua" w:cs="Arial"/>
                <w:color w:val="000000" w:themeColor="text1"/>
                <w:vertAlign w:val="superscript"/>
              </w:rPr>
              <w:t>1</w:t>
            </w:r>
          </w:p>
        </w:tc>
        <w:tc>
          <w:tcPr>
            <w:tcW w:w="2516" w:type="dxa"/>
            <w:vMerge/>
            <w:tcBorders>
              <w:bottom w:val="single" w:sz="4" w:space="0" w:color="auto"/>
            </w:tcBorders>
            <w:shd w:val="clear" w:color="auto" w:fill="auto"/>
          </w:tcPr>
          <w:p w14:paraId="0F7CC78A" w14:textId="77777777" w:rsidR="0052323B" w:rsidRPr="00D07897" w:rsidRDefault="0052323B" w:rsidP="00F96F15">
            <w:pPr>
              <w:spacing w:line="360" w:lineRule="auto"/>
              <w:jc w:val="both"/>
              <w:rPr>
                <w:rFonts w:ascii="Book Antiqua" w:hAnsi="Book Antiqua" w:cs="Arial"/>
                <w:color w:val="000000" w:themeColor="text1"/>
              </w:rPr>
            </w:pPr>
          </w:p>
        </w:tc>
        <w:tc>
          <w:tcPr>
            <w:tcW w:w="4111" w:type="dxa"/>
            <w:tcBorders>
              <w:bottom w:val="single" w:sz="4" w:space="0" w:color="auto"/>
            </w:tcBorders>
            <w:shd w:val="clear" w:color="auto" w:fill="auto"/>
          </w:tcPr>
          <w:p w14:paraId="40FFADF5" w14:textId="7478FD10" w:rsidR="0052323B" w:rsidRPr="00D07897" w:rsidRDefault="0052323B" w:rsidP="00F96F15">
            <w:pPr>
              <w:spacing w:line="360" w:lineRule="auto"/>
              <w:jc w:val="both"/>
              <w:rPr>
                <w:rFonts w:ascii="Book Antiqua" w:hAnsi="Book Antiqua" w:cs="Arial"/>
                <w:color w:val="000000" w:themeColor="text1"/>
              </w:rPr>
            </w:pPr>
            <w:r w:rsidRPr="00D07897">
              <w:rPr>
                <w:rFonts w:ascii="Book Antiqua" w:hAnsi="Book Antiqua" w:cs="Arial"/>
                <w:color w:val="000000" w:themeColor="text1"/>
              </w:rPr>
              <w:t xml:space="preserve">OR: 0.588 (95%CI 0.422-0.820) </w:t>
            </w:r>
            <w:r w:rsidR="00056CDC" w:rsidRPr="00D07897">
              <w:rPr>
                <w:rFonts w:ascii="Book Antiqua" w:hAnsi="Book Antiqua" w:cs="Arial"/>
                <w:i/>
                <w:iCs/>
                <w:color w:val="000000" w:themeColor="text1"/>
              </w:rPr>
              <w:t>P</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w:t>
            </w:r>
            <w:r w:rsidR="00056CDC" w:rsidRPr="00D07897">
              <w:rPr>
                <w:rFonts w:ascii="Book Antiqua" w:hAnsi="Book Antiqua" w:cs="Arial"/>
                <w:color w:val="000000" w:themeColor="text1"/>
              </w:rPr>
              <w:t xml:space="preserve"> </w:t>
            </w:r>
            <w:r w:rsidRPr="00D07897">
              <w:rPr>
                <w:rFonts w:ascii="Book Antiqua" w:hAnsi="Book Antiqua" w:cs="Arial"/>
                <w:color w:val="000000" w:themeColor="text1"/>
              </w:rPr>
              <w:t>0.002</w:t>
            </w:r>
            <w:r w:rsidR="00056CDC" w:rsidRPr="00D07897">
              <w:rPr>
                <w:rFonts w:ascii="Book Antiqua" w:hAnsi="Book Antiqua" w:cs="Arial"/>
                <w:color w:val="000000" w:themeColor="text1"/>
                <w:vertAlign w:val="superscript"/>
              </w:rPr>
              <w:t>a</w:t>
            </w:r>
          </w:p>
        </w:tc>
        <w:tc>
          <w:tcPr>
            <w:tcW w:w="2067" w:type="dxa"/>
            <w:vMerge/>
            <w:tcBorders>
              <w:bottom w:val="single" w:sz="4" w:space="0" w:color="auto"/>
            </w:tcBorders>
            <w:shd w:val="clear" w:color="auto" w:fill="auto"/>
          </w:tcPr>
          <w:p w14:paraId="2BC16C04" w14:textId="77777777" w:rsidR="0052323B" w:rsidRPr="00D07897" w:rsidRDefault="0052323B" w:rsidP="00F96F15">
            <w:pPr>
              <w:spacing w:line="360" w:lineRule="auto"/>
              <w:jc w:val="both"/>
              <w:rPr>
                <w:rFonts w:ascii="Book Antiqua" w:hAnsi="Book Antiqua" w:cs="Arial"/>
                <w:color w:val="000000" w:themeColor="text1"/>
              </w:rPr>
            </w:pPr>
          </w:p>
        </w:tc>
      </w:tr>
    </w:tbl>
    <w:p w14:paraId="5A9A9D67" w14:textId="2C094450" w:rsidR="005735AB" w:rsidRPr="00D07897" w:rsidRDefault="00056CDC" w:rsidP="00F96F15">
      <w:pPr>
        <w:spacing w:line="360" w:lineRule="auto"/>
        <w:jc w:val="both"/>
        <w:rPr>
          <w:rFonts w:ascii="Book Antiqua" w:hAnsi="Book Antiqua" w:cs="Arial"/>
          <w:color w:val="000000" w:themeColor="text1"/>
        </w:rPr>
      </w:pPr>
      <w:proofErr w:type="spellStart"/>
      <w:proofErr w:type="gramStart"/>
      <w:r w:rsidRPr="00D07897">
        <w:rPr>
          <w:rFonts w:ascii="Book Antiqua" w:hAnsi="Book Antiqua" w:cs="Arial"/>
          <w:color w:val="000000" w:themeColor="text1"/>
          <w:vertAlign w:val="superscript"/>
        </w:rPr>
        <w:t>a</w:t>
      </w:r>
      <w:r w:rsidRPr="00D07897">
        <w:rPr>
          <w:rFonts w:ascii="Book Antiqua" w:hAnsi="Book Antiqua" w:cs="Arial"/>
          <w:color w:val="000000" w:themeColor="text1"/>
        </w:rPr>
        <w:t>Indicates</w:t>
      </w:r>
      <w:proofErr w:type="spellEnd"/>
      <w:proofErr w:type="gramEnd"/>
      <w:r w:rsidRPr="00D07897">
        <w:rPr>
          <w:rFonts w:ascii="Book Antiqua" w:hAnsi="Book Antiqua" w:cs="Arial"/>
          <w:color w:val="000000" w:themeColor="text1"/>
        </w:rPr>
        <w:t xml:space="preserve"> significant</w:t>
      </w:r>
      <w:r w:rsidRPr="00D07897">
        <w:rPr>
          <w:rFonts w:ascii="Book Antiqua" w:hAnsi="Book Antiqua" w:cs="Arial"/>
          <w:i/>
          <w:iCs/>
          <w:color w:val="000000" w:themeColor="text1"/>
        </w:rPr>
        <w:t xml:space="preserve"> P</w:t>
      </w:r>
      <w:r w:rsidRPr="00D07897">
        <w:rPr>
          <w:rFonts w:ascii="Book Antiqua" w:hAnsi="Book Antiqua" w:cs="Arial"/>
          <w:color w:val="000000" w:themeColor="text1"/>
        </w:rPr>
        <w:t xml:space="preserve"> value &lt; 0.05); </w:t>
      </w:r>
      <w:r w:rsidRPr="00D07897">
        <w:rPr>
          <w:rFonts w:ascii="Book Antiqua" w:hAnsi="Book Antiqua" w:cs="Arial"/>
          <w:color w:val="000000" w:themeColor="text1"/>
          <w:shd w:val="clear" w:color="auto" w:fill="FFFFFF"/>
          <w:vertAlign w:val="superscript"/>
          <w:lang w:val="en-CA"/>
        </w:rPr>
        <w:t>1</w:t>
      </w:r>
      <w:r w:rsidRPr="00D07897">
        <w:rPr>
          <w:rFonts w:ascii="Book Antiqua" w:hAnsi="Book Antiqua" w:cs="Arial"/>
          <w:color w:val="000000" w:themeColor="text1"/>
          <w:shd w:val="clear" w:color="auto" w:fill="FFFFFF"/>
          <w:lang w:val="en-CA"/>
        </w:rPr>
        <w:t xml:space="preserve">Clavien-Dindo Score ≥ 3; </w:t>
      </w:r>
      <w:r w:rsidRPr="00D07897">
        <w:rPr>
          <w:rFonts w:ascii="Book Antiqua" w:hAnsi="Book Antiqua" w:cs="Arial"/>
          <w:color w:val="000000" w:themeColor="text1"/>
          <w:vertAlign w:val="superscript"/>
          <w:lang w:val="en-CA"/>
        </w:rPr>
        <w:t>2</w:t>
      </w:r>
      <w:r w:rsidRPr="00D07897">
        <w:rPr>
          <w:rFonts w:ascii="Book Antiqua" w:hAnsi="Book Antiqua" w:cs="Arial"/>
          <w:color w:val="000000" w:themeColor="text1"/>
          <w:lang w:val="en-CA"/>
        </w:rPr>
        <w:t xml:space="preserve">Clavien-Dindo Score 1-5. </w:t>
      </w:r>
      <w:r w:rsidR="001F0312" w:rsidRPr="00D07897">
        <w:rPr>
          <w:rFonts w:ascii="Book Antiqua" w:hAnsi="Book Antiqua" w:cs="Arial"/>
          <w:color w:val="000000" w:themeColor="text1"/>
        </w:rPr>
        <w:t>HR</w:t>
      </w:r>
      <w:r w:rsidRPr="00D07897">
        <w:rPr>
          <w:rFonts w:ascii="Book Antiqua" w:hAnsi="Book Antiqua" w:cs="Arial"/>
          <w:color w:val="000000" w:themeColor="text1"/>
        </w:rPr>
        <w:t>:</w:t>
      </w:r>
      <w:r w:rsidR="001F0312" w:rsidRPr="00D07897">
        <w:rPr>
          <w:rFonts w:ascii="Book Antiqua" w:hAnsi="Book Antiqua" w:cs="Arial"/>
          <w:color w:val="000000" w:themeColor="text1"/>
        </w:rPr>
        <w:t xml:space="preserve"> Hazard </w:t>
      </w:r>
      <w:r w:rsidRPr="00D07897">
        <w:rPr>
          <w:rFonts w:ascii="Book Antiqua" w:hAnsi="Book Antiqua" w:cs="Arial"/>
          <w:color w:val="000000" w:themeColor="text1"/>
        </w:rPr>
        <w:t>r</w:t>
      </w:r>
      <w:r w:rsidR="001F0312" w:rsidRPr="00D07897">
        <w:rPr>
          <w:rFonts w:ascii="Book Antiqua" w:hAnsi="Book Antiqua" w:cs="Arial"/>
          <w:color w:val="000000" w:themeColor="text1"/>
        </w:rPr>
        <w:t>atio; OR</w:t>
      </w:r>
      <w:r w:rsidRPr="00D07897">
        <w:rPr>
          <w:rFonts w:ascii="Book Antiqua" w:hAnsi="Book Antiqua" w:cs="Arial"/>
          <w:color w:val="000000" w:themeColor="text1"/>
        </w:rPr>
        <w:t>:</w:t>
      </w:r>
      <w:r w:rsidR="001F0312" w:rsidRPr="00D07897">
        <w:rPr>
          <w:rFonts w:ascii="Book Antiqua" w:hAnsi="Book Antiqua" w:cs="Arial"/>
          <w:color w:val="000000" w:themeColor="text1"/>
        </w:rPr>
        <w:t xml:space="preserve"> Odds </w:t>
      </w:r>
      <w:r w:rsidRPr="00D07897">
        <w:rPr>
          <w:rFonts w:ascii="Book Antiqua" w:hAnsi="Book Antiqua" w:cs="Arial"/>
          <w:color w:val="000000" w:themeColor="text1"/>
        </w:rPr>
        <w:t>r</w:t>
      </w:r>
      <w:r w:rsidR="001F0312" w:rsidRPr="00D07897">
        <w:rPr>
          <w:rFonts w:ascii="Book Antiqua" w:hAnsi="Book Antiqua" w:cs="Arial"/>
          <w:color w:val="000000" w:themeColor="text1"/>
        </w:rPr>
        <w:t>atio; CI</w:t>
      </w:r>
      <w:r w:rsidRPr="00D07897">
        <w:rPr>
          <w:rFonts w:ascii="Book Antiqua" w:hAnsi="Book Antiqua" w:cs="Arial"/>
          <w:color w:val="000000" w:themeColor="text1"/>
        </w:rPr>
        <w:t>:</w:t>
      </w:r>
      <w:r w:rsidR="001F0312" w:rsidRPr="00D07897">
        <w:rPr>
          <w:rFonts w:ascii="Book Antiqua" w:hAnsi="Book Antiqua" w:cs="Arial"/>
          <w:color w:val="000000" w:themeColor="text1"/>
        </w:rPr>
        <w:t xml:space="preserve"> Confidence </w:t>
      </w:r>
      <w:r w:rsidRPr="00D07897">
        <w:rPr>
          <w:rFonts w:ascii="Book Antiqua" w:hAnsi="Book Antiqua" w:cs="Arial"/>
          <w:color w:val="000000" w:themeColor="text1"/>
        </w:rPr>
        <w:t>i</w:t>
      </w:r>
      <w:r w:rsidR="001F0312" w:rsidRPr="00D07897">
        <w:rPr>
          <w:rFonts w:ascii="Book Antiqua" w:hAnsi="Book Antiqua" w:cs="Arial"/>
          <w:color w:val="000000" w:themeColor="text1"/>
        </w:rPr>
        <w:t>nterval; HBI</w:t>
      </w:r>
      <w:r w:rsidRPr="00D07897">
        <w:rPr>
          <w:rFonts w:ascii="Book Antiqua" w:hAnsi="Book Antiqua" w:cs="Arial"/>
          <w:color w:val="000000" w:themeColor="text1"/>
        </w:rPr>
        <w:t>:</w:t>
      </w:r>
      <w:r w:rsidR="001F0312" w:rsidRPr="00D07897">
        <w:rPr>
          <w:rFonts w:ascii="Book Antiqua" w:hAnsi="Book Antiqua" w:cs="Arial"/>
          <w:color w:val="000000" w:themeColor="text1"/>
        </w:rPr>
        <w:t xml:space="preserve"> Harvey-Bradshaw Index; </w:t>
      </w:r>
      <w:proofErr w:type="spellStart"/>
      <w:r w:rsidR="001F0312" w:rsidRPr="00D07897">
        <w:rPr>
          <w:rFonts w:ascii="Book Antiqua" w:hAnsi="Book Antiqua" w:cs="Arial"/>
          <w:color w:val="000000" w:themeColor="text1"/>
        </w:rPr>
        <w:t>mHUAC</w:t>
      </w:r>
      <w:proofErr w:type="spellEnd"/>
      <w:r w:rsidRPr="00D07897">
        <w:rPr>
          <w:rFonts w:ascii="Book Antiqua" w:hAnsi="Book Antiqua" w:cs="Arial"/>
          <w:color w:val="000000" w:themeColor="text1"/>
        </w:rPr>
        <w:t>:</w:t>
      </w:r>
      <w:r w:rsidR="001F0312" w:rsidRPr="00D07897">
        <w:rPr>
          <w:rFonts w:ascii="Book Antiqua" w:hAnsi="Book Antiqua" w:cs="Arial"/>
          <w:color w:val="000000" w:themeColor="text1"/>
        </w:rPr>
        <w:t xml:space="preserve"> Mean Hounsfield Unit Area Calculation; ASMI</w:t>
      </w:r>
      <w:r w:rsidRPr="00D07897">
        <w:rPr>
          <w:rFonts w:ascii="Book Antiqua" w:hAnsi="Book Antiqua" w:cs="Arial"/>
          <w:color w:val="000000" w:themeColor="text1"/>
        </w:rPr>
        <w:t>:</w:t>
      </w:r>
      <w:r w:rsidR="001F0312" w:rsidRPr="00D07897">
        <w:rPr>
          <w:rFonts w:ascii="Book Antiqua" w:hAnsi="Book Antiqua" w:cs="Arial"/>
          <w:color w:val="000000" w:themeColor="text1"/>
        </w:rPr>
        <w:t xml:space="preserve"> Appendicular Skeletal Muscle Index; SMI</w:t>
      </w:r>
      <w:r w:rsidRPr="00D07897">
        <w:rPr>
          <w:rFonts w:ascii="Book Antiqua" w:hAnsi="Book Antiqua" w:cs="Arial"/>
          <w:color w:val="000000" w:themeColor="text1"/>
        </w:rPr>
        <w:t>:</w:t>
      </w:r>
      <w:r w:rsidR="001F0312" w:rsidRPr="00D07897">
        <w:rPr>
          <w:rFonts w:ascii="Book Antiqua" w:hAnsi="Book Antiqua" w:cs="Arial"/>
          <w:color w:val="000000" w:themeColor="text1"/>
        </w:rPr>
        <w:t xml:space="preserve"> Skeletal Muscle Index; SMA</w:t>
      </w:r>
      <w:r w:rsidRPr="00D07897">
        <w:rPr>
          <w:rFonts w:ascii="Book Antiqua" w:hAnsi="Book Antiqua" w:cs="Arial"/>
          <w:color w:val="000000" w:themeColor="text1"/>
        </w:rPr>
        <w:t>:</w:t>
      </w:r>
      <w:r w:rsidR="001F0312" w:rsidRPr="00D07897">
        <w:rPr>
          <w:rFonts w:ascii="Book Antiqua" w:hAnsi="Book Antiqua" w:cs="Arial"/>
          <w:color w:val="000000" w:themeColor="text1"/>
        </w:rPr>
        <w:t xml:space="preserve"> Skeletal Muscle Area; SMP</w:t>
      </w:r>
      <w:r w:rsidRPr="00D07897">
        <w:rPr>
          <w:rFonts w:ascii="Book Antiqua" w:hAnsi="Book Antiqua" w:cs="Arial"/>
          <w:color w:val="000000" w:themeColor="text1"/>
        </w:rPr>
        <w:t>:</w:t>
      </w:r>
      <w:r w:rsidR="001F0312" w:rsidRPr="00D07897">
        <w:rPr>
          <w:rFonts w:ascii="Book Antiqua" w:hAnsi="Book Antiqua" w:cs="Arial"/>
          <w:color w:val="000000" w:themeColor="text1"/>
        </w:rPr>
        <w:t xml:space="preserve"> Skeletal Muscle Percentage; SGA</w:t>
      </w:r>
      <w:r w:rsidRPr="00D07897">
        <w:rPr>
          <w:rFonts w:ascii="Book Antiqua" w:hAnsi="Book Antiqua" w:cs="Arial"/>
          <w:color w:val="000000" w:themeColor="text1"/>
        </w:rPr>
        <w:t>:</w:t>
      </w:r>
      <w:r w:rsidR="001F0312" w:rsidRPr="00D07897">
        <w:rPr>
          <w:rFonts w:ascii="Book Antiqua" w:hAnsi="Book Antiqua" w:cs="Arial"/>
          <w:color w:val="000000" w:themeColor="text1"/>
        </w:rPr>
        <w:t xml:space="preserve"> Subjective Global Assessment</w:t>
      </w:r>
      <w:r w:rsidRPr="00D07897">
        <w:rPr>
          <w:rFonts w:ascii="Book Antiqua" w:hAnsi="Book Antiqua" w:cs="Arial"/>
          <w:color w:val="000000" w:themeColor="text1"/>
        </w:rPr>
        <w:t>.</w:t>
      </w:r>
    </w:p>
    <w:p w14:paraId="7A8E77F1" w14:textId="624837D2" w:rsidR="00056CDC" w:rsidRPr="00D07897" w:rsidRDefault="00056CDC" w:rsidP="00F96F15">
      <w:pPr>
        <w:spacing w:line="360" w:lineRule="auto"/>
        <w:jc w:val="both"/>
        <w:rPr>
          <w:rFonts w:ascii="Book Antiqua" w:hAnsi="Book Antiqua" w:cs="Arial"/>
          <w:color w:val="000000" w:themeColor="text1"/>
        </w:rPr>
      </w:pPr>
    </w:p>
    <w:p w14:paraId="2BF2F7C5" w14:textId="77777777" w:rsidR="007A757C" w:rsidRPr="00D07897" w:rsidRDefault="00056CDC">
      <w:pPr>
        <w:rPr>
          <w:rFonts w:ascii="Book Antiqua" w:hAnsi="Book Antiqua" w:cs="Arial"/>
          <w:color w:val="000000" w:themeColor="text1"/>
        </w:rPr>
        <w:sectPr w:rsidR="007A757C" w:rsidRPr="00D07897" w:rsidSect="00F167FD">
          <w:pgSz w:w="15840" w:h="12240" w:orient="landscape"/>
          <w:pgMar w:top="720" w:right="720" w:bottom="720" w:left="720" w:header="708" w:footer="708" w:gutter="0"/>
          <w:cols w:space="708"/>
          <w:docGrid w:linePitch="360"/>
        </w:sectPr>
      </w:pPr>
      <w:r w:rsidRPr="00D07897">
        <w:rPr>
          <w:rFonts w:ascii="Book Antiqua" w:hAnsi="Book Antiqua" w:cs="Arial"/>
          <w:color w:val="000000" w:themeColor="text1"/>
        </w:rPr>
        <w:br w:type="page"/>
      </w:r>
    </w:p>
    <w:p w14:paraId="5D51D353" w14:textId="451E40CA" w:rsidR="007A757C" w:rsidRPr="00D07897" w:rsidRDefault="007A757C" w:rsidP="007A757C">
      <w:pPr>
        <w:rPr>
          <w:rFonts w:ascii="Book Antiqua" w:hAnsi="Book Antiqua" w:cs="Arial"/>
          <w:color w:val="000000" w:themeColor="text1"/>
        </w:rPr>
      </w:pPr>
      <w:r w:rsidRPr="00D07897">
        <w:rPr>
          <w:rFonts w:ascii="Book Antiqua" w:hAnsi="Book Antiqua" w:cs="Arial"/>
          <w:noProof/>
          <w:color w:val="000000" w:themeColor="text1"/>
          <w:lang w:eastAsia="zh-CN"/>
        </w:rPr>
        <w:lastRenderedPageBreak/>
        <w:drawing>
          <wp:inline distT="0" distB="0" distL="0" distR="0" wp14:anchorId="1125DB20" wp14:editId="744FAFCA">
            <wp:extent cx="6620988" cy="5033176"/>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7464" cy="5060904"/>
                    </a:xfrm>
                    <a:prstGeom prst="rect">
                      <a:avLst/>
                    </a:prstGeom>
                    <a:noFill/>
                    <a:ln>
                      <a:noFill/>
                    </a:ln>
                  </pic:spPr>
                </pic:pic>
              </a:graphicData>
            </a:graphic>
          </wp:inline>
        </w:drawing>
      </w:r>
    </w:p>
    <w:p w14:paraId="4DCA2306" w14:textId="77777777" w:rsidR="007A757C" w:rsidRPr="00D07897" w:rsidRDefault="007A757C" w:rsidP="007A757C">
      <w:pPr>
        <w:rPr>
          <w:rFonts w:ascii="Book Antiqua" w:hAnsi="Book Antiqua" w:cs="Arial"/>
          <w:color w:val="000000" w:themeColor="text1"/>
        </w:rPr>
      </w:pPr>
    </w:p>
    <w:p w14:paraId="1734E831" w14:textId="523FC477" w:rsidR="00056CDC" w:rsidRPr="00C10906" w:rsidRDefault="007A757C" w:rsidP="00C10906">
      <w:pPr>
        <w:spacing w:line="360" w:lineRule="auto"/>
        <w:rPr>
          <w:rFonts w:ascii="Book Antiqua" w:hAnsi="Book Antiqua" w:cs="Arial"/>
          <w:b/>
          <w:bCs/>
          <w:color w:val="000000" w:themeColor="text1"/>
        </w:rPr>
      </w:pPr>
      <w:r w:rsidRPr="00D07897">
        <w:rPr>
          <w:rFonts w:ascii="Book Antiqua" w:hAnsi="Book Antiqua" w:cs="Arial"/>
          <w:b/>
          <w:bCs/>
          <w:color w:val="000000" w:themeColor="text1"/>
        </w:rPr>
        <w:t>Figure 1 PRISMA flow diagram.</w:t>
      </w:r>
      <w:r w:rsidR="00675E16" w:rsidRPr="00D07897">
        <w:rPr>
          <w:rFonts w:ascii="Book Antiqua" w:hAnsi="Book Antiqua" w:cs="Arial"/>
          <w:b/>
          <w:bCs/>
          <w:color w:val="000000" w:themeColor="text1"/>
        </w:rPr>
        <w:t xml:space="preserve"> </w:t>
      </w:r>
      <w:r w:rsidR="00675E16" w:rsidRPr="00D07897">
        <w:rPr>
          <w:rFonts w:ascii="Book Antiqua" w:hAnsi="Book Antiqua" w:cs="Arial"/>
          <w:color w:val="000000" w:themeColor="text1"/>
        </w:rPr>
        <w:t>IBD:</w:t>
      </w:r>
      <w:r w:rsidR="00675E16" w:rsidRPr="00D07897">
        <w:rPr>
          <w:rFonts w:ascii="Book Antiqua" w:hAnsi="Book Antiqua" w:cs="Arial"/>
          <w:b/>
          <w:bCs/>
          <w:color w:val="000000" w:themeColor="text1"/>
        </w:rPr>
        <w:t xml:space="preserve"> </w:t>
      </w:r>
      <w:r w:rsidR="00675E16" w:rsidRPr="00D07897">
        <w:rPr>
          <w:rFonts w:ascii="Book Antiqua" w:hAnsi="Book Antiqua" w:cs="Arial"/>
          <w:color w:val="000000" w:themeColor="text1"/>
        </w:rPr>
        <w:t xml:space="preserve">Inflammatory bowel disease; NST: Nutrition screening tools; </w:t>
      </w:r>
      <w:r w:rsidR="00675E16" w:rsidRPr="00D07897">
        <w:rPr>
          <w:rFonts w:ascii="Book Antiqua" w:eastAsia="等线" w:hAnsi="Book Antiqua" w:cs="Arial" w:hint="eastAsia"/>
          <w:color w:val="000000" w:themeColor="text1"/>
          <w:lang w:eastAsia="zh-CN"/>
        </w:rPr>
        <w:t>N</w:t>
      </w:r>
      <w:r w:rsidR="00675E16" w:rsidRPr="00D07897">
        <w:rPr>
          <w:rFonts w:ascii="Book Antiqua" w:eastAsia="等线" w:hAnsi="Book Antiqua" w:cs="Arial"/>
          <w:color w:val="000000" w:themeColor="text1"/>
          <w:lang w:eastAsia="zh-CN"/>
        </w:rPr>
        <w:t xml:space="preserve">AT: </w:t>
      </w:r>
      <w:r w:rsidR="00675E16" w:rsidRPr="00D07897">
        <w:rPr>
          <w:rFonts w:ascii="Book Antiqua" w:hAnsi="Book Antiqua" w:cs="Arial"/>
          <w:color w:val="000000" w:themeColor="text1"/>
        </w:rPr>
        <w:t>Nutrition assessment tools.</w:t>
      </w:r>
      <w:bookmarkEnd w:id="137"/>
      <w:bookmarkEnd w:id="138"/>
    </w:p>
    <w:sectPr w:rsidR="00056CDC" w:rsidRPr="00C10906" w:rsidSect="007A757C">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0E7AC" w14:textId="77777777" w:rsidR="00796D93" w:rsidRDefault="00796D93" w:rsidP="00ED37D3">
      <w:r>
        <w:separator/>
      </w:r>
    </w:p>
  </w:endnote>
  <w:endnote w:type="continuationSeparator" w:id="0">
    <w:p w14:paraId="501C17C9" w14:textId="77777777" w:rsidR="00796D93" w:rsidRDefault="00796D93" w:rsidP="00ED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游明朝">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微软雅黑">
    <w:panose1 w:val="020B0503020204020204"/>
    <w:charset w:val="86"/>
    <w:family w:val="swiss"/>
    <w:pitch w:val="variable"/>
    <w:sig w:usb0="80000287" w:usb1="280F3C52" w:usb2="00000016" w:usb3="00000000" w:csb0="0004001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791AA" w14:textId="77777777" w:rsidR="00796D93" w:rsidRDefault="00796D93" w:rsidP="00ED37D3">
      <w:r>
        <w:separator/>
      </w:r>
    </w:p>
  </w:footnote>
  <w:footnote w:type="continuationSeparator" w:id="0">
    <w:p w14:paraId="2723C7B8" w14:textId="77777777" w:rsidR="00796D93" w:rsidRDefault="00796D93" w:rsidP="00ED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F3B00" w14:textId="77777777" w:rsidR="00C10906" w:rsidRDefault="00C1090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F67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F2B18"/>
    <w:multiLevelType w:val="hybridMultilevel"/>
    <w:tmpl w:val="BFF8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05F0"/>
    <w:multiLevelType w:val="hybridMultilevel"/>
    <w:tmpl w:val="0B4CC69A"/>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F42331"/>
    <w:multiLevelType w:val="hybridMultilevel"/>
    <w:tmpl w:val="13C0FAC4"/>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4D078B"/>
    <w:multiLevelType w:val="hybridMultilevel"/>
    <w:tmpl w:val="0DB66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6227CA"/>
    <w:multiLevelType w:val="hybridMultilevel"/>
    <w:tmpl w:val="91FC1878"/>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3A7C12"/>
    <w:multiLevelType w:val="hybridMultilevel"/>
    <w:tmpl w:val="374CD9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640563"/>
    <w:multiLevelType w:val="hybridMultilevel"/>
    <w:tmpl w:val="2A7E7540"/>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2D27"/>
    <w:multiLevelType w:val="hybridMultilevel"/>
    <w:tmpl w:val="D7C6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ED3CCB"/>
    <w:multiLevelType w:val="hybridMultilevel"/>
    <w:tmpl w:val="56207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A200F7"/>
    <w:multiLevelType w:val="hybridMultilevel"/>
    <w:tmpl w:val="4C5A7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B33903"/>
    <w:multiLevelType w:val="hybridMultilevel"/>
    <w:tmpl w:val="74AA3052"/>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BB6B0A"/>
    <w:multiLevelType w:val="hybridMultilevel"/>
    <w:tmpl w:val="3A786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7003F5"/>
    <w:multiLevelType w:val="hybridMultilevel"/>
    <w:tmpl w:val="1FF08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16077"/>
    <w:multiLevelType w:val="hybridMultilevel"/>
    <w:tmpl w:val="E24CF88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368DB"/>
    <w:multiLevelType w:val="hybridMultilevel"/>
    <w:tmpl w:val="BF8A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587055"/>
    <w:multiLevelType w:val="hybridMultilevel"/>
    <w:tmpl w:val="4A84F70C"/>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D32ABF"/>
    <w:multiLevelType w:val="hybridMultilevel"/>
    <w:tmpl w:val="D6F061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3E73FB"/>
    <w:multiLevelType w:val="hybridMultilevel"/>
    <w:tmpl w:val="50E854B4"/>
    <w:lvl w:ilvl="0" w:tplc="1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6A90A99"/>
    <w:multiLevelType w:val="hybridMultilevel"/>
    <w:tmpl w:val="6F3C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
  </w:num>
  <w:num w:numId="4">
    <w:abstractNumId w:val="16"/>
  </w:num>
  <w:num w:numId="5">
    <w:abstractNumId w:val="2"/>
  </w:num>
  <w:num w:numId="6">
    <w:abstractNumId w:val="11"/>
  </w:num>
  <w:num w:numId="7">
    <w:abstractNumId w:val="7"/>
  </w:num>
  <w:num w:numId="8">
    <w:abstractNumId w:val="15"/>
  </w:num>
  <w:num w:numId="9">
    <w:abstractNumId w:val="1"/>
  </w:num>
  <w:num w:numId="10">
    <w:abstractNumId w:val="13"/>
  </w:num>
  <w:num w:numId="11">
    <w:abstractNumId w:val="8"/>
  </w:num>
  <w:num w:numId="12">
    <w:abstractNumId w:val="6"/>
  </w:num>
  <w:num w:numId="13">
    <w:abstractNumId w:val="17"/>
  </w:num>
  <w:num w:numId="14">
    <w:abstractNumId w:val="9"/>
  </w:num>
  <w:num w:numId="15">
    <w:abstractNumId w:val="0"/>
  </w:num>
  <w:num w:numId="16">
    <w:abstractNumId w:val="14"/>
  </w:num>
  <w:num w:numId="17">
    <w:abstractNumId w:val="19"/>
  </w:num>
  <w:num w:numId="18">
    <w:abstractNumId w:val="10"/>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2MzUwMbMwNzYyNTVW0lEKTi0uzszPAykwrAUA/QUFdywAAAA="/>
  </w:docVars>
  <w:rsids>
    <w:rsidRoot w:val="00847E05"/>
    <w:rsid w:val="00003D9A"/>
    <w:rsid w:val="00004EB6"/>
    <w:rsid w:val="000058D6"/>
    <w:rsid w:val="00005EB9"/>
    <w:rsid w:val="000069EB"/>
    <w:rsid w:val="0000738E"/>
    <w:rsid w:val="00010CD2"/>
    <w:rsid w:val="00011347"/>
    <w:rsid w:val="00016054"/>
    <w:rsid w:val="00016372"/>
    <w:rsid w:val="000224ED"/>
    <w:rsid w:val="000235E6"/>
    <w:rsid w:val="00024042"/>
    <w:rsid w:val="000242A0"/>
    <w:rsid w:val="000257B8"/>
    <w:rsid w:val="000308A0"/>
    <w:rsid w:val="00040554"/>
    <w:rsid w:val="00040CD9"/>
    <w:rsid w:val="00040D98"/>
    <w:rsid w:val="00044DC6"/>
    <w:rsid w:val="0004541A"/>
    <w:rsid w:val="00045CB2"/>
    <w:rsid w:val="000472EA"/>
    <w:rsid w:val="00050D5E"/>
    <w:rsid w:val="00050E60"/>
    <w:rsid w:val="00051756"/>
    <w:rsid w:val="000536A1"/>
    <w:rsid w:val="00055D1A"/>
    <w:rsid w:val="00056392"/>
    <w:rsid w:val="00056CDC"/>
    <w:rsid w:val="000573E2"/>
    <w:rsid w:val="00061817"/>
    <w:rsid w:val="0006263C"/>
    <w:rsid w:val="00063D61"/>
    <w:rsid w:val="00067E27"/>
    <w:rsid w:val="0007227F"/>
    <w:rsid w:val="00073804"/>
    <w:rsid w:val="00077E8C"/>
    <w:rsid w:val="000827A8"/>
    <w:rsid w:val="0008346F"/>
    <w:rsid w:val="00083B79"/>
    <w:rsid w:val="0008443D"/>
    <w:rsid w:val="000846D6"/>
    <w:rsid w:val="000911B7"/>
    <w:rsid w:val="000A072B"/>
    <w:rsid w:val="000A0AC0"/>
    <w:rsid w:val="000A1645"/>
    <w:rsid w:val="000A24AE"/>
    <w:rsid w:val="000A3DA1"/>
    <w:rsid w:val="000A495D"/>
    <w:rsid w:val="000A5533"/>
    <w:rsid w:val="000A5BB3"/>
    <w:rsid w:val="000A7202"/>
    <w:rsid w:val="000B3C73"/>
    <w:rsid w:val="000B46B7"/>
    <w:rsid w:val="000B77F5"/>
    <w:rsid w:val="000B7FFD"/>
    <w:rsid w:val="000C505F"/>
    <w:rsid w:val="000C68BA"/>
    <w:rsid w:val="000C6FA3"/>
    <w:rsid w:val="000C7C3E"/>
    <w:rsid w:val="000D203D"/>
    <w:rsid w:val="000D20AF"/>
    <w:rsid w:val="000D44FE"/>
    <w:rsid w:val="000E14CA"/>
    <w:rsid w:val="000F05E3"/>
    <w:rsid w:val="000F3104"/>
    <w:rsid w:val="000F3677"/>
    <w:rsid w:val="000F3C7C"/>
    <w:rsid w:val="000F3E5A"/>
    <w:rsid w:val="000F5BDB"/>
    <w:rsid w:val="00101BE3"/>
    <w:rsid w:val="00101D6F"/>
    <w:rsid w:val="0010487B"/>
    <w:rsid w:val="00104D00"/>
    <w:rsid w:val="00104E5F"/>
    <w:rsid w:val="0010594D"/>
    <w:rsid w:val="00105953"/>
    <w:rsid w:val="00105A06"/>
    <w:rsid w:val="00111508"/>
    <w:rsid w:val="0011360F"/>
    <w:rsid w:val="00115070"/>
    <w:rsid w:val="001205BD"/>
    <w:rsid w:val="0012157C"/>
    <w:rsid w:val="00122412"/>
    <w:rsid w:val="001237D2"/>
    <w:rsid w:val="001247E2"/>
    <w:rsid w:val="0012494D"/>
    <w:rsid w:val="0012712E"/>
    <w:rsid w:val="00130F9B"/>
    <w:rsid w:val="00133AAF"/>
    <w:rsid w:val="00134237"/>
    <w:rsid w:val="00135C38"/>
    <w:rsid w:val="00141342"/>
    <w:rsid w:val="001420B3"/>
    <w:rsid w:val="00142174"/>
    <w:rsid w:val="00142EAA"/>
    <w:rsid w:val="001442A6"/>
    <w:rsid w:val="00144A22"/>
    <w:rsid w:val="0014626D"/>
    <w:rsid w:val="001475DC"/>
    <w:rsid w:val="00150811"/>
    <w:rsid w:val="00152A47"/>
    <w:rsid w:val="00153DBD"/>
    <w:rsid w:val="0015438E"/>
    <w:rsid w:val="00155A05"/>
    <w:rsid w:val="00162E45"/>
    <w:rsid w:val="0016341B"/>
    <w:rsid w:val="00175E88"/>
    <w:rsid w:val="00176AE3"/>
    <w:rsid w:val="00176D7C"/>
    <w:rsid w:val="00177246"/>
    <w:rsid w:val="001806E0"/>
    <w:rsid w:val="00181542"/>
    <w:rsid w:val="00182F78"/>
    <w:rsid w:val="001834A7"/>
    <w:rsid w:val="001835DF"/>
    <w:rsid w:val="001841A8"/>
    <w:rsid w:val="001859AA"/>
    <w:rsid w:val="00186933"/>
    <w:rsid w:val="0019043C"/>
    <w:rsid w:val="001908E5"/>
    <w:rsid w:val="00190E44"/>
    <w:rsid w:val="001965DB"/>
    <w:rsid w:val="00196645"/>
    <w:rsid w:val="00197706"/>
    <w:rsid w:val="001A0C83"/>
    <w:rsid w:val="001A0E27"/>
    <w:rsid w:val="001B079A"/>
    <w:rsid w:val="001B0F1A"/>
    <w:rsid w:val="001B30BC"/>
    <w:rsid w:val="001B34A0"/>
    <w:rsid w:val="001B381D"/>
    <w:rsid w:val="001B78C0"/>
    <w:rsid w:val="001B7C5F"/>
    <w:rsid w:val="001C17B2"/>
    <w:rsid w:val="001C3A42"/>
    <w:rsid w:val="001D2652"/>
    <w:rsid w:val="001D5EC6"/>
    <w:rsid w:val="001E29EF"/>
    <w:rsid w:val="001E34E5"/>
    <w:rsid w:val="001E45ED"/>
    <w:rsid w:val="001E4CA6"/>
    <w:rsid w:val="001F0312"/>
    <w:rsid w:val="001F0CE2"/>
    <w:rsid w:val="001F2184"/>
    <w:rsid w:val="001F47B8"/>
    <w:rsid w:val="001F4B71"/>
    <w:rsid w:val="001F6337"/>
    <w:rsid w:val="001F67F2"/>
    <w:rsid w:val="001F79C2"/>
    <w:rsid w:val="00201631"/>
    <w:rsid w:val="00204567"/>
    <w:rsid w:val="00206AFE"/>
    <w:rsid w:val="00210FBF"/>
    <w:rsid w:val="00212D31"/>
    <w:rsid w:val="002159B8"/>
    <w:rsid w:val="00217E4F"/>
    <w:rsid w:val="00221247"/>
    <w:rsid w:val="00222234"/>
    <w:rsid w:val="002222C0"/>
    <w:rsid w:val="00222864"/>
    <w:rsid w:val="00223CAA"/>
    <w:rsid w:val="002263AA"/>
    <w:rsid w:val="0022697E"/>
    <w:rsid w:val="0023032E"/>
    <w:rsid w:val="0023156B"/>
    <w:rsid w:val="002343C7"/>
    <w:rsid w:val="00236134"/>
    <w:rsid w:val="002367AD"/>
    <w:rsid w:val="0024077F"/>
    <w:rsid w:val="00241D50"/>
    <w:rsid w:val="002444FF"/>
    <w:rsid w:val="00245E2A"/>
    <w:rsid w:val="00246358"/>
    <w:rsid w:val="00251572"/>
    <w:rsid w:val="002515DE"/>
    <w:rsid w:val="00251F46"/>
    <w:rsid w:val="002535F6"/>
    <w:rsid w:val="00254830"/>
    <w:rsid w:val="00254C48"/>
    <w:rsid w:val="00254CAB"/>
    <w:rsid w:val="00261129"/>
    <w:rsid w:val="00261204"/>
    <w:rsid w:val="00261E08"/>
    <w:rsid w:val="00261ED2"/>
    <w:rsid w:val="002645DD"/>
    <w:rsid w:val="002704BB"/>
    <w:rsid w:val="00270C73"/>
    <w:rsid w:val="00271D7C"/>
    <w:rsid w:val="00273D56"/>
    <w:rsid w:val="00275519"/>
    <w:rsid w:val="00275AC4"/>
    <w:rsid w:val="002807A7"/>
    <w:rsid w:val="00280F99"/>
    <w:rsid w:val="002822B4"/>
    <w:rsid w:val="00282337"/>
    <w:rsid w:val="0028313D"/>
    <w:rsid w:val="0028561F"/>
    <w:rsid w:val="00292008"/>
    <w:rsid w:val="0029285A"/>
    <w:rsid w:val="002938DE"/>
    <w:rsid w:val="002A1821"/>
    <w:rsid w:val="002B4297"/>
    <w:rsid w:val="002B69ED"/>
    <w:rsid w:val="002B7CA0"/>
    <w:rsid w:val="002C1A6B"/>
    <w:rsid w:val="002C5CC3"/>
    <w:rsid w:val="002C5DC0"/>
    <w:rsid w:val="002D1D61"/>
    <w:rsid w:val="002D421D"/>
    <w:rsid w:val="002D4E70"/>
    <w:rsid w:val="002D589D"/>
    <w:rsid w:val="002E0B0B"/>
    <w:rsid w:val="002E2C44"/>
    <w:rsid w:val="002E5D48"/>
    <w:rsid w:val="002E64BF"/>
    <w:rsid w:val="002F3DB3"/>
    <w:rsid w:val="002F4313"/>
    <w:rsid w:val="002F6975"/>
    <w:rsid w:val="002F7B1C"/>
    <w:rsid w:val="003013B3"/>
    <w:rsid w:val="00301A35"/>
    <w:rsid w:val="00302194"/>
    <w:rsid w:val="00304BC4"/>
    <w:rsid w:val="00305B76"/>
    <w:rsid w:val="00310F8A"/>
    <w:rsid w:val="00311590"/>
    <w:rsid w:val="00311B8A"/>
    <w:rsid w:val="00316758"/>
    <w:rsid w:val="0031765C"/>
    <w:rsid w:val="00320A8B"/>
    <w:rsid w:val="003234A8"/>
    <w:rsid w:val="00327D7C"/>
    <w:rsid w:val="00330173"/>
    <w:rsid w:val="00331526"/>
    <w:rsid w:val="0033191C"/>
    <w:rsid w:val="00332C3D"/>
    <w:rsid w:val="00333D8B"/>
    <w:rsid w:val="0033491B"/>
    <w:rsid w:val="00336FF1"/>
    <w:rsid w:val="00340843"/>
    <w:rsid w:val="0034119C"/>
    <w:rsid w:val="0034183F"/>
    <w:rsid w:val="00341AA4"/>
    <w:rsid w:val="00342ACB"/>
    <w:rsid w:val="00343D37"/>
    <w:rsid w:val="003449DA"/>
    <w:rsid w:val="00353BB9"/>
    <w:rsid w:val="00360E4F"/>
    <w:rsid w:val="003615C9"/>
    <w:rsid w:val="0036178D"/>
    <w:rsid w:val="00365991"/>
    <w:rsid w:val="00365CE4"/>
    <w:rsid w:val="00373637"/>
    <w:rsid w:val="00374D4C"/>
    <w:rsid w:val="00384D17"/>
    <w:rsid w:val="00385879"/>
    <w:rsid w:val="003864E6"/>
    <w:rsid w:val="0039323B"/>
    <w:rsid w:val="00393683"/>
    <w:rsid w:val="00396084"/>
    <w:rsid w:val="003A1F64"/>
    <w:rsid w:val="003A446E"/>
    <w:rsid w:val="003A4C79"/>
    <w:rsid w:val="003A630E"/>
    <w:rsid w:val="003A755D"/>
    <w:rsid w:val="003B2A60"/>
    <w:rsid w:val="003B4A72"/>
    <w:rsid w:val="003B5CDF"/>
    <w:rsid w:val="003B60E8"/>
    <w:rsid w:val="003B7A43"/>
    <w:rsid w:val="003C102C"/>
    <w:rsid w:val="003C1931"/>
    <w:rsid w:val="003C2F21"/>
    <w:rsid w:val="003C4499"/>
    <w:rsid w:val="003C4D81"/>
    <w:rsid w:val="003C4ECF"/>
    <w:rsid w:val="003C5116"/>
    <w:rsid w:val="003C5684"/>
    <w:rsid w:val="003C5853"/>
    <w:rsid w:val="003C787C"/>
    <w:rsid w:val="003D07FA"/>
    <w:rsid w:val="003D0B17"/>
    <w:rsid w:val="003D274F"/>
    <w:rsid w:val="003D2FA8"/>
    <w:rsid w:val="003D50E5"/>
    <w:rsid w:val="003D5A93"/>
    <w:rsid w:val="003D5C51"/>
    <w:rsid w:val="003D766C"/>
    <w:rsid w:val="003D7E67"/>
    <w:rsid w:val="003E0CE8"/>
    <w:rsid w:val="003E1704"/>
    <w:rsid w:val="003E1FA2"/>
    <w:rsid w:val="003E208A"/>
    <w:rsid w:val="003E443E"/>
    <w:rsid w:val="003E52DE"/>
    <w:rsid w:val="003E5C70"/>
    <w:rsid w:val="003E66A3"/>
    <w:rsid w:val="003F33B7"/>
    <w:rsid w:val="003F58E4"/>
    <w:rsid w:val="003F58F1"/>
    <w:rsid w:val="00404C7B"/>
    <w:rsid w:val="004059A2"/>
    <w:rsid w:val="004069BC"/>
    <w:rsid w:val="00412AC8"/>
    <w:rsid w:val="00412C46"/>
    <w:rsid w:val="00412E61"/>
    <w:rsid w:val="0041337F"/>
    <w:rsid w:val="00417C28"/>
    <w:rsid w:val="00417E8D"/>
    <w:rsid w:val="00417F55"/>
    <w:rsid w:val="00420BA6"/>
    <w:rsid w:val="00427A23"/>
    <w:rsid w:val="00431A0B"/>
    <w:rsid w:val="00432D25"/>
    <w:rsid w:val="004374D5"/>
    <w:rsid w:val="004414D1"/>
    <w:rsid w:val="00443142"/>
    <w:rsid w:val="004438FE"/>
    <w:rsid w:val="004477C2"/>
    <w:rsid w:val="00451B9A"/>
    <w:rsid w:val="004524FC"/>
    <w:rsid w:val="00454407"/>
    <w:rsid w:val="00455C1A"/>
    <w:rsid w:val="00455DD8"/>
    <w:rsid w:val="00456B1D"/>
    <w:rsid w:val="004601E1"/>
    <w:rsid w:val="00462D8B"/>
    <w:rsid w:val="00466FED"/>
    <w:rsid w:val="00470205"/>
    <w:rsid w:val="00471134"/>
    <w:rsid w:val="00471586"/>
    <w:rsid w:val="00471F19"/>
    <w:rsid w:val="004723B1"/>
    <w:rsid w:val="00472ED7"/>
    <w:rsid w:val="004732E3"/>
    <w:rsid w:val="00480D5A"/>
    <w:rsid w:val="00480DEC"/>
    <w:rsid w:val="00481830"/>
    <w:rsid w:val="0048600A"/>
    <w:rsid w:val="004864AD"/>
    <w:rsid w:val="00487744"/>
    <w:rsid w:val="00492441"/>
    <w:rsid w:val="00493946"/>
    <w:rsid w:val="00494264"/>
    <w:rsid w:val="00496317"/>
    <w:rsid w:val="0049717E"/>
    <w:rsid w:val="004A0321"/>
    <w:rsid w:val="004A3076"/>
    <w:rsid w:val="004A7953"/>
    <w:rsid w:val="004B0ECA"/>
    <w:rsid w:val="004B141C"/>
    <w:rsid w:val="004B2725"/>
    <w:rsid w:val="004B2E26"/>
    <w:rsid w:val="004B36B2"/>
    <w:rsid w:val="004B51B8"/>
    <w:rsid w:val="004B6A1F"/>
    <w:rsid w:val="004B74E9"/>
    <w:rsid w:val="004B7DDB"/>
    <w:rsid w:val="004C1BD3"/>
    <w:rsid w:val="004C3DEE"/>
    <w:rsid w:val="004C5A5B"/>
    <w:rsid w:val="004D05AC"/>
    <w:rsid w:val="004D20A3"/>
    <w:rsid w:val="004D2A4A"/>
    <w:rsid w:val="004D2BDA"/>
    <w:rsid w:val="004D384A"/>
    <w:rsid w:val="004D6A8D"/>
    <w:rsid w:val="004D6F2D"/>
    <w:rsid w:val="004D7F3D"/>
    <w:rsid w:val="004E2E67"/>
    <w:rsid w:val="004E3104"/>
    <w:rsid w:val="004E768A"/>
    <w:rsid w:val="004F0279"/>
    <w:rsid w:val="004F5C8C"/>
    <w:rsid w:val="004F7846"/>
    <w:rsid w:val="005002EA"/>
    <w:rsid w:val="00503B65"/>
    <w:rsid w:val="0050488D"/>
    <w:rsid w:val="00507406"/>
    <w:rsid w:val="0051003C"/>
    <w:rsid w:val="00514FE4"/>
    <w:rsid w:val="00515B0E"/>
    <w:rsid w:val="005206E6"/>
    <w:rsid w:val="0052323B"/>
    <w:rsid w:val="00524AB7"/>
    <w:rsid w:val="005250C7"/>
    <w:rsid w:val="00526844"/>
    <w:rsid w:val="005318D0"/>
    <w:rsid w:val="00537B27"/>
    <w:rsid w:val="00540856"/>
    <w:rsid w:val="00546258"/>
    <w:rsid w:val="00552C67"/>
    <w:rsid w:val="005538EA"/>
    <w:rsid w:val="00556DD3"/>
    <w:rsid w:val="005610DD"/>
    <w:rsid w:val="005643CC"/>
    <w:rsid w:val="00565B29"/>
    <w:rsid w:val="00571161"/>
    <w:rsid w:val="005735AB"/>
    <w:rsid w:val="00573D81"/>
    <w:rsid w:val="005751D6"/>
    <w:rsid w:val="005757A4"/>
    <w:rsid w:val="00576F4E"/>
    <w:rsid w:val="00580590"/>
    <w:rsid w:val="005830FF"/>
    <w:rsid w:val="00583B9C"/>
    <w:rsid w:val="00596584"/>
    <w:rsid w:val="005A06DA"/>
    <w:rsid w:val="005A0AC3"/>
    <w:rsid w:val="005A186F"/>
    <w:rsid w:val="005A3A62"/>
    <w:rsid w:val="005A4167"/>
    <w:rsid w:val="005A55AB"/>
    <w:rsid w:val="005A6D71"/>
    <w:rsid w:val="005A76DD"/>
    <w:rsid w:val="005B695B"/>
    <w:rsid w:val="005C33DF"/>
    <w:rsid w:val="005C4B05"/>
    <w:rsid w:val="005C7770"/>
    <w:rsid w:val="005D02C6"/>
    <w:rsid w:val="005D06A8"/>
    <w:rsid w:val="005D0E09"/>
    <w:rsid w:val="005D111A"/>
    <w:rsid w:val="005D1F17"/>
    <w:rsid w:val="005D36AC"/>
    <w:rsid w:val="005D786E"/>
    <w:rsid w:val="005D7DDD"/>
    <w:rsid w:val="005E0665"/>
    <w:rsid w:val="005E6ECD"/>
    <w:rsid w:val="005F08A8"/>
    <w:rsid w:val="005F0C54"/>
    <w:rsid w:val="005F0C55"/>
    <w:rsid w:val="005F571D"/>
    <w:rsid w:val="00603D59"/>
    <w:rsid w:val="00605799"/>
    <w:rsid w:val="0060695E"/>
    <w:rsid w:val="0061455E"/>
    <w:rsid w:val="00614A66"/>
    <w:rsid w:val="00614FED"/>
    <w:rsid w:val="006160EF"/>
    <w:rsid w:val="0061782C"/>
    <w:rsid w:val="00626249"/>
    <w:rsid w:val="006268F8"/>
    <w:rsid w:val="00631B67"/>
    <w:rsid w:val="00631DDA"/>
    <w:rsid w:val="00632193"/>
    <w:rsid w:val="00633BAB"/>
    <w:rsid w:val="00633E70"/>
    <w:rsid w:val="00640DC9"/>
    <w:rsid w:val="00640FFF"/>
    <w:rsid w:val="00641A05"/>
    <w:rsid w:val="00641F45"/>
    <w:rsid w:val="00642373"/>
    <w:rsid w:val="00642945"/>
    <w:rsid w:val="00647110"/>
    <w:rsid w:val="00647C27"/>
    <w:rsid w:val="00647E4F"/>
    <w:rsid w:val="00650A5B"/>
    <w:rsid w:val="00651804"/>
    <w:rsid w:val="00654738"/>
    <w:rsid w:val="00655C55"/>
    <w:rsid w:val="00655DA1"/>
    <w:rsid w:val="006579BB"/>
    <w:rsid w:val="00657CD6"/>
    <w:rsid w:val="006607D1"/>
    <w:rsid w:val="0066130D"/>
    <w:rsid w:val="00666AE5"/>
    <w:rsid w:val="006679EE"/>
    <w:rsid w:val="006702D8"/>
    <w:rsid w:val="0067108E"/>
    <w:rsid w:val="006711DA"/>
    <w:rsid w:val="00675E16"/>
    <w:rsid w:val="006779B5"/>
    <w:rsid w:val="006800D9"/>
    <w:rsid w:val="00684D41"/>
    <w:rsid w:val="006865CD"/>
    <w:rsid w:val="00693C5A"/>
    <w:rsid w:val="00694A8B"/>
    <w:rsid w:val="00697B03"/>
    <w:rsid w:val="00697D20"/>
    <w:rsid w:val="006A0CCF"/>
    <w:rsid w:val="006A0CDB"/>
    <w:rsid w:val="006A6928"/>
    <w:rsid w:val="006B16EA"/>
    <w:rsid w:val="006B2610"/>
    <w:rsid w:val="006B6900"/>
    <w:rsid w:val="006B692F"/>
    <w:rsid w:val="006B7159"/>
    <w:rsid w:val="006C3F71"/>
    <w:rsid w:val="006C5E22"/>
    <w:rsid w:val="006C5FB5"/>
    <w:rsid w:val="006D19F9"/>
    <w:rsid w:val="006D25B9"/>
    <w:rsid w:val="006D4D69"/>
    <w:rsid w:val="006D5C73"/>
    <w:rsid w:val="006D6333"/>
    <w:rsid w:val="006D697A"/>
    <w:rsid w:val="006E3180"/>
    <w:rsid w:val="006E7A0E"/>
    <w:rsid w:val="006E7BF3"/>
    <w:rsid w:val="006E7C6A"/>
    <w:rsid w:val="006F1282"/>
    <w:rsid w:val="006F16D9"/>
    <w:rsid w:val="006F2544"/>
    <w:rsid w:val="006F7CAC"/>
    <w:rsid w:val="007035D0"/>
    <w:rsid w:val="00705713"/>
    <w:rsid w:val="00705799"/>
    <w:rsid w:val="00710662"/>
    <w:rsid w:val="00714526"/>
    <w:rsid w:val="007157AE"/>
    <w:rsid w:val="007167F4"/>
    <w:rsid w:val="00716FF0"/>
    <w:rsid w:val="00717D60"/>
    <w:rsid w:val="0072008B"/>
    <w:rsid w:val="00720E51"/>
    <w:rsid w:val="00731F54"/>
    <w:rsid w:val="00732A35"/>
    <w:rsid w:val="00732F71"/>
    <w:rsid w:val="0073351C"/>
    <w:rsid w:val="00733A92"/>
    <w:rsid w:val="00733AA5"/>
    <w:rsid w:val="00734D14"/>
    <w:rsid w:val="00734D5E"/>
    <w:rsid w:val="007433DE"/>
    <w:rsid w:val="0074363B"/>
    <w:rsid w:val="0074575A"/>
    <w:rsid w:val="00746AC9"/>
    <w:rsid w:val="00750691"/>
    <w:rsid w:val="00755A17"/>
    <w:rsid w:val="007563A8"/>
    <w:rsid w:val="00756D64"/>
    <w:rsid w:val="00760724"/>
    <w:rsid w:val="00762BA3"/>
    <w:rsid w:val="00762F4C"/>
    <w:rsid w:val="007636BC"/>
    <w:rsid w:val="00766EB1"/>
    <w:rsid w:val="00776A67"/>
    <w:rsid w:val="007771D0"/>
    <w:rsid w:val="007857F5"/>
    <w:rsid w:val="00785CC7"/>
    <w:rsid w:val="00790CE9"/>
    <w:rsid w:val="00792346"/>
    <w:rsid w:val="00795E83"/>
    <w:rsid w:val="00796D93"/>
    <w:rsid w:val="007971D5"/>
    <w:rsid w:val="007A3146"/>
    <w:rsid w:val="007A43BB"/>
    <w:rsid w:val="007A468B"/>
    <w:rsid w:val="007A583D"/>
    <w:rsid w:val="007A757C"/>
    <w:rsid w:val="007B0D29"/>
    <w:rsid w:val="007B2363"/>
    <w:rsid w:val="007B2A41"/>
    <w:rsid w:val="007C0F86"/>
    <w:rsid w:val="007C7139"/>
    <w:rsid w:val="007C7CF8"/>
    <w:rsid w:val="007C7DB9"/>
    <w:rsid w:val="007D22C8"/>
    <w:rsid w:val="007D30DE"/>
    <w:rsid w:val="007D3580"/>
    <w:rsid w:val="007D5C67"/>
    <w:rsid w:val="007E09ED"/>
    <w:rsid w:val="007E4218"/>
    <w:rsid w:val="007F2732"/>
    <w:rsid w:val="007F497A"/>
    <w:rsid w:val="007F6E1D"/>
    <w:rsid w:val="00807C0E"/>
    <w:rsid w:val="00810708"/>
    <w:rsid w:val="00810ED1"/>
    <w:rsid w:val="00812BFC"/>
    <w:rsid w:val="008147BF"/>
    <w:rsid w:val="00814E0A"/>
    <w:rsid w:val="00817F60"/>
    <w:rsid w:val="00821CFF"/>
    <w:rsid w:val="00823AD8"/>
    <w:rsid w:val="0082419B"/>
    <w:rsid w:val="00826536"/>
    <w:rsid w:val="008266B3"/>
    <w:rsid w:val="00826B45"/>
    <w:rsid w:val="008303BA"/>
    <w:rsid w:val="00830990"/>
    <w:rsid w:val="00833F25"/>
    <w:rsid w:val="00836495"/>
    <w:rsid w:val="00837281"/>
    <w:rsid w:val="00840E9A"/>
    <w:rsid w:val="00843EB9"/>
    <w:rsid w:val="00847E05"/>
    <w:rsid w:val="008506A2"/>
    <w:rsid w:val="00851752"/>
    <w:rsid w:val="00851893"/>
    <w:rsid w:val="008537A5"/>
    <w:rsid w:val="008539EA"/>
    <w:rsid w:val="00853BB7"/>
    <w:rsid w:val="00854C60"/>
    <w:rsid w:val="00855CB6"/>
    <w:rsid w:val="008566B5"/>
    <w:rsid w:val="00857289"/>
    <w:rsid w:val="00866243"/>
    <w:rsid w:val="008670A6"/>
    <w:rsid w:val="00870499"/>
    <w:rsid w:val="008704B4"/>
    <w:rsid w:val="00873A2D"/>
    <w:rsid w:val="0087445B"/>
    <w:rsid w:val="0087624D"/>
    <w:rsid w:val="008804F4"/>
    <w:rsid w:val="00881458"/>
    <w:rsid w:val="008817C2"/>
    <w:rsid w:val="0088264E"/>
    <w:rsid w:val="00883574"/>
    <w:rsid w:val="00891356"/>
    <w:rsid w:val="008936D1"/>
    <w:rsid w:val="00896843"/>
    <w:rsid w:val="00897469"/>
    <w:rsid w:val="008A009B"/>
    <w:rsid w:val="008A061B"/>
    <w:rsid w:val="008A0FD2"/>
    <w:rsid w:val="008A1D12"/>
    <w:rsid w:val="008A22C4"/>
    <w:rsid w:val="008A62FA"/>
    <w:rsid w:val="008B09B4"/>
    <w:rsid w:val="008B3987"/>
    <w:rsid w:val="008B7AAF"/>
    <w:rsid w:val="008B7DE9"/>
    <w:rsid w:val="008C170A"/>
    <w:rsid w:val="008C4AD6"/>
    <w:rsid w:val="008D045A"/>
    <w:rsid w:val="008D2DF5"/>
    <w:rsid w:val="008D4636"/>
    <w:rsid w:val="008D4FBF"/>
    <w:rsid w:val="008D745E"/>
    <w:rsid w:val="008E0FC8"/>
    <w:rsid w:val="008E37D1"/>
    <w:rsid w:val="008E56F4"/>
    <w:rsid w:val="008E6858"/>
    <w:rsid w:val="008E687C"/>
    <w:rsid w:val="008E79B6"/>
    <w:rsid w:val="008F0522"/>
    <w:rsid w:val="008F1384"/>
    <w:rsid w:val="008F2146"/>
    <w:rsid w:val="008F317F"/>
    <w:rsid w:val="008F3B7D"/>
    <w:rsid w:val="008F437D"/>
    <w:rsid w:val="008F5080"/>
    <w:rsid w:val="008F5A71"/>
    <w:rsid w:val="008F6E8C"/>
    <w:rsid w:val="008F72A8"/>
    <w:rsid w:val="008F7B6C"/>
    <w:rsid w:val="00900EA9"/>
    <w:rsid w:val="00902A9C"/>
    <w:rsid w:val="00902E0A"/>
    <w:rsid w:val="0090458F"/>
    <w:rsid w:val="00910399"/>
    <w:rsid w:val="00910C20"/>
    <w:rsid w:val="009112A5"/>
    <w:rsid w:val="00912808"/>
    <w:rsid w:val="00913BF1"/>
    <w:rsid w:val="0091492E"/>
    <w:rsid w:val="0091529F"/>
    <w:rsid w:val="00917C87"/>
    <w:rsid w:val="009333E0"/>
    <w:rsid w:val="00934235"/>
    <w:rsid w:val="00935382"/>
    <w:rsid w:val="0093559A"/>
    <w:rsid w:val="009360A3"/>
    <w:rsid w:val="009437B3"/>
    <w:rsid w:val="00943864"/>
    <w:rsid w:val="00943A97"/>
    <w:rsid w:val="00943D40"/>
    <w:rsid w:val="00947EAC"/>
    <w:rsid w:val="00952D01"/>
    <w:rsid w:val="009540A9"/>
    <w:rsid w:val="00954AE7"/>
    <w:rsid w:val="009636F4"/>
    <w:rsid w:val="009653FE"/>
    <w:rsid w:val="00965A05"/>
    <w:rsid w:val="0097178A"/>
    <w:rsid w:val="00971C22"/>
    <w:rsid w:val="00973889"/>
    <w:rsid w:val="009746E9"/>
    <w:rsid w:val="00977A87"/>
    <w:rsid w:val="009814CE"/>
    <w:rsid w:val="00983D54"/>
    <w:rsid w:val="00984241"/>
    <w:rsid w:val="00984E7E"/>
    <w:rsid w:val="00986BD9"/>
    <w:rsid w:val="0098725F"/>
    <w:rsid w:val="009875F3"/>
    <w:rsid w:val="00990FFA"/>
    <w:rsid w:val="009926F7"/>
    <w:rsid w:val="00994BD7"/>
    <w:rsid w:val="009A0385"/>
    <w:rsid w:val="009A3449"/>
    <w:rsid w:val="009A3C19"/>
    <w:rsid w:val="009C5EA4"/>
    <w:rsid w:val="009C6605"/>
    <w:rsid w:val="009C7D2B"/>
    <w:rsid w:val="009D10EE"/>
    <w:rsid w:val="009D2937"/>
    <w:rsid w:val="009D2B3F"/>
    <w:rsid w:val="009D3176"/>
    <w:rsid w:val="009D4A8C"/>
    <w:rsid w:val="009D4F47"/>
    <w:rsid w:val="009D6C3F"/>
    <w:rsid w:val="009D7956"/>
    <w:rsid w:val="009E192D"/>
    <w:rsid w:val="009E290F"/>
    <w:rsid w:val="009E4735"/>
    <w:rsid w:val="009E4DA4"/>
    <w:rsid w:val="009E5F7C"/>
    <w:rsid w:val="009F0269"/>
    <w:rsid w:val="009F2A6C"/>
    <w:rsid w:val="009F61EB"/>
    <w:rsid w:val="00A02724"/>
    <w:rsid w:val="00A06B11"/>
    <w:rsid w:val="00A0750C"/>
    <w:rsid w:val="00A152BF"/>
    <w:rsid w:val="00A15337"/>
    <w:rsid w:val="00A160EF"/>
    <w:rsid w:val="00A162B3"/>
    <w:rsid w:val="00A16E16"/>
    <w:rsid w:val="00A202F1"/>
    <w:rsid w:val="00A21F80"/>
    <w:rsid w:val="00A24793"/>
    <w:rsid w:val="00A24844"/>
    <w:rsid w:val="00A35821"/>
    <w:rsid w:val="00A366D3"/>
    <w:rsid w:val="00A37800"/>
    <w:rsid w:val="00A4046A"/>
    <w:rsid w:val="00A43821"/>
    <w:rsid w:val="00A451B0"/>
    <w:rsid w:val="00A45A0C"/>
    <w:rsid w:val="00A47C4A"/>
    <w:rsid w:val="00A52EDE"/>
    <w:rsid w:val="00A559C3"/>
    <w:rsid w:val="00A562A6"/>
    <w:rsid w:val="00A579A5"/>
    <w:rsid w:val="00A600F6"/>
    <w:rsid w:val="00A629BF"/>
    <w:rsid w:val="00A63AA7"/>
    <w:rsid w:val="00A63AA9"/>
    <w:rsid w:val="00A66436"/>
    <w:rsid w:val="00A66B16"/>
    <w:rsid w:val="00A70CC8"/>
    <w:rsid w:val="00A732F6"/>
    <w:rsid w:val="00A82109"/>
    <w:rsid w:val="00A82621"/>
    <w:rsid w:val="00A84890"/>
    <w:rsid w:val="00A928A0"/>
    <w:rsid w:val="00A93AEE"/>
    <w:rsid w:val="00A93EC6"/>
    <w:rsid w:val="00AA1427"/>
    <w:rsid w:val="00AA2807"/>
    <w:rsid w:val="00AA3D56"/>
    <w:rsid w:val="00AA5409"/>
    <w:rsid w:val="00AA63D3"/>
    <w:rsid w:val="00AB13A1"/>
    <w:rsid w:val="00AB4664"/>
    <w:rsid w:val="00AB63E8"/>
    <w:rsid w:val="00AB78BA"/>
    <w:rsid w:val="00AB78C6"/>
    <w:rsid w:val="00AC109D"/>
    <w:rsid w:val="00AD0B8F"/>
    <w:rsid w:val="00AD2A0E"/>
    <w:rsid w:val="00AD2ED4"/>
    <w:rsid w:val="00AD3125"/>
    <w:rsid w:val="00AD3A36"/>
    <w:rsid w:val="00AD5D9C"/>
    <w:rsid w:val="00AD7AFA"/>
    <w:rsid w:val="00AE0632"/>
    <w:rsid w:val="00AE10E8"/>
    <w:rsid w:val="00AE1EE2"/>
    <w:rsid w:val="00AE1FAB"/>
    <w:rsid w:val="00AE292B"/>
    <w:rsid w:val="00AE2B18"/>
    <w:rsid w:val="00AE731E"/>
    <w:rsid w:val="00AE74B4"/>
    <w:rsid w:val="00AF33DA"/>
    <w:rsid w:val="00AF42D0"/>
    <w:rsid w:val="00AF4F1C"/>
    <w:rsid w:val="00AF56D1"/>
    <w:rsid w:val="00AF6804"/>
    <w:rsid w:val="00AF71E4"/>
    <w:rsid w:val="00B0451E"/>
    <w:rsid w:val="00B06C23"/>
    <w:rsid w:val="00B10800"/>
    <w:rsid w:val="00B139E2"/>
    <w:rsid w:val="00B147EA"/>
    <w:rsid w:val="00B21A63"/>
    <w:rsid w:val="00B2779B"/>
    <w:rsid w:val="00B30214"/>
    <w:rsid w:val="00B30FED"/>
    <w:rsid w:val="00B3537F"/>
    <w:rsid w:val="00B35CEA"/>
    <w:rsid w:val="00B41568"/>
    <w:rsid w:val="00B4674E"/>
    <w:rsid w:val="00B50C9F"/>
    <w:rsid w:val="00B52698"/>
    <w:rsid w:val="00B527CF"/>
    <w:rsid w:val="00B532DB"/>
    <w:rsid w:val="00B55F65"/>
    <w:rsid w:val="00B5755D"/>
    <w:rsid w:val="00B57868"/>
    <w:rsid w:val="00B6006F"/>
    <w:rsid w:val="00B645FA"/>
    <w:rsid w:val="00B64CE7"/>
    <w:rsid w:val="00B70278"/>
    <w:rsid w:val="00B744FB"/>
    <w:rsid w:val="00B75E3D"/>
    <w:rsid w:val="00B81BF5"/>
    <w:rsid w:val="00B81DF4"/>
    <w:rsid w:val="00B87FAD"/>
    <w:rsid w:val="00B91FDB"/>
    <w:rsid w:val="00B94984"/>
    <w:rsid w:val="00B970EA"/>
    <w:rsid w:val="00BA07FA"/>
    <w:rsid w:val="00BA3266"/>
    <w:rsid w:val="00BA3BFC"/>
    <w:rsid w:val="00BA7500"/>
    <w:rsid w:val="00BB0A36"/>
    <w:rsid w:val="00BB33FE"/>
    <w:rsid w:val="00BB564A"/>
    <w:rsid w:val="00BB60B4"/>
    <w:rsid w:val="00BC0084"/>
    <w:rsid w:val="00BC047E"/>
    <w:rsid w:val="00BC10DB"/>
    <w:rsid w:val="00BC2722"/>
    <w:rsid w:val="00BC3077"/>
    <w:rsid w:val="00BC4CE6"/>
    <w:rsid w:val="00BD0830"/>
    <w:rsid w:val="00BD2871"/>
    <w:rsid w:val="00BD4343"/>
    <w:rsid w:val="00BE1C1F"/>
    <w:rsid w:val="00BE4C86"/>
    <w:rsid w:val="00BE7E75"/>
    <w:rsid w:val="00BF0C13"/>
    <w:rsid w:val="00BF3230"/>
    <w:rsid w:val="00BF36B0"/>
    <w:rsid w:val="00BF6091"/>
    <w:rsid w:val="00C04672"/>
    <w:rsid w:val="00C0529A"/>
    <w:rsid w:val="00C0627C"/>
    <w:rsid w:val="00C10906"/>
    <w:rsid w:val="00C110BB"/>
    <w:rsid w:val="00C15C51"/>
    <w:rsid w:val="00C1621D"/>
    <w:rsid w:val="00C204D6"/>
    <w:rsid w:val="00C21084"/>
    <w:rsid w:val="00C21889"/>
    <w:rsid w:val="00C24200"/>
    <w:rsid w:val="00C25501"/>
    <w:rsid w:val="00C26C0C"/>
    <w:rsid w:val="00C2707D"/>
    <w:rsid w:val="00C27938"/>
    <w:rsid w:val="00C31571"/>
    <w:rsid w:val="00C32DF2"/>
    <w:rsid w:val="00C32E7D"/>
    <w:rsid w:val="00C33538"/>
    <w:rsid w:val="00C33817"/>
    <w:rsid w:val="00C353AA"/>
    <w:rsid w:val="00C3589F"/>
    <w:rsid w:val="00C35AF9"/>
    <w:rsid w:val="00C3671B"/>
    <w:rsid w:val="00C40497"/>
    <w:rsid w:val="00C40CC2"/>
    <w:rsid w:val="00C4102C"/>
    <w:rsid w:val="00C415E7"/>
    <w:rsid w:val="00C41F7E"/>
    <w:rsid w:val="00C43060"/>
    <w:rsid w:val="00C4334B"/>
    <w:rsid w:val="00C43519"/>
    <w:rsid w:val="00C4363A"/>
    <w:rsid w:val="00C458B2"/>
    <w:rsid w:val="00C46367"/>
    <w:rsid w:val="00C466DD"/>
    <w:rsid w:val="00C46DA0"/>
    <w:rsid w:val="00C46EB9"/>
    <w:rsid w:val="00C47332"/>
    <w:rsid w:val="00C47E8E"/>
    <w:rsid w:val="00C52422"/>
    <w:rsid w:val="00C5509C"/>
    <w:rsid w:val="00C5748C"/>
    <w:rsid w:val="00C57615"/>
    <w:rsid w:val="00C60E38"/>
    <w:rsid w:val="00C65B39"/>
    <w:rsid w:val="00C70141"/>
    <w:rsid w:val="00C71F22"/>
    <w:rsid w:val="00C725F9"/>
    <w:rsid w:val="00C7307A"/>
    <w:rsid w:val="00C73599"/>
    <w:rsid w:val="00C74758"/>
    <w:rsid w:val="00C762D5"/>
    <w:rsid w:val="00C834B8"/>
    <w:rsid w:val="00C84988"/>
    <w:rsid w:val="00C854E6"/>
    <w:rsid w:val="00C86BC4"/>
    <w:rsid w:val="00C9019B"/>
    <w:rsid w:val="00C95430"/>
    <w:rsid w:val="00CA1C4C"/>
    <w:rsid w:val="00CA3A09"/>
    <w:rsid w:val="00CA4888"/>
    <w:rsid w:val="00CA51AD"/>
    <w:rsid w:val="00CA59D4"/>
    <w:rsid w:val="00CA5AE3"/>
    <w:rsid w:val="00CA5ECE"/>
    <w:rsid w:val="00CA724F"/>
    <w:rsid w:val="00CB1851"/>
    <w:rsid w:val="00CB1CEC"/>
    <w:rsid w:val="00CB253C"/>
    <w:rsid w:val="00CB5CC5"/>
    <w:rsid w:val="00CB681B"/>
    <w:rsid w:val="00CB79B0"/>
    <w:rsid w:val="00CC1836"/>
    <w:rsid w:val="00CC2F76"/>
    <w:rsid w:val="00CC3355"/>
    <w:rsid w:val="00CC3AA1"/>
    <w:rsid w:val="00CC3D0C"/>
    <w:rsid w:val="00CC64D7"/>
    <w:rsid w:val="00CD01EB"/>
    <w:rsid w:val="00CD13AF"/>
    <w:rsid w:val="00CD30BB"/>
    <w:rsid w:val="00CD3AEA"/>
    <w:rsid w:val="00CD4D69"/>
    <w:rsid w:val="00CE3660"/>
    <w:rsid w:val="00CE3FB3"/>
    <w:rsid w:val="00CE4BE1"/>
    <w:rsid w:val="00CE65DD"/>
    <w:rsid w:val="00CE6D01"/>
    <w:rsid w:val="00CF0454"/>
    <w:rsid w:val="00CF0FD3"/>
    <w:rsid w:val="00CF209B"/>
    <w:rsid w:val="00CF7D17"/>
    <w:rsid w:val="00D006B8"/>
    <w:rsid w:val="00D01386"/>
    <w:rsid w:val="00D0444C"/>
    <w:rsid w:val="00D05D5B"/>
    <w:rsid w:val="00D072AA"/>
    <w:rsid w:val="00D07897"/>
    <w:rsid w:val="00D15E72"/>
    <w:rsid w:val="00D22BFA"/>
    <w:rsid w:val="00D2382C"/>
    <w:rsid w:val="00D31620"/>
    <w:rsid w:val="00D33F3E"/>
    <w:rsid w:val="00D3421A"/>
    <w:rsid w:val="00D37D78"/>
    <w:rsid w:val="00D4171E"/>
    <w:rsid w:val="00D41F63"/>
    <w:rsid w:val="00D46EE2"/>
    <w:rsid w:val="00D4735E"/>
    <w:rsid w:val="00D51264"/>
    <w:rsid w:val="00D5132F"/>
    <w:rsid w:val="00D516CF"/>
    <w:rsid w:val="00D52342"/>
    <w:rsid w:val="00D53B04"/>
    <w:rsid w:val="00D54144"/>
    <w:rsid w:val="00D556E3"/>
    <w:rsid w:val="00D5582E"/>
    <w:rsid w:val="00D61FC5"/>
    <w:rsid w:val="00D621A4"/>
    <w:rsid w:val="00D62CA1"/>
    <w:rsid w:val="00D6411B"/>
    <w:rsid w:val="00D71032"/>
    <w:rsid w:val="00D761F0"/>
    <w:rsid w:val="00D8054B"/>
    <w:rsid w:val="00D82876"/>
    <w:rsid w:val="00D83C36"/>
    <w:rsid w:val="00D8480C"/>
    <w:rsid w:val="00D910E9"/>
    <w:rsid w:val="00D95C42"/>
    <w:rsid w:val="00DA2BD3"/>
    <w:rsid w:val="00DA3503"/>
    <w:rsid w:val="00DA4759"/>
    <w:rsid w:val="00DB1946"/>
    <w:rsid w:val="00DB2587"/>
    <w:rsid w:val="00DB35CE"/>
    <w:rsid w:val="00DB7BA7"/>
    <w:rsid w:val="00DC2588"/>
    <w:rsid w:val="00DC60BD"/>
    <w:rsid w:val="00DC616E"/>
    <w:rsid w:val="00DD13FC"/>
    <w:rsid w:val="00DE036C"/>
    <w:rsid w:val="00DE206B"/>
    <w:rsid w:val="00DE28E3"/>
    <w:rsid w:val="00DE68F2"/>
    <w:rsid w:val="00DF0198"/>
    <w:rsid w:val="00DF1F9F"/>
    <w:rsid w:val="00DF7265"/>
    <w:rsid w:val="00E00EDF"/>
    <w:rsid w:val="00E02823"/>
    <w:rsid w:val="00E031C7"/>
    <w:rsid w:val="00E036D1"/>
    <w:rsid w:val="00E03D5D"/>
    <w:rsid w:val="00E0417B"/>
    <w:rsid w:val="00E041C0"/>
    <w:rsid w:val="00E04634"/>
    <w:rsid w:val="00E047E9"/>
    <w:rsid w:val="00E0536B"/>
    <w:rsid w:val="00E071B3"/>
    <w:rsid w:val="00E127AF"/>
    <w:rsid w:val="00E12C42"/>
    <w:rsid w:val="00E1489A"/>
    <w:rsid w:val="00E166E9"/>
    <w:rsid w:val="00E1779E"/>
    <w:rsid w:val="00E208F5"/>
    <w:rsid w:val="00E21436"/>
    <w:rsid w:val="00E23668"/>
    <w:rsid w:val="00E30293"/>
    <w:rsid w:val="00E30797"/>
    <w:rsid w:val="00E3368A"/>
    <w:rsid w:val="00E33E42"/>
    <w:rsid w:val="00E364CE"/>
    <w:rsid w:val="00E36B1E"/>
    <w:rsid w:val="00E36FCC"/>
    <w:rsid w:val="00E430DE"/>
    <w:rsid w:val="00E443C5"/>
    <w:rsid w:val="00E45CE8"/>
    <w:rsid w:val="00E5001A"/>
    <w:rsid w:val="00E528E0"/>
    <w:rsid w:val="00E576FE"/>
    <w:rsid w:val="00E62359"/>
    <w:rsid w:val="00E66576"/>
    <w:rsid w:val="00E66A06"/>
    <w:rsid w:val="00E67476"/>
    <w:rsid w:val="00E71881"/>
    <w:rsid w:val="00E72F57"/>
    <w:rsid w:val="00E73A66"/>
    <w:rsid w:val="00E73F13"/>
    <w:rsid w:val="00E7496C"/>
    <w:rsid w:val="00E77443"/>
    <w:rsid w:val="00E77CD0"/>
    <w:rsid w:val="00E8093F"/>
    <w:rsid w:val="00E80ABD"/>
    <w:rsid w:val="00E8399C"/>
    <w:rsid w:val="00E84F5A"/>
    <w:rsid w:val="00E85BD4"/>
    <w:rsid w:val="00E85D7E"/>
    <w:rsid w:val="00E86046"/>
    <w:rsid w:val="00E86541"/>
    <w:rsid w:val="00E867EC"/>
    <w:rsid w:val="00E86AE2"/>
    <w:rsid w:val="00E870E3"/>
    <w:rsid w:val="00E87AEA"/>
    <w:rsid w:val="00E91120"/>
    <w:rsid w:val="00E94C1D"/>
    <w:rsid w:val="00E953F6"/>
    <w:rsid w:val="00E97E1A"/>
    <w:rsid w:val="00EA0169"/>
    <w:rsid w:val="00EA045F"/>
    <w:rsid w:val="00EA1F6D"/>
    <w:rsid w:val="00EA66F7"/>
    <w:rsid w:val="00EA7BCF"/>
    <w:rsid w:val="00EB07BA"/>
    <w:rsid w:val="00EB6E66"/>
    <w:rsid w:val="00EB7392"/>
    <w:rsid w:val="00EC0228"/>
    <w:rsid w:val="00ED1D4D"/>
    <w:rsid w:val="00ED2499"/>
    <w:rsid w:val="00ED37D3"/>
    <w:rsid w:val="00EE01A8"/>
    <w:rsid w:val="00EE0539"/>
    <w:rsid w:val="00EE0F12"/>
    <w:rsid w:val="00EE133F"/>
    <w:rsid w:val="00EE37A2"/>
    <w:rsid w:val="00EE5075"/>
    <w:rsid w:val="00EE568A"/>
    <w:rsid w:val="00EE69B8"/>
    <w:rsid w:val="00EE7189"/>
    <w:rsid w:val="00EE7C12"/>
    <w:rsid w:val="00EF331D"/>
    <w:rsid w:val="00EF3EED"/>
    <w:rsid w:val="00EF60E1"/>
    <w:rsid w:val="00F02CA0"/>
    <w:rsid w:val="00F04FA2"/>
    <w:rsid w:val="00F06271"/>
    <w:rsid w:val="00F070FA"/>
    <w:rsid w:val="00F071AE"/>
    <w:rsid w:val="00F12CB3"/>
    <w:rsid w:val="00F1322B"/>
    <w:rsid w:val="00F144CC"/>
    <w:rsid w:val="00F15E5C"/>
    <w:rsid w:val="00F167FD"/>
    <w:rsid w:val="00F22DD1"/>
    <w:rsid w:val="00F2343C"/>
    <w:rsid w:val="00F246D8"/>
    <w:rsid w:val="00F3305F"/>
    <w:rsid w:val="00F33160"/>
    <w:rsid w:val="00F33C2E"/>
    <w:rsid w:val="00F36C98"/>
    <w:rsid w:val="00F42A7F"/>
    <w:rsid w:val="00F47D22"/>
    <w:rsid w:val="00F47E20"/>
    <w:rsid w:val="00F51E10"/>
    <w:rsid w:val="00F5418C"/>
    <w:rsid w:val="00F5431C"/>
    <w:rsid w:val="00F54549"/>
    <w:rsid w:val="00F56BD5"/>
    <w:rsid w:val="00F56D34"/>
    <w:rsid w:val="00F576B7"/>
    <w:rsid w:val="00F63307"/>
    <w:rsid w:val="00F7023F"/>
    <w:rsid w:val="00F718FD"/>
    <w:rsid w:val="00F760BB"/>
    <w:rsid w:val="00F77755"/>
    <w:rsid w:val="00F80DDE"/>
    <w:rsid w:val="00F81D8C"/>
    <w:rsid w:val="00F8249C"/>
    <w:rsid w:val="00F84141"/>
    <w:rsid w:val="00F8514F"/>
    <w:rsid w:val="00F95581"/>
    <w:rsid w:val="00F955E5"/>
    <w:rsid w:val="00F959B5"/>
    <w:rsid w:val="00F95BAD"/>
    <w:rsid w:val="00F95FA5"/>
    <w:rsid w:val="00F960BF"/>
    <w:rsid w:val="00F96F15"/>
    <w:rsid w:val="00FA1653"/>
    <w:rsid w:val="00FA2AEB"/>
    <w:rsid w:val="00FA3741"/>
    <w:rsid w:val="00FA59F6"/>
    <w:rsid w:val="00FA64C2"/>
    <w:rsid w:val="00FA7A8D"/>
    <w:rsid w:val="00FB0EB8"/>
    <w:rsid w:val="00FB18BB"/>
    <w:rsid w:val="00FB289C"/>
    <w:rsid w:val="00FC121B"/>
    <w:rsid w:val="00FC2052"/>
    <w:rsid w:val="00FC40BB"/>
    <w:rsid w:val="00FC4E8D"/>
    <w:rsid w:val="00FC594E"/>
    <w:rsid w:val="00FD12BF"/>
    <w:rsid w:val="00FD1403"/>
    <w:rsid w:val="00FD5AB8"/>
    <w:rsid w:val="00FE2DB7"/>
    <w:rsid w:val="00FE484C"/>
    <w:rsid w:val="00FE5617"/>
    <w:rsid w:val="00FE597F"/>
    <w:rsid w:val="00FE640D"/>
    <w:rsid w:val="00FE77F9"/>
    <w:rsid w:val="00FF0389"/>
    <w:rsid w:val="00FF0892"/>
    <w:rsid w:val="00FF0EA0"/>
    <w:rsid w:val="00FF1886"/>
    <w:rsid w:val="00FF1FCC"/>
    <w:rsid w:val="00FF300C"/>
    <w:rsid w:val="00FF3C26"/>
    <w:rsid w:val="00FF543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0A1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46E9"/>
    <w:rPr>
      <w:rFonts w:ascii="Lucida Grande" w:hAnsi="Lucida Grande" w:cs="Lucida Grande"/>
      <w:sz w:val="18"/>
      <w:szCs w:val="18"/>
    </w:rPr>
  </w:style>
  <w:style w:type="character" w:customStyle="1" w:styleId="Char">
    <w:name w:val="批注框文本 Char"/>
    <w:link w:val="a3"/>
    <w:uiPriority w:val="99"/>
    <w:semiHidden/>
    <w:rsid w:val="009746E9"/>
    <w:rPr>
      <w:rFonts w:ascii="Lucida Grande" w:hAnsi="Lucida Grande" w:cs="Lucida Grande"/>
      <w:sz w:val="18"/>
      <w:szCs w:val="18"/>
    </w:rPr>
  </w:style>
  <w:style w:type="character" w:customStyle="1" w:styleId="apple-converted-space">
    <w:name w:val="apple-converted-space"/>
    <w:basedOn w:val="a0"/>
    <w:rsid w:val="008147BF"/>
  </w:style>
  <w:style w:type="paragraph" w:customStyle="1" w:styleId="ColorfulList-Accent11">
    <w:name w:val="Colorful List - Accent 11"/>
    <w:basedOn w:val="a"/>
    <w:uiPriority w:val="34"/>
    <w:qFormat/>
    <w:rsid w:val="008147BF"/>
    <w:pPr>
      <w:spacing w:before="100" w:beforeAutospacing="1" w:after="100" w:afterAutospacing="1"/>
    </w:pPr>
    <w:rPr>
      <w:rFonts w:ascii="Times" w:hAnsi="Times"/>
      <w:sz w:val="20"/>
      <w:szCs w:val="20"/>
      <w:lang w:val="en-CA"/>
    </w:rPr>
  </w:style>
  <w:style w:type="character" w:customStyle="1" w:styleId="apple-tab-span">
    <w:name w:val="apple-tab-span"/>
    <w:basedOn w:val="a0"/>
    <w:rsid w:val="008147BF"/>
  </w:style>
  <w:style w:type="table" w:styleId="a4">
    <w:name w:val="Table Grid"/>
    <w:basedOn w:val="a1"/>
    <w:uiPriority w:val="39"/>
    <w:rsid w:val="00283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uiPriority w:val="99"/>
    <w:unhideWhenUsed/>
    <w:qFormat/>
    <w:rsid w:val="00F42A7F"/>
    <w:rPr>
      <w:sz w:val="18"/>
      <w:szCs w:val="18"/>
    </w:rPr>
  </w:style>
  <w:style w:type="paragraph" w:styleId="a6">
    <w:name w:val="annotation text"/>
    <w:basedOn w:val="a"/>
    <w:link w:val="Char0"/>
    <w:uiPriority w:val="99"/>
    <w:unhideWhenUsed/>
    <w:qFormat/>
    <w:rsid w:val="00F42A7F"/>
  </w:style>
  <w:style w:type="character" w:customStyle="1" w:styleId="Char0">
    <w:name w:val="批注文字 Char"/>
    <w:basedOn w:val="a0"/>
    <w:link w:val="a6"/>
    <w:uiPriority w:val="99"/>
    <w:semiHidden/>
    <w:rsid w:val="00F42A7F"/>
  </w:style>
  <w:style w:type="paragraph" w:styleId="a7">
    <w:name w:val="annotation subject"/>
    <w:basedOn w:val="a6"/>
    <w:next w:val="a6"/>
    <w:link w:val="Char1"/>
    <w:uiPriority w:val="99"/>
    <w:semiHidden/>
    <w:unhideWhenUsed/>
    <w:rsid w:val="00F42A7F"/>
    <w:rPr>
      <w:b/>
      <w:bCs/>
      <w:sz w:val="20"/>
      <w:szCs w:val="20"/>
    </w:rPr>
  </w:style>
  <w:style w:type="character" w:customStyle="1" w:styleId="Char1">
    <w:name w:val="批注主题 Char"/>
    <w:link w:val="a7"/>
    <w:uiPriority w:val="99"/>
    <w:semiHidden/>
    <w:rsid w:val="00F42A7F"/>
    <w:rPr>
      <w:b/>
      <w:bCs/>
      <w:sz w:val="20"/>
      <w:szCs w:val="20"/>
    </w:rPr>
  </w:style>
  <w:style w:type="paragraph" w:customStyle="1" w:styleId="ColorfulShading-Accent11">
    <w:name w:val="Colorful Shading - Accent 11"/>
    <w:hidden/>
    <w:uiPriority w:val="99"/>
    <w:semiHidden/>
    <w:rsid w:val="000D20AF"/>
    <w:rPr>
      <w:sz w:val="24"/>
      <w:szCs w:val="24"/>
      <w:lang w:val="en-US"/>
    </w:rPr>
  </w:style>
  <w:style w:type="paragraph" w:styleId="a8">
    <w:name w:val="footnote text"/>
    <w:basedOn w:val="a"/>
    <w:link w:val="Char2"/>
    <w:uiPriority w:val="99"/>
    <w:semiHidden/>
    <w:unhideWhenUsed/>
    <w:rsid w:val="00ED37D3"/>
    <w:rPr>
      <w:sz w:val="20"/>
      <w:szCs w:val="20"/>
    </w:rPr>
  </w:style>
  <w:style w:type="character" w:customStyle="1" w:styleId="Char2">
    <w:name w:val="脚注文本 Char"/>
    <w:link w:val="a8"/>
    <w:uiPriority w:val="99"/>
    <w:semiHidden/>
    <w:rsid w:val="00ED37D3"/>
    <w:rPr>
      <w:sz w:val="20"/>
      <w:szCs w:val="20"/>
    </w:rPr>
  </w:style>
  <w:style w:type="character" w:styleId="a9">
    <w:name w:val="footnote reference"/>
    <w:uiPriority w:val="99"/>
    <w:semiHidden/>
    <w:unhideWhenUsed/>
    <w:rsid w:val="00ED37D3"/>
    <w:rPr>
      <w:vertAlign w:val="superscript"/>
    </w:rPr>
  </w:style>
  <w:style w:type="paragraph" w:customStyle="1" w:styleId="MediumGrid21">
    <w:name w:val="Medium Grid 21"/>
    <w:uiPriority w:val="1"/>
    <w:qFormat/>
    <w:rsid w:val="00DC616E"/>
    <w:rPr>
      <w:sz w:val="24"/>
      <w:szCs w:val="24"/>
      <w:lang w:val="en-US"/>
    </w:rPr>
  </w:style>
  <w:style w:type="paragraph" w:styleId="aa">
    <w:name w:val="List Paragraph"/>
    <w:basedOn w:val="a"/>
    <w:uiPriority w:val="34"/>
    <w:qFormat/>
    <w:rsid w:val="002645DD"/>
    <w:pPr>
      <w:ind w:left="720"/>
      <w:contextualSpacing/>
    </w:pPr>
  </w:style>
  <w:style w:type="paragraph" w:customStyle="1" w:styleId="Default">
    <w:name w:val="Default"/>
    <w:rsid w:val="00F167FD"/>
    <w:pPr>
      <w:widowControl w:val="0"/>
      <w:autoSpaceDE w:val="0"/>
      <w:autoSpaceDN w:val="0"/>
      <w:adjustRightInd w:val="0"/>
    </w:pPr>
    <w:rPr>
      <w:rFonts w:ascii="Calibri" w:eastAsia="Times New Roman" w:hAnsi="Calibri" w:cs="Calibri"/>
      <w:color w:val="000000"/>
      <w:sz w:val="24"/>
      <w:szCs w:val="24"/>
      <w:lang w:eastAsia="en-CA"/>
    </w:rPr>
  </w:style>
  <w:style w:type="paragraph" w:styleId="ab">
    <w:name w:val="Revision"/>
    <w:hidden/>
    <w:uiPriority w:val="99"/>
    <w:semiHidden/>
    <w:rsid w:val="00471134"/>
    <w:rPr>
      <w:sz w:val="24"/>
      <w:szCs w:val="24"/>
      <w:lang w:val="en-US"/>
    </w:rPr>
  </w:style>
  <w:style w:type="paragraph" w:styleId="ac">
    <w:name w:val="header"/>
    <w:basedOn w:val="a"/>
    <w:link w:val="Char3"/>
    <w:uiPriority w:val="99"/>
    <w:unhideWhenUsed/>
    <w:rsid w:val="009F0269"/>
    <w:pPr>
      <w:tabs>
        <w:tab w:val="center" w:pos="4680"/>
        <w:tab w:val="right" w:pos="9360"/>
      </w:tabs>
    </w:pPr>
  </w:style>
  <w:style w:type="character" w:customStyle="1" w:styleId="Char3">
    <w:name w:val="页眉 Char"/>
    <w:basedOn w:val="a0"/>
    <w:link w:val="ac"/>
    <w:uiPriority w:val="99"/>
    <w:rsid w:val="009F0269"/>
    <w:rPr>
      <w:sz w:val="24"/>
      <w:szCs w:val="24"/>
      <w:lang w:val="en-US"/>
    </w:rPr>
  </w:style>
  <w:style w:type="paragraph" w:styleId="ad">
    <w:name w:val="footer"/>
    <w:basedOn w:val="a"/>
    <w:link w:val="Char4"/>
    <w:uiPriority w:val="99"/>
    <w:unhideWhenUsed/>
    <w:rsid w:val="009F0269"/>
    <w:pPr>
      <w:tabs>
        <w:tab w:val="center" w:pos="4680"/>
        <w:tab w:val="right" w:pos="9360"/>
      </w:tabs>
    </w:pPr>
  </w:style>
  <w:style w:type="character" w:customStyle="1" w:styleId="Char4">
    <w:name w:val="页脚 Char"/>
    <w:basedOn w:val="a0"/>
    <w:link w:val="ad"/>
    <w:uiPriority w:val="99"/>
    <w:rsid w:val="009F0269"/>
    <w:rPr>
      <w:sz w:val="24"/>
      <w:szCs w:val="24"/>
      <w:lang w:val="en-US"/>
    </w:rPr>
  </w:style>
  <w:style w:type="character" w:customStyle="1" w:styleId="1">
    <w:name w:val="批注文字 字符1"/>
    <w:basedOn w:val="a0"/>
    <w:uiPriority w:val="99"/>
    <w:qFormat/>
    <w:rsid w:val="003B5CDF"/>
    <w:rPr>
      <w:rFonts w:ascii="Calibri" w:eastAsia="宋体" w:hAnsi="Calibri" w:cs="Times New Roman"/>
      <w:kern w:val="0"/>
      <w:sz w:val="22"/>
      <w:lang w:val="en-GB" w:eastAsia="en-US"/>
    </w:rPr>
  </w:style>
  <w:style w:type="character" w:styleId="ae">
    <w:name w:val="Hyperlink"/>
    <w:uiPriority w:val="99"/>
    <w:rsid w:val="003B5CDF"/>
    <w:rPr>
      <w:rFonts w:cs="Times New Roman"/>
      <w:color w:val="0000FF"/>
      <w:u w:val="single"/>
    </w:rPr>
  </w:style>
  <w:style w:type="paragraph" w:styleId="af">
    <w:name w:val="Normal (Web)"/>
    <w:basedOn w:val="a"/>
    <w:uiPriority w:val="99"/>
    <w:unhideWhenUsed/>
    <w:rsid w:val="003B5CDF"/>
    <w:pPr>
      <w:spacing w:after="200" w:line="276" w:lineRule="auto"/>
    </w:pPr>
    <w:rPr>
      <w:rFonts w:ascii="Times New Roman" w:eastAsia="宋体" w:hAnsi="Times New Roman"/>
      <w:lang w:val="en-GB"/>
    </w:rPr>
  </w:style>
  <w:style w:type="character" w:styleId="af0">
    <w:name w:val="Strong"/>
    <w:basedOn w:val="a0"/>
    <w:uiPriority w:val="22"/>
    <w:qFormat/>
    <w:rsid w:val="003B5CDF"/>
    <w:rPr>
      <w:b/>
      <w:bCs/>
    </w:rPr>
  </w:style>
  <w:style w:type="character" w:styleId="af1">
    <w:name w:val="FollowedHyperlink"/>
    <w:basedOn w:val="a0"/>
    <w:uiPriority w:val="99"/>
    <w:semiHidden/>
    <w:unhideWhenUsed/>
    <w:rsid w:val="00F47D2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746E9"/>
    <w:rPr>
      <w:rFonts w:ascii="Lucida Grande" w:hAnsi="Lucida Grande" w:cs="Lucida Grande"/>
      <w:sz w:val="18"/>
      <w:szCs w:val="18"/>
    </w:rPr>
  </w:style>
  <w:style w:type="character" w:customStyle="1" w:styleId="Char">
    <w:name w:val="批注框文本 Char"/>
    <w:link w:val="a3"/>
    <w:uiPriority w:val="99"/>
    <w:semiHidden/>
    <w:rsid w:val="009746E9"/>
    <w:rPr>
      <w:rFonts w:ascii="Lucida Grande" w:hAnsi="Lucida Grande" w:cs="Lucida Grande"/>
      <w:sz w:val="18"/>
      <w:szCs w:val="18"/>
    </w:rPr>
  </w:style>
  <w:style w:type="character" w:customStyle="1" w:styleId="apple-converted-space">
    <w:name w:val="apple-converted-space"/>
    <w:basedOn w:val="a0"/>
    <w:rsid w:val="008147BF"/>
  </w:style>
  <w:style w:type="paragraph" w:customStyle="1" w:styleId="ColorfulList-Accent11">
    <w:name w:val="Colorful List - Accent 11"/>
    <w:basedOn w:val="a"/>
    <w:uiPriority w:val="34"/>
    <w:qFormat/>
    <w:rsid w:val="008147BF"/>
    <w:pPr>
      <w:spacing w:before="100" w:beforeAutospacing="1" w:after="100" w:afterAutospacing="1"/>
    </w:pPr>
    <w:rPr>
      <w:rFonts w:ascii="Times" w:hAnsi="Times"/>
      <w:sz w:val="20"/>
      <w:szCs w:val="20"/>
      <w:lang w:val="en-CA"/>
    </w:rPr>
  </w:style>
  <w:style w:type="character" w:customStyle="1" w:styleId="apple-tab-span">
    <w:name w:val="apple-tab-span"/>
    <w:basedOn w:val="a0"/>
    <w:rsid w:val="008147BF"/>
  </w:style>
  <w:style w:type="table" w:styleId="a4">
    <w:name w:val="Table Grid"/>
    <w:basedOn w:val="a1"/>
    <w:uiPriority w:val="39"/>
    <w:rsid w:val="00283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uiPriority w:val="99"/>
    <w:unhideWhenUsed/>
    <w:qFormat/>
    <w:rsid w:val="00F42A7F"/>
    <w:rPr>
      <w:sz w:val="18"/>
      <w:szCs w:val="18"/>
    </w:rPr>
  </w:style>
  <w:style w:type="paragraph" w:styleId="a6">
    <w:name w:val="annotation text"/>
    <w:basedOn w:val="a"/>
    <w:link w:val="Char0"/>
    <w:uiPriority w:val="99"/>
    <w:unhideWhenUsed/>
    <w:qFormat/>
    <w:rsid w:val="00F42A7F"/>
  </w:style>
  <w:style w:type="character" w:customStyle="1" w:styleId="Char0">
    <w:name w:val="批注文字 Char"/>
    <w:basedOn w:val="a0"/>
    <w:link w:val="a6"/>
    <w:uiPriority w:val="99"/>
    <w:semiHidden/>
    <w:rsid w:val="00F42A7F"/>
  </w:style>
  <w:style w:type="paragraph" w:styleId="a7">
    <w:name w:val="annotation subject"/>
    <w:basedOn w:val="a6"/>
    <w:next w:val="a6"/>
    <w:link w:val="Char1"/>
    <w:uiPriority w:val="99"/>
    <w:semiHidden/>
    <w:unhideWhenUsed/>
    <w:rsid w:val="00F42A7F"/>
    <w:rPr>
      <w:b/>
      <w:bCs/>
      <w:sz w:val="20"/>
      <w:szCs w:val="20"/>
    </w:rPr>
  </w:style>
  <w:style w:type="character" w:customStyle="1" w:styleId="Char1">
    <w:name w:val="批注主题 Char"/>
    <w:link w:val="a7"/>
    <w:uiPriority w:val="99"/>
    <w:semiHidden/>
    <w:rsid w:val="00F42A7F"/>
    <w:rPr>
      <w:b/>
      <w:bCs/>
      <w:sz w:val="20"/>
      <w:szCs w:val="20"/>
    </w:rPr>
  </w:style>
  <w:style w:type="paragraph" w:customStyle="1" w:styleId="ColorfulShading-Accent11">
    <w:name w:val="Colorful Shading - Accent 11"/>
    <w:hidden/>
    <w:uiPriority w:val="99"/>
    <w:semiHidden/>
    <w:rsid w:val="000D20AF"/>
    <w:rPr>
      <w:sz w:val="24"/>
      <w:szCs w:val="24"/>
      <w:lang w:val="en-US"/>
    </w:rPr>
  </w:style>
  <w:style w:type="paragraph" w:styleId="a8">
    <w:name w:val="footnote text"/>
    <w:basedOn w:val="a"/>
    <w:link w:val="Char2"/>
    <w:uiPriority w:val="99"/>
    <w:semiHidden/>
    <w:unhideWhenUsed/>
    <w:rsid w:val="00ED37D3"/>
    <w:rPr>
      <w:sz w:val="20"/>
      <w:szCs w:val="20"/>
    </w:rPr>
  </w:style>
  <w:style w:type="character" w:customStyle="1" w:styleId="Char2">
    <w:name w:val="脚注文本 Char"/>
    <w:link w:val="a8"/>
    <w:uiPriority w:val="99"/>
    <w:semiHidden/>
    <w:rsid w:val="00ED37D3"/>
    <w:rPr>
      <w:sz w:val="20"/>
      <w:szCs w:val="20"/>
    </w:rPr>
  </w:style>
  <w:style w:type="character" w:styleId="a9">
    <w:name w:val="footnote reference"/>
    <w:uiPriority w:val="99"/>
    <w:semiHidden/>
    <w:unhideWhenUsed/>
    <w:rsid w:val="00ED37D3"/>
    <w:rPr>
      <w:vertAlign w:val="superscript"/>
    </w:rPr>
  </w:style>
  <w:style w:type="paragraph" w:customStyle="1" w:styleId="MediumGrid21">
    <w:name w:val="Medium Grid 21"/>
    <w:uiPriority w:val="1"/>
    <w:qFormat/>
    <w:rsid w:val="00DC616E"/>
    <w:rPr>
      <w:sz w:val="24"/>
      <w:szCs w:val="24"/>
      <w:lang w:val="en-US"/>
    </w:rPr>
  </w:style>
  <w:style w:type="paragraph" w:styleId="aa">
    <w:name w:val="List Paragraph"/>
    <w:basedOn w:val="a"/>
    <w:uiPriority w:val="34"/>
    <w:qFormat/>
    <w:rsid w:val="002645DD"/>
    <w:pPr>
      <w:ind w:left="720"/>
      <w:contextualSpacing/>
    </w:pPr>
  </w:style>
  <w:style w:type="paragraph" w:customStyle="1" w:styleId="Default">
    <w:name w:val="Default"/>
    <w:rsid w:val="00F167FD"/>
    <w:pPr>
      <w:widowControl w:val="0"/>
      <w:autoSpaceDE w:val="0"/>
      <w:autoSpaceDN w:val="0"/>
      <w:adjustRightInd w:val="0"/>
    </w:pPr>
    <w:rPr>
      <w:rFonts w:ascii="Calibri" w:eastAsia="Times New Roman" w:hAnsi="Calibri" w:cs="Calibri"/>
      <w:color w:val="000000"/>
      <w:sz w:val="24"/>
      <w:szCs w:val="24"/>
      <w:lang w:eastAsia="en-CA"/>
    </w:rPr>
  </w:style>
  <w:style w:type="paragraph" w:styleId="ab">
    <w:name w:val="Revision"/>
    <w:hidden/>
    <w:uiPriority w:val="99"/>
    <w:semiHidden/>
    <w:rsid w:val="00471134"/>
    <w:rPr>
      <w:sz w:val="24"/>
      <w:szCs w:val="24"/>
      <w:lang w:val="en-US"/>
    </w:rPr>
  </w:style>
  <w:style w:type="paragraph" w:styleId="ac">
    <w:name w:val="header"/>
    <w:basedOn w:val="a"/>
    <w:link w:val="Char3"/>
    <w:uiPriority w:val="99"/>
    <w:unhideWhenUsed/>
    <w:rsid w:val="009F0269"/>
    <w:pPr>
      <w:tabs>
        <w:tab w:val="center" w:pos="4680"/>
        <w:tab w:val="right" w:pos="9360"/>
      </w:tabs>
    </w:pPr>
  </w:style>
  <w:style w:type="character" w:customStyle="1" w:styleId="Char3">
    <w:name w:val="页眉 Char"/>
    <w:basedOn w:val="a0"/>
    <w:link w:val="ac"/>
    <w:uiPriority w:val="99"/>
    <w:rsid w:val="009F0269"/>
    <w:rPr>
      <w:sz w:val="24"/>
      <w:szCs w:val="24"/>
      <w:lang w:val="en-US"/>
    </w:rPr>
  </w:style>
  <w:style w:type="paragraph" w:styleId="ad">
    <w:name w:val="footer"/>
    <w:basedOn w:val="a"/>
    <w:link w:val="Char4"/>
    <w:uiPriority w:val="99"/>
    <w:unhideWhenUsed/>
    <w:rsid w:val="009F0269"/>
    <w:pPr>
      <w:tabs>
        <w:tab w:val="center" w:pos="4680"/>
        <w:tab w:val="right" w:pos="9360"/>
      </w:tabs>
    </w:pPr>
  </w:style>
  <w:style w:type="character" w:customStyle="1" w:styleId="Char4">
    <w:name w:val="页脚 Char"/>
    <w:basedOn w:val="a0"/>
    <w:link w:val="ad"/>
    <w:uiPriority w:val="99"/>
    <w:rsid w:val="009F0269"/>
    <w:rPr>
      <w:sz w:val="24"/>
      <w:szCs w:val="24"/>
      <w:lang w:val="en-US"/>
    </w:rPr>
  </w:style>
  <w:style w:type="character" w:customStyle="1" w:styleId="1">
    <w:name w:val="批注文字 字符1"/>
    <w:basedOn w:val="a0"/>
    <w:uiPriority w:val="99"/>
    <w:qFormat/>
    <w:rsid w:val="003B5CDF"/>
    <w:rPr>
      <w:rFonts w:ascii="Calibri" w:eastAsia="宋体" w:hAnsi="Calibri" w:cs="Times New Roman"/>
      <w:kern w:val="0"/>
      <w:sz w:val="22"/>
      <w:lang w:val="en-GB" w:eastAsia="en-US"/>
    </w:rPr>
  </w:style>
  <w:style w:type="character" w:styleId="ae">
    <w:name w:val="Hyperlink"/>
    <w:uiPriority w:val="99"/>
    <w:rsid w:val="003B5CDF"/>
    <w:rPr>
      <w:rFonts w:cs="Times New Roman"/>
      <w:color w:val="0000FF"/>
      <w:u w:val="single"/>
    </w:rPr>
  </w:style>
  <w:style w:type="paragraph" w:styleId="af">
    <w:name w:val="Normal (Web)"/>
    <w:basedOn w:val="a"/>
    <w:uiPriority w:val="99"/>
    <w:unhideWhenUsed/>
    <w:rsid w:val="003B5CDF"/>
    <w:pPr>
      <w:spacing w:after="200" w:line="276" w:lineRule="auto"/>
    </w:pPr>
    <w:rPr>
      <w:rFonts w:ascii="Times New Roman" w:eastAsia="宋体" w:hAnsi="Times New Roman"/>
      <w:lang w:val="en-GB"/>
    </w:rPr>
  </w:style>
  <w:style w:type="character" w:styleId="af0">
    <w:name w:val="Strong"/>
    <w:basedOn w:val="a0"/>
    <w:uiPriority w:val="22"/>
    <w:qFormat/>
    <w:rsid w:val="003B5CDF"/>
    <w:rPr>
      <w:b/>
      <w:bCs/>
    </w:rPr>
  </w:style>
  <w:style w:type="character" w:styleId="af1">
    <w:name w:val="FollowedHyperlink"/>
    <w:basedOn w:val="a0"/>
    <w:uiPriority w:val="99"/>
    <w:semiHidden/>
    <w:unhideWhenUsed/>
    <w:rsid w:val="00F47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5145">
      <w:bodyDiv w:val="1"/>
      <w:marLeft w:val="0"/>
      <w:marRight w:val="0"/>
      <w:marTop w:val="0"/>
      <w:marBottom w:val="0"/>
      <w:divBdr>
        <w:top w:val="none" w:sz="0" w:space="0" w:color="auto"/>
        <w:left w:val="none" w:sz="0" w:space="0" w:color="auto"/>
        <w:bottom w:val="none" w:sz="0" w:space="0" w:color="auto"/>
        <w:right w:val="none" w:sz="0" w:space="0" w:color="auto"/>
      </w:divBdr>
    </w:div>
    <w:div w:id="163205226">
      <w:bodyDiv w:val="1"/>
      <w:marLeft w:val="0"/>
      <w:marRight w:val="0"/>
      <w:marTop w:val="0"/>
      <w:marBottom w:val="0"/>
      <w:divBdr>
        <w:top w:val="none" w:sz="0" w:space="0" w:color="auto"/>
        <w:left w:val="none" w:sz="0" w:space="0" w:color="auto"/>
        <w:bottom w:val="none" w:sz="0" w:space="0" w:color="auto"/>
        <w:right w:val="none" w:sz="0" w:space="0" w:color="auto"/>
      </w:divBdr>
    </w:div>
    <w:div w:id="230426784">
      <w:bodyDiv w:val="1"/>
      <w:marLeft w:val="0"/>
      <w:marRight w:val="0"/>
      <w:marTop w:val="0"/>
      <w:marBottom w:val="0"/>
      <w:divBdr>
        <w:top w:val="none" w:sz="0" w:space="0" w:color="auto"/>
        <w:left w:val="none" w:sz="0" w:space="0" w:color="auto"/>
        <w:bottom w:val="none" w:sz="0" w:space="0" w:color="auto"/>
        <w:right w:val="none" w:sz="0" w:space="0" w:color="auto"/>
      </w:divBdr>
    </w:div>
    <w:div w:id="300304870">
      <w:bodyDiv w:val="1"/>
      <w:marLeft w:val="0"/>
      <w:marRight w:val="0"/>
      <w:marTop w:val="0"/>
      <w:marBottom w:val="0"/>
      <w:divBdr>
        <w:top w:val="none" w:sz="0" w:space="0" w:color="auto"/>
        <w:left w:val="none" w:sz="0" w:space="0" w:color="auto"/>
        <w:bottom w:val="none" w:sz="0" w:space="0" w:color="auto"/>
        <w:right w:val="none" w:sz="0" w:space="0" w:color="auto"/>
      </w:divBdr>
    </w:div>
    <w:div w:id="305281741">
      <w:bodyDiv w:val="1"/>
      <w:marLeft w:val="0"/>
      <w:marRight w:val="0"/>
      <w:marTop w:val="0"/>
      <w:marBottom w:val="0"/>
      <w:divBdr>
        <w:top w:val="none" w:sz="0" w:space="0" w:color="auto"/>
        <w:left w:val="none" w:sz="0" w:space="0" w:color="auto"/>
        <w:bottom w:val="none" w:sz="0" w:space="0" w:color="auto"/>
        <w:right w:val="none" w:sz="0" w:space="0" w:color="auto"/>
      </w:divBdr>
    </w:div>
    <w:div w:id="322242342">
      <w:bodyDiv w:val="1"/>
      <w:marLeft w:val="0"/>
      <w:marRight w:val="0"/>
      <w:marTop w:val="0"/>
      <w:marBottom w:val="0"/>
      <w:divBdr>
        <w:top w:val="none" w:sz="0" w:space="0" w:color="auto"/>
        <w:left w:val="none" w:sz="0" w:space="0" w:color="auto"/>
        <w:bottom w:val="none" w:sz="0" w:space="0" w:color="auto"/>
        <w:right w:val="none" w:sz="0" w:space="0" w:color="auto"/>
      </w:divBdr>
    </w:div>
    <w:div w:id="486170960">
      <w:bodyDiv w:val="1"/>
      <w:marLeft w:val="0"/>
      <w:marRight w:val="0"/>
      <w:marTop w:val="0"/>
      <w:marBottom w:val="0"/>
      <w:divBdr>
        <w:top w:val="none" w:sz="0" w:space="0" w:color="auto"/>
        <w:left w:val="none" w:sz="0" w:space="0" w:color="auto"/>
        <w:bottom w:val="none" w:sz="0" w:space="0" w:color="auto"/>
        <w:right w:val="none" w:sz="0" w:space="0" w:color="auto"/>
      </w:divBdr>
    </w:div>
    <w:div w:id="498082843">
      <w:bodyDiv w:val="1"/>
      <w:marLeft w:val="0"/>
      <w:marRight w:val="0"/>
      <w:marTop w:val="0"/>
      <w:marBottom w:val="0"/>
      <w:divBdr>
        <w:top w:val="none" w:sz="0" w:space="0" w:color="auto"/>
        <w:left w:val="none" w:sz="0" w:space="0" w:color="auto"/>
        <w:bottom w:val="none" w:sz="0" w:space="0" w:color="auto"/>
        <w:right w:val="none" w:sz="0" w:space="0" w:color="auto"/>
      </w:divBdr>
    </w:div>
    <w:div w:id="545334057">
      <w:bodyDiv w:val="1"/>
      <w:marLeft w:val="0"/>
      <w:marRight w:val="0"/>
      <w:marTop w:val="0"/>
      <w:marBottom w:val="0"/>
      <w:divBdr>
        <w:top w:val="none" w:sz="0" w:space="0" w:color="auto"/>
        <w:left w:val="none" w:sz="0" w:space="0" w:color="auto"/>
        <w:bottom w:val="none" w:sz="0" w:space="0" w:color="auto"/>
        <w:right w:val="none" w:sz="0" w:space="0" w:color="auto"/>
      </w:divBdr>
    </w:div>
    <w:div w:id="681934003">
      <w:bodyDiv w:val="1"/>
      <w:marLeft w:val="0"/>
      <w:marRight w:val="0"/>
      <w:marTop w:val="0"/>
      <w:marBottom w:val="0"/>
      <w:divBdr>
        <w:top w:val="none" w:sz="0" w:space="0" w:color="auto"/>
        <w:left w:val="none" w:sz="0" w:space="0" w:color="auto"/>
        <w:bottom w:val="none" w:sz="0" w:space="0" w:color="auto"/>
        <w:right w:val="none" w:sz="0" w:space="0" w:color="auto"/>
      </w:divBdr>
    </w:div>
    <w:div w:id="835918374">
      <w:bodyDiv w:val="1"/>
      <w:marLeft w:val="0"/>
      <w:marRight w:val="0"/>
      <w:marTop w:val="0"/>
      <w:marBottom w:val="0"/>
      <w:divBdr>
        <w:top w:val="none" w:sz="0" w:space="0" w:color="auto"/>
        <w:left w:val="none" w:sz="0" w:space="0" w:color="auto"/>
        <w:bottom w:val="none" w:sz="0" w:space="0" w:color="auto"/>
        <w:right w:val="none" w:sz="0" w:space="0" w:color="auto"/>
      </w:divBdr>
    </w:div>
    <w:div w:id="959186538">
      <w:bodyDiv w:val="1"/>
      <w:marLeft w:val="0"/>
      <w:marRight w:val="0"/>
      <w:marTop w:val="0"/>
      <w:marBottom w:val="0"/>
      <w:divBdr>
        <w:top w:val="none" w:sz="0" w:space="0" w:color="auto"/>
        <w:left w:val="none" w:sz="0" w:space="0" w:color="auto"/>
        <w:bottom w:val="none" w:sz="0" w:space="0" w:color="auto"/>
        <w:right w:val="none" w:sz="0" w:space="0" w:color="auto"/>
      </w:divBdr>
    </w:div>
    <w:div w:id="1060130275">
      <w:bodyDiv w:val="1"/>
      <w:marLeft w:val="0"/>
      <w:marRight w:val="0"/>
      <w:marTop w:val="0"/>
      <w:marBottom w:val="0"/>
      <w:divBdr>
        <w:top w:val="none" w:sz="0" w:space="0" w:color="auto"/>
        <w:left w:val="none" w:sz="0" w:space="0" w:color="auto"/>
        <w:bottom w:val="none" w:sz="0" w:space="0" w:color="auto"/>
        <w:right w:val="none" w:sz="0" w:space="0" w:color="auto"/>
      </w:divBdr>
    </w:div>
    <w:div w:id="1089502752">
      <w:bodyDiv w:val="1"/>
      <w:marLeft w:val="0"/>
      <w:marRight w:val="0"/>
      <w:marTop w:val="0"/>
      <w:marBottom w:val="0"/>
      <w:divBdr>
        <w:top w:val="none" w:sz="0" w:space="0" w:color="auto"/>
        <w:left w:val="none" w:sz="0" w:space="0" w:color="auto"/>
        <w:bottom w:val="none" w:sz="0" w:space="0" w:color="auto"/>
        <w:right w:val="none" w:sz="0" w:space="0" w:color="auto"/>
      </w:divBdr>
    </w:div>
    <w:div w:id="1109087700">
      <w:bodyDiv w:val="1"/>
      <w:marLeft w:val="0"/>
      <w:marRight w:val="0"/>
      <w:marTop w:val="0"/>
      <w:marBottom w:val="0"/>
      <w:divBdr>
        <w:top w:val="none" w:sz="0" w:space="0" w:color="auto"/>
        <w:left w:val="none" w:sz="0" w:space="0" w:color="auto"/>
        <w:bottom w:val="none" w:sz="0" w:space="0" w:color="auto"/>
        <w:right w:val="none" w:sz="0" w:space="0" w:color="auto"/>
      </w:divBdr>
    </w:div>
    <w:div w:id="1177423221">
      <w:bodyDiv w:val="1"/>
      <w:marLeft w:val="0"/>
      <w:marRight w:val="0"/>
      <w:marTop w:val="0"/>
      <w:marBottom w:val="0"/>
      <w:divBdr>
        <w:top w:val="none" w:sz="0" w:space="0" w:color="auto"/>
        <w:left w:val="none" w:sz="0" w:space="0" w:color="auto"/>
        <w:bottom w:val="none" w:sz="0" w:space="0" w:color="auto"/>
        <w:right w:val="none" w:sz="0" w:space="0" w:color="auto"/>
      </w:divBdr>
    </w:div>
    <w:div w:id="1202666786">
      <w:bodyDiv w:val="1"/>
      <w:marLeft w:val="0"/>
      <w:marRight w:val="0"/>
      <w:marTop w:val="0"/>
      <w:marBottom w:val="0"/>
      <w:divBdr>
        <w:top w:val="none" w:sz="0" w:space="0" w:color="auto"/>
        <w:left w:val="none" w:sz="0" w:space="0" w:color="auto"/>
        <w:bottom w:val="none" w:sz="0" w:space="0" w:color="auto"/>
        <w:right w:val="none" w:sz="0" w:space="0" w:color="auto"/>
      </w:divBdr>
    </w:div>
    <w:div w:id="1523469456">
      <w:bodyDiv w:val="1"/>
      <w:marLeft w:val="0"/>
      <w:marRight w:val="0"/>
      <w:marTop w:val="0"/>
      <w:marBottom w:val="0"/>
      <w:divBdr>
        <w:top w:val="none" w:sz="0" w:space="0" w:color="auto"/>
        <w:left w:val="none" w:sz="0" w:space="0" w:color="auto"/>
        <w:bottom w:val="none" w:sz="0" w:space="0" w:color="auto"/>
        <w:right w:val="none" w:sz="0" w:space="0" w:color="auto"/>
      </w:divBdr>
    </w:div>
    <w:div w:id="1680959934">
      <w:bodyDiv w:val="1"/>
      <w:marLeft w:val="0"/>
      <w:marRight w:val="0"/>
      <w:marTop w:val="0"/>
      <w:marBottom w:val="0"/>
      <w:divBdr>
        <w:top w:val="none" w:sz="0" w:space="0" w:color="auto"/>
        <w:left w:val="none" w:sz="0" w:space="0" w:color="auto"/>
        <w:bottom w:val="none" w:sz="0" w:space="0" w:color="auto"/>
        <w:right w:val="none" w:sz="0" w:space="0" w:color="auto"/>
      </w:divBdr>
    </w:div>
    <w:div w:id="1733040272">
      <w:bodyDiv w:val="1"/>
      <w:marLeft w:val="0"/>
      <w:marRight w:val="0"/>
      <w:marTop w:val="0"/>
      <w:marBottom w:val="0"/>
      <w:divBdr>
        <w:top w:val="none" w:sz="0" w:space="0" w:color="auto"/>
        <w:left w:val="none" w:sz="0" w:space="0" w:color="auto"/>
        <w:bottom w:val="none" w:sz="0" w:space="0" w:color="auto"/>
        <w:right w:val="none" w:sz="0" w:space="0" w:color="auto"/>
      </w:divBdr>
    </w:div>
    <w:div w:id="1982079414">
      <w:bodyDiv w:val="1"/>
      <w:marLeft w:val="0"/>
      <w:marRight w:val="0"/>
      <w:marTop w:val="0"/>
      <w:marBottom w:val="0"/>
      <w:divBdr>
        <w:top w:val="none" w:sz="0" w:space="0" w:color="auto"/>
        <w:left w:val="none" w:sz="0" w:space="0" w:color="auto"/>
        <w:bottom w:val="none" w:sz="0" w:space="0" w:color="auto"/>
        <w:right w:val="none" w:sz="0" w:space="0" w:color="auto"/>
      </w:divBdr>
    </w:div>
    <w:div w:id="2035619443">
      <w:bodyDiv w:val="1"/>
      <w:marLeft w:val="0"/>
      <w:marRight w:val="0"/>
      <w:marTop w:val="0"/>
      <w:marBottom w:val="0"/>
      <w:divBdr>
        <w:top w:val="none" w:sz="0" w:space="0" w:color="auto"/>
        <w:left w:val="none" w:sz="0" w:space="0" w:color="auto"/>
        <w:bottom w:val="none" w:sz="0" w:space="0" w:color="auto"/>
        <w:right w:val="none" w:sz="0" w:space="0" w:color="auto"/>
      </w:divBdr>
    </w:div>
    <w:div w:id="2083015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kothand@ucalga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D3A4-2004-40A1-8CE5-24CCCDC4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149683</Words>
  <Characters>853199</Characters>
  <Application>Microsoft Office Word</Application>
  <DocSecurity>0</DocSecurity>
  <Lines>7109</Lines>
  <Paragraphs>2001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Suqing Li</dc:creator>
  <cp:keywords/>
  <dc:description/>
  <cp:lastModifiedBy>User</cp:lastModifiedBy>
  <cp:revision>5</cp:revision>
  <cp:lastPrinted>2018-08-14T19:19:00Z</cp:lastPrinted>
  <dcterms:created xsi:type="dcterms:W3CDTF">2019-07-02T03:15:00Z</dcterms:created>
  <dcterms:modified xsi:type="dcterms:W3CDTF">2019-07-27T08:28:00Z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3b20e7c0-158d-31c1-ba5c-919618bd4dac</vt:lpwstr>
  </property>
  <property fmtid="{D5CDD505-2E9C-101B-9397-08002B2CF9AE}" pid="4" name="Mendeley Citation Style_1">
    <vt:lpwstr>http://www.zotero.org/styles/world-journal-of-gastroenterology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