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825CC" w14:textId="77777777" w:rsidR="00EC15B0" w:rsidRPr="004B365E" w:rsidRDefault="00EC15B0" w:rsidP="002D3D23">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14"/>
      <w:bookmarkStart w:id="13" w:name="OLE_LINK552"/>
      <w:bookmarkStart w:id="14" w:name="OLE_LINK553"/>
      <w:bookmarkStart w:id="15" w:name="OLE_LINK636"/>
      <w:bookmarkStart w:id="16" w:name="OLE_LINK654"/>
      <w:bookmarkStart w:id="17" w:name="OLE_LINK849"/>
      <w:bookmarkStart w:id="18" w:name="OLE_LINK939"/>
      <w:bookmarkStart w:id="19" w:name="OLE_LINK1000"/>
      <w:bookmarkStart w:id="20" w:name="OLE_LINK1039"/>
      <w:bookmarkStart w:id="21" w:name="OLE_LINK1050"/>
      <w:bookmarkStart w:id="22" w:name="OLE_LINK1071"/>
      <w:bookmarkStart w:id="23" w:name="OLE_LINK255"/>
      <w:r w:rsidRPr="004B365E">
        <w:rPr>
          <w:rFonts w:ascii="Book Antiqua" w:hAnsi="Book Antiqua" w:cs="Times New Roman"/>
          <w:b/>
          <w:color w:val="000000" w:themeColor="text1"/>
          <w:sz w:val="24"/>
          <w:szCs w:val="24"/>
          <w:highlight w:val="white"/>
          <w:lang w:val="en-US" w:eastAsia="zh-CN"/>
        </w:rPr>
        <w:t xml:space="preserve">Name of </w:t>
      </w:r>
      <w:r w:rsidRPr="004B365E">
        <w:rPr>
          <w:rFonts w:ascii="Book Antiqua" w:hAnsi="Book Antiqua" w:cs="Times New Roman"/>
          <w:b/>
          <w:caps/>
          <w:color w:val="000000" w:themeColor="text1"/>
          <w:sz w:val="24"/>
          <w:szCs w:val="24"/>
          <w:highlight w:val="white"/>
          <w:lang w:val="en-US" w:eastAsia="zh-CN"/>
        </w:rPr>
        <w:t>j</w:t>
      </w:r>
      <w:r w:rsidRPr="004B365E">
        <w:rPr>
          <w:rFonts w:ascii="Book Antiqua" w:hAnsi="Book Antiqua" w:cs="Times New Roman"/>
          <w:b/>
          <w:color w:val="000000" w:themeColor="text1"/>
          <w:sz w:val="24"/>
          <w:szCs w:val="24"/>
          <w:highlight w:val="white"/>
          <w:lang w:val="en-US" w:eastAsia="zh-CN"/>
        </w:rPr>
        <w:t xml:space="preserve">ournal: </w:t>
      </w:r>
      <w:bookmarkStart w:id="24" w:name="OLE_LINK718"/>
      <w:bookmarkStart w:id="25" w:name="OLE_LINK719"/>
      <w:r w:rsidRPr="004B365E">
        <w:rPr>
          <w:rFonts w:ascii="Book Antiqua" w:hAnsi="Book Antiqua" w:cs="Times New Roman"/>
          <w:b/>
          <w:i/>
          <w:color w:val="000000" w:themeColor="text1"/>
          <w:sz w:val="24"/>
          <w:szCs w:val="24"/>
          <w:highlight w:val="white"/>
          <w:lang w:val="en-US" w:eastAsia="zh-CN"/>
        </w:rPr>
        <w:t>World Journal of Gastroenterology</w:t>
      </w:r>
      <w:bookmarkEnd w:id="24"/>
      <w:bookmarkEnd w:id="25"/>
    </w:p>
    <w:p w14:paraId="753ECF3C" w14:textId="36A078CA" w:rsidR="00EC15B0" w:rsidRPr="004B365E" w:rsidRDefault="00EC15B0" w:rsidP="002D3D23">
      <w:pPr>
        <w:pStyle w:val="1"/>
        <w:adjustRightInd w:val="0"/>
        <w:snapToGrid w:val="0"/>
        <w:spacing w:line="360" w:lineRule="auto"/>
        <w:jc w:val="both"/>
        <w:rPr>
          <w:rFonts w:ascii="Book Antiqua" w:hAnsi="Book Antiqua" w:cs="Times New Roman"/>
          <w:b/>
          <w:i/>
          <w:color w:val="000000" w:themeColor="text1"/>
          <w:sz w:val="24"/>
          <w:szCs w:val="24"/>
          <w:highlight w:val="white"/>
          <w:lang w:val="en-US" w:eastAsia="zh-CN"/>
        </w:rPr>
      </w:pPr>
      <w:bookmarkStart w:id="26" w:name="OLE_LINK485"/>
      <w:bookmarkStart w:id="27" w:name="OLE_LINK486"/>
      <w:bookmarkStart w:id="28" w:name="OLE_LINK661"/>
      <w:bookmarkStart w:id="29" w:name="OLE_LINK768"/>
      <w:bookmarkStart w:id="30" w:name="OLE_LINK499"/>
      <w:bookmarkStart w:id="31" w:name="OLE_LINK437"/>
      <w:bookmarkStart w:id="32" w:name="OLE_LINK514"/>
      <w:bookmarkStart w:id="33" w:name="OLE_LINK515"/>
      <w:bookmarkStart w:id="34" w:name="OLE_LINK13"/>
      <w:bookmarkStart w:id="35" w:name="OLE_LINK351"/>
      <w:bookmarkStart w:id="36" w:name="OLE_LINK425"/>
      <w:r w:rsidRPr="004B365E">
        <w:rPr>
          <w:rFonts w:ascii="Book Antiqua" w:hAnsi="Book Antiqua" w:cs="Times New Roman"/>
          <w:b/>
          <w:color w:val="000000" w:themeColor="text1"/>
          <w:sz w:val="24"/>
          <w:szCs w:val="24"/>
          <w:highlight w:val="white"/>
          <w:lang w:val="en-US" w:eastAsia="zh-CN"/>
        </w:rPr>
        <w:t>Manuscript NO:</w:t>
      </w:r>
      <w:bookmarkEnd w:id="26"/>
      <w:bookmarkEnd w:id="27"/>
      <w:bookmarkEnd w:id="28"/>
      <w:bookmarkEnd w:id="29"/>
      <w:r w:rsidRPr="004B365E">
        <w:rPr>
          <w:rFonts w:ascii="Book Antiqua" w:hAnsi="Book Antiqua" w:cs="Times New Roman"/>
          <w:b/>
          <w:color w:val="000000" w:themeColor="text1"/>
          <w:sz w:val="24"/>
          <w:szCs w:val="24"/>
          <w:highlight w:val="white"/>
          <w:lang w:val="en-US" w:eastAsia="zh-CN"/>
        </w:rPr>
        <w:t xml:space="preserve"> </w:t>
      </w:r>
      <w:bookmarkEnd w:id="30"/>
      <w:bookmarkEnd w:id="31"/>
      <w:r w:rsidR="00966073" w:rsidRPr="004B365E">
        <w:rPr>
          <w:rFonts w:ascii="Book Antiqua" w:hAnsi="Book Antiqua" w:cs="Times New Roman"/>
          <w:b/>
          <w:color w:val="000000" w:themeColor="text1"/>
          <w:sz w:val="24"/>
          <w:szCs w:val="24"/>
          <w:highlight w:val="white"/>
          <w:lang w:val="en-US" w:eastAsia="zh-CN"/>
        </w:rPr>
        <w:t>47308</w:t>
      </w:r>
    </w:p>
    <w:p w14:paraId="05A12B15" w14:textId="51B2D9C4" w:rsidR="00EC15B0" w:rsidRPr="004B365E" w:rsidRDefault="00EC15B0" w:rsidP="002D3D23">
      <w:pPr>
        <w:adjustRightInd w:val="0"/>
        <w:snapToGrid w:val="0"/>
        <w:spacing w:line="360" w:lineRule="auto"/>
        <w:jc w:val="both"/>
        <w:rPr>
          <w:rFonts w:ascii="Book Antiqua" w:hAnsi="Book Antiqua"/>
          <w:b/>
          <w:color w:val="000000" w:themeColor="text1"/>
          <w:lang w:val="en-US"/>
        </w:rPr>
      </w:pPr>
      <w:bookmarkStart w:id="37" w:name="OLE_LINK511"/>
      <w:bookmarkStart w:id="38" w:name="OLE_LINK512"/>
      <w:bookmarkEnd w:id="32"/>
      <w:bookmarkEnd w:id="33"/>
      <w:bookmarkEnd w:id="34"/>
      <w:bookmarkEnd w:id="35"/>
      <w:bookmarkEnd w:id="36"/>
      <w:r w:rsidRPr="004B365E">
        <w:rPr>
          <w:rFonts w:ascii="Book Antiqua" w:hAnsi="Book Antiqua"/>
          <w:b/>
          <w:color w:val="000000" w:themeColor="text1"/>
          <w:highlight w:val="white"/>
          <w:lang w:val="en-US"/>
        </w:rPr>
        <w:t xml:space="preserve">Manuscript </w:t>
      </w:r>
      <w:r w:rsidRPr="004B365E">
        <w:rPr>
          <w:rFonts w:ascii="Book Antiqua" w:hAnsi="Book Antiqua"/>
          <w:b/>
          <w:caps/>
          <w:color w:val="000000" w:themeColor="text1"/>
          <w:highlight w:val="white"/>
          <w:lang w:val="en-US"/>
        </w:rPr>
        <w:t>t</w:t>
      </w:r>
      <w:r w:rsidRPr="004B365E">
        <w:rPr>
          <w:rFonts w:ascii="Book Antiqua" w:hAnsi="Book Antiqua"/>
          <w:b/>
          <w:color w:val="000000" w:themeColor="text1"/>
          <w:highlight w:val="white"/>
          <w:lang w:val="en-US"/>
        </w:rPr>
        <w:t>ype</w:t>
      </w:r>
      <w:r w:rsidRPr="004B365E">
        <w:rPr>
          <w:rFonts w:ascii="Book Antiqua" w:hAnsi="Book Antiqua"/>
          <w:b/>
          <w:color w:val="000000" w:themeColor="text1"/>
          <w:lang w:val="en-US"/>
        </w:rPr>
        <w:t>:</w:t>
      </w:r>
      <w:bookmarkEnd w:id="0"/>
      <w:bookmarkEnd w:id="1"/>
      <w:bookmarkEnd w:id="2"/>
      <w:bookmarkEnd w:id="3"/>
      <w:bookmarkEnd w:id="4"/>
      <w:bookmarkEnd w:id="5"/>
      <w:bookmarkEnd w:id="6"/>
      <w:bookmarkEnd w:id="7"/>
      <w:bookmarkEnd w:id="8"/>
      <w:bookmarkEnd w:id="9"/>
      <w:bookmarkEnd w:id="10"/>
      <w:bookmarkEnd w:id="11"/>
      <w:r w:rsidRPr="004B365E">
        <w:rPr>
          <w:rFonts w:ascii="Book Antiqua" w:hAnsi="Book Antiqua"/>
          <w:b/>
          <w:color w:val="000000" w:themeColor="text1"/>
          <w:lang w:val="en-US"/>
        </w:rPr>
        <w:t xml:space="preserve"> </w:t>
      </w:r>
      <w:r w:rsidR="004B365E" w:rsidRPr="004B365E">
        <w:rPr>
          <w:rFonts w:ascii="Book Antiqua" w:hAnsi="Book Antiqua"/>
          <w:b/>
          <w:color w:val="000000" w:themeColor="text1"/>
          <w:lang w:val="en-US"/>
        </w:rPr>
        <w:t>OPINION REVIEW</w:t>
      </w:r>
    </w:p>
    <w:bookmarkEnd w:id="12"/>
    <w:bookmarkEnd w:id="13"/>
    <w:bookmarkEnd w:id="14"/>
    <w:bookmarkEnd w:id="15"/>
    <w:bookmarkEnd w:id="16"/>
    <w:bookmarkEnd w:id="17"/>
    <w:bookmarkEnd w:id="18"/>
    <w:bookmarkEnd w:id="19"/>
    <w:bookmarkEnd w:id="20"/>
    <w:bookmarkEnd w:id="21"/>
    <w:bookmarkEnd w:id="22"/>
    <w:bookmarkEnd w:id="23"/>
    <w:bookmarkEnd w:id="37"/>
    <w:bookmarkEnd w:id="38"/>
    <w:p w14:paraId="32811B3A" w14:textId="77777777" w:rsidR="00EC15B0" w:rsidRPr="002D3D23" w:rsidRDefault="00EC15B0" w:rsidP="002D3D23">
      <w:pPr>
        <w:adjustRightInd w:val="0"/>
        <w:snapToGrid w:val="0"/>
        <w:spacing w:line="360" w:lineRule="auto"/>
        <w:jc w:val="both"/>
        <w:rPr>
          <w:rFonts w:ascii="Book Antiqua" w:hAnsi="Book Antiqua" w:cs="Arial"/>
          <w:b/>
          <w:color w:val="000000" w:themeColor="text1"/>
          <w:lang w:val="en-US"/>
        </w:rPr>
      </w:pPr>
    </w:p>
    <w:p w14:paraId="7396025F" w14:textId="5F61530E" w:rsidR="00F82B86" w:rsidRPr="002D3D23" w:rsidRDefault="00B92737" w:rsidP="002D3D23">
      <w:pPr>
        <w:adjustRightInd w:val="0"/>
        <w:snapToGrid w:val="0"/>
        <w:spacing w:line="360" w:lineRule="auto"/>
        <w:jc w:val="both"/>
        <w:rPr>
          <w:rFonts w:ascii="Book Antiqua" w:hAnsi="Book Antiqua" w:cs="Arial"/>
          <w:b/>
          <w:color w:val="000000" w:themeColor="text1"/>
          <w:lang w:val="en-US"/>
        </w:rPr>
      </w:pPr>
      <w:bookmarkStart w:id="39" w:name="OLE_LINK68"/>
      <w:bookmarkStart w:id="40" w:name="OLE_LINK69"/>
      <w:r w:rsidRPr="002D3D23">
        <w:rPr>
          <w:rFonts w:ascii="Book Antiqua" w:hAnsi="Book Antiqua" w:cs="Arial"/>
          <w:b/>
          <w:color w:val="000000" w:themeColor="text1"/>
          <w:lang w:val="en-US"/>
        </w:rPr>
        <w:t>Miniatur</w:t>
      </w:r>
      <w:r w:rsidR="0028089A" w:rsidRPr="002D3D23">
        <w:rPr>
          <w:rFonts w:ascii="Book Antiqua" w:hAnsi="Book Antiqua" w:cs="Arial"/>
          <w:b/>
          <w:color w:val="000000" w:themeColor="text1"/>
          <w:lang w:val="en-US"/>
        </w:rPr>
        <w:t xml:space="preserve">e gastrointestinal endoscopy: </w:t>
      </w:r>
      <w:r w:rsidR="008462A1" w:rsidRPr="002D3D23">
        <w:rPr>
          <w:rFonts w:ascii="Book Antiqua" w:hAnsi="Book Antiqua" w:cs="Arial"/>
          <w:b/>
          <w:color w:val="000000" w:themeColor="text1"/>
          <w:lang w:val="en-US"/>
        </w:rPr>
        <w:t xml:space="preserve">Now and </w:t>
      </w:r>
      <w:r w:rsidR="0028089A" w:rsidRPr="002D3D23">
        <w:rPr>
          <w:rFonts w:ascii="Book Antiqua" w:hAnsi="Book Antiqua" w:cs="Arial"/>
          <w:b/>
          <w:color w:val="000000" w:themeColor="text1"/>
          <w:lang w:val="en-US"/>
        </w:rPr>
        <w:t>the future</w:t>
      </w:r>
      <w:bookmarkEnd w:id="39"/>
      <w:bookmarkEnd w:id="40"/>
    </w:p>
    <w:p w14:paraId="5D044EF6" w14:textId="09562496" w:rsidR="00C17619" w:rsidRPr="002D3D23" w:rsidRDefault="00C17619" w:rsidP="002D3D23">
      <w:pPr>
        <w:adjustRightInd w:val="0"/>
        <w:snapToGrid w:val="0"/>
        <w:spacing w:line="360" w:lineRule="auto"/>
        <w:jc w:val="both"/>
        <w:rPr>
          <w:rFonts w:ascii="Book Antiqua" w:hAnsi="Book Antiqua" w:cs="Arial"/>
          <w:color w:val="000000" w:themeColor="text1"/>
          <w:lang w:val="en-US"/>
        </w:rPr>
      </w:pPr>
    </w:p>
    <w:p w14:paraId="0018E5B5" w14:textId="5F8A1980" w:rsidR="00EC15B0" w:rsidRPr="002D3D23" w:rsidRDefault="002F4994" w:rsidP="002D3D23">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41" w:name="OLE_LINK116"/>
      <w:bookmarkStart w:id="42" w:name="OLE_LINK217"/>
      <w:bookmarkStart w:id="43" w:name="OLE_LINK266"/>
      <w:r w:rsidRPr="002D3D23">
        <w:rPr>
          <w:rFonts w:ascii="Book Antiqua" w:hAnsi="Book Antiqua"/>
          <w:color w:val="000000" w:themeColor="text1"/>
          <w:sz w:val="24"/>
          <w:szCs w:val="24"/>
          <w:lang w:val="en-US"/>
        </w:rPr>
        <w:t>McGoran</w:t>
      </w:r>
      <w:r>
        <w:rPr>
          <w:rFonts w:ascii="Book Antiqua" w:hAnsi="Book Antiqua"/>
          <w:color w:val="000000" w:themeColor="text1"/>
          <w:sz w:val="24"/>
          <w:szCs w:val="24"/>
          <w:lang w:val="en-US"/>
        </w:rPr>
        <w:t xml:space="preserve"> JJ </w:t>
      </w:r>
      <w:r w:rsidRPr="002F4994">
        <w:rPr>
          <w:rFonts w:ascii="Book Antiqua" w:hAnsi="Book Antiqua"/>
          <w:i/>
          <w:iCs/>
          <w:color w:val="000000" w:themeColor="text1"/>
          <w:sz w:val="24"/>
          <w:szCs w:val="24"/>
          <w:lang w:val="en-US"/>
        </w:rPr>
        <w:t>et al</w:t>
      </w:r>
      <w:r>
        <w:rPr>
          <w:rFonts w:ascii="Book Antiqua" w:hAnsi="Book Antiqua"/>
          <w:color w:val="000000" w:themeColor="text1"/>
          <w:sz w:val="24"/>
          <w:szCs w:val="24"/>
          <w:lang w:val="en-US"/>
        </w:rPr>
        <w:t>.</w:t>
      </w:r>
      <w:r w:rsidR="00EC15B0" w:rsidRPr="002D3D23">
        <w:rPr>
          <w:rFonts w:ascii="Book Antiqua" w:hAnsi="Book Antiqua" w:cs="Times New Roman"/>
          <w:b/>
          <w:color w:val="000000" w:themeColor="text1"/>
          <w:sz w:val="24"/>
          <w:szCs w:val="24"/>
          <w:highlight w:val="white"/>
          <w:lang w:val="en-US" w:eastAsia="zh-CN"/>
        </w:rPr>
        <w:t xml:space="preserve"> </w:t>
      </w:r>
      <w:bookmarkEnd w:id="41"/>
      <w:r w:rsidRPr="002F4994">
        <w:rPr>
          <w:rFonts w:ascii="Book Antiqua" w:hAnsi="Book Antiqua" w:cs="Times New Roman"/>
          <w:bCs/>
          <w:color w:val="000000" w:themeColor="text1"/>
          <w:sz w:val="24"/>
          <w:szCs w:val="24"/>
          <w:highlight w:val="white"/>
          <w:lang w:val="en-US" w:eastAsia="zh-CN"/>
        </w:rPr>
        <w:t>Miniature gastrointestinal endoscopy</w:t>
      </w:r>
    </w:p>
    <w:bookmarkEnd w:id="42"/>
    <w:bookmarkEnd w:id="43"/>
    <w:p w14:paraId="28683D9F" w14:textId="77777777" w:rsidR="00961F5D" w:rsidRPr="002D3D23" w:rsidRDefault="00961F5D" w:rsidP="002D3D23">
      <w:pPr>
        <w:adjustRightInd w:val="0"/>
        <w:snapToGrid w:val="0"/>
        <w:spacing w:line="360" w:lineRule="auto"/>
        <w:jc w:val="both"/>
        <w:rPr>
          <w:rFonts w:ascii="Book Antiqua" w:hAnsi="Book Antiqua" w:cs="Arial"/>
          <w:color w:val="000000" w:themeColor="text1"/>
          <w:lang w:val="en-US"/>
        </w:rPr>
      </w:pPr>
    </w:p>
    <w:p w14:paraId="59654050" w14:textId="5F93FA4E" w:rsidR="00C17619" w:rsidRPr="002D3D23" w:rsidRDefault="002F4994"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olor w:val="000000" w:themeColor="text1"/>
          <w:lang w:val="en-US"/>
        </w:rPr>
        <w:t>John J McGoran</w:t>
      </w:r>
      <w:r w:rsidR="00B54E34" w:rsidRPr="002D3D23">
        <w:rPr>
          <w:rFonts w:ascii="Book Antiqua" w:hAnsi="Book Antiqua" w:cs="Arial"/>
          <w:color w:val="000000" w:themeColor="text1"/>
          <w:lang w:val="en-US"/>
        </w:rPr>
        <w:t xml:space="preserve">, </w:t>
      </w:r>
      <w:r w:rsidRPr="002D3D23">
        <w:rPr>
          <w:rFonts w:ascii="Book Antiqua" w:hAnsi="Book Antiqua"/>
          <w:color w:val="000000" w:themeColor="text1"/>
          <w:lang w:val="en-US"/>
        </w:rPr>
        <w:t>Mark E McAlindon</w:t>
      </w:r>
      <w:r w:rsidR="00B54E34" w:rsidRPr="002D3D23">
        <w:rPr>
          <w:rFonts w:ascii="Book Antiqua" w:hAnsi="Book Antiqua" w:cs="Arial"/>
          <w:color w:val="000000" w:themeColor="text1"/>
          <w:lang w:val="en-US"/>
        </w:rPr>
        <w:t xml:space="preserve">, </w:t>
      </w:r>
      <w:r w:rsidRPr="002D3D23">
        <w:rPr>
          <w:rFonts w:ascii="Book Antiqua" w:hAnsi="Book Antiqua" w:cs="Arial"/>
          <w:color w:val="000000" w:themeColor="text1"/>
          <w:lang w:val="en-US"/>
        </w:rPr>
        <w:t>Prasad G Iyer</w:t>
      </w:r>
      <w:r w:rsidR="00961F5D" w:rsidRPr="002D3D23">
        <w:rPr>
          <w:rFonts w:ascii="Book Antiqua" w:hAnsi="Book Antiqua" w:cs="Arial"/>
          <w:color w:val="000000" w:themeColor="text1"/>
          <w:lang w:val="en-US"/>
        </w:rPr>
        <w:t xml:space="preserve">, </w:t>
      </w:r>
      <w:r w:rsidRPr="002D3D23">
        <w:rPr>
          <w:rFonts w:ascii="Book Antiqua" w:hAnsi="Book Antiqua" w:cs="Arial"/>
          <w:color w:val="000000" w:themeColor="text1"/>
          <w:lang w:val="en-US"/>
        </w:rPr>
        <w:t>Eric J Seibel</w:t>
      </w:r>
      <w:r w:rsidR="00961F5D" w:rsidRPr="002D3D23">
        <w:rPr>
          <w:rFonts w:ascii="Book Antiqua" w:hAnsi="Book Antiqua" w:cs="Arial"/>
          <w:color w:val="000000" w:themeColor="text1"/>
          <w:lang w:val="en-US"/>
        </w:rPr>
        <w:t xml:space="preserve">, </w:t>
      </w:r>
      <w:r w:rsidRPr="002D3D23">
        <w:rPr>
          <w:rFonts w:ascii="Book Antiqua" w:hAnsi="Book Antiqua" w:cs="Arial"/>
          <w:color w:val="000000" w:themeColor="text1"/>
          <w:shd w:val="clear" w:color="auto" w:fill="FFFFFF"/>
          <w:lang w:val="en-US"/>
        </w:rPr>
        <w:t>Rehan Haidry</w:t>
      </w:r>
      <w:r w:rsidR="00961F5D" w:rsidRPr="002D3D23">
        <w:rPr>
          <w:rFonts w:ascii="Book Antiqua" w:hAnsi="Book Antiqua" w:cs="Arial"/>
          <w:color w:val="000000" w:themeColor="text1"/>
          <w:lang w:val="en-US"/>
        </w:rPr>
        <w:t xml:space="preserve">, </w:t>
      </w:r>
      <w:r w:rsidRPr="002D3D23">
        <w:rPr>
          <w:rFonts w:ascii="Book Antiqua" w:hAnsi="Book Antiqua" w:cs="Arial"/>
          <w:color w:val="000000" w:themeColor="text1"/>
          <w:shd w:val="clear" w:color="auto" w:fill="FFFFFF"/>
          <w:lang w:val="en-US"/>
        </w:rPr>
        <w:t>Laurence B Lovat</w:t>
      </w:r>
      <w:r w:rsidR="00961F5D" w:rsidRPr="002D3D23">
        <w:rPr>
          <w:rFonts w:ascii="Book Antiqua" w:hAnsi="Book Antiqua" w:cs="Arial"/>
          <w:color w:val="000000" w:themeColor="text1"/>
          <w:lang w:val="en-US"/>
        </w:rPr>
        <w:t xml:space="preserve">, </w:t>
      </w:r>
      <w:r w:rsidRPr="002D3D23">
        <w:rPr>
          <w:rFonts w:ascii="Book Antiqua" w:hAnsi="Book Antiqua" w:cs="Arial"/>
          <w:color w:val="000000" w:themeColor="text1"/>
          <w:shd w:val="clear" w:color="auto" w:fill="FFFFFF"/>
          <w:lang w:val="en-US"/>
        </w:rPr>
        <w:t>Sarmed S Sami</w:t>
      </w:r>
    </w:p>
    <w:p w14:paraId="7AAACB0A" w14:textId="053C462F" w:rsidR="00177F3E" w:rsidRPr="002D3D23" w:rsidRDefault="00177F3E" w:rsidP="002D3D23">
      <w:pPr>
        <w:adjustRightInd w:val="0"/>
        <w:snapToGrid w:val="0"/>
        <w:spacing w:line="360" w:lineRule="auto"/>
        <w:jc w:val="both"/>
        <w:rPr>
          <w:rFonts w:ascii="Book Antiqua" w:hAnsi="Book Antiqua" w:cs="Arial"/>
          <w:color w:val="000000" w:themeColor="text1"/>
          <w:lang w:val="en-US"/>
        </w:rPr>
      </w:pPr>
    </w:p>
    <w:p w14:paraId="6BEFD890" w14:textId="5B5A48DD" w:rsidR="00A51EB4" w:rsidRDefault="00A51EB4" w:rsidP="002D3D23">
      <w:pPr>
        <w:adjustRightInd w:val="0"/>
        <w:snapToGrid w:val="0"/>
        <w:spacing w:line="360" w:lineRule="auto"/>
        <w:jc w:val="both"/>
        <w:rPr>
          <w:rFonts w:ascii="Book Antiqua" w:hAnsi="Book Antiqua"/>
          <w:color w:val="000000" w:themeColor="text1"/>
          <w:lang w:val="en-US"/>
        </w:rPr>
      </w:pPr>
      <w:r w:rsidRPr="00127EF1">
        <w:rPr>
          <w:rFonts w:ascii="Book Antiqua" w:hAnsi="Book Antiqua"/>
          <w:b/>
          <w:bCs/>
          <w:color w:val="000000" w:themeColor="text1"/>
          <w:lang w:val="en-US"/>
        </w:rPr>
        <w:t xml:space="preserve">John J McGoran, </w:t>
      </w:r>
      <w:r w:rsidR="00841F33" w:rsidRPr="002D3D23">
        <w:rPr>
          <w:rFonts w:ascii="Book Antiqua" w:hAnsi="Book Antiqua"/>
          <w:color w:val="000000" w:themeColor="text1"/>
          <w:lang w:val="en-US"/>
        </w:rPr>
        <w:t>Digestive Diseases Centre, Leicester Royal Infirmary, Leicester LE1 5WW</w:t>
      </w:r>
      <w:r w:rsidRPr="002D3D23">
        <w:rPr>
          <w:rFonts w:ascii="Book Antiqua" w:hAnsi="Book Antiqua"/>
          <w:color w:val="000000" w:themeColor="text1"/>
          <w:lang w:val="en-US"/>
        </w:rPr>
        <w:t>, United Kingdom</w:t>
      </w:r>
    </w:p>
    <w:p w14:paraId="58233FFA" w14:textId="77777777" w:rsidR="00127EF1" w:rsidRPr="002D3D23" w:rsidRDefault="00127EF1" w:rsidP="002D3D23">
      <w:pPr>
        <w:adjustRightInd w:val="0"/>
        <w:snapToGrid w:val="0"/>
        <w:spacing w:line="360" w:lineRule="auto"/>
        <w:jc w:val="both"/>
        <w:rPr>
          <w:rFonts w:ascii="Book Antiqua" w:hAnsi="Book Antiqua"/>
          <w:color w:val="000000" w:themeColor="text1"/>
          <w:lang w:val="en-US" w:eastAsia="zh-CN"/>
        </w:rPr>
      </w:pPr>
    </w:p>
    <w:p w14:paraId="75079C6B" w14:textId="15EC4AD1" w:rsidR="00A51EB4" w:rsidRDefault="00A51EB4" w:rsidP="002D3D23">
      <w:pPr>
        <w:adjustRightInd w:val="0"/>
        <w:snapToGrid w:val="0"/>
        <w:spacing w:line="360" w:lineRule="auto"/>
        <w:jc w:val="both"/>
        <w:rPr>
          <w:rFonts w:ascii="Book Antiqua" w:hAnsi="Book Antiqua" w:cs="Arial"/>
          <w:color w:val="000000" w:themeColor="text1"/>
          <w:shd w:val="clear" w:color="auto" w:fill="FFFFFF"/>
          <w:lang w:val="en-US"/>
        </w:rPr>
      </w:pPr>
      <w:r w:rsidRPr="00127EF1">
        <w:rPr>
          <w:rFonts w:ascii="Book Antiqua" w:hAnsi="Book Antiqua"/>
          <w:b/>
          <w:bCs/>
          <w:color w:val="000000" w:themeColor="text1"/>
          <w:lang w:val="en-US"/>
        </w:rPr>
        <w:t>Mark E McAlindon,</w:t>
      </w:r>
      <w:r w:rsidR="003B0CDB">
        <w:rPr>
          <w:rFonts w:ascii="Book Antiqua" w:hAnsi="Book Antiqua"/>
          <w:b/>
          <w:bCs/>
          <w:color w:val="000000" w:themeColor="text1"/>
          <w:lang w:val="en-US"/>
        </w:rPr>
        <w:t xml:space="preserve"> </w:t>
      </w:r>
      <w:r w:rsidRPr="002D3D23">
        <w:rPr>
          <w:rFonts w:ascii="Book Antiqua" w:hAnsi="Book Antiqua" w:cs="Arial"/>
          <w:color w:val="000000" w:themeColor="text1"/>
          <w:shd w:val="clear" w:color="auto" w:fill="FFFFFF"/>
          <w:lang w:val="en-US"/>
        </w:rPr>
        <w:t>Department of Gastroenterology, Royal Hallamshire Hospital, Sheffield S10 2JF, United Kingdom</w:t>
      </w:r>
    </w:p>
    <w:p w14:paraId="67B8F09F" w14:textId="77777777" w:rsidR="00127EF1" w:rsidRPr="002D3D23" w:rsidRDefault="00127EF1" w:rsidP="002D3D23">
      <w:pPr>
        <w:adjustRightInd w:val="0"/>
        <w:snapToGrid w:val="0"/>
        <w:spacing w:line="360" w:lineRule="auto"/>
        <w:jc w:val="both"/>
        <w:rPr>
          <w:rFonts w:ascii="Book Antiqua" w:hAnsi="Book Antiqua"/>
          <w:color w:val="000000" w:themeColor="text1"/>
          <w:lang w:val="en-US"/>
        </w:rPr>
      </w:pPr>
    </w:p>
    <w:p w14:paraId="549FDD7A" w14:textId="6FD81772" w:rsidR="00A51EB4" w:rsidRDefault="00A51EB4" w:rsidP="002D3D23">
      <w:pPr>
        <w:adjustRightInd w:val="0"/>
        <w:snapToGrid w:val="0"/>
        <w:spacing w:line="360" w:lineRule="auto"/>
        <w:jc w:val="both"/>
        <w:rPr>
          <w:rFonts w:ascii="Book Antiqua" w:hAnsi="Book Antiqua" w:cs="Arial"/>
          <w:color w:val="000000" w:themeColor="text1"/>
          <w:shd w:val="clear" w:color="auto" w:fill="FFFFFF"/>
          <w:lang w:val="en-US"/>
        </w:rPr>
      </w:pPr>
      <w:r w:rsidRPr="00127EF1">
        <w:rPr>
          <w:rFonts w:ascii="Book Antiqua" w:hAnsi="Book Antiqua" w:cs="Arial"/>
          <w:b/>
          <w:bCs/>
          <w:color w:val="000000" w:themeColor="text1"/>
          <w:lang w:val="en-US"/>
        </w:rPr>
        <w:t>Prasad G Iyer,</w:t>
      </w:r>
      <w:r w:rsidRPr="00127EF1">
        <w:rPr>
          <w:rFonts w:ascii="Book Antiqua" w:hAnsi="Book Antiqua" w:cs="Arial"/>
          <w:b/>
          <w:bCs/>
          <w:color w:val="000000" w:themeColor="text1"/>
          <w:vertAlign w:val="superscript"/>
          <w:lang w:val="en-US"/>
        </w:rPr>
        <w:t xml:space="preserve"> </w:t>
      </w:r>
      <w:r w:rsidRPr="002D3D23">
        <w:rPr>
          <w:rFonts w:ascii="Book Antiqua" w:hAnsi="Book Antiqua" w:cs="Arial"/>
          <w:color w:val="000000" w:themeColor="text1"/>
          <w:shd w:val="clear" w:color="auto" w:fill="FFFFFF"/>
          <w:lang w:val="en-US"/>
        </w:rPr>
        <w:t>Division of Gastroenterology and Hepatology, Mayo Clinic Rochester, MN 55905, United States</w:t>
      </w:r>
    </w:p>
    <w:p w14:paraId="50086527" w14:textId="77777777" w:rsidR="00127EF1" w:rsidRPr="002D3D23" w:rsidRDefault="00127EF1" w:rsidP="002D3D23">
      <w:pPr>
        <w:adjustRightInd w:val="0"/>
        <w:snapToGrid w:val="0"/>
        <w:spacing w:line="360" w:lineRule="auto"/>
        <w:jc w:val="both"/>
        <w:rPr>
          <w:rFonts w:ascii="Book Antiqua" w:hAnsi="Book Antiqua"/>
          <w:color w:val="000000" w:themeColor="text1"/>
          <w:lang w:val="en-US"/>
        </w:rPr>
      </w:pPr>
    </w:p>
    <w:p w14:paraId="6B466A6D" w14:textId="7970C55B" w:rsidR="00A51EB4" w:rsidRDefault="00A51EB4" w:rsidP="002D3D23">
      <w:pPr>
        <w:adjustRightInd w:val="0"/>
        <w:snapToGrid w:val="0"/>
        <w:spacing w:line="360" w:lineRule="auto"/>
        <w:jc w:val="both"/>
        <w:rPr>
          <w:rFonts w:ascii="Book Antiqua" w:hAnsi="Book Antiqua" w:cs="Arial"/>
          <w:color w:val="000000" w:themeColor="text1"/>
          <w:shd w:val="clear" w:color="auto" w:fill="FFFFFF"/>
          <w:lang w:val="en-US"/>
        </w:rPr>
      </w:pPr>
      <w:r w:rsidRPr="009C7E9C">
        <w:rPr>
          <w:rFonts w:ascii="Book Antiqua" w:hAnsi="Book Antiqua" w:cs="Arial"/>
          <w:b/>
          <w:bCs/>
          <w:color w:val="000000" w:themeColor="text1"/>
          <w:lang w:val="en-US"/>
        </w:rPr>
        <w:t xml:space="preserve">Eric </w:t>
      </w:r>
      <w:r w:rsidR="00666C18" w:rsidRPr="009C7E9C">
        <w:rPr>
          <w:rFonts w:ascii="Book Antiqua" w:hAnsi="Book Antiqua" w:cs="Arial"/>
          <w:b/>
          <w:bCs/>
          <w:color w:val="000000" w:themeColor="text1"/>
          <w:lang w:val="en-US"/>
        </w:rPr>
        <w:t xml:space="preserve">J </w:t>
      </w:r>
      <w:r w:rsidRPr="009C7E9C">
        <w:rPr>
          <w:rFonts w:ascii="Book Antiqua" w:hAnsi="Book Antiqua" w:cs="Arial"/>
          <w:b/>
          <w:bCs/>
          <w:color w:val="000000" w:themeColor="text1"/>
          <w:lang w:val="en-US"/>
        </w:rPr>
        <w:t>Seibel,</w:t>
      </w:r>
      <w:r w:rsidRPr="009C7E9C">
        <w:rPr>
          <w:rFonts w:ascii="Book Antiqua" w:hAnsi="Book Antiqua" w:cs="Arial"/>
          <w:b/>
          <w:bCs/>
          <w:color w:val="000000" w:themeColor="text1"/>
          <w:vertAlign w:val="superscript"/>
          <w:lang w:val="en-US"/>
        </w:rPr>
        <w:t xml:space="preserve"> </w:t>
      </w:r>
      <w:r w:rsidRPr="002D3D23">
        <w:rPr>
          <w:rFonts w:ascii="Book Antiqua" w:hAnsi="Book Antiqua" w:cs="Arial"/>
          <w:color w:val="000000" w:themeColor="text1"/>
          <w:shd w:val="clear" w:color="auto" w:fill="FFFFFF"/>
          <w:lang w:val="en-US"/>
        </w:rPr>
        <w:t>Department of Mechanical Engineering, University of Washington, 4000 Mason St, Seattle, WA 98195, United States</w:t>
      </w:r>
    </w:p>
    <w:p w14:paraId="76502952" w14:textId="77777777" w:rsidR="009C7E9C" w:rsidRPr="002D3D23" w:rsidRDefault="009C7E9C" w:rsidP="002D3D23">
      <w:pPr>
        <w:adjustRightInd w:val="0"/>
        <w:snapToGrid w:val="0"/>
        <w:spacing w:line="360" w:lineRule="auto"/>
        <w:jc w:val="both"/>
        <w:rPr>
          <w:rFonts w:ascii="Book Antiqua" w:hAnsi="Book Antiqua" w:cs="Arial"/>
          <w:color w:val="000000" w:themeColor="text1"/>
          <w:shd w:val="clear" w:color="auto" w:fill="FFFFFF"/>
          <w:lang w:val="en-US"/>
        </w:rPr>
      </w:pPr>
    </w:p>
    <w:p w14:paraId="17F184FA" w14:textId="128F2525" w:rsidR="00A51EB4" w:rsidRPr="002D3D23" w:rsidRDefault="00A51EB4" w:rsidP="002D3D23">
      <w:pPr>
        <w:adjustRightInd w:val="0"/>
        <w:snapToGrid w:val="0"/>
        <w:spacing w:line="360" w:lineRule="auto"/>
        <w:jc w:val="both"/>
        <w:rPr>
          <w:rFonts w:ascii="Book Antiqua" w:hAnsi="Book Antiqua"/>
          <w:color w:val="000000" w:themeColor="text1"/>
          <w:lang w:val="en-US"/>
        </w:rPr>
      </w:pPr>
      <w:r w:rsidRPr="009C7E9C">
        <w:rPr>
          <w:rFonts w:ascii="Book Antiqua" w:hAnsi="Book Antiqua" w:cs="Arial"/>
          <w:b/>
          <w:bCs/>
          <w:color w:val="000000" w:themeColor="text1"/>
          <w:shd w:val="clear" w:color="auto" w:fill="FFFFFF"/>
          <w:lang w:val="en-US"/>
        </w:rPr>
        <w:t xml:space="preserve">Rehan Haidry, </w:t>
      </w:r>
      <w:r w:rsidRPr="008A3ACD">
        <w:rPr>
          <w:rFonts w:ascii="Book Antiqua" w:hAnsi="Book Antiqua" w:cs="Arial"/>
          <w:b/>
          <w:bCs/>
          <w:color w:val="000000" w:themeColor="text1"/>
          <w:shd w:val="clear" w:color="auto" w:fill="FFFFFF"/>
          <w:lang w:val="en-US"/>
        </w:rPr>
        <w:t xml:space="preserve">Laurence B Lovat, </w:t>
      </w:r>
      <w:bookmarkStart w:id="44" w:name="OLE_LINK3"/>
      <w:bookmarkStart w:id="45" w:name="OLE_LINK4"/>
      <w:r w:rsidRPr="008A3ACD">
        <w:rPr>
          <w:rFonts w:ascii="Book Antiqua" w:hAnsi="Book Antiqua" w:cs="Arial"/>
          <w:b/>
          <w:bCs/>
          <w:color w:val="000000" w:themeColor="text1"/>
          <w:shd w:val="clear" w:color="auto" w:fill="FFFFFF"/>
          <w:lang w:val="en-US"/>
        </w:rPr>
        <w:t>Sarmed S Sami</w:t>
      </w:r>
      <w:bookmarkEnd w:id="44"/>
      <w:bookmarkEnd w:id="45"/>
      <w:r w:rsidRPr="008A3ACD">
        <w:rPr>
          <w:rFonts w:ascii="Book Antiqua" w:hAnsi="Book Antiqua" w:cs="Arial"/>
          <w:b/>
          <w:bCs/>
          <w:color w:val="000000" w:themeColor="text1"/>
          <w:shd w:val="clear" w:color="auto" w:fill="FFFFFF"/>
          <w:lang w:val="en-US"/>
        </w:rPr>
        <w:t>,</w:t>
      </w:r>
      <w:r w:rsidRPr="002D3D23">
        <w:rPr>
          <w:rFonts w:ascii="Book Antiqua" w:hAnsi="Book Antiqua" w:cs="Arial"/>
          <w:color w:val="000000" w:themeColor="text1"/>
          <w:shd w:val="clear" w:color="auto" w:fill="FFFFFF"/>
          <w:lang w:val="en-US"/>
        </w:rPr>
        <w:t xml:space="preserve"> Department of Surgery and Interventional Science, National Medical Laser Centre, University College London (UCL), London</w:t>
      </w:r>
      <w:r w:rsidR="005D1C6B" w:rsidRPr="002D3D23">
        <w:rPr>
          <w:rFonts w:ascii="Book Antiqua" w:hAnsi="Book Antiqua" w:cs="Arial"/>
          <w:color w:val="000000" w:themeColor="text1"/>
          <w:shd w:val="clear" w:color="auto" w:fill="FFFFFF"/>
          <w:lang w:val="en-US"/>
        </w:rPr>
        <w:t xml:space="preserve"> WC1E 6BT,</w:t>
      </w:r>
      <w:r w:rsidRPr="002D3D23">
        <w:rPr>
          <w:rFonts w:ascii="Book Antiqua" w:hAnsi="Book Antiqua" w:cs="Arial"/>
          <w:color w:val="000000" w:themeColor="text1"/>
          <w:shd w:val="clear" w:color="auto" w:fill="FFFFFF"/>
          <w:lang w:val="en-US"/>
        </w:rPr>
        <w:t xml:space="preserve"> United Kingdom</w:t>
      </w:r>
    </w:p>
    <w:p w14:paraId="5F2F9E05" w14:textId="262CDCAE" w:rsidR="00841F33" w:rsidRPr="002D3D23" w:rsidRDefault="00841F33" w:rsidP="002D3D23">
      <w:pPr>
        <w:adjustRightInd w:val="0"/>
        <w:snapToGrid w:val="0"/>
        <w:spacing w:line="360" w:lineRule="auto"/>
        <w:jc w:val="both"/>
        <w:rPr>
          <w:rFonts w:ascii="Book Antiqua" w:hAnsi="Book Antiqua" w:cs="Arial"/>
          <w:color w:val="000000" w:themeColor="text1"/>
          <w:vertAlign w:val="superscript"/>
          <w:lang w:val="en-US"/>
        </w:rPr>
      </w:pPr>
    </w:p>
    <w:p w14:paraId="57FC6F4D" w14:textId="45F3CBA0" w:rsidR="00367060" w:rsidRPr="002D3D23" w:rsidRDefault="00BC2C9E" w:rsidP="002D3D23">
      <w:pPr>
        <w:adjustRightInd w:val="0"/>
        <w:snapToGrid w:val="0"/>
        <w:spacing w:line="360" w:lineRule="auto"/>
        <w:jc w:val="both"/>
        <w:rPr>
          <w:rFonts w:ascii="Book Antiqua" w:hAnsi="Book Antiqua" w:cs="Arial"/>
          <w:bCs/>
          <w:color w:val="000000" w:themeColor="text1"/>
          <w:lang w:val="en-US"/>
        </w:rPr>
      </w:pPr>
      <w:r w:rsidRPr="00BC2C9E">
        <w:rPr>
          <w:rFonts w:ascii="Book Antiqua" w:eastAsia="宋体" w:hAnsi="Book Antiqua"/>
          <w:b/>
          <w:color w:val="000000"/>
          <w:shd w:val="clear" w:color="auto" w:fill="FFFFFF"/>
          <w:lang w:val="en-US" w:eastAsia="zh-CN"/>
        </w:rPr>
        <w:t>ORCID number</w:t>
      </w:r>
      <w:r w:rsidRPr="00BC2C9E">
        <w:rPr>
          <w:rFonts w:ascii="Book Antiqua" w:eastAsia="宋体" w:hAnsi="Book Antiqua"/>
          <w:b/>
          <w:color w:val="000000"/>
          <w:lang w:val="en-US" w:eastAsia="zh-CN"/>
        </w:rPr>
        <w:t>:</w:t>
      </w:r>
      <w:r>
        <w:rPr>
          <w:rFonts w:ascii="Book Antiqua" w:eastAsia="宋体" w:hAnsi="Book Antiqua"/>
          <w:b/>
          <w:color w:val="000000"/>
          <w:lang w:val="en-US" w:eastAsia="zh-CN"/>
        </w:rPr>
        <w:t xml:space="preserve"> </w:t>
      </w:r>
      <w:r w:rsidR="0053067A" w:rsidRPr="002D3D23">
        <w:rPr>
          <w:rFonts w:ascii="Book Antiqua" w:hAnsi="Book Antiqua" w:cs="Arial"/>
          <w:bCs/>
          <w:color w:val="000000" w:themeColor="text1"/>
          <w:lang w:val="en-US"/>
        </w:rPr>
        <w:t xml:space="preserve">John J McGoran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0000-0002-9514-5290</w:t>
      </w:r>
      <w:r>
        <w:rPr>
          <w:rFonts w:ascii="Book Antiqua" w:hAnsi="Book Antiqua" w:cs="Arial"/>
          <w:bCs/>
          <w:color w:val="000000" w:themeColor="text1"/>
          <w:lang w:val="en-US"/>
        </w:rPr>
        <w:t xml:space="preserve">); </w:t>
      </w:r>
      <w:r w:rsidR="0053067A" w:rsidRPr="002D3D23">
        <w:rPr>
          <w:rFonts w:ascii="Book Antiqua" w:hAnsi="Book Antiqua" w:cs="Arial"/>
          <w:bCs/>
          <w:color w:val="000000" w:themeColor="text1"/>
          <w:lang w:val="en-US"/>
        </w:rPr>
        <w:t xml:space="preserve">Mark E McAlindon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0000-0003-0985-3643</w:t>
      </w:r>
      <w:r>
        <w:rPr>
          <w:rFonts w:ascii="Book Antiqua" w:hAnsi="Book Antiqua" w:cs="Arial"/>
          <w:bCs/>
          <w:color w:val="000000" w:themeColor="text1"/>
          <w:lang w:val="en-US"/>
        </w:rPr>
        <w:t xml:space="preserve">); </w:t>
      </w:r>
      <w:r w:rsidR="0053067A" w:rsidRPr="002D3D23">
        <w:rPr>
          <w:rFonts w:ascii="Book Antiqua" w:hAnsi="Book Antiqua" w:cs="Arial"/>
          <w:bCs/>
          <w:color w:val="000000" w:themeColor="text1"/>
          <w:lang w:val="en-US"/>
        </w:rPr>
        <w:t xml:space="preserve">Prasad G Iyer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0000-0002-9822-1420</w:t>
      </w:r>
      <w:r>
        <w:rPr>
          <w:rFonts w:ascii="Book Antiqua" w:hAnsi="Book Antiqua" w:cs="Arial"/>
          <w:bCs/>
          <w:color w:val="000000" w:themeColor="text1"/>
          <w:lang w:val="en-US"/>
        </w:rPr>
        <w:t xml:space="preserve">); </w:t>
      </w:r>
      <w:r w:rsidR="0053067A" w:rsidRPr="002D3D23">
        <w:rPr>
          <w:rFonts w:ascii="Book Antiqua" w:hAnsi="Book Antiqua" w:cs="Arial"/>
          <w:bCs/>
          <w:color w:val="000000" w:themeColor="text1"/>
          <w:lang w:val="en-US"/>
        </w:rPr>
        <w:t xml:space="preserve">Eric J Seibel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0000-0002-3382-6541</w:t>
      </w:r>
      <w:r>
        <w:rPr>
          <w:rFonts w:ascii="Book Antiqua" w:hAnsi="Book Antiqua" w:cs="Arial"/>
          <w:bCs/>
          <w:color w:val="000000" w:themeColor="text1"/>
          <w:lang w:val="en-US"/>
        </w:rPr>
        <w:t xml:space="preserve">); </w:t>
      </w:r>
      <w:r w:rsidR="0053067A" w:rsidRPr="002D3D23">
        <w:rPr>
          <w:rFonts w:ascii="Book Antiqua" w:hAnsi="Book Antiqua" w:cs="Arial"/>
          <w:bCs/>
          <w:color w:val="000000" w:themeColor="text1"/>
          <w:lang w:val="en-US"/>
        </w:rPr>
        <w:t xml:space="preserve">Rehan Haidry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0000-0002-4660-4382</w:t>
      </w:r>
      <w:r>
        <w:rPr>
          <w:rFonts w:ascii="Book Antiqua" w:hAnsi="Book Antiqua" w:cs="Arial"/>
          <w:bCs/>
          <w:color w:val="000000" w:themeColor="text1"/>
          <w:lang w:val="en-US"/>
        </w:rPr>
        <w:t xml:space="preserve">); </w:t>
      </w:r>
      <w:r w:rsidR="0053067A" w:rsidRPr="002D3D23">
        <w:rPr>
          <w:rFonts w:ascii="Book Antiqua" w:hAnsi="Book Antiqua" w:cs="Arial"/>
          <w:bCs/>
          <w:color w:val="000000" w:themeColor="text1"/>
          <w:lang w:val="en-US"/>
        </w:rPr>
        <w:t xml:space="preserve">Laurence B Lovat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0000-0003-4542-3915</w:t>
      </w:r>
      <w:r>
        <w:rPr>
          <w:rFonts w:ascii="Book Antiqua" w:hAnsi="Book Antiqua" w:cs="Arial"/>
          <w:bCs/>
          <w:color w:val="000000" w:themeColor="text1"/>
          <w:lang w:val="en-US"/>
        </w:rPr>
        <w:t xml:space="preserve">); </w:t>
      </w:r>
      <w:r w:rsidR="0053067A" w:rsidRPr="002D3D23">
        <w:rPr>
          <w:rFonts w:ascii="Book Antiqua" w:hAnsi="Book Antiqua" w:cs="Arial"/>
          <w:bCs/>
          <w:color w:val="000000" w:themeColor="text1"/>
          <w:lang w:val="en-US"/>
        </w:rPr>
        <w:t xml:space="preserve">Sarmed S Sami </w:t>
      </w:r>
      <w:r>
        <w:rPr>
          <w:rFonts w:ascii="Book Antiqua" w:hAnsi="Book Antiqua" w:cs="Arial"/>
          <w:bCs/>
          <w:color w:val="000000" w:themeColor="text1"/>
          <w:lang w:val="en-US"/>
        </w:rPr>
        <w:t>(</w:t>
      </w:r>
      <w:r w:rsidR="0053067A" w:rsidRPr="002D3D23">
        <w:rPr>
          <w:rFonts w:ascii="Book Antiqua" w:hAnsi="Book Antiqua" w:cs="Arial"/>
          <w:bCs/>
          <w:color w:val="000000" w:themeColor="text1"/>
          <w:lang w:val="en-US"/>
        </w:rPr>
        <w:t>0000-0002-8663</w:t>
      </w:r>
      <w:r>
        <w:rPr>
          <w:rFonts w:ascii="Book Antiqua" w:hAnsi="Book Antiqua" w:cs="Arial"/>
          <w:bCs/>
          <w:color w:val="000000" w:themeColor="text1"/>
          <w:lang w:val="en-US"/>
        </w:rPr>
        <w:t>-1246).</w:t>
      </w:r>
    </w:p>
    <w:p w14:paraId="2CF64828" w14:textId="77777777" w:rsidR="0053067A" w:rsidRPr="002D3D23" w:rsidRDefault="0053067A" w:rsidP="002D3D23">
      <w:pPr>
        <w:adjustRightInd w:val="0"/>
        <w:snapToGrid w:val="0"/>
        <w:spacing w:line="360" w:lineRule="auto"/>
        <w:jc w:val="both"/>
        <w:rPr>
          <w:rFonts w:ascii="Book Antiqua" w:hAnsi="Book Antiqua" w:cs="Arial"/>
          <w:color w:val="000000" w:themeColor="text1"/>
          <w:shd w:val="clear" w:color="auto" w:fill="FFFFFF"/>
          <w:lang w:val="en-US"/>
        </w:rPr>
      </w:pPr>
    </w:p>
    <w:p w14:paraId="1A4D3D10" w14:textId="435AEAA3" w:rsidR="000E7CA8" w:rsidRPr="002D3D23" w:rsidRDefault="00EC15B0" w:rsidP="002D3D23">
      <w:pPr>
        <w:pStyle w:val="1"/>
        <w:adjustRightInd w:val="0"/>
        <w:snapToGrid w:val="0"/>
        <w:spacing w:line="360" w:lineRule="auto"/>
        <w:jc w:val="both"/>
        <w:rPr>
          <w:rFonts w:ascii="Book Antiqua" w:hAnsi="Book Antiqua" w:cs="Times New Roman"/>
          <w:bCs/>
          <w:color w:val="000000" w:themeColor="text1"/>
          <w:sz w:val="24"/>
          <w:szCs w:val="24"/>
          <w:highlight w:val="white"/>
          <w:lang w:val="en-US" w:eastAsia="zh-CN"/>
        </w:rPr>
      </w:pPr>
      <w:bookmarkStart w:id="46" w:name="OLE_LINK121"/>
      <w:bookmarkStart w:id="47" w:name="OLE_LINK269"/>
      <w:bookmarkStart w:id="48" w:name="OLE_LINK188"/>
      <w:bookmarkStart w:id="49" w:name="OLE_LINK189"/>
      <w:bookmarkStart w:id="50" w:name="OLE_LINK806"/>
      <w:bookmarkStart w:id="51" w:name="OLE_LINK106"/>
      <w:bookmarkStart w:id="52" w:name="OLE_LINK107"/>
      <w:bookmarkStart w:id="53" w:name="OLE_LINK187"/>
      <w:bookmarkStart w:id="54" w:name="OLE_LINK402"/>
      <w:bookmarkStart w:id="55" w:name="OLE_LINK174"/>
      <w:r w:rsidRPr="00BC2C9E">
        <w:rPr>
          <w:rFonts w:ascii="Book Antiqua" w:hAnsi="Book Antiqua" w:cs="Times New Roman"/>
          <w:b/>
          <w:color w:val="000000" w:themeColor="text1"/>
          <w:sz w:val="24"/>
          <w:szCs w:val="24"/>
          <w:highlight w:val="white"/>
          <w:lang w:val="en-US" w:eastAsia="zh-CN"/>
        </w:rPr>
        <w:t xml:space="preserve">Author contributions: </w:t>
      </w:r>
      <w:r w:rsidR="000E7CA8" w:rsidRPr="002D3D23">
        <w:rPr>
          <w:rFonts w:ascii="Book Antiqua" w:hAnsi="Book Antiqua" w:cs="Times New Roman"/>
          <w:bCs/>
          <w:color w:val="000000" w:themeColor="text1"/>
          <w:sz w:val="24"/>
          <w:szCs w:val="24"/>
          <w:highlight w:val="white"/>
          <w:lang w:val="en-US" w:eastAsia="zh-CN"/>
        </w:rPr>
        <w:t>McGoran JJ and Sami SS wrote the paper</w:t>
      </w:r>
      <w:r w:rsidR="00BC2C9E">
        <w:rPr>
          <w:rFonts w:ascii="Book Antiqua" w:hAnsi="Book Antiqua" w:cs="Times New Roman" w:hint="eastAsia"/>
          <w:bCs/>
          <w:color w:val="000000" w:themeColor="text1"/>
          <w:sz w:val="24"/>
          <w:szCs w:val="24"/>
          <w:highlight w:val="white"/>
          <w:lang w:val="en-US" w:eastAsia="zh-CN"/>
        </w:rPr>
        <w:t>;</w:t>
      </w:r>
      <w:r w:rsidR="00BC2C9E">
        <w:rPr>
          <w:rFonts w:ascii="Book Antiqua" w:hAnsi="Book Antiqua" w:cs="Times New Roman"/>
          <w:bCs/>
          <w:color w:val="000000" w:themeColor="text1"/>
          <w:sz w:val="24"/>
          <w:szCs w:val="24"/>
          <w:highlight w:val="white"/>
          <w:lang w:val="en-US" w:eastAsia="zh-CN"/>
        </w:rPr>
        <w:t xml:space="preserve"> </w:t>
      </w:r>
      <w:r w:rsidR="000E7CA8" w:rsidRPr="002D3D23">
        <w:rPr>
          <w:rFonts w:ascii="Book Antiqua" w:hAnsi="Book Antiqua" w:cs="Times New Roman"/>
          <w:bCs/>
          <w:color w:val="000000" w:themeColor="text1"/>
          <w:sz w:val="24"/>
          <w:szCs w:val="24"/>
          <w:highlight w:val="white"/>
          <w:lang w:val="en-US" w:eastAsia="zh-CN"/>
        </w:rPr>
        <w:t>McAlindon ME, Iyer P</w:t>
      </w:r>
      <w:r w:rsidR="00367060" w:rsidRPr="002D3D23">
        <w:rPr>
          <w:rFonts w:ascii="Book Antiqua" w:hAnsi="Book Antiqua" w:cs="Times New Roman"/>
          <w:bCs/>
          <w:color w:val="000000" w:themeColor="text1"/>
          <w:sz w:val="24"/>
          <w:szCs w:val="24"/>
          <w:highlight w:val="white"/>
          <w:lang w:val="en-US" w:eastAsia="zh-CN"/>
        </w:rPr>
        <w:t>G</w:t>
      </w:r>
      <w:r w:rsidR="000E7CA8" w:rsidRPr="002D3D23">
        <w:rPr>
          <w:rFonts w:ascii="Book Antiqua" w:hAnsi="Book Antiqua" w:cs="Times New Roman"/>
          <w:bCs/>
          <w:color w:val="000000" w:themeColor="text1"/>
          <w:sz w:val="24"/>
          <w:szCs w:val="24"/>
          <w:highlight w:val="white"/>
          <w:lang w:val="en-US" w:eastAsia="zh-CN"/>
        </w:rPr>
        <w:t>, Seibel E, Haidry R and Lovat LB reviewed the manuscript and provided feedback</w:t>
      </w:r>
      <w:r w:rsidR="00BC2C9E">
        <w:rPr>
          <w:rFonts w:ascii="Book Antiqua" w:hAnsi="Book Antiqua" w:cs="Times New Roman"/>
          <w:bCs/>
          <w:color w:val="000000" w:themeColor="text1"/>
          <w:sz w:val="24"/>
          <w:szCs w:val="24"/>
          <w:highlight w:val="white"/>
          <w:lang w:val="en-US" w:eastAsia="zh-CN"/>
        </w:rPr>
        <w:t>.</w:t>
      </w:r>
    </w:p>
    <w:bookmarkEnd w:id="46"/>
    <w:bookmarkEnd w:id="47"/>
    <w:bookmarkEnd w:id="48"/>
    <w:bookmarkEnd w:id="49"/>
    <w:bookmarkEnd w:id="50"/>
    <w:bookmarkEnd w:id="51"/>
    <w:bookmarkEnd w:id="52"/>
    <w:bookmarkEnd w:id="53"/>
    <w:bookmarkEnd w:id="54"/>
    <w:bookmarkEnd w:id="55"/>
    <w:p w14:paraId="299BF642" w14:textId="5F42FC0B" w:rsidR="006E1CE7" w:rsidRPr="002D3D23" w:rsidRDefault="006E1CE7" w:rsidP="002D3D23">
      <w:pPr>
        <w:adjustRightInd w:val="0"/>
        <w:snapToGrid w:val="0"/>
        <w:spacing w:line="360" w:lineRule="auto"/>
        <w:jc w:val="both"/>
        <w:rPr>
          <w:rFonts w:ascii="Book Antiqua" w:hAnsi="Book Antiqua" w:cs="Arial"/>
          <w:b/>
          <w:color w:val="000000" w:themeColor="text1"/>
          <w:lang w:val="en-US"/>
        </w:rPr>
      </w:pPr>
    </w:p>
    <w:p w14:paraId="6F2AA75B" w14:textId="062123A4" w:rsidR="000E7CA8" w:rsidRPr="00BC2C9E" w:rsidRDefault="00EC15B0" w:rsidP="00BC2C9E">
      <w:pPr>
        <w:pStyle w:val="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bookmarkStart w:id="56" w:name="OLE_LINK235"/>
      <w:bookmarkStart w:id="57" w:name="OLE_LINK236"/>
      <w:bookmarkStart w:id="58" w:name="OLE_LINK684"/>
      <w:r w:rsidRPr="002D3D23">
        <w:rPr>
          <w:rFonts w:ascii="Book Antiqua" w:hAnsi="Book Antiqua" w:cs="Times New Roman"/>
          <w:b/>
          <w:bCs/>
          <w:iCs/>
          <w:color w:val="000000" w:themeColor="text1"/>
          <w:sz w:val="24"/>
          <w:szCs w:val="24"/>
          <w:highlight w:val="white"/>
          <w:lang w:val="en-US" w:eastAsia="zh-CN"/>
        </w:rPr>
        <w:t>Conflict-of-interest statement:</w:t>
      </w:r>
      <w:bookmarkEnd w:id="56"/>
      <w:bookmarkEnd w:id="57"/>
      <w:bookmarkEnd w:id="58"/>
      <w:r w:rsidR="00BC2C9E">
        <w:rPr>
          <w:rFonts w:ascii="Book Antiqua" w:hAnsi="Book Antiqua" w:cs="Times New Roman"/>
          <w:b/>
          <w:bCs/>
          <w:iCs/>
          <w:color w:val="000000" w:themeColor="text1"/>
          <w:sz w:val="24"/>
          <w:szCs w:val="24"/>
          <w:lang w:val="en-US" w:eastAsia="zh-CN"/>
        </w:rPr>
        <w:t xml:space="preserve"> </w:t>
      </w:r>
      <w:r w:rsidR="000E7CA8" w:rsidRPr="002D3D23">
        <w:rPr>
          <w:rFonts w:ascii="Book Antiqua" w:hAnsi="Book Antiqua"/>
          <w:color w:val="000000" w:themeColor="text1"/>
          <w:sz w:val="24"/>
          <w:szCs w:val="24"/>
          <w:lang w:val="en-US"/>
        </w:rPr>
        <w:t xml:space="preserve">Iyer </w:t>
      </w:r>
      <w:r w:rsidR="00BC2C9E" w:rsidRPr="002D3D23">
        <w:rPr>
          <w:rFonts w:ascii="Book Antiqua" w:hAnsi="Book Antiqua"/>
          <w:color w:val="000000" w:themeColor="text1"/>
          <w:sz w:val="24"/>
          <w:szCs w:val="24"/>
          <w:lang w:val="en-US"/>
        </w:rPr>
        <w:t xml:space="preserve">PG </w:t>
      </w:r>
      <w:r w:rsidR="000E7CA8" w:rsidRPr="002D3D23">
        <w:rPr>
          <w:rFonts w:ascii="Book Antiqua" w:hAnsi="Book Antiqua"/>
          <w:color w:val="000000" w:themeColor="text1"/>
          <w:sz w:val="24"/>
          <w:szCs w:val="24"/>
          <w:lang w:val="en-US"/>
        </w:rPr>
        <w:t xml:space="preserve">has received research funding from Exact Sciences, Pentax Medical, Intromedic, Nine Point Medical, Symple Surgical, Medtronic </w:t>
      </w:r>
      <w:r w:rsidR="00BC2C9E">
        <w:rPr>
          <w:rFonts w:ascii="Book Antiqua" w:hAnsi="Book Antiqua"/>
          <w:color w:val="000000" w:themeColor="text1"/>
          <w:sz w:val="24"/>
          <w:szCs w:val="24"/>
          <w:lang w:val="en-US"/>
        </w:rPr>
        <w:t>and</w:t>
      </w:r>
      <w:r w:rsidR="000E7CA8" w:rsidRPr="002D3D23">
        <w:rPr>
          <w:rFonts w:ascii="Book Antiqua" w:hAnsi="Book Antiqua"/>
          <w:color w:val="000000" w:themeColor="text1"/>
          <w:sz w:val="24"/>
          <w:szCs w:val="24"/>
          <w:lang w:val="en-US"/>
        </w:rPr>
        <w:t xml:space="preserve"> has acted as a consultant for Pentax Medical, Medtronic</w:t>
      </w:r>
      <w:r w:rsidR="00BC2C9E">
        <w:rPr>
          <w:rFonts w:ascii="Book Antiqua" w:hAnsi="Book Antiqua"/>
          <w:color w:val="000000" w:themeColor="text1"/>
          <w:sz w:val="24"/>
          <w:szCs w:val="24"/>
          <w:lang w:val="en-US"/>
        </w:rPr>
        <w:t xml:space="preserve">; </w:t>
      </w:r>
      <w:r w:rsidR="000E7CA8" w:rsidRPr="002D3D23">
        <w:rPr>
          <w:rFonts w:ascii="Book Antiqua" w:hAnsi="Book Antiqua"/>
          <w:color w:val="000000" w:themeColor="text1"/>
          <w:sz w:val="24"/>
          <w:szCs w:val="24"/>
          <w:lang w:val="en-US"/>
        </w:rPr>
        <w:t xml:space="preserve">Seibel </w:t>
      </w:r>
      <w:r w:rsidR="00BC2C9E" w:rsidRPr="002D3D23">
        <w:rPr>
          <w:rFonts w:ascii="Book Antiqua" w:hAnsi="Book Antiqua"/>
          <w:color w:val="000000" w:themeColor="text1"/>
          <w:sz w:val="24"/>
          <w:szCs w:val="24"/>
          <w:lang w:val="en-US"/>
        </w:rPr>
        <w:t xml:space="preserve">EJ </w:t>
      </w:r>
      <w:r w:rsidR="000E7CA8" w:rsidRPr="002D3D23">
        <w:rPr>
          <w:rFonts w:ascii="Book Antiqua" w:hAnsi="Book Antiqua"/>
          <w:color w:val="000000" w:themeColor="text1"/>
          <w:sz w:val="24"/>
          <w:szCs w:val="24"/>
          <w:lang w:val="en-US"/>
        </w:rPr>
        <w:t>has a patent US# 10080484, 7813538 with royalties paid to VerAvanti, Inc, a patent US# 9872613, 9161684, 7530948 with royalties paid to NinePoint Medical, a patent US # 9872606, 9561078, 8537203, 7791009, 7616986, 7583872 with royalties paid to VerAvanti, Inc., a patent US# 9226687, 8840566, 8382662, 7901348</w:t>
      </w:r>
      <w:r w:rsidR="003B0CDB">
        <w:rPr>
          <w:rFonts w:ascii="Book Antiqua" w:hAnsi="Book Antiqua"/>
          <w:color w:val="000000" w:themeColor="text1"/>
          <w:sz w:val="24"/>
          <w:szCs w:val="24"/>
          <w:lang w:val="en-US"/>
        </w:rPr>
        <w:t xml:space="preserve"> </w:t>
      </w:r>
      <w:r w:rsidR="000E7CA8" w:rsidRPr="002D3D23">
        <w:rPr>
          <w:rFonts w:ascii="Book Antiqua" w:hAnsi="Book Antiqua"/>
          <w:color w:val="000000" w:themeColor="text1"/>
          <w:sz w:val="24"/>
          <w:szCs w:val="24"/>
          <w:lang w:val="en-US"/>
        </w:rPr>
        <w:t>with royalties paid to Intuitive Surgical, and a patent US# 7068878, 6959130,</w:t>
      </w:r>
      <w:r w:rsidR="003B0CDB">
        <w:rPr>
          <w:rFonts w:ascii="Book Antiqua" w:hAnsi="Book Antiqua"/>
          <w:color w:val="000000" w:themeColor="text1"/>
          <w:sz w:val="24"/>
          <w:szCs w:val="24"/>
          <w:lang w:val="en-US"/>
        </w:rPr>
        <w:t xml:space="preserve"> </w:t>
      </w:r>
      <w:r w:rsidR="000E7CA8" w:rsidRPr="002D3D23">
        <w:rPr>
          <w:rFonts w:ascii="Book Antiqua" w:hAnsi="Book Antiqua"/>
          <w:color w:val="000000" w:themeColor="text1"/>
          <w:sz w:val="24"/>
          <w:szCs w:val="24"/>
          <w:lang w:val="en-US"/>
        </w:rPr>
        <w:t>6845190, 6856712, 6975898, 6563105, 6294775 with royalties paid to VerAvanti, Inc</w:t>
      </w:r>
      <w:r w:rsidR="00BC2C9E">
        <w:rPr>
          <w:rFonts w:ascii="Book Antiqua" w:hAnsi="Book Antiqua"/>
          <w:color w:val="000000" w:themeColor="text1"/>
          <w:sz w:val="24"/>
          <w:szCs w:val="24"/>
          <w:lang w:val="en-US"/>
        </w:rPr>
        <w:t xml:space="preserve">; </w:t>
      </w:r>
      <w:r w:rsidR="000E7CA8" w:rsidRPr="002D3D23">
        <w:rPr>
          <w:rFonts w:ascii="Book Antiqua" w:hAnsi="Book Antiqua"/>
          <w:color w:val="000000" w:themeColor="text1"/>
          <w:sz w:val="24"/>
          <w:szCs w:val="24"/>
          <w:lang w:val="en-US"/>
        </w:rPr>
        <w:t xml:space="preserve">Haidry </w:t>
      </w:r>
      <w:r w:rsidR="00BC2C9E" w:rsidRPr="002D3D23">
        <w:rPr>
          <w:rFonts w:ascii="Book Antiqua" w:hAnsi="Book Antiqua"/>
          <w:color w:val="000000" w:themeColor="text1"/>
          <w:sz w:val="24"/>
          <w:szCs w:val="24"/>
          <w:lang w:val="en-US"/>
        </w:rPr>
        <w:t xml:space="preserve">R </w:t>
      </w:r>
      <w:r w:rsidR="000E7CA8" w:rsidRPr="002D3D23">
        <w:rPr>
          <w:rFonts w:ascii="Book Antiqua" w:hAnsi="Book Antiqua"/>
          <w:color w:val="000000" w:themeColor="text1"/>
          <w:sz w:val="24"/>
          <w:szCs w:val="24"/>
          <w:lang w:val="en-US"/>
        </w:rPr>
        <w:t>has received educational grants to support research from Medtronic Ltd., Cook Endoscopy (fellowship support), Pentax Europe, C2 Therapeutics, Beamline diagnostics, Fractyl Ltd</w:t>
      </w:r>
      <w:r w:rsidR="00BC2C9E">
        <w:rPr>
          <w:rFonts w:ascii="Book Antiqua" w:hAnsi="Book Antiqua"/>
          <w:color w:val="000000" w:themeColor="text1"/>
          <w:sz w:val="24"/>
          <w:szCs w:val="24"/>
          <w:lang w:val="en-US"/>
        </w:rPr>
        <w:t xml:space="preserve">; </w:t>
      </w:r>
      <w:r w:rsidR="000E7CA8" w:rsidRPr="002D3D23">
        <w:rPr>
          <w:rFonts w:ascii="Book Antiqua" w:hAnsi="Book Antiqua"/>
          <w:color w:val="000000" w:themeColor="text1"/>
          <w:sz w:val="24"/>
          <w:szCs w:val="24"/>
          <w:lang w:val="en-US"/>
        </w:rPr>
        <w:t>Lovat</w:t>
      </w:r>
      <w:r w:rsidR="00BC2C9E">
        <w:rPr>
          <w:rFonts w:ascii="Book Antiqua" w:hAnsi="Book Antiqua"/>
          <w:color w:val="000000" w:themeColor="text1"/>
          <w:sz w:val="24"/>
          <w:szCs w:val="24"/>
          <w:lang w:val="en-US"/>
        </w:rPr>
        <w:t xml:space="preserve"> </w:t>
      </w:r>
      <w:r w:rsidR="00BC2C9E" w:rsidRPr="002D3D23">
        <w:rPr>
          <w:rFonts w:ascii="Book Antiqua" w:hAnsi="Book Antiqua"/>
          <w:color w:val="000000" w:themeColor="text1"/>
          <w:sz w:val="24"/>
          <w:szCs w:val="24"/>
          <w:lang w:val="en-US"/>
        </w:rPr>
        <w:t>LB</w:t>
      </w:r>
      <w:r w:rsidR="000E7CA8" w:rsidRPr="002D3D23">
        <w:rPr>
          <w:rFonts w:ascii="Book Antiqua" w:hAnsi="Book Antiqua"/>
          <w:color w:val="000000" w:themeColor="text1"/>
          <w:sz w:val="24"/>
          <w:szCs w:val="24"/>
          <w:lang w:val="en-US"/>
        </w:rPr>
        <w:t xml:space="preserve"> has received research funding from Pentax Europe and Medtronic</w:t>
      </w:r>
      <w:r w:rsidR="00BC2C9E">
        <w:rPr>
          <w:rFonts w:ascii="Book Antiqua" w:hAnsi="Book Antiqua"/>
          <w:color w:val="000000" w:themeColor="text1"/>
          <w:sz w:val="24"/>
          <w:szCs w:val="24"/>
          <w:lang w:val="en-US"/>
        </w:rPr>
        <w:t>.</w:t>
      </w:r>
    </w:p>
    <w:p w14:paraId="23CA7F9D" w14:textId="77777777" w:rsidR="000E7CA8" w:rsidRPr="002D3D23" w:rsidRDefault="000E7CA8" w:rsidP="002D3D23">
      <w:pPr>
        <w:adjustRightInd w:val="0"/>
        <w:snapToGrid w:val="0"/>
        <w:spacing w:line="360" w:lineRule="auto"/>
        <w:jc w:val="both"/>
        <w:rPr>
          <w:rFonts w:ascii="Book Antiqua" w:hAnsi="Book Antiqua" w:cs="Arial"/>
          <w:b/>
          <w:color w:val="000000" w:themeColor="text1"/>
          <w:lang w:val="en-US"/>
        </w:rPr>
      </w:pPr>
    </w:p>
    <w:p w14:paraId="1C942531" w14:textId="77777777" w:rsidR="00573E67" w:rsidRPr="00573E67" w:rsidRDefault="00573E67" w:rsidP="00573E67">
      <w:pPr>
        <w:snapToGrid w:val="0"/>
        <w:spacing w:line="360" w:lineRule="auto"/>
        <w:jc w:val="both"/>
        <w:rPr>
          <w:rFonts w:ascii="Book Antiqua" w:eastAsia="宋体" w:hAnsi="Book Antiqua"/>
          <w:lang w:val="en-US" w:eastAsia="zh-CN"/>
        </w:rPr>
      </w:pPr>
      <w:bookmarkStart w:id="59" w:name="OLE_LINK25"/>
      <w:bookmarkStart w:id="60" w:name="OLE_LINK26"/>
      <w:bookmarkStart w:id="61" w:name="OLE_LINK375"/>
      <w:bookmarkStart w:id="62" w:name="OLE_LINK32"/>
      <w:bookmarkStart w:id="63" w:name="OLE_LINK381"/>
      <w:bookmarkStart w:id="64" w:name="OLE_LINK413"/>
      <w:bookmarkStart w:id="65" w:name="OLE_LINK61"/>
      <w:bookmarkStart w:id="66" w:name="OLE_LINK615"/>
      <w:r w:rsidRPr="00573E67">
        <w:rPr>
          <w:rFonts w:ascii="Book Antiqua" w:eastAsia="宋体" w:hAnsi="Book Antiqua"/>
          <w:b/>
          <w:color w:val="000000"/>
          <w:lang w:val="en-US" w:eastAsia="zh-CN"/>
        </w:rPr>
        <w:t xml:space="preserve">Open-Access: </w:t>
      </w:r>
      <w:r w:rsidRPr="00573E67">
        <w:rPr>
          <w:rFonts w:ascii="Book Antiqua" w:eastAsia="宋体" w:hAnsi="Book Antiqua"/>
          <w:color w:val="000000"/>
          <w:lang w:val="en-US" w:eastAsia="zh-CN"/>
        </w:rPr>
        <w:t xml:space="preserve">This is an </w:t>
      </w:r>
      <w:r w:rsidRPr="00573E67">
        <w:rPr>
          <w:rFonts w:ascii="Book Antiqua" w:eastAsia="宋体" w:hAnsi="Book Antiqua" w:cs="宋体"/>
          <w:lang w:val="en-US" w:eastAsia="zh-CN"/>
        </w:rPr>
        <w:t xml:space="preserve">open-access article that was </w:t>
      </w:r>
      <w:r w:rsidRPr="00573E67">
        <w:rPr>
          <w:rFonts w:ascii="Book Antiqua" w:eastAsia="宋体" w:hAnsi="Book Antiqua"/>
          <w:lang w:val="en-US" w:eastAsia="zh-CN"/>
        </w:rPr>
        <w:t xml:space="preserve">selected by an in-house editor and fully peer-reviewed by external reviewers. It is </w:t>
      </w:r>
      <w:r w:rsidRPr="00573E67">
        <w:rPr>
          <w:rFonts w:ascii="Book Antiqua" w:eastAsia="宋体" w:hAnsi="Book Antiqua" w:cs="宋体"/>
          <w:lang w:val="en-US" w:eastAsia="zh-CN"/>
        </w:rPr>
        <w:t xml:space="preserve">distributed in accordance with </w:t>
      </w:r>
      <w:r w:rsidRPr="00573E67">
        <w:rPr>
          <w:rFonts w:ascii="Book Antiqua" w:eastAsia="宋体" w:hAnsi="Book Antiqua"/>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573E67">
          <w:rPr>
            <w:rFonts w:ascii="Book Antiqua" w:eastAsia="宋体" w:hAnsi="Book Antiqua"/>
            <w:color w:val="0000FF"/>
            <w:u w:val="single"/>
            <w:lang w:val="en-US" w:eastAsia="zh-CN"/>
          </w:rPr>
          <w:t>http://creativecommons.org/licenses/by-nc/4.0/</w:t>
        </w:r>
      </w:hyperlink>
    </w:p>
    <w:p w14:paraId="7A6377DA" w14:textId="77777777" w:rsidR="00573E67" w:rsidRPr="00573E67" w:rsidRDefault="00573E67" w:rsidP="00573E67">
      <w:pPr>
        <w:snapToGrid w:val="0"/>
        <w:spacing w:line="360" w:lineRule="auto"/>
        <w:jc w:val="both"/>
        <w:rPr>
          <w:rFonts w:ascii="Book Antiqua" w:eastAsia="宋体" w:hAnsi="Book Antiqua"/>
          <w:lang w:val="en-US" w:eastAsia="zh-CN"/>
        </w:rPr>
      </w:pPr>
    </w:p>
    <w:p w14:paraId="6F908D27" w14:textId="05F0C62B" w:rsidR="006E1CE7" w:rsidRPr="002D3D23" w:rsidRDefault="00573E67" w:rsidP="002D3D23">
      <w:pPr>
        <w:adjustRightInd w:val="0"/>
        <w:snapToGrid w:val="0"/>
        <w:spacing w:line="360" w:lineRule="auto"/>
        <w:jc w:val="both"/>
        <w:rPr>
          <w:rFonts w:ascii="Book Antiqua" w:hAnsi="Book Antiqua" w:cs="Arial"/>
          <w:b/>
          <w:color w:val="000000" w:themeColor="text1"/>
          <w:lang w:val="en-US"/>
        </w:rPr>
      </w:pPr>
      <w:bookmarkStart w:id="67" w:name="OLE_LINK11"/>
      <w:r w:rsidRPr="00573E67">
        <w:rPr>
          <w:rFonts w:ascii="Book Antiqua" w:eastAsia="宋体" w:hAnsi="Book Antiqua"/>
          <w:b/>
          <w:bCs/>
          <w:highlight w:val="white"/>
          <w:lang w:val="en-US" w:eastAsia="zh-CN"/>
        </w:rPr>
        <w:t>Manuscript source:</w:t>
      </w:r>
      <w:r w:rsidRPr="00573E67">
        <w:rPr>
          <w:rFonts w:ascii="Book Antiqua" w:eastAsia="宋体" w:hAnsi="Book Antiqua" w:hint="eastAsia"/>
          <w:b/>
          <w:bCs/>
          <w:highlight w:val="white"/>
          <w:lang w:val="en-US" w:eastAsia="zh-CN"/>
        </w:rPr>
        <w:t xml:space="preserve"> </w:t>
      </w:r>
      <w:r>
        <w:rPr>
          <w:rFonts w:ascii="Book Antiqua" w:eastAsia="宋体" w:hAnsi="Book Antiqua"/>
          <w:bCs/>
          <w:highlight w:val="white"/>
          <w:lang w:val="en-US" w:eastAsia="zh-CN"/>
        </w:rPr>
        <w:t>Inv</w:t>
      </w:r>
      <w:r w:rsidRPr="00573E67">
        <w:rPr>
          <w:rFonts w:ascii="Book Antiqua" w:eastAsia="宋体" w:hAnsi="Book Antiqua"/>
          <w:bCs/>
          <w:highlight w:val="white"/>
          <w:lang w:val="en-US" w:eastAsia="zh-CN"/>
        </w:rPr>
        <w:t>ited manuscript</w:t>
      </w:r>
      <w:bookmarkEnd w:id="59"/>
      <w:bookmarkEnd w:id="60"/>
      <w:bookmarkEnd w:id="61"/>
      <w:bookmarkEnd w:id="62"/>
      <w:bookmarkEnd w:id="63"/>
      <w:bookmarkEnd w:id="64"/>
      <w:bookmarkEnd w:id="65"/>
      <w:bookmarkEnd w:id="66"/>
      <w:bookmarkEnd w:id="67"/>
    </w:p>
    <w:p w14:paraId="2B0CD262" w14:textId="412059EB" w:rsidR="00EC15B0" w:rsidRPr="002D3D23" w:rsidRDefault="00EC15B0" w:rsidP="002D3D23">
      <w:pPr>
        <w:pStyle w:val="1"/>
        <w:adjustRightInd w:val="0"/>
        <w:snapToGrid w:val="0"/>
        <w:spacing w:line="360" w:lineRule="auto"/>
        <w:jc w:val="both"/>
        <w:rPr>
          <w:rFonts w:ascii="Book Antiqua" w:hAnsi="Book Antiqua" w:cs="Times New Roman"/>
          <w:b/>
          <w:bCs/>
          <w:color w:val="000000" w:themeColor="text1"/>
          <w:sz w:val="24"/>
          <w:szCs w:val="24"/>
          <w:highlight w:val="white"/>
          <w:lang w:val="en-US" w:eastAsia="zh-CN"/>
        </w:rPr>
      </w:pPr>
      <w:bookmarkStart w:id="68" w:name="OLE_LINK516"/>
      <w:bookmarkStart w:id="69" w:name="OLE_LINK522"/>
      <w:bookmarkStart w:id="70" w:name="OLE_LINK651"/>
      <w:bookmarkStart w:id="71" w:name="OLE_LINK652"/>
      <w:bookmarkStart w:id="72" w:name="OLE_LINK204"/>
      <w:bookmarkStart w:id="73" w:name="OLE_LINK71"/>
      <w:bookmarkStart w:id="74" w:name="OLE_LINK336"/>
      <w:bookmarkStart w:id="75" w:name="OLE_LINK551"/>
    </w:p>
    <w:p w14:paraId="25EFB253" w14:textId="67F11D5C" w:rsidR="00EC15B0" w:rsidRPr="001829E6" w:rsidRDefault="00EC15B0" w:rsidP="002D3D23">
      <w:pPr>
        <w:adjustRightInd w:val="0"/>
        <w:snapToGrid w:val="0"/>
        <w:spacing w:line="360" w:lineRule="auto"/>
        <w:jc w:val="both"/>
        <w:rPr>
          <w:rFonts w:ascii="Book Antiqua" w:hAnsi="Book Antiqua"/>
          <w:color w:val="000000" w:themeColor="text1"/>
          <w:lang w:val="en-US"/>
        </w:rPr>
      </w:pPr>
      <w:bookmarkStart w:id="76" w:name="OLE_LINK501"/>
      <w:bookmarkStart w:id="77" w:name="OLE_LINK343"/>
      <w:bookmarkStart w:id="78" w:name="OLE_LINK344"/>
      <w:bookmarkEnd w:id="68"/>
      <w:bookmarkEnd w:id="69"/>
      <w:r w:rsidRPr="002D3D23">
        <w:rPr>
          <w:rFonts w:ascii="Book Antiqua" w:hAnsi="Book Antiqua"/>
          <w:b/>
          <w:bCs/>
          <w:color w:val="000000" w:themeColor="text1"/>
          <w:highlight w:val="white"/>
          <w:lang w:val="en-US"/>
        </w:rPr>
        <w:t>Corresponding author:</w:t>
      </w:r>
      <w:bookmarkEnd w:id="76"/>
      <w:r w:rsidR="000E7CA8" w:rsidRPr="002D3D23">
        <w:rPr>
          <w:rFonts w:ascii="Book Antiqua" w:hAnsi="Book Antiqua"/>
          <w:b/>
          <w:bCs/>
          <w:color w:val="000000" w:themeColor="text1"/>
          <w:lang w:val="en-US"/>
        </w:rPr>
        <w:t xml:space="preserve"> John J McGoran, </w:t>
      </w:r>
      <w:r w:rsidR="001829E6" w:rsidRPr="001829E6">
        <w:rPr>
          <w:rFonts w:ascii="Book Antiqua" w:hAnsi="Book Antiqua"/>
          <w:b/>
          <w:bCs/>
          <w:color w:val="000000" w:themeColor="text1"/>
          <w:lang w:val="en-US"/>
        </w:rPr>
        <w:t>BM BCh,</w:t>
      </w:r>
      <w:r w:rsidR="001829E6">
        <w:rPr>
          <w:rFonts w:ascii="Book Antiqua" w:hAnsi="Book Antiqua"/>
          <w:b/>
          <w:bCs/>
          <w:color w:val="000000" w:themeColor="text1"/>
          <w:lang w:val="en-US"/>
        </w:rPr>
        <w:t xml:space="preserve"> </w:t>
      </w:r>
      <w:r w:rsidR="001829E6" w:rsidRPr="001829E6">
        <w:rPr>
          <w:rFonts w:ascii="Book Antiqua" w:hAnsi="Book Antiqua"/>
          <w:b/>
          <w:bCs/>
          <w:color w:val="000000" w:themeColor="text1"/>
          <w:lang w:val="en-US"/>
        </w:rPr>
        <w:t>MRCP,</w:t>
      </w:r>
      <w:r w:rsidR="001829E6">
        <w:rPr>
          <w:rFonts w:ascii="Book Antiqua" w:hAnsi="Book Antiqua"/>
          <w:b/>
          <w:bCs/>
          <w:color w:val="000000" w:themeColor="text1"/>
          <w:lang w:val="en-US"/>
        </w:rPr>
        <w:t xml:space="preserve"> </w:t>
      </w:r>
      <w:r w:rsidR="001829E6" w:rsidRPr="001829E6">
        <w:rPr>
          <w:rFonts w:ascii="Book Antiqua" w:hAnsi="Book Antiqua"/>
          <w:b/>
          <w:bCs/>
          <w:color w:val="000000" w:themeColor="text1"/>
          <w:lang w:val="en-US"/>
        </w:rPr>
        <w:t>MSc</w:t>
      </w:r>
      <w:r w:rsidR="001829E6">
        <w:rPr>
          <w:rFonts w:ascii="Book Antiqua" w:hAnsi="Book Antiqua"/>
          <w:b/>
          <w:bCs/>
          <w:color w:val="000000" w:themeColor="text1"/>
          <w:lang w:val="en-US"/>
        </w:rPr>
        <w:t xml:space="preserve">, </w:t>
      </w:r>
      <w:r w:rsidR="001829E6" w:rsidRPr="001829E6">
        <w:rPr>
          <w:rFonts w:ascii="Book Antiqua" w:hAnsi="Book Antiqua"/>
          <w:b/>
          <w:bCs/>
          <w:color w:val="000000" w:themeColor="text1"/>
          <w:lang w:val="en-US"/>
        </w:rPr>
        <w:t>Doctor,</w:t>
      </w:r>
      <w:r w:rsidR="001829E6">
        <w:rPr>
          <w:rFonts w:ascii="Book Antiqua" w:hAnsi="Book Antiqua"/>
          <w:b/>
          <w:bCs/>
          <w:color w:val="000000" w:themeColor="text1"/>
          <w:lang w:val="en-US"/>
        </w:rPr>
        <w:t xml:space="preserve"> </w:t>
      </w:r>
      <w:r w:rsidR="001829E6" w:rsidRPr="001829E6">
        <w:rPr>
          <w:rFonts w:ascii="Book Antiqua" w:hAnsi="Book Antiqua"/>
          <w:b/>
          <w:bCs/>
          <w:color w:val="000000" w:themeColor="text1"/>
          <w:lang w:val="en-US"/>
        </w:rPr>
        <w:t>Research Fellow</w:t>
      </w:r>
      <w:r w:rsidR="001829E6">
        <w:rPr>
          <w:rFonts w:ascii="Book Antiqua" w:hAnsi="Book Antiqua"/>
          <w:b/>
          <w:bCs/>
          <w:color w:val="000000" w:themeColor="text1"/>
          <w:lang w:val="en-US"/>
        </w:rPr>
        <w:t xml:space="preserve">, </w:t>
      </w:r>
      <w:r w:rsidR="00850BCC" w:rsidRPr="002D3D23">
        <w:rPr>
          <w:rFonts w:ascii="Book Antiqua" w:hAnsi="Book Antiqua"/>
          <w:color w:val="000000" w:themeColor="text1"/>
          <w:lang w:val="en-US"/>
        </w:rPr>
        <w:t xml:space="preserve">Digestive Diseases Centre, Leicester Royal Infirmary, </w:t>
      </w:r>
      <w:r w:rsidR="00850BCC" w:rsidRPr="00850BCC">
        <w:rPr>
          <w:rFonts w:ascii="Book Antiqua" w:hAnsi="Book Antiqua"/>
          <w:color w:val="000000" w:themeColor="text1"/>
          <w:lang w:val="en-US"/>
        </w:rPr>
        <w:t>Infirmary Square</w:t>
      </w:r>
      <w:r w:rsidR="00850BCC">
        <w:rPr>
          <w:rFonts w:ascii="Book Antiqua" w:hAnsi="Book Antiqua"/>
          <w:color w:val="000000" w:themeColor="text1"/>
          <w:lang w:val="en-US"/>
        </w:rPr>
        <w:t>,</w:t>
      </w:r>
      <w:r w:rsidR="00850BCC" w:rsidRPr="00850BCC">
        <w:rPr>
          <w:rFonts w:ascii="Book Antiqua" w:hAnsi="Book Antiqua"/>
          <w:color w:val="000000" w:themeColor="text1"/>
          <w:lang w:val="en-US"/>
        </w:rPr>
        <w:t xml:space="preserve"> </w:t>
      </w:r>
      <w:r w:rsidR="00850BCC" w:rsidRPr="002D3D23">
        <w:rPr>
          <w:rFonts w:ascii="Book Antiqua" w:hAnsi="Book Antiqua"/>
          <w:color w:val="000000" w:themeColor="text1"/>
          <w:lang w:val="en-US"/>
        </w:rPr>
        <w:t>Leicester LE1 5WW, United Kingdom</w:t>
      </w:r>
      <w:r w:rsidR="00850BCC">
        <w:rPr>
          <w:rFonts w:ascii="Book Antiqua" w:hAnsi="Book Antiqua"/>
          <w:color w:val="000000" w:themeColor="text1"/>
          <w:lang w:val="en-US"/>
        </w:rPr>
        <w:t xml:space="preserve">. </w:t>
      </w:r>
      <w:r w:rsidR="006809D2" w:rsidRPr="006809D2">
        <w:rPr>
          <w:rFonts w:ascii="Book Antiqua" w:hAnsi="Book Antiqua"/>
          <w:color w:val="000000" w:themeColor="text1"/>
          <w:lang w:val="en-US"/>
        </w:rPr>
        <w:t>jmcgoran01@qub.ac.uk</w:t>
      </w:r>
    </w:p>
    <w:p w14:paraId="64216BB9" w14:textId="4DE58F30" w:rsidR="00EC15B0" w:rsidRPr="002D3D23" w:rsidRDefault="00EC15B0" w:rsidP="002D3D23">
      <w:pPr>
        <w:adjustRightInd w:val="0"/>
        <w:snapToGrid w:val="0"/>
        <w:spacing w:line="360" w:lineRule="auto"/>
        <w:jc w:val="both"/>
        <w:rPr>
          <w:rFonts w:ascii="Book Antiqua" w:hAnsi="Book Antiqua"/>
          <w:b/>
          <w:color w:val="000000" w:themeColor="text1"/>
          <w:lang w:val="en-US"/>
        </w:rPr>
      </w:pPr>
      <w:bookmarkStart w:id="79" w:name="OLE_LINK1091"/>
      <w:bookmarkStart w:id="80" w:name="OLE_LINK1092"/>
      <w:bookmarkStart w:id="81" w:name="OLE_LINK389"/>
      <w:bookmarkStart w:id="82" w:name="OLE_LINK406"/>
      <w:bookmarkStart w:id="83" w:name="OLE_LINK658"/>
      <w:bookmarkStart w:id="84" w:name="OLE_LINK904"/>
      <w:bookmarkStart w:id="85" w:name="OLE_LINK1009"/>
      <w:bookmarkStart w:id="86" w:name="OLE_LINK1027"/>
      <w:bookmarkStart w:id="87" w:name="OLE_LINK90"/>
      <w:bookmarkStart w:id="88" w:name="OLE_LINK523"/>
      <w:bookmarkEnd w:id="70"/>
      <w:bookmarkEnd w:id="71"/>
      <w:bookmarkEnd w:id="77"/>
      <w:bookmarkEnd w:id="78"/>
      <w:r w:rsidRPr="002D3D23">
        <w:rPr>
          <w:rFonts w:ascii="Book Antiqua" w:hAnsi="Book Antiqua"/>
          <w:b/>
          <w:color w:val="000000" w:themeColor="text1"/>
          <w:lang w:val="en-US"/>
        </w:rPr>
        <w:lastRenderedPageBreak/>
        <w:t xml:space="preserve">Telephone: </w:t>
      </w:r>
      <w:r w:rsidR="006809D2">
        <w:rPr>
          <w:rFonts w:ascii="Book Antiqua" w:hAnsi="Book Antiqua" w:cs="Arial"/>
          <w:color w:val="000000" w:themeColor="text1"/>
          <w:shd w:val="clear" w:color="auto" w:fill="FFFFFF"/>
          <w:lang w:val="en-US"/>
        </w:rPr>
        <w:t>+44-</w:t>
      </w:r>
      <w:r w:rsidR="000E7CA8" w:rsidRPr="002D3D23">
        <w:rPr>
          <w:rFonts w:ascii="Book Antiqua" w:hAnsi="Book Antiqua" w:cs="Arial"/>
          <w:color w:val="000000" w:themeColor="text1"/>
          <w:shd w:val="clear" w:color="auto" w:fill="FFFFFF"/>
          <w:lang w:val="en-US"/>
        </w:rPr>
        <w:t>300</w:t>
      </w:r>
      <w:r w:rsidR="006809D2">
        <w:rPr>
          <w:rFonts w:ascii="Book Antiqua" w:hAnsi="Book Antiqua" w:cs="Arial"/>
          <w:color w:val="000000" w:themeColor="text1"/>
          <w:shd w:val="clear" w:color="auto" w:fill="FFFFFF"/>
          <w:lang w:val="en-US"/>
        </w:rPr>
        <w:t>-</w:t>
      </w:r>
      <w:r w:rsidR="000E7CA8" w:rsidRPr="002D3D23">
        <w:rPr>
          <w:rFonts w:ascii="Book Antiqua" w:hAnsi="Book Antiqua" w:cs="Arial"/>
          <w:color w:val="000000" w:themeColor="text1"/>
          <w:shd w:val="clear" w:color="auto" w:fill="FFFFFF"/>
          <w:lang w:val="en-US"/>
        </w:rPr>
        <w:t>3031573</w:t>
      </w:r>
      <w:bookmarkEnd w:id="79"/>
      <w:bookmarkEnd w:id="80"/>
    </w:p>
    <w:bookmarkEnd w:id="72"/>
    <w:bookmarkEnd w:id="73"/>
    <w:bookmarkEnd w:id="74"/>
    <w:bookmarkEnd w:id="75"/>
    <w:bookmarkEnd w:id="81"/>
    <w:bookmarkEnd w:id="82"/>
    <w:bookmarkEnd w:id="83"/>
    <w:bookmarkEnd w:id="84"/>
    <w:bookmarkEnd w:id="85"/>
    <w:bookmarkEnd w:id="86"/>
    <w:bookmarkEnd w:id="87"/>
    <w:bookmarkEnd w:id="88"/>
    <w:p w14:paraId="1007B19C" w14:textId="7AB30B3C" w:rsidR="006E1CE7" w:rsidRDefault="006E1CE7" w:rsidP="002D3D23">
      <w:pPr>
        <w:adjustRightInd w:val="0"/>
        <w:snapToGrid w:val="0"/>
        <w:spacing w:line="360" w:lineRule="auto"/>
        <w:jc w:val="both"/>
        <w:rPr>
          <w:rFonts w:ascii="Book Antiqua" w:hAnsi="Book Antiqua" w:cs="Arial"/>
          <w:b/>
          <w:color w:val="000000" w:themeColor="text1"/>
          <w:lang w:val="en-US" w:eastAsia="zh-CN"/>
        </w:rPr>
      </w:pPr>
    </w:p>
    <w:p w14:paraId="0A83CD3B" w14:textId="18BC3467" w:rsidR="001B447E" w:rsidRPr="001B447E" w:rsidRDefault="001B447E" w:rsidP="001B447E">
      <w:pPr>
        <w:adjustRightInd w:val="0"/>
        <w:snapToGrid w:val="0"/>
        <w:spacing w:line="360" w:lineRule="auto"/>
        <w:jc w:val="both"/>
        <w:rPr>
          <w:rFonts w:ascii="Book Antiqua" w:eastAsia="宋体" w:hAnsi="Book Antiqua"/>
          <w:b/>
          <w:lang w:val="en-US" w:eastAsia="zh-CN"/>
        </w:rPr>
      </w:pPr>
      <w:bookmarkStart w:id="89" w:name="OLE_LINK14"/>
      <w:bookmarkStart w:id="90" w:name="OLE_LINK16"/>
      <w:bookmarkStart w:id="91" w:name="OLE_LINK51"/>
      <w:bookmarkStart w:id="92" w:name="OLE_LINK27"/>
      <w:bookmarkStart w:id="93" w:name="OLE_LINK382"/>
      <w:bookmarkStart w:id="94" w:name="OLE_LINK30"/>
      <w:bookmarkStart w:id="95" w:name="OLE_LINK376"/>
      <w:bookmarkStart w:id="96" w:name="OLE_LINK35"/>
      <w:bookmarkStart w:id="97" w:name="OLE_LINK64"/>
      <w:bookmarkStart w:id="98" w:name="OLE_LINK616"/>
      <w:r w:rsidRPr="001B447E">
        <w:rPr>
          <w:rFonts w:ascii="Book Antiqua" w:eastAsia="宋体" w:hAnsi="Book Antiqua"/>
          <w:b/>
          <w:lang w:val="en-US" w:eastAsia="zh-CN"/>
        </w:rPr>
        <w:t xml:space="preserve">Received: </w:t>
      </w:r>
      <w:r w:rsidRPr="001B447E">
        <w:rPr>
          <w:rFonts w:ascii="Book Antiqua" w:eastAsia="宋体" w:hAnsi="Book Antiqua"/>
          <w:lang w:val="en-US" w:eastAsia="zh-CN"/>
        </w:rPr>
        <w:t>Ma</w:t>
      </w:r>
      <w:r w:rsidR="00B57585">
        <w:rPr>
          <w:rFonts w:ascii="Book Antiqua" w:eastAsia="宋体" w:hAnsi="Book Antiqua" w:hint="eastAsia"/>
          <w:lang w:val="en-US" w:eastAsia="zh-CN"/>
        </w:rPr>
        <w:t>rch</w:t>
      </w:r>
      <w:r w:rsidRPr="001B447E">
        <w:rPr>
          <w:rFonts w:ascii="Book Antiqua" w:eastAsia="DengXian" w:hAnsi="Book Antiqua"/>
          <w:lang w:val="en-US" w:eastAsia="zh-CN"/>
        </w:rPr>
        <w:t xml:space="preserve"> </w:t>
      </w:r>
      <w:r w:rsidR="00B57585">
        <w:rPr>
          <w:rFonts w:ascii="Book Antiqua" w:eastAsia="DengXian" w:hAnsi="Book Antiqua"/>
          <w:lang w:val="en-US" w:eastAsia="zh-CN"/>
        </w:rPr>
        <w:t>21</w:t>
      </w:r>
      <w:r w:rsidRPr="001B447E">
        <w:rPr>
          <w:rFonts w:ascii="Book Antiqua" w:eastAsia="DengXian" w:hAnsi="Book Antiqua"/>
          <w:lang w:val="en-US" w:eastAsia="zh-CN"/>
        </w:rPr>
        <w:t>, 2019</w:t>
      </w:r>
    </w:p>
    <w:p w14:paraId="7D65076D" w14:textId="6D7C6A7C" w:rsidR="001B447E" w:rsidRPr="001B447E" w:rsidRDefault="001B447E" w:rsidP="001B447E">
      <w:pPr>
        <w:adjustRightInd w:val="0"/>
        <w:snapToGrid w:val="0"/>
        <w:spacing w:line="360" w:lineRule="auto"/>
        <w:jc w:val="both"/>
        <w:rPr>
          <w:rFonts w:ascii="Book Antiqua" w:eastAsia="DengXian" w:hAnsi="Book Antiqua"/>
          <w:b/>
          <w:lang w:val="en-US" w:eastAsia="zh-CN"/>
        </w:rPr>
      </w:pPr>
      <w:r w:rsidRPr="001B447E">
        <w:rPr>
          <w:rFonts w:ascii="Book Antiqua" w:eastAsia="宋体" w:hAnsi="Book Antiqua"/>
          <w:b/>
          <w:lang w:val="en-US" w:eastAsia="zh-CN"/>
        </w:rPr>
        <w:t>Peer-review started:</w:t>
      </w:r>
      <w:r w:rsidRPr="001B447E">
        <w:rPr>
          <w:rFonts w:ascii="Book Antiqua" w:eastAsia="DengXian" w:hAnsi="Book Antiqua"/>
          <w:b/>
          <w:lang w:val="en-US" w:eastAsia="zh-CN"/>
        </w:rPr>
        <w:t xml:space="preserve"> </w:t>
      </w:r>
      <w:r w:rsidR="00B57585" w:rsidRPr="001B447E">
        <w:rPr>
          <w:rFonts w:ascii="Book Antiqua" w:eastAsia="宋体" w:hAnsi="Book Antiqua"/>
          <w:lang w:val="en-US" w:eastAsia="zh-CN"/>
        </w:rPr>
        <w:t>Ma</w:t>
      </w:r>
      <w:r w:rsidR="00B57585">
        <w:rPr>
          <w:rFonts w:ascii="Book Antiqua" w:eastAsia="宋体" w:hAnsi="Book Antiqua" w:hint="eastAsia"/>
          <w:lang w:val="en-US" w:eastAsia="zh-CN"/>
        </w:rPr>
        <w:t>rch</w:t>
      </w:r>
      <w:r w:rsidR="00B57585" w:rsidRPr="001B447E">
        <w:rPr>
          <w:rFonts w:ascii="Book Antiqua" w:eastAsia="DengXian" w:hAnsi="Book Antiqua"/>
          <w:lang w:val="en-US" w:eastAsia="zh-CN"/>
        </w:rPr>
        <w:t xml:space="preserve"> </w:t>
      </w:r>
      <w:r w:rsidR="00B57585">
        <w:rPr>
          <w:rFonts w:ascii="Book Antiqua" w:eastAsia="DengXian" w:hAnsi="Book Antiqua"/>
          <w:lang w:val="en-US" w:eastAsia="zh-CN"/>
        </w:rPr>
        <w:t>21</w:t>
      </w:r>
      <w:r w:rsidR="00B57585" w:rsidRPr="001B447E">
        <w:rPr>
          <w:rFonts w:ascii="Book Antiqua" w:eastAsia="DengXian" w:hAnsi="Book Antiqua"/>
          <w:lang w:val="en-US" w:eastAsia="zh-CN"/>
        </w:rPr>
        <w:t>, 2019</w:t>
      </w:r>
    </w:p>
    <w:p w14:paraId="27DAED3D" w14:textId="243C8A06" w:rsidR="001B447E" w:rsidRPr="001B447E" w:rsidRDefault="001B447E" w:rsidP="001B447E">
      <w:pPr>
        <w:adjustRightInd w:val="0"/>
        <w:snapToGrid w:val="0"/>
        <w:spacing w:line="360" w:lineRule="auto"/>
        <w:jc w:val="both"/>
        <w:rPr>
          <w:rFonts w:ascii="Book Antiqua" w:eastAsia="DengXian" w:hAnsi="Book Antiqua"/>
          <w:b/>
          <w:lang w:val="en-US" w:eastAsia="zh-CN"/>
        </w:rPr>
      </w:pPr>
      <w:r w:rsidRPr="001B447E">
        <w:rPr>
          <w:rFonts w:ascii="Book Antiqua" w:eastAsia="宋体" w:hAnsi="Book Antiqua"/>
          <w:b/>
          <w:lang w:val="en-US" w:eastAsia="zh-CN"/>
        </w:rPr>
        <w:t>First decision:</w:t>
      </w:r>
      <w:r w:rsidRPr="001B447E">
        <w:rPr>
          <w:rFonts w:ascii="Book Antiqua" w:eastAsia="DengXian" w:hAnsi="Book Antiqua"/>
          <w:b/>
          <w:lang w:val="en-US" w:eastAsia="zh-CN"/>
        </w:rPr>
        <w:t xml:space="preserve"> </w:t>
      </w:r>
      <w:r w:rsidRPr="001B447E">
        <w:rPr>
          <w:rFonts w:ascii="Book Antiqua" w:eastAsia="宋体" w:hAnsi="Book Antiqua"/>
          <w:lang w:val="en-US" w:eastAsia="zh-CN"/>
        </w:rPr>
        <w:t>May</w:t>
      </w:r>
      <w:r w:rsidRPr="001B447E">
        <w:rPr>
          <w:rFonts w:ascii="Book Antiqua" w:eastAsia="DengXian" w:hAnsi="Book Antiqua"/>
          <w:lang w:val="en-US" w:eastAsia="zh-CN"/>
        </w:rPr>
        <w:t xml:space="preserve"> </w:t>
      </w:r>
      <w:r w:rsidR="00B57585">
        <w:rPr>
          <w:rFonts w:ascii="Book Antiqua" w:eastAsia="DengXian" w:hAnsi="Book Antiqua"/>
          <w:lang w:val="en-US" w:eastAsia="zh-CN"/>
        </w:rPr>
        <w:t>24</w:t>
      </w:r>
      <w:r w:rsidRPr="001B447E">
        <w:rPr>
          <w:rFonts w:ascii="Book Antiqua" w:eastAsia="DengXian" w:hAnsi="Book Antiqua"/>
          <w:lang w:val="en-US" w:eastAsia="zh-CN"/>
        </w:rPr>
        <w:t>, 2019</w:t>
      </w:r>
    </w:p>
    <w:p w14:paraId="14CC14C1" w14:textId="411866B1" w:rsidR="001B447E" w:rsidRPr="001B447E" w:rsidRDefault="001B447E" w:rsidP="001B447E">
      <w:pPr>
        <w:adjustRightInd w:val="0"/>
        <w:snapToGrid w:val="0"/>
        <w:spacing w:line="360" w:lineRule="auto"/>
        <w:jc w:val="both"/>
        <w:rPr>
          <w:rFonts w:ascii="Book Antiqua" w:eastAsia="宋体" w:hAnsi="Book Antiqua"/>
          <w:b/>
          <w:lang w:val="en-US" w:eastAsia="zh-CN"/>
        </w:rPr>
      </w:pPr>
      <w:r w:rsidRPr="001B447E">
        <w:rPr>
          <w:rFonts w:ascii="Book Antiqua" w:eastAsia="宋体" w:hAnsi="Book Antiqua"/>
          <w:b/>
          <w:lang w:val="en-US" w:eastAsia="zh-CN"/>
        </w:rPr>
        <w:t xml:space="preserve">Revised: </w:t>
      </w:r>
      <w:r w:rsidRPr="001B447E">
        <w:rPr>
          <w:rFonts w:ascii="Book Antiqua" w:eastAsia="宋体" w:hAnsi="Book Antiqua"/>
          <w:lang w:val="en-US" w:eastAsia="zh-CN"/>
        </w:rPr>
        <w:t xml:space="preserve">June </w:t>
      </w:r>
      <w:r w:rsidR="00B57585">
        <w:rPr>
          <w:rFonts w:ascii="Book Antiqua" w:eastAsia="宋体" w:hAnsi="Book Antiqua"/>
          <w:lang w:val="en-US" w:eastAsia="zh-CN"/>
        </w:rPr>
        <w:t>22</w:t>
      </w:r>
      <w:r w:rsidRPr="001B447E">
        <w:rPr>
          <w:rFonts w:ascii="Book Antiqua" w:eastAsia="宋体" w:hAnsi="Book Antiqua"/>
          <w:lang w:val="en-US" w:eastAsia="zh-CN"/>
        </w:rPr>
        <w:t>, 2019</w:t>
      </w:r>
    </w:p>
    <w:p w14:paraId="7444F08C" w14:textId="3FED0F11" w:rsidR="001B447E" w:rsidRPr="001B447E" w:rsidRDefault="001B447E" w:rsidP="001B447E">
      <w:pPr>
        <w:adjustRightInd w:val="0"/>
        <w:snapToGrid w:val="0"/>
        <w:spacing w:line="360" w:lineRule="auto"/>
        <w:jc w:val="both"/>
        <w:rPr>
          <w:rFonts w:ascii="Book Antiqua" w:eastAsia="宋体" w:hAnsi="Book Antiqua"/>
          <w:b/>
          <w:lang w:val="en-US" w:eastAsia="zh-CN"/>
        </w:rPr>
      </w:pPr>
      <w:r w:rsidRPr="001B447E">
        <w:rPr>
          <w:rFonts w:ascii="Book Antiqua" w:eastAsia="宋体" w:hAnsi="Book Antiqua"/>
          <w:b/>
          <w:lang w:val="en-US" w:eastAsia="zh-CN"/>
        </w:rPr>
        <w:t>Accepted:</w:t>
      </w:r>
      <w:r w:rsidR="00E65A4D" w:rsidRPr="00E65A4D">
        <w:t xml:space="preserve"> </w:t>
      </w:r>
      <w:r w:rsidR="00E65A4D" w:rsidRPr="00E65A4D">
        <w:rPr>
          <w:rFonts w:ascii="Book Antiqua" w:eastAsia="宋体" w:hAnsi="Book Antiqua"/>
          <w:bCs/>
          <w:lang w:val="en-US" w:eastAsia="zh-CN"/>
        </w:rPr>
        <w:t>July 1, 2019</w:t>
      </w:r>
      <w:r w:rsidRPr="001B447E">
        <w:rPr>
          <w:rFonts w:ascii="Book Antiqua" w:eastAsia="宋体" w:hAnsi="Book Antiqua"/>
          <w:b/>
          <w:lang w:val="en-US" w:eastAsia="zh-CN"/>
        </w:rPr>
        <w:t xml:space="preserve"> </w:t>
      </w:r>
    </w:p>
    <w:p w14:paraId="13CD3328" w14:textId="54FB9086" w:rsidR="001B447E" w:rsidRPr="001B447E" w:rsidRDefault="001B447E" w:rsidP="001B447E">
      <w:pPr>
        <w:adjustRightInd w:val="0"/>
        <w:snapToGrid w:val="0"/>
        <w:spacing w:line="360" w:lineRule="auto"/>
        <w:jc w:val="both"/>
        <w:rPr>
          <w:rFonts w:ascii="Book Antiqua" w:eastAsia="宋体" w:hAnsi="Book Antiqua"/>
          <w:b/>
          <w:lang w:val="en-US" w:eastAsia="zh-CN"/>
        </w:rPr>
      </w:pPr>
      <w:r w:rsidRPr="001B447E">
        <w:rPr>
          <w:rFonts w:ascii="Book Antiqua" w:eastAsia="宋体" w:hAnsi="Book Antiqua"/>
          <w:b/>
          <w:lang w:val="en-US" w:eastAsia="zh-CN"/>
        </w:rPr>
        <w:t>Article in press:</w:t>
      </w:r>
      <w:r w:rsidR="008A2434">
        <w:rPr>
          <w:rFonts w:ascii="Book Antiqua" w:eastAsia="宋体" w:hAnsi="Book Antiqua" w:hint="eastAsia"/>
          <w:b/>
          <w:lang w:val="en-US" w:eastAsia="zh-CN"/>
        </w:rPr>
        <w:t xml:space="preserve"> </w:t>
      </w:r>
      <w:r w:rsidR="008A2434" w:rsidRPr="008A2434">
        <w:rPr>
          <w:rFonts w:ascii="Book Antiqua" w:eastAsia="宋体" w:hAnsi="Book Antiqua"/>
          <w:lang w:val="en-US" w:eastAsia="zh-CN"/>
        </w:rPr>
        <w:t>July 3, 2019</w:t>
      </w:r>
    </w:p>
    <w:p w14:paraId="42304898" w14:textId="39415557" w:rsidR="001B447E" w:rsidRPr="001B447E" w:rsidRDefault="001B447E" w:rsidP="001B447E">
      <w:pPr>
        <w:snapToGrid w:val="0"/>
        <w:spacing w:line="360" w:lineRule="auto"/>
        <w:jc w:val="both"/>
        <w:rPr>
          <w:rFonts w:ascii="Book Antiqua" w:eastAsia="宋体" w:hAnsi="Book Antiqua"/>
          <w:color w:val="000000"/>
          <w:lang w:val="en-US" w:eastAsia="zh-CN"/>
        </w:rPr>
      </w:pPr>
      <w:r w:rsidRPr="001B447E">
        <w:rPr>
          <w:rFonts w:ascii="Book Antiqua" w:eastAsia="宋体" w:hAnsi="Book Antiqua"/>
          <w:b/>
          <w:lang w:val="en-US" w:eastAsia="zh-CN"/>
        </w:rPr>
        <w:t>Published online:</w:t>
      </w:r>
      <w:bookmarkEnd w:id="89"/>
      <w:bookmarkEnd w:id="90"/>
      <w:bookmarkEnd w:id="91"/>
      <w:bookmarkEnd w:id="92"/>
      <w:bookmarkEnd w:id="93"/>
      <w:r w:rsidR="008A2434">
        <w:rPr>
          <w:rFonts w:ascii="Book Antiqua" w:eastAsia="宋体" w:hAnsi="Book Antiqua" w:hint="eastAsia"/>
          <w:b/>
          <w:lang w:val="en-US" w:eastAsia="zh-CN"/>
        </w:rPr>
        <w:t xml:space="preserve"> </w:t>
      </w:r>
      <w:r w:rsidR="008A2434" w:rsidRPr="008A2434">
        <w:rPr>
          <w:rFonts w:ascii="Book Antiqua" w:eastAsia="宋体" w:hAnsi="Book Antiqua"/>
          <w:lang w:val="en-US" w:eastAsia="zh-CN"/>
        </w:rPr>
        <w:t>August 14, 2019</w:t>
      </w:r>
    </w:p>
    <w:bookmarkEnd w:id="94"/>
    <w:bookmarkEnd w:id="95"/>
    <w:bookmarkEnd w:id="96"/>
    <w:bookmarkEnd w:id="97"/>
    <w:bookmarkEnd w:id="98"/>
    <w:p w14:paraId="07749F53" w14:textId="77777777" w:rsidR="00B57585" w:rsidRDefault="00B57585">
      <w:pPr>
        <w:rPr>
          <w:rFonts w:ascii="Book Antiqua" w:hAnsi="Book Antiqua" w:cs="Arial"/>
          <w:b/>
          <w:color w:val="000000" w:themeColor="text1"/>
          <w:lang w:val="en-US" w:eastAsia="zh-CN"/>
        </w:rPr>
      </w:pPr>
      <w:r>
        <w:rPr>
          <w:rFonts w:ascii="Book Antiqua" w:hAnsi="Book Antiqua" w:cs="Arial"/>
          <w:b/>
          <w:color w:val="000000" w:themeColor="text1"/>
          <w:lang w:val="en-US" w:eastAsia="zh-CN"/>
        </w:rPr>
        <w:br w:type="page"/>
      </w:r>
    </w:p>
    <w:p w14:paraId="728051A3" w14:textId="079F5B0C" w:rsidR="005D1C6B" w:rsidRPr="002D3D23" w:rsidRDefault="00734075" w:rsidP="002D3D23">
      <w:pPr>
        <w:adjustRightInd w:val="0"/>
        <w:snapToGrid w:val="0"/>
        <w:spacing w:line="360" w:lineRule="auto"/>
        <w:jc w:val="both"/>
        <w:rPr>
          <w:rFonts w:ascii="Book Antiqua" w:hAnsi="Book Antiqua" w:cs="Arial"/>
          <w:b/>
          <w:color w:val="000000" w:themeColor="text1"/>
          <w:lang w:val="en-US"/>
        </w:rPr>
      </w:pPr>
      <w:r w:rsidRPr="002D3D23">
        <w:rPr>
          <w:rFonts w:ascii="Book Antiqua" w:hAnsi="Book Antiqua" w:cs="Arial"/>
          <w:b/>
          <w:color w:val="000000" w:themeColor="text1"/>
          <w:lang w:val="en-US"/>
        </w:rPr>
        <w:lastRenderedPageBreak/>
        <w:t>Abstract</w:t>
      </w:r>
    </w:p>
    <w:p w14:paraId="5BC871B9" w14:textId="621686BE" w:rsidR="00734075" w:rsidRPr="002D3D23" w:rsidRDefault="00734075"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Since its original application, gastrointestinal (GI) endoscopy has undergone many innovative transformations aimed at </w:t>
      </w:r>
      <w:r w:rsidR="00012B34" w:rsidRPr="002D3D23">
        <w:rPr>
          <w:rFonts w:ascii="Book Antiqua" w:hAnsi="Book Antiqua" w:cs="Arial"/>
          <w:color w:val="000000" w:themeColor="text1"/>
          <w:lang w:val="en-US"/>
        </w:rPr>
        <w:t xml:space="preserve">expanding the scope, safety, accuracy, acceptability and cost-effectiveness of this area of clinical practice. One method </w:t>
      </w:r>
      <w:r w:rsidR="007E7245" w:rsidRPr="002D3D23">
        <w:rPr>
          <w:rFonts w:ascii="Book Antiqua" w:hAnsi="Book Antiqua" w:cs="Arial"/>
          <w:color w:val="000000" w:themeColor="text1"/>
          <w:lang w:val="en-US"/>
        </w:rPr>
        <w:t>of</w:t>
      </w:r>
      <w:r w:rsidR="00012B34" w:rsidRPr="002D3D23">
        <w:rPr>
          <w:rFonts w:ascii="Book Antiqua" w:hAnsi="Book Antiqua" w:cs="Arial"/>
          <w:color w:val="000000" w:themeColor="text1"/>
          <w:lang w:val="en-US"/>
        </w:rPr>
        <w:t xml:space="preserve"> achieving this has been to reduce the caliber of endoscopic devices</w:t>
      </w:r>
      <w:r w:rsidR="00316111" w:rsidRPr="002D3D23">
        <w:rPr>
          <w:rFonts w:ascii="Book Antiqua" w:hAnsi="Book Antiqua" w:cs="Arial"/>
          <w:color w:val="000000" w:themeColor="text1"/>
          <w:lang w:val="en-US"/>
        </w:rPr>
        <w:t xml:space="preserve">. We propose the collective term </w:t>
      </w:r>
      <w:r w:rsidR="0088131B" w:rsidRPr="002D3D23">
        <w:rPr>
          <w:rFonts w:ascii="Book Antiqua" w:hAnsi="Book Antiqua" w:cs="Arial"/>
          <w:color w:val="000000" w:themeColor="text1"/>
          <w:lang w:val="en-US"/>
        </w:rPr>
        <w:t xml:space="preserve">‘Miniature </w:t>
      </w:r>
      <w:r w:rsidR="00316111" w:rsidRPr="002D3D23">
        <w:rPr>
          <w:rFonts w:ascii="Book Antiqua" w:hAnsi="Book Antiqua" w:cs="Arial"/>
          <w:color w:val="000000" w:themeColor="text1"/>
          <w:lang w:val="en-US"/>
        </w:rPr>
        <w:t xml:space="preserve">GI </w:t>
      </w:r>
      <w:r w:rsidR="0088131B" w:rsidRPr="002D3D23">
        <w:rPr>
          <w:rFonts w:ascii="Book Antiqua" w:hAnsi="Book Antiqua" w:cs="Arial"/>
          <w:color w:val="000000" w:themeColor="text1"/>
          <w:lang w:val="en-US"/>
        </w:rPr>
        <w:t>Endoscopy’</w:t>
      </w:r>
      <w:r w:rsidR="00012B34" w:rsidRPr="002D3D23">
        <w:rPr>
          <w:rFonts w:ascii="Book Antiqua" w:hAnsi="Book Antiqua" w:cs="Arial"/>
          <w:color w:val="000000" w:themeColor="text1"/>
          <w:lang w:val="en-US"/>
        </w:rPr>
        <w:t>. In this Opinion Review, the innovations in this field are explored and discussed. The progress and clinical use of the three main areas of miniature GI endoscopy (</w:t>
      </w:r>
      <w:r w:rsidR="00C81AA9" w:rsidRPr="002D3D23">
        <w:rPr>
          <w:rFonts w:ascii="Book Antiqua" w:hAnsi="Book Antiqua" w:cs="Arial"/>
          <w:color w:val="000000" w:themeColor="text1"/>
          <w:lang w:val="en-US"/>
        </w:rPr>
        <w:t xml:space="preserve">ultrathin endoscopy, wireless endoscopy and scanning fiber endoscopy) </w:t>
      </w:r>
      <w:r w:rsidR="00012B34" w:rsidRPr="002D3D23">
        <w:rPr>
          <w:rFonts w:ascii="Book Antiqua" w:hAnsi="Book Antiqua" w:cs="Arial"/>
          <w:color w:val="000000" w:themeColor="text1"/>
          <w:lang w:val="en-US"/>
        </w:rPr>
        <w:t>are described. The opportunities presented by these technologies are set out in a clinical context, as are their current limitations.</w:t>
      </w:r>
      <w:r w:rsidR="003B0CDB">
        <w:rPr>
          <w:rFonts w:ascii="Book Antiqua" w:hAnsi="Book Antiqua" w:cs="Arial"/>
          <w:color w:val="000000" w:themeColor="text1"/>
          <w:lang w:val="en-US"/>
        </w:rPr>
        <w:t xml:space="preserve"> </w:t>
      </w:r>
      <w:r w:rsidR="00012B34" w:rsidRPr="002D3D23">
        <w:rPr>
          <w:rFonts w:ascii="Book Antiqua" w:hAnsi="Book Antiqua" w:cs="Arial"/>
          <w:color w:val="000000" w:themeColor="text1"/>
          <w:lang w:val="en-US"/>
        </w:rPr>
        <w:t xml:space="preserve">Many of the positive aspects of miniature endoscopy are clear, in that smaller devices provide access to potentially all of the alimentary canal, while conferring </w:t>
      </w:r>
      <w:r w:rsidR="00730E78" w:rsidRPr="002D3D23">
        <w:rPr>
          <w:rFonts w:ascii="Book Antiqua" w:hAnsi="Book Antiqua" w:cs="Arial"/>
          <w:color w:val="000000" w:themeColor="text1"/>
          <w:lang w:val="en-US"/>
        </w:rPr>
        <w:t xml:space="preserve">high patient acceptability. This must be balanced with the costs of new technologies and </w:t>
      </w:r>
      <w:r w:rsidR="008B33DF" w:rsidRPr="002D3D23">
        <w:rPr>
          <w:rFonts w:ascii="Book Antiqua" w:hAnsi="Book Antiqua" w:cs="Arial"/>
          <w:color w:val="000000" w:themeColor="text1"/>
          <w:lang w:val="en-US"/>
        </w:rPr>
        <w:t>recognition of device specific challenges.</w:t>
      </w:r>
      <w:r w:rsidR="00012B34" w:rsidRPr="002D3D23">
        <w:rPr>
          <w:rFonts w:ascii="Book Antiqua" w:hAnsi="Book Antiqua" w:cs="Arial"/>
          <w:color w:val="000000" w:themeColor="text1"/>
          <w:lang w:val="en-US"/>
        </w:rPr>
        <w:t xml:space="preserve"> Perspectives on future application are also considered</w:t>
      </w:r>
      <w:r w:rsidR="008B33DF" w:rsidRPr="002D3D23">
        <w:rPr>
          <w:rFonts w:ascii="Book Antiqua" w:hAnsi="Book Antiqua" w:cs="Arial"/>
          <w:color w:val="000000" w:themeColor="text1"/>
          <w:lang w:val="en-US"/>
        </w:rPr>
        <w:t xml:space="preserve"> and the efforts being made to bring new innovations to a clinical platform are outlined. </w:t>
      </w:r>
      <w:r w:rsidR="003400B4" w:rsidRPr="002D3D23">
        <w:rPr>
          <w:rFonts w:ascii="Book Antiqua" w:hAnsi="Book Antiqua" w:cs="Arial"/>
          <w:color w:val="000000" w:themeColor="text1"/>
          <w:lang w:val="en-US"/>
        </w:rPr>
        <w:t xml:space="preserve">Current devices demonstrate that </w:t>
      </w:r>
      <w:r w:rsidR="008B33DF" w:rsidRPr="002D3D23">
        <w:rPr>
          <w:rFonts w:ascii="Book Antiqua" w:hAnsi="Book Antiqua" w:cs="Arial"/>
          <w:color w:val="000000" w:themeColor="text1"/>
          <w:lang w:val="en-US"/>
        </w:rPr>
        <w:t xml:space="preserve">miniature GI endoscopy </w:t>
      </w:r>
      <w:r w:rsidR="003400B4" w:rsidRPr="002D3D23">
        <w:rPr>
          <w:rFonts w:ascii="Book Antiqua" w:hAnsi="Book Antiqua" w:cs="Arial"/>
          <w:color w:val="000000" w:themeColor="text1"/>
          <w:lang w:val="en-US"/>
        </w:rPr>
        <w:t>has a valuable place in</w:t>
      </w:r>
      <w:r w:rsidR="008B33DF" w:rsidRPr="002D3D23">
        <w:rPr>
          <w:rFonts w:ascii="Book Antiqua" w:hAnsi="Book Antiqua" w:cs="Arial"/>
          <w:color w:val="000000" w:themeColor="text1"/>
          <w:lang w:val="en-US"/>
        </w:rPr>
        <w:t xml:space="preserve"> </w:t>
      </w:r>
      <w:r w:rsidR="0088131B" w:rsidRPr="002D3D23">
        <w:rPr>
          <w:rFonts w:ascii="Book Antiqua" w:hAnsi="Book Antiqua" w:cs="Arial"/>
          <w:color w:val="000000" w:themeColor="text1"/>
          <w:lang w:val="en-US"/>
        </w:rPr>
        <w:t>investigation of symptoms, therapeutic intervention and screening</w:t>
      </w:r>
      <w:r w:rsidR="003400B4" w:rsidRPr="002D3D23">
        <w:rPr>
          <w:rFonts w:ascii="Book Antiqua" w:hAnsi="Book Antiqua" w:cs="Arial"/>
          <w:color w:val="000000" w:themeColor="text1"/>
          <w:lang w:val="en-US"/>
        </w:rPr>
        <w:t>. Newer technologies give promise that the potential for enhancing</w:t>
      </w:r>
      <w:r w:rsidR="0088131B" w:rsidRPr="002D3D23">
        <w:rPr>
          <w:rFonts w:ascii="Book Antiqua" w:hAnsi="Book Antiqua" w:cs="Arial"/>
          <w:color w:val="000000" w:themeColor="text1"/>
          <w:lang w:val="en-US"/>
        </w:rPr>
        <w:t xml:space="preserve"> the investigation and</w:t>
      </w:r>
      <w:r w:rsidR="003400B4" w:rsidRPr="002D3D23">
        <w:rPr>
          <w:rFonts w:ascii="Book Antiqua" w:hAnsi="Book Antiqua" w:cs="Arial"/>
          <w:color w:val="000000" w:themeColor="text1"/>
          <w:lang w:val="en-US"/>
        </w:rPr>
        <w:t xml:space="preserve"> </w:t>
      </w:r>
      <w:r w:rsidR="0088131B" w:rsidRPr="002D3D23">
        <w:rPr>
          <w:rFonts w:ascii="Book Antiqua" w:hAnsi="Book Antiqua" w:cs="Arial"/>
          <w:color w:val="000000" w:themeColor="text1"/>
          <w:lang w:val="en-US"/>
        </w:rPr>
        <w:t>management of GI complaints</w:t>
      </w:r>
      <w:r w:rsidR="003400B4" w:rsidRPr="002D3D23">
        <w:rPr>
          <w:rFonts w:ascii="Book Antiqua" w:hAnsi="Book Antiqua" w:cs="Arial"/>
          <w:color w:val="000000" w:themeColor="text1"/>
          <w:lang w:val="en-US"/>
        </w:rPr>
        <w:t xml:space="preserve"> is significant.</w:t>
      </w:r>
    </w:p>
    <w:p w14:paraId="4D3447D4" w14:textId="69B464FB" w:rsidR="00D274DE" w:rsidRPr="002D3D23" w:rsidRDefault="00D274DE" w:rsidP="002D3D23">
      <w:pPr>
        <w:adjustRightInd w:val="0"/>
        <w:snapToGrid w:val="0"/>
        <w:spacing w:line="360" w:lineRule="auto"/>
        <w:jc w:val="both"/>
        <w:rPr>
          <w:rFonts w:ascii="Book Antiqua" w:hAnsi="Book Antiqua" w:cs="Arial"/>
          <w:color w:val="000000" w:themeColor="text1"/>
          <w:lang w:val="en-US"/>
        </w:rPr>
      </w:pPr>
    </w:p>
    <w:p w14:paraId="43AB1A50" w14:textId="64375FEC" w:rsidR="00B57585" w:rsidRPr="00C81AA9" w:rsidRDefault="00B57585" w:rsidP="00B57585">
      <w:pPr>
        <w:adjustRightInd w:val="0"/>
        <w:snapToGrid w:val="0"/>
        <w:spacing w:line="360" w:lineRule="auto"/>
        <w:jc w:val="both"/>
        <w:rPr>
          <w:rFonts w:ascii="Book Antiqua" w:hAnsi="Book Antiqua" w:cs="Arial"/>
          <w:bCs/>
          <w:color w:val="000000" w:themeColor="text1"/>
          <w:lang w:val="en-US"/>
        </w:rPr>
      </w:pPr>
      <w:r w:rsidRPr="002D3D23">
        <w:rPr>
          <w:rFonts w:ascii="Book Antiqua" w:hAnsi="Book Antiqua" w:cs="Arial"/>
          <w:b/>
          <w:color w:val="000000" w:themeColor="text1"/>
          <w:lang w:val="en-US"/>
        </w:rPr>
        <w:t>Key</w:t>
      </w:r>
      <w:r w:rsidR="00C81AA9">
        <w:rPr>
          <w:rFonts w:ascii="Book Antiqua" w:hAnsi="Book Antiqua" w:cs="Arial"/>
          <w:b/>
          <w:color w:val="000000" w:themeColor="text1"/>
          <w:lang w:val="en-US"/>
        </w:rPr>
        <w:t xml:space="preserve"> </w:t>
      </w:r>
      <w:r w:rsidRPr="002D3D23">
        <w:rPr>
          <w:rFonts w:ascii="Book Antiqua" w:hAnsi="Book Antiqua" w:cs="Arial"/>
          <w:b/>
          <w:color w:val="000000" w:themeColor="text1"/>
          <w:lang w:val="en-US"/>
        </w:rPr>
        <w:t xml:space="preserve">words: </w:t>
      </w:r>
      <w:bookmarkStart w:id="99" w:name="OLE_LINK101"/>
      <w:bookmarkStart w:id="100" w:name="OLE_LINK102"/>
      <w:r w:rsidR="00C81AA9" w:rsidRPr="00C81AA9">
        <w:rPr>
          <w:rFonts w:ascii="Book Antiqua" w:hAnsi="Book Antiqua" w:cs="Arial"/>
          <w:bCs/>
          <w:color w:val="000000" w:themeColor="text1"/>
          <w:lang w:val="en-US"/>
        </w:rPr>
        <w:t>U</w:t>
      </w:r>
      <w:r w:rsidRPr="00C81AA9">
        <w:rPr>
          <w:rFonts w:ascii="Book Antiqua" w:hAnsi="Book Antiqua" w:cs="Arial"/>
          <w:bCs/>
          <w:color w:val="000000" w:themeColor="text1"/>
          <w:lang w:val="en-US"/>
        </w:rPr>
        <w:t xml:space="preserve">ltrathin endoscopy; </w:t>
      </w:r>
      <w:r w:rsidR="00C81AA9" w:rsidRPr="00C81AA9">
        <w:rPr>
          <w:rFonts w:ascii="Book Antiqua" w:hAnsi="Book Antiqua" w:cs="Arial"/>
          <w:bCs/>
          <w:color w:val="000000" w:themeColor="text1"/>
          <w:lang w:val="en-US"/>
        </w:rPr>
        <w:t>C</w:t>
      </w:r>
      <w:r w:rsidRPr="00C81AA9">
        <w:rPr>
          <w:rFonts w:ascii="Book Antiqua" w:hAnsi="Book Antiqua" w:cs="Arial"/>
          <w:bCs/>
          <w:color w:val="000000" w:themeColor="text1"/>
          <w:lang w:val="en-US"/>
        </w:rPr>
        <w:t xml:space="preserve">apsule endoscopy; </w:t>
      </w:r>
      <w:r w:rsidR="00C81AA9" w:rsidRPr="00C81AA9">
        <w:rPr>
          <w:rFonts w:ascii="Book Antiqua" w:hAnsi="Book Antiqua" w:cs="Arial"/>
          <w:bCs/>
          <w:color w:val="000000" w:themeColor="text1"/>
          <w:lang w:val="en-US"/>
        </w:rPr>
        <w:t>S</w:t>
      </w:r>
      <w:r w:rsidRPr="00C81AA9">
        <w:rPr>
          <w:rFonts w:ascii="Book Antiqua" w:hAnsi="Book Antiqua" w:cs="Arial"/>
          <w:bCs/>
          <w:color w:val="000000" w:themeColor="text1"/>
          <w:lang w:val="en-US"/>
        </w:rPr>
        <w:t>ingle fiber endoscopy</w:t>
      </w:r>
      <w:bookmarkEnd w:id="99"/>
      <w:bookmarkEnd w:id="100"/>
    </w:p>
    <w:p w14:paraId="4892F0A3" w14:textId="708E0349" w:rsidR="00D274DE" w:rsidRDefault="00D274DE" w:rsidP="002D3D23">
      <w:pPr>
        <w:adjustRightInd w:val="0"/>
        <w:snapToGrid w:val="0"/>
        <w:spacing w:line="360" w:lineRule="auto"/>
        <w:jc w:val="both"/>
        <w:rPr>
          <w:rFonts w:ascii="Book Antiqua" w:hAnsi="Book Antiqua" w:cs="Arial"/>
          <w:color w:val="000000" w:themeColor="text1"/>
          <w:lang w:val="en-US"/>
        </w:rPr>
      </w:pPr>
    </w:p>
    <w:p w14:paraId="1320EC60" w14:textId="56AACC7E" w:rsidR="00C81AA9" w:rsidRDefault="00062F2C" w:rsidP="002D3D23">
      <w:pPr>
        <w:adjustRightInd w:val="0"/>
        <w:snapToGrid w:val="0"/>
        <w:spacing w:line="360" w:lineRule="auto"/>
        <w:jc w:val="both"/>
        <w:rPr>
          <w:rFonts w:ascii="Book Antiqua" w:eastAsia="宋体" w:hAnsi="Book Antiqua"/>
          <w:lang w:val="en-US" w:eastAsia="zh-CN"/>
        </w:rPr>
      </w:pPr>
      <w:bookmarkStart w:id="101" w:name="OLE_LINK43"/>
      <w:bookmarkStart w:id="102" w:name="OLE_LINK44"/>
      <w:bookmarkStart w:id="103" w:name="OLE_LINK67"/>
      <w:r w:rsidRPr="00062F2C">
        <w:rPr>
          <w:rFonts w:ascii="Book Antiqua" w:eastAsia="宋体" w:hAnsi="Book Antiqua"/>
          <w:b/>
          <w:lang w:val="en-US" w:eastAsia="zh-CN"/>
        </w:rPr>
        <w:t>© The Author(s) 201</w:t>
      </w:r>
      <w:r w:rsidRPr="00062F2C">
        <w:rPr>
          <w:rFonts w:ascii="Book Antiqua" w:eastAsia="宋体" w:hAnsi="Book Antiqua" w:hint="eastAsia"/>
          <w:b/>
          <w:lang w:val="en-US" w:eastAsia="zh-CN"/>
        </w:rPr>
        <w:t>9</w:t>
      </w:r>
      <w:r w:rsidRPr="00062F2C">
        <w:rPr>
          <w:rFonts w:ascii="Book Antiqua" w:eastAsia="宋体" w:hAnsi="Book Antiqua"/>
          <w:b/>
          <w:lang w:val="en-US" w:eastAsia="zh-CN"/>
        </w:rPr>
        <w:t xml:space="preserve">. </w:t>
      </w:r>
      <w:r w:rsidRPr="00062F2C">
        <w:rPr>
          <w:rFonts w:ascii="Book Antiqua" w:eastAsia="宋体" w:hAnsi="Book Antiqua"/>
          <w:lang w:val="en-US" w:eastAsia="zh-CN"/>
        </w:rPr>
        <w:t>Published by Baishideng Publishing Group Inc. All rights reserved.</w:t>
      </w:r>
      <w:bookmarkEnd w:id="101"/>
      <w:bookmarkEnd w:id="102"/>
      <w:bookmarkEnd w:id="103"/>
    </w:p>
    <w:p w14:paraId="7173E46C" w14:textId="77777777" w:rsidR="00062F2C" w:rsidRPr="002D3D23" w:rsidRDefault="00062F2C" w:rsidP="002D3D23">
      <w:pPr>
        <w:adjustRightInd w:val="0"/>
        <w:snapToGrid w:val="0"/>
        <w:spacing w:line="360" w:lineRule="auto"/>
        <w:jc w:val="both"/>
        <w:rPr>
          <w:rFonts w:ascii="Book Antiqua" w:hAnsi="Book Antiqua" w:cs="Arial"/>
          <w:color w:val="000000" w:themeColor="text1"/>
          <w:lang w:val="en-US"/>
        </w:rPr>
      </w:pPr>
    </w:p>
    <w:p w14:paraId="31B82A56" w14:textId="4142DE8F" w:rsidR="00340C00" w:rsidRPr="002D3D23" w:rsidRDefault="00EC15B0" w:rsidP="002D3D23">
      <w:pPr>
        <w:adjustRightInd w:val="0"/>
        <w:snapToGrid w:val="0"/>
        <w:spacing w:line="360" w:lineRule="auto"/>
        <w:jc w:val="both"/>
        <w:rPr>
          <w:rFonts w:ascii="Book Antiqua" w:hAnsi="Book Antiqua" w:cs="Arial"/>
          <w:color w:val="000000" w:themeColor="text1"/>
          <w:lang w:val="en-US"/>
        </w:rPr>
      </w:pPr>
      <w:bookmarkStart w:id="104" w:name="OLE_LINK1196"/>
      <w:bookmarkStart w:id="105" w:name="OLE_LINK1154"/>
      <w:bookmarkStart w:id="106" w:name="OLE_LINK1155"/>
      <w:bookmarkStart w:id="107" w:name="OLE_LINK1322"/>
      <w:bookmarkStart w:id="108" w:name="OLE_LINK1044"/>
      <w:bookmarkStart w:id="109" w:name="OLE_LINK1224"/>
      <w:bookmarkStart w:id="110" w:name="OLE_LINK1225"/>
      <w:bookmarkStart w:id="111" w:name="OLE_LINK1634"/>
      <w:bookmarkStart w:id="112" w:name="OLE_LINK1635"/>
      <w:bookmarkStart w:id="113" w:name="OLE_LINK1762"/>
      <w:bookmarkStart w:id="114" w:name="OLE_LINK1763"/>
      <w:bookmarkStart w:id="115" w:name="OLE_LINK1764"/>
      <w:bookmarkStart w:id="116" w:name="OLE_LINK1939"/>
      <w:bookmarkStart w:id="117" w:name="OLE_LINK2194"/>
      <w:bookmarkStart w:id="118" w:name="OLE_LINK2878"/>
      <w:bookmarkStart w:id="119" w:name="OLE_LINK531"/>
      <w:bookmarkStart w:id="120" w:name="OLE_LINK533"/>
      <w:bookmarkStart w:id="121" w:name="OLE_LINK711"/>
      <w:bookmarkStart w:id="122" w:name="OLE_LINK742"/>
      <w:bookmarkStart w:id="123" w:name="OLE_LINK905"/>
      <w:bookmarkStart w:id="124" w:name="OLE_LINK948"/>
      <w:bookmarkStart w:id="125" w:name="OLE_LINK949"/>
      <w:bookmarkStart w:id="126" w:name="OLE_LINK607"/>
      <w:bookmarkStart w:id="127" w:name="OLE_LINK609"/>
      <w:bookmarkStart w:id="128" w:name="OLE_LINK63"/>
      <w:bookmarkStart w:id="129" w:name="OLE_LINK197"/>
      <w:bookmarkStart w:id="130" w:name="OLE_LINK198"/>
      <w:bookmarkStart w:id="131" w:name="OLE_LINK395"/>
      <w:bookmarkStart w:id="132" w:name="OLE_LINK409"/>
      <w:bookmarkStart w:id="133" w:name="OLE_LINK80"/>
      <w:bookmarkStart w:id="134" w:name="OLE_LINK128"/>
      <w:bookmarkStart w:id="135" w:name="OLE_LINK130"/>
      <w:bookmarkStart w:id="136" w:name="OLE_LINK508"/>
      <w:r w:rsidRPr="002D3D23">
        <w:rPr>
          <w:rFonts w:ascii="Book Antiqua" w:hAnsi="Book Antiqua"/>
          <w:b/>
          <w:color w:val="000000" w:themeColor="text1"/>
          <w:highlight w:val="white"/>
          <w:lang w:val="en-US" w:eastAsia="zh-CN"/>
        </w:rPr>
        <w:t>Core tip:</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2D3D23">
        <w:rPr>
          <w:rFonts w:ascii="Book Antiqua" w:hAnsi="Book Antiqua"/>
          <w:b/>
          <w:color w:val="000000" w:themeColor="text1"/>
          <w:highlight w:val="white"/>
          <w:lang w:val="en-US" w:eastAsia="zh-CN"/>
        </w:rPr>
        <w:t xml:space="preserve"> </w:t>
      </w:r>
      <w:r w:rsidR="00340C00" w:rsidRPr="002D3D23">
        <w:rPr>
          <w:rFonts w:ascii="Book Antiqua" w:hAnsi="Book Antiqua" w:cs="Arial"/>
          <w:color w:val="000000" w:themeColor="text1"/>
          <w:lang w:val="en-US"/>
        </w:rPr>
        <w:t xml:space="preserve">Miniature endoscopic devices play a growing role in the practice of gastroenterology and can come in many forms. They can offer easier access to the gastrointestinal tract, are often tolerated better than standard endoscopy and have the potential to boost diagnostic accuracy. Those properties give promise to advancements in therapeutic intervention and to screening for luminal disorders. </w:t>
      </w:r>
      <w:r w:rsidR="00340C00" w:rsidRPr="002D3D23">
        <w:rPr>
          <w:rFonts w:ascii="Book Antiqua" w:hAnsi="Book Antiqua" w:cs="Arial"/>
          <w:color w:val="000000" w:themeColor="text1"/>
          <w:lang w:val="en-US"/>
        </w:rPr>
        <w:lastRenderedPageBreak/>
        <w:t>Pitfalls remain, particularly with regard to cost, but the trend towards the application of miniature gastrointestinal endoscopy is clear and justifiable.</w:t>
      </w:r>
    </w:p>
    <w:p w14:paraId="475EFCB9" w14:textId="0BDCF1A9" w:rsidR="00EC15B0" w:rsidRPr="002D3D23" w:rsidRDefault="00EC15B0" w:rsidP="002D3D23">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72A091F6" w14:textId="3630977C" w:rsidR="008A2434" w:rsidRDefault="00340C00" w:rsidP="008A2434">
      <w:pPr>
        <w:adjustRightInd w:val="0"/>
        <w:snapToGrid w:val="0"/>
        <w:spacing w:line="360" w:lineRule="auto"/>
        <w:jc w:val="both"/>
        <w:rPr>
          <w:rFonts w:ascii="Book Antiqua" w:eastAsia="宋体" w:hAnsi="Book Antiqua" w:hint="eastAsia"/>
          <w:lang w:eastAsia="zh-CN"/>
        </w:rPr>
      </w:pPr>
      <w:bookmarkStart w:id="137" w:name="OLE_LINK286"/>
      <w:bookmarkStart w:id="138" w:name="OLE_LINK287"/>
      <w:bookmarkStart w:id="139" w:name="OLE_LINK310"/>
      <w:bookmarkStart w:id="140" w:name="OLE_LINK579"/>
      <w:bookmarkStart w:id="141" w:name="OLE_LINK712"/>
      <w:bookmarkStart w:id="142" w:name="OLE_LINK47"/>
      <w:bookmarkStart w:id="143" w:name="OLE_LINK48"/>
      <w:bookmarkStart w:id="144" w:name="OLE_LINK289"/>
      <w:bookmarkStart w:id="145" w:name="OLE_LINK494"/>
      <w:bookmarkStart w:id="146" w:name="OLE_LINK428"/>
      <w:bookmarkStart w:id="147" w:name="OLE_LINK108"/>
      <w:bookmarkStart w:id="148" w:name="OLE_LINK109"/>
      <w:bookmarkStart w:id="149" w:name="OLE_LINK1105"/>
      <w:bookmarkStart w:id="150" w:name="OLE_LINK1107"/>
      <w:bookmarkStart w:id="151" w:name="OLE_LINK142"/>
      <w:bookmarkStart w:id="152" w:name="OLE_LINK143"/>
      <w:bookmarkStart w:id="153" w:name="OLE_LINK249"/>
      <w:bookmarkStart w:id="154" w:name="OLE_LINK256"/>
      <w:bookmarkStart w:id="155" w:name="OLE_LINK85"/>
      <w:bookmarkEnd w:id="119"/>
      <w:bookmarkEnd w:id="120"/>
      <w:bookmarkEnd w:id="121"/>
      <w:bookmarkEnd w:id="122"/>
      <w:bookmarkEnd w:id="123"/>
      <w:bookmarkEnd w:id="124"/>
      <w:bookmarkEnd w:id="125"/>
      <w:bookmarkEnd w:id="126"/>
      <w:bookmarkEnd w:id="127"/>
      <w:bookmarkEnd w:id="128"/>
      <w:r w:rsidRPr="00062F2C">
        <w:rPr>
          <w:rFonts w:ascii="Book Antiqua" w:hAnsi="Book Antiqua"/>
          <w:iCs/>
          <w:color w:val="000000" w:themeColor="text1"/>
          <w:lang w:val="en-US"/>
        </w:rPr>
        <w:t>McGoran</w:t>
      </w:r>
      <w:r w:rsidR="00062F2C">
        <w:rPr>
          <w:rFonts w:ascii="Book Antiqua" w:hAnsi="Book Antiqua"/>
          <w:iCs/>
          <w:color w:val="000000" w:themeColor="text1"/>
          <w:lang w:val="en-US"/>
        </w:rPr>
        <w:t xml:space="preserve"> JJ, </w:t>
      </w:r>
      <w:r w:rsidRPr="00062F2C">
        <w:rPr>
          <w:rFonts w:ascii="Book Antiqua" w:hAnsi="Book Antiqua"/>
          <w:iCs/>
          <w:color w:val="000000" w:themeColor="text1"/>
          <w:lang w:val="en-US"/>
        </w:rPr>
        <w:t>McAlindon</w:t>
      </w:r>
      <w:r w:rsidR="00062F2C">
        <w:rPr>
          <w:rFonts w:ascii="Book Antiqua" w:hAnsi="Book Antiqua"/>
          <w:iCs/>
          <w:color w:val="000000" w:themeColor="text1"/>
          <w:lang w:val="en-US"/>
        </w:rPr>
        <w:t xml:space="preserve"> ME,</w:t>
      </w:r>
      <w:r w:rsidR="00062F2C">
        <w:rPr>
          <w:rFonts w:ascii="Book Antiqua" w:hAnsi="Book Antiqua" w:hint="eastAsia"/>
          <w:iCs/>
          <w:color w:val="000000" w:themeColor="text1"/>
          <w:lang w:val="en-US"/>
        </w:rPr>
        <w:t xml:space="preserve"> </w:t>
      </w:r>
      <w:r w:rsidRPr="00062F2C">
        <w:rPr>
          <w:rFonts w:ascii="Book Antiqua" w:hAnsi="Book Antiqua"/>
          <w:iCs/>
          <w:color w:val="000000" w:themeColor="text1"/>
          <w:lang w:val="en-US"/>
        </w:rPr>
        <w:t>Iyer</w:t>
      </w:r>
      <w:r w:rsidR="00062F2C">
        <w:rPr>
          <w:rFonts w:ascii="Book Antiqua" w:hAnsi="Book Antiqua"/>
          <w:iCs/>
          <w:color w:val="000000" w:themeColor="text1"/>
          <w:lang w:val="en-US"/>
        </w:rPr>
        <w:t xml:space="preserve"> PG,</w:t>
      </w:r>
      <w:r w:rsidR="00062F2C">
        <w:rPr>
          <w:rFonts w:ascii="Book Antiqua" w:hAnsi="Book Antiqua" w:hint="eastAsia"/>
          <w:iCs/>
          <w:color w:val="000000" w:themeColor="text1"/>
          <w:lang w:val="en-US"/>
        </w:rPr>
        <w:t xml:space="preserve"> </w:t>
      </w:r>
      <w:r w:rsidRPr="00062F2C">
        <w:rPr>
          <w:rFonts w:ascii="Book Antiqua" w:hAnsi="Book Antiqua"/>
          <w:iCs/>
          <w:color w:val="000000" w:themeColor="text1"/>
          <w:lang w:val="en-US"/>
        </w:rPr>
        <w:t>Seibel</w:t>
      </w:r>
      <w:r w:rsidR="00062F2C">
        <w:rPr>
          <w:rFonts w:ascii="Book Antiqua" w:hAnsi="Book Antiqua"/>
          <w:iCs/>
          <w:color w:val="000000" w:themeColor="text1"/>
          <w:lang w:val="en-US"/>
        </w:rPr>
        <w:t xml:space="preserve"> E, </w:t>
      </w:r>
      <w:r w:rsidRPr="00062F2C">
        <w:rPr>
          <w:rFonts w:ascii="Book Antiqua" w:hAnsi="Book Antiqua"/>
          <w:iCs/>
          <w:color w:val="000000" w:themeColor="text1"/>
          <w:lang w:val="en-US"/>
        </w:rPr>
        <w:t>Haidry</w:t>
      </w:r>
      <w:r w:rsidR="00062F2C">
        <w:rPr>
          <w:rFonts w:ascii="Book Antiqua" w:hAnsi="Book Antiqua"/>
          <w:iCs/>
          <w:color w:val="000000" w:themeColor="text1"/>
          <w:lang w:val="en-US"/>
        </w:rPr>
        <w:t xml:space="preserve"> R,</w:t>
      </w:r>
      <w:r w:rsidR="00062F2C">
        <w:rPr>
          <w:rFonts w:ascii="Book Antiqua" w:hAnsi="Book Antiqua" w:hint="eastAsia"/>
          <w:iCs/>
          <w:color w:val="000000" w:themeColor="text1"/>
          <w:lang w:val="en-US"/>
        </w:rPr>
        <w:t xml:space="preserve"> </w:t>
      </w:r>
      <w:r w:rsidRPr="00062F2C">
        <w:rPr>
          <w:rFonts w:ascii="Book Antiqua" w:hAnsi="Book Antiqua"/>
          <w:iCs/>
          <w:color w:val="000000" w:themeColor="text1"/>
          <w:lang w:val="en-US"/>
        </w:rPr>
        <w:t>Lovat</w:t>
      </w:r>
      <w:r w:rsidR="00062F2C">
        <w:rPr>
          <w:rFonts w:ascii="Book Antiqua" w:hAnsi="Book Antiqua"/>
          <w:iCs/>
          <w:color w:val="000000" w:themeColor="text1"/>
          <w:lang w:val="en-US"/>
        </w:rPr>
        <w:t xml:space="preserve"> LB, </w:t>
      </w:r>
      <w:r w:rsidRPr="00062F2C">
        <w:rPr>
          <w:rFonts w:ascii="Book Antiqua" w:hAnsi="Book Antiqua"/>
          <w:iCs/>
          <w:color w:val="000000" w:themeColor="text1"/>
          <w:lang w:val="en-US"/>
        </w:rPr>
        <w:t>Sami</w:t>
      </w:r>
      <w:r w:rsidR="00062F2C">
        <w:rPr>
          <w:rFonts w:ascii="Book Antiqua" w:hAnsi="Book Antiqua"/>
          <w:iCs/>
          <w:color w:val="000000" w:themeColor="text1"/>
          <w:lang w:val="en-US"/>
        </w:rPr>
        <w:t xml:space="preserve"> SS</w:t>
      </w:r>
      <w:r w:rsidRPr="002D3D23">
        <w:rPr>
          <w:rFonts w:ascii="Book Antiqua" w:hAnsi="Book Antiqua"/>
          <w:i/>
          <w:color w:val="000000" w:themeColor="text1"/>
          <w:lang w:val="en-US"/>
        </w:rPr>
        <w:t xml:space="preserve">. </w:t>
      </w:r>
      <w:r w:rsidR="00062F2C" w:rsidRPr="00062F2C">
        <w:rPr>
          <w:rFonts w:ascii="Book Antiqua" w:hAnsi="Book Antiqua" w:cs="Arial"/>
          <w:bCs/>
          <w:color w:val="000000" w:themeColor="text1"/>
          <w:lang w:val="en-US"/>
        </w:rPr>
        <w:t>Miniature gastrointestinal endoscopy: Now and the future</w:t>
      </w:r>
      <w:r w:rsidRPr="00062F2C">
        <w:rPr>
          <w:rFonts w:ascii="Book Antiqua" w:hAnsi="Book Antiqua" w:cs="Arial"/>
          <w:bCs/>
          <w:color w:val="000000" w:themeColor="text1"/>
          <w:lang w:val="en-US"/>
        </w:rPr>
        <w:t>.</w:t>
      </w:r>
      <w:r w:rsidRPr="002D3D23">
        <w:rPr>
          <w:rFonts w:ascii="Book Antiqua" w:hAnsi="Book Antiqua" w:cs="Arial"/>
          <w:b/>
          <w:color w:val="000000" w:themeColor="text1"/>
          <w:lang w:val="en-US"/>
        </w:rPr>
        <w:t xml:space="preserve"> </w:t>
      </w:r>
      <w:r w:rsidR="00EC15B0" w:rsidRPr="002D3D23">
        <w:rPr>
          <w:rFonts w:ascii="Book Antiqua" w:hAnsi="Book Antiqua"/>
          <w:i/>
          <w:color w:val="000000" w:themeColor="text1"/>
          <w:lang w:val="en-US"/>
        </w:rPr>
        <w:t xml:space="preserve">World J Gastroenterol </w:t>
      </w:r>
      <w:bookmarkEnd w:id="129"/>
      <w:bookmarkEnd w:id="130"/>
      <w:bookmarkEnd w:id="131"/>
      <w:bookmarkEnd w:id="132"/>
      <w:bookmarkEnd w:id="13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8A2434" w:rsidRPr="00DF7852">
        <w:rPr>
          <w:rFonts w:ascii="Book Antiqua" w:eastAsia="宋体" w:hAnsi="Book Antiqua"/>
          <w:lang w:eastAsia="zh-CN"/>
        </w:rPr>
        <w:t xml:space="preserve">2019; 25(30): </w:t>
      </w:r>
      <w:r w:rsidR="008A2434">
        <w:rPr>
          <w:rFonts w:ascii="Book Antiqua" w:eastAsia="宋体" w:hAnsi="Book Antiqua" w:hint="eastAsia"/>
          <w:lang w:eastAsia="zh-CN"/>
        </w:rPr>
        <w:t>4</w:t>
      </w:r>
      <w:r w:rsidR="008A2434">
        <w:rPr>
          <w:rFonts w:ascii="Book Antiqua" w:eastAsia="宋体" w:hAnsi="Book Antiqua" w:hint="eastAsia"/>
          <w:lang w:eastAsia="zh-CN"/>
        </w:rPr>
        <w:t>051</w:t>
      </w:r>
      <w:r w:rsidR="008A2434" w:rsidRPr="00DF7852">
        <w:rPr>
          <w:rFonts w:ascii="Book Antiqua" w:eastAsia="宋体" w:hAnsi="Book Antiqua"/>
          <w:lang w:eastAsia="zh-CN"/>
        </w:rPr>
        <w:t>-</w:t>
      </w:r>
      <w:r w:rsidR="008A2434">
        <w:rPr>
          <w:rFonts w:ascii="Book Antiqua" w:eastAsia="宋体" w:hAnsi="Book Antiqua" w:hint="eastAsia"/>
          <w:lang w:eastAsia="zh-CN"/>
        </w:rPr>
        <w:t>4</w:t>
      </w:r>
      <w:r w:rsidR="008A2434">
        <w:rPr>
          <w:rFonts w:ascii="Book Antiqua" w:eastAsia="宋体" w:hAnsi="Book Antiqua" w:hint="eastAsia"/>
          <w:lang w:eastAsia="zh-CN"/>
        </w:rPr>
        <w:t>060</w:t>
      </w:r>
    </w:p>
    <w:p w14:paraId="150C913E" w14:textId="35C7CFD7" w:rsidR="008A2434" w:rsidRDefault="008A2434" w:rsidP="008A2434">
      <w:pPr>
        <w:adjustRightInd w:val="0"/>
        <w:snapToGrid w:val="0"/>
        <w:spacing w:line="360" w:lineRule="auto"/>
        <w:jc w:val="both"/>
        <w:rPr>
          <w:rFonts w:ascii="Book Antiqua" w:eastAsia="宋体" w:hAnsi="Book Antiqua" w:hint="eastAsia"/>
          <w:lang w:eastAsia="zh-CN"/>
        </w:rPr>
      </w:pPr>
      <w:r w:rsidRPr="00954D84">
        <w:rPr>
          <w:rFonts w:ascii="Book Antiqua" w:eastAsia="宋体" w:hAnsi="Book Antiqua"/>
          <w:b/>
          <w:lang w:eastAsia="zh-CN"/>
        </w:rPr>
        <w:t>URL:</w:t>
      </w:r>
      <w:r w:rsidRPr="00DF7852">
        <w:rPr>
          <w:rFonts w:ascii="Book Antiqua" w:eastAsia="宋体" w:hAnsi="Book Antiqua"/>
          <w:lang w:eastAsia="zh-CN"/>
        </w:rPr>
        <w:t xml:space="preserve"> https://www.wjgnet.com/1007-9327/full/v25/i30/</w:t>
      </w:r>
      <w:r>
        <w:rPr>
          <w:rFonts w:ascii="Book Antiqua" w:eastAsia="宋体" w:hAnsi="Book Antiqua" w:hint="eastAsia"/>
          <w:lang w:eastAsia="zh-CN"/>
        </w:rPr>
        <w:t>4</w:t>
      </w:r>
      <w:r>
        <w:rPr>
          <w:rFonts w:ascii="Book Antiqua" w:eastAsia="宋体" w:hAnsi="Book Antiqua" w:hint="eastAsia"/>
          <w:lang w:eastAsia="zh-CN"/>
        </w:rPr>
        <w:t>051</w:t>
      </w:r>
      <w:r w:rsidRPr="00DF7852">
        <w:rPr>
          <w:rFonts w:ascii="Book Antiqua" w:eastAsia="宋体" w:hAnsi="Book Antiqua"/>
          <w:lang w:eastAsia="zh-CN"/>
        </w:rPr>
        <w:t>.htm</w:t>
      </w:r>
    </w:p>
    <w:p w14:paraId="48F0F7CD" w14:textId="55DA75A6" w:rsidR="00EC15B0" w:rsidRPr="00062F2C" w:rsidRDefault="008A2434" w:rsidP="008A2434">
      <w:pPr>
        <w:adjustRightInd w:val="0"/>
        <w:snapToGrid w:val="0"/>
        <w:spacing w:line="360" w:lineRule="auto"/>
        <w:jc w:val="both"/>
        <w:rPr>
          <w:rFonts w:ascii="Book Antiqua" w:hAnsi="Book Antiqua"/>
          <w:iCs/>
          <w:color w:val="000000" w:themeColor="text1"/>
          <w:lang w:val="en-US"/>
        </w:rPr>
      </w:pPr>
      <w:r w:rsidRPr="00954D84">
        <w:rPr>
          <w:rFonts w:ascii="Book Antiqua" w:eastAsia="宋体" w:hAnsi="Book Antiqua"/>
          <w:b/>
          <w:lang w:eastAsia="zh-CN"/>
        </w:rPr>
        <w:t>DOI:</w:t>
      </w:r>
      <w:r w:rsidRPr="00DF7852">
        <w:rPr>
          <w:rFonts w:ascii="Book Antiqua" w:eastAsia="宋体" w:hAnsi="Book Antiqua"/>
          <w:lang w:eastAsia="zh-CN"/>
        </w:rPr>
        <w:t xml:space="preserve"> https://dx.doi.org/10.3748/wjg.v25.i30.</w:t>
      </w:r>
      <w:r>
        <w:rPr>
          <w:rFonts w:ascii="Book Antiqua" w:eastAsia="宋体" w:hAnsi="Book Antiqua" w:hint="eastAsia"/>
          <w:lang w:eastAsia="zh-CN"/>
        </w:rPr>
        <w:t>4</w:t>
      </w:r>
      <w:r>
        <w:rPr>
          <w:rFonts w:ascii="Book Antiqua" w:eastAsia="宋体" w:hAnsi="Book Antiqua" w:hint="eastAsia"/>
          <w:lang w:eastAsia="zh-CN"/>
        </w:rPr>
        <w:t>051</w:t>
      </w:r>
    </w:p>
    <w:bookmarkEnd w:id="134"/>
    <w:bookmarkEnd w:id="135"/>
    <w:bookmarkEnd w:id="136"/>
    <w:bookmarkEnd w:id="151"/>
    <w:bookmarkEnd w:id="152"/>
    <w:bookmarkEnd w:id="153"/>
    <w:bookmarkEnd w:id="154"/>
    <w:bookmarkEnd w:id="155"/>
    <w:p w14:paraId="5F5F5747" w14:textId="77777777" w:rsidR="00EC15B0" w:rsidRPr="002D3D23" w:rsidRDefault="00EC15B0" w:rsidP="002D3D23">
      <w:pPr>
        <w:adjustRightInd w:val="0"/>
        <w:snapToGrid w:val="0"/>
        <w:spacing w:line="360" w:lineRule="auto"/>
        <w:jc w:val="both"/>
        <w:rPr>
          <w:rFonts w:ascii="Book Antiqua" w:hAnsi="Book Antiqua"/>
          <w:color w:val="000000" w:themeColor="text1"/>
          <w:lang w:val="en-US"/>
        </w:rPr>
      </w:pPr>
      <w:r w:rsidRPr="002D3D23">
        <w:rPr>
          <w:rFonts w:ascii="Book Antiqua" w:hAnsi="Book Antiqua"/>
          <w:color w:val="000000" w:themeColor="text1"/>
          <w:lang w:val="en-US"/>
        </w:rPr>
        <w:br w:type="page"/>
      </w:r>
    </w:p>
    <w:p w14:paraId="474DD16D" w14:textId="3F70DE00" w:rsidR="00791F00" w:rsidRPr="002D3D23" w:rsidRDefault="00A71844" w:rsidP="002D3D23">
      <w:pPr>
        <w:adjustRightInd w:val="0"/>
        <w:snapToGrid w:val="0"/>
        <w:spacing w:line="360" w:lineRule="auto"/>
        <w:jc w:val="both"/>
        <w:rPr>
          <w:rFonts w:ascii="Book Antiqua" w:hAnsi="Book Antiqua" w:cs="Arial"/>
          <w:b/>
          <w:color w:val="000000" w:themeColor="text1"/>
          <w:lang w:val="en-US"/>
        </w:rPr>
      </w:pPr>
      <w:r w:rsidRPr="002D3D23">
        <w:rPr>
          <w:rFonts w:ascii="Book Antiqua" w:hAnsi="Book Antiqua" w:cs="Arial"/>
          <w:b/>
          <w:color w:val="000000" w:themeColor="text1"/>
          <w:lang w:val="en-US"/>
        </w:rPr>
        <w:lastRenderedPageBreak/>
        <w:t>I</w:t>
      </w:r>
      <w:r w:rsidR="000231FF" w:rsidRPr="002D3D23">
        <w:rPr>
          <w:rFonts w:ascii="Book Antiqua" w:hAnsi="Book Antiqua" w:cs="Arial"/>
          <w:b/>
          <w:color w:val="000000" w:themeColor="text1"/>
          <w:lang w:val="en-US"/>
        </w:rPr>
        <w:t>NTRODUCTION</w:t>
      </w:r>
    </w:p>
    <w:p w14:paraId="03AEC09E" w14:textId="68018708" w:rsidR="004960A8" w:rsidRPr="002D3D23" w:rsidRDefault="00A71844"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Gastrointestinal </w:t>
      </w:r>
      <w:r w:rsidR="00BC47B8" w:rsidRPr="002D3D23">
        <w:rPr>
          <w:rFonts w:ascii="Book Antiqua" w:hAnsi="Book Antiqua" w:cs="Arial"/>
          <w:color w:val="000000" w:themeColor="text1"/>
          <w:lang w:val="en-US"/>
        </w:rPr>
        <w:t xml:space="preserve">(GI) </w:t>
      </w:r>
      <w:r w:rsidRPr="002D3D23">
        <w:rPr>
          <w:rFonts w:ascii="Book Antiqua" w:hAnsi="Book Antiqua" w:cs="Arial"/>
          <w:color w:val="000000" w:themeColor="text1"/>
          <w:lang w:val="en-US"/>
        </w:rPr>
        <w:t>endoscopy has</w:t>
      </w:r>
      <w:r w:rsidR="00177F3E" w:rsidRPr="002D3D23">
        <w:rPr>
          <w:rFonts w:ascii="Book Antiqua" w:hAnsi="Book Antiqua" w:cs="Arial"/>
          <w:color w:val="000000" w:themeColor="text1"/>
          <w:lang w:val="en-US"/>
        </w:rPr>
        <w:t xml:space="preserve"> for many decades</w:t>
      </w:r>
      <w:r w:rsidRPr="002D3D23">
        <w:rPr>
          <w:rFonts w:ascii="Book Antiqua" w:hAnsi="Book Antiqua" w:cs="Arial"/>
          <w:color w:val="000000" w:themeColor="text1"/>
          <w:lang w:val="en-US"/>
        </w:rPr>
        <w:t xml:space="preserve"> been an essential </w:t>
      </w:r>
      <w:r w:rsidR="00177F3E" w:rsidRPr="002D3D23">
        <w:rPr>
          <w:rFonts w:ascii="Book Antiqua" w:hAnsi="Book Antiqua" w:cs="Arial"/>
          <w:color w:val="000000" w:themeColor="text1"/>
          <w:lang w:val="en-US"/>
        </w:rPr>
        <w:t>component in</w:t>
      </w:r>
      <w:r w:rsidRPr="002D3D23">
        <w:rPr>
          <w:rFonts w:ascii="Book Antiqua" w:hAnsi="Book Antiqua" w:cs="Arial"/>
          <w:color w:val="000000" w:themeColor="text1"/>
          <w:lang w:val="en-US"/>
        </w:rPr>
        <w:t xml:space="preserve"> the practice of diagnosing and managing digestive disease</w:t>
      </w:r>
      <w:r w:rsidR="004D2AA3" w:rsidRPr="002D3D23">
        <w:rPr>
          <w:rFonts w:ascii="Book Antiqua" w:hAnsi="Book Antiqua" w:cs="Arial"/>
          <w:color w:val="000000" w:themeColor="text1"/>
          <w:lang w:val="en-US"/>
        </w:rPr>
        <w:t>s</w:t>
      </w:r>
      <w:r w:rsidRPr="002D3D23">
        <w:rPr>
          <w:rFonts w:ascii="Book Antiqua" w:hAnsi="Book Antiqua" w:cs="Arial"/>
          <w:color w:val="000000" w:themeColor="text1"/>
          <w:lang w:val="en-US"/>
        </w:rPr>
        <w:t xml:space="preserve">. </w:t>
      </w:r>
      <w:r w:rsidR="006732ED" w:rsidRPr="002D3D23">
        <w:rPr>
          <w:rFonts w:ascii="Book Antiqua" w:hAnsi="Book Antiqua" w:cs="Arial"/>
          <w:color w:val="000000" w:themeColor="text1"/>
          <w:lang w:val="en-US"/>
        </w:rPr>
        <w:t>Current endoscopic practice began with Schindler’s development of the flexible gastroscope in 1932</w:t>
      </w:r>
      <w:r w:rsidR="00CF7F81"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{"citationItems":[{"id":"ITEM-1","itemData":{"author":[{"dropping-particle":"","family":"Schäfer","given":"P K","non-dropping-particle":"","parse-names":false,"suffix":""},{"dropping-particle":"","family":"Sauerbruch","given":"T","non-dropping-particle":"","parse-names":false,"suffix":""}],"container-title":"Z Gastroenterol","id":"ITEM-1","issue":"06","issued":{"date-parts":[["2004"]]},"language":"DE","page":"550-556","title":"Rudolf Schindler (1888 - 1968) - „Vater” der Gastroskopie TT - Rudolf Schindler (1888 - 1968) - Father of Gastroscopy","type":"article-journal","volume":"42"},"uris":["http://www.mendeley.com/documents/?uuid=1b0e89e2-dcf8-48a0-80c2-546f34fd5049","http://www.mendeley.com/documents/?uuid=26507bae-d1ee-4c10-bc3a-ea44ce1974bc"]}],"mendeley":{"formattedCitation":"(1)","plainTextFormattedCitation":"(1)","previouslyFormattedCitation":"(1)"},"properties":{"noteIndex":0},"schema":"https://github.com/citation-style-language/schema/raw/master/csl-citation.json"}</w:instrText>
      </w:r>
      <w:r w:rsidR="006732ED" w:rsidRPr="002D3D23">
        <w:rPr>
          <w:rFonts w:ascii="Book Antiqua" w:hAnsi="Book Antiqua" w:cs="Arial"/>
          <w:color w:val="000000" w:themeColor="text1"/>
          <w:vertAlign w:val="superscript"/>
          <w:lang w:val="en-US"/>
        </w:rPr>
        <w:fldChar w:fldCharType="separate"/>
      </w:r>
      <w:r w:rsidR="006732ED" w:rsidRPr="002D3D23">
        <w:rPr>
          <w:rFonts w:ascii="Book Antiqua" w:hAnsi="Book Antiqua" w:cs="Arial"/>
          <w:color w:val="000000" w:themeColor="text1"/>
          <w:vertAlign w:val="superscript"/>
          <w:lang w:val="en-US"/>
        </w:rPr>
        <w:t>1</w:t>
      </w:r>
      <w:r w:rsidR="006732ED" w:rsidRPr="002D3D23">
        <w:rPr>
          <w:rFonts w:ascii="Book Antiqua" w:hAnsi="Book Antiqua" w:cs="Arial"/>
          <w:color w:val="000000" w:themeColor="text1"/>
          <w:vertAlign w:val="superscript"/>
          <w:lang w:val="en-US"/>
        </w:rPr>
        <w:fldChar w:fldCharType="end"/>
      </w:r>
      <w:r w:rsidR="00CF7F81"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lang w:val="en-US"/>
        </w:rPr>
        <w:t>. Since that innovative step,</w:t>
      </w:r>
      <w:r w:rsidR="006345AA" w:rsidRPr="002D3D23">
        <w:rPr>
          <w:rFonts w:ascii="Book Antiqua" w:hAnsi="Book Antiqua" w:cs="Arial"/>
          <w:color w:val="000000" w:themeColor="text1"/>
          <w:lang w:val="en-US"/>
        </w:rPr>
        <w:t xml:space="preserve"> approaches have </w:t>
      </w:r>
      <w:r w:rsidR="006732ED" w:rsidRPr="002D3D23">
        <w:rPr>
          <w:rFonts w:ascii="Book Antiqua" w:hAnsi="Book Antiqua" w:cs="Arial"/>
          <w:color w:val="000000" w:themeColor="text1"/>
          <w:lang w:val="en-US"/>
        </w:rPr>
        <w:t xml:space="preserve">been taken to </w:t>
      </w:r>
      <w:r w:rsidR="006345AA" w:rsidRPr="002D3D23">
        <w:rPr>
          <w:rFonts w:ascii="Book Antiqua" w:hAnsi="Book Antiqua" w:cs="Arial"/>
          <w:color w:val="000000" w:themeColor="text1"/>
          <w:lang w:val="en-US"/>
        </w:rPr>
        <w:t xml:space="preserve">expand the abilities of endoscopy, improve its safety and present </w:t>
      </w:r>
      <w:r w:rsidR="00B67D03" w:rsidRPr="002D3D23">
        <w:rPr>
          <w:rFonts w:ascii="Book Antiqua" w:hAnsi="Book Antiqua" w:cs="Arial"/>
          <w:color w:val="000000" w:themeColor="text1"/>
          <w:lang w:val="en-US"/>
        </w:rPr>
        <w:t xml:space="preserve">exciting </w:t>
      </w:r>
      <w:r w:rsidR="006345AA" w:rsidRPr="002D3D23">
        <w:rPr>
          <w:rFonts w:ascii="Book Antiqua" w:hAnsi="Book Antiqua" w:cs="Arial"/>
          <w:color w:val="000000" w:themeColor="text1"/>
          <w:lang w:val="en-US"/>
        </w:rPr>
        <w:t xml:space="preserve">challenges to </w:t>
      </w:r>
      <w:r w:rsidR="00D85FBF" w:rsidRPr="002D3D23">
        <w:rPr>
          <w:rFonts w:ascii="Book Antiqua" w:hAnsi="Book Antiqua" w:cs="Arial"/>
          <w:color w:val="000000" w:themeColor="text1"/>
          <w:lang w:val="en-US"/>
        </w:rPr>
        <w:t>what</w:t>
      </w:r>
      <w:r w:rsidR="006345AA" w:rsidRPr="002D3D23">
        <w:rPr>
          <w:rFonts w:ascii="Book Antiqua" w:hAnsi="Book Antiqua" w:cs="Arial"/>
          <w:color w:val="000000" w:themeColor="text1"/>
          <w:lang w:val="en-US"/>
        </w:rPr>
        <w:t xml:space="preserve"> </w:t>
      </w:r>
      <w:r w:rsidR="004960A8" w:rsidRPr="002D3D23">
        <w:rPr>
          <w:rFonts w:ascii="Book Antiqua" w:hAnsi="Book Antiqua" w:cs="Arial"/>
          <w:color w:val="000000" w:themeColor="text1"/>
          <w:lang w:val="en-US"/>
        </w:rPr>
        <w:t>further</w:t>
      </w:r>
      <w:r w:rsidR="006345AA" w:rsidRPr="002D3D23">
        <w:rPr>
          <w:rFonts w:ascii="Book Antiqua" w:hAnsi="Book Antiqua" w:cs="Arial"/>
          <w:color w:val="000000" w:themeColor="text1"/>
          <w:lang w:val="en-US"/>
        </w:rPr>
        <w:t xml:space="preserve"> can be done. </w:t>
      </w:r>
      <w:r w:rsidR="004960A8" w:rsidRPr="002D3D23">
        <w:rPr>
          <w:rFonts w:ascii="Book Antiqua" w:hAnsi="Book Antiqua" w:cs="Arial"/>
          <w:color w:val="000000" w:themeColor="text1"/>
          <w:lang w:val="en-US"/>
        </w:rPr>
        <w:t>One aspect</w:t>
      </w:r>
      <w:r w:rsidR="006345AA" w:rsidRPr="002D3D23">
        <w:rPr>
          <w:rFonts w:ascii="Book Antiqua" w:hAnsi="Book Antiqua" w:cs="Arial"/>
          <w:color w:val="000000" w:themeColor="text1"/>
          <w:lang w:val="en-US"/>
        </w:rPr>
        <w:t xml:space="preserve"> of this is the development of miniature endoscopes which have </w:t>
      </w:r>
      <w:r w:rsidR="004960A8" w:rsidRPr="002D3D23">
        <w:rPr>
          <w:rFonts w:ascii="Book Antiqua" w:hAnsi="Book Antiqua" w:cs="Arial"/>
          <w:color w:val="000000" w:themeColor="text1"/>
          <w:lang w:val="en-US"/>
        </w:rPr>
        <w:t>aimed to</w:t>
      </w:r>
      <w:r w:rsidR="006345AA" w:rsidRPr="002D3D23">
        <w:rPr>
          <w:rFonts w:ascii="Book Antiqua" w:hAnsi="Book Antiqua" w:cs="Arial"/>
          <w:color w:val="000000" w:themeColor="text1"/>
          <w:lang w:val="en-US"/>
        </w:rPr>
        <w:t xml:space="preserve"> address </w:t>
      </w:r>
      <w:r w:rsidR="004960A8" w:rsidRPr="002D3D23">
        <w:rPr>
          <w:rFonts w:ascii="Book Antiqua" w:hAnsi="Book Antiqua" w:cs="Arial"/>
          <w:color w:val="000000" w:themeColor="text1"/>
          <w:lang w:val="en-US"/>
        </w:rPr>
        <w:t>various</w:t>
      </w:r>
      <w:r w:rsidR="006345AA" w:rsidRPr="002D3D23">
        <w:rPr>
          <w:rFonts w:ascii="Book Antiqua" w:hAnsi="Book Antiqua" w:cs="Arial"/>
          <w:color w:val="000000" w:themeColor="text1"/>
          <w:lang w:val="en-US"/>
        </w:rPr>
        <w:t xml:space="preserve"> clinical problem</w:t>
      </w:r>
      <w:r w:rsidR="004960A8" w:rsidRPr="002D3D23">
        <w:rPr>
          <w:rFonts w:ascii="Book Antiqua" w:hAnsi="Book Antiqua" w:cs="Arial"/>
          <w:color w:val="000000" w:themeColor="text1"/>
          <w:lang w:val="en-US"/>
        </w:rPr>
        <w:t>s</w:t>
      </w:r>
      <w:r w:rsidR="006345AA" w:rsidRPr="002D3D23">
        <w:rPr>
          <w:rFonts w:ascii="Book Antiqua" w:hAnsi="Book Antiqua" w:cs="Arial"/>
          <w:color w:val="000000" w:themeColor="text1"/>
          <w:lang w:val="en-US"/>
        </w:rPr>
        <w:t>.</w:t>
      </w:r>
      <w:r w:rsidR="007D4880" w:rsidRPr="002D3D23">
        <w:rPr>
          <w:rFonts w:ascii="Book Antiqua" w:hAnsi="Book Antiqua" w:cs="Arial"/>
          <w:color w:val="000000" w:themeColor="text1"/>
          <w:lang w:val="en-US"/>
        </w:rPr>
        <w:t xml:space="preserve"> The progress of miniature endoscopic devices is largely dependent on that of optical technology and its resultant incorporation of that into clinical application. </w:t>
      </w:r>
    </w:p>
    <w:p w14:paraId="60C9ADD5" w14:textId="3D9116B7" w:rsidR="00E17836" w:rsidRPr="002D3D23" w:rsidRDefault="007D4880"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The use of an endoscopic device with a smaller caliber has many advantages in clinical practice. Tolerance</w:t>
      </w:r>
      <w:r w:rsidR="00DC567E" w:rsidRPr="002D3D23">
        <w:rPr>
          <w:rFonts w:ascii="Book Antiqua" w:hAnsi="Book Antiqua" w:cs="Arial"/>
          <w:color w:val="000000" w:themeColor="text1"/>
          <w:lang w:val="en-US"/>
        </w:rPr>
        <w:t xml:space="preserve"> and safety</w:t>
      </w:r>
      <w:r w:rsidRPr="002D3D23">
        <w:rPr>
          <w:rFonts w:ascii="Book Antiqua" w:hAnsi="Book Antiqua" w:cs="Arial"/>
          <w:color w:val="000000" w:themeColor="text1"/>
          <w:lang w:val="en-US"/>
        </w:rPr>
        <w:t xml:space="preserve"> of invasive </w:t>
      </w:r>
      <w:r w:rsidR="00734075" w:rsidRPr="002D3D23">
        <w:rPr>
          <w:rFonts w:ascii="Book Antiqua" w:hAnsi="Book Antiqua" w:cs="Arial"/>
          <w:color w:val="000000" w:themeColor="text1"/>
          <w:lang w:val="en-US"/>
        </w:rPr>
        <w:t>GI procedures</w:t>
      </w:r>
      <w:r w:rsidRPr="002D3D23">
        <w:rPr>
          <w:rFonts w:ascii="Book Antiqua" w:hAnsi="Book Antiqua" w:cs="Arial"/>
          <w:color w:val="000000" w:themeColor="text1"/>
          <w:lang w:val="en-US"/>
        </w:rPr>
        <w:t xml:space="preserve"> can be improved, potentially leading to greater uptake and enhanced trust in a care provider. This feature of miniature endoscopy, combined with </w:t>
      </w:r>
      <w:r w:rsidR="00103EBB" w:rsidRPr="002D3D23">
        <w:rPr>
          <w:rFonts w:ascii="Book Antiqua" w:hAnsi="Book Antiqua" w:cs="Arial"/>
          <w:color w:val="000000" w:themeColor="text1"/>
          <w:lang w:val="en-US"/>
        </w:rPr>
        <w:t>the potential for more portable devices, could have benefits for</w:t>
      </w:r>
      <w:r w:rsidR="002A7006" w:rsidRPr="002D3D23">
        <w:rPr>
          <w:rFonts w:ascii="Book Antiqua" w:hAnsi="Book Antiqua" w:cs="Arial"/>
          <w:color w:val="000000" w:themeColor="text1"/>
          <w:lang w:val="en-US"/>
        </w:rPr>
        <w:t xml:space="preserve"> wider access to population screening for various </w:t>
      </w:r>
      <w:r w:rsidR="00734075" w:rsidRPr="002D3D23">
        <w:rPr>
          <w:rFonts w:ascii="Book Antiqua" w:hAnsi="Book Antiqua" w:cs="Arial"/>
          <w:color w:val="000000" w:themeColor="text1"/>
          <w:lang w:val="en-US"/>
        </w:rPr>
        <w:t>GI diseases</w:t>
      </w:r>
      <w:r w:rsidR="00103EBB" w:rsidRPr="002D3D23">
        <w:rPr>
          <w:rFonts w:ascii="Book Antiqua" w:hAnsi="Book Antiqua" w:cs="Arial"/>
          <w:color w:val="000000" w:themeColor="text1"/>
          <w:lang w:val="en-US"/>
        </w:rPr>
        <w:t xml:space="preserve">. Devices that demand less sedation and carry fewer complications add to arguments for the cost-effectiveness of miniature endoscopes. These features </w:t>
      </w:r>
      <w:r w:rsidR="00DC567E" w:rsidRPr="002D3D23">
        <w:rPr>
          <w:rFonts w:ascii="Book Antiqua" w:hAnsi="Book Antiqua" w:cs="Arial"/>
          <w:color w:val="000000" w:themeColor="text1"/>
          <w:lang w:val="en-US"/>
        </w:rPr>
        <w:t xml:space="preserve">as well as the authors’ vision for future applications </w:t>
      </w:r>
      <w:r w:rsidR="00103EBB" w:rsidRPr="002D3D23">
        <w:rPr>
          <w:rFonts w:ascii="Book Antiqua" w:hAnsi="Book Antiqua" w:cs="Arial"/>
          <w:color w:val="000000" w:themeColor="text1"/>
          <w:lang w:val="en-US"/>
        </w:rPr>
        <w:t>are outlined in this Opinion Review</w:t>
      </w:r>
      <w:r w:rsidR="00DC567E" w:rsidRPr="002D3D23">
        <w:rPr>
          <w:rFonts w:ascii="Book Antiqua" w:hAnsi="Book Antiqua" w:cs="Arial"/>
          <w:color w:val="000000" w:themeColor="text1"/>
          <w:lang w:val="en-US"/>
        </w:rPr>
        <w:t>.</w:t>
      </w:r>
    </w:p>
    <w:p w14:paraId="509E33E0" w14:textId="2DE03282" w:rsidR="00A71844" w:rsidRPr="002D3D23" w:rsidRDefault="00103EBB"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The authors have </w:t>
      </w:r>
      <w:r w:rsidR="002A7006" w:rsidRPr="002D3D23">
        <w:rPr>
          <w:rFonts w:ascii="Book Antiqua" w:hAnsi="Book Antiqua" w:cs="Arial"/>
          <w:color w:val="000000" w:themeColor="text1"/>
          <w:lang w:val="en-US"/>
        </w:rPr>
        <w:t xml:space="preserve">both academic and clinical </w:t>
      </w:r>
      <w:r w:rsidRPr="002D3D23">
        <w:rPr>
          <w:rFonts w:ascii="Book Antiqua" w:hAnsi="Book Antiqua" w:cs="Arial"/>
          <w:color w:val="000000" w:themeColor="text1"/>
          <w:lang w:val="en-US"/>
        </w:rPr>
        <w:t>exper</w:t>
      </w:r>
      <w:r w:rsidR="00D50322" w:rsidRPr="002D3D23">
        <w:rPr>
          <w:rFonts w:ascii="Book Antiqua" w:hAnsi="Book Antiqua" w:cs="Arial"/>
          <w:color w:val="000000" w:themeColor="text1"/>
          <w:lang w:val="en-US"/>
        </w:rPr>
        <w:t xml:space="preserve">tise </w:t>
      </w:r>
      <w:r w:rsidRPr="002D3D23">
        <w:rPr>
          <w:rFonts w:ascii="Book Antiqua" w:hAnsi="Book Antiqua" w:cs="Arial"/>
          <w:color w:val="000000" w:themeColor="text1"/>
          <w:lang w:val="en-US"/>
        </w:rPr>
        <w:t>in the</w:t>
      </w:r>
      <w:r w:rsidR="002A7006" w:rsidRPr="002D3D23">
        <w:rPr>
          <w:rFonts w:ascii="Book Antiqua" w:hAnsi="Book Antiqua" w:cs="Arial"/>
          <w:color w:val="000000" w:themeColor="text1"/>
          <w:lang w:val="en-US"/>
        </w:rPr>
        <w:t xml:space="preserve"> development </w:t>
      </w:r>
      <w:r w:rsidR="00340C00" w:rsidRPr="002D3D23">
        <w:rPr>
          <w:rFonts w:ascii="Book Antiqua" w:hAnsi="Book Antiqua" w:cs="Arial"/>
          <w:color w:val="000000" w:themeColor="text1"/>
          <w:lang w:val="en-US"/>
        </w:rPr>
        <w:t>and use</w:t>
      </w:r>
      <w:r w:rsidRPr="002D3D23">
        <w:rPr>
          <w:rFonts w:ascii="Book Antiqua" w:hAnsi="Book Antiqua" w:cs="Arial"/>
          <w:color w:val="000000" w:themeColor="text1"/>
          <w:lang w:val="en-US"/>
        </w:rPr>
        <w:t xml:space="preserve"> of miniature endoscop</w:t>
      </w:r>
      <w:r w:rsidR="002A7006" w:rsidRPr="002D3D23">
        <w:rPr>
          <w:rFonts w:ascii="Book Antiqua" w:hAnsi="Book Antiqua" w:cs="Arial"/>
          <w:color w:val="000000" w:themeColor="text1"/>
          <w:lang w:val="en-US"/>
        </w:rPr>
        <w:t>es</w:t>
      </w:r>
      <w:r w:rsidRPr="002D3D23">
        <w:rPr>
          <w:rFonts w:ascii="Book Antiqua" w:hAnsi="Book Antiqua" w:cs="Arial"/>
          <w:color w:val="000000" w:themeColor="text1"/>
          <w:lang w:val="en-US"/>
        </w:rPr>
        <w:t xml:space="preserve"> to enhance patient care. They are aware of the present challenges to </w:t>
      </w:r>
      <w:r w:rsidR="00340C00" w:rsidRPr="002D3D23">
        <w:rPr>
          <w:rFonts w:ascii="Book Antiqua" w:hAnsi="Book Antiqua" w:cs="Arial"/>
          <w:color w:val="000000" w:themeColor="text1"/>
          <w:lang w:val="en-US"/>
        </w:rPr>
        <w:t>clinical practice</w:t>
      </w:r>
      <w:r w:rsidRPr="002D3D23">
        <w:rPr>
          <w:rFonts w:ascii="Book Antiqua" w:hAnsi="Book Antiqua" w:cs="Arial"/>
          <w:color w:val="000000" w:themeColor="text1"/>
          <w:lang w:val="en-US"/>
        </w:rPr>
        <w:t xml:space="preserve">, including </w:t>
      </w:r>
      <w:r w:rsidR="00164536" w:rsidRPr="002D3D23">
        <w:rPr>
          <w:rFonts w:ascii="Book Antiqua" w:hAnsi="Book Antiqua" w:cs="Arial"/>
          <w:color w:val="000000" w:themeColor="text1"/>
          <w:lang w:val="en-US"/>
        </w:rPr>
        <w:t xml:space="preserve">rapid access to screening and diagnostics, </w:t>
      </w:r>
      <w:r w:rsidRPr="002D3D23">
        <w:rPr>
          <w:rFonts w:ascii="Book Antiqua" w:hAnsi="Book Antiqua" w:cs="Arial"/>
          <w:color w:val="000000" w:themeColor="text1"/>
          <w:lang w:val="en-US"/>
        </w:rPr>
        <w:t xml:space="preserve">improving early </w:t>
      </w:r>
      <w:r w:rsidR="00164536" w:rsidRPr="002D3D23">
        <w:rPr>
          <w:rFonts w:ascii="Book Antiqua" w:hAnsi="Book Antiqua" w:cs="Arial"/>
          <w:color w:val="000000" w:themeColor="text1"/>
          <w:lang w:val="en-US"/>
        </w:rPr>
        <w:t xml:space="preserve">cancer detection rates </w:t>
      </w:r>
      <w:r w:rsidRPr="002D3D23">
        <w:rPr>
          <w:rFonts w:ascii="Book Antiqua" w:hAnsi="Book Antiqua" w:cs="Arial"/>
          <w:color w:val="000000" w:themeColor="text1"/>
          <w:lang w:val="en-US"/>
        </w:rPr>
        <w:t xml:space="preserve">and </w:t>
      </w:r>
      <w:r w:rsidR="005E0DAE" w:rsidRPr="002D3D23">
        <w:rPr>
          <w:rFonts w:ascii="Book Antiqua" w:hAnsi="Book Antiqua" w:cs="Arial"/>
          <w:color w:val="000000" w:themeColor="text1"/>
          <w:lang w:val="en-US"/>
        </w:rPr>
        <w:t>developing less invasive therapeutic interventions. Miniature endoscopy may have a place in addressing all of these challenges.</w:t>
      </w:r>
      <w:r w:rsidRPr="002D3D23">
        <w:rPr>
          <w:rFonts w:ascii="Book Antiqua" w:hAnsi="Book Antiqua" w:cs="Arial"/>
          <w:color w:val="000000" w:themeColor="text1"/>
          <w:lang w:val="en-US"/>
        </w:rPr>
        <w:t xml:space="preserve"> </w:t>
      </w:r>
    </w:p>
    <w:p w14:paraId="69DD7AC1" w14:textId="47AABBFE" w:rsidR="009E1D2D" w:rsidRPr="002D3D23" w:rsidRDefault="00164536"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The 3</w:t>
      </w:r>
      <w:r w:rsidR="006C0E5C" w:rsidRPr="002D3D23">
        <w:rPr>
          <w:rFonts w:ascii="Book Antiqua" w:hAnsi="Book Antiqua" w:cs="Arial"/>
          <w:color w:val="000000" w:themeColor="text1"/>
          <w:lang w:val="en-US"/>
        </w:rPr>
        <w:t xml:space="preserve"> main areas explored in the review</w:t>
      </w:r>
      <w:r w:rsidRPr="002D3D23">
        <w:rPr>
          <w:rFonts w:ascii="Book Antiqua" w:hAnsi="Book Antiqua" w:cs="Arial"/>
          <w:color w:val="000000" w:themeColor="text1"/>
          <w:lang w:val="en-US"/>
        </w:rPr>
        <w:t xml:space="preserve"> are</w:t>
      </w:r>
      <w:r w:rsidR="006C0E5C" w:rsidRPr="002D3D23">
        <w:rPr>
          <w:rFonts w:ascii="Book Antiqua" w:hAnsi="Book Antiqua" w:cs="Arial"/>
          <w:color w:val="000000" w:themeColor="text1"/>
          <w:lang w:val="en-US"/>
        </w:rPr>
        <w:t>:</w:t>
      </w:r>
      <w:r w:rsidRPr="002D3D23">
        <w:rPr>
          <w:rFonts w:ascii="Book Antiqua" w:hAnsi="Book Antiqua" w:cs="Arial"/>
          <w:color w:val="000000" w:themeColor="text1"/>
          <w:lang w:val="en-US"/>
        </w:rPr>
        <w:t xml:space="preserve"> </w:t>
      </w:r>
      <w:r w:rsidR="008746ED" w:rsidRPr="002D3D23">
        <w:rPr>
          <w:rFonts w:ascii="Book Antiqua" w:hAnsi="Book Antiqua" w:cs="Arial"/>
          <w:color w:val="000000" w:themeColor="text1"/>
          <w:lang w:val="en-US"/>
        </w:rPr>
        <w:t xml:space="preserve">ultrathin endoscopy; wireless capsule endoscopy; and scanning fiber endoscopy. </w:t>
      </w:r>
    </w:p>
    <w:p w14:paraId="5FEC9047" w14:textId="77777777" w:rsidR="008746ED" w:rsidRDefault="008746ED" w:rsidP="002D3D23">
      <w:pPr>
        <w:adjustRightInd w:val="0"/>
        <w:snapToGrid w:val="0"/>
        <w:spacing w:line="360" w:lineRule="auto"/>
        <w:jc w:val="both"/>
        <w:rPr>
          <w:rFonts w:ascii="Book Antiqua" w:hAnsi="Book Antiqua" w:cs="Arial"/>
          <w:color w:val="000000" w:themeColor="text1"/>
          <w:lang w:val="en-US"/>
        </w:rPr>
      </w:pPr>
    </w:p>
    <w:p w14:paraId="0EB11795" w14:textId="7BFACF38" w:rsidR="00D001C9" w:rsidRPr="002D3D23" w:rsidRDefault="000231FF" w:rsidP="002D3D23">
      <w:pPr>
        <w:adjustRightInd w:val="0"/>
        <w:snapToGrid w:val="0"/>
        <w:spacing w:line="360" w:lineRule="auto"/>
        <w:jc w:val="both"/>
        <w:rPr>
          <w:rFonts w:ascii="Book Antiqua" w:hAnsi="Book Antiqua" w:cs="Arial"/>
          <w:b/>
          <w:color w:val="000000" w:themeColor="text1"/>
          <w:lang w:val="en-US"/>
        </w:rPr>
      </w:pPr>
      <w:r w:rsidRPr="002D3D23">
        <w:rPr>
          <w:rFonts w:ascii="Book Antiqua" w:hAnsi="Book Antiqua" w:cs="Arial"/>
          <w:b/>
          <w:color w:val="000000" w:themeColor="text1"/>
          <w:lang w:val="en-US"/>
        </w:rPr>
        <w:t>ULTRATHIN ENDOSCOPY</w:t>
      </w:r>
    </w:p>
    <w:p w14:paraId="5A78C23D" w14:textId="59AB7255" w:rsidR="00D001C9" w:rsidRPr="002D3D23" w:rsidRDefault="00C23DD1"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color w:val="000000" w:themeColor="text1"/>
          <w:lang w:val="en-US"/>
        </w:rPr>
        <w:t>Ultrathin endoscopes have many uses in gastroenterology and they are lauded as safe, cost-effective and easy-to-use tools which carry benefits that standard endoscopes do not</w:t>
      </w:r>
      <w:r w:rsidR="00CF7F81"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{"citationItems":[{"id":"ITEM-1","itemData":{"DOI":"10.1016/j.gie.2010.01.022","author":[{"dropping-particle":"","family":"ASGE Technology Committee","given":"","non-dropping-particle":"","parse-names":false,"suffix":""}],"container-title":"GIE","id":"ITEM-1","issue":"6","issued":{"date-parts":[["2010"]]},"title":"Ultrathin endoscopes","type":"article-journal","volume":"71"},"uris":["http://www.mendeley.com/documents/?uuid=fb07e02d-84d7-41af-bd57-79f846bb12ea","http://www.mendeley.com/documents/?uuid=67cbbef4-1720-48c6-8d95-32725d48321b"]}],"mendeley":{"formattedCitation":"(2)","plainTextFormattedCitation":"(2)","previouslyFormattedCitation":"(2)"},"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6732ED" w:rsidRPr="002D3D23">
        <w:rPr>
          <w:rFonts w:ascii="Book Antiqua" w:hAnsi="Book Antiqua" w:cs="Arial"/>
          <w:color w:val="000000" w:themeColor="text1"/>
          <w:vertAlign w:val="superscript"/>
          <w:lang w:val="en-US"/>
        </w:rPr>
        <w:t>2</w:t>
      </w:r>
      <w:r w:rsidRPr="002D3D23">
        <w:rPr>
          <w:rFonts w:ascii="Book Antiqua" w:hAnsi="Book Antiqua" w:cs="Arial"/>
          <w:color w:val="000000" w:themeColor="text1"/>
          <w:vertAlign w:val="superscript"/>
          <w:lang w:val="en-US"/>
        </w:rPr>
        <w:fldChar w:fldCharType="end"/>
      </w:r>
      <w:r w:rsidR="00CF7F81" w:rsidRPr="002D3D23">
        <w:rPr>
          <w:rFonts w:ascii="Book Antiqua" w:hAnsi="Book Antiqua" w:cs="Arial"/>
          <w:color w:val="000000" w:themeColor="text1"/>
          <w:vertAlign w:val="superscript"/>
          <w:lang w:val="en-US"/>
        </w:rPr>
        <w:t>]</w:t>
      </w:r>
      <w:r w:rsidR="000356FD" w:rsidRPr="002D3D23">
        <w:rPr>
          <w:rFonts w:ascii="Book Antiqua" w:hAnsi="Book Antiqua" w:cs="Arial"/>
          <w:color w:val="000000" w:themeColor="text1"/>
          <w:lang w:val="en-US"/>
        </w:rPr>
        <w:t>.</w:t>
      </w:r>
      <w:r w:rsidRPr="002D3D23">
        <w:rPr>
          <w:rFonts w:ascii="Book Antiqua" w:hAnsi="Book Antiqua" w:cs="Arial"/>
          <w:color w:val="000000" w:themeColor="text1"/>
          <w:lang w:val="en-US"/>
        </w:rPr>
        <w:t xml:space="preserve"> The first recorded use of unsedated ultrathin endoscopy</w:t>
      </w:r>
      <w:r w:rsidR="000356FD" w:rsidRPr="002D3D23">
        <w:rPr>
          <w:rFonts w:ascii="Book Antiqua" w:hAnsi="Book Antiqua" w:cs="Arial"/>
          <w:color w:val="000000" w:themeColor="text1"/>
          <w:lang w:val="en-US"/>
        </w:rPr>
        <w:t xml:space="preserve"> (UTE)</w:t>
      </w:r>
      <w:r w:rsidRPr="002D3D23">
        <w:rPr>
          <w:rFonts w:ascii="Book Antiqua" w:hAnsi="Book Antiqua" w:cs="Arial"/>
          <w:color w:val="000000" w:themeColor="text1"/>
          <w:lang w:val="en-US"/>
        </w:rPr>
        <w:t xml:space="preserve"> </w:t>
      </w:r>
      <w:r w:rsidRPr="002D3D23">
        <w:rPr>
          <w:rFonts w:ascii="Book Antiqua" w:hAnsi="Book Antiqua" w:cs="Arial"/>
          <w:color w:val="000000" w:themeColor="text1"/>
          <w:lang w:val="en-US"/>
        </w:rPr>
        <w:lastRenderedPageBreak/>
        <w:t xml:space="preserve">was in 1994 </w:t>
      </w:r>
      <w:r w:rsidR="00AF4EB9" w:rsidRPr="002D3D23">
        <w:rPr>
          <w:rFonts w:ascii="Book Antiqua" w:hAnsi="Book Antiqua" w:cs="Arial"/>
          <w:color w:val="000000" w:themeColor="text1"/>
          <w:lang w:val="en-US"/>
        </w:rPr>
        <w:t>when twenty healthy volunteers underwent esophagogastroduodenoscopy</w:t>
      </w:r>
      <w:r w:rsidR="00B67D03" w:rsidRPr="002D3D23">
        <w:rPr>
          <w:rFonts w:ascii="Book Antiqua" w:hAnsi="Book Antiqua" w:cs="Arial"/>
          <w:color w:val="000000" w:themeColor="text1"/>
          <w:lang w:val="en-US"/>
        </w:rPr>
        <w:t xml:space="preserve"> (EGD)</w:t>
      </w:r>
      <w:r w:rsidR="00AF4EB9" w:rsidRPr="002D3D23">
        <w:rPr>
          <w:rFonts w:ascii="Book Antiqua" w:hAnsi="Book Antiqua" w:cs="Arial"/>
          <w:color w:val="000000" w:themeColor="text1"/>
          <w:lang w:val="en-US"/>
        </w:rPr>
        <w:t xml:space="preserve"> using an Olympus GIF-N30 device</w:t>
      </w:r>
      <w:r w:rsidR="00AF4EB9"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{"citationItems":[{"id":"ITEM-1","itemData":{"ISSN":"0016-5107","author":[{"dropping-particle":"","family":"Shaker","given":"Reza","non-dropping-particle":"","parse-names":false,"suffix":""}],"container-title":"Gastrointestinal endoscopy","id":"ITEM-1","issue":"3","issued":{"date-parts":[["1994"]]},"page":"346-348","publisher":"Elsevier","title":"Unsedated trans-nasal pharyngoesophagogastroduodenoscopy (T-EGD): technique","type":"article-journal","volume":"40"},"uris":["http://www.mendeley.com/documents/?uuid=723e261d-09b5-41c9-abce-27031d559519","http://www.mendeley.com/documents/?uuid=4e4a980a-9e13-456c-974d-5e4ee715d554"]}],"mendeley":{"formattedCitation":"(3)","plainTextFormattedCitation":"(3)","previouslyFormattedCitation":"(3)"},"properties":{"noteIndex":0},"schema":"https://github.com/citation-style-language/schema/raw/master/csl-citation.json"}</w:instrText>
      </w:r>
      <w:r w:rsidR="00AF4EB9" w:rsidRPr="002D3D23">
        <w:rPr>
          <w:rFonts w:ascii="Book Antiqua" w:hAnsi="Book Antiqua" w:cs="Arial"/>
          <w:color w:val="000000" w:themeColor="text1"/>
          <w:vertAlign w:val="superscript"/>
          <w:lang w:val="en-US"/>
        </w:rPr>
        <w:fldChar w:fldCharType="separate"/>
      </w:r>
      <w:r w:rsidR="00CF7F81"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vertAlign w:val="superscript"/>
          <w:lang w:val="en-US"/>
        </w:rPr>
        <w:t>3</w:t>
      </w:r>
      <w:r w:rsidR="00AF4EB9" w:rsidRPr="002D3D23">
        <w:rPr>
          <w:rFonts w:ascii="Book Antiqua" w:hAnsi="Book Antiqua" w:cs="Arial"/>
          <w:color w:val="000000" w:themeColor="text1"/>
          <w:vertAlign w:val="superscript"/>
          <w:lang w:val="en-US"/>
        </w:rPr>
        <w:fldChar w:fldCharType="end"/>
      </w:r>
      <w:r w:rsidR="00CF7F81" w:rsidRPr="002D3D23">
        <w:rPr>
          <w:rFonts w:ascii="Book Antiqua" w:hAnsi="Book Antiqua" w:cs="Arial"/>
          <w:color w:val="000000" w:themeColor="text1"/>
          <w:vertAlign w:val="superscript"/>
          <w:lang w:val="en-US"/>
        </w:rPr>
        <w:t>]</w:t>
      </w:r>
      <w:r w:rsidR="000356FD" w:rsidRPr="002D3D23">
        <w:rPr>
          <w:rFonts w:ascii="Book Antiqua" w:hAnsi="Book Antiqua" w:cs="Arial"/>
          <w:color w:val="000000" w:themeColor="text1"/>
          <w:lang w:val="en-US"/>
        </w:rPr>
        <w:t>.</w:t>
      </w:r>
      <w:r w:rsidR="00AF4EB9" w:rsidRPr="002D3D23">
        <w:rPr>
          <w:rFonts w:ascii="Book Antiqua" w:hAnsi="Book Antiqua" w:cs="Arial"/>
          <w:color w:val="000000" w:themeColor="text1"/>
          <w:lang w:val="en-US"/>
        </w:rPr>
        <w:t xml:space="preserve"> Since then, its use has expanded into common practice in most endoscopy departments.</w:t>
      </w:r>
      <w:r w:rsidR="00D957BF" w:rsidRPr="002D3D23">
        <w:rPr>
          <w:rFonts w:ascii="Book Antiqua" w:hAnsi="Book Antiqua" w:cs="Arial"/>
          <w:color w:val="000000" w:themeColor="text1"/>
          <w:lang w:val="en-US"/>
        </w:rPr>
        <w:t xml:space="preserve"> In addition to diagnostic procedures, </w:t>
      </w:r>
      <w:r w:rsidR="000356FD" w:rsidRPr="002D3D23">
        <w:rPr>
          <w:rFonts w:ascii="Book Antiqua" w:hAnsi="Book Antiqua" w:cs="Arial"/>
          <w:color w:val="000000" w:themeColor="text1"/>
          <w:lang w:val="en-US"/>
        </w:rPr>
        <w:t>UTE</w:t>
      </w:r>
      <w:r w:rsidR="00D957BF" w:rsidRPr="002D3D23">
        <w:rPr>
          <w:rFonts w:ascii="Book Antiqua" w:hAnsi="Book Antiqua" w:cs="Arial"/>
          <w:color w:val="000000" w:themeColor="text1"/>
          <w:lang w:val="en-US"/>
        </w:rPr>
        <w:t xml:space="preserve"> ha</w:t>
      </w:r>
      <w:r w:rsidR="000356FD" w:rsidRPr="002D3D23">
        <w:rPr>
          <w:rFonts w:ascii="Book Antiqua" w:hAnsi="Book Antiqua" w:cs="Arial"/>
          <w:color w:val="000000" w:themeColor="text1"/>
          <w:lang w:val="en-US"/>
        </w:rPr>
        <w:t>s</w:t>
      </w:r>
      <w:r w:rsidR="00D957BF" w:rsidRPr="002D3D23">
        <w:rPr>
          <w:rFonts w:ascii="Book Antiqua" w:hAnsi="Book Antiqua" w:cs="Arial"/>
          <w:color w:val="000000" w:themeColor="text1"/>
          <w:lang w:val="en-US"/>
        </w:rPr>
        <w:t xml:space="preserve"> been used to varying degrees of success in therapeutic scenarios, such as self-expanding metal stent insertion, long intestinal tube placement for small bowel obstruction and </w:t>
      </w:r>
      <w:r w:rsidR="002B45D7" w:rsidRPr="002D3D23">
        <w:rPr>
          <w:rFonts w:ascii="Book Antiqua" w:hAnsi="Book Antiqua" w:cs="Arial"/>
          <w:color w:val="000000" w:themeColor="text1"/>
          <w:lang w:val="en-US"/>
        </w:rPr>
        <w:t xml:space="preserve">some </w:t>
      </w:r>
      <w:r w:rsidR="00D957BF" w:rsidRPr="002D3D23">
        <w:rPr>
          <w:rFonts w:ascii="Book Antiqua" w:hAnsi="Book Antiqua" w:cs="Arial"/>
          <w:color w:val="000000" w:themeColor="text1"/>
          <w:lang w:val="en-US"/>
        </w:rPr>
        <w:t xml:space="preserve">endoscopic retrograde cholangiopancreatography (ERCP) </w:t>
      </w:r>
      <w:r w:rsidR="002B45D7" w:rsidRPr="002D3D23">
        <w:rPr>
          <w:rFonts w:ascii="Book Antiqua" w:hAnsi="Book Antiqua" w:cs="Arial"/>
          <w:color w:val="000000" w:themeColor="text1"/>
          <w:lang w:val="en-US"/>
        </w:rPr>
        <w:t>cases</w:t>
      </w:r>
      <w:r w:rsidR="00CF7F81" w:rsidRPr="002D3D23">
        <w:rPr>
          <w:rFonts w:ascii="Book Antiqua" w:hAnsi="Book Antiqua" w:cs="Arial"/>
          <w:color w:val="000000" w:themeColor="text1"/>
          <w:vertAlign w:val="superscript"/>
          <w:lang w:val="en-US"/>
        </w:rPr>
        <w:t>[</w:t>
      </w:r>
      <w:r w:rsidR="00F82493"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ISSN":"0973-1482","author":[{"dropping-particle":"","family":"Li","given":"Shengxi","non-dropping-particle":"","parse-names":false,"suffix":""},{"dropping-particle":"","family":"Yuan","given":"Chu","non-dropping-particle":"","parse-names":false,"suffix":""},{"dropping-particle":"","family":"Xu","given":"Mei-Dong","non-dropping-particle":"","parse-names":false,"suffix":""}],"container-title":"Journal of cancer research and therapeutics","id":"ITEM-1","issue":"8","issued":{"date-parts":[["2015"]]},"page":"248","publisher":"Medknow Publications","title":"Two different endoscopic long intestinal tube placements for small bowel obstruction: Transnasal ultrathin endoscopy versus conventional endoscopy","type":"article-journal","volume":"11"},"uris":["http://www.mendeley.com/documents/?uuid=3b3f00fc-ec07-4016-9e4a-82c218af332e","http://www.mendeley.com/documents/?uuid=20e36370-91f6-4ac1-9fc3-a7420574b6a8"]},{"id":"ITEM-2","itemData":{"ISSN":"1868-6974","author":[{"dropping-particle":"","family":"Kawakami","given":"Hiroshi","non-dropping-particle":"","parse-names":false,"suffix":""},{"dropping-particle":"","family":"Kuwatani","given":"Masaki","non-dropping-particle":"","parse-names":false,"suffix":""},{"dropping-particle":"","family":"Kawahata","given":"Shuhei","non-dropping-particle":"","parse-names":false,"suffix":""}],"container-title":"Journal of Hepato</w:instrText>
      </w:r>
      <w:r w:rsidR="00164536" w:rsidRPr="002D3D23">
        <w:rPr>
          <w:rFonts w:ascii="Cambria Math" w:hAnsi="Cambria Math" w:cs="Cambria Math"/>
          <w:color w:val="000000" w:themeColor="text1"/>
          <w:vertAlign w:val="superscript"/>
          <w:lang w:val="en-US"/>
        </w:rPr>
        <w:instrText>‐</w:instrText>
      </w:r>
      <w:r w:rsidR="00164536" w:rsidRPr="002D3D23">
        <w:rPr>
          <w:rFonts w:ascii="Book Antiqua" w:hAnsi="Book Antiqua" w:cs="Arial"/>
          <w:color w:val="000000" w:themeColor="text1"/>
          <w:vertAlign w:val="superscript"/>
          <w:lang w:val="en-US"/>
        </w:rPr>
        <w:instrText>Biliary</w:instrText>
      </w:r>
      <w:r w:rsidR="00164536" w:rsidRPr="002D3D23">
        <w:rPr>
          <w:rFonts w:ascii="Cambria Math" w:hAnsi="Cambria Math" w:cs="Cambria Math"/>
          <w:color w:val="000000" w:themeColor="text1"/>
          <w:vertAlign w:val="superscript"/>
          <w:lang w:val="en-US"/>
        </w:rPr>
        <w:instrText>‐</w:instrText>
      </w:r>
      <w:r w:rsidR="00164536" w:rsidRPr="002D3D23">
        <w:rPr>
          <w:rFonts w:ascii="Book Antiqua" w:hAnsi="Book Antiqua" w:cs="Arial"/>
          <w:color w:val="000000" w:themeColor="text1"/>
          <w:vertAlign w:val="superscript"/>
          <w:lang w:val="en-US"/>
        </w:rPr>
        <w:instrText>Pancreatic Sciences","id":"ITEM-2","issue":"7","issued":{"date-parts":[["2015"]]},"page":"571-572","publisher":"Wiley Online Library","title":"Peroral ultra</w:instrText>
      </w:r>
      <w:r w:rsidR="00164536" w:rsidRPr="002D3D23">
        <w:rPr>
          <w:rFonts w:ascii="Cambria Math" w:hAnsi="Cambria Math" w:cs="Cambria Math"/>
          <w:color w:val="000000" w:themeColor="text1"/>
          <w:vertAlign w:val="superscript"/>
          <w:lang w:val="en-US"/>
        </w:rPr>
        <w:instrText>‐</w:instrText>
      </w:r>
      <w:r w:rsidR="00164536" w:rsidRPr="002D3D23">
        <w:rPr>
          <w:rFonts w:ascii="Book Antiqua" w:hAnsi="Book Antiqua" w:cs="Arial"/>
          <w:color w:val="000000" w:themeColor="text1"/>
          <w:vertAlign w:val="superscript"/>
          <w:lang w:val="en-US"/>
        </w:rPr>
        <w:instrText>slim endoscopy</w:instrText>
      </w:r>
      <w:r w:rsidR="00164536" w:rsidRPr="002D3D23">
        <w:rPr>
          <w:rFonts w:ascii="Cambria Math" w:hAnsi="Cambria Math" w:cs="Cambria Math"/>
          <w:color w:val="000000" w:themeColor="text1"/>
          <w:vertAlign w:val="superscript"/>
          <w:lang w:val="en-US"/>
        </w:rPr>
        <w:instrText>‐</w:instrText>
      </w:r>
      <w:r w:rsidR="00164536" w:rsidRPr="002D3D23">
        <w:rPr>
          <w:rFonts w:ascii="Book Antiqua" w:hAnsi="Book Antiqua" w:cs="Arial"/>
          <w:color w:val="000000" w:themeColor="text1"/>
          <w:vertAlign w:val="superscript"/>
          <w:lang w:val="en-US"/>
        </w:rPr>
        <w:instrText>guided biliary drainage and stone extraction for postoperative upper gastrointestinal stenosis with a naïve papilla (with videos)","type":"article-journal","volume":"22"},"uris":["http://www.mendeley.com/documents/?uuid=adffe9f6-f7f6-44bb-a2d6-26c6e143f403","http://www.mendeley.com/documents/?uuid=12b77b8a-3bd5-450d-80bd-0cbb4814f0a3"]},{"id":"ITEM-3","itemData":{"ISSN":"0915-5635","author":[{"dropping-particle":"","family":"Park","given":"Se Woo","non-dropping-particle":"","parse-names":false,"suffix":""},{"dropping-particle":"","family":"Lee","given":"Hyuk","non-dropping-particle":"","parse-names":false,"suffix":""},{"dropping-particle":"","family":"Park","given":"Jun Chul","non-dropping-particle":"","parse-names":false,"suffix":""},{"dropping-particle":"","family":"Shin","given":"Sung Kwan","non-dropping-particle":"","parse-names":false,"suffix":""},{"dropping-particle":"","family":"Lee","given":"Sang Kil","non-dropping-particle":"","parse-names":false,"suffix":""},{"dropping-particle":"","family":"Lee","given":"Yong Chan","non-dropping-particle":"","parse-names":false,"suffix":""}],"container-title":"Digestive Endoscopy","id":"ITEM-3","issue":"2","issued":{"date-parts":[["2014"]]},"page":"200-207","publisher":"Wiley Online Library","title":"Ultrathin endoscope</w:instrText>
      </w:r>
      <w:r w:rsidR="00164536" w:rsidRPr="002D3D23">
        <w:rPr>
          <w:rFonts w:ascii="Cambria Math" w:hAnsi="Cambria Math" w:cs="Cambria Math"/>
          <w:color w:val="000000" w:themeColor="text1"/>
          <w:vertAlign w:val="superscript"/>
          <w:lang w:val="en-US"/>
        </w:rPr>
        <w:instrText>‐</w:instrText>
      </w:r>
      <w:r w:rsidR="00164536" w:rsidRPr="002D3D23">
        <w:rPr>
          <w:rFonts w:ascii="Book Antiqua" w:hAnsi="Book Antiqua" w:cs="Arial"/>
          <w:color w:val="000000" w:themeColor="text1"/>
          <w:vertAlign w:val="superscript"/>
          <w:lang w:val="en-US"/>
        </w:rPr>
        <w:instrText>assisted self</w:instrText>
      </w:r>
      <w:r w:rsidR="00164536" w:rsidRPr="002D3D23">
        <w:rPr>
          <w:rFonts w:ascii="Cambria Math" w:hAnsi="Cambria Math" w:cs="Cambria Math"/>
          <w:color w:val="000000" w:themeColor="text1"/>
          <w:vertAlign w:val="superscript"/>
          <w:lang w:val="en-US"/>
        </w:rPr>
        <w:instrText>‐</w:instrText>
      </w:r>
      <w:r w:rsidR="00164536" w:rsidRPr="002D3D23">
        <w:rPr>
          <w:rFonts w:ascii="Book Antiqua" w:hAnsi="Book Antiqua" w:cs="Arial"/>
          <w:color w:val="000000" w:themeColor="text1"/>
          <w:vertAlign w:val="superscript"/>
          <w:lang w:val="en-US"/>
        </w:rPr>
        <w:instrText>expandable metallic stent placement following initial unsuccessful attempt in malignant upper gastrointestinal obstruction","type":"article-journal","volume":"26"},"uris":["http://www.mendeley.com/documents/?uuid=d0adc85e-2ea0-4006-bd92-a704a07990cd","http://www.mendeley.com/documents/?uuid=058b8044-cd9c-4148-9166-34bc16af2d3e"]}],"mendeley":{"formattedCitation":"(4–6)","plainTextFormattedCitation":"(4–6)","previouslyFormattedCitation":"(4–6)"},"properties":{"noteIndex":0},"schema":"https://github.com/citation-style-language/schema/raw/master/csl-citation.json"}</w:instrText>
      </w:r>
      <w:r w:rsidR="00F82493" w:rsidRPr="002D3D23">
        <w:rPr>
          <w:rFonts w:ascii="Book Antiqua" w:hAnsi="Book Antiqua" w:cs="Arial"/>
          <w:color w:val="000000" w:themeColor="text1"/>
          <w:vertAlign w:val="superscript"/>
          <w:lang w:val="en-US"/>
        </w:rPr>
        <w:fldChar w:fldCharType="separate"/>
      </w:r>
      <w:r w:rsidR="006732ED" w:rsidRPr="002D3D23">
        <w:rPr>
          <w:rFonts w:ascii="Book Antiqua" w:hAnsi="Book Antiqua" w:cs="Arial"/>
          <w:color w:val="000000" w:themeColor="text1"/>
          <w:vertAlign w:val="superscript"/>
          <w:lang w:val="en-US"/>
        </w:rPr>
        <w:t>4–6</w:t>
      </w:r>
      <w:r w:rsidR="00F82493" w:rsidRPr="002D3D23">
        <w:rPr>
          <w:rFonts w:ascii="Book Antiqua" w:hAnsi="Book Antiqua" w:cs="Arial"/>
          <w:color w:val="000000" w:themeColor="text1"/>
          <w:vertAlign w:val="superscript"/>
          <w:lang w:val="en-US"/>
        </w:rPr>
        <w:fldChar w:fldCharType="end"/>
      </w:r>
      <w:r w:rsidR="00CF7F81" w:rsidRPr="002D3D23">
        <w:rPr>
          <w:rFonts w:ascii="Book Antiqua" w:hAnsi="Book Antiqua" w:cs="Arial"/>
          <w:color w:val="000000" w:themeColor="text1"/>
          <w:vertAlign w:val="superscript"/>
          <w:lang w:val="en-US"/>
        </w:rPr>
        <w:t>]</w:t>
      </w:r>
      <w:r w:rsidR="000356FD" w:rsidRPr="002D3D23">
        <w:rPr>
          <w:rFonts w:ascii="Book Antiqua" w:hAnsi="Book Antiqua" w:cs="Arial"/>
          <w:color w:val="000000" w:themeColor="text1"/>
          <w:lang w:val="en-US"/>
        </w:rPr>
        <w:t>.</w:t>
      </w:r>
    </w:p>
    <w:p w14:paraId="2946F3C2" w14:textId="3B69DF67" w:rsidR="007315BD" w:rsidRPr="002D3D23" w:rsidRDefault="00AF4EB9"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The </w:t>
      </w:r>
      <w:r w:rsidR="006345AA" w:rsidRPr="002D3D23">
        <w:rPr>
          <w:rFonts w:ascii="Book Antiqua" w:hAnsi="Book Antiqua" w:cs="Arial"/>
          <w:color w:val="000000" w:themeColor="text1"/>
          <w:lang w:val="en-US"/>
        </w:rPr>
        <w:t>convention</w:t>
      </w:r>
      <w:r w:rsidRPr="002D3D23">
        <w:rPr>
          <w:rFonts w:ascii="Book Antiqua" w:hAnsi="Book Antiqua" w:cs="Arial"/>
          <w:color w:val="000000" w:themeColor="text1"/>
          <w:lang w:val="en-US"/>
        </w:rPr>
        <w:t xml:space="preserve">al design of ultrathin endoscopes is similar to that of standard endoscopes. </w:t>
      </w:r>
      <w:r w:rsidR="00AE3348" w:rsidRPr="002D3D23">
        <w:rPr>
          <w:rFonts w:ascii="Book Antiqua" w:hAnsi="Book Antiqua" w:cs="Arial"/>
          <w:color w:val="000000" w:themeColor="text1"/>
          <w:lang w:val="en-US"/>
        </w:rPr>
        <w:t>However, s</w:t>
      </w:r>
      <w:r w:rsidRPr="002D3D23">
        <w:rPr>
          <w:rFonts w:ascii="Book Antiqua" w:hAnsi="Book Antiqua" w:cs="Arial"/>
          <w:color w:val="000000" w:themeColor="text1"/>
          <w:lang w:val="en-US"/>
        </w:rPr>
        <w:t>haft diameters tend to be around 6</w:t>
      </w:r>
      <w:r w:rsidR="008746ED">
        <w:rPr>
          <w:rFonts w:ascii="Book Antiqua" w:hAnsi="Book Antiqua" w:cs="Arial"/>
          <w:color w:val="000000" w:themeColor="text1"/>
          <w:lang w:val="en-US"/>
        </w:rPr>
        <w:t xml:space="preserve"> </w:t>
      </w:r>
      <w:r w:rsidRPr="002D3D23">
        <w:rPr>
          <w:rFonts w:ascii="Book Antiqua" w:hAnsi="Book Antiqua" w:cs="Arial"/>
          <w:color w:val="000000" w:themeColor="text1"/>
          <w:lang w:val="en-US"/>
        </w:rPr>
        <w:t>mm or less, allowing insertion through the</w:t>
      </w:r>
      <w:r w:rsidR="00A070C9" w:rsidRPr="002D3D23">
        <w:rPr>
          <w:rFonts w:ascii="Book Antiqua" w:hAnsi="Book Antiqua" w:cs="Arial"/>
          <w:color w:val="000000" w:themeColor="text1"/>
          <w:lang w:val="en-US"/>
        </w:rPr>
        <w:t xml:space="preserve"> </w:t>
      </w:r>
      <w:r w:rsidRPr="002D3D23">
        <w:rPr>
          <w:rFonts w:ascii="Book Antiqua" w:hAnsi="Book Antiqua" w:cs="Arial"/>
          <w:color w:val="000000" w:themeColor="text1"/>
          <w:lang w:val="en-US"/>
        </w:rPr>
        <w:t>nasal cavity</w:t>
      </w:r>
      <w:r w:rsidR="00AE3348" w:rsidRPr="002D3D23">
        <w:rPr>
          <w:rFonts w:ascii="Book Antiqua" w:hAnsi="Book Antiqua" w:cs="Arial"/>
          <w:color w:val="000000" w:themeColor="text1"/>
          <w:lang w:val="en-US"/>
        </w:rPr>
        <w:t xml:space="preserve"> to perform transnasal endoscopy (TNE)</w:t>
      </w:r>
      <w:r w:rsidR="00E712A4"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{"citationItems":[{"id":"ITEM-1","itemData":{"DOI":"10.1016/j.gie.2010.01.022","author":[{"dropping-particle":"","family":"ASGE Technology Committee","given":"","non-dropping-particle":"","parse-names":false,"suffix":""}],"container-title":"GIE","id":"ITEM-1","issue":"6","issued":{"date-parts":[["2010"]]},"title":"Ultrathin endoscopes","type":"article-journal","volume":"71"},"uris":["http://www.mendeley.com/documents/?uuid=67cbbef4-1720-48c6-8d95-32725d48321b","http://www.mendeley.com/documents/?uuid=fb07e02d-84d7-41af-bd57-79f846bb12ea"]}],"mendeley":{"formattedCitation":"(2)","plainTextFormattedCitation":"(2)","previouslyFormattedCitation":"(2)"},"properties":{"noteIndex":0},"schema":"https://github.com/citation-style-language/schema/raw/master/csl-citation.json"}</w:instrText>
      </w:r>
      <w:r w:rsidR="00E712A4" w:rsidRPr="002D3D23">
        <w:rPr>
          <w:rFonts w:ascii="Book Antiqua" w:hAnsi="Book Antiqua" w:cs="Arial"/>
          <w:color w:val="000000" w:themeColor="text1"/>
          <w:vertAlign w:val="superscript"/>
          <w:lang w:val="en-US"/>
        </w:rPr>
        <w:fldChar w:fldCharType="separate"/>
      </w:r>
      <w:r w:rsidR="00CF7F81"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vertAlign w:val="superscript"/>
          <w:lang w:val="en-US"/>
        </w:rPr>
        <w:t>2</w:t>
      </w:r>
      <w:r w:rsidR="00E712A4" w:rsidRPr="002D3D23">
        <w:rPr>
          <w:rFonts w:ascii="Book Antiqua" w:hAnsi="Book Antiqua" w:cs="Arial"/>
          <w:color w:val="000000" w:themeColor="text1"/>
          <w:vertAlign w:val="superscript"/>
          <w:lang w:val="en-US"/>
        </w:rPr>
        <w:fldChar w:fldCharType="end"/>
      </w:r>
      <w:r w:rsidR="00CF7F81" w:rsidRPr="002D3D23">
        <w:rPr>
          <w:rFonts w:ascii="Book Antiqua" w:hAnsi="Book Antiqua" w:cs="Arial"/>
          <w:color w:val="000000" w:themeColor="text1"/>
          <w:vertAlign w:val="superscript"/>
          <w:lang w:val="en-US"/>
        </w:rPr>
        <w:t>]</w:t>
      </w:r>
      <w:r w:rsidR="000356FD" w:rsidRPr="002D3D23">
        <w:rPr>
          <w:rFonts w:ascii="Book Antiqua" w:hAnsi="Book Antiqua" w:cs="Arial"/>
          <w:color w:val="000000" w:themeColor="text1"/>
          <w:lang w:val="en-US"/>
        </w:rPr>
        <w:t>.</w:t>
      </w:r>
      <w:r w:rsidR="00DA5531" w:rsidRPr="002D3D23">
        <w:rPr>
          <w:rFonts w:ascii="Book Antiqua" w:hAnsi="Book Antiqua" w:cs="Arial"/>
          <w:color w:val="000000" w:themeColor="text1"/>
          <w:lang w:val="en-US"/>
        </w:rPr>
        <w:t xml:space="preserve"> </w:t>
      </w:r>
      <w:r w:rsidR="002B45D7" w:rsidRPr="002D3D23">
        <w:rPr>
          <w:rFonts w:ascii="Book Antiqua" w:hAnsi="Book Antiqua" w:cs="Arial"/>
          <w:color w:val="000000" w:themeColor="text1"/>
          <w:lang w:val="en-US"/>
        </w:rPr>
        <w:t>Portable and disposable</w:t>
      </w:r>
      <w:r w:rsidR="006345AA" w:rsidRPr="002D3D23">
        <w:rPr>
          <w:rFonts w:ascii="Book Antiqua" w:hAnsi="Book Antiqua" w:cs="Arial"/>
          <w:color w:val="000000" w:themeColor="text1"/>
          <w:lang w:val="en-US"/>
        </w:rPr>
        <w:t xml:space="preserve"> models</w:t>
      </w:r>
      <w:r w:rsidR="00470AFC" w:rsidRPr="002D3D23">
        <w:rPr>
          <w:rFonts w:ascii="Book Antiqua" w:hAnsi="Book Antiqua" w:cs="Arial"/>
          <w:color w:val="000000" w:themeColor="text1"/>
          <w:lang w:val="en-US"/>
        </w:rPr>
        <w:t xml:space="preserve"> of ultrathin endoscopes</w:t>
      </w:r>
      <w:r w:rsidR="006345AA" w:rsidRPr="002D3D23">
        <w:rPr>
          <w:rFonts w:ascii="Book Antiqua" w:hAnsi="Book Antiqua" w:cs="Arial"/>
          <w:color w:val="000000" w:themeColor="text1"/>
          <w:lang w:val="en-US"/>
        </w:rPr>
        <w:t xml:space="preserve"> </w:t>
      </w:r>
      <w:r w:rsidR="00470AFC" w:rsidRPr="002D3D23">
        <w:rPr>
          <w:rFonts w:ascii="Book Antiqua" w:hAnsi="Book Antiqua" w:cs="Arial"/>
          <w:color w:val="000000" w:themeColor="text1"/>
          <w:lang w:val="en-US"/>
        </w:rPr>
        <w:t>have the potential to change the approach taken to clinical practice</w:t>
      </w:r>
      <w:r w:rsidR="006345AA" w:rsidRPr="002D3D23">
        <w:rPr>
          <w:rFonts w:ascii="Book Antiqua" w:hAnsi="Book Antiqua" w:cs="Arial"/>
          <w:color w:val="000000" w:themeColor="text1"/>
          <w:lang w:val="en-US"/>
        </w:rPr>
        <w:t>.</w:t>
      </w:r>
      <w:r w:rsidR="000356FD" w:rsidRPr="002D3D23">
        <w:rPr>
          <w:rFonts w:ascii="Book Antiqua" w:hAnsi="Book Antiqua" w:cs="Arial"/>
          <w:color w:val="000000" w:themeColor="text1"/>
          <w:lang w:val="en-US"/>
        </w:rPr>
        <w:t xml:space="preserve"> </w:t>
      </w:r>
      <w:r w:rsidR="00376C12" w:rsidRPr="002D3D23">
        <w:rPr>
          <w:rFonts w:ascii="Book Antiqua" w:hAnsi="Book Antiqua" w:cs="Arial"/>
          <w:color w:val="000000" w:themeColor="text1"/>
          <w:lang w:val="en-US"/>
        </w:rPr>
        <w:t>The</w:t>
      </w:r>
      <w:r w:rsidR="00B67D03" w:rsidRPr="002D3D23">
        <w:rPr>
          <w:rFonts w:ascii="Book Antiqua" w:hAnsi="Book Antiqua" w:cs="Arial"/>
          <w:color w:val="000000" w:themeColor="text1"/>
          <w:lang w:val="en-US"/>
        </w:rPr>
        <w:t xml:space="preserve"> newest</w:t>
      </w:r>
      <w:r w:rsidR="00376C12" w:rsidRPr="002D3D23">
        <w:rPr>
          <w:rFonts w:ascii="Book Antiqua" w:hAnsi="Book Antiqua" w:cs="Arial"/>
          <w:color w:val="000000" w:themeColor="text1"/>
          <w:lang w:val="en-US"/>
        </w:rPr>
        <w:t xml:space="preserve"> </w:t>
      </w:r>
      <w:r w:rsidR="002B45D7" w:rsidRPr="002D3D23">
        <w:rPr>
          <w:rFonts w:ascii="Book Antiqua" w:hAnsi="Book Antiqua" w:cs="Arial"/>
          <w:color w:val="000000" w:themeColor="text1"/>
          <w:lang w:val="en-US"/>
        </w:rPr>
        <w:t>devices</w:t>
      </w:r>
      <w:r w:rsidR="00376C12" w:rsidRPr="002D3D23">
        <w:rPr>
          <w:rFonts w:ascii="Book Antiqua" w:hAnsi="Book Antiqua" w:cs="Arial"/>
          <w:color w:val="000000" w:themeColor="text1"/>
          <w:lang w:val="en-US"/>
        </w:rPr>
        <w:t xml:space="preserve"> have disposable sheaths which </w:t>
      </w:r>
      <w:r w:rsidR="00C15F36" w:rsidRPr="002D3D23">
        <w:rPr>
          <w:rFonts w:ascii="Book Antiqua" w:hAnsi="Book Antiqua" w:cs="Arial"/>
          <w:color w:val="000000" w:themeColor="text1"/>
          <w:lang w:val="en-US"/>
        </w:rPr>
        <w:t xml:space="preserve">eliminate the need for </w:t>
      </w:r>
      <w:r w:rsidR="00376C12" w:rsidRPr="002D3D23">
        <w:rPr>
          <w:rFonts w:ascii="Book Antiqua" w:hAnsi="Book Antiqua" w:cs="Arial"/>
          <w:color w:val="000000" w:themeColor="text1"/>
          <w:lang w:val="en-US"/>
        </w:rPr>
        <w:t>instrument decontamination</w:t>
      </w:r>
      <w:r w:rsidR="00B67D03" w:rsidRPr="002D3D23">
        <w:rPr>
          <w:rFonts w:ascii="Book Antiqua" w:hAnsi="Book Antiqua" w:cs="Arial"/>
          <w:color w:val="000000" w:themeColor="text1"/>
          <w:lang w:val="en-US"/>
        </w:rPr>
        <w:t xml:space="preserve"> and </w:t>
      </w:r>
      <w:r w:rsidR="00376C12" w:rsidRPr="002D3D23">
        <w:rPr>
          <w:rFonts w:ascii="Book Antiqua" w:hAnsi="Book Antiqua" w:cs="Arial"/>
          <w:color w:val="000000" w:themeColor="text1"/>
          <w:lang w:val="en-US"/>
        </w:rPr>
        <w:t xml:space="preserve">allow multiple examinations to take place </w:t>
      </w:r>
      <w:r w:rsidR="00B67D03" w:rsidRPr="002D3D23">
        <w:rPr>
          <w:rFonts w:ascii="Book Antiqua" w:hAnsi="Book Antiqua" w:cs="Arial"/>
          <w:color w:val="000000" w:themeColor="text1"/>
          <w:lang w:val="en-US"/>
        </w:rPr>
        <w:t>using</w:t>
      </w:r>
      <w:r w:rsidR="00376C12" w:rsidRPr="002D3D23">
        <w:rPr>
          <w:rFonts w:ascii="Book Antiqua" w:hAnsi="Book Antiqua" w:cs="Arial"/>
          <w:color w:val="000000" w:themeColor="text1"/>
          <w:lang w:val="en-US"/>
        </w:rPr>
        <w:t xml:space="preserve"> the same device in quick succession. The light source, processor and screen are integrated into a portable digital processing unit</w:t>
      </w:r>
      <w:r w:rsidR="00966073" w:rsidRPr="002D3D23">
        <w:rPr>
          <w:rFonts w:ascii="Book Antiqua" w:hAnsi="Book Antiqua" w:cs="Arial"/>
          <w:color w:val="000000" w:themeColor="text1"/>
          <w:vertAlign w:val="superscript"/>
          <w:lang w:val="en-US"/>
        </w:rPr>
        <w:t>[</w:t>
      </w:r>
      <w:r w:rsidR="00376C12"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{"citationItems":[{"id":"ITEM-1","itemData":{"ISSN":"0013-726X","author":[{"dropping-particle":"","family":"Shariff","given":"Mohammed K","non-dropping-particle":"","parse-names":false,"suffix":""},{"dropping-particle":"","family":"Varghese","given":"Sibu","non-dropping-particle":"","parse-names":false,"suffix":""},{"dropping-particle":"","family":"O’Donovan","given":"Maria","non-dropping-particle":"","parse-names":false,"suffix":""},{"dropping-particle":"","family":"Abdullahi","given":"Zarah","non-dropping-particle":"","parse-names":false,"suffix":""},{"dropping-particle":"","family":"Liu","given":"Xinxue","non-dropping-particle":"","parse-names":false,"suffix":""},{"dropping-particle":"","family":"Fitzgerald","given":"Rebecca C","non-dropping-particle":"","parse-names":false,"suffix":""},{"dropping-particle":"","family":"Pietro","given":"Massimiliano","non-dropping-particle":"di","parse-names":false,"suffix":""}],"container-title":"Endoscopy","id":"ITEM-1","issue":"02","issued":{"date-parts":[["2016"]]},"page":"110-116","publisher":"© Georg Thieme Verlag KG","title":"Pilot randomized crossover study comparing the efficacy of transnasal disposable endosheath with standard endoscopy to detect Barrett’s esophagus","type":"article-journal","volume":"48"},"uris":["http://www.mendeley.com/documents/?uuid=1f82a72b-70dd-4968-bd37-235a8604c3ee","http://www.mendeley.com/documents/?uuid=03ebd70f-f476-4bcc-bff0-dc1fe52eea18"]}],"mendeley":{"formattedCitation":"(7)","plainTextFormattedCitation":"(7)","previouslyFormattedCitation":"(7)"},"properties":{"noteIndex":0},"schema":"https://github.com/citation-style-language/schema/raw/master/csl-citation.json"}</w:instrText>
      </w:r>
      <w:r w:rsidR="00376C12" w:rsidRPr="002D3D23">
        <w:rPr>
          <w:rFonts w:ascii="Book Antiqua" w:hAnsi="Book Antiqua" w:cs="Arial"/>
          <w:color w:val="000000" w:themeColor="text1"/>
          <w:vertAlign w:val="superscript"/>
          <w:lang w:val="en-US"/>
        </w:rPr>
        <w:fldChar w:fldCharType="separate"/>
      </w:r>
      <w:r w:rsidR="00376C12" w:rsidRPr="002D3D23">
        <w:rPr>
          <w:rFonts w:ascii="Book Antiqua" w:hAnsi="Book Antiqua" w:cs="Arial"/>
          <w:color w:val="000000" w:themeColor="text1"/>
          <w:vertAlign w:val="superscript"/>
          <w:lang w:val="en-US"/>
        </w:rPr>
        <w:t>7</w:t>
      </w:r>
      <w:r w:rsidR="00376C12" w:rsidRPr="002D3D23">
        <w:rPr>
          <w:rFonts w:ascii="Book Antiqua" w:hAnsi="Book Antiqua" w:cs="Arial"/>
          <w:color w:val="000000" w:themeColor="text1"/>
          <w:vertAlign w:val="superscript"/>
          <w:lang w:val="en-US"/>
        </w:rPr>
        <w:fldChar w:fldCharType="end"/>
      </w:r>
      <w:r w:rsidR="00966073" w:rsidRPr="002D3D23">
        <w:rPr>
          <w:rFonts w:ascii="Book Antiqua" w:hAnsi="Book Antiqua" w:cs="Arial"/>
          <w:color w:val="000000" w:themeColor="text1"/>
          <w:vertAlign w:val="superscript"/>
          <w:lang w:val="en-US"/>
        </w:rPr>
        <w:t>]</w:t>
      </w:r>
      <w:r w:rsidR="008746ED">
        <w:rPr>
          <w:rFonts w:ascii="Book Antiqua" w:hAnsi="Book Antiqua" w:cs="Arial"/>
          <w:color w:val="000000" w:themeColor="text1"/>
          <w:vertAlign w:val="superscript"/>
          <w:lang w:val="en-US"/>
        </w:rPr>
        <w:t xml:space="preserve"> </w:t>
      </w:r>
      <w:r w:rsidR="008746ED" w:rsidRPr="002D3D23">
        <w:rPr>
          <w:rFonts w:ascii="Book Antiqua" w:hAnsi="Book Antiqua" w:cs="Arial"/>
          <w:color w:val="000000" w:themeColor="text1"/>
          <w:lang w:val="en-US"/>
        </w:rPr>
        <w:t>(Figure 1)</w:t>
      </w:r>
      <w:r w:rsidR="00376C12" w:rsidRPr="002D3D23">
        <w:rPr>
          <w:rFonts w:ascii="Book Antiqua" w:hAnsi="Book Antiqua" w:cs="Arial"/>
          <w:color w:val="000000" w:themeColor="text1"/>
          <w:lang w:val="en-US"/>
        </w:rPr>
        <w:t>.</w:t>
      </w:r>
      <w:r w:rsidR="00470AFC" w:rsidRPr="002D3D23">
        <w:rPr>
          <w:rFonts w:ascii="Book Antiqua" w:hAnsi="Book Antiqua" w:cs="Arial"/>
          <w:color w:val="000000" w:themeColor="text1"/>
          <w:lang w:val="en-US"/>
        </w:rPr>
        <w:t xml:space="preserve"> </w:t>
      </w:r>
      <w:r w:rsidR="002B45D7" w:rsidRPr="002D3D23">
        <w:rPr>
          <w:rFonts w:ascii="Book Antiqua" w:hAnsi="Book Antiqua" w:cs="Arial"/>
          <w:color w:val="000000" w:themeColor="text1"/>
          <w:lang w:val="en-US"/>
        </w:rPr>
        <w:t xml:space="preserve">The </w:t>
      </w:r>
      <w:r w:rsidR="007315BD" w:rsidRPr="002D3D23">
        <w:rPr>
          <w:rFonts w:ascii="Book Antiqua" w:hAnsi="Book Antiqua" w:cs="Arial"/>
          <w:color w:val="000000" w:themeColor="text1"/>
          <w:lang w:val="en-US"/>
        </w:rPr>
        <w:t>employment of a portable system</w:t>
      </w:r>
      <w:r w:rsidR="004D6B52" w:rsidRPr="002D3D23">
        <w:rPr>
          <w:rFonts w:ascii="Book Antiqua" w:hAnsi="Book Antiqua" w:cs="Arial"/>
          <w:color w:val="000000" w:themeColor="text1"/>
          <w:lang w:val="en-US"/>
        </w:rPr>
        <w:t xml:space="preserve"> can obviate transfer to a hospital unit, which </w:t>
      </w:r>
      <w:r w:rsidR="00BC47B8" w:rsidRPr="002D3D23">
        <w:rPr>
          <w:rFonts w:ascii="Book Antiqua" w:hAnsi="Book Antiqua" w:cs="Arial"/>
          <w:color w:val="000000" w:themeColor="text1"/>
          <w:lang w:val="en-US"/>
        </w:rPr>
        <w:t xml:space="preserve">in itself </w:t>
      </w:r>
      <w:r w:rsidR="004D6B52" w:rsidRPr="002D3D23">
        <w:rPr>
          <w:rFonts w:ascii="Book Antiqua" w:hAnsi="Book Antiqua" w:cs="Arial"/>
          <w:color w:val="000000" w:themeColor="text1"/>
          <w:lang w:val="en-US"/>
        </w:rPr>
        <w:t xml:space="preserve">can cause </w:t>
      </w:r>
      <w:r w:rsidR="00FF2736" w:rsidRPr="002D3D23">
        <w:rPr>
          <w:rFonts w:ascii="Book Antiqua" w:hAnsi="Book Antiqua" w:cs="Arial"/>
          <w:color w:val="000000" w:themeColor="text1"/>
          <w:lang w:val="en-US"/>
        </w:rPr>
        <w:t xml:space="preserve">inconvenience and </w:t>
      </w:r>
      <w:r w:rsidR="004D6B52" w:rsidRPr="002D3D23">
        <w:rPr>
          <w:rFonts w:ascii="Book Antiqua" w:hAnsi="Book Antiqua" w:cs="Arial"/>
          <w:color w:val="000000" w:themeColor="text1"/>
          <w:lang w:val="en-US"/>
        </w:rPr>
        <w:t>distress to patients and carry significant cost to time and resources. The endoscopic test can instead take place in</w:t>
      </w:r>
      <w:r w:rsidR="003B0CDB">
        <w:rPr>
          <w:rFonts w:ascii="Book Antiqua" w:hAnsi="Book Antiqua" w:cs="Arial"/>
          <w:color w:val="000000" w:themeColor="text1"/>
          <w:lang w:val="en-US"/>
        </w:rPr>
        <w:t xml:space="preserve"> </w:t>
      </w:r>
      <w:r w:rsidR="004D6B52" w:rsidRPr="002D3D23">
        <w:rPr>
          <w:rFonts w:ascii="Book Antiqua" w:hAnsi="Book Antiqua" w:cs="Arial"/>
          <w:color w:val="000000" w:themeColor="text1"/>
          <w:lang w:val="en-US"/>
        </w:rPr>
        <w:t>a setting that is more acceptable to such individuals</w:t>
      </w:r>
      <w:r w:rsidR="00470AFC"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{"citationItems":[{"id":"ITEM-1","itemData":{"author":[{"dropping-particle":"","family":"Baeg","given":"Myong Ki","non-dropping-particle":"","parse-names":false,"suffix":""},{"dropping-particle":"","family":"Lim","given":"Chul-Hyun","non-dropping-particle":"","parse-names":false,"suffix":""},{"dropping-particle":"","family":"Kim","given":"Jin Su","non-dropping-particle":"","parse-names":false,"suffix":""},{"dropping-particle":"","family":"Cho","given":"Yu Kyung","non-dropping-particle":"","parse-names":false,"suffix":""},{"dropping-particle":"","family":"Park","given":"Jae Myung","non-dropping-particle":"","parse-names":false,"suffix":""},{"dropping-particle":"","family":"Lee","given":"Bo-In","non-dropping-particle":"","parse-names":false,"suffix":""},{"dropping-particle":"","family":"Lee","given":"In-Seok","non-dropping-particle":"","parse-names":false,"suffix":""},{"dropping-particle":"","family":"Choi","given":"Myung-Gyu","non-dropping-particle":"","parse-names":false,"suffix":""}],"container-title":"Medicine","id":"ITEM-1","issue":"48","issued":{"date-parts":[["2016"]]},"publisher":"Wolters Kluwer Health","title":"Portable disposable ultrathin endoscopy tested through percutaneous endoscopic gastrostomy","type":"article-journal","volume":"95"},"uris":["http://www.mendeley.com/documents/?uuid=bb7211b1-346a-42a4-aef5-6b1ac4127e7c","http://www.mendeley.com/documents/?uuid=aaaff6e2-5615-480e-ae6f-37560c35607e"]}],"mendeley":{"formattedCitation":"(8)","plainTextFormattedCitation":"(8)","previouslyFormattedCitation":"(8)"},"properties":{"noteIndex":0},"schema":"https://github.com/citation-style-language/schema/raw/master/csl-citation.json"}</w:instrText>
      </w:r>
      <w:r w:rsidR="00470AFC" w:rsidRPr="002D3D23">
        <w:rPr>
          <w:rFonts w:ascii="Book Antiqua" w:hAnsi="Book Antiqua" w:cs="Arial"/>
          <w:color w:val="000000" w:themeColor="text1"/>
          <w:vertAlign w:val="superscript"/>
          <w:lang w:val="en-US"/>
        </w:rPr>
        <w:fldChar w:fldCharType="separate"/>
      </w:r>
      <w:r w:rsidR="00966073"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vertAlign w:val="superscript"/>
          <w:lang w:val="en-US"/>
        </w:rPr>
        <w:t>8</w:t>
      </w:r>
      <w:r w:rsidR="00470AFC" w:rsidRPr="002D3D23">
        <w:rPr>
          <w:rFonts w:ascii="Book Antiqua" w:hAnsi="Book Antiqua" w:cs="Arial"/>
          <w:color w:val="000000" w:themeColor="text1"/>
          <w:vertAlign w:val="superscript"/>
          <w:lang w:val="en-US"/>
        </w:rPr>
        <w:fldChar w:fldCharType="end"/>
      </w:r>
      <w:r w:rsidR="00966073" w:rsidRPr="002D3D23">
        <w:rPr>
          <w:rFonts w:ascii="Book Antiqua" w:hAnsi="Book Antiqua" w:cs="Arial"/>
          <w:color w:val="000000" w:themeColor="text1"/>
          <w:vertAlign w:val="superscript"/>
          <w:lang w:val="en-US"/>
        </w:rPr>
        <w:t>]</w:t>
      </w:r>
      <w:r w:rsidR="00376C12" w:rsidRPr="002D3D23">
        <w:rPr>
          <w:rFonts w:ascii="Book Antiqua" w:hAnsi="Book Antiqua" w:cs="Arial"/>
          <w:color w:val="000000" w:themeColor="text1"/>
          <w:lang w:val="en-US"/>
        </w:rPr>
        <w:t>.</w:t>
      </w:r>
      <w:r w:rsidR="007315BD" w:rsidRPr="002D3D23">
        <w:rPr>
          <w:rFonts w:ascii="Book Antiqua" w:hAnsi="Book Antiqua" w:cs="Arial"/>
          <w:color w:val="000000" w:themeColor="text1"/>
          <w:lang w:val="en-US"/>
        </w:rPr>
        <w:t xml:space="preserve"> One </w:t>
      </w:r>
      <w:r w:rsidR="00A16518" w:rsidRPr="002D3D23">
        <w:rPr>
          <w:rFonts w:ascii="Book Antiqua" w:hAnsi="Book Antiqua" w:cs="Arial"/>
          <w:color w:val="000000" w:themeColor="text1"/>
          <w:lang w:val="en-US"/>
        </w:rPr>
        <w:t>therapeutic procedure for</w:t>
      </w:r>
      <w:r w:rsidR="007315BD" w:rsidRPr="002D3D23">
        <w:rPr>
          <w:rFonts w:ascii="Book Antiqua" w:hAnsi="Book Antiqua" w:cs="Arial"/>
          <w:color w:val="000000" w:themeColor="text1"/>
          <w:lang w:val="en-US"/>
        </w:rPr>
        <w:t xml:space="preserve"> which this may be pertinent is percutaneous endoscopic gastrostomy</w:t>
      </w:r>
      <w:r w:rsidR="00A16518" w:rsidRPr="002D3D23">
        <w:rPr>
          <w:rFonts w:ascii="Book Antiqua" w:hAnsi="Book Antiqua" w:cs="Arial"/>
          <w:color w:val="000000" w:themeColor="text1"/>
          <w:lang w:val="en-US"/>
        </w:rPr>
        <w:t xml:space="preserve"> (PEG)</w:t>
      </w:r>
      <w:r w:rsidR="007315BD" w:rsidRPr="002D3D23">
        <w:rPr>
          <w:rFonts w:ascii="Book Antiqua" w:hAnsi="Book Antiqua" w:cs="Arial"/>
          <w:color w:val="000000" w:themeColor="text1"/>
          <w:lang w:val="en-US"/>
        </w:rPr>
        <w:t xml:space="preserve"> insertion. Ultrathin transnasal endoscopes can be used to insert feeding tubes using the introducer method, which inserts the tube directly into the gastric lumen and eliminates the need for passage through the mouth</w:t>
      </w:r>
      <w:r w:rsidR="007315BD"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{"citationItems":[{"id":"ITEM-1","itemData":{"author":[{"dropping-particle":"","family":"Yoon","given":"Ezekiel Wong Toh","non-dropping-particle":"","parse-names":false,"suffix":""},{"dropping-particle":"","family":"Sakomoto","given":"Minoru","non-dropping-particle":"","parse-names":false,"suffix":""}],"id":"ITEM-1","issued":{"date-parts":[["0"]]},"title":"Percutaneous endoscopic gastrostomy (PEG) using the modified introducer technique: clinical experience and description of an innovative new kit","type":"article-journal"},"uris":["http://www.mendeley.com/documents/?uuid=bd008a59-f264-4501-bdfa-461635b786ee","http://www.mendeley.com/documents/?uuid=7df59ad6-76e2-4a6f-b70c-d1ea280b9647"]}],"mendeley":{"formattedCitation":"(9)","plainTextFormattedCitation":"(9)","previouslyFormattedCitation":"(9)"},"properties":{"noteIndex":0},"schema":"https://github.com/citation-style-language/schema/raw/master/csl-citation.json"}</w:instrText>
      </w:r>
      <w:r w:rsidR="007315BD" w:rsidRPr="002D3D23">
        <w:rPr>
          <w:rFonts w:ascii="Book Antiqua" w:hAnsi="Book Antiqua" w:cs="Arial"/>
          <w:color w:val="000000" w:themeColor="text1"/>
          <w:vertAlign w:val="superscript"/>
          <w:lang w:val="en-US"/>
        </w:rPr>
        <w:fldChar w:fldCharType="separate"/>
      </w:r>
      <w:r w:rsidR="00966073"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vertAlign w:val="superscript"/>
          <w:lang w:val="en-US"/>
        </w:rPr>
        <w:t>9</w:t>
      </w:r>
      <w:r w:rsidR="007315BD" w:rsidRPr="002D3D23">
        <w:rPr>
          <w:rFonts w:ascii="Book Antiqua" w:hAnsi="Book Antiqua" w:cs="Arial"/>
          <w:color w:val="000000" w:themeColor="text1"/>
          <w:vertAlign w:val="superscript"/>
          <w:lang w:val="en-US"/>
        </w:rPr>
        <w:fldChar w:fldCharType="end"/>
      </w:r>
      <w:r w:rsidR="00966073" w:rsidRPr="002D3D23">
        <w:rPr>
          <w:rFonts w:ascii="Book Antiqua" w:hAnsi="Book Antiqua" w:cs="Arial"/>
          <w:color w:val="000000" w:themeColor="text1"/>
          <w:vertAlign w:val="superscript"/>
          <w:lang w:val="en-US"/>
        </w:rPr>
        <w:t>]</w:t>
      </w:r>
      <w:r w:rsidR="00966073" w:rsidRPr="002D3D23">
        <w:rPr>
          <w:rFonts w:ascii="Book Antiqua" w:hAnsi="Book Antiqua" w:cs="Arial"/>
          <w:color w:val="000000" w:themeColor="text1"/>
          <w:lang w:val="en-US"/>
        </w:rPr>
        <w:t>.</w:t>
      </w:r>
      <w:r w:rsidR="007315BD" w:rsidRPr="002D3D23">
        <w:rPr>
          <w:rFonts w:ascii="Book Antiqua" w:hAnsi="Book Antiqua" w:cs="Arial"/>
          <w:color w:val="000000" w:themeColor="text1"/>
          <w:lang w:val="en-US"/>
        </w:rPr>
        <w:t xml:space="preserve"> This technique</w:t>
      </w:r>
      <w:r w:rsidR="00D957BF" w:rsidRPr="002D3D23">
        <w:rPr>
          <w:rFonts w:ascii="Book Antiqua" w:hAnsi="Book Antiqua" w:cs="Arial"/>
          <w:color w:val="000000" w:themeColor="text1"/>
          <w:lang w:val="en-US"/>
        </w:rPr>
        <w:t xml:space="preserve">, combined with use of a portable endoscope serves to </w:t>
      </w:r>
      <w:r w:rsidR="00627AE6" w:rsidRPr="002D3D23">
        <w:rPr>
          <w:rFonts w:ascii="Book Antiqua" w:hAnsi="Book Antiqua" w:cs="Arial"/>
          <w:color w:val="000000" w:themeColor="text1"/>
          <w:lang w:val="en-US"/>
        </w:rPr>
        <w:t>reduce the</w:t>
      </w:r>
      <w:r w:rsidR="00D957BF" w:rsidRPr="002D3D23">
        <w:rPr>
          <w:rFonts w:ascii="Book Antiqua" w:hAnsi="Book Antiqua" w:cs="Arial"/>
          <w:color w:val="000000" w:themeColor="text1"/>
          <w:lang w:val="en-US"/>
        </w:rPr>
        <w:t xml:space="preserve"> risk </w:t>
      </w:r>
      <w:r w:rsidR="00627AE6" w:rsidRPr="002D3D23">
        <w:rPr>
          <w:rFonts w:ascii="Book Antiqua" w:hAnsi="Book Antiqua" w:cs="Arial"/>
          <w:color w:val="000000" w:themeColor="text1"/>
          <w:lang w:val="en-US"/>
        </w:rPr>
        <w:t xml:space="preserve">of </w:t>
      </w:r>
      <w:r w:rsidR="00D957BF" w:rsidRPr="002D3D23">
        <w:rPr>
          <w:rFonts w:ascii="Book Antiqua" w:hAnsi="Book Antiqua" w:cs="Arial"/>
          <w:color w:val="000000" w:themeColor="text1"/>
          <w:lang w:val="en-US"/>
        </w:rPr>
        <w:t xml:space="preserve">cardiorespiratory side effects in </w:t>
      </w:r>
      <w:r w:rsidR="00627AE6" w:rsidRPr="002D3D23">
        <w:rPr>
          <w:rFonts w:ascii="Book Antiqua" w:hAnsi="Book Antiqua" w:cs="Arial"/>
          <w:color w:val="000000" w:themeColor="text1"/>
          <w:lang w:val="en-US"/>
        </w:rPr>
        <w:t xml:space="preserve">selected </w:t>
      </w:r>
      <w:r w:rsidR="00D957BF" w:rsidRPr="002D3D23">
        <w:rPr>
          <w:rFonts w:ascii="Book Antiqua" w:hAnsi="Book Antiqua" w:cs="Arial"/>
          <w:color w:val="000000" w:themeColor="text1"/>
          <w:lang w:val="en-US"/>
        </w:rPr>
        <w:t xml:space="preserve">at-risk </w:t>
      </w:r>
      <w:r w:rsidR="00627AE6" w:rsidRPr="002D3D23">
        <w:rPr>
          <w:rFonts w:ascii="Book Antiqua" w:hAnsi="Book Antiqua" w:cs="Arial"/>
          <w:color w:val="000000" w:themeColor="text1"/>
          <w:lang w:val="en-US"/>
        </w:rPr>
        <w:t>cases</w:t>
      </w:r>
      <w:r w:rsidR="00D957BF"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ISSN":"1028-415X","author":[{"dropping-particle":"","family":"Sato","given":"Yuichi","non-dropping-particle":"","parse-names":false,"suffix":""},{"dropping-particle":"","family":"Goshi","given":"Satoshi","non-dropping-particle":"","parse-names":false,"suffix":""},{"dropping-particle":"","family":"Kawauchi","given":"Yusuke","non-dropping-particle":"","parse-names":false,"suffix":""},{"dropping-particle":"","family":"Nishigaki","given":"Yuuki","non-dropping-particle":"","parse-names":false,"suffix":""},{"dropping-particle":"","family":"Mizuno","given":"Ken-Ichi","non-dropping-particle":"","parse-names":false,"suffix":""},{"dropping-particle":"","family":"Hashimoto","given":"Satoru","non-dropping-particle":"","parse-names":false,"suffix":""},{"dropping-particle":"","family":"Takeuchi","given":"Manabu","non-dropping-particle":"","parse-names":false,"suffix":""},{"dropping-particle":"","family":"Kobayashi","given":"Masaaki","non-dropping-particle":"","parse-names":false,"suffix":""},{"dropping-particle":"","family":"Ozawa","given":"Tetsutaro","non-dropping-particle":"","parse-names":false,"suffix":""},{"dropping-particle":"","family":"Nishizawa","given":"Masatoyo","non-dropping-particle":"","parse-names":false,"suffix":""}],"container-title":"Nutritional neuroscience","id":"ITEM-1","issue":"1","issued":{"date-parts":[["2017"]]},"page":"71-75","publisher":"Taylor &amp; Francis","title":"Safety of unsedated PEG placement using transoral ultrathin endoscopy in patients with amyotrophic lateral sclerosis","type":"article-journal","volume":"20"},"uris":["http://www.mendeley.com/documents/?uuid=10e1bfd8-4d88-46b9-ad49-6edc53cd068b","http://www.mendeley.com/documents/?uuid=d055a219-869c-4ada-b550-9f8bdfcf1c19"]}],"mendeley":{"formattedCitation":"(10)","plainTextFormattedCitation":"(10)","previouslyFormattedCitation":"(10)"},"properties":{"noteIndex":0},"schema":"https://github.com/citation-style-language/schema/raw/master/csl-citation.json"}</w:instrText>
      </w:r>
      <w:r w:rsidR="00D957BF" w:rsidRPr="002D3D23">
        <w:rPr>
          <w:rFonts w:ascii="Book Antiqua" w:hAnsi="Book Antiqua" w:cs="Arial"/>
          <w:color w:val="000000" w:themeColor="text1"/>
          <w:vertAlign w:val="superscript"/>
          <w:lang w:val="en-US"/>
        </w:rPr>
        <w:fldChar w:fldCharType="separate"/>
      </w:r>
      <w:r w:rsidR="00966073" w:rsidRPr="002D3D23">
        <w:rPr>
          <w:rFonts w:ascii="Book Antiqua" w:hAnsi="Book Antiqua" w:cs="Arial"/>
          <w:color w:val="000000" w:themeColor="text1"/>
          <w:vertAlign w:val="superscript"/>
          <w:lang w:val="en-US"/>
        </w:rPr>
        <w:t>[</w:t>
      </w:r>
      <w:r w:rsidR="006732ED" w:rsidRPr="002D3D23">
        <w:rPr>
          <w:rFonts w:ascii="Book Antiqua" w:hAnsi="Book Antiqua" w:cs="Arial"/>
          <w:color w:val="000000" w:themeColor="text1"/>
          <w:vertAlign w:val="superscript"/>
          <w:lang w:val="en-US"/>
        </w:rPr>
        <w:t>10</w:t>
      </w:r>
      <w:r w:rsidR="00D957BF" w:rsidRPr="002D3D23">
        <w:rPr>
          <w:rFonts w:ascii="Book Antiqua" w:hAnsi="Book Antiqua" w:cs="Arial"/>
          <w:color w:val="000000" w:themeColor="text1"/>
          <w:vertAlign w:val="superscript"/>
          <w:lang w:val="en-US"/>
        </w:rPr>
        <w:fldChar w:fldCharType="end"/>
      </w:r>
      <w:r w:rsidR="00966073" w:rsidRPr="002D3D23">
        <w:rPr>
          <w:rFonts w:ascii="Book Antiqua" w:hAnsi="Book Antiqua" w:cs="Arial"/>
          <w:color w:val="000000" w:themeColor="text1"/>
          <w:vertAlign w:val="superscript"/>
          <w:lang w:val="en-US"/>
        </w:rPr>
        <w:t>]</w:t>
      </w:r>
      <w:r w:rsidR="00376C12" w:rsidRPr="002D3D23">
        <w:rPr>
          <w:rFonts w:ascii="Book Antiqua" w:hAnsi="Book Antiqua" w:cs="Arial"/>
          <w:color w:val="000000" w:themeColor="text1"/>
          <w:lang w:val="en-US"/>
        </w:rPr>
        <w:t>.</w:t>
      </w:r>
    </w:p>
    <w:p w14:paraId="38C5C6EB" w14:textId="4C9F334F" w:rsidR="00C15F36" w:rsidRPr="002D3D23" w:rsidRDefault="00561C29"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Using tolerability assessment scores</w:t>
      </w:r>
      <w:r w:rsidR="00642811" w:rsidRPr="002D3D23">
        <w:rPr>
          <w:rFonts w:ascii="Book Antiqua" w:hAnsi="Book Antiqua" w:cs="Arial"/>
          <w:color w:val="000000" w:themeColor="text1"/>
          <w:lang w:val="en-US"/>
        </w:rPr>
        <w:t>, unsedated transnasal endoscopy (TNE) is reported by patients as comparable to sedated conventional EGD (</w:t>
      </w:r>
      <w:r w:rsidR="00BC47B8" w:rsidRPr="002D3D23">
        <w:rPr>
          <w:rFonts w:ascii="Book Antiqua" w:hAnsi="Book Antiqua" w:cs="Arial"/>
          <w:color w:val="000000" w:themeColor="text1"/>
          <w:lang w:val="en-US"/>
        </w:rPr>
        <w:t>C-</w:t>
      </w:r>
      <w:r w:rsidR="00642811" w:rsidRPr="002D3D23">
        <w:rPr>
          <w:rFonts w:ascii="Book Antiqua" w:hAnsi="Book Antiqua" w:cs="Arial"/>
          <w:color w:val="000000" w:themeColor="text1"/>
          <w:lang w:val="en-US"/>
        </w:rPr>
        <w:t>EGD)</w:t>
      </w:r>
      <w:r w:rsidR="00642811"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{"citationItems":[{"id":"ITEM-1","itemData":{"ISSN":"0192-0790","abstract":"Goals: \nTo determine patient preference for the Barrett esophagus (BE) screening techniques.\nBackground:\nSedated esophagogastroduodenoscopy (sEGD) and unsedated transnasal endoscopy (uTNE) are both potential techniques for BE screening. However, systematic assessment of patient preference for these 2 techniques is lacking. As part of a comparative effectiveness randomized trial of BE screening modalities, we measured short-term patient preferences for the following approaches: in-clinic uTNE (huTNE), mobile-based uTNE (muTNE), and sEGD using a novel assessment instrument.\nStudy:\nConsenting community patients without known BE were randomly assigned to receive huTNE, muTNE, or sEGD, followed by a telephone administered preference and tolerability assessment instrument 24 hours after study procedures. Patient preference was measured by the waiting trade-off method.\nResults:\nIn total, 201 patients completed screening with huTNE (n=71), muTNE (n=71), or sEGD (n=59), and a telephone interview. Patients’ preferences for sEGD and uTNE using the waiting trade-off method were comparable (P=0.51). Although tolerability scores were superior for sEGD (P&lt;0.001) compared with uTNE, scores for uTNE examinations were acceptable.\nConclusions:\nPatient preference is comparable between sEGD and uTNE for diagnostic examinations conducted in an endoscopy suite or in a mobile setting. Given acceptable tolerability, uTNE may be a viable alternative to sEGD for BE screening.","author":[{"dropping-particle":"","family":"Blevins","given":"Christopher H","non-dropping-particle":"","parse-names":false,"suffix":""},{"dropping-particle":"","family":"Egginton","given":"Jason S","non-dropping-particle":"","parse-names":false,"suffix":""},{"dropping-particle":"","family":"Shah","given":"Nilay D","non-dropping-particle":"","parse-names":false,"suffix":""},{"dropping-particle":"","family":"Johnson","given":"Michele L","non-dropping-particle":"","parse-names":false,"suffix":""},{"dropping-particle":"","family":"Iyer","given":"Prasad G","non-dropping-particle":"","parse-names":false,"suffix":""}],"container-title":"Journal of Clinical Gastroenterology","id":"ITEM-1","issue":"10","issued":{"date-parts":[["2018"]]},"title":"Comparative Assessment of Patient Preferences and Tolerability in Barrett Esophagus Screening: Results From a Randomized Trial","type":"article-journal","volume":"52"},"uris":["http://www.mendeley.com/documents/?uuid=68a6f56d-fe14-4a06-b22b-588848ba9f6d","http://www.mendeley.com/documents/?uuid=1ec2adf3-13c0-4b5c-a3e8-2e80884d86b7"]}],"mendeley":{"formattedCitation":"(11)","plainTextFormattedCitation":"(11)","previouslyFormattedCitation":"(11)"},"properties":{"noteIndex":0},"schema":"https://github.com/citation-style-language/schema/raw/master/csl-citation.json"}</w:instrText>
      </w:r>
      <w:r w:rsidR="00642811" w:rsidRPr="002D3D23">
        <w:rPr>
          <w:rFonts w:ascii="Book Antiqua" w:hAnsi="Book Antiqua" w:cs="Arial"/>
          <w:color w:val="000000" w:themeColor="text1"/>
          <w:vertAlign w:val="superscript"/>
          <w:lang w:val="en-US"/>
        </w:rPr>
        <w:fldChar w:fldCharType="separate"/>
      </w:r>
      <w:r w:rsidR="00A702A3" w:rsidRPr="002D3D23">
        <w:rPr>
          <w:rFonts w:ascii="Book Antiqua" w:hAnsi="Book Antiqua" w:cs="Arial"/>
          <w:color w:val="000000" w:themeColor="text1"/>
          <w:vertAlign w:val="superscript"/>
          <w:lang w:val="en-US"/>
        </w:rPr>
        <w:t>[</w:t>
      </w:r>
      <w:r w:rsidR="00642811" w:rsidRPr="002D3D23">
        <w:rPr>
          <w:rFonts w:ascii="Book Antiqua" w:hAnsi="Book Antiqua" w:cs="Arial"/>
          <w:color w:val="000000" w:themeColor="text1"/>
          <w:vertAlign w:val="superscript"/>
          <w:lang w:val="en-US"/>
        </w:rPr>
        <w:t>11</w:t>
      </w:r>
      <w:r w:rsidR="00642811" w:rsidRPr="002D3D23">
        <w:rPr>
          <w:rFonts w:ascii="Book Antiqua" w:hAnsi="Book Antiqua" w:cs="Arial"/>
          <w:color w:val="000000" w:themeColor="text1"/>
          <w:vertAlign w:val="superscript"/>
          <w:lang w:val="en-US"/>
        </w:rPr>
        <w:fldChar w:fldCharType="end"/>
      </w:r>
      <w:r w:rsidR="00A702A3" w:rsidRPr="002D3D23">
        <w:rPr>
          <w:rFonts w:ascii="Book Antiqua" w:hAnsi="Book Antiqua" w:cs="Arial"/>
          <w:color w:val="000000" w:themeColor="text1"/>
          <w:vertAlign w:val="superscript"/>
          <w:lang w:val="en-US"/>
        </w:rPr>
        <w:t>]</w:t>
      </w:r>
      <w:r w:rsidR="00642811" w:rsidRPr="002D3D23">
        <w:rPr>
          <w:rFonts w:ascii="Book Antiqua" w:hAnsi="Book Antiqua" w:cs="Arial"/>
          <w:color w:val="000000" w:themeColor="text1"/>
          <w:lang w:val="en-US"/>
        </w:rPr>
        <w:t xml:space="preserve">. </w:t>
      </w:r>
      <w:r w:rsidR="00587435" w:rsidRPr="002D3D23">
        <w:rPr>
          <w:rFonts w:ascii="Book Antiqua" w:hAnsi="Book Antiqua" w:cs="Arial"/>
          <w:color w:val="000000" w:themeColor="text1"/>
          <w:lang w:val="en-US"/>
        </w:rPr>
        <w:t>Th</w:t>
      </w:r>
      <w:r w:rsidR="0065642B" w:rsidRPr="002D3D23">
        <w:rPr>
          <w:rFonts w:ascii="Book Antiqua" w:hAnsi="Book Antiqua" w:cs="Arial"/>
          <w:color w:val="000000" w:themeColor="text1"/>
          <w:lang w:val="en-US"/>
        </w:rPr>
        <w:t>e</w:t>
      </w:r>
      <w:r w:rsidR="00587435" w:rsidRPr="002D3D23">
        <w:rPr>
          <w:rFonts w:ascii="Book Antiqua" w:hAnsi="Book Antiqua" w:cs="Arial"/>
          <w:color w:val="000000" w:themeColor="text1"/>
          <w:lang w:val="en-US"/>
        </w:rPr>
        <w:t xml:space="preserve"> tolerability, safety and effectiveness of </w:t>
      </w:r>
      <w:r w:rsidR="0065642B" w:rsidRPr="002D3D23">
        <w:rPr>
          <w:rFonts w:ascii="Book Antiqua" w:hAnsi="Book Antiqua" w:cs="Arial"/>
          <w:color w:val="000000" w:themeColor="text1"/>
          <w:lang w:val="en-US"/>
        </w:rPr>
        <w:t>UTE</w:t>
      </w:r>
      <w:r w:rsidR="00587435" w:rsidRPr="002D3D23">
        <w:rPr>
          <w:rFonts w:ascii="Book Antiqua" w:hAnsi="Book Antiqua" w:cs="Arial"/>
          <w:color w:val="000000" w:themeColor="text1"/>
          <w:lang w:val="en-US"/>
        </w:rPr>
        <w:t xml:space="preserve"> </w:t>
      </w:r>
      <w:r w:rsidR="0065642B" w:rsidRPr="002D3D23">
        <w:rPr>
          <w:rFonts w:ascii="Book Antiqua" w:hAnsi="Book Antiqua" w:cs="Arial"/>
          <w:color w:val="000000" w:themeColor="text1"/>
          <w:lang w:val="en-US"/>
        </w:rPr>
        <w:t>lends it</w:t>
      </w:r>
      <w:r w:rsidR="00C860A9" w:rsidRPr="002D3D23">
        <w:rPr>
          <w:rFonts w:ascii="Book Antiqua" w:hAnsi="Book Antiqua" w:cs="Arial"/>
          <w:color w:val="000000" w:themeColor="text1"/>
          <w:lang w:val="en-US"/>
        </w:rPr>
        <w:t>self</w:t>
      </w:r>
      <w:r w:rsidR="0065642B" w:rsidRPr="002D3D23">
        <w:rPr>
          <w:rFonts w:ascii="Book Antiqua" w:hAnsi="Book Antiqua" w:cs="Arial"/>
          <w:color w:val="000000" w:themeColor="text1"/>
          <w:lang w:val="en-US"/>
        </w:rPr>
        <w:t xml:space="preserve"> well to use in</w:t>
      </w:r>
      <w:r w:rsidR="00587435" w:rsidRPr="002D3D23">
        <w:rPr>
          <w:rFonts w:ascii="Book Antiqua" w:hAnsi="Book Antiqua" w:cs="Arial"/>
          <w:color w:val="000000" w:themeColor="text1"/>
          <w:lang w:val="en-US"/>
        </w:rPr>
        <w:t xml:space="preserve"> endoscopic screening for </w:t>
      </w:r>
      <w:r w:rsidR="00A719F8" w:rsidRPr="002D3D23">
        <w:rPr>
          <w:rFonts w:ascii="Book Antiqua" w:hAnsi="Book Antiqua" w:cs="Arial"/>
          <w:color w:val="000000" w:themeColor="text1"/>
          <w:lang w:val="en-US"/>
        </w:rPr>
        <w:t xml:space="preserve">esophageal disorders such as </w:t>
      </w:r>
      <w:r w:rsidR="00587435" w:rsidRPr="002D3D23">
        <w:rPr>
          <w:rFonts w:ascii="Book Antiqua" w:hAnsi="Book Antiqua" w:cs="Arial"/>
          <w:color w:val="000000" w:themeColor="text1"/>
          <w:lang w:val="en-US"/>
        </w:rPr>
        <w:t>Barrett’s esophagus</w:t>
      </w:r>
      <w:r w:rsidR="00A713C8" w:rsidRPr="002D3D23">
        <w:rPr>
          <w:rFonts w:ascii="Book Antiqua" w:hAnsi="Book Antiqua" w:cs="Arial"/>
          <w:color w:val="000000" w:themeColor="text1"/>
          <w:lang w:val="en-US"/>
        </w:rPr>
        <w:t xml:space="preserve"> (BE)</w:t>
      </w:r>
      <w:r w:rsidR="00587435" w:rsidRPr="002D3D23">
        <w:rPr>
          <w:rFonts w:ascii="Book Antiqua" w:hAnsi="Book Antiqua" w:cs="Arial"/>
          <w:color w:val="000000" w:themeColor="text1"/>
          <w:lang w:val="en-US"/>
        </w:rPr>
        <w:t xml:space="preserve"> and esophageal varices</w:t>
      </w:r>
      <w:r w:rsidR="0065642B"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{"citationItems":[{"id":"ITEM-1","itemData":{"ISSN":"1478-3223","author":[{"dropping-particle":"","family":"Castro Filho","given":"Elio C","non-dropping-particle":"","parse-names":false,"suffix":""},{"dropping-particle":"","family":"Perazzo","given":"Hugo","non-dropping-particle":"","parse-names":false,"suffix":""},{"dropping-particle":"","family":"Guimaraes","given":"Raquel A P","non-dropping-particle":"","parse-names":false,"suffix":""},{"dropping-particle":"","family":"Machado","given":"Lilian","non-dropping-particle":"","parse-names":false,"suffix":""},{"dropping-particle":"","family":"Fernandes","given":"Flavia F","non-dropping-particle":"","parse-names":false,"suffix":""},{"dropping-particle":"","family":"Perez","given":"Renata M","non-dropping-particle":"","parse-names":false,"suffix":""}],"container-title":"Liver International","id":"ITEM-1","issued":{"date-parts":[["2018"]]},"publisher":"Wiley Online Library","title":"Reliability and safety of transnasal compared to conventional endoscopy for detecting oesophageal varices in cirrhotic patients","type":"article-journal"},"uris":["http://www.mendeley.com/documents/?uuid=96b31fe7-5bec-4c52-b9ea-ef729043a1fa","http://www.mendeley.com/documents/?uuid=740742f7-364d-4950-9320-45fd293d7b96"]},{"id":"ITEM-2","itemData":{"DOI":"10.1016/j.cgh.2018.07.019","ISSN":"15423565","PMID":"30081223","abstract":"BACKGROUND &amp; AIMS Screening for Barrett's esophagus (BE) with conventional esophagogastroduodenoscopy (C-EGD) is expensive. We assessed the performance of a clinic-based, single use transnasal capsule endoscope (EG Scan II) for the detection of BE, compared to C-EGD as the reference standard. METHODS We performed a prospective multicenter cohort study of patients with and without BE recruited from 3 referral centers (1 in the United States and 2 in the United Kingdom). Of 200 consenting participants, 178 (89%) completed both procedures (11% failed EG Scan due to the inability to intubate the nasopharynx). The mean age of participants was 57.9 years and 67% were male. The prevalence of BE was 53%. All subjects underwent the 2 procedures on the same day, performed by blinded endoscopists. Patients completed preference and validated tolerability (10-point visual analogue scale [VAS]) questionnaires within 14 days of the procedures. RESULTS A higher proportion of patients preferred the EG Scan (54.2%) vs the C-EGD (16.7%) (P &lt; .001) and the EG Scan had a higher VAS score (7.2) vs the C-EGD (6.4) (P = .0004). No serious adverse events occurred. The EG Scan identified any length BE with a sensitivity value of 0.90 (95% CI, 0.83-0.96) and a specificity value of 0.91 (95% CI, 0.82-0.96). The EG Scan identified long segment BE with a sensitivity value of 0.95 and short segment BE with a sensitivity values of 0.87. CONCLUSIONS In a prospective study, we found the EG Scan to be safe and to detect BE with higher than 90% sensitivity and specificity. A higher proportion of patients preferred the EG Scan to C-EGD. This device might be used as a clinic-based tool to screen populations at risk for BE. ISRCTN registry identifier: 70595405; ClinicalTrials.gov no: NCT02066233.","author":[{"dropping-particle":"","family":"Sami","given":"Sarmed S.","non-dropping-particle":"","parse-names":false,"suffix":""},{"dropping-particle":"","family":"Iyer","given":"Prasad G.","non-dropping-particle":"","parse-names":false,"suffix":""},{"dropping-particle":"","family":"Pophali","given":"Prachi","non-dropping-particle":"","parse-names":false,"suffix":""},{"dropping-particle":"","family":"Halland","given":"Magnus","non-dropping-particle":"","parse-names":false,"suffix":""},{"dropping-particle":"","family":"Pietro","given":"Massimiliano","non-dropping-particle":"di","parse-names":false,"suffix":""},{"dropping-particle":"","family":"Ortiz-Fernandez-Sordo","given":"Jacobo","non-dropping-particle":"","parse-names":false,"suffix":""},{"dropping-particle":"","family":"White","given":"Jonathan R.","non-dropping-particle":"","parse-names":false,"suffix":""},{"dropping-particle":"","family":"Johnson","given":"Michele","non-dropping-particle":"","parse-names":false,"suffix":""},{"dropping-particle":"","family":"Guha","given":"Indra Neil","non-dropping-particle":"","parse-names":false,"suffix":""},{"dropping-particle":"","family":"Fitzgerald","given":"Rebecca C.","non-dropping-particle":"","parse-names":false,"suffix":""},{"dropping-particle":"","family":"Ragunath","given":"Krish","non-dropping-particle":"","parse-names":false,"suffix":""}],"container-title":"Clinical Gastroenterology and Hepatology","id":"ITEM-2","issued":{"date-parts":[["2018"]]},"title":"Acceptability, Accuracy, and Safety of Disposable Transnasal Capsule Endoscopy for Barrett's Esophagus Screening","type":"article-journal"},"uris":["http://www.mendeley.com/documents/?uuid=be0fc2b2-b478-3637-a73c-77be463aa2a2","http://www.mendeley.com/documents/?uuid=4b0340de-50d2-48bc-ab15-c64ec34fd6f3"]},{"id":"ITEM-3","itemData":{"ISSN":"0192-0790","abstract":"Goals: \nTo determine patient preference for the Barrett esophagus (BE) screening techniques.\nBackground:\nSedated esophagogastroduodenoscopy (sEGD) and unsedated transnasal endoscopy (uTNE) are both potential techniques for BE screening. However, systematic assessment of patient preference for these 2 techniques is lacking. As part of a comparative effectiveness randomized trial of BE screening modalities, we measured short-term patient preferences for the following approaches: in-clinic uTNE (huTNE), mobile-based uTNE (muTNE), and sEGD using a novel assessment instrument.\nStudy:\nConsenting community patients without known BE were randomly assigned to receive huTNE, muTNE, or sEGD, followed by a telephone administered preference and tolerability assessment instrument 24 hours after study procedures. Patient preference was measured by the waiting trade-off method.\nResults:\nIn total, 201 patients completed screening with huTNE (n=71), muTNE (n=71), or sEGD (n=59), and a telephone interview. Patients’ preferences for sEGD and uTNE using the waiting trade-off method were comparable (P=0.51). Although tolerability scores were superior for sEGD (P&lt;0.001) compared with uTNE, scores for uTNE examinations were acceptable.\nConclusions:\nPatient preference is comparable between sEGD and uTNE for diagnostic examinations conducted in an endoscopy suite or in a mobile setting. Given acceptable tolerability, uTNE may be a viable alternative to sEGD for BE screening.","author":[{"dropping-particle":"","family":"Blevins","given":"Christopher H","non-dropping-particle":"","parse-names":false,"suffix":""},{"dropping-particle":"","family":"Egginton","given":"Jason S","non-dropping-particle":"","parse-names":false,"suffix":""},{"dropping-particle":"","family":"Shah","given":"Nilay D","non-dropping-particle":"","parse-names":false,"suffix":""},{"dropping-particle":"","family":"Johnson","given":"Michele L","non-dropping-particle":"","parse-names":false,"suffix":""},{"dropping-particle":"","family":"Iyer","given":"Prasad G","non-dropping-particle":"","parse-names":false,"suffix":""}],"container-title":"Journal of Clinical Gastroenterology","id":"ITEM-3","issue":"10","issued":{"date-parts":[["2018"]]},"title":"Comparative Assessment of Patient Preferences and Tolerability in Barrett Esophagus Screening: Results From a Randomized Trial","type":"article-journal","volume":"52"},"uris":["http://www.mendeley.com/documents/?uuid=1ec2adf3-13c0-4b5c-a3e8-2e80884d86b7","http://www.mendeley.com/documents/?uuid=68a6f56d-fe14-4a06-b22b-588848ba9f6d"]}],"mendeley":{"formattedCitation":"(11–13)","plainTextFormattedCitation":"(11–13)","previouslyFormattedCitation":"(11–13)"},"properties":{"noteIndex":0},"schema":"https://github.com/citation-style-language/schema/raw/master/csl-citation.json"}</w:instrText>
      </w:r>
      <w:r w:rsidR="0065642B" w:rsidRPr="002D3D23">
        <w:rPr>
          <w:rFonts w:ascii="Book Antiqua" w:hAnsi="Book Antiqua" w:cs="Arial"/>
          <w:color w:val="000000" w:themeColor="text1"/>
          <w:vertAlign w:val="superscript"/>
          <w:lang w:val="en-US"/>
        </w:rPr>
        <w:fldChar w:fldCharType="separate"/>
      </w:r>
      <w:r w:rsidR="00A702A3" w:rsidRPr="002D3D23">
        <w:rPr>
          <w:rFonts w:ascii="Book Antiqua" w:hAnsi="Book Antiqua" w:cs="Arial"/>
          <w:color w:val="000000" w:themeColor="text1"/>
          <w:vertAlign w:val="superscript"/>
          <w:lang w:val="en-US"/>
        </w:rPr>
        <w:t>[</w:t>
      </w:r>
      <w:r w:rsidR="0065642B" w:rsidRPr="002D3D23">
        <w:rPr>
          <w:rFonts w:ascii="Book Antiqua" w:hAnsi="Book Antiqua" w:cs="Arial"/>
          <w:color w:val="000000" w:themeColor="text1"/>
          <w:vertAlign w:val="superscript"/>
          <w:lang w:val="en-US"/>
        </w:rPr>
        <w:t>11–13</w:t>
      </w:r>
      <w:r w:rsidR="0065642B" w:rsidRPr="002D3D23">
        <w:rPr>
          <w:rFonts w:ascii="Book Antiqua" w:hAnsi="Book Antiqua" w:cs="Arial"/>
          <w:color w:val="000000" w:themeColor="text1"/>
          <w:vertAlign w:val="superscript"/>
          <w:lang w:val="en-US"/>
        </w:rPr>
        <w:fldChar w:fldCharType="end"/>
      </w:r>
      <w:r w:rsidR="00A702A3" w:rsidRPr="002D3D23">
        <w:rPr>
          <w:rFonts w:ascii="Book Antiqua" w:hAnsi="Book Antiqua" w:cs="Arial"/>
          <w:color w:val="000000" w:themeColor="text1"/>
          <w:vertAlign w:val="superscript"/>
          <w:lang w:val="en-US"/>
        </w:rPr>
        <w:t>]</w:t>
      </w:r>
      <w:r w:rsidR="0065642B" w:rsidRPr="002D3D23">
        <w:rPr>
          <w:rFonts w:ascii="Book Antiqua" w:hAnsi="Book Antiqua" w:cs="Arial"/>
          <w:color w:val="000000" w:themeColor="text1"/>
          <w:lang w:val="en-US"/>
        </w:rPr>
        <w:t>.</w:t>
      </w:r>
      <w:r w:rsidR="00587435" w:rsidRPr="002D3D23">
        <w:rPr>
          <w:rFonts w:ascii="Book Antiqua" w:hAnsi="Book Antiqua" w:cs="Arial"/>
          <w:color w:val="000000" w:themeColor="text1"/>
          <w:lang w:val="en-US"/>
        </w:rPr>
        <w:t xml:space="preserve"> </w:t>
      </w:r>
      <w:r w:rsidR="00BB1B99" w:rsidRPr="002D3D23">
        <w:rPr>
          <w:rFonts w:ascii="Book Antiqua" w:hAnsi="Book Antiqua" w:cs="Arial"/>
          <w:color w:val="000000" w:themeColor="text1"/>
          <w:lang w:val="en-US"/>
        </w:rPr>
        <w:t>BE can be reliably diagnosed using UTE and the yield for intestinal metaplasia using smaller biopsy forceps is comparable to those used in C-EGD</w:t>
      </w:r>
      <w:r w:rsidR="00BB1B99"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{"citationItems":[{"id":"ITEM-1","itemData":{"DOI":"10.1016/j.gie.2012.01.029","ISSN":"1097-6779 (Electronic)","PMID":"22421496","abstract":"BACKGROUND: Unsedated transnasal endoscopy (TNE) may be safer and less expensive  than standard endoscopy (SE) for detecting Barrett's esophagus (BE). Emerging technologies require robust evaluation before routine use. OBJECTIVE: To evaluate the sensitivity, specificity, and acceptability of TNE in diagnosing BE compared with those of SE. DESIGN: Prospective, randomized, crossover study. SETTING: Single, tertiary-care referral center. PATIENTS: This study enrolled consecutive patients with BE or those referred for diagnostic assessment. INTERVENTION: All patients underwent TNE followed by SE or the reverse. Spielberger State-Trait Anxiety Inventory short-form questionnaires, a visual analogue scale, and a single question addressing preference for endoscopy type were administered. MAIN OUTCOME MEASUREMENTS: Diagnostic accuracy and tolerability of TNE were compared with those of SE. RESULTS: Of 95 patients randomized, 82 completed the study. We correctly diagnosed 48 of 49 BE cases by TNE for endoscopic findings of columnar lined esophagus compared with the criterion standard, SE, giving a sensitivity and specificity of 0.98 and 1.00, respectively. The BE median length was 3 cm (interquartile range [IQR] 1-5 cm) with SE and 3 cm (IQR 2-4 cm) with TNE, giving high correlations between the two modalities (R(2) = 0.97; P &lt; .001). The sensitivity and specificity for detecting intestinal metaplasia by TNE compared with those by SE was 0.91 and 1.00, respectively. The mean (+/- standard deviation) post-endoscopy Spielberger State-Trait Anxiety Inventory short-form score for TNE (30.0 +/- 1.10 standard error of the mean [SEM]) was lower than that for SE (30.7 +/- 1.29 SEM), (P = .054). The visual analogue scale scores were no different (P = .07). The majority of patients (59%) expressed a preference for TNE. LIMITATIONS: This is a small study, with limited generalizability, a high prevalence of patients with BE, differential drop-out between the two procedures, and use of sedation. CONCLUSION: TNE is an accurate and well-tolerated method for diagnosing BE compared with SE. TNE warrants further evaluation as a screening tool for BE.","author":[{"dropping-particle":"","family":"Shariff","given":"M Kareem","non-dropping-particle":"","parse-names":false,"suffix":""},{"dropping-particle":"","family":"Bird-Lieberman","given":"Elizabeth L","non-dropping-particle":"","parse-names":false,"suffix":""},{"dropping-particle":"","family":"O'Donovan","given":"Maria","non-dropping-particle":"","parse-names":false,"suffix":""},{"dropping-particle":"","family":"Abdullahi","given":"Zarah","non-dropping-particle":"","parse-names":false,"suffix":""},{"dropping-particle":"","family":"Liu","given":"Xinxue","non-dropping-particle":"","parse-names":false,"suffix":""},{"dropping-particle":"","family":"Blazeby","given":"Jane","non-dropping-particle":"","parse-names":false,"suffix":""},{"dropping-particle":"","family":"Fitzgerald","given":"Rebecca","non-dropping-particle":"","parse-names":false,"suffix":""}],"container-title":"Gastrointestinal endoscopy","id":"ITEM-1","issue":"5","issued":{"date-parts":[["2012","5"]]},"language":"eng","page":"954-961","publisher-place":"United States","title":"Randomized crossover study comparing efficacy of transnasal endoscopy with that of standard endoscopy to detect Barrett's esophagus.","type":"article-journal","volume":"75"},"uris":["http://www.mendeley.com/documents/?uuid=974deb58-5a1a-4dc7-aeb8-cce901297909","http://www.mendeley.com/documents/?uuid=478faa6a-d451-4345-8d28-1134286b08a2"]}],"mendeley":{"formattedCitation":"(14)","plainTextFormattedCitation":"(14)","previouslyFormattedCitation":"(14)"},"properties":{"noteIndex":0},"schema":"https://github.com/citation-style-language/schema/raw/master/csl-citation.json"}</w:instrText>
      </w:r>
      <w:r w:rsidR="00BB1B99" w:rsidRPr="002D3D23">
        <w:rPr>
          <w:rFonts w:ascii="Book Antiqua" w:hAnsi="Book Antiqua" w:cs="Arial"/>
          <w:color w:val="000000" w:themeColor="text1"/>
          <w:vertAlign w:val="superscript"/>
          <w:lang w:val="en-US"/>
        </w:rPr>
        <w:fldChar w:fldCharType="separate"/>
      </w:r>
      <w:r w:rsidR="00A702A3" w:rsidRPr="002D3D23">
        <w:rPr>
          <w:rFonts w:ascii="Book Antiqua" w:hAnsi="Book Antiqua" w:cs="Arial"/>
          <w:color w:val="000000" w:themeColor="text1"/>
          <w:vertAlign w:val="superscript"/>
          <w:lang w:val="en-US"/>
        </w:rPr>
        <w:t>[</w:t>
      </w:r>
      <w:r w:rsidR="00BB1B99" w:rsidRPr="002D3D23">
        <w:rPr>
          <w:rFonts w:ascii="Book Antiqua" w:hAnsi="Book Antiqua" w:cs="Arial"/>
          <w:color w:val="000000" w:themeColor="text1"/>
          <w:vertAlign w:val="superscript"/>
          <w:lang w:val="en-US"/>
        </w:rPr>
        <w:t>14</w:t>
      </w:r>
      <w:r w:rsidR="00BB1B99" w:rsidRPr="002D3D23">
        <w:rPr>
          <w:rFonts w:ascii="Book Antiqua" w:hAnsi="Book Antiqua" w:cs="Arial"/>
          <w:color w:val="000000" w:themeColor="text1"/>
          <w:vertAlign w:val="superscript"/>
          <w:lang w:val="en-US"/>
        </w:rPr>
        <w:fldChar w:fldCharType="end"/>
      </w:r>
      <w:r w:rsidR="00A702A3" w:rsidRPr="002D3D23">
        <w:rPr>
          <w:rFonts w:ascii="Book Antiqua" w:hAnsi="Book Antiqua" w:cs="Arial"/>
          <w:color w:val="000000" w:themeColor="text1"/>
          <w:vertAlign w:val="superscript"/>
          <w:lang w:val="en-US"/>
        </w:rPr>
        <w:t>]</w:t>
      </w:r>
      <w:r w:rsidR="00A702A3" w:rsidRPr="002D3D23">
        <w:rPr>
          <w:rFonts w:ascii="Book Antiqua" w:hAnsi="Book Antiqua" w:cs="Arial"/>
          <w:color w:val="000000" w:themeColor="text1"/>
          <w:lang w:val="en-US"/>
        </w:rPr>
        <w:t>.</w:t>
      </w:r>
      <w:r w:rsidR="00BB1B99" w:rsidRPr="002D3D23">
        <w:rPr>
          <w:rFonts w:ascii="Book Antiqua" w:hAnsi="Book Antiqua" w:cs="Arial"/>
          <w:color w:val="000000" w:themeColor="text1"/>
          <w:lang w:val="en-US"/>
        </w:rPr>
        <w:t xml:space="preserve"> </w:t>
      </w:r>
      <w:r w:rsidR="00A16518" w:rsidRPr="002D3D23">
        <w:rPr>
          <w:rFonts w:ascii="Book Antiqua" w:hAnsi="Book Antiqua" w:cs="Arial"/>
          <w:color w:val="000000" w:themeColor="text1"/>
          <w:lang w:val="en-US"/>
        </w:rPr>
        <w:lastRenderedPageBreak/>
        <w:t>T</w:t>
      </w:r>
      <w:r w:rsidR="00587435" w:rsidRPr="002D3D23">
        <w:rPr>
          <w:rFonts w:ascii="Book Antiqua" w:hAnsi="Book Antiqua" w:cs="Arial"/>
          <w:color w:val="000000" w:themeColor="text1"/>
          <w:lang w:val="en-US"/>
        </w:rPr>
        <w:t xml:space="preserve">he productivity of a screening </w:t>
      </w:r>
      <w:r w:rsidR="002D2860" w:rsidRPr="002D3D23">
        <w:rPr>
          <w:rFonts w:ascii="Book Antiqua" w:hAnsi="Book Antiqua" w:cs="Arial"/>
          <w:color w:val="000000" w:themeColor="text1"/>
          <w:lang w:val="en-US"/>
        </w:rPr>
        <w:t>program</w:t>
      </w:r>
      <w:r w:rsidR="00587435" w:rsidRPr="002D3D23">
        <w:rPr>
          <w:rFonts w:ascii="Book Antiqua" w:hAnsi="Book Antiqua" w:cs="Arial"/>
          <w:color w:val="000000" w:themeColor="text1"/>
          <w:lang w:val="en-US"/>
        </w:rPr>
        <w:t xml:space="preserve"> </w:t>
      </w:r>
      <w:r w:rsidR="0065642B" w:rsidRPr="002D3D23">
        <w:rPr>
          <w:rFonts w:ascii="Book Antiqua" w:hAnsi="Book Antiqua" w:cs="Arial"/>
          <w:color w:val="000000" w:themeColor="text1"/>
          <w:lang w:val="en-US"/>
        </w:rPr>
        <w:t xml:space="preserve">is enhanced by portable, disposable models, opening up </w:t>
      </w:r>
      <w:r w:rsidR="00587435" w:rsidRPr="002D3D23">
        <w:rPr>
          <w:rFonts w:ascii="Book Antiqua" w:hAnsi="Book Antiqua" w:cs="Arial"/>
          <w:color w:val="000000" w:themeColor="text1"/>
          <w:lang w:val="en-US"/>
        </w:rPr>
        <w:t xml:space="preserve">the possibility that screening using </w:t>
      </w:r>
      <w:r w:rsidR="002D2860" w:rsidRPr="002D3D23">
        <w:rPr>
          <w:rFonts w:ascii="Book Antiqua" w:hAnsi="Book Antiqua" w:cs="Arial"/>
          <w:color w:val="000000" w:themeColor="text1"/>
          <w:lang w:val="en-US"/>
        </w:rPr>
        <w:t>UTE</w:t>
      </w:r>
      <w:r w:rsidR="00587435" w:rsidRPr="002D3D23">
        <w:rPr>
          <w:rFonts w:ascii="Book Antiqua" w:hAnsi="Book Antiqua" w:cs="Arial"/>
          <w:color w:val="000000" w:themeColor="text1"/>
          <w:lang w:val="en-US"/>
        </w:rPr>
        <w:t xml:space="preserve"> can be </w:t>
      </w:r>
      <w:r w:rsidR="0065642B" w:rsidRPr="002D3D23">
        <w:rPr>
          <w:rFonts w:ascii="Book Antiqua" w:hAnsi="Book Antiqua" w:cs="Arial"/>
          <w:color w:val="000000" w:themeColor="text1"/>
          <w:lang w:val="en-US"/>
        </w:rPr>
        <w:t>a cost-effective measure</w:t>
      </w:r>
      <w:r w:rsidR="00587435" w:rsidRPr="002D3D23">
        <w:rPr>
          <w:rFonts w:ascii="Book Antiqua" w:hAnsi="Book Antiqua" w:cs="Arial"/>
          <w:color w:val="000000" w:themeColor="text1"/>
          <w:lang w:val="en-US"/>
        </w:rPr>
        <w:t>.</w:t>
      </w:r>
      <w:r w:rsidR="008F3142" w:rsidRPr="002D3D23">
        <w:rPr>
          <w:rFonts w:ascii="Book Antiqua" w:hAnsi="Book Antiqua" w:cs="Arial"/>
          <w:color w:val="000000" w:themeColor="text1"/>
          <w:lang w:val="en-US"/>
        </w:rPr>
        <w:t xml:space="preserve"> </w:t>
      </w:r>
      <w:r w:rsidR="00946BD7" w:rsidRPr="002D3D23">
        <w:rPr>
          <w:rFonts w:ascii="Book Antiqua" w:hAnsi="Book Antiqua" w:cs="Arial"/>
          <w:color w:val="000000" w:themeColor="text1"/>
          <w:lang w:val="en-US"/>
        </w:rPr>
        <w:t xml:space="preserve">In a United States based Barrett’s screening study of 209 patients, unsedated TNE was significantly lower in cost compared to sedated C-EGD, with mobile endoscopy costs </w:t>
      </w:r>
      <w:r w:rsidR="00BC47B8" w:rsidRPr="002D3D23">
        <w:rPr>
          <w:rFonts w:ascii="Book Antiqua" w:hAnsi="Book Antiqua" w:cs="Arial"/>
          <w:color w:val="000000" w:themeColor="text1"/>
          <w:lang w:val="en-US"/>
        </w:rPr>
        <w:t>proving less costly</w:t>
      </w:r>
      <w:r w:rsidR="00946BD7" w:rsidRPr="002D3D23">
        <w:rPr>
          <w:rFonts w:ascii="Book Antiqua" w:hAnsi="Book Antiqua" w:cs="Arial"/>
          <w:color w:val="000000" w:themeColor="text1"/>
          <w:lang w:val="en-US"/>
        </w:rPr>
        <w:t xml:space="preserve"> than TNE delivered in a hospital setting</w:t>
      </w:r>
      <w:r w:rsidR="00946BD7"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{"citationItems":[{"id":"ITEM-1","itemData":{"DOI":"10.1016/j.gie.2017.04.019","ISSN":"1097-6779 (Electronic)","PMID":"28455158","abstract":"BACKGROUND AND AIMS: Data on the economic impact associated with screening for Barrett's esophagus (BE) are limited. As part of a comparative effectiveness randomized trial of unsedated transnasal endoscopy (uTNE) and sedated EGD (sEGD), we assessed costs associated with BE screening. METHODS: Patients were randomly allocated to 3 techniques: sEGD or uTNE in a hospital setting (huTNE) versus uTNE in a mobile research van (muTNE). Patients were called 1 and 30 days after screening to assess loss of work (because of the screening procedure) and medical care sought after procedure. Direct medical costs were extracted from billing claims databases. Indirect costs (loss of work for subject and caregiver) were estimated using patient reported data. Statistical analyses including multivariable analysis accounting for comorbidities were conducted to compare costs. RESULTS: Two hundred nine patients were screened (61 sEGD, 72 huTNE, and 76 muTNE). Thirty-day direct medical costs and indirect costs were significantly higher in the sEGD than the huTNE and muTNE groups. Total costs (direct medical + indirect costs) were also significantly higher in the sEGD than in the uTNE group. The muTNE group had significantly lower costs than the huTNE group. Adjustment for age, sex, and comorbidities on multivariable analysis did not change this conclusion. CONCLUSIONS: Short-term direct, indirect, and total costs of screening are significantly lower with uTNE compared with sEGD. Mobile uTNE costs were lower than huTNE costs, raising the possibility of mobile screening as a novel method of screening for BE and esophageal adenocarcinoma.","author":[{"dropping-particle":"","family":"Moriarty","given":"James P","non-dropping-particle":"","parse-names":false,"suffix":""},{"dropping-particle":"","family":"Shah","given":"Nilay D","non-dropping-particle":"","parse-names":false,"suffix":""},{"dropping-particle":"","family":"Rubenstein","given":"Joel H","non-dropping-particle":"","parse-names":false,"suffix":""},{"dropping-particle":"","family":"Blevins","given":"Christopher H","non-dropping-particle":"","parse-names":false,"suffix":""},{"dropping-particle":"","family":"Johnson","given":"Michele","non-dropping-particle":"","parse-names":false,"suffix":""},{"dropping-particle":"","family":"Katzka","given":"David A","non-dropping-particle":"","parse-names":false,"suffix":""},{"dropping-particle":"","family":"Wang","given":"Kenneth K","non-dropping-particle":"","parse-names":false,"suffix":""},{"dropping-particle":"","family":"Wongkeesong","given":"Louis Michel","non-dropping-particle":"","parse-names":false,"suffix":""},{"dropping-particle":"","family":"Ahlquist","given":"David A","non-dropping-particle":"","parse-names":false,"suffix":""},{"dropping-particle":"","family":"Iyer","given":"Prasad G","non-dropping-particle":"","parse-names":false,"suffix":""}],"container-title":"Gastrointestinal endoscopy","id":"ITEM-1","issue":"1","issued":{"date-parts":[["2018","1"]]},"language":"eng","page":"88-94.e2","publisher-place":"United States","title":"Costs associated with Barrett's esophagus screening in the community: an economic analysis of a prospective randomized controlled trial of sedated versus hospital unsedated versus mobile community unsedated endoscopy.","type":"article-journal","volume":"87"},"uris":["http://www.mendeley.com/documents/?uuid=41bd7f76-1a28-4fca-95a6-c0bbed0afdfe","http://www.mendeley.com/documents/?uuid=28da1268-9f22-4f23-827a-d95a93c44efd"]}],"mendeley":{"formattedCitation":"(15)","plainTextFormattedCitation":"(15)","previouslyFormattedCitation":"(15)"},"properties":{"noteIndex":0},"schema":"https://github.com/citation-style-language/schema/raw/master/csl-citation.json"}</w:instrText>
      </w:r>
      <w:r w:rsidR="00946BD7" w:rsidRPr="002D3D23">
        <w:rPr>
          <w:rFonts w:ascii="Book Antiqua" w:hAnsi="Book Antiqua" w:cs="Arial"/>
          <w:color w:val="000000" w:themeColor="text1"/>
          <w:vertAlign w:val="superscript"/>
          <w:lang w:val="en-US"/>
        </w:rPr>
        <w:fldChar w:fldCharType="separate"/>
      </w:r>
      <w:r w:rsidR="00A702A3" w:rsidRPr="002D3D23">
        <w:rPr>
          <w:rFonts w:ascii="Book Antiqua" w:hAnsi="Book Antiqua" w:cs="Arial"/>
          <w:color w:val="000000" w:themeColor="text1"/>
          <w:vertAlign w:val="superscript"/>
          <w:lang w:val="en-US"/>
        </w:rPr>
        <w:t>[</w:t>
      </w:r>
      <w:r w:rsidR="00946BD7" w:rsidRPr="002D3D23">
        <w:rPr>
          <w:rFonts w:ascii="Book Antiqua" w:hAnsi="Book Antiqua" w:cs="Arial"/>
          <w:color w:val="000000" w:themeColor="text1"/>
          <w:vertAlign w:val="superscript"/>
          <w:lang w:val="en-US"/>
        </w:rPr>
        <w:t>15</w:t>
      </w:r>
      <w:r w:rsidR="00946BD7" w:rsidRPr="002D3D23">
        <w:rPr>
          <w:rFonts w:ascii="Book Antiqua" w:hAnsi="Book Antiqua" w:cs="Arial"/>
          <w:color w:val="000000" w:themeColor="text1"/>
          <w:vertAlign w:val="superscript"/>
          <w:lang w:val="en-US"/>
        </w:rPr>
        <w:fldChar w:fldCharType="end"/>
      </w:r>
      <w:r w:rsidR="00A702A3" w:rsidRPr="002D3D23">
        <w:rPr>
          <w:rFonts w:ascii="Book Antiqua" w:hAnsi="Book Antiqua" w:cs="Arial"/>
          <w:color w:val="000000" w:themeColor="text1"/>
          <w:vertAlign w:val="superscript"/>
          <w:lang w:val="en-US"/>
        </w:rPr>
        <w:t>]</w:t>
      </w:r>
      <w:r w:rsidR="00946BD7" w:rsidRPr="002D3D23">
        <w:rPr>
          <w:rFonts w:ascii="Book Antiqua" w:hAnsi="Book Antiqua" w:cs="Arial"/>
          <w:color w:val="000000" w:themeColor="text1"/>
          <w:lang w:val="en-US"/>
        </w:rPr>
        <w:t>.</w:t>
      </w:r>
      <w:r w:rsidR="00E246AB" w:rsidRPr="002D3D23">
        <w:rPr>
          <w:rFonts w:ascii="Book Antiqua" w:hAnsi="Book Antiqua" w:cs="Arial"/>
          <w:color w:val="000000" w:themeColor="text1"/>
          <w:lang w:val="en-US"/>
        </w:rPr>
        <w:t xml:space="preserve"> This applied to both direct and indirect medical costs. </w:t>
      </w:r>
      <w:r w:rsidR="006C42B6" w:rsidRPr="002D3D23">
        <w:rPr>
          <w:rFonts w:ascii="Book Antiqua" w:hAnsi="Book Antiqua" w:cs="Arial"/>
          <w:color w:val="000000" w:themeColor="text1"/>
          <w:lang w:val="en-US"/>
        </w:rPr>
        <w:t>Options for the setting of this test could also expand, with office-based esophagoscopy becoming a potential reality</w:t>
      </w:r>
      <w:r w:rsidR="00D85FBF" w:rsidRPr="002D3D23">
        <w:rPr>
          <w:rFonts w:ascii="Book Antiqua" w:hAnsi="Book Antiqua" w:cs="Arial"/>
          <w:color w:val="000000" w:themeColor="text1"/>
          <w:vertAlign w:val="superscript"/>
          <w:lang w:val="en-US"/>
        </w:rPr>
        <w:fldChar w:fldCharType="begin" w:fldLock="1"/>
      </w:r>
      <w:r w:rsidR="00164536" w:rsidRPr="002D3D23">
        <w:rPr>
          <w:rFonts w:ascii="Book Antiqua" w:hAnsi="Book Antiqua" w:cs="Arial"/>
          <w:color w:val="000000" w:themeColor="text1"/>
          <w:vertAlign w:val="superscript"/>
          <w:lang w:val="en-US"/>
        </w:rPr>
        <w:instrText>ADDIN CSL_CITATION {"citationItems":[{"id":"ITEM-1","itemData":{"DOI":"10.1016/j.cgh.2018.07.019","ISSN":"15423565","PMID":"30081223","abstract":"BACKGROUND &amp; AIMS Screening for Barrett's esophagus (BE) with conventional esophagogastroduodenoscopy (C-EGD) is expensive. We assessed the performance of a clinic-based, single use transnasal capsule endoscope (EG Scan II) for the detection of BE, compared to C-EGD as the reference standard. METHODS We performed a prospective multicenter cohort study of patients with and without BE recruited from 3 referral centers (1 in the United States and 2 in the United Kingdom). Of 200 consenting participants, 178 (89%) completed both procedures (11% failed EG Scan due to the inability to intubate the nasopharynx). The mean age of participants was 57.9 years and 67% were male. The prevalence of BE was 53%. All subjects underwent the 2 procedures on the same day, performed by blinded endoscopists. Patients completed preference and validated tolerability (10-point visual analogue scale [VAS]) questionnaires within 14 days of the procedures. RESULTS A higher proportion of patients preferred the EG Scan (54.2%) vs the C-EGD (16.7%) (P &lt; .001) and the EG Scan had a higher VAS score (7.2) vs the C-EGD (6.4) (P = .0004). No serious adverse events occurred. The EG Scan identified any length BE with a sensitivity value of 0.90 (95% CI, 0.83-0.96) and a specificity value of 0.91 (95% CI, 0.82-0.96). The EG Scan identified long segment BE with a sensitivity value of 0.95 and short segment BE with a sensitivity values of 0.87. CONCLUSIONS In a prospective study, we found the EG Scan to be safe and to detect BE with higher than 90% sensitivity and specificity. A higher proportion of patients preferred the EG Scan to C-EGD. This device might be used as a clinic-based tool to screen populations at risk for BE. ISRCTN registry identifier: 70595405; ClinicalTrials.gov no: NCT02066233.","author":[{"dropping-particle":"","family":"Sami","given":"Sarmed S.","non-dropping-particle":"","parse-names":false,"suffix":""},{"dropping-particle":"","family":"Iyer","given":"Prasad G.","non-dropping-particle":"","parse-names":false,"suffix":""},{"dropping-particle":"","family":"Pophali","given":"Prachi","non-dropping-particle":"","parse-names":false,"suffix":""},{"dropping-particle":"","family":"Halland","given":"Magnus","non-dropping-particle":"","parse-names":false,"suffix":""},{"dropping-particle":"","family":"Pietro","given":"Massimiliano","non-dropping-particle":"di","parse-names":false,"suffix":""},{"dropping-particle":"","family":"Ortiz-Fernandez-Sordo","given":"Jacobo","non-dropping-particle":"","parse-names":false,"suffix":""},{"dropping-particle":"","family":"White","given":"Jonathan R.","non-dropping-particle":"","parse-names":false,"suffix":""},{"dropping-particle":"","family":"Johnson","given":"Michele","non-dropping-particle":"","parse-names":false,"suffix":""},{"dropping-particle":"","family":"Guha","given":"Indra Neil","non-dropping-particle":"","parse-names":false,"suffix":""},{"dropping-particle":"","family":"Fitzgerald","given":"Rebecca C.","non-dropping-particle":"","parse-names":false,"suffix":""},{"dropping-particle":"","family":"Ragunath","given":"Krish","non-dropping-particle":"","parse-names":false,"suffix":""}],"container-title":"Clinical Gastroenterology and Hepatology","id":"ITEM-1","issued":{"date-parts":[["2018"]]},"title":"Acceptability, Accuracy, and Safety of Disposable Transnasal Capsule Endoscopy for Barrett's Esophagus Screening","type":"article-journal"},"uris":["http://www.mendeley.com/documents/?uuid=4b0340de-50d2-48bc-ab15-c64ec34fd6f3","http://www.mendeley.com/documents/?uuid=be0fc2b2-b478-3637-a73c-77be463aa2a2"]}],"mendeley":{"formattedCitation":"(13)","plainTextFormattedCitation":"(13)","previouslyFormattedCitation":"(13)"},"properties":{"noteIndex":0},"schema":"https://github.com/citation-style-language/schema/raw/master/csl-citation.json"}</w:instrText>
      </w:r>
      <w:r w:rsidR="00D85FBF" w:rsidRPr="002D3D23">
        <w:rPr>
          <w:rFonts w:ascii="Book Antiqua" w:hAnsi="Book Antiqua" w:cs="Arial"/>
          <w:color w:val="000000" w:themeColor="text1"/>
          <w:vertAlign w:val="superscript"/>
          <w:lang w:val="en-US"/>
        </w:rPr>
        <w:fldChar w:fldCharType="separate"/>
      </w:r>
      <w:r w:rsidR="00A702A3" w:rsidRPr="002D3D23">
        <w:rPr>
          <w:rFonts w:ascii="Book Antiqua" w:hAnsi="Book Antiqua" w:cs="Arial"/>
          <w:color w:val="000000" w:themeColor="text1"/>
          <w:vertAlign w:val="superscript"/>
          <w:lang w:val="en-US"/>
        </w:rPr>
        <w:t>[</w:t>
      </w:r>
      <w:r w:rsidR="00642811" w:rsidRPr="002D3D23">
        <w:rPr>
          <w:rFonts w:ascii="Book Antiqua" w:hAnsi="Book Antiqua" w:cs="Arial"/>
          <w:color w:val="000000" w:themeColor="text1"/>
          <w:vertAlign w:val="superscript"/>
          <w:lang w:val="en-US"/>
        </w:rPr>
        <w:t>13</w:t>
      </w:r>
      <w:r w:rsidR="00D85FBF" w:rsidRPr="002D3D23">
        <w:rPr>
          <w:rFonts w:ascii="Book Antiqua" w:hAnsi="Book Antiqua" w:cs="Arial"/>
          <w:color w:val="000000" w:themeColor="text1"/>
          <w:vertAlign w:val="superscript"/>
          <w:lang w:val="en-US"/>
        </w:rPr>
        <w:fldChar w:fldCharType="end"/>
      </w:r>
      <w:r w:rsidR="00A702A3" w:rsidRPr="002D3D23">
        <w:rPr>
          <w:rFonts w:ascii="Book Antiqua" w:hAnsi="Book Antiqua" w:cs="Arial"/>
          <w:color w:val="000000" w:themeColor="text1"/>
          <w:vertAlign w:val="superscript"/>
          <w:lang w:val="en-US"/>
        </w:rPr>
        <w:t>]</w:t>
      </w:r>
      <w:r w:rsidR="0065642B" w:rsidRPr="002D3D23">
        <w:rPr>
          <w:rFonts w:ascii="Book Antiqua" w:hAnsi="Book Antiqua" w:cs="Arial"/>
          <w:color w:val="000000" w:themeColor="text1"/>
          <w:lang w:val="en-US"/>
        </w:rPr>
        <w:t>.</w:t>
      </w:r>
      <w:r w:rsidR="002B45D7" w:rsidRPr="002D3D23">
        <w:rPr>
          <w:rFonts w:ascii="Book Antiqua" w:hAnsi="Book Antiqua" w:cs="Arial"/>
          <w:color w:val="000000" w:themeColor="text1"/>
          <w:lang w:val="en-US"/>
        </w:rPr>
        <w:t xml:space="preserve"> </w:t>
      </w:r>
    </w:p>
    <w:p w14:paraId="547E77EB" w14:textId="404C95F6" w:rsidR="00DA5531" w:rsidRPr="002D3D23" w:rsidRDefault="002B45D7"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UTE</w:t>
      </w:r>
      <w:r w:rsidR="006C42B6" w:rsidRPr="002D3D23">
        <w:rPr>
          <w:rFonts w:ascii="Book Antiqua" w:hAnsi="Book Antiqua" w:cs="Arial"/>
          <w:color w:val="000000" w:themeColor="text1"/>
          <w:lang w:val="en-US"/>
        </w:rPr>
        <w:t xml:space="preserve"> does carry drawbacks and limitations. Low-caliber endoscopes carry less capacity for constituent components</w:t>
      </w:r>
      <w:r w:rsidRPr="002D3D23">
        <w:rPr>
          <w:rFonts w:ascii="Book Antiqua" w:hAnsi="Book Antiqua" w:cs="Arial"/>
          <w:color w:val="000000" w:themeColor="text1"/>
          <w:lang w:val="en-US"/>
        </w:rPr>
        <w:t xml:space="preserve"> </w:t>
      </w:r>
      <w:r w:rsidR="00A719F8" w:rsidRPr="002D3D23">
        <w:rPr>
          <w:rFonts w:ascii="Book Antiqua" w:hAnsi="Book Antiqua" w:cs="Arial"/>
          <w:color w:val="000000" w:themeColor="text1"/>
          <w:lang w:val="en-US"/>
        </w:rPr>
        <w:t>(</w:t>
      </w:r>
      <w:r w:rsidRPr="002D3D23">
        <w:rPr>
          <w:rFonts w:ascii="Book Antiqua" w:hAnsi="Book Antiqua" w:cs="Arial"/>
          <w:color w:val="000000" w:themeColor="text1"/>
          <w:lang w:val="en-US"/>
        </w:rPr>
        <w:t>such as ac</w:t>
      </w:r>
      <w:r w:rsidR="00B75047" w:rsidRPr="002D3D23">
        <w:rPr>
          <w:rFonts w:ascii="Book Antiqua" w:hAnsi="Book Antiqua" w:cs="Arial"/>
          <w:color w:val="000000" w:themeColor="text1"/>
          <w:lang w:val="en-US"/>
        </w:rPr>
        <w:t>cess channels for biopsy and therapeutic interventions</w:t>
      </w:r>
      <w:r w:rsidR="00A719F8" w:rsidRPr="002D3D23">
        <w:rPr>
          <w:rFonts w:ascii="Book Antiqua" w:hAnsi="Book Antiqua" w:cs="Arial"/>
          <w:color w:val="000000" w:themeColor="text1"/>
          <w:lang w:val="en-US"/>
        </w:rPr>
        <w:t>)</w:t>
      </w:r>
      <w:r w:rsidR="00AE3348" w:rsidRPr="002D3D23">
        <w:rPr>
          <w:rFonts w:ascii="Book Antiqua" w:hAnsi="Book Antiqua" w:cs="Arial"/>
          <w:color w:val="000000" w:themeColor="text1"/>
          <w:lang w:val="en-US"/>
        </w:rPr>
        <w:t xml:space="preserve">; </w:t>
      </w:r>
      <w:r w:rsidR="00A719F8" w:rsidRPr="002D3D23">
        <w:rPr>
          <w:rFonts w:ascii="Book Antiqua" w:hAnsi="Book Antiqua" w:cs="Arial"/>
          <w:color w:val="000000" w:themeColor="text1"/>
          <w:lang w:val="en-US"/>
        </w:rPr>
        <w:t>relatively lower image resolution</w:t>
      </w:r>
      <w:r w:rsidR="00CD24A8" w:rsidRPr="002D3D23">
        <w:rPr>
          <w:rFonts w:ascii="Book Antiqua" w:hAnsi="Book Antiqua" w:cs="Arial"/>
          <w:color w:val="000000" w:themeColor="text1"/>
          <w:lang w:val="en-US"/>
        </w:rPr>
        <w:t xml:space="preserve"> </w:t>
      </w:r>
      <w:r w:rsidR="00AE3348" w:rsidRPr="002D3D23">
        <w:rPr>
          <w:rFonts w:ascii="Book Antiqua" w:hAnsi="Book Antiqua" w:cs="Arial"/>
          <w:color w:val="000000" w:themeColor="text1"/>
          <w:lang w:val="en-US"/>
        </w:rPr>
        <w:t xml:space="preserve">and angle of view </w:t>
      </w:r>
      <w:r w:rsidR="00CD24A8" w:rsidRPr="002D3D23">
        <w:rPr>
          <w:rFonts w:ascii="Book Antiqua" w:hAnsi="Book Antiqua" w:cs="Arial"/>
          <w:color w:val="000000" w:themeColor="text1"/>
          <w:lang w:val="en-US"/>
        </w:rPr>
        <w:t>compared to C-EGD</w:t>
      </w:r>
      <w:r w:rsidR="00B75047" w:rsidRPr="002D3D23">
        <w:rPr>
          <w:rFonts w:ascii="Book Antiqua" w:hAnsi="Book Antiqua" w:cs="Arial"/>
          <w:color w:val="000000" w:themeColor="text1"/>
          <w:lang w:val="en-US"/>
        </w:rPr>
        <w:t xml:space="preserve">. </w:t>
      </w:r>
      <w:r w:rsidR="00C60E50" w:rsidRPr="002D3D23">
        <w:rPr>
          <w:rFonts w:ascii="Book Antiqua" w:hAnsi="Book Antiqua" w:cs="Arial"/>
          <w:color w:val="000000" w:themeColor="text1"/>
          <w:lang w:val="en-US"/>
        </w:rPr>
        <w:t>There is some evidence that biopsies taken through an ultrathin channel carry comparable diagnostic yield for dysplasia to standard biopsies but larger studies are necessary</w:t>
      </w:r>
      <w:r w:rsidR="00C60E5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{"citationItems":[{"id":"ITEM-1","itemData":{"DOI":"10.1067/mge.2002.128131","ISSN":"0016-5107 (Print)","PMID":"12297760","abstract":"BACKGROUND: Unsedated transnasal upper endoscopy has a diagnostic yield comparable with that of sedated conventional upper endoscopy. The ability of transnasal upper endoscopy to detect Barrett's metaplasia or dysplastic change has not been systematically evaluated. The aim of this study was to assess the feasibility of transnasal upper endoscopy for surveillance of patients with Barrett's esophagus and to evaluate its histopathologic yield for Barrett's metaplasia and dysplasia. METHODS: Thirty-two patients with Barrett's esophagus were evaluated with conventional upper endoscopy and transnasal upper endoscopy. An effort was made to recruit patients known to have dysplasia. Quadrantic biopsy specimens were taken with standard (conventional upper endoscopy) and pediatric (transnasal upper endoscopy) biopsy forceps at procedures performed at least 1 week apart. Two blinded pathologists evaluated the specimens. RESULTS: Transnasal upper endoscopy detected Barrett's metaplasia histopathologically in 31 of 32 patients. Level of agreement for presence of dysplasia in biopsy specimens obtained between conventional upper endoscopy and transnasal upper endoscopy was excellent (k = 0.79). Interobserver agreement for dysplasia in specimens obtained by conventional upper endoscopy (k = 0.61) and by transnasal upper endoscopy (k = 0.61) were similar. Intraobserver agreement between conventional upper endoscopy and transnasal upper endoscopy biopsy specimens for dysplasia by pathologist 1 (k = 0.73) and pathologist 2 (k = 0.75) were also similar. No significant adverse effects were noted. CONCLUSIONS: Transnasal upper endoscopy is feasible and accurate for identification and histopathologic confirmation of Barrett's metaplasia with a histopathologic yield for dysplasia comparable with conventional upper endoscopy.","author":[{"dropping-particle":"","family":"Saeian","given":"Kia","non-dropping-particle":"","parse-names":false,"suffix":""},{"dropping-particle":"","family":"Staff","given":"David M","non-dropping-particle":"","parse-names":false,"suffix":""},{"dropping-particle":"","family":"Vasilopoulos","given":"Sotirios","non-dropping-particle":"","parse-names":false,"suffix":""},{"dropping-particle":"","family":"Townsend","given":"William F","non-dropping-particle":"","parse-names":false,"suffix":""},{"dropping-particle":"","family":"Almagro","given":"Urias A","non-dropping-particle":"","parse-names":false,"suffix":""},{"dropping-particle":"","family":"Komorowski","given":"Richard A","non-dropping-particle":"","parse-names":false,"suffix":""},{"dropping-particle":"","family":"Choi","given":"Hongyung","non-dropping-particle":"","parse-names":false,"suffix":""},{"dropping-particle":"","family":"Shaker","given":"Reza","non-dropping-particle":"","parse-names":false,"suffix":""}],"container-title":"Gastrointestinal endoscopy","id":"ITEM-1","issue":"4","issued":{"date-parts":[["2002","10"]]},"language":"eng","page":"472-478","publisher-place":"United States","title":"Unsedated transnasal endoscopy accurately detects Barrett's metaplasia and dysplasia.","type":"article-journal","volume":"56"},"uris":["http://www.mendeley.com/documents/?uuid=e9ae132e-9379-47f4-8bce-a3b9757ddaec","http://www.mendeley.com/documents/?uuid=f28609f8-1df2-44b9-869a-32df8ecd4163"]}],"mendeley":{"formattedCitation":"(16)","plainTextFormattedCitation":"(16)","previouslyFormattedCitation":"(16)"},"properties":{"noteIndex":0},"schema":"https://github.com/citation-style-language/schema/raw/master/csl-citation.json"}</w:instrText>
      </w:r>
      <w:r w:rsidR="00C60E50"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16</w:t>
      </w:r>
      <w:r w:rsidR="00C60E50"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C60E50" w:rsidRPr="002D3D23">
        <w:rPr>
          <w:rFonts w:ascii="Book Antiqua" w:hAnsi="Book Antiqua" w:cs="Arial"/>
          <w:color w:val="000000" w:themeColor="text1"/>
          <w:lang w:val="en-US"/>
        </w:rPr>
        <w:t>.</w:t>
      </w:r>
      <w:r w:rsidR="00B75047" w:rsidRPr="002D3D23">
        <w:rPr>
          <w:rFonts w:ascii="Book Antiqua" w:hAnsi="Book Antiqua" w:cs="Arial"/>
          <w:color w:val="000000" w:themeColor="text1"/>
          <w:lang w:val="en-US"/>
        </w:rPr>
        <w:t xml:space="preserve"> </w:t>
      </w:r>
      <w:r w:rsidR="00C12143" w:rsidRPr="002D3D23">
        <w:rPr>
          <w:rFonts w:ascii="Book Antiqua" w:hAnsi="Book Antiqua" w:cs="Arial"/>
          <w:color w:val="000000" w:themeColor="text1"/>
          <w:lang w:val="en-US"/>
        </w:rPr>
        <w:t xml:space="preserve">The diagnostic accuracy of </w:t>
      </w:r>
      <w:r w:rsidRPr="002D3D23">
        <w:rPr>
          <w:rFonts w:ascii="Book Antiqua" w:hAnsi="Book Antiqua" w:cs="Arial"/>
          <w:color w:val="000000" w:themeColor="text1"/>
          <w:lang w:val="en-US"/>
        </w:rPr>
        <w:t>UTE</w:t>
      </w:r>
      <w:r w:rsidR="00A719F8" w:rsidRPr="002D3D23">
        <w:rPr>
          <w:rFonts w:ascii="Book Antiqua" w:hAnsi="Book Antiqua" w:cs="Arial"/>
          <w:color w:val="000000" w:themeColor="text1"/>
          <w:lang w:val="en-US"/>
        </w:rPr>
        <w:t xml:space="preserve"> for early superficial gastric cancers </w:t>
      </w:r>
      <w:r w:rsidR="00CD24A8" w:rsidRPr="002D3D23">
        <w:rPr>
          <w:rFonts w:ascii="Book Antiqua" w:hAnsi="Book Antiqua" w:cs="Arial"/>
          <w:color w:val="000000" w:themeColor="text1"/>
          <w:lang w:val="en-US"/>
        </w:rPr>
        <w:t xml:space="preserve">also </w:t>
      </w:r>
      <w:r w:rsidR="00C12143" w:rsidRPr="002D3D23">
        <w:rPr>
          <w:rFonts w:ascii="Book Antiqua" w:hAnsi="Book Antiqua" w:cs="Arial"/>
          <w:color w:val="000000" w:themeColor="text1"/>
          <w:lang w:val="en-US"/>
        </w:rPr>
        <w:t>continues to</w:t>
      </w:r>
      <w:r w:rsidR="000F26F4" w:rsidRPr="002D3D23">
        <w:rPr>
          <w:rFonts w:ascii="Book Antiqua" w:hAnsi="Book Antiqua" w:cs="Arial"/>
          <w:color w:val="000000" w:themeColor="text1"/>
          <w:lang w:val="en-US"/>
        </w:rPr>
        <w:t xml:space="preserve"> be prone to </w:t>
      </w:r>
      <w:r w:rsidR="00C12143" w:rsidRPr="002D3D23">
        <w:rPr>
          <w:rFonts w:ascii="Book Antiqua" w:hAnsi="Book Antiqua" w:cs="Arial"/>
          <w:color w:val="000000" w:themeColor="text1"/>
          <w:lang w:val="en-US"/>
        </w:rPr>
        <w:t>scrutiny</w:t>
      </w:r>
      <w:r w:rsidR="00CD24A8" w:rsidRPr="002D3D23">
        <w:rPr>
          <w:rFonts w:ascii="Book Antiqua" w:hAnsi="Book Antiqua" w:cs="Arial"/>
          <w:color w:val="000000" w:themeColor="text1"/>
          <w:lang w:val="en-US"/>
        </w:rPr>
        <w:t xml:space="preserve"> in countries with high incidence such as Japan</w:t>
      </w:r>
      <w:r w:rsidR="000F26F4" w:rsidRPr="002D3D23">
        <w:rPr>
          <w:rFonts w:ascii="Book Antiqua" w:hAnsi="Book Antiqua" w:cs="Arial"/>
          <w:color w:val="000000" w:themeColor="text1"/>
          <w:lang w:val="en-US"/>
        </w:rPr>
        <w:t xml:space="preserve">, </w:t>
      </w:r>
      <w:r w:rsidR="00CD24A8" w:rsidRPr="002D3D23">
        <w:rPr>
          <w:rFonts w:ascii="Book Antiqua" w:hAnsi="Book Antiqua" w:cs="Arial"/>
          <w:color w:val="000000" w:themeColor="text1"/>
          <w:lang w:val="en-US"/>
        </w:rPr>
        <w:t>albeit UTE being used for gastric cancer screening in this region</w:t>
      </w:r>
      <w:r w:rsidR="000F26F4"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{"citationItems":[{"id":"ITEM-1","itemData":{"PMID":"19386304","abstract":"BACKGROUND: Ultrathin endoscopy (UTE) is an acceptable and cost-effective alternative to EGD with the patient under sedation, although the diagnostic accuracy of UTE is not well established. OBJECTIVE: To compare the diagnostic accuracy of UTE and high-resolution endoscopy (HRE) for superficial gastric neoplasia. DESIGN: Prospective comparative study. SETTING: Academic center. PATIENTS AND INTERVENTIONS: Patients with or without superficial gastric neoplasia underwent peroral UTE and HRE, back-to-back in a random order while under standard sedation. The procedures were performed by 2 endoscopists who were blinded to the clinical information. MAIN OUTCOME MEASUREMENTS: The rate of missed lesions and misdiagnosis, sensitivity, and specificity for the diagnosis of gastric neoplasia when using pathology as the reference standard. RESULTS: In total, 126 lesions (41 superficial gastric neoplasias, 85 nonneoplastic lesions) were recorded in 57 enrolled patients. For the diagnosis of gastric neoplasia, the sensitivity of UTE (58.5%) was significantly (P = .021) lower than that of HRE (78%), and the specificity of UTE (91.8%) was significantly (P = .014) lower than that of HRE (100%). The rate of missed lesions and misdiagnosis of gastric neoplasias when using UTE (41.5%) was significantly (P &gt; .001) higher than that of HRE (22.0%). The corresponding rate of neoplasias at the proximal portion (fornix and corpus) when using UTE (29%) was significantly (P = .002) higher than that of HRE (7.2%), although the rates of neoplasias at the distal portion (angulus and antrum) were comparable for UTE and HRE. LIMITATION: Small sample numbers in an enriched population. CONCLUSIONS: The diagnostic accuracy of UTE is significantly lower than that of HRE for superficial gastric neoplasia, and this difference is particularly striking for neoplasias in the proximal stomach. For UTE to be used as an alternative modality, improvements in optical quality and the incorporation of additional procedures, including close-range observations and chromoendoscopy, are required to enhance visualization.","author":[{"dropping-particle":"","family":"Toyoizumi","given":"Hirobumi","non-dropping-particle":"","parse-names":false,"suffix":""},{"dropping-particle":"","family":"Kaise","given":"Mitsuru","non-dropping-particle":"","parse-names":false,"suffix":""},{"dropping-particle":"","family":"Arakawa","given":"Hiroshi","non-dropping-particle":"","parse-names":false,"suffix":""},{"dropping-particle":"","family":"Yonezawa","given":"Jin","non-dropping-particle":"","parse-names":false,"suffix":""},{"dropping-particle":"","family":"Yoshida","given":"Yukinaga","non-dropping-particle":"","parse-names":false,"suffix":""},{"dropping-particle":"","family":"Kato","given":"Masayuki","non-dropping-particle":"","parse-names":false,"suffix":""},{"dropping-particle":"","family":"Yoshimura","given":"Noboru","non-dropping-particle":"","parse-names":false,"suffix":""},{"dropping-particle":"","family":"Goda","given":"Ken-ichi","non-dropping-particle":"","parse-names":false,"suffix":""},{"dropping-particle":"","family":"Tajiri","given":"Hisao","non-dropping-particle":"","parse-names":false,"suffix":""}],"container-title":"Gastrointestinal Endoscopy","id":"ITEM-1","issue":"2","issued":{"date-parts":[["2009"]]},"note":"Toyoizumi H\nKaise M\nArakawa H\nYonezawa J\nYoshida Y\nKato M\nYoshimura N\nGoda K\nTajiri H\nComment in: Gastrointest Endosc. 2010 Oct;72(4):901-2; PMID: 20883869","page":"240-245","title":"Ultrathin endoscopy versus high-resolution endoscopy for diagnosing superficial gastric neoplasia","type":"article-journal","volume":"70"},"uris":["http://www.mendeley.com/documents/?uuid=15b183f7-8a3e-426f-b0de-d23783d3308f"]}],"mendeley":{"formattedCitation":"(17)","plainTextFormattedCitation":"(17)","previouslyFormattedCitation":"(17)"},"properties":{"noteIndex":0},"schema":"https://github.com/citation-style-language/schema/raw/master/csl-citation.json"}</w:instrText>
      </w:r>
      <w:r w:rsidR="000F26F4"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17</w:t>
      </w:r>
      <w:r w:rsidR="000F26F4"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lang w:val="en-US"/>
        </w:rPr>
        <w:t>.</w:t>
      </w:r>
      <w:r w:rsidR="000F26F4" w:rsidRPr="002D3D23">
        <w:rPr>
          <w:rFonts w:ascii="Book Antiqua" w:hAnsi="Book Antiqua" w:cs="Arial"/>
          <w:color w:val="000000" w:themeColor="text1"/>
          <w:lang w:val="en-US"/>
        </w:rPr>
        <w:t xml:space="preserve"> </w:t>
      </w:r>
    </w:p>
    <w:p w14:paraId="37DA6588" w14:textId="77777777" w:rsidR="003400B4" w:rsidRPr="002D3D23" w:rsidRDefault="003400B4" w:rsidP="002D3D23">
      <w:pPr>
        <w:adjustRightInd w:val="0"/>
        <w:snapToGrid w:val="0"/>
        <w:spacing w:line="360" w:lineRule="auto"/>
        <w:jc w:val="both"/>
        <w:rPr>
          <w:rFonts w:ascii="Book Antiqua" w:hAnsi="Book Antiqua" w:cs="Arial"/>
          <w:color w:val="000000" w:themeColor="text1"/>
          <w:lang w:val="en-US"/>
        </w:rPr>
      </w:pPr>
    </w:p>
    <w:p w14:paraId="5B065967" w14:textId="51BC4D26" w:rsidR="006345AA" w:rsidRPr="002D3D23" w:rsidRDefault="000231FF" w:rsidP="002D3D23">
      <w:pPr>
        <w:adjustRightInd w:val="0"/>
        <w:snapToGrid w:val="0"/>
        <w:spacing w:line="360" w:lineRule="auto"/>
        <w:jc w:val="both"/>
        <w:rPr>
          <w:rFonts w:ascii="Book Antiqua" w:hAnsi="Book Antiqua" w:cs="Arial"/>
          <w:b/>
          <w:color w:val="000000" w:themeColor="text1"/>
          <w:lang w:val="en-US"/>
        </w:rPr>
      </w:pPr>
      <w:r w:rsidRPr="002D3D23">
        <w:rPr>
          <w:rFonts w:ascii="Book Antiqua" w:hAnsi="Book Antiqua" w:cs="Arial"/>
          <w:b/>
          <w:color w:val="000000" w:themeColor="text1"/>
          <w:lang w:val="en-US"/>
        </w:rPr>
        <w:t>CAPSULE ENDOSCOPY</w:t>
      </w:r>
    </w:p>
    <w:p w14:paraId="35C0B50C" w14:textId="62A6DEA9" w:rsidR="006345AA" w:rsidRPr="002D3D23" w:rsidRDefault="00C26F25"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The use of </w:t>
      </w:r>
      <w:bookmarkStart w:id="156" w:name="OLE_LINK77"/>
      <w:bookmarkStart w:id="157" w:name="OLE_LINK78"/>
      <w:bookmarkStart w:id="158" w:name="OLE_LINK79"/>
      <w:r w:rsidRPr="002D3D23">
        <w:rPr>
          <w:rFonts w:ascii="Book Antiqua" w:hAnsi="Book Antiqua" w:cs="Arial"/>
          <w:color w:val="000000" w:themeColor="text1"/>
          <w:lang w:val="en-US"/>
        </w:rPr>
        <w:t>w</w:t>
      </w:r>
      <w:r w:rsidR="006345AA" w:rsidRPr="002D3D23">
        <w:rPr>
          <w:rFonts w:ascii="Book Antiqua" w:hAnsi="Book Antiqua" w:cs="Arial"/>
          <w:color w:val="000000" w:themeColor="text1"/>
          <w:lang w:val="en-US"/>
        </w:rPr>
        <w:t>ireless</w:t>
      </w:r>
      <w:r w:rsidR="007267F7" w:rsidRPr="002D3D23">
        <w:rPr>
          <w:rFonts w:ascii="Book Antiqua" w:hAnsi="Book Antiqua" w:cs="Arial"/>
          <w:color w:val="000000" w:themeColor="text1"/>
          <w:lang w:val="en-US"/>
        </w:rPr>
        <w:t xml:space="preserve"> capsule endoscopy</w:t>
      </w:r>
      <w:bookmarkEnd w:id="156"/>
      <w:bookmarkEnd w:id="157"/>
      <w:bookmarkEnd w:id="158"/>
      <w:r w:rsidR="002D2860" w:rsidRPr="002D3D23">
        <w:rPr>
          <w:rFonts w:ascii="Book Antiqua" w:hAnsi="Book Antiqua" w:cs="Arial"/>
          <w:color w:val="000000" w:themeColor="text1"/>
          <w:lang w:val="en-US"/>
        </w:rPr>
        <w:t xml:space="preserve"> (WCE)</w:t>
      </w:r>
      <w:r w:rsidR="007267F7" w:rsidRPr="002D3D23">
        <w:rPr>
          <w:rFonts w:ascii="Book Antiqua" w:hAnsi="Book Antiqua" w:cs="Arial"/>
          <w:color w:val="000000" w:themeColor="text1"/>
          <w:lang w:val="en-US"/>
        </w:rPr>
        <w:t xml:space="preserve"> </w:t>
      </w:r>
      <w:r w:rsidRPr="002D3D23">
        <w:rPr>
          <w:rFonts w:ascii="Book Antiqua" w:hAnsi="Book Antiqua" w:cs="Arial"/>
          <w:color w:val="000000" w:themeColor="text1"/>
          <w:lang w:val="en-US"/>
        </w:rPr>
        <w:t xml:space="preserve">was first described in 2000 and </w:t>
      </w:r>
      <w:r w:rsidR="007267F7" w:rsidRPr="002D3D23">
        <w:rPr>
          <w:rFonts w:ascii="Book Antiqua" w:hAnsi="Book Antiqua" w:cs="Arial"/>
          <w:color w:val="000000" w:themeColor="text1"/>
          <w:lang w:val="en-US"/>
        </w:rPr>
        <w:t xml:space="preserve">has enjoyed widespread use </w:t>
      </w:r>
      <w:r w:rsidR="006345AA" w:rsidRPr="002D3D23">
        <w:rPr>
          <w:rFonts w:ascii="Book Antiqua" w:hAnsi="Book Antiqua" w:cs="Arial"/>
          <w:color w:val="000000" w:themeColor="text1"/>
          <w:lang w:val="en-US"/>
        </w:rPr>
        <w:t xml:space="preserve">since </w:t>
      </w:r>
      <w:r w:rsidR="008746ED" w:rsidRPr="008746ED">
        <w:rPr>
          <w:rFonts w:ascii="Book Antiqua" w:hAnsi="Book Antiqua" w:cs="Arial"/>
          <w:color w:val="000000" w:themeColor="text1"/>
          <w:lang w:val="en-US"/>
        </w:rPr>
        <w:t>Food and Drug Administration</w:t>
      </w:r>
      <w:r w:rsidR="007267F7" w:rsidRPr="002D3D23">
        <w:rPr>
          <w:rFonts w:ascii="Book Antiqua" w:hAnsi="Book Antiqua" w:cs="Arial"/>
          <w:color w:val="000000" w:themeColor="text1"/>
          <w:lang w:val="en-US"/>
        </w:rPr>
        <w:t xml:space="preserve"> approval in 2001</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1476-4687","author":[{"dropping-particle":"","family":"Iddan","given":"Gavriel","non-dropping-particle":"","parse-names":false,"suffix":""},{"dropping-particle":"","family":"Meron","given":"Gavriel","non-dropping-particle":"","parse-names":false,"suffix":""},{"dropping-particle":"","family":"Glukhovsky","given":"Arkady","non-dropping-particle":"","parse-names":false,"suffix":""},{"dropping-particle":"","family":"Swain","given":"Paul","non-dropping-particle":"","parse-names":false,"suffix":""}],"container-title":"Nature","id":"ITEM-1","issue":"6785","issued":{"date-parts":[["2000"]]},"page":"417","publisher":"Nature Publishing Group","title":"Wireless capsule endoscopy","type":"article-journal","volume":"405"},"uris":["http://www.mendeley.com/documents/?uuid=4c4b562f-b0aa-47d5-816a-181066075223","http://www.mendeley.com/documents/?uuid=27b1ecd9-ed85-4ecd-9bb3-83e7cc23db8d"]}],"mendeley":{"formattedCitation":"(18)","plainTextFormattedCitation":"(18)","previouslyFormattedCitation":"(18)"},"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18</w:t>
      </w:r>
      <w:r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6345AA" w:rsidRPr="002D3D23">
        <w:rPr>
          <w:rFonts w:ascii="Book Antiqua" w:hAnsi="Book Antiqua" w:cs="Arial"/>
          <w:color w:val="000000" w:themeColor="text1"/>
          <w:lang w:val="en-US"/>
        </w:rPr>
        <w:t>.</w:t>
      </w:r>
      <w:r w:rsidRPr="002D3D23">
        <w:rPr>
          <w:rFonts w:ascii="Book Antiqua" w:hAnsi="Book Antiqua" w:cs="Arial"/>
          <w:color w:val="000000" w:themeColor="text1"/>
          <w:lang w:val="en-US"/>
        </w:rPr>
        <w:t xml:space="preserve"> The common application of WCE for identifying small bowel bleeding </w:t>
      </w:r>
      <w:r w:rsidR="00E51C07" w:rsidRPr="002D3D23">
        <w:rPr>
          <w:rFonts w:ascii="Book Antiqua" w:hAnsi="Book Antiqua" w:cs="Arial"/>
          <w:color w:val="000000" w:themeColor="text1"/>
          <w:lang w:val="en-US"/>
        </w:rPr>
        <w:t>follows evidence that it is a superior diagnostic test to push enteroscopy and barium contrast studies</w:t>
      </w:r>
      <w:r w:rsidR="00E51C07"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{"citationItems":[{"id":"ITEM-1","itemData":{"ISSN":"1572-0241","author":[{"dropping-particle":"","family":"Triester","given":"Stuart L","non-dropping-particle":"","parse-names":false,"suffix":""},{"dropping-particle":"","family":"Leighton","given":"Jonathan A","non-dropping-particle":"","parse-names":false,"suffix":""},{"dropping-particle":"","family":"Leontiadis","given":"Grigoris I","non-dropping-particle":"","parse-names":false,"suffix":""},{"dropping-particle":"","family":"Fleischer","given":"David E","non-dropping-particle":"","parse-names":false,"suffix":""},{"dropping-particle":"","family":"Hara","given":"Amy K","non-dropping-particle":"","parse-names":false,"suffix":""},{"dropping-particle":"","family":"Heigh","given":"Russell I","non-dropping-particle":"","parse-names":false,"suffix":""},{"dropping-particle":"","family":"Shiff","given":"Arthur D","non-dropping-particle":"","parse-names":false,"suffix":""},{"dropping-particle":"","family":"Sharma","given":"Virender K","non-dropping-particle":"","parse-names":false,"suffix":""}],"container-title":"The American journal of gastroenterology","id":"ITEM-1","issue":"11","issued":{"date-parts":[["2005"]]},"page":"2407","publisher":"Nature Publishing Group","title":"A meta-analysis of the yield of capsule endoscopy compared to other diagnostic modalities in patients with obscure gastrointestinal bleeding","type":"article-journal","volume":"100"},"uris":["http://www.mendeley.com/documents/?uuid=e2b359ca-7000-4ff9-aa2b-8b67a87fc393","http://www.mendeley.com/documents/?uuid=f0b73bda-3955-4f62-87a5-bae9b9c839d7"]}],"mendeley":{"formattedCitation":"(19)","plainTextFormattedCitation":"(19)","previouslyFormattedCitation":"(19)"},"properties":{"noteIndex":0},"schema":"https://github.com/citation-style-language/schema/raw/master/csl-citation.json"}</w:instrText>
      </w:r>
      <w:r w:rsidR="00E51C07"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19</w:t>
      </w:r>
      <w:r w:rsidR="00E51C07"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E51C07" w:rsidRPr="002D3D23">
        <w:rPr>
          <w:rFonts w:ascii="Book Antiqua" w:hAnsi="Book Antiqua" w:cs="Arial"/>
          <w:color w:val="000000" w:themeColor="text1"/>
          <w:lang w:val="en-US"/>
        </w:rPr>
        <w:t>.</w:t>
      </w:r>
      <w:r w:rsidR="006345AA" w:rsidRPr="002D3D23">
        <w:rPr>
          <w:rFonts w:ascii="Book Antiqua" w:hAnsi="Book Antiqua" w:cs="Arial"/>
          <w:color w:val="000000" w:themeColor="text1"/>
          <w:lang w:val="en-US"/>
        </w:rPr>
        <w:t xml:space="preserve"> </w:t>
      </w:r>
      <w:r w:rsidR="007267F7" w:rsidRPr="002D3D23">
        <w:rPr>
          <w:rFonts w:ascii="Book Antiqua" w:hAnsi="Book Antiqua" w:cs="Arial"/>
          <w:color w:val="000000" w:themeColor="text1"/>
          <w:lang w:val="en-US"/>
        </w:rPr>
        <w:t>It is a reliable test</w:t>
      </w:r>
      <w:r w:rsidRPr="002D3D23">
        <w:rPr>
          <w:rFonts w:ascii="Book Antiqua" w:hAnsi="Book Antiqua" w:cs="Arial"/>
          <w:color w:val="000000" w:themeColor="text1"/>
          <w:lang w:val="en-US"/>
        </w:rPr>
        <w:t xml:space="preserve"> for Crohn’s</w:t>
      </w:r>
      <w:r w:rsidR="00CD24A8" w:rsidRPr="002D3D23">
        <w:rPr>
          <w:rFonts w:ascii="Book Antiqua" w:hAnsi="Book Antiqua" w:cs="Arial"/>
          <w:color w:val="000000" w:themeColor="text1"/>
          <w:lang w:val="en-US"/>
        </w:rPr>
        <w:t xml:space="preserve"> disease</w:t>
      </w:r>
      <w:r w:rsidR="007267F7" w:rsidRPr="002D3D23">
        <w:rPr>
          <w:rFonts w:ascii="Book Antiqua" w:hAnsi="Book Antiqua" w:cs="Arial"/>
          <w:color w:val="000000" w:themeColor="text1"/>
          <w:lang w:val="en-US"/>
        </w:rPr>
        <w:t xml:space="preserve">, with </w:t>
      </w:r>
      <w:r w:rsidR="00E51C07" w:rsidRPr="002D3D23">
        <w:rPr>
          <w:rFonts w:ascii="Book Antiqua" w:hAnsi="Book Antiqua" w:cs="Arial"/>
          <w:color w:val="000000" w:themeColor="text1"/>
          <w:lang w:val="en-US"/>
        </w:rPr>
        <w:t xml:space="preserve">a </w:t>
      </w:r>
      <w:r w:rsidR="007267F7" w:rsidRPr="002D3D23">
        <w:rPr>
          <w:rFonts w:ascii="Book Antiqua" w:hAnsi="Book Antiqua" w:cs="Arial"/>
          <w:color w:val="000000" w:themeColor="text1"/>
          <w:lang w:val="en-US"/>
        </w:rPr>
        <w:t xml:space="preserve">diagnostic yield as high as 71% and </w:t>
      </w:r>
      <w:r w:rsidR="00B67D03" w:rsidRPr="002D3D23">
        <w:rPr>
          <w:rFonts w:ascii="Book Antiqua" w:hAnsi="Book Antiqua" w:cs="Arial"/>
          <w:color w:val="000000" w:themeColor="text1"/>
          <w:lang w:val="en-US"/>
        </w:rPr>
        <w:t xml:space="preserve">a </w:t>
      </w:r>
      <w:r w:rsidR="007267F7" w:rsidRPr="002D3D23">
        <w:rPr>
          <w:rFonts w:ascii="Book Antiqua" w:hAnsi="Book Antiqua" w:cs="Arial"/>
          <w:color w:val="000000" w:themeColor="text1"/>
          <w:lang w:val="en-US"/>
        </w:rPr>
        <w:t>high safety profile provided the risk of capsule retention is lowered by sufficient imaging or patency stud</w:t>
      </w:r>
      <w:r w:rsidR="001548AF" w:rsidRPr="002D3D23">
        <w:rPr>
          <w:rFonts w:ascii="Book Antiqua" w:hAnsi="Book Antiqua" w:cs="Arial"/>
          <w:color w:val="000000" w:themeColor="text1"/>
          <w:lang w:val="en-US"/>
        </w:rPr>
        <w:t>ies</w:t>
      </w:r>
      <w:r w:rsidR="007267F7"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Luján-Sanchis","given":"Marisol","non-dropping-particle":"","parse-names":false,"suffix":""},{"dropping-particle":"","family":"Sanchis-Artero","given":"Laura","non-dropping-particle":"","parse-names":false,"suffix":""},{"dropping-particle":"","family":"Larrey-Ruiz","given":"Laura","non-dropping-particle":"","parse-names":false,"suffix":""},{"dropping-particle":"","family":"Peño-Muñoz","given":"Laura","non-dropping-particle":"","parse-names":false,"suffix":""},{"dropping-particle":"","family":"Núñez-Martínez","given":"Paola","non-dropping-particle":"","parse-names":false,"suffix":""},{"dropping-particle":"","family":"Castillo-López","given":"Génesis","non-dropping-particle":"","parse-names":false,"suffix":""},{"dropping-particle":"","family":"González-González","given":"Lara","non-dropping-particle":"","parse-names":false,"suffix":""},{"dropping-particle":"","family":"Clemente","given":"Carlos Boix","non-dropping-particle":"","parse-names":false,"suffix":""},{"dropping-particle":"","family":"Antequera","given":"Cecilia Albert","non-dropping-particle":"","parse-names":false,"suffix":""},{"dropping-particle":"","family":"Durá-Ayet","given":"Ana","non-dropping-particle":"","parse-names":false,"suffix":""}],"container-title":"World journal of gastrointestinal endoscopy","id":"ITEM-1","issue":"17","issued":{"date-parts":[["2016"]]},"page":"572","publisher":"Baishideng Publishing Group Inc","title":"Current role of capsule endoscopy in Crohn’s disease","type":"article-journal","volume":"8"},"uris":["http://www.mendeley.com/documents/?uuid=93f4a345-30a8-4bca-9352-00c289a22d76","http://www.mendeley.com/documents/?uuid=b687ebd0-fd78-40ce-b62d-8d207a6f4945"]},{"id":"ITEM-2","itemData":{"DOI":"10.1016/j.gie.2011.01.067","ISSN":"1097-6779 (Electronic)","PMID":"21497806","author":[{"dropping-particle":"","family":"Doherty","given":"Glen A","non-dropping-particle":"","parse-names":false,"suffix":""},{"dropping-particle":"","family":"Moss","given":"Alan C","non-dropping-particle":"","parse-names":false,"suffix":""},{"dropping-particle":"","family":"Cheifetz","given":"Adam S","non-dropping-particle":"","parse-names":false,"suffix":""}],"container-title":"Gastrointestinal endoscopy","id":"ITEM-2","issue":"1","issued":{"date-parts":[["2011","7"]]},"language":"eng","page":"167-175","publisher-place":"United States","title":"Capsule endoscopy for small-bowel evaluation in Crohn's disease.","type":"article-journal","volume":"74"},"uris":["http://www.mendeley.com/documents/?uuid=3ae34d00-7bdc-4080-85ea-4e2b3aa48238","http://www.mendeley.com/documents/?uuid=c4ce9243-9ba9-4afe-97cf-eefc2caf4331"]}],"mendeley":{"formattedCitation":"(20,21)","plainTextFormattedCitation":"(20,21)","previouslyFormattedCitation":"(20,21)"},"properties":{"noteIndex":0},"schema":"https://github.com/citation-style-language/schema/raw/master/csl-citation.json"}</w:instrText>
      </w:r>
      <w:r w:rsidR="007267F7"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20,21</w:t>
      </w:r>
      <w:r w:rsidR="007267F7"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2D2860" w:rsidRPr="002D3D23">
        <w:rPr>
          <w:rFonts w:ascii="Book Antiqua" w:hAnsi="Book Antiqua" w:cs="Arial"/>
          <w:color w:val="000000" w:themeColor="text1"/>
          <w:lang w:val="en-US"/>
        </w:rPr>
        <w:t>.</w:t>
      </w:r>
      <w:r w:rsidR="00DD7CB1" w:rsidRPr="002D3D23">
        <w:rPr>
          <w:rFonts w:ascii="Book Antiqua" w:hAnsi="Book Antiqua" w:cs="Arial"/>
          <w:color w:val="000000" w:themeColor="text1"/>
          <w:lang w:val="en-US"/>
        </w:rPr>
        <w:t xml:space="preserve"> Improvements in </w:t>
      </w:r>
      <w:r w:rsidR="00CB3679" w:rsidRPr="002D3D23">
        <w:rPr>
          <w:rFonts w:ascii="Book Antiqua" w:hAnsi="Book Antiqua" w:cs="Arial"/>
          <w:color w:val="000000" w:themeColor="text1"/>
          <w:lang w:val="en-US"/>
        </w:rPr>
        <w:t>diagnostic yield</w:t>
      </w:r>
      <w:r w:rsidR="00DD7CB1" w:rsidRPr="002D3D23">
        <w:rPr>
          <w:rFonts w:ascii="Book Antiqua" w:hAnsi="Book Antiqua" w:cs="Arial"/>
          <w:color w:val="000000" w:themeColor="text1"/>
          <w:lang w:val="en-US"/>
        </w:rPr>
        <w:t xml:space="preserve"> </w:t>
      </w:r>
      <w:r w:rsidR="005D62D3" w:rsidRPr="002D3D23">
        <w:rPr>
          <w:rFonts w:ascii="Book Antiqua" w:hAnsi="Book Antiqua" w:cs="Arial"/>
          <w:color w:val="000000" w:themeColor="text1"/>
          <w:lang w:val="en-US"/>
        </w:rPr>
        <w:t>continue to be developed</w:t>
      </w:r>
      <w:r w:rsidR="00CB3679" w:rsidRPr="002D3D23">
        <w:rPr>
          <w:rFonts w:ascii="Book Antiqua" w:hAnsi="Book Antiqua" w:cs="Arial"/>
          <w:color w:val="000000" w:themeColor="text1"/>
          <w:lang w:val="en-US"/>
        </w:rPr>
        <w:t xml:space="preserve"> by widening field of view and increasing the number of</w:t>
      </w:r>
      <w:r w:rsidR="00DD7CB1" w:rsidRPr="002D3D23">
        <w:rPr>
          <w:rFonts w:ascii="Book Antiqua" w:hAnsi="Book Antiqua" w:cs="Arial"/>
          <w:color w:val="000000" w:themeColor="text1"/>
          <w:lang w:val="en-US"/>
        </w:rPr>
        <w:t xml:space="preserve"> recor</w:t>
      </w:r>
      <w:r w:rsidR="00CD24A8" w:rsidRPr="002D3D23">
        <w:rPr>
          <w:rFonts w:ascii="Book Antiqua" w:hAnsi="Book Antiqua" w:cs="Arial"/>
          <w:color w:val="000000" w:themeColor="text1"/>
          <w:lang w:val="en-US"/>
        </w:rPr>
        <w:t>d</w:t>
      </w:r>
      <w:r w:rsidR="00CB3679" w:rsidRPr="002D3D23">
        <w:rPr>
          <w:rFonts w:ascii="Book Antiqua" w:hAnsi="Book Antiqua" w:cs="Arial"/>
          <w:color w:val="000000" w:themeColor="text1"/>
          <w:lang w:val="en-US"/>
        </w:rPr>
        <w:t>ed</w:t>
      </w:r>
      <w:r w:rsidR="00DD7CB1" w:rsidRPr="002D3D23">
        <w:rPr>
          <w:rFonts w:ascii="Book Antiqua" w:hAnsi="Book Antiqua" w:cs="Arial"/>
          <w:color w:val="000000" w:themeColor="text1"/>
          <w:lang w:val="en-US"/>
        </w:rPr>
        <w:t xml:space="preserve"> images</w:t>
      </w:r>
      <w:r w:rsidR="00CB3679" w:rsidRPr="002D3D23">
        <w:rPr>
          <w:rFonts w:ascii="Book Antiqua" w:hAnsi="Book Antiqua" w:cs="Arial"/>
          <w:color w:val="000000" w:themeColor="text1"/>
          <w:lang w:val="en-US"/>
        </w:rPr>
        <w:t>, including the development of</w:t>
      </w:r>
      <w:r w:rsidR="00DD7CB1" w:rsidRPr="002D3D23">
        <w:rPr>
          <w:rFonts w:ascii="Book Antiqua" w:hAnsi="Book Antiqua" w:cs="Arial"/>
          <w:color w:val="000000" w:themeColor="text1"/>
          <w:lang w:val="en-US"/>
        </w:rPr>
        <w:t xml:space="preserve"> adaptive frame rate</w:t>
      </w:r>
      <w:r w:rsidR="00CB3679" w:rsidRPr="002D3D23">
        <w:rPr>
          <w:rFonts w:ascii="Book Antiqua" w:hAnsi="Book Antiqua" w:cs="Arial"/>
          <w:color w:val="000000" w:themeColor="text1"/>
          <w:lang w:val="en-US"/>
        </w:rPr>
        <w:t>s</w:t>
      </w:r>
      <w:r w:rsidR="008C57A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{"citationItems":[{"id":"ITEM-1","itemData":{"author":[{"dropping-particle":"","family":"Zwinger","given":"Lilli L","non-dropping-particle":"","parse-names":false,"suffix":""},{"dropping-particle":"","family":"Siegmund","given":"Britta","non-dropping-particle":"","parse-names":false,"suffix":""},{"dropping-particle":"","family":"Stroux","given":"Andrea","non-dropping-particle":"","parse-names":false,"suffix":""},{"dropping-particle":"","family":"Adler","given":"Andreas","non-dropping-particle":"","parse-names":false,"suffix":""},{"dropping-particle":"","family":"Veltzke-Schlieker","given":"Winfried","non-dropping-particle":"","parse-names":false,"suffix":""},{"dropping-particle":"","family":"Wentrup","given":"Robert","non-dropping-particle":"","parse-names":false,"suffix":""},{"dropping-particle":"","family":"Jürgensen","given":"Christian","non-dropping-particle":"","parse-names":false,"suffix":""},{"dropping-particle":"","family":"Wiedenmann","given":"Bertram","non-dropping-particle":"","parse-names":false,"suffix":""},{"dropping-particle":"","family":"Wiedbrauck","given":"Felix","non-dropping-particle":"","parse-names":false,"suffix":""},{"dropping-particle":"","family":"Hollerbach","given":"Stephan","non-dropping-particle":"","parse-names":false,"suffix":""}],"id":"ITEM-1","issued":{"date-parts":[["2018"]]},"title":"CapsoCam SV-1 Versus PillCam SB 3 in the Detection of Obscure Gastrointestinal Bleeding","type":"article-journal"},"uris":["http://www.mendeley.com/documents/?uuid=89c399d2-5e44-4176-94ac-8c9635fdfd80","http://www.mendeley.com/documents/?uuid=67639ce6-e3a3-446d-afdb-1e317ea85344"]},{"id":"ITEM-2","itemData":{"DOI":"10.3748/wjg.v22.i10.3066","ISSN":"2219-2840 (Electronic)","PMID":"26973404","abstract":"Since its emergence in 2000, small bowel capsule endoscopy (SBCE) has assumed a pivotal role as an investigation method for small bowel diseases. The PillCam((R)) SB2-ex offers 12 h of battery time, 4 more than the previous version (SB2). Rahman et al recently found that the PillCam((R)) SB2-ex has a significantly increased completion rate, although without higher diagnostic yield, compared with the SB2. We would like to discuss these somewhat surprising results and the new potentialities of the PillCam((R)) SB3 regarding the diagnostic yield of small bowel studies. PillCam((R)) SB3 offers improved image resolution and faster adaptable frame rate over previous versions of SBCE. We recently compared the major duodenal papilla detection rate obtained with PillCam((R)) SB3 and SB2 as a surrogate indicator of diagnostic yield in the proximal small bowel. The PillCam((R)) SB3 had a significantly higher major duodenal papilla detection rate than the PillCam((R)) SB2 (42.7% vs 24%, P = 0.015). Thus, the most recent version of the PillCam((R)) capsule, SB3, may increase diagnostic yield, particularly in the proximal segments of the small bowel.","author":[{"dropping-particle":"","family":"Monteiro","given":"Sara","non-dropping-particle":"","parse-names":false,"suffix":""},{"dropping-particle":"","family":"Castro","given":"Francisca Dias","non-dropping-particle":"de","parse-names":false,"suffix":""},{"dropping-particle":"","family":"Carvalho","given":"Pedro Boal","non-dropping-particle":"","parse-names":false,"suffix":""},{"dropping-particle":"","family":"Moreira","given":"Maria Joao","non-dropping-particle":"","parse-names":false,"suffix":""},{"dropping-particle":"","family":"Rosa","given":"Bruno","non-dropping-particle":"","parse-names":false,"suffix":""},{"dropping-particle":"","family":"Cotter","given":"Jose","non-dropping-particle":"","parse-names":false,"suffix":""}],"container-title":"World journal of gastroenterology","id":"ITEM-2","issue":"10","issued":{"date-parts":[["2016","3"]]},"language":"eng","page":"3066-3068","publisher-place":"United States","title":"PillCam(R) SB3 capsule: Does the increased frame rate eliminate the risk of missing lesions?","type":"article","volume":"22"},"uris":["http://www.mendeley.com/documents/?uuid=b20c4df4-0f7f-4615-840f-9d2ecd70ccec","http://www.mendeley.com/documents/?uuid=f0943ac6-39e3-4398-8939-290059923b86"]}],"mendeley":{"formattedCitation":"(22,23)","plainTextFormattedCitation":"(22,23)","previouslyFormattedCitation":"(22,23)"},"properties":{"noteIndex":0},"schema":"https://github.com/citation-style-language/schema/raw/master/csl-citation.json"}</w:instrText>
      </w:r>
      <w:r w:rsidR="008C57A0"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22,23</w:t>
      </w:r>
      <w:r w:rsidR="008C57A0"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2D2860" w:rsidRPr="002D3D23">
        <w:rPr>
          <w:rFonts w:ascii="Book Antiqua" w:hAnsi="Book Antiqua" w:cs="Arial"/>
          <w:color w:val="000000" w:themeColor="text1"/>
          <w:lang w:val="en-US"/>
        </w:rPr>
        <w:t>.</w:t>
      </w:r>
      <w:r w:rsidR="00CB3679" w:rsidRPr="002D3D23">
        <w:rPr>
          <w:rFonts w:ascii="Book Antiqua" w:hAnsi="Book Antiqua" w:cs="Arial"/>
          <w:color w:val="000000" w:themeColor="text1"/>
          <w:lang w:val="en-US"/>
        </w:rPr>
        <w:t xml:space="preserve"> </w:t>
      </w:r>
      <w:r w:rsidR="00080A31" w:rsidRPr="002D3D23">
        <w:rPr>
          <w:rFonts w:ascii="Book Antiqua" w:hAnsi="Book Antiqua" w:cs="Arial"/>
          <w:color w:val="000000" w:themeColor="text1"/>
          <w:lang w:val="en-US"/>
        </w:rPr>
        <w:t>Various software tools have been developed to reduce reading time while maintaining the diagnostic yield. Their properties include omission of almost identical images, provisional selection of the most standout images and multiple-view modes</w:t>
      </w:r>
      <w:r w:rsidR="00080A31"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{"citationItems":[{"id":"ITEM-1","itemData":{"DOI":"10.21037/atm.2016.09.18","ISSN":"2305-5839","abstract":"Capsule endoscopy (CE) is a first line small bowel investigative modality which provides more sensitive mucosal imaging than comparators. It is a non-invasive, non-irradiating tool well tolerated by patients. The risk of retention of the capsule can be minimised by ensuring luminal patency using the Agile patency device. Research continues into how to minimise missed pathology and variability in the identification of pathology or interpretation of images. The consensus is that bowel preparation using laxatives improves visibility and diagnostic yield. Research includes the development of image recognition software, both to eliminate sequentially identical images to improve viewing speed and to select or enhance images likely to represent pathology. However, careful reading by experienced capsule endoscopists remains the benchmark. This should be performed at a speed comfortable to the viewer, probably at a maximum of 15 frames per second. Some prior experience of endoscopy appears to be helpful for novice capsule endoscopists and formal training on a hands-on training course seems to improve pathology recognition, for novices and for those with CE experience.","author":[{"dropping-particle":"","family":"McAlindon","given":"Mark E","non-dropping-particle":"","parse-names":false,"suffix":""},{"dropping-particle":"","family":"Ching","given":"Hey-Long","non-dropping-particle":"","parse-names":false,"suffix":""},{"dropping-particle":"","family":"Yung","given":"Diana","non-dropping-particle":"","parse-names":false,"suffix":""},{"dropping-particle":"","family":"Sidhu","given":"Reena","non-dropping-particle":"","parse-names":false,"suffix":""},{"dropping-particle":"","family":"Koulaouzidis","given":"Anastasios","non-dropping-particle":"","parse-names":false,"suffix":""}],"container-title":"Annals of translational medicine","id":"ITEM-1","issue":"19","issued":{"date-parts":[["2016","10"]]},"page":"369","publisher":"AME Publishing Company","title":"Capsule endoscopy of the small bowel","type":"article-journal","volume":"4"},"uris":["http://www.mendeley.com/documents/?uuid=1f636f35-e1ec-497a-89b9-3d30e5c736a4","http://www.mendeley.com/documents/?uuid=832f8b79-29b8-48dd-b508-65e19a0726a5"]}],"mendeley":{"formattedCitation":"(24)","plainTextFormattedCitation":"(24)","previouslyFormattedCitation":"(24)"},"properties":{"noteIndex":0},"schema":"https://github.com/citation-style-language/schema/raw/master/csl-citation.json"}</w:instrText>
      </w:r>
      <w:r w:rsidR="00080A31"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24</w:t>
      </w:r>
      <w:r w:rsidR="00080A31"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080A31" w:rsidRPr="002D3D23">
        <w:rPr>
          <w:rFonts w:ascii="Book Antiqua" w:hAnsi="Book Antiqua" w:cs="Arial"/>
          <w:color w:val="000000" w:themeColor="text1"/>
          <w:lang w:val="en-US"/>
        </w:rPr>
        <w:t xml:space="preserve">. </w:t>
      </w:r>
      <w:r w:rsidR="00882D69" w:rsidRPr="002D3D23">
        <w:rPr>
          <w:rFonts w:ascii="Book Antiqua" w:hAnsi="Book Antiqua" w:cs="Arial"/>
          <w:color w:val="000000" w:themeColor="text1"/>
          <w:lang w:val="en-US"/>
        </w:rPr>
        <w:t xml:space="preserve">The limitations of even very experienced and skilled readers in identifying pathologies </w:t>
      </w:r>
      <w:r w:rsidR="00882D69" w:rsidRPr="002D3D23">
        <w:rPr>
          <w:rFonts w:ascii="Book Antiqua" w:hAnsi="Book Antiqua" w:cs="Arial"/>
          <w:color w:val="000000" w:themeColor="text1"/>
          <w:lang w:val="en-US"/>
        </w:rPr>
        <w:lastRenderedPageBreak/>
        <w:t>are acknowledged. In response to this, the place of a</w:t>
      </w:r>
      <w:r w:rsidR="00080A31" w:rsidRPr="002D3D23">
        <w:rPr>
          <w:rFonts w:ascii="Book Antiqua" w:hAnsi="Book Antiqua" w:cs="Arial"/>
          <w:color w:val="000000" w:themeColor="text1"/>
          <w:lang w:val="en-US"/>
        </w:rPr>
        <w:t xml:space="preserve">rtificial intelligence </w:t>
      </w:r>
      <w:r w:rsidR="00882D69" w:rsidRPr="002D3D23">
        <w:rPr>
          <w:rFonts w:ascii="Book Antiqua" w:hAnsi="Book Antiqua" w:cs="Arial"/>
          <w:color w:val="000000" w:themeColor="text1"/>
          <w:lang w:val="en-US"/>
        </w:rPr>
        <w:t>in WCE is now recognized as a very real prospect. Applicable technology remains in the embryonic stages but over time, this, as well as patient and physician acceptance, are seen as barriers that can be overcome</w:t>
      </w:r>
      <w:r w:rsidR="00882D69"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{"citationItems":[{"id":"ITEM-1","itemData":{"ISSN":"0016-5107","author":[{"dropping-particle":"","family":"Byrne","given":"Michael F","non-dropping-particle":"","parse-names":false,"suffix":""},{"dropping-particle":"","family":"Donnellan","given":"Fergal","non-dropping-particle":"","parse-names":false,"suffix":""}],"container-title":"Gastrointestinal endoscopy","id":"ITEM-1","issue":"1","issued":{"date-parts":[["2019"]]},"page":"195-197","publisher":"Elsevier","title":"Artificial intelligence and capsule endoscopy: Is the truly “smart” capsule nearly here?","type":"article-journal","volume":"89"},"uris":["http://www.mendeley.com/documents/?uuid=ac50f7eb-d176-4fa4-9196-8ec1da589528","http://www.mendeley.com/documents/?uuid=d05316d8-fdee-438a-b92e-62a16004d669"]}],"mendeley":{"formattedCitation":"(25)","plainTextFormattedCitation":"(25)","previouslyFormattedCitation":"(25)"},"properties":{"noteIndex":0},"schema":"https://github.com/citation-style-language/schema/raw/master/csl-citation.json"}</w:instrText>
      </w:r>
      <w:r w:rsidR="00882D69"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25</w:t>
      </w:r>
      <w:r w:rsidR="00882D69"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882D69" w:rsidRPr="002D3D23">
        <w:rPr>
          <w:rFonts w:ascii="Book Antiqua" w:hAnsi="Book Antiqua" w:cs="Arial"/>
          <w:color w:val="000000" w:themeColor="text1"/>
          <w:lang w:val="en-US"/>
        </w:rPr>
        <w:t xml:space="preserve">. </w:t>
      </w:r>
    </w:p>
    <w:p w14:paraId="4BC53D62" w14:textId="595501DF" w:rsidR="00DD7CB1" w:rsidRPr="002D3D23" w:rsidRDefault="00DD7CB1"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Beyond </w:t>
      </w:r>
      <w:r w:rsidR="00C860A9" w:rsidRPr="002D3D23">
        <w:rPr>
          <w:rFonts w:ascii="Book Antiqua" w:hAnsi="Book Antiqua" w:cs="Arial"/>
          <w:color w:val="000000" w:themeColor="text1"/>
          <w:lang w:val="en-US"/>
        </w:rPr>
        <w:t xml:space="preserve">diagnosing </w:t>
      </w:r>
      <w:r w:rsidRPr="002D3D23">
        <w:rPr>
          <w:rFonts w:ascii="Book Antiqua" w:hAnsi="Book Antiqua" w:cs="Arial"/>
          <w:color w:val="000000" w:themeColor="text1"/>
          <w:lang w:val="en-US"/>
        </w:rPr>
        <w:t>small bowel</w:t>
      </w:r>
      <w:r w:rsidR="00C860A9" w:rsidRPr="002D3D23">
        <w:rPr>
          <w:rFonts w:ascii="Book Antiqua" w:hAnsi="Book Antiqua" w:cs="Arial"/>
          <w:color w:val="000000" w:themeColor="text1"/>
          <w:lang w:val="en-US"/>
        </w:rPr>
        <w:t xml:space="preserve"> pathology</w:t>
      </w:r>
      <w:r w:rsidRPr="002D3D23">
        <w:rPr>
          <w:rFonts w:ascii="Book Antiqua" w:hAnsi="Book Antiqua" w:cs="Arial"/>
          <w:color w:val="000000" w:themeColor="text1"/>
          <w:lang w:val="en-US"/>
        </w:rPr>
        <w:t>, colon capsule endoscope</w:t>
      </w:r>
      <w:r w:rsidR="007007A6" w:rsidRPr="002D3D23">
        <w:rPr>
          <w:rFonts w:ascii="Book Antiqua" w:hAnsi="Book Antiqua" w:cs="Arial"/>
          <w:color w:val="000000" w:themeColor="text1"/>
          <w:lang w:val="en-US"/>
        </w:rPr>
        <w:t xml:space="preserve">s (CCE) have been produced in response to concerns over </w:t>
      </w:r>
      <w:r w:rsidR="00C860A9" w:rsidRPr="002D3D23">
        <w:rPr>
          <w:rFonts w:ascii="Book Antiqua" w:hAnsi="Book Antiqua" w:cs="Arial"/>
          <w:color w:val="000000" w:themeColor="text1"/>
          <w:lang w:val="en-US"/>
        </w:rPr>
        <w:t xml:space="preserve">the </w:t>
      </w:r>
      <w:r w:rsidR="007007A6" w:rsidRPr="002D3D23">
        <w:rPr>
          <w:rFonts w:ascii="Book Antiqua" w:hAnsi="Book Antiqua" w:cs="Arial"/>
          <w:color w:val="000000" w:themeColor="text1"/>
          <w:lang w:val="en-US"/>
        </w:rPr>
        <w:t>resource intensiveness</w:t>
      </w:r>
      <w:r w:rsidR="002665E0" w:rsidRPr="002D3D23">
        <w:rPr>
          <w:rFonts w:ascii="Book Antiqua" w:hAnsi="Book Antiqua" w:cs="Arial"/>
          <w:color w:val="000000" w:themeColor="text1"/>
          <w:lang w:val="en-US"/>
        </w:rPr>
        <w:t xml:space="preserve"> driven by increased demand for colonoscopies</w:t>
      </w:r>
      <w:r w:rsidR="007007A6" w:rsidRPr="002D3D23">
        <w:rPr>
          <w:rFonts w:ascii="Book Antiqua" w:hAnsi="Book Antiqua" w:cs="Arial"/>
          <w:color w:val="000000" w:themeColor="text1"/>
          <w:lang w:val="en-US"/>
        </w:rPr>
        <w:t xml:space="preserve">, </w:t>
      </w:r>
      <w:r w:rsidR="00C860A9" w:rsidRPr="002D3D23">
        <w:rPr>
          <w:rFonts w:ascii="Book Antiqua" w:hAnsi="Book Antiqua" w:cs="Arial"/>
          <w:color w:val="000000" w:themeColor="text1"/>
          <w:lang w:val="en-US"/>
        </w:rPr>
        <w:t xml:space="preserve">the </w:t>
      </w:r>
      <w:r w:rsidR="007007A6" w:rsidRPr="002D3D23">
        <w:rPr>
          <w:rFonts w:ascii="Book Antiqua" w:hAnsi="Book Antiqua" w:cs="Arial"/>
          <w:color w:val="000000" w:themeColor="text1"/>
          <w:lang w:val="en-US"/>
        </w:rPr>
        <w:t xml:space="preserve">chance of failure of cecal intubation and </w:t>
      </w:r>
      <w:r w:rsidR="002665E0" w:rsidRPr="002D3D23">
        <w:rPr>
          <w:rFonts w:ascii="Book Antiqua" w:hAnsi="Book Antiqua" w:cs="Arial"/>
          <w:color w:val="000000" w:themeColor="text1"/>
          <w:lang w:val="en-US"/>
        </w:rPr>
        <w:t>suboptimal</w:t>
      </w:r>
      <w:r w:rsidR="007007A6" w:rsidRPr="002D3D23">
        <w:rPr>
          <w:rFonts w:ascii="Book Antiqua" w:hAnsi="Book Antiqua" w:cs="Arial"/>
          <w:color w:val="000000" w:themeColor="text1"/>
          <w:lang w:val="en-US"/>
        </w:rPr>
        <w:t xml:space="preserve"> patient uptake due to </w:t>
      </w:r>
      <w:r w:rsidR="002665E0" w:rsidRPr="002D3D23">
        <w:rPr>
          <w:rFonts w:ascii="Book Antiqua" w:hAnsi="Book Antiqua" w:cs="Arial"/>
          <w:color w:val="000000" w:themeColor="text1"/>
          <w:lang w:val="en-US"/>
        </w:rPr>
        <w:t xml:space="preserve">the </w:t>
      </w:r>
      <w:r w:rsidR="007007A6" w:rsidRPr="002D3D23">
        <w:rPr>
          <w:rFonts w:ascii="Book Antiqua" w:hAnsi="Book Antiqua" w:cs="Arial"/>
          <w:color w:val="000000" w:themeColor="text1"/>
          <w:lang w:val="en-US"/>
        </w:rPr>
        <w:t>poor tolerance</w:t>
      </w:r>
      <w:r w:rsidR="002665E0" w:rsidRPr="002D3D23">
        <w:rPr>
          <w:rFonts w:ascii="Book Antiqua" w:hAnsi="Book Antiqua" w:cs="Arial"/>
          <w:color w:val="000000" w:themeColor="text1"/>
          <w:lang w:val="en-US"/>
        </w:rPr>
        <w:t xml:space="preserve"> of more conventional endoscopy</w:t>
      </w:r>
      <w:r w:rsidR="007007A6"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{"citationItems":[{"id":"ITEM-1","itemData":{"ISSN":"1751-2972","author":[{"dropping-particle":"","family":"Li","given":"Jiao","non-dropping-particle":"","parse-names":false,"suffix":""},{"dropping-particle":"","family":"Leung","given":"Wai K","non-dropping-particle":"","parse-names":false,"suffix":""}],"container-title":"Journal of digestive diseases","id":"ITEM-1","issued":{"date-parts":[["2018"]]},"publisher":"Wiley Online Library","title":"Colon capsule endoscopy for inflammatory bowel disease","type":"article-journal"},"uris":["http://www.mendeley.com/documents/?uuid=083cf9fe-5eff-4b70-bd74-d473fda16b4a","http://www.mendeley.com/documents/?uuid=920b0c8d-3b80-4684-84eb-16f4532e17b2"]}],"mendeley":{"formattedCitation":"(26)","plainTextFormattedCitation":"(26)","previouslyFormattedCitation":"(26)"},"properties":{"noteIndex":0},"schema":"https://github.com/citation-style-language/schema/raw/master/csl-citation.json"}</w:instrText>
      </w:r>
      <w:r w:rsidR="007007A6"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26</w:t>
      </w:r>
      <w:r w:rsidR="007007A6"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C860A9" w:rsidRPr="002D3D23">
        <w:rPr>
          <w:rFonts w:ascii="Book Antiqua" w:hAnsi="Book Antiqua" w:cs="Arial"/>
          <w:color w:val="000000" w:themeColor="text1"/>
          <w:lang w:val="en-US"/>
        </w:rPr>
        <w:t>.</w:t>
      </w:r>
      <w:r w:rsidR="007007A6" w:rsidRPr="002D3D23">
        <w:rPr>
          <w:rFonts w:ascii="Book Antiqua" w:hAnsi="Book Antiqua" w:cs="Arial"/>
          <w:color w:val="000000" w:themeColor="text1"/>
          <w:lang w:val="en-US"/>
        </w:rPr>
        <w:t xml:space="preserve"> The second generation CCE</w:t>
      </w:r>
      <w:r w:rsidR="002D3DA5" w:rsidRPr="002D3D23">
        <w:rPr>
          <w:rFonts w:ascii="Book Antiqua" w:hAnsi="Book Antiqua" w:cs="Arial"/>
          <w:color w:val="000000" w:themeColor="text1"/>
          <w:lang w:val="en-US"/>
        </w:rPr>
        <w:t>-2 has</w:t>
      </w:r>
      <w:r w:rsidR="007007A6" w:rsidRPr="002D3D23">
        <w:rPr>
          <w:rFonts w:ascii="Book Antiqua" w:hAnsi="Book Antiqua" w:cs="Arial"/>
          <w:color w:val="000000" w:themeColor="text1"/>
          <w:lang w:val="en-US"/>
        </w:rPr>
        <w:t xml:space="preserve"> two optical cameras at each end giving a 172</w:t>
      </w:r>
      <w:r w:rsidR="007007A6" w:rsidRPr="002D3D23">
        <w:rPr>
          <w:rFonts w:ascii="Book Antiqua" w:hAnsi="Book Antiqua" w:cs="Arial"/>
          <w:color w:val="000000" w:themeColor="text1"/>
          <w:lang w:val="en-US"/>
        </w:rPr>
        <w:sym w:font="Symbol" w:char="F0B0"/>
      </w:r>
      <w:r w:rsidR="003B0CDB">
        <w:rPr>
          <w:rFonts w:ascii="Book Antiqua" w:hAnsi="Book Antiqua" w:cs="Arial"/>
          <w:color w:val="000000" w:themeColor="text1"/>
          <w:lang w:val="en-US"/>
        </w:rPr>
        <w:t xml:space="preserve"> </w:t>
      </w:r>
      <w:r w:rsidR="007007A6" w:rsidRPr="002D3D23">
        <w:rPr>
          <w:rFonts w:ascii="Book Antiqua" w:hAnsi="Book Antiqua" w:cs="Arial"/>
          <w:color w:val="000000" w:themeColor="text1"/>
          <w:lang w:val="en-US"/>
        </w:rPr>
        <w:t>view and adaptive frame rate up to 35 frames per second</w:t>
      </w:r>
      <w:r w:rsidR="002D3DA5" w:rsidRPr="002D3D23">
        <w:rPr>
          <w:rFonts w:ascii="Book Antiqua" w:hAnsi="Book Antiqua" w:cs="Arial"/>
          <w:color w:val="000000" w:themeColor="text1"/>
          <w:lang w:val="en-US"/>
        </w:rPr>
        <w:t>. This</w:t>
      </w:r>
      <w:r w:rsidR="00E86C85" w:rsidRPr="002D3D23">
        <w:rPr>
          <w:rFonts w:ascii="Book Antiqua" w:hAnsi="Book Antiqua" w:cs="Arial"/>
          <w:color w:val="000000" w:themeColor="text1"/>
          <w:lang w:val="en-US"/>
        </w:rPr>
        <w:t xml:space="preserve"> </w:t>
      </w:r>
      <w:r w:rsidR="007007A6" w:rsidRPr="002D3D23">
        <w:rPr>
          <w:rFonts w:ascii="Book Antiqua" w:hAnsi="Book Antiqua" w:cs="Arial"/>
          <w:color w:val="000000" w:themeColor="text1"/>
          <w:lang w:val="en-US"/>
        </w:rPr>
        <w:t>provide</w:t>
      </w:r>
      <w:r w:rsidR="002D3DA5" w:rsidRPr="002D3D23">
        <w:rPr>
          <w:rFonts w:ascii="Book Antiqua" w:hAnsi="Book Antiqua" w:cs="Arial"/>
          <w:color w:val="000000" w:themeColor="text1"/>
          <w:lang w:val="en-US"/>
        </w:rPr>
        <w:t>s</w:t>
      </w:r>
      <w:r w:rsidR="007007A6" w:rsidRPr="002D3D23">
        <w:rPr>
          <w:rFonts w:ascii="Book Antiqua" w:hAnsi="Book Antiqua" w:cs="Arial"/>
          <w:color w:val="000000" w:themeColor="text1"/>
          <w:lang w:val="en-US"/>
        </w:rPr>
        <w:t xml:space="preserve"> bidirectional views in real time</w:t>
      </w:r>
      <w:r w:rsidR="00F91DCF" w:rsidRPr="002D3D23">
        <w:rPr>
          <w:rFonts w:ascii="Book Antiqua" w:hAnsi="Book Antiqua" w:cs="Arial"/>
          <w:color w:val="000000" w:themeColor="text1"/>
          <w:lang w:val="en-US"/>
        </w:rPr>
        <w:t>.</w:t>
      </w:r>
      <w:r w:rsidR="00C976F0" w:rsidRPr="002D3D23">
        <w:rPr>
          <w:rFonts w:ascii="Book Antiqua" w:hAnsi="Book Antiqua" w:cs="Arial"/>
          <w:color w:val="000000" w:themeColor="text1"/>
          <w:lang w:val="en-US"/>
        </w:rPr>
        <w:t xml:space="preserve"> It</w:t>
      </w:r>
      <w:r w:rsidR="00C860A9" w:rsidRPr="002D3D23">
        <w:rPr>
          <w:rFonts w:ascii="Book Antiqua" w:hAnsi="Book Antiqua" w:cs="Arial"/>
          <w:color w:val="000000" w:themeColor="text1"/>
          <w:lang w:val="en-US"/>
        </w:rPr>
        <w:t>s dimensions are</w:t>
      </w:r>
      <w:r w:rsidR="00C976F0" w:rsidRPr="002D3D23">
        <w:rPr>
          <w:rFonts w:ascii="Book Antiqua" w:hAnsi="Book Antiqua" w:cs="Arial"/>
          <w:color w:val="000000" w:themeColor="text1"/>
          <w:lang w:val="en-US"/>
        </w:rPr>
        <w:t xml:space="preserve"> </w:t>
      </w:r>
      <w:r w:rsidR="000B45C0" w:rsidRPr="002D3D23">
        <w:rPr>
          <w:rFonts w:ascii="Book Antiqua" w:hAnsi="Book Antiqua" w:cs="Arial"/>
          <w:color w:val="000000" w:themeColor="text1"/>
          <w:lang w:val="en-US"/>
        </w:rPr>
        <w:t>31.5</w:t>
      </w:r>
      <w:r w:rsidR="008746ED">
        <w:rPr>
          <w:rFonts w:ascii="Book Antiqua" w:hAnsi="Book Antiqua" w:cs="Arial"/>
          <w:color w:val="000000" w:themeColor="text1"/>
          <w:lang w:val="en-US"/>
        </w:rPr>
        <w:t xml:space="preserve"> </w:t>
      </w:r>
      <w:r w:rsidR="000B45C0" w:rsidRPr="002D3D23">
        <w:rPr>
          <w:rFonts w:ascii="Book Antiqua" w:hAnsi="Book Antiqua" w:cs="Arial"/>
          <w:color w:val="000000" w:themeColor="text1"/>
          <w:lang w:val="en-US"/>
        </w:rPr>
        <w:t xml:space="preserve">mm </w:t>
      </w:r>
      <w:r w:rsidR="00C860A9" w:rsidRPr="002D3D23">
        <w:rPr>
          <w:rFonts w:ascii="Book Antiqua" w:hAnsi="Book Antiqua" w:cs="Arial"/>
          <w:color w:val="000000" w:themeColor="text1"/>
          <w:lang w:val="en-US"/>
        </w:rPr>
        <w:t>by</w:t>
      </w:r>
      <w:r w:rsidR="000B45C0" w:rsidRPr="002D3D23">
        <w:rPr>
          <w:rFonts w:ascii="Book Antiqua" w:hAnsi="Book Antiqua" w:cs="Arial"/>
          <w:color w:val="000000" w:themeColor="text1"/>
          <w:lang w:val="en-US"/>
        </w:rPr>
        <w:t xml:space="preserve"> 11.6</w:t>
      </w:r>
      <w:r w:rsidR="008746ED">
        <w:rPr>
          <w:rFonts w:ascii="Book Antiqua" w:hAnsi="Book Antiqua" w:cs="Arial"/>
          <w:color w:val="000000" w:themeColor="text1"/>
          <w:lang w:val="en-US"/>
        </w:rPr>
        <w:t xml:space="preserve"> </w:t>
      </w:r>
      <w:r w:rsidR="000B45C0" w:rsidRPr="002D3D23">
        <w:rPr>
          <w:rFonts w:ascii="Book Antiqua" w:hAnsi="Book Antiqua" w:cs="Arial"/>
          <w:color w:val="000000" w:themeColor="text1"/>
          <w:lang w:val="en-US"/>
        </w:rPr>
        <w:t>mm and</w:t>
      </w:r>
      <w:r w:rsidR="00C860A9" w:rsidRPr="002D3D23">
        <w:rPr>
          <w:rFonts w:ascii="Book Antiqua" w:hAnsi="Book Antiqua" w:cs="Arial"/>
          <w:color w:val="000000" w:themeColor="text1"/>
          <w:lang w:val="en-US"/>
        </w:rPr>
        <w:t xml:space="preserve"> its</w:t>
      </w:r>
      <w:r w:rsidR="000B45C0" w:rsidRPr="002D3D23">
        <w:rPr>
          <w:rFonts w:ascii="Book Antiqua" w:hAnsi="Book Antiqua" w:cs="Arial"/>
          <w:color w:val="000000" w:themeColor="text1"/>
          <w:lang w:val="en-US"/>
        </w:rPr>
        <w:t xml:space="preserve"> recording capacity </w:t>
      </w:r>
      <w:r w:rsidR="00C860A9" w:rsidRPr="002D3D23">
        <w:rPr>
          <w:rFonts w:ascii="Book Antiqua" w:hAnsi="Book Antiqua" w:cs="Arial"/>
          <w:color w:val="000000" w:themeColor="text1"/>
          <w:lang w:val="en-US"/>
        </w:rPr>
        <w:t>is</w:t>
      </w:r>
      <w:r w:rsidR="000B45C0" w:rsidRPr="002D3D23">
        <w:rPr>
          <w:rFonts w:ascii="Book Antiqua" w:hAnsi="Book Antiqua" w:cs="Arial"/>
          <w:color w:val="000000" w:themeColor="text1"/>
          <w:lang w:val="en-US"/>
        </w:rPr>
        <w:t xml:space="preserve"> ten hours</w:t>
      </w:r>
      <w:r w:rsidR="00C860A9" w:rsidRPr="002D3D23">
        <w:rPr>
          <w:rFonts w:ascii="Book Antiqua" w:hAnsi="Book Antiqua" w:cs="Arial"/>
          <w:color w:val="000000" w:themeColor="text1"/>
          <w:lang w:val="en-US"/>
        </w:rPr>
        <w:t>. T</w:t>
      </w:r>
      <w:r w:rsidR="000B45C0" w:rsidRPr="002D3D23">
        <w:rPr>
          <w:rFonts w:ascii="Book Antiqua" w:hAnsi="Book Antiqua" w:cs="Arial"/>
          <w:color w:val="000000" w:themeColor="text1"/>
          <w:lang w:val="en-US"/>
        </w:rPr>
        <w:t>he software contain</w:t>
      </w:r>
      <w:r w:rsidR="00C860A9" w:rsidRPr="002D3D23">
        <w:rPr>
          <w:rFonts w:ascii="Book Antiqua" w:hAnsi="Book Antiqua" w:cs="Arial"/>
          <w:color w:val="000000" w:themeColor="text1"/>
          <w:lang w:val="en-US"/>
        </w:rPr>
        <w:t>s</w:t>
      </w:r>
      <w:r w:rsidR="000B45C0" w:rsidRPr="002D3D23">
        <w:rPr>
          <w:rFonts w:ascii="Book Antiqua" w:hAnsi="Book Antiqua" w:cs="Arial"/>
          <w:color w:val="000000" w:themeColor="text1"/>
          <w:lang w:val="en-US"/>
        </w:rPr>
        <w:t xml:space="preserve"> a polyp size estimation function and a flexible spectral imaging color enhancement for enhanced visualization</w:t>
      </w:r>
      <w:r w:rsidR="000B45C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{"citationItems":[{"id":"ITEM-1","itemData":{"DOI":"10.1007/s11894-018-0628-7","ISSN":"1534-312X","abstract":"This is a review of colon capsule endoscopy (CCE) with a focus on its recent developments, technological improvements, and current and potential future indications.","author":[{"dropping-particle":"","family":"Pasha","given":"Shabana F","non-dropping-particle":"","parse-names":false,"suffix":""}],"container-title":"Current Gastroenterology Reports","id":"ITEM-1","issue":"5","issued":{"date-parts":[["2018"]]},"page":"22","title":"Applications of Colon Capsule Endoscopy","type":"article-journal","volume":"20"},"uris":["http://www.mendeley.com/documents/?uuid=b4eaf981-011c-4efb-a8de-74c7ba8cf0c4","http://www.mendeley.com/documents/?uuid=02e69996-720e-4f17-9fe9-6f08a97fc3a4"]}],"mendeley":{"formattedCitation":"(27)","plainTextFormattedCitation":"(27)","previouslyFormattedCitation":"(27)"},"properties":{"noteIndex":0},"schema":"https://github.com/citation-style-language/schema/raw/master/csl-citation.json"}</w:instrText>
      </w:r>
      <w:r w:rsidR="000B45C0"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27</w:t>
      </w:r>
      <w:r w:rsidR="000B45C0"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C860A9" w:rsidRPr="002D3D23">
        <w:rPr>
          <w:rFonts w:ascii="Book Antiqua" w:hAnsi="Book Antiqua" w:cs="Arial"/>
          <w:color w:val="000000" w:themeColor="text1"/>
          <w:lang w:val="en-US"/>
        </w:rPr>
        <w:t>.</w:t>
      </w:r>
      <w:r w:rsidR="00F91DCF" w:rsidRPr="002D3D23">
        <w:rPr>
          <w:rFonts w:ascii="Book Antiqua" w:hAnsi="Book Antiqua" w:cs="Arial"/>
          <w:color w:val="000000" w:themeColor="text1"/>
          <w:lang w:val="en-US"/>
        </w:rPr>
        <w:t xml:space="preserve"> </w:t>
      </w:r>
      <w:r w:rsidR="000B45C0" w:rsidRPr="002D3D23">
        <w:rPr>
          <w:rFonts w:ascii="Book Antiqua" w:hAnsi="Book Antiqua" w:cs="Arial"/>
          <w:color w:val="000000" w:themeColor="text1"/>
          <w:lang w:val="en-US"/>
        </w:rPr>
        <w:t>Provided bowel preparation is excellent, d</w:t>
      </w:r>
      <w:r w:rsidR="00F91DCF" w:rsidRPr="002D3D23">
        <w:rPr>
          <w:rFonts w:ascii="Book Antiqua" w:hAnsi="Book Antiqua" w:cs="Arial"/>
          <w:color w:val="000000" w:themeColor="text1"/>
          <w:lang w:val="en-US"/>
        </w:rPr>
        <w:t>etection of polyps &gt;</w:t>
      </w:r>
      <w:r w:rsidR="008746ED">
        <w:rPr>
          <w:rFonts w:ascii="Book Antiqua" w:hAnsi="Book Antiqua" w:cs="Arial"/>
          <w:color w:val="000000" w:themeColor="text1"/>
          <w:lang w:val="en-US"/>
        </w:rPr>
        <w:t xml:space="preserve"> </w:t>
      </w:r>
      <w:r w:rsidR="00F91DCF" w:rsidRPr="002D3D23">
        <w:rPr>
          <w:rFonts w:ascii="Book Antiqua" w:hAnsi="Book Antiqua" w:cs="Arial"/>
          <w:color w:val="000000" w:themeColor="text1"/>
          <w:lang w:val="en-US"/>
        </w:rPr>
        <w:t>6</w:t>
      </w:r>
      <w:r w:rsidR="008746ED">
        <w:rPr>
          <w:rFonts w:ascii="Book Antiqua" w:hAnsi="Book Antiqua" w:cs="Arial"/>
          <w:color w:val="000000" w:themeColor="text1"/>
          <w:lang w:val="en-US"/>
        </w:rPr>
        <w:t xml:space="preserve"> </w:t>
      </w:r>
      <w:r w:rsidR="00F91DCF" w:rsidRPr="002D3D23">
        <w:rPr>
          <w:rFonts w:ascii="Book Antiqua" w:hAnsi="Book Antiqua" w:cs="Arial"/>
          <w:color w:val="000000" w:themeColor="text1"/>
          <w:lang w:val="en-US"/>
        </w:rPr>
        <w:t>mm and &gt;</w:t>
      </w:r>
      <w:r w:rsidR="008746ED">
        <w:rPr>
          <w:rFonts w:ascii="Book Antiqua" w:hAnsi="Book Antiqua" w:cs="Arial"/>
          <w:color w:val="000000" w:themeColor="text1"/>
          <w:lang w:val="en-US"/>
        </w:rPr>
        <w:t xml:space="preserve"> </w:t>
      </w:r>
      <w:r w:rsidR="00F91DCF" w:rsidRPr="002D3D23">
        <w:rPr>
          <w:rFonts w:ascii="Book Antiqua" w:hAnsi="Book Antiqua" w:cs="Arial"/>
          <w:color w:val="000000" w:themeColor="text1"/>
          <w:lang w:val="en-US"/>
        </w:rPr>
        <w:t>10</w:t>
      </w:r>
      <w:r w:rsidR="008746ED">
        <w:rPr>
          <w:rFonts w:ascii="Book Antiqua" w:hAnsi="Book Antiqua" w:cs="Arial"/>
          <w:color w:val="000000" w:themeColor="text1"/>
          <w:lang w:val="en-US"/>
        </w:rPr>
        <w:t xml:space="preserve"> </w:t>
      </w:r>
      <w:r w:rsidR="00F91DCF" w:rsidRPr="002D3D23">
        <w:rPr>
          <w:rFonts w:ascii="Book Antiqua" w:hAnsi="Book Antiqua" w:cs="Arial"/>
          <w:color w:val="000000" w:themeColor="text1"/>
          <w:lang w:val="en-US"/>
        </w:rPr>
        <w:t>mm for the CCE-2 carries sensitivity and specificity rates of over 85%, supporting claims that this may be applicable in a screening setting</w:t>
      </w:r>
      <w:r w:rsidR="007007A6"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{"citationItems":[{"id":"ITEM-1","itemData":{"ISSN":"1542-3565","author":[{"dropping-particle":"","family":"Spada","given":"Cristiano","non-dropping-particle":"","parse-names":false,"suffix":""},{"dropping-particle":"","family":"Pasha","given":"Shabana F","non-dropping-particle":"","parse-names":false,"suffix":""},{"dropping-particle":"","family":"Gross","given":"Seth A","non-dropping-particle":"","parse-names":false,"suffix":""},{"dropping-particle":"","family":"Leighton","given":"Jonathan A","non-dropping-particle":"","parse-names":false,"suffix":""},{"dropping-particle":"","family":"Schnoll-Sussman","given":"Felice","non-dropping-particle":"","parse-names":false,"suffix":""},{"dropping-particle":"","family":"Correale","given":"Loredana","non-dropping-particle":"","parse-names":false,"suffix":""},{"dropping-particle":"","family":"Suárez","given":"Begoña González","non-dropping-particle":"","parse-names":false,"suffix":""},{"dropping-particle":"","family":"Costamagna","given":"Guido","non-dropping-particle":"","parse-names":false,"suffix":""},{"dropping-particle":"","family":"Hassan","given":"Cesare","non-dropping-particle":"","parse-names":false,"suffix":""}],"container-title":"Clinical Gastroenterology and Hepatology","id":"ITEM-1","issue":"11","issued":{"date-parts":[["2016"]]},"page":"1533-1543","publisher":"Elsevier","title":"Accuracy of first-and second-generation colon capsules in endoscopic detection of colorectal polyps: a systematic review and meta-analysis","type":"article-journal","volume":"14"},"uris":["http://www.mendeley.com/documents/?uuid=32790c55-12cd-4269-81f7-cc35ebfec8a7","http://www.mendeley.com/documents/?uuid=43461f91-43ff-4100-b5bb-725e7c213f4e"]}],"mendeley":{"formattedCitation":"(28)","plainTextFormattedCitation":"(28)","previouslyFormattedCitation":"(28)"},"properties":{"noteIndex":0},"schema":"https://github.com/citation-style-language/schema/raw/master/csl-citation.json"}</w:instrText>
      </w:r>
      <w:r w:rsidR="007007A6"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28</w:t>
      </w:r>
      <w:r w:rsidR="007007A6"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C860A9" w:rsidRPr="002D3D23">
        <w:rPr>
          <w:rFonts w:ascii="Book Antiqua" w:hAnsi="Book Antiqua" w:cs="Arial"/>
          <w:color w:val="000000" w:themeColor="text1"/>
          <w:lang w:val="en-US"/>
        </w:rPr>
        <w:t>.</w:t>
      </w:r>
      <w:r w:rsidR="000B45C0" w:rsidRPr="002D3D23">
        <w:rPr>
          <w:rFonts w:ascii="Book Antiqua" w:hAnsi="Book Antiqua" w:cs="Arial"/>
          <w:color w:val="000000" w:themeColor="text1"/>
          <w:lang w:val="en-US"/>
        </w:rPr>
        <w:t xml:space="preserve"> In controlled settings</w:t>
      </w:r>
      <w:r w:rsidR="002D3DA5" w:rsidRPr="002D3D23">
        <w:rPr>
          <w:rFonts w:ascii="Book Antiqua" w:hAnsi="Book Antiqua" w:cs="Arial"/>
          <w:color w:val="000000" w:themeColor="text1"/>
          <w:lang w:val="en-US"/>
        </w:rPr>
        <w:t>,</w:t>
      </w:r>
      <w:r w:rsidR="000B45C0" w:rsidRPr="002D3D23">
        <w:rPr>
          <w:rFonts w:ascii="Book Antiqua" w:hAnsi="Book Antiqua" w:cs="Arial"/>
          <w:color w:val="000000" w:themeColor="text1"/>
          <w:lang w:val="en-US"/>
        </w:rPr>
        <w:t xml:space="preserve"> CCE ha</w:t>
      </w:r>
      <w:r w:rsidR="0010579F" w:rsidRPr="002D3D23">
        <w:rPr>
          <w:rFonts w:ascii="Book Antiqua" w:hAnsi="Book Antiqua" w:cs="Arial"/>
          <w:color w:val="000000" w:themeColor="text1"/>
          <w:lang w:val="en-US"/>
        </w:rPr>
        <w:t>ve</w:t>
      </w:r>
      <w:r w:rsidR="000B45C0" w:rsidRPr="002D3D23">
        <w:rPr>
          <w:rFonts w:ascii="Book Antiqua" w:hAnsi="Book Antiqua" w:cs="Arial"/>
          <w:color w:val="000000" w:themeColor="text1"/>
          <w:lang w:val="en-US"/>
        </w:rPr>
        <w:t xml:space="preserve"> also been comparable to colonoscopy in assessing the colonic mucosa of those with inflammatory bowel disease</w:t>
      </w:r>
      <w:r w:rsidR="000B45C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Hall","given":"Barry","non-dropping-particle":"","parse-names":false,"suffix":""},{"dropping-particle":"","family":"Holleran","given":"Grainne","non-dropping-particle":"","parse-names":false,"suffix":""},{"dropping-particle":"","family":"McNamara","given":"Deirdre","non-dropping-particle":"","parse-names":false,"suffix":""}],"container-title":"World journal of gastrointestinal endoscopy","id":"ITEM-1","issue":"16","issued":{"date-parts":[["2015"]]},"page":"1230","publisher":"Baishideng Publishing Group Inc","title":"PillCam COLON 2© as a pan-enteroscopic test in Crohn’s disease","type":"article-journal","volume":"7"},"uris":["http://www.mendeley.com/documents/?uuid=40c33e30-3106-4278-8c26-2c81370c0d80","http://www.mendeley.com/documents/?uuid=f2847fa9-9210-4330-b4e6-9b4ddc8e1608"]},{"id":"ITEM-2","itemData":{"ISSN":"1751-2972","author":[{"dropping-particle":"","family":"Ye","given":"Chen An","non-dropping-particle":"","parse-names":false,"suffix":""},{"dropping-particle":"","family":"Gao","given":"Yun Jie","non-dropping-particle":"","parse-names":false,"suffix":""},{"dropping-particle":"","family":"Ge","given":"Zhi Zheng","non-dropping-particle":"","parse-names":false,"suffix":""},{"dropping-particle":"","family":"Dai","given":"Jun","non-dropping-particle":"","parse-names":false,"suffix":""},{"dropping-particle":"","family":"Li","given":"Xiao Bo","non-dropping-particle":"","parse-names":false,"suffix":""},{"dropping-particle":"","family":"Xue","given":"Han Bing","non-dropping-particle":"","parse-names":false,"suffix":""},{"dropping-particle":"","family":"Ran","given":"Zhi Hua","non-dropping-particle":"","parse-names":false,"suffix":""},{"dropping-particle":"","family":"Zhao","given":"Yun Jia","non-dropping-particle":"","parse-names":false,"suffix":""}],"container-title":"Journal of digestive diseases","id":"ITEM-2","issue":"3","issued":{"date-parts":[["2013"]]},"page":"117-124","publisher":"Wiley Online Library","title":"PillCam colon capsule endoscopy versus conventional colonoscopy for the detection of severity and extent of ulcerative colitis","type":"article-journal","volume":"14"},"uris":["http://www.mendeley.com/documents/?uuid=ed1d093e-f2fa-473a-b833-56cc328a42c7","http://www.mendeley.com/documents/?uuid=ed78fe05-2e50-493e-93ea-dc5923f9c00d"]}],"mendeley":{"formattedCitation":"(29,30)","plainTextFormattedCitation":"(29,30)","previouslyFormattedCitation":"(29,30)"},"properties":{"noteIndex":0},"schema":"https://github.com/citation-style-language/schema/raw/master/csl-citation.json"}</w:instrText>
      </w:r>
      <w:r w:rsidR="000B45C0"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29,30</w:t>
      </w:r>
      <w:r w:rsidR="000B45C0"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C860A9" w:rsidRPr="002D3D23">
        <w:rPr>
          <w:rFonts w:ascii="Book Antiqua" w:hAnsi="Book Antiqua" w:cs="Arial"/>
          <w:color w:val="000000" w:themeColor="text1"/>
          <w:lang w:val="en-US"/>
        </w:rPr>
        <w:t>.</w:t>
      </w:r>
    </w:p>
    <w:p w14:paraId="3494985F" w14:textId="7CE281A0" w:rsidR="00EF4F87" w:rsidRPr="002D3D23" w:rsidRDefault="0010579F"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Esophageal diseases such as BE and esophagitis may be detected using a capsule device. A blinded study comparing EGD as gold standard with the PillCam ESO 2 device (Given Imaging Ltd., Yoqneam, Israel) yielded promising detection rates for BE and esophagitis with a sensitivity of 100% and a specificity of</w:t>
      </w:r>
      <w:r w:rsidR="00FF6D84" w:rsidRPr="002D3D23">
        <w:rPr>
          <w:rFonts w:ascii="Book Antiqua" w:hAnsi="Book Antiqua" w:cs="Arial"/>
          <w:color w:val="000000" w:themeColor="text1"/>
          <w:lang w:val="en-US"/>
        </w:rPr>
        <w:t xml:space="preserve"> </w:t>
      </w:r>
      <w:r w:rsidRPr="002D3D23">
        <w:rPr>
          <w:rFonts w:ascii="Book Antiqua" w:hAnsi="Book Antiqua" w:cs="Arial"/>
          <w:color w:val="000000" w:themeColor="text1"/>
          <w:lang w:val="en-US"/>
        </w:rPr>
        <w:t>74%, and a sensitivity of 80% and a specificity of 87%, respectively</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{"citationItems":[{"id":"ITEM-1","itemData":{"author":[{"dropping-particle":"","family":"Gralnek","given":"I M","non-dropping-particle":"","parse-names":false,"suffix":""},{"dropping-particle":"","family":"Adler","given":"S N","non-dropping-particle":"","parse-names":false,"suffix":""},{"dropping-particle":"","family":"Yassin","given":"K","non-dropping-particle":"","parse-names":false,"suffix":""},{"dropping-particle":"","family":"Koslowsky","given":"B","non-dropping-particle":"","parse-names":false,"suffix":""},{"dropping-particle":"","family":"Metzger","given":"Y","non-dropping-particle":"","parse-names":false,"suffix":""},{"dropping-particle":"","family":"Eliakim","given":"R","non-dropping-particle":"","parse-names":false,"suffix":""}],"container-title":"Endoscopy","id":"ITEM-1","issue":"4","issued":{"date-parts":[["2008"]]},"note":"Using Smart Source Parsing\nApr","page":"275-279","title":"Detecting esophageal disease with second-generation capsule endoscopy: initial evaluation of the PillCam ESO 2","type":"article-journal","volume":"40"},"uris":["http://www.mendeley.com/documents/?uuid=045b3318-26b2-497e-8636-d01baf432f88"]}],"mendeley":{"formattedCitation":"(31)","plainTextFormattedCitation":"(31)","previouslyFormattedCitation":"(31)"},"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31</w:t>
      </w:r>
      <w:r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lang w:val="en-US"/>
        </w:rPr>
        <w:t xml:space="preserve">. </w:t>
      </w:r>
      <w:r w:rsidR="00881FE1" w:rsidRPr="002D3D23">
        <w:rPr>
          <w:rFonts w:ascii="Book Antiqua" w:hAnsi="Book Antiqua" w:cs="Arial"/>
          <w:color w:val="000000" w:themeColor="text1"/>
          <w:lang w:val="en-US"/>
        </w:rPr>
        <w:t>In an attempt to overcome the impairment to diagnostic sensitivity exacerbated by rapid esophageal transit, tethered wireless capsule endoscopes have been developed. For the detection of Barrett’s esophagus,</w:t>
      </w:r>
      <w:r w:rsidR="003B0CDB">
        <w:rPr>
          <w:rFonts w:ascii="Book Antiqua" w:hAnsi="Book Antiqua" w:cs="Arial"/>
          <w:color w:val="000000" w:themeColor="text1"/>
          <w:lang w:val="en-US"/>
        </w:rPr>
        <w:t xml:space="preserve"> </w:t>
      </w:r>
      <w:r w:rsidR="00881FE1" w:rsidRPr="002D3D23">
        <w:rPr>
          <w:rFonts w:ascii="Book Antiqua" w:hAnsi="Book Antiqua" w:cs="Arial"/>
          <w:color w:val="000000" w:themeColor="text1"/>
          <w:lang w:val="en-US"/>
        </w:rPr>
        <w:t>early results have been mixed and further large scale studies in relevant populations are advocated</w:t>
      </w:r>
      <w:r w:rsidR="00881FE1"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{"citationItems":[{"id":"ITEM-1","itemData":{"ISSN":"0016-5085","author":[{"dropping-particle":"","family":"Pietro","given":"Massimiliano","non-dropping-particle":"di","parse-names":false,"suffix":""},{"dropping-particle":"","family":"Canto","given":"Marcia I","non-dropping-particle":"","parse-names":false,"suffix":""},{"dropping-particle":"","family":"Fitzgerald","given":"Rebecca C","non-dropping-particle":"","parse-names":false,"suffix":""}],"container-title":"Gastroenterology","id":"ITEM-1","issue":"2","issued":{"date-parts":[["2018"]]},"page":"421-436","publisher":"Elsevier","title":"Endoscopic management of early adenocarcinoma and squamous cell carcinoma of the esophagus: screening, diagnosis, and therapy","type":"article-journal","volume":"154"},"uris":["http://www.mendeley.com/documents/?uuid=e8b25a17-9d7e-44d5-828b-2c66b165199a","http://www.mendeley.com/documents/?uuid=1a29e011-0a85-49db-af0a-ee1bc904c190"]}],"mendeley":{"formattedCitation":"(32)","plainTextFormattedCitation":"(32)","previouslyFormattedCitation":"(32)"},"properties":{"noteIndex":0},"schema":"https://github.com/citation-style-language/schema/raw/master/csl-citation.json"}</w:instrText>
      </w:r>
      <w:r w:rsidR="00881FE1"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32</w:t>
      </w:r>
      <w:r w:rsidR="00881FE1"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881FE1" w:rsidRPr="002D3D23">
        <w:rPr>
          <w:rFonts w:ascii="Book Antiqua" w:hAnsi="Book Antiqua" w:cs="Arial"/>
          <w:color w:val="000000" w:themeColor="text1"/>
          <w:lang w:val="en-US"/>
        </w:rPr>
        <w:t>.</w:t>
      </w:r>
      <w:r w:rsidR="00952009" w:rsidRPr="002D3D23">
        <w:rPr>
          <w:rFonts w:ascii="Book Antiqua" w:hAnsi="Book Antiqua" w:cs="Arial"/>
          <w:color w:val="000000" w:themeColor="text1"/>
          <w:lang w:val="en-US"/>
        </w:rPr>
        <w:t xml:space="preserve"> </w:t>
      </w:r>
      <w:r w:rsidR="00C860A9" w:rsidRPr="002D3D23">
        <w:rPr>
          <w:rFonts w:ascii="Book Antiqua" w:hAnsi="Book Antiqua" w:cs="Arial"/>
          <w:color w:val="000000" w:themeColor="text1"/>
          <w:lang w:val="en-US"/>
        </w:rPr>
        <w:t>W</w:t>
      </w:r>
      <w:r w:rsidR="00F91DCF" w:rsidRPr="002D3D23">
        <w:rPr>
          <w:rFonts w:ascii="Book Antiqua" w:hAnsi="Book Antiqua" w:cs="Arial"/>
          <w:color w:val="000000" w:themeColor="text1"/>
          <w:lang w:val="en-US"/>
        </w:rPr>
        <w:t>CE has also been trialed in the emergency setting of acute upper GI bleeding.</w:t>
      </w:r>
      <w:r w:rsidR="00C976F0" w:rsidRPr="002D3D23">
        <w:rPr>
          <w:rFonts w:ascii="Book Antiqua" w:hAnsi="Book Antiqua" w:cs="Arial"/>
          <w:color w:val="000000" w:themeColor="text1"/>
          <w:lang w:val="en-US"/>
        </w:rPr>
        <w:t xml:space="preserve"> A prospective study found it to be a feasible and safe way of detecting and stratifying such cases</w:t>
      </w:r>
      <w:r w:rsidR="00C976F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{"citationItems":[{"id":"ITEM-1","itemData":{"ISSN":"0013-726X","author":[{"dropping-particle":"","family":"Gralnek","given":"I M","non-dropping-particle":"","parse-names":false,"suffix":""},{"dropping-particle":"","family":"Ching","given":"J Y L","non-dropping-particle":"","parse-names":false,"suffix":""},{"dropping-particle":"","family":"Maza","given":"I","non-dropping-particle":"","parse-names":false,"suffix":""},{"dropping-particle":"","family":"Wu","given":"J C Y","non-dropping-particle":"","parse-names":false,"suffix":""},{"dropping-particle":"","family":"Rainer","given":"T H","non-dropping-particle":"","parse-names":false,"suffix":""},{"dropping-particle":"","family":"Israelit","given":"S","non-dropping-particle":"","parse-names":false,"suffix":""},{"dropping-particle":"","family":"Klein","given":"A","non-dropping-particle":"","parse-names":false,"suffix":""},{"dropping-particle":"","family":"Chan","given":"F K L","non-dropping-particle":"","parse-names":false,"suffix":""},{"dropping-particle":"","family":"Ephrath","given":"H","non-dropping-particle":"","parse-names":false,"suffix":""},{"dropping-particle":"","family":"Eliakim","given":"R","non-dropping-particle":"","parse-names":false,"suffix":""}],"container-title":"Endoscopy","id":"ITEM-1","issue":"01","issued":{"date-parts":[["2013"]]},"page":"12-19","publisher":"© Georg Thieme Verlag KG","title":"Capsule endoscopy in acute upper gastrointestinal hemorrhage: a prospective cohort study","type":"article-journal","volume":"45"},"uris":["http://www.mendeley.com/documents/?uuid=68d4740d-59de-4e6e-ab50-08466c9397c9","http://www.mendeley.com/documents/?uuid=f1045c5a-a147-4ea2-8915-5bbd1c363b32"]}],"mendeley":{"formattedCitation":"(33)","plainTextFormattedCitation":"(33)","previouslyFormattedCitation":"(33)"},"properties":{"noteIndex":0},"schema":"https://github.com/citation-style-language/schema/raw/master/csl-citation.json"}</w:instrText>
      </w:r>
      <w:r w:rsidR="00C976F0"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33</w:t>
      </w:r>
      <w:r w:rsidR="00C976F0"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C860A9" w:rsidRPr="002D3D23">
        <w:rPr>
          <w:rFonts w:ascii="Book Antiqua" w:hAnsi="Book Antiqua" w:cs="Arial"/>
          <w:color w:val="000000" w:themeColor="text1"/>
          <w:lang w:val="en-US"/>
        </w:rPr>
        <w:t>.</w:t>
      </w:r>
      <w:r w:rsidR="00C976F0" w:rsidRPr="002D3D23">
        <w:rPr>
          <w:rFonts w:ascii="Book Antiqua" w:hAnsi="Book Antiqua" w:cs="Arial"/>
          <w:color w:val="000000" w:themeColor="text1"/>
          <w:lang w:val="en-US"/>
        </w:rPr>
        <w:t xml:space="preserve"> </w:t>
      </w:r>
      <w:r w:rsidR="00EF4F87" w:rsidRPr="002D3D23">
        <w:rPr>
          <w:rFonts w:ascii="Book Antiqua" w:hAnsi="Book Antiqua" w:cs="Arial"/>
          <w:color w:val="000000" w:themeColor="text1"/>
          <w:lang w:val="en-US"/>
        </w:rPr>
        <w:t>It may also have a place in future practice for screening and surveillance of esophageal varices. The current literature, with a pooled sensitivity of 72%, does not support its use over EGD</w:t>
      </w:r>
      <w:r w:rsidR="00EF4F87"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{"citationItems":[{"id":"ITEM-1","itemData":{"author":[{"dropping-particle":"","family":"McCarty","given":"Thomas R","non-dropping-particle":"","parse-names":false,"suffix":""},{"dropping-particle":"","family":"Afinogenova","given":"Yuliya","non-dropping-particle":"","parse-names":false,"suffix":""},{"dropping-particle":"","family":"Njei","given":"Basile","non-dropping-particle":"","parse-names":false,"suffix":""}],"container-title":"Journal of clinical gastroenterology","id":"ITEM-1","issue":"2","issued":{"date-parts":[["2017"]]},"page":"174","publisher":"NIH Public Access","title":"Use of wireless capsule endoscopy for the diagnosis and grading of esophageal varices in patients with portal hypertension: a systematic review and meta-analysis","type":"article-journal","volume":"51"},"uris":["http://www.mendeley.com/documents/?uuid=3907364b-b80c-4d64-8c60-3a8bf829f4c0","http://www.mendeley.com/documents/?uuid=1013b46c-7298-4ade-9bcd-7d5c72277573"]}],"mendeley":{"formattedCitation":"(34)","plainTextFormattedCitation":"(34)","previouslyFormattedCitation":"(34)"},"properties":{"noteIndex":0},"schema":"https://github.com/citation-style-language/schema/raw/master/csl-citation.json"}</w:instrText>
      </w:r>
      <w:r w:rsidR="00EF4F87"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34</w:t>
      </w:r>
      <w:r w:rsidR="00EF4F87"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B67D03" w:rsidRPr="002D3D23">
        <w:rPr>
          <w:rFonts w:ascii="Book Antiqua" w:hAnsi="Book Antiqua" w:cs="Arial"/>
          <w:color w:val="000000" w:themeColor="text1"/>
          <w:lang w:val="en-US"/>
        </w:rPr>
        <w:t>.</w:t>
      </w:r>
      <w:r w:rsidR="00EF4F87" w:rsidRPr="002D3D23">
        <w:rPr>
          <w:rFonts w:ascii="Book Antiqua" w:hAnsi="Book Antiqua" w:cs="Arial"/>
          <w:color w:val="000000" w:themeColor="text1"/>
          <w:lang w:val="en-US"/>
        </w:rPr>
        <w:t xml:space="preserve"> </w:t>
      </w:r>
    </w:p>
    <w:p w14:paraId="72AC8127" w14:textId="048F2BEC" w:rsidR="00F64E9D" w:rsidRPr="002D3D23" w:rsidRDefault="001C1AD1"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lastRenderedPageBreak/>
        <w:t>Active locomotion in capsules using mechanical actuation, in a crawling, inch-worm or swimming motion has been proposed as a way of controlling transit through the GI tract and resisting peristalsis in cases where prolonged inspection of an abnormal lumen is desired. Development of such equipment has not reached clinical trial stage primarily due to power capacity issues and mechanical complexity</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{"citationItems":[{"id":"ITEM-1","itemData":{"author":[{"dropping-particle":"","family":"Slawinski","given":"Piotr R","non-dropping-particle":"","parse-names":false,"suffix":""},{"dropping-particle":"","family":"Obstein","given":"Keith L","non-dropping-particle":"","parse-names":false,"suffix":""},{"dropping-particle":"","family":"Valdastri","given":"Pietro","non-dropping-particle":"","parse-names":false,"suffix":""}],"container-title":"World Journal of Gastroenterology: WJG","id":"ITEM-1","issue":"37","issued":{"date-parts":[["2015"]]},"page":"10528","publisher":"Baishideng Publishing Group Inc","title":"Capsule endoscopy of the future: What’s on the horizon?","type":"article-journal","volume":"21"},"uris":["http://www.mendeley.com/documents/?uuid=ee4595a7-12fc-4c86-85a7-b54a14cc2e0f","http://www.mendeley.com/documents/?uuid=cb96ad56-3e9a-4daa-8099-da3bef49888f"]}],"mendeley":{"formattedCitation":"(35)","plainTextFormattedCitation":"(35)","previouslyFormattedCitation":"(35)"},"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35</w:t>
      </w:r>
      <w:r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w:t>
      </w:r>
      <w:r w:rsidRPr="002D3D23">
        <w:rPr>
          <w:rFonts w:ascii="Book Antiqua" w:hAnsi="Book Antiqua" w:cs="Arial"/>
          <w:color w:val="000000" w:themeColor="text1"/>
          <w:lang w:val="en-US"/>
        </w:rPr>
        <w:t xml:space="preserve"> Future development would depend on enhanced power storage or usage technology</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{"citationItems":[{"id":"ITEM-1","itemData":{"ISSN":"0278-3649","author":[{"dropping-particle":"","family":"Mahoney","given":"Arthur W","non-dropping-particle":"","parse-names":false,"suffix":""},{"dropping-particle":"","family":"Abbott","given":"Jake J","non-dropping-particle":"","parse-names":false,"suffix":""}],"container-title":"The International Journal of Robotics Research","id":"ITEM-1","issue":"1-3","issued":{"date-parts":[["2016"]]},"page":"129-147","publisher":"SAGE Publications Sage UK: London, England","title":"Five-degree-of-freedom manipulation of an untethered magnetic device in fluid using a single permanent magnet with application in stomach capsule endoscopy","type":"article-journal","volume":"35"},"uris":["http://www.mendeley.com/documents/?uuid=9859d1f3-2986-421f-ab4d-614d24392dbb","http://www.mendeley.com/documents/?uuid=1e6f1f8d-3d16-464b-8403-4734abc390ac"]}],"mendeley":{"formattedCitation":"(36)","plainTextFormattedCitation":"(36)","previouslyFormattedCitation":"(36)"},"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36</w:t>
      </w:r>
      <w:r w:rsidRPr="002D3D23">
        <w:rPr>
          <w:rFonts w:ascii="Book Antiqua" w:hAnsi="Book Antiqua" w:cs="Arial"/>
          <w:color w:val="000000" w:themeColor="text1"/>
          <w:vertAlign w:val="superscript"/>
          <w:lang w:val="en-US"/>
        </w:rPr>
        <w:fldChar w:fldCharType="end"/>
      </w:r>
      <w:r w:rsidR="00FF6D84"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 xml:space="preserve">. </w:t>
      </w:r>
    </w:p>
    <w:p w14:paraId="4ABD2376" w14:textId="7776E8C4" w:rsidR="00E33D0B" w:rsidRPr="002D3D23" w:rsidRDefault="00FF5654"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Non-actuated </w:t>
      </w:r>
      <w:r w:rsidR="00881FE1" w:rsidRPr="002D3D23">
        <w:rPr>
          <w:rFonts w:ascii="Book Antiqua" w:hAnsi="Book Antiqua" w:cs="Arial"/>
          <w:color w:val="000000" w:themeColor="text1"/>
          <w:lang w:val="en-US"/>
        </w:rPr>
        <w:t>wireless capsules have struggled to completely examine the stomach lumen, owing to its large size impeding full visualization</w:t>
      </w:r>
      <w:r w:rsidR="00881FE1"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{"citationItems":[{"id":"ITEM-1","itemData":{"DOI":"10.1002/mp.12299","ISSN":"2473-4209 (Electronic)","PMID":"28437000","abstract":"Wireless capsule endoscopy (WCE) is a powerful tool for medical screening and diagnosis, where a small capsule is swallowed and moved by means of natural peristalsis and gravity through the human gastrointestinal (GI) tract. The camera-integrated capsule allows for visualization of the small intestine, a region which was previously inaccessible to classical flexible endoscopy. As a diagnostic tool, it allows to localize the sources of bleedings in the middle part of the gastrointestinal tract and to identify diseases, such as inflammatory bowel disease (Crohn's disease), polyposis syndrome, and tumors. The screening and diagnostic efficacy of the WCE, especially in the stomach region, is hampered by a variety of technical challenges like the lack of active capsular position and orientation control. Therapeutic functionality is absent in most commercial capsules, due to constraints in capsular volume and energy storage. The possibility of using body-exogenous magnetic fields to guide, orient, power, and operate the capsule and its mechanisms has led to increasing research in Magnetically Guided Capsule Endoscopy (MGCE). This work shortly reviews the history and state-of-art in WCE technology. It highlights the magnetic technologies for advancing diagnostic and therapeutic functionalities of WCE. Not restricting itself to the GI tract, the review further investigates the technological developments in magnetically guided microrobots that can navigate through the various air- and fluid-filled lumina and cavities in the body for minimally invasive medicine.","author":[{"dropping-particle":"","family":"Shamsudhin","given":"Naveen","non-dropping-particle":"","parse-names":false,"suffix":""},{"dropping-particle":"","family":"Zverev","given":"Vladimir I","non-dropping-particle":"","parse-names":false,"suffix":""},{"dropping-particle":"","family":"Keller","given":"Henrik","non-dropping-particle":"","parse-names":false,"suffix":""},{"dropping-particle":"","family":"Pane","given":"Salvador","non-dropping-particle":"","parse-names":false,"suffix":""},{"dropping-particle":"","family":"Egolf","given":"Peter W","non-dropping-particle":"","parse-names":false,"suffix":""},{"dropping-particle":"","family":"Nelson","given":"Bradley J","non-dropping-particle":"","parse-names":false,"suffix":""},{"dropping-particle":"","family":"Tishin","given":"Alexander M","non-dropping-particle":"","parse-names":false,"suffix":""}],"container-title":"Medical physics","id":"ITEM-1","issue":"8","issued":{"date-parts":[["2017","8"]]},"language":"eng","page":"e91-e111","publisher-place":"United States","title":"Magnetically guided capsule endoscopy.","type":"article-journal","volume":"44"},"uris":["http://www.mendeley.com/documents/?uuid=b212c5bf-28b4-4c7e-83f5-908341ef1a96","http://www.mendeley.com/documents/?uuid=fe2129c7-2b5a-40cf-aafb-1118421a94ba"]}],"mendeley":{"formattedCitation":"(37)","plainTextFormattedCitation":"(37)","previouslyFormattedCitation":"(37)"},"properties":{"noteIndex":0},"schema":"https://github.com/citation-style-language/schema/raw/master/csl-citation.json"}</w:instrText>
      </w:r>
      <w:r w:rsidR="00881FE1" w:rsidRPr="002D3D23">
        <w:rPr>
          <w:rFonts w:ascii="Book Antiqua" w:hAnsi="Book Antiqua" w:cs="Arial"/>
          <w:color w:val="000000" w:themeColor="text1"/>
          <w:vertAlign w:val="superscript"/>
          <w:lang w:val="en-US"/>
        </w:rPr>
        <w:fldChar w:fldCharType="separate"/>
      </w:r>
      <w:r w:rsidR="00FF6D84"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37</w:t>
      </w:r>
      <w:r w:rsidR="00881FE1"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881FE1" w:rsidRPr="002D3D23">
        <w:rPr>
          <w:rFonts w:ascii="Book Antiqua" w:hAnsi="Book Antiqua" w:cs="Arial"/>
          <w:color w:val="000000" w:themeColor="text1"/>
          <w:lang w:val="en-US"/>
        </w:rPr>
        <w:t>. However, a feasibility study has suggested that with one liter of simethicone-containing swallowed water, good views of the upper GI tract can be obtained</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{"citationItems":[{"id":"ITEM-1","itemData":{"DOI":"10.3748/wjg.v24.i26.2893","ISSN":"2219-2840 (Electronic)","PMID":"30018484","abstract":"AIM: To test the feasibility and performance of a novel upper gastrointestinal (GI) capsule endoscope using a nurse-led protocol. METHODS: We conducted a prospective cohort analysis of patients who declined gastroscopy (oesophagogastroduodenoscopy, OGD) but who consented to upper GI capsule endoscopy. Patients swallowed the upper GI capsule following ingestion of 1 liter of water (containing simethicone). A series of positional changes were used to exploit the effects of water flow and move the upper GI capsule from one gravity-dependent area to another using a nurse-led protocol. Capsule transit time, video reading time, mucosal visualisation, pathology detection and patient tolerance was evaluated. RESULTS: Fifty patients were included in the study. The mean capsule transit times in the oesophagus and stomach were 28 s and 68 min respectively. Visualisation of the following major anatomical landmarks was achieved (graded 1-5: Poor to excellent): Oesophagus, 4.8 (+/- 0.5); gastro-oesophageal junction (GOJ), 4.8 (+/- 0.8); cardia, 4.8 (+/- 0.8); fundus, 3.8 (+/- 1.2); body, 4.5 (+/- 1); antrum, 4.5 (+/- 1); pylorus, 4.7 (+/- 0.8); duodenal bulb, 4.7 (+/- 0.7); second part of the duodenum (D2), 4.7 (+/- 1). The upper GI capsule reached D2 in 64% of patients. The mean video reading time was 48 min with standard playback mode and 20 min using Quickview (P = 0.0001). No pathology was missed using Quickview. Procedural tolerance was excellent. No complications were seen with the upper GI capsule. CONCLUSION: The upper GI capsule achieved excellent views of the upper GI tract. Future studies should compare the diagnostic accuracy between upper GI capsule and OGD.","author":[{"dropping-particle":"","family":"Ching","given":"Hey-Long","non-dropping-particle":"","parse-names":false,"suffix":""},{"dropping-particle":"","family":"Healy","given":"Ailish","non-dropping-particle":"","parse-names":false,"suffix":""},{"dropping-particle":"","family":"Thurston","given":"Victoria","non-dropping-particle":"","parse-names":false,"suffix":""},{"dropping-particle":"","family":"Hale","given":"Melissa F","non-dropping-particle":"","parse-names":false,"suffix":""},{"dropping-particle":"","family":"Sidhu","given":"Reena","non-dropping-particle":"","parse-names":false,"suffix":""},{"dropping-particle":"","family":"McAlindon","given":"Mark E","non-dropping-particle":"","parse-names":false,"suffix":""}],"container-title":"World journal of gastroenterology","id":"ITEM-1","issue":"26","issued":{"date-parts":[["2018","7"]]},"language":"eng","page":"2893-2901","publisher-place":"United States","title":"Upper gastrointestinal tract capsule endoscopy using a nurse-led protocol: First  reported experience.","type":"article-journal","volume":"24"},"uris":["http://www.mendeley.com/documents/?uuid=da899ee6-a380-4367-97f3-0bd1cea6f7b3","http://www.mendeley.com/documents/?uuid=8ae46504-bda4-4d6e-98e2-d34d2fd57734"]}],"mendeley":{"formattedCitation":"(38)","plainTextFormattedCitation":"(38)","previouslyFormattedCitation":"(38)"},"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38</w:t>
      </w:r>
      <w:r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lang w:val="en-US"/>
        </w:rPr>
        <w:t xml:space="preserve">. More advanced software that incorporates larger frame rates and artificial intelligence may also potentiate the diagnostic accuracy of this approach. </w:t>
      </w:r>
      <w:r w:rsidR="00EF3D76" w:rsidRPr="002D3D23">
        <w:rPr>
          <w:rFonts w:ascii="Book Antiqua" w:hAnsi="Book Antiqua" w:cs="Arial"/>
          <w:color w:val="000000" w:themeColor="text1"/>
          <w:lang w:val="en-US"/>
        </w:rPr>
        <w:t xml:space="preserve">Magnetically guided wireless capsules have been developed to be able to </w:t>
      </w:r>
      <w:r w:rsidRPr="002D3D23">
        <w:rPr>
          <w:rFonts w:ascii="Book Antiqua" w:hAnsi="Book Antiqua" w:cs="Arial"/>
          <w:color w:val="000000" w:themeColor="text1"/>
          <w:lang w:val="en-US"/>
        </w:rPr>
        <w:t xml:space="preserve">better </w:t>
      </w:r>
      <w:r w:rsidR="00EF3D76" w:rsidRPr="002D3D23">
        <w:rPr>
          <w:rFonts w:ascii="Book Antiqua" w:hAnsi="Book Antiqua" w:cs="Arial"/>
          <w:color w:val="000000" w:themeColor="text1"/>
          <w:lang w:val="en-US"/>
        </w:rPr>
        <w:t xml:space="preserve">navigate the device around a fluid distended stomach. </w:t>
      </w:r>
      <w:r w:rsidR="00553E7F" w:rsidRPr="002D3D23">
        <w:rPr>
          <w:rFonts w:ascii="Book Antiqua" w:hAnsi="Book Antiqua" w:cs="Arial"/>
          <w:color w:val="000000" w:themeColor="text1"/>
          <w:lang w:val="en-US"/>
        </w:rPr>
        <w:t>There may also be a role for this test in screening for gastric cancer, with provisional feasibility studies of asymptomatic patients showing promise</w:t>
      </w:r>
      <w:r w:rsidR="00553E7F"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{"citationItems":[{"id":"ITEM-1","itemData":{"DOI":"10.1016/j.gie.2018.05.003","ISSN":"1097-6779 (Electronic)","PMID":"29753039","abstract":"BACKGROUND AND AIMS: Gastric cancer (GC) is the fourth most common cancer and the fourth leading cause of cancer death worldwide. In some Asian countries, screening EGD has greatly improved the survival rate. However, patients' discomfort and the need for sedation may limit adherence to screening programs. Previous studies have shown good tolerance and good agreement of magnetically controlled capsule gastroscopy (MCCG) with EGD. This study was designed to assess the application of MCCG in GC detection in an asymptomatic population. METHODS: In this observational cohort study, 3182 asymptomatic individuals undergoing MCCG in 99 participating medical examination centers from April to December 2016 were enrolled. Patients with ulcers and suspected malignancies were referred for gastroscopy and biopsy. The detection rate of GC and focal lesions were used to explore the application of MCCG in asymptomatic individuals. RESULTS: Seven patients (0.22%) were diagnosed with GC among the enrolled 3182 individuals, accounting for 0.74% (7/948) in patients over 50 years. No gender disparity was observed. EGD and biopsy confirmed adenocarcinoma in all cases of suspected malignancy. Benign polyps, gastric ulcers, and submucosal tumors were found in 10.4%, 4.9%, and 3.6% of patients, respectively. There was a trend for the prevalence of focal lesions to increase with age. MCCG examination proved to be safe. CONCLUSIONS: MCCG can detect cancer and benign lesions and is safe and clinically feasible in a large population. Studies of its role in a screening program should be considered.","author":[{"dropping-particle":"","family":"Zhao","given":"An-Jing","non-dropping-particle":"","parse-names":false,"suffix":""},{"dropping-particle":"","family":"Qian","given":"Yang-Yang","non-dropping-particle":"","parse-names":false,"suffix":""},{"dropping-particle":"","family":"Sun","given":"Hui","non-dropping-particle":"","parse-names":false,"suffix":""},{"dropping-particle":"","family":"Hou","given":"Xi","non-dropping-particle":"","parse-names":false,"suffix":""},{"dropping-particle":"","family":"Pan","given":"Jun","non-dropping-particle":"","parse-names":false,"suffix":""},{"dropping-particle":"","family":"Liu","given":"Xiao","non-dropping-particle":"","parse-names":false,"suffix":""},{"dropping-particle":"","family":"Zhou","given":"Wei","non-dropping-particle":"","parse-names":false,"suffix":""},{"dropping-particle":"","family":"Chen","given":"Yi-Zhi","non-dropping-particle":"","parse-names":false,"suffix":""},{"dropping-particle":"","family":"Jiang","given":"Xi","non-dropping-particle":"","parse-names":false,"suffix":""},{"dropping-particle":"","family":"Li","given":"Zhao-Shen","non-dropping-particle":"","parse-names":false,"suffix":""},{"dropping-particle":"","family":"Liao","given":"Zhuan","non-dropping-particle":"","parse-names":false,"suffix":""}],"container-title":"Gastrointestinal endoscopy","id":"ITEM-1","issue":"3","issued":{"date-parts":[["2018","9"]]},"language":"eng","page":"466-474.e1","publisher-place":"United States","title":"Screening for gastric cancer with magnetically controlled capsule gastroscopy in  asymptomatic individuals.","type":"article-journal","volume":"88"},"uris":["http://www.mendeley.com/documents/?uuid=79d7f5c8-4381-4414-9d38-c2876bd241d3","http://www.mendeley.com/documents/?uuid=e1eadd62-bb23-436d-85dd-13619447c8ce"]}],"mendeley":{"formattedCitation":"(39)","plainTextFormattedCitation":"(39)","previouslyFormattedCitation":"(39)"},"properties":{"noteIndex":0},"schema":"https://github.com/citation-style-language/schema/raw/master/csl-citation.json"}</w:instrText>
      </w:r>
      <w:r w:rsidR="00553E7F"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39</w:t>
      </w:r>
      <w:r w:rsidR="00553E7F"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553E7F" w:rsidRPr="002D3D23">
        <w:rPr>
          <w:rFonts w:ascii="Book Antiqua" w:hAnsi="Book Antiqua" w:cs="Arial"/>
          <w:color w:val="000000" w:themeColor="text1"/>
          <w:lang w:val="en-US"/>
        </w:rPr>
        <w:t>.</w:t>
      </w:r>
      <w:r w:rsidR="00F64E9D" w:rsidRPr="002D3D23">
        <w:rPr>
          <w:rFonts w:ascii="Book Antiqua" w:hAnsi="Book Antiqua" w:cs="Arial"/>
          <w:color w:val="000000" w:themeColor="text1"/>
          <w:lang w:val="en-US"/>
        </w:rPr>
        <w:t xml:space="preserve"> </w:t>
      </w:r>
      <w:r w:rsidR="001D59C7" w:rsidRPr="002D3D23">
        <w:rPr>
          <w:rFonts w:ascii="Book Antiqua" w:hAnsi="Book Antiqua" w:cs="Arial"/>
          <w:color w:val="000000" w:themeColor="text1"/>
          <w:lang w:val="en-US"/>
        </w:rPr>
        <w:t>Magneti</w:t>
      </w:r>
      <w:r w:rsidR="000440D5" w:rsidRPr="002D3D23">
        <w:rPr>
          <w:rFonts w:ascii="Book Antiqua" w:hAnsi="Book Antiqua" w:cs="Arial"/>
          <w:color w:val="000000" w:themeColor="text1"/>
          <w:lang w:val="en-US"/>
        </w:rPr>
        <w:t xml:space="preserve">cally driven capsules also help to lower storage needs for power thus potentially </w:t>
      </w:r>
      <w:r w:rsidR="0043442D" w:rsidRPr="002D3D23">
        <w:rPr>
          <w:rFonts w:ascii="Book Antiqua" w:hAnsi="Book Antiqua" w:cs="Arial"/>
          <w:color w:val="000000" w:themeColor="text1"/>
          <w:lang w:val="en-US"/>
        </w:rPr>
        <w:t>allowing space for interventional tools</w:t>
      </w:r>
      <w:r w:rsidR="000440D5"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{"citationItems":[{"id":"ITEM-1","itemData":{"author":[{"dropping-particle":"","family":"Slawinski","given":"Piotr R","non-dropping-particle":"","parse-names":false,"suffix":""},{"dropping-particle":"","family":"Obstein","given":"Keith L","non-dropping-particle":"","parse-names":false,"suffix":""},{"dropping-particle":"","family":"Valdastri","given":"Pietro","non-dropping-particle":"","parse-names":false,"suffix":""}],"container-title":"World Journal of Gastroenterology: WJG","id":"ITEM-1","issue":"37","issued":{"date-parts":[["2015"]]},"page":"10528","publisher":"Baishideng Publishing Group Inc","title":"Capsule endoscopy of the future: What’s on the horizon?","type":"article-journal","volume":"21"},"uris":["http://www.mendeley.com/documents/?uuid=cb96ad56-3e9a-4daa-8099-da3bef49888f","http://www.mendeley.com/documents/?uuid=ee4595a7-12fc-4c86-85a7-b54a14cc2e0f"]}],"mendeley":{"formattedCitation":"(35)","plainTextFormattedCitation":"(35)","previouslyFormattedCitation":"(35)"},"properties":{"noteIndex":0},"schema":"https://github.com/citation-style-language/schema/raw/master/csl-citation.json"}</w:instrText>
      </w:r>
      <w:r w:rsidR="000440D5"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35</w:t>
      </w:r>
      <w:r w:rsidR="000440D5"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w:t>
      </w:r>
      <w:r w:rsidR="00E31150" w:rsidRPr="002D3D23">
        <w:rPr>
          <w:rFonts w:ascii="Book Antiqua" w:hAnsi="Book Antiqua" w:cs="Arial"/>
          <w:color w:val="000000" w:themeColor="text1"/>
          <w:lang w:val="en-US"/>
        </w:rPr>
        <w:t xml:space="preserve"> Progress continues on the development of biopsy models, which have shown promise in in vitro and animal models</w:t>
      </w:r>
      <w:r w:rsidR="00E3115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1932-6181","author":[{"dropping-particle":"","family":"Kong","given":"Kyoungchul","non-dropping-particle":"","parse-names":false,"suffix":""},{"dropping-particle":"","family":"Yim","given":"Sehyuk","non-dropping-particle":"","parse-names":false,"suffix":""},{"dropping-particle":"","family":"Choi","given":"Sunhee","non-dropping-particle":"","parse-names":false,"suffix":""},{"dropping-particle":"","family":"Jeon","given":"Doyoung","non-dropping-particle":"","parse-names":false,"suffix":""}],"container-title":"Journal of Medical Devices","id":"ITEM-1","issue":"3","issued":{"date-parts":[["2012"]]},"page":"31004","publisher":"American Society of Mechanical Engineers","title":"A robotic biopsy device for capsule endoscopy","type":"article-journal","volume":"6"},"uris":["http://www.mendeley.com/documents/?uuid=1e0272fa-750b-44eb-85ef-cfef28528bf5","http://www.mendeley.com/documents/?uuid=20451fed-c22c-45bf-8d8f-2d1cd69bc42c"]}],"mendeley":{"formattedCitation":"(40)","plainTextFormattedCitation":"(40)","previouslyFormattedCitation":"(40)"},"properties":{"noteIndex":0},"schema":"https://github.com/citation-style-language/schema/raw/master/csl-citation.json"}</w:instrText>
      </w:r>
      <w:r w:rsidR="00E31150"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40</w:t>
      </w:r>
      <w:r w:rsidR="00E31150"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E31150" w:rsidRPr="002D3D23">
        <w:rPr>
          <w:rFonts w:ascii="Book Antiqua" w:hAnsi="Book Antiqua" w:cs="Arial"/>
          <w:color w:val="000000" w:themeColor="text1"/>
          <w:lang w:val="en-US"/>
        </w:rPr>
        <w:t>. Further application in clinical trials is needed before the potential for interventional WCE in healthcare can be realized.</w:t>
      </w:r>
      <w:r w:rsidR="00A26AF5" w:rsidRPr="002D3D23">
        <w:rPr>
          <w:rFonts w:ascii="Book Antiqua" w:hAnsi="Book Antiqua" w:cs="Arial"/>
          <w:color w:val="000000" w:themeColor="text1"/>
          <w:lang w:val="en-US"/>
        </w:rPr>
        <w:t xml:space="preserve"> </w:t>
      </w:r>
      <w:r w:rsidR="00AD734F" w:rsidRPr="002D3D23">
        <w:rPr>
          <w:rFonts w:ascii="Book Antiqua" w:hAnsi="Book Antiqua" w:cs="Arial"/>
          <w:color w:val="000000" w:themeColor="text1"/>
          <w:lang w:val="en-US"/>
        </w:rPr>
        <w:t>Robotic assistance in controlling magnetic wireless capsules has been the subject of some clinical trials</w:t>
      </w:r>
      <w:r w:rsidR="002300AA" w:rsidRPr="002D3D23">
        <w:rPr>
          <w:rFonts w:ascii="Book Antiqua" w:hAnsi="Book Antiqua" w:cs="Arial"/>
          <w:color w:val="000000" w:themeColor="text1"/>
          <w:lang w:val="en-US"/>
        </w:rPr>
        <w:t>, showing superiority of this method of actuation over manual manipulation of magnetic</w:t>
      </w:r>
      <w:r w:rsidR="000B45B5" w:rsidRPr="002D3D23">
        <w:rPr>
          <w:rFonts w:ascii="Book Antiqua" w:hAnsi="Book Antiqua" w:cs="Arial"/>
          <w:color w:val="000000" w:themeColor="text1"/>
          <w:lang w:val="en-US"/>
        </w:rPr>
        <w:t>ally guided</w:t>
      </w:r>
      <w:r w:rsidR="002300AA" w:rsidRPr="002D3D23">
        <w:rPr>
          <w:rFonts w:ascii="Book Antiqua" w:hAnsi="Book Antiqua" w:cs="Arial"/>
          <w:color w:val="000000" w:themeColor="text1"/>
          <w:lang w:val="en-US"/>
        </w:rPr>
        <w:t xml:space="preserve"> WCE</w:t>
      </w:r>
      <w:r w:rsidR="000B45B5" w:rsidRPr="002D3D23">
        <w:rPr>
          <w:rFonts w:ascii="Book Antiqua" w:hAnsi="Book Antiqua" w:cs="Arial"/>
          <w:color w:val="000000" w:themeColor="text1"/>
          <w:lang w:val="en-US"/>
        </w:rPr>
        <w:t xml:space="preserve"> on viewing installed targets on an ex-vivo colon model</w:t>
      </w:r>
      <w:r w:rsidR="002300AA"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{"citationItems":[{"id":"ITEM-1","itemData":{"DOI":"10.1055/s-0029-1243808","ISSN":"1438-8812 (Electronic)","PMID":"20017088","abstract":"BACKGROUND AND STUDY AIMS: Capsular endoscopy holds promise for the improved inspection of the gastrointestinal tract. However, this technique is limited by a lack of controlled capsule locomotion. Magnetic steering has been proposed by the main worldwide suppliers of commercial capsular endoscopes and by several research groups. The present study evaluates and discusses how robotics may improve diagnostic outcomes compared with manual magnetic steering of an endoscopic capsule. MATERIALS AND METHODS: An endoscopic capsule prototype incorporating permanent magnets was deployed in an ex vivo colon segment. An operator controlled the external driving magnet manually or with robotic assistance. The capsule was maneuvered through the colon, visualizing and contacting targets installed on the colon wall. Procedure completion time and number of targets reached were collected for each trial to quantitatively compare manual versus robotic magnetic steering ( T-test analysis with P = 0.01). Then, through a set of in vivo animal trials, the efficacy of both approaches was qualitatively assessed. RESULTS: In ex vivo conditions, robotic-assisted control was superior to manual control in terms of targets reached (87 % +/- 13 % vs 37 % +/- 14 %). Manual steering demonstrated faster trial completion time (201 +/- 24 seconds vs 423 +/- 48 seconds). Under in vivo conditions, the robotic approach confirmed higher precision of movement and better reliability compared with manual control. CONCLUSIONS: Robotic control for magnetic steering of a capsular endoscope was demonstrated to be more precise and reliable than manual operation. Validation of the proposed robotic system paves the way for automation of capsular endoscopy and advanced endoscopic techniques.","author":[{"dropping-particle":"","family":"Ciuti","given":"G","non-dropping-particle":"","parse-names":false,"suffix":""},{"dropping-particle":"","family":"Donlin","given":"R","non-dropping-particle":"","parse-names":false,"suffix":""},{"dropping-particle":"","family":"Valdastri","given":"P","non-dropping-particle":"","parse-names":false,"suffix":""},{"dropping-particle":"","family":"Arezzo","given":"A","non-dropping-particle":"","parse-names":false,"suffix":""},{"dropping-particle":"","family":"Menciassi","given":"A","non-dropping-particle":"","parse-names":false,"suffix":""},{"dropping-particle":"","family":"Morino","given":"M","non-dropping-particle":"","parse-names":false,"suffix":""},{"dropping-particle":"","family":"Dario","given":"P","non-dropping-particle":"","parse-names":false,"suffix":""}],"container-title":"Endoscopy","id":"ITEM-1","issue":"2","issued":{"date-parts":[["2010","2"]]},"language":"eng","page":"148-152","publisher-place":"Germany","title":"Robotic versus manual control in magnetic steering of an endoscopic capsule.","type":"article-journal","volume":"42"},"uris":["http://www.mendeley.com/documents/?uuid=97c14837-861d-4473-83da-c80f3c33d431","http://www.mendeley.com/documents/?uuid=10ed1635-7cf6-462e-8a61-520be19e2356"]}],"mendeley":{"formattedCitation":"(41)","plainTextFormattedCitation":"(41)","previouslyFormattedCitation":"(41)"},"properties":{"noteIndex":0},"schema":"https://github.com/citation-style-language/schema/raw/master/csl-citation.json"}</w:instrText>
      </w:r>
      <w:r w:rsidR="002300AA"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41</w:t>
      </w:r>
      <w:r w:rsidR="002300AA"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2300AA" w:rsidRPr="002D3D23">
        <w:rPr>
          <w:rFonts w:ascii="Book Antiqua" w:hAnsi="Book Antiqua" w:cs="Arial"/>
          <w:color w:val="000000" w:themeColor="text1"/>
          <w:lang w:val="en-US"/>
        </w:rPr>
        <w:t>.</w:t>
      </w:r>
      <w:r w:rsidR="00464957" w:rsidRPr="002D3D23">
        <w:rPr>
          <w:rFonts w:ascii="Book Antiqua" w:hAnsi="Book Antiqua" w:cs="Arial"/>
          <w:color w:val="000000" w:themeColor="text1"/>
          <w:lang w:val="en-US"/>
        </w:rPr>
        <w:t xml:space="preserve"> A multicenter blinded study of patients with upper abdominal complaints examined robotically-assisted magnetically guided WCE with the gold standard of conventional gastroscopy and concluded that detection of focal lesions in the upper and lower stomach had comparable accuracy</w:t>
      </w:r>
      <w:r w:rsidR="00464957"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{"citationItems":[{"id":"ITEM-1","itemData":{"DOI":"10.1016/j.cgh.2016.05.013","ISSN":"1542-7714 (Electronic)","PMID":"27211503","abstract":"BACKGROUND &amp; AIMS: Diseases of the stomach, including gastric cancer and peptic ulcer, are the most common digestive diseases. It is impossible to visualize the entire stomach with the passive capsule currently used in practice because of the large size of the gastric cavity. A magnetically controlled capsule endoscopy (MCE) system has been designed to explore the stomach. We performed a prospective study to compare the accuracy of detection of gastric focal lesions by MCE vs conventional gastroscopy (the standard method). METHODS: We performed a multicenter blinded study comparing MCE with conventional gastroscopy in 350 patients (mean age, 46.6 y), with upper abdominal complaints scheduled to undergo gastroscopy at a tertiary center in China from August 2014 through December 2014. All patients underwent MCE, followed by conventional gastroscopy 2 hours later, without sedation. We calculated the sensitivity, specificity, positive predictive value, and negative predictive value of detection of gastric focal lesions by MCE, using gastroscopy as the standard. RESULTS: MCE detected gastric focal lesions in the whole stomach with 90.4% sensitivity (95% confidence interval [CI], 84.7%-96.1%), 94.7% specificity (95% CI, 91.9%-97.5%), a positive predictive value of 87.9% (95% CI, 81.7%-94.0%), a negative predictive value of 95.9% (95% CI, 93.4%-98.4%), and 93.4% accuracy (95% CI, 90.83%-96.02%). MCE detected focal lesions in the upper stomach (cardia, fundus, and body) with 90.2% sensitivity (95% CI, 82.0%-98.4%) and 96.7% specificity (95% CI, 94.4%-98.9%). MCE detected focal lesions in the lower stomach (angulus, antrum, and pylorus) with 90.6% sensitivity (95% CI, 82.7%-98.4%) and 97.9% specificity (95% CI, 96.1%-99.7%). MCE detected 1 advanced gastric carcinoma, 2 malignant lymphomas, and 1 early stage gastric tumor. MCE did not miss any lesions of significance (including tumors or large ulcers). Among the 350 patients, 5 reported 9 adverse events (1.4%) and 335 preferred MCE over gastroscopy (95.7%). CONCLUSIONS: MCE detects focal lesions in the upper and lower stomach with comparable accuracy with conventional gastroscopy. MCE is preferred by almost all patients, compared with gastroscopy, and can be used to screen gastric diseases without sedation. Clinicaltrials.gov number: NCT02219529.","author":[{"dropping-particle":"","family":"Liao","given":"Zhuan","non-dropping-particle":"","parse-names":false,"suffix":""},{"dropping-particle":"","family":"Hou","given":"Xi","non-dropping-particle":"","parse-names":false,"suffix":""},{"dropping-particle":"","family":"Lin-Hu","given":"En-Qiang","non-dropping-particle":"","parse-names":false,"suffix":""},{"dropping-particle":"","family":"Sheng","given":"Jian-Qiu","non-dropping-particle":"","parse-names":false,"suffix":""},{"dropping-particle":"","family":"Ge","given":"Zhi-Zheng","non-dropping-particle":"","parse-names":false,"suffix":""},{"dropping-particle":"","family":"Jiang","given":"Bo","non-dropping-particle":"","parse-names":false,"suffix":""},{"dropping-particle":"","family":"Hou","given":"Xiao-Hua","non-dropping-particle":"","parse-names":false,"suffix":""},{"dropping-particle":"","family":"Liu","given":"Ji-Yong","non-dropping-particle":"","parse-names":false,"suffix":""},{"dropping-particle":"","family":"Li","given":"Zhen","non-dropping-particle":"","parse-names":false,"suffix":""},{"dropping-particle":"","family":"Huang","given":"Qi-Yang","non-dropping-particle":"","parse-names":false,"suffix":""},{"dropping-particle":"","family":"Zhao","given":"Xiao-Jun","non-dropping-particle":"","parse-names":false,"suffix":""},{"dropping-particle":"","family":"Li","given":"Na","non-dropping-particle":"","parse-names":false,"suffix":""},{"dropping-particle":"","family":"Gao","given":"Yun-Jie","non-dropping-particle":"","parse-names":false,"suffix":""},{"dropping-particle":"","family":"Zhang","given":"Yao","non-dropping-particle":"","parse-names":false,"suffix":""},{"dropping-particle":"","family":"Zhou","given":"Jie-Qiong","non-dropping-particle":"","parse-names":false,"suffix":""},{"dropping-particle":"","family":"Wang","given":"Xin-Ying","non-dropping-particle":"","parse-names":false,"suffix":""},{"dropping-particle":"","family":"Liu","given":"Jun","non-dropping-particle":"","parse-names":false,"suffix":""},{"dropping-particle":"","family":"Xie","given":"Xiao-Ping","non-dropping-particle":"","parse-names":false,"suffix":""},{"dropping-particle":"","family":"Yang","given":"Cong-Mei","non-dropping-particle":"","parse-names":false,"suffix":""},{"dropping-particle":"","family":"Liu","given":"Hua-Lin","non-dropping-particle":"","parse-names":false,"suffix":""},{"dropping-particle":"","family":"Sun","given":"Xiao-Tian","non-dropping-particle":"","parse-names":false,"suffix":""},{"dropping-particle":"","family":"Zou","given":"Wen-Bin","non-dropping-particle":"","parse-names":false,"suffix":""},{"dropping-particle":"","family":"Li","given":"Zhao-Shen","non-dropping-particle":"","parse-names":false,"suffix":""}],"container-title":"Clinical gastroenterology and hepatology : the official clinical practice journal of the American Gastroenterological Association","id":"ITEM-1","issue":"9","issued":{"date-parts":[["2016","9"]]},"language":"eng","page":"1266-1273.e1","publisher-place":"United States","title":"Accuracy of Magnetically Controlled Capsule Endoscopy, Compared With Conventional Gastroscopy, in Detection of Gastric Diseases.","type":"article-journal","volume":"14"},"uris":["http://www.mendeley.com/documents/?uuid=d4749f60-d790-42ca-ad2b-43b66fbcb125","http://www.mendeley.com/documents/?uuid=76d3cdc5-7d21-4198-afb0-ccbf8458f796"]}],"mendeley":{"formattedCitation":"(42)","plainTextFormattedCitation":"(42)","previouslyFormattedCitation":"(42)"},"properties":{"noteIndex":0},"schema":"https://github.com/citation-style-language/schema/raw/master/csl-citation.json"}</w:instrText>
      </w:r>
      <w:r w:rsidR="00464957"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42</w:t>
      </w:r>
      <w:r w:rsidR="00464957"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464957" w:rsidRPr="002D3D23">
        <w:rPr>
          <w:rFonts w:ascii="Book Antiqua" w:hAnsi="Book Antiqua" w:cs="Arial"/>
          <w:color w:val="000000" w:themeColor="text1"/>
          <w:lang w:val="en-US"/>
        </w:rPr>
        <w:t>.</w:t>
      </w:r>
      <w:r w:rsidR="003B0CDB">
        <w:rPr>
          <w:rFonts w:ascii="Book Antiqua" w:hAnsi="Book Antiqua" w:cs="Arial"/>
          <w:color w:val="000000" w:themeColor="text1"/>
          <w:lang w:val="en-US"/>
        </w:rPr>
        <w:t xml:space="preserve"> </w:t>
      </w:r>
      <w:r w:rsidR="000B45B5" w:rsidRPr="002D3D23">
        <w:rPr>
          <w:rFonts w:ascii="Book Antiqua" w:hAnsi="Book Antiqua" w:cs="Arial"/>
          <w:color w:val="000000" w:themeColor="text1"/>
          <w:lang w:val="en-US"/>
        </w:rPr>
        <w:t>This device has also shown better diagnostic yield than EGD in patients presenting for investigation of iron deficiency anemia</w:t>
      </w:r>
      <w:r w:rsidR="000B45B5"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{"citationItems":[{"id":"ITEM-1","itemData":{"DOI":"10.1055/a-0750-5682","ISSN":"1438-8812 (Electronic)","PMID":"30360012","abstract":"BACKGROUND: Small-bowel capsule endoscopy is advocated and repeat upper gastrointestinal (GI) endoscopy should be considered for evaluation of recurrent or refractory iron deficiency anemia (IDA). A new device that allows magnetic steering of the capsule around the stomach (magnetically assisted capsule endoscopy [MACE]), followed by passive small-bowel examination might satisfy both requirements in a single procedure. METHODS: In this prospective cohort study, MACE and esophagogastroduodenoscopy (EGD) were performed in patients with recurrent or refractory IDA. Comparisons of total (upper GI and small bowel) and upper GI diagnostic yields, gastric mucosal visibility, and patient comfort scores were the primary end points. RESULTS: 49 patients were recruited (median age 64 years; 39 % male). Combined upper and small-bowel examination using the new capsule yielded more pathology than EGD alone (113 vs. 52; P &lt; 0.001). In upper GI examination (proximal to the second part of the duodenum, D2), MACE identified more total lesions than EGD (88 vs. 52; P &lt; 0.001). There was also a difference if only IDA-associated lesions (esophagitis, altered/fresh blood, angioectasia, ulcers, and villous atrophy) were included (20 vs. 10; P = 0.04). Pathology distal to D2 was identified in 17 patients (34.7 %). Median scores (0 - 10 for none - extreme) for pain (0 vs. 2), discomfort (0 vs. 3), and distress (0 vs. 4) were lower for MACE than for EGD (P &lt; 0.001). CONCLUSION: Combined examination of the upper GI tract and small bowel using the MACE capsule detected more pathology than EGD alone in patients with recurrent or refractory IDA. MACE also had a higher diagnostic yield than EGD in the upper GI tract and was better tolerated by patients.","author":[{"dropping-particle":"","family":"Ching","given":"Hey-Long","non-dropping-particle":"","parse-names":false,"suffix":""},{"dropping-particle":"","family":"Hale","given":"Melissa F","non-dropping-particle":"","parse-names":false,"suffix":""},{"dropping-particle":"","family":"Kurien","given":"Matthew","non-dropping-particle":"","parse-names":false,"suffix":""},{"dropping-particle":"","family":"Campbell","given":"Jennifer A","non-dropping-particle":"","parse-names":false,"suffix":""},{"dropping-particle":"","family":"Chetcuti Zammit","given":"Stefania","non-dropping-particle":"","parse-names":false,"suffix":""},{"dropping-particle":"","family":"Healy","given":"Ailish","non-dropping-particle":"","parse-names":false,"suffix":""},{"dropping-particle":"","family":"Thurston","given":"Victoria","non-dropping-particle":"","parse-names":false,"suffix":""},{"dropping-particle":"","family":"Hebden","given":"John M","non-dropping-particle":"","parse-names":false,"suffix":""},{"dropping-particle":"","family":"Sidhu","given":"Reena","non-dropping-particle":"","parse-names":false,"suffix":""},{"dropping-particle":"","family":"McAlindon","given":"Mark E","non-dropping-particle":"","parse-names":false,"suffix":""}],"container-title":"Endoscopy","id":"ITEM-1","issued":{"date-parts":[["2018","10"]]},"language":"eng","publisher-place":"Germany","title":"Diagnostic yield of magnetically assisted capsule endoscopy versus gastroscopy in recurrent and refractory iron deficiency anemia.","type":"article"},"uris":["http://www.mendeley.com/documents/?uuid=16cd02c4-5a6f-419f-aad5-357ace425245","http://www.mendeley.com/documents/?uuid=ca0ea0e3-9dc2-47f2-ad3f-bd4137eff21d"]}],"mendeley":{"formattedCitation":"(43)","plainTextFormattedCitation":"(43)","previouslyFormattedCitation":"(43)"},"properties":{"noteIndex":0},"schema":"https://github.com/citation-style-language/schema/raw/master/csl-citation.json"}</w:instrText>
      </w:r>
      <w:r w:rsidR="000B45B5"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43</w:t>
      </w:r>
      <w:r w:rsidR="000B45B5"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0B45B5" w:rsidRPr="002D3D23">
        <w:rPr>
          <w:rFonts w:ascii="Book Antiqua" w:hAnsi="Book Antiqua" w:cs="Arial"/>
          <w:color w:val="000000" w:themeColor="text1"/>
          <w:lang w:val="en-US"/>
        </w:rPr>
        <w:t>.</w:t>
      </w:r>
      <w:r w:rsidR="00464957" w:rsidRPr="002D3D23">
        <w:rPr>
          <w:rFonts w:ascii="Book Antiqua" w:hAnsi="Book Antiqua" w:cs="Arial"/>
          <w:color w:val="000000" w:themeColor="text1"/>
          <w:lang w:val="en-US"/>
        </w:rPr>
        <w:t xml:space="preserve"> </w:t>
      </w:r>
      <w:r w:rsidR="00A36A9B" w:rsidRPr="002D3D23">
        <w:rPr>
          <w:rFonts w:ascii="Book Antiqua" w:hAnsi="Book Antiqua" w:cs="Arial"/>
          <w:color w:val="000000" w:themeColor="text1"/>
          <w:lang w:val="en-US"/>
        </w:rPr>
        <w:t xml:space="preserve">The evidence points towards WCE having a greater future role for diagnosis of GI disorders although it will require more time and research, </w:t>
      </w:r>
      <w:r w:rsidR="00A36A9B" w:rsidRPr="002D3D23">
        <w:rPr>
          <w:rFonts w:ascii="Book Antiqua" w:hAnsi="Book Antiqua" w:cs="Arial"/>
          <w:color w:val="000000" w:themeColor="text1"/>
          <w:lang w:val="en-US"/>
        </w:rPr>
        <w:lastRenderedPageBreak/>
        <w:t>particularly on the cost-effectiveness front, to determine which manifestations warrant widespread application</w:t>
      </w:r>
      <w:r w:rsidR="003F4E49"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{"citationItems":[{"id":"ITEM-1","itemData":{"ISSN":"2297-4725","author":[{"dropping-particle":"","family":"Li","given":"Zheng","non-dropping-particle":"","parse-names":false,"suffix":""},{"dropping-particle":"","family":"Chiu","given":"Philip Wai-Yan","non-dropping-particle":"","parse-names":false,"suffix":""}],"container-title":"Visceral medicine","id":"ITEM-1","issue":"1","issued":{"date-parts":[["2018"]]},"page":"45-51","publisher":"Karger Publishers","title":"Robotic endoscopy","type":"article-journal","volume":"34"},"uris":["http://www.mendeley.com/documents/?uuid=4aba58f3-c47e-43a7-b1ad-3cda23217246","http://www.mendeley.com/documents/?uuid=a038c496-c514-4ac8-924d-6caa2cf23bb3"]},{"id":"ITEM-2","itemData":{"ISBN":"1457712008","author":[{"dropping-particle":"","family":"Keller","given":"Henrik","non-dropping-particle":"","parse-names":false,"suffix":""},{"dropping-particle":"","family":"Juloski","given":"Aleksandar","non-dropping-particle":"","parse-names":false,"suffix":""},{"dropping-particle":"","family":"Kawano","given":"Hironao","non-dropping-particle":"","parse-names":false,"suffix":""},{"dropping-particle":"","family":"Bechtold","given":"Mario","non-dropping-particle":"","parse-names":false,"suffix":""},{"dropping-particle":"","family":"Kimura","given":"Atsushi","non-dropping-particle":"","parse-names":false,"suffix":""},{"dropping-particle":"","family":"Takizawa","given":"Hironobu","non-dropping-particle":"","parse-names":false,"suffix":""},{"dropping-particle":"","family":"Kuth","given":"Rainer","non-dropping-particle":"","parse-names":false,"suffix":""}],"container-title":"Biomedical Robotics and Biomechatronics (BioRob), 2012 4th IEEE RAS &amp; EMBS International Conference on","id":"ITEM-2","issued":{"date-parts":[["2012"]]},"page":"859-865","publisher":"IEEE","title":"Method for navigation and control of a magnetically guided capsule endoscope in the human stomach","type":"paper-conference"},"uris":["http://www.mendeley.com/documents/?uuid=6584f13e-f30d-4119-b3d7-c4739a467a45","http://www.mendeley.com/documents/?uuid=6ac93002-d188-4ea7-967e-69d5674f32a9"]},{"id":"ITEM-3","itemData":{"DOI":"10.1055/s-0029-1243808","ISSN":"1438-8812 (Electronic)","PMID":"20017088","abstract":"BACKGROUND AND STUDY AIMS: Capsular endoscopy holds promise for the improved inspection of the gastrointestinal tract. However, this technique is limited by a lack of controlled capsule locomotion. Magnetic steering has been proposed by the main worldwide suppliers of commercial capsular endoscopes and by several research groups. The present study evaluates and discusses how robotics may improve diagnostic outcomes compared with manual magnetic steering of an endoscopic capsule. MATERIALS AND METHODS: An endoscopic capsule prototype incorporating permanent magnets was deployed in an ex vivo colon segment. An operator controlled the external driving magnet manually or with robotic assistance. The capsule was maneuvered through the colon, visualizing and contacting targets installed on the colon wall. Procedure completion time and number of targets reached were collected for each trial to quantitatively compare manual versus robotic magnetic steering ( T-test analysis with P = 0.01). Then, through a set of in vivo animal trials, the efficacy of both approaches was qualitatively assessed. RESULTS: In ex vivo conditions, robotic-assisted control was superior to manual control in terms of targets reached (87 % +/- 13 % vs 37 % +/- 14 %). Manual steering demonstrated faster trial completion time (201 +/- 24 seconds vs 423 +/- 48 seconds). Under in vivo conditions, the robotic approach confirmed higher precision of movement and better reliability compared with manual control. CONCLUSIONS: Robotic control for magnetic steering of a capsular endoscope was demonstrated to be more precise and reliable than manual operation. Validation of the proposed robotic system paves the way for automation of capsular endoscopy and advanced endoscopic techniques.","author":[{"dropping-particle":"","family":"Ciuti","given":"G","non-dropping-particle":"","parse-names":false,"suffix":""},{"dropping-particle":"","family":"Donlin","given":"R","non-dropping-particle":"","parse-names":false,"suffix":""},{"dropping-particle":"","family":"Valdastri","given":"P","non-dropping-particle":"","parse-names":false,"suffix":""},{"dropping-particle":"","family":"Arezzo","given":"A","non-dropping-particle":"","parse-names":false,"suffix":""},{"dropping-particle":"","family":"Menciassi","given":"A","non-dropping-particle":"","parse-names":false,"suffix":""},{"dropping-particle":"","family":"Morino","given":"M","non-dropping-particle":"","parse-names":false,"suffix":""},{"dropping-particle":"","family":"Dario","given":"P","non-dropping-particle":"","parse-names":false,"suffix":""}],"container-title":"Endoscopy","id":"ITEM-3","issue":"2","issued":{"date-parts":[["2010","2"]]},"language":"eng","page":"148-152","publisher-place":"Germany","title":"Robotic versus manual control in magnetic steering of an endoscopic capsule.","type":"article-journal","volume":"42"},"uris":["http://www.mendeley.com/documents/?uuid=10ed1635-7cf6-462e-8a61-520be19e2356","http://www.mendeley.com/documents/?uuid=97c14837-861d-4473-83da-c80f3c33d431"]}],"mendeley":{"formattedCitation":"(41,44,45)","manualFormatting":"(43,44)","plainTextFormattedCitation":"(41,44,45)","previouslyFormattedCitation":"(41,44,45)"},"properties":{"noteIndex":0},"schema":"https://github.com/citation-style-language/schema/raw/master/csl-citation.json"}</w:instrText>
      </w:r>
      <w:r w:rsidR="003F4E49"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0B45B5" w:rsidRPr="002D3D23">
        <w:rPr>
          <w:rFonts w:ascii="Book Antiqua" w:hAnsi="Book Antiqua" w:cs="Arial"/>
          <w:color w:val="000000" w:themeColor="text1"/>
          <w:vertAlign w:val="superscript"/>
          <w:lang w:val="en-US"/>
        </w:rPr>
        <w:t>43,44</w:t>
      </w:r>
      <w:r w:rsidR="003F4E49"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9A29CD">
        <w:rPr>
          <w:rFonts w:ascii="Book Antiqua" w:hAnsi="Book Antiqua" w:cs="Arial"/>
          <w:color w:val="000000" w:themeColor="text1"/>
          <w:vertAlign w:val="superscript"/>
          <w:lang w:val="en-US"/>
        </w:rPr>
        <w:t xml:space="preserve"> </w:t>
      </w:r>
      <w:r w:rsidR="009A29CD">
        <w:rPr>
          <w:rFonts w:ascii="Book Antiqua" w:hAnsi="Book Antiqua" w:cs="Arial"/>
          <w:color w:val="000000" w:themeColor="text1"/>
          <w:lang w:val="en-US"/>
        </w:rPr>
        <w:t>(Figure</w:t>
      </w:r>
      <w:r w:rsidR="00351B61">
        <w:rPr>
          <w:rFonts w:ascii="Book Antiqua" w:hAnsi="Book Antiqua" w:cs="Arial"/>
          <w:color w:val="000000" w:themeColor="text1"/>
          <w:lang w:val="en-US"/>
        </w:rPr>
        <w:t>s</w:t>
      </w:r>
      <w:r w:rsidR="009A29CD">
        <w:rPr>
          <w:rFonts w:ascii="Book Antiqua" w:hAnsi="Book Antiqua" w:cs="Arial"/>
          <w:color w:val="000000" w:themeColor="text1"/>
          <w:lang w:val="en-US"/>
        </w:rPr>
        <w:t xml:space="preserve"> 2</w:t>
      </w:r>
      <w:r w:rsidR="00351B61">
        <w:rPr>
          <w:rFonts w:ascii="Book Antiqua" w:hAnsi="Book Antiqua" w:cs="Arial"/>
          <w:color w:val="000000" w:themeColor="text1"/>
          <w:lang w:val="en-US"/>
        </w:rPr>
        <w:t>-4</w:t>
      </w:r>
      <w:r w:rsidR="009A29CD">
        <w:rPr>
          <w:rFonts w:ascii="Book Antiqua" w:hAnsi="Book Antiqua" w:cs="Arial"/>
          <w:color w:val="000000" w:themeColor="text1"/>
          <w:lang w:val="en-US"/>
        </w:rPr>
        <w:t>)</w:t>
      </w:r>
      <w:r w:rsidR="00097AE2" w:rsidRPr="002D3D23">
        <w:rPr>
          <w:rFonts w:ascii="Book Antiqua" w:hAnsi="Book Antiqua" w:cs="Arial"/>
          <w:color w:val="000000" w:themeColor="text1"/>
          <w:lang w:val="en-US"/>
        </w:rPr>
        <w:t>.</w:t>
      </w:r>
    </w:p>
    <w:p w14:paraId="3F799C48" w14:textId="77777777" w:rsidR="005D1C6B" w:rsidRPr="002D3D23" w:rsidRDefault="005D1C6B" w:rsidP="002D3D23">
      <w:pPr>
        <w:adjustRightInd w:val="0"/>
        <w:snapToGrid w:val="0"/>
        <w:spacing w:line="360" w:lineRule="auto"/>
        <w:jc w:val="both"/>
        <w:rPr>
          <w:rFonts w:ascii="Book Antiqua" w:hAnsi="Book Antiqua" w:cs="Arial"/>
          <w:color w:val="000000" w:themeColor="text1"/>
          <w:lang w:val="en-US"/>
        </w:rPr>
      </w:pPr>
    </w:p>
    <w:p w14:paraId="294E348A" w14:textId="2D0D65EA" w:rsidR="00207862" w:rsidRPr="008746ED" w:rsidRDefault="000231FF" w:rsidP="002D3D23">
      <w:pPr>
        <w:adjustRightInd w:val="0"/>
        <w:snapToGrid w:val="0"/>
        <w:spacing w:line="360" w:lineRule="auto"/>
        <w:jc w:val="both"/>
        <w:rPr>
          <w:rFonts w:ascii="Book Antiqua" w:hAnsi="Book Antiqua" w:cs="Arial"/>
          <w:b/>
          <w:color w:val="000000" w:themeColor="text1"/>
          <w:lang w:val="en-US"/>
        </w:rPr>
      </w:pPr>
      <w:bookmarkStart w:id="159" w:name="OLE_LINK97"/>
      <w:bookmarkStart w:id="160" w:name="OLE_LINK98"/>
      <w:r w:rsidRPr="002D3D23">
        <w:rPr>
          <w:rFonts w:ascii="Book Antiqua" w:hAnsi="Book Antiqua" w:cs="Arial"/>
          <w:b/>
          <w:color w:val="000000" w:themeColor="text1"/>
          <w:lang w:val="en-US"/>
        </w:rPr>
        <w:t>SCANNING SINGLE FIBER ENDOSCOPY</w:t>
      </w:r>
      <w:bookmarkEnd w:id="159"/>
      <w:bookmarkEnd w:id="160"/>
    </w:p>
    <w:p w14:paraId="38424BFA" w14:textId="3B14A495" w:rsidR="00207862" w:rsidRPr="002D3D23" w:rsidRDefault="00E86C85"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color w:val="000000" w:themeColor="text1"/>
          <w:lang w:val="en-US"/>
        </w:rPr>
        <w:t>Newer forms of optical technology have been developed to meet the demands for endoscopic imaging that is of higher resolution than UTE can provide</w:t>
      </w:r>
      <w:r w:rsidR="00207862"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{"citationItems":[{"id":"ITEM-1","itemData":{"DOI":"10.1002/jbio.200900087","author":[{"dropping-particle":"","family":"Lee","given":"Cameron M","non-dropping-particle":"","parse-names":false,"suffix":""},{"dropping-particle":"","family":"Engelbrecht","given":"Christoph J","non-dropping-particle":"","parse-names":false,"suffix":""},{"dropping-particle":"","family":"Soper","given":"Timothy D","non-dropping-particle":"","parse-names":false,"suffix":""},{"dropping-particle":"","family":"Helmchen","given":"Fritjof","non-dropping-particle":"","parse-names":false,"suffix":""},{"dropping-particle":"","family":"Seibel","given":"Eric J","non-dropping-particle":"","parse-names":false,"suffix":""}],"id":"ITEM-1","issue":"5","issued":{"date-parts":[["2010"]]},"page":"385-407","title":"Scanning fiber endoscopy with highly flexible, 1 mm catheterscopes for wide-field, full-color imaging","type":"article-journal","volume":"407"},"uris":["http://www.mendeley.com/documents/?uuid=6f7effa6-706b-4799-83e2-e4b6f7df4e09","http://www.mendeley.com/documents/?uuid=158d4489-f6da-4fd8-81be-59159861d0ac"]}],"mendeley":{"formattedCitation":"(46)","plainTextFormattedCitation":"(46)","previouslyFormattedCitation":"(46)"},"properties":{"noteIndex":0},"schema":"https://github.com/citation-style-language/schema/raw/master/csl-citation.json"}</w:instrText>
      </w:r>
      <w:r w:rsidR="00207862"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46</w:t>
      </w:r>
      <w:r w:rsidR="00207862"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D04DD9">
        <w:rPr>
          <w:rFonts w:ascii="Book Antiqua" w:hAnsi="Book Antiqua" w:cs="Arial"/>
          <w:color w:val="000000" w:themeColor="text1"/>
          <w:vertAlign w:val="superscript"/>
          <w:lang w:val="en-US"/>
        </w:rPr>
        <w:t xml:space="preserve"> </w:t>
      </w:r>
      <w:r w:rsidR="00D04DD9">
        <w:rPr>
          <w:rFonts w:ascii="Book Antiqua" w:hAnsi="Book Antiqua" w:cs="Arial"/>
          <w:color w:val="000000" w:themeColor="text1"/>
          <w:lang w:val="en-US"/>
        </w:rPr>
        <w:t>(Figure 5)</w:t>
      </w:r>
      <w:r w:rsidR="00097AE2" w:rsidRPr="002D3D23">
        <w:rPr>
          <w:rFonts w:ascii="Book Antiqua" w:hAnsi="Book Antiqua" w:cs="Arial"/>
          <w:color w:val="000000" w:themeColor="text1"/>
          <w:lang w:val="en-US"/>
        </w:rPr>
        <w:t>.</w:t>
      </w:r>
      <w:r w:rsidR="00207862" w:rsidRPr="002D3D23">
        <w:rPr>
          <w:rFonts w:ascii="Book Antiqua" w:hAnsi="Book Antiqua" w:cs="Arial"/>
          <w:color w:val="000000" w:themeColor="text1"/>
          <w:lang w:val="en-US"/>
        </w:rPr>
        <w:t xml:space="preserve"> </w:t>
      </w:r>
      <w:r w:rsidR="00AF1AFE" w:rsidRPr="002D3D23">
        <w:rPr>
          <w:rFonts w:ascii="Book Antiqua" w:hAnsi="Book Antiqua" w:cs="Arial"/>
          <w:color w:val="000000" w:themeColor="text1"/>
          <w:lang w:val="en-US"/>
        </w:rPr>
        <w:t>Scanning single fiber endoscopy (SFE)</w:t>
      </w:r>
      <w:r w:rsidR="0000086B" w:rsidRPr="002D3D23">
        <w:rPr>
          <w:rFonts w:ascii="Book Antiqua" w:hAnsi="Book Antiqua" w:cs="Arial"/>
          <w:color w:val="000000" w:themeColor="text1"/>
          <w:lang w:val="en-US"/>
        </w:rPr>
        <w:t xml:space="preserve"> involves narrow bands of light being projected onto tissue and reflecting back onto the fiber, before an image is created one pixel at a time. The resultant image is of a superior quality</w:t>
      </w:r>
      <w:r w:rsidR="004A533F" w:rsidRPr="002D3D23">
        <w:rPr>
          <w:rFonts w:ascii="Book Antiqua" w:hAnsi="Book Antiqua" w:cs="Arial"/>
          <w:color w:val="000000" w:themeColor="text1"/>
          <w:lang w:val="en-US"/>
        </w:rPr>
        <w:t xml:space="preserve"> to those from an ultrathin endoscope of a similar caliber</w:t>
      </w:r>
      <w:r w:rsidR="004A533F"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{"citationItems":[{"id":"ITEM-1","itemData":{"ISSN":"1052-5157","author":[{"dropping-particle":"","family":"Seibel","given":"Eric J","non-dropping-particle":"","parse-names":false,"suffix":""},{"dropping-particle":"","family":"Brown","given":"Christopher M","non-dropping-particle":"","parse-names":false,"suffix":""},{"dropping-particle":"","family":"Dominitz","given":"Jason A","non-dropping-particle":"","parse-names":false,"suffix":""},{"dropping-particle":"","family":"Kimmey","given":"Michael B","non-dropping-particle":"","parse-names":false,"suffix":""}],"container-title":"Gastrointestinal endoscopy clinics of North America","id":"ITEM-1","issue":"3","issued":{"date-parts":[["2008"]]},"page":"467-478","publisher":"Elsevier","title":"Scanning single fiber endoscopy: a new platform technology for integrated laser imaging, diagnosis, and future therapies","type":"article-journal","volume":"18"},"uris":["http://www.mendeley.com/documents/?uuid=e387cea3-55e7-4d5d-9391-15d6b0794897","http://www.mendeley.com/documents/?uuid=14602cca-4c24-4242-8139-6233d2811d74"]}],"mendeley":{"formattedCitation":"(47)","plainTextFormattedCitation":"(47)","previouslyFormattedCitation":"(47)"},"properties":{"noteIndex":0},"schema":"https://github.com/citation-style-language/schema/raw/master/csl-citation.json"}</w:instrText>
      </w:r>
      <w:r w:rsidR="004A533F"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47</w:t>
      </w:r>
      <w:r w:rsidR="004A533F"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4A533F" w:rsidRPr="002D3D23">
        <w:rPr>
          <w:rFonts w:ascii="Book Antiqua" w:hAnsi="Book Antiqua" w:cs="Arial"/>
          <w:color w:val="000000" w:themeColor="text1"/>
          <w:lang w:val="en-US"/>
        </w:rPr>
        <w:t>.</w:t>
      </w:r>
      <w:r w:rsidR="00AF1AFE" w:rsidRPr="002D3D23">
        <w:rPr>
          <w:rFonts w:ascii="Book Antiqua" w:hAnsi="Book Antiqua" w:cs="Arial"/>
          <w:color w:val="000000" w:themeColor="text1"/>
          <w:lang w:val="en-US"/>
        </w:rPr>
        <w:t xml:space="preserve"> </w:t>
      </w:r>
      <w:r w:rsidR="00207862" w:rsidRPr="002D3D23">
        <w:rPr>
          <w:rFonts w:ascii="Book Antiqua" w:hAnsi="Book Antiqua" w:cs="Arial"/>
          <w:color w:val="000000" w:themeColor="text1"/>
          <w:lang w:val="en-US"/>
        </w:rPr>
        <w:t>In gastrointestinal endoscopy, as well as permitting access to poorly accessible areas like the upper biliary tree and pancreas, SFE may have a place as an adjunct to more conventional endoscopes. One example of this could be more complete visualization of a lesion whenever full views are not obtained on a single plane.</w:t>
      </w:r>
    </w:p>
    <w:p w14:paraId="4CB23556" w14:textId="6D599F54" w:rsidR="004A533F" w:rsidRPr="002D3D23" w:rsidRDefault="004A533F"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Spectrally-encoded scanning fiber endoscopy uses polychromatic light emissions from the endoscopic probe, encoded by wavelength which is then reflected from the surface and decoded outside the body to produce a one-dimensional impression. Rotation of the instrument builds information for a two-dimensional image of the visualized surface</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{"citationItems":[{"id":"ITEM-1","itemData":{"DOI":"10.1002/jbio.200900087","author":[{"dropping-particle":"","family":"Lee","given":"Cameron M","non-dropping-particle":"","parse-names":false,"suffix":""},{"dropping-particle":"","family":"Engelbrecht","given":"Christoph J","non-dropping-particle":"","parse-names":false,"suffix":""},{"dropping-particle":"","family":"Soper","given":"Timothy D","non-dropping-particle":"","parse-names":false,"suffix":""},{"dropping-particle":"","family":"Helmchen","given":"Fritjof","non-dropping-particle":"","parse-names":false,"suffix":""},{"dropping-particle":"","family":"Seibel","given":"Eric J","non-dropping-particle":"","parse-names":false,"suffix":""}],"id":"ITEM-1","issue":"5","issued":{"date-parts":[["2010"]]},"page":"385-407","title":"Scanning fiber endoscopy with highly flexible, 1 mm catheterscopes for wide-field, full-color imaging","type":"article-journal","volume":"407"},"uris":["http://www.mendeley.com/documents/?uuid=158d4489-f6da-4fd8-81be-59159861d0ac","http://www.mendeley.com/documents/?uuid=6f7effa6-706b-4799-83e2-e4b6f7df4e09"]}],"mendeley":{"formattedCitation":"(46)","plainTextFormattedCitation":"(46)","previouslyFormattedCitation":"(46)"},"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46</w:t>
      </w:r>
      <w:r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lang w:val="en-US"/>
        </w:rPr>
        <w:t>. The endoscope can be as thin as 80-250 micrometers in diameter, limited only by the size of the light-emitting fiber and any accessory instruments</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{"citationItems":[{"id":"ITEM-1","itemData":{"ISSN":"1094-4087","author":[{"dropping-particle":"","family":"Yelin","given":"Dvir","non-dropping-particle":"","parse-names":false,"suffix":""},{"dropping-particle":"","family":"White","given":"W Matthew","non-dropping-particle":"","parse-names":false,"suffix":""},{"dropping-particle":"","family":"Motz","given":"Jason T","non-dropping-particle":"","parse-names":false,"suffix":""},{"dropping-particle":"","family":"Yun","given":"Seok H","non-dropping-particle":"","parse-names":false,"suffix":""},{"dropping-particle":"","family":"Bouma","given":"Brett E","non-dropping-particle":"","parse-names":false,"suffix":""},{"dropping-particle":"","family":"Tearney","given":"Guillermo J","non-dropping-particle":"","parse-names":false,"suffix":""}],"container-title":"Optics express","id":"ITEM-1","issue":"5","issued":{"date-parts":[["2007"]]},"page":"2432-2444","publisher":"Optical Society of America","title":"Spectral-domain spectrally-encoded endoscopy","type":"article-journal","volume":"15"},"uris":["http://www.mendeley.com/documents/?uuid=15defb30-1211-45c1-973c-8120f34323f4","http://www.mendeley.com/documents/?uuid=25f0d5ed-b527-4e30-b115-3d454d0fdfb4"]},{"id":"ITEM-2","itemData":{"ISSN":"1539-4794","author":[{"dropping-particle":"","family":"Tearney","given":"G J","non-dropping-particle":"","parse-names":false,"suffix":""},{"dropping-particle":"","family":"Shishkov","given":"M","non-dropping-particle":"","parse-names":false,"suffix":""},{"dropping-particle":"","family":"Bouma","given":"B E","non-dropping-particle":"","parse-names":false,"suffix":""}],"container-title":"Optics letters","id":"ITEM-2","issue":"6","issued":{"date-parts":[["2002"]]},"page":"412-414","publisher":"Optical Society of America","title":"Spectrally encoded miniature endoscopy","type":"article-journal","volume":"27"},"uris":["http://www.mendeley.com/documents/?uuid=f5199a50-3c3b-4e47-8fc1-4529caedaf16","http://www.mendeley.com/documents/?uuid=e8ea33d6-f092-410c-896a-a26a1d18e635"]}],"mendeley":{"formattedCitation":"(48,49)","plainTextFormattedCitation":"(48,49)","previouslyFormattedCitation":"(48,49)"},"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48,49</w:t>
      </w:r>
      <w:r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lang w:val="en-US"/>
        </w:rPr>
        <w:t xml:space="preserve">. </w:t>
      </w:r>
      <w:r w:rsidR="00207862" w:rsidRPr="002D3D23">
        <w:rPr>
          <w:rFonts w:ascii="Book Antiqua" w:hAnsi="Book Antiqua" w:cs="Arial"/>
          <w:color w:val="000000" w:themeColor="text1"/>
          <w:lang w:val="en-US"/>
        </w:rPr>
        <w:t>Spectral encoded endoscopy using a single fiber can perform three-dimensional topological analysis and real-time subsurface imaging</w:t>
      </w:r>
      <w:r w:rsidR="00207862"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{"citationItems":[{"id":"ITEM-1","itemData":{"ISSN":"1094-4087","author":[{"dropping-particle":"","family":"Yelin","given":"D","non-dropping-particle":"","parse-names":false,"suffix":""},{"dropping-particle":"","family":"Bouma","given":"B E","non-dropping-particle":"","parse-names":false,"suffix":""},{"dropping-particle":"","family":"Tearney","given":"G J","non-dropping-particle":"","parse-names":false,"suffix":""}],"container-title":"Optics express","id":"ITEM-1","issue":"3","issued":{"date-parts":[["2008"]]},"page":"1748-1757","publisher":"Optical Society of America","title":"Volumetric sub-surface imaging using spectrally encoded endoscopy","type":"article-journal","volume":"16"},"uris":["http://www.mendeley.com/documents/?uuid=a8b1d46e-06d2-4df3-9d7f-a0376f7428b8","http://www.mendeley.com/documents/?uuid=a2a89809-d42c-4503-96db-353db0b0a896"]}],"mendeley":{"formattedCitation":"(50)","plainTextFormattedCitation":"(50)","previouslyFormattedCitation":"(50)"},"properties":{"noteIndex":0},"schema":"https://github.com/citation-style-language/schema/raw/master/csl-citation.json"}</w:instrText>
      </w:r>
      <w:r w:rsidR="00207862"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50</w:t>
      </w:r>
      <w:r w:rsidR="00207862"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w:t>
      </w:r>
      <w:r w:rsidR="003B0CDB">
        <w:rPr>
          <w:rFonts w:ascii="Book Antiqua" w:hAnsi="Book Antiqua" w:cs="Arial"/>
          <w:color w:val="000000" w:themeColor="text1"/>
          <w:lang w:val="en-US"/>
        </w:rPr>
        <w:t xml:space="preserve"> </w:t>
      </w:r>
      <w:r w:rsidR="00207862" w:rsidRPr="002D3D23">
        <w:rPr>
          <w:rFonts w:ascii="Book Antiqua" w:hAnsi="Book Antiqua" w:cs="Arial"/>
          <w:color w:val="000000" w:themeColor="text1"/>
          <w:lang w:val="en-US"/>
        </w:rPr>
        <w:t>This multispectral SFE may be used in combination with white light endoscopy to collect wide field fluorescence images which can permit early detection of dysplasia and cancer</w:t>
      </w:r>
      <w:r w:rsidR="00207862"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{"citationItems":[{"id":"ITEM-1","itemData":{"author":[{"dropping-particle":"","family":"Joshi","given":"Bishnu P","non-dropping-particle":"","parse-names":false,"suffix":""},{"dropping-particle":"","family":"Miller","given":"Sharon J","non-dropping-particle":"","parse-names":false,"suffix":""},{"dropping-particle":"","family":"Lee","given":"Cameron","non-dropping-particle":"","parse-names":false,"suffix":""},{"dropping-particle":"","family":"Gustad","given":"Adam","non-dropping-particle":"","parse-names":false,"suffix":""},{"dropping-particle":"","family":"Seibel","given":"Eric J","non-dropping-particle":"","parse-names":false,"suffix":""},{"dropping-particle":"","family":"Wang","given":"Thomas D","non-dropping-particle":"","parse-names":false,"suffix":""}],"container-title":"Endoscopic Microscopy VII","id":"ITEM-1","issued":{"date-parts":[["2012"]]},"page":"82170J","publisher":"International Society for Optics and Photonics","title":"Targeted detection of murine colonic dysplasia in vivo with flexible multispectral scanning fiber endoscopy","type":"paper-conference","volume":"8217"},"uris":["http://www.mendeley.com/documents/?uuid=e2a062c4-1261-44ad-9e09-819cdc971602","http://www.mendeley.com/documents/?uuid=84e7e27b-512c-445a-b1e4-f0a46f6e33eb"]}],"mendeley":{"formattedCitation":"(51)","plainTextFormattedCitation":"(51)","previouslyFormattedCitation":"(51)"},"properties":{"noteIndex":0},"schema":"https://github.com/citation-style-language/schema/raw/master/csl-citation.json"}</w:instrText>
      </w:r>
      <w:r w:rsidR="00207862"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51</w:t>
      </w:r>
      <w:r w:rsidR="00207862"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w:t>
      </w:r>
      <w:r w:rsidR="00207862" w:rsidRPr="002D3D23">
        <w:rPr>
          <w:rFonts w:ascii="Book Antiqua" w:hAnsi="Book Antiqua" w:cs="Arial"/>
          <w:color w:val="000000" w:themeColor="text1"/>
          <w:lang w:val="en-US"/>
        </w:rPr>
        <w:t xml:space="preserve"> Although research has shown progress in animal models, development of this technology for analyzing human tissue is required. </w:t>
      </w:r>
    </w:p>
    <w:p w14:paraId="08068911" w14:textId="27770A3A" w:rsidR="00207862" w:rsidRPr="002D3D23" w:rsidRDefault="004A533F"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SFE has been undertaken in limited cases to perform cholangioscopy in patients with pancreaticobiliary strictures. It is a feasible technology to directly view such areas with better resolution than current cholangioscopic tools</w:t>
      </w:r>
      <w:r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{"citationItems":[{"id":"ITEM-1","itemData":{"ISSN":"0016-5107","author":[{"dropping-particle":"","family":"Templeton","given":"Adam W","non-dropping-particle":"","parse-names":false,"suffix":""},{"dropping-particle":"","family":"Webb","given":"Kevin","non-dropping-particle":"","parse-names":false,"suffix":""},{"dropping-particle":"","family":"Hwang","given":"Joo Ha","non-dropping-particle":"","parse-names":false,"suffix":""},{"dropping-particle":"","family":"Seibel","given":"Eric J","non-dropping-particle":"","parse-names":false,"suffix":""},{"dropping-particle":"","family":"Saunders","given":"Michael","non-dropping-particle":"","parse-names":false,"suffix":""}],"container-title":"Gastrointestinal endoscopy","id":"ITEM-1","issue":"6","issued":{"date-parts":[["2014"]]},"page":"1000-1001","publisher":"Elsevier","title":"Scanning fiber endoscopy: a novel platform for cholangioscopy","type":"article-journal","volume":"79"},"uris":["http://www.mendeley.com/documents/?uuid=bb622a27-cb11-431a-a9ec-2b9cff5602b4","http://www.mendeley.com/documents/?uuid=cc4652b3-6608-48ac-b7ce-3b993513c2d2"]}],"mendeley":{"formattedCitation":"(52)","plainTextFormattedCitation":"(52)","previouslyFormattedCitation":"(52)"},"properties":{"noteIndex":0},"schema":"https://github.com/citation-style-language/schema/raw/master/csl-citation.json"}</w:instrText>
      </w:r>
      <w:r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52</w:t>
      </w:r>
      <w:r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Pr="002D3D23">
        <w:rPr>
          <w:rFonts w:ascii="Book Antiqua" w:hAnsi="Book Antiqua" w:cs="Arial"/>
          <w:color w:val="000000" w:themeColor="text1"/>
          <w:lang w:val="en-US"/>
        </w:rPr>
        <w:t xml:space="preserve">. </w:t>
      </w:r>
      <w:r w:rsidR="00207862" w:rsidRPr="002D3D23">
        <w:rPr>
          <w:rFonts w:ascii="Book Antiqua" w:hAnsi="Book Antiqua" w:cs="Arial"/>
          <w:color w:val="000000" w:themeColor="text1"/>
          <w:lang w:val="en-US"/>
        </w:rPr>
        <w:t xml:space="preserve">A tethered </w:t>
      </w:r>
      <w:r w:rsidR="006A6AA5" w:rsidRPr="002D3D23">
        <w:rPr>
          <w:rFonts w:ascii="Book Antiqua" w:hAnsi="Book Antiqua" w:cs="Arial"/>
          <w:color w:val="000000" w:themeColor="text1"/>
          <w:lang w:val="en-US"/>
        </w:rPr>
        <w:t>SFE ‘</w:t>
      </w:r>
      <w:r w:rsidR="00207862" w:rsidRPr="002D3D23">
        <w:rPr>
          <w:rFonts w:ascii="Book Antiqua" w:hAnsi="Book Antiqua" w:cs="Arial"/>
          <w:color w:val="000000" w:themeColor="text1"/>
          <w:lang w:val="en-US"/>
        </w:rPr>
        <w:t>capsule</w:t>
      </w:r>
      <w:r w:rsidR="006A6AA5" w:rsidRPr="002D3D23">
        <w:rPr>
          <w:rFonts w:ascii="Book Antiqua" w:hAnsi="Book Antiqua" w:cs="Arial"/>
          <w:color w:val="000000" w:themeColor="text1"/>
          <w:lang w:val="en-US"/>
        </w:rPr>
        <w:t>’</w:t>
      </w:r>
      <w:r w:rsidR="00207862" w:rsidRPr="002D3D23">
        <w:rPr>
          <w:rFonts w:ascii="Book Antiqua" w:hAnsi="Book Antiqua" w:cs="Arial"/>
          <w:color w:val="000000" w:themeColor="text1"/>
          <w:lang w:val="en-US"/>
        </w:rPr>
        <w:t xml:space="preserve"> for conduct</w:t>
      </w:r>
      <w:r w:rsidR="00097AE2" w:rsidRPr="002D3D23">
        <w:rPr>
          <w:rFonts w:ascii="Book Antiqua" w:hAnsi="Book Antiqua" w:cs="Arial"/>
          <w:color w:val="000000" w:themeColor="text1"/>
          <w:lang w:val="en-US"/>
        </w:rPr>
        <w:t>ing</w:t>
      </w:r>
      <w:r w:rsidR="00207862" w:rsidRPr="002D3D23">
        <w:rPr>
          <w:rFonts w:ascii="Book Antiqua" w:hAnsi="Book Antiqua" w:cs="Arial"/>
          <w:color w:val="000000" w:themeColor="text1"/>
          <w:lang w:val="en-US"/>
        </w:rPr>
        <w:t xml:space="preserve"> esophagoscopy has been developed, in what could represent an evolution of the tethered wireless capsule endoscope</w:t>
      </w:r>
      <w:r w:rsidR="00207862"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{"citationItems":[{"id":"ITEM-1","itemData":{"abstract":"Esophageal cancer is currently the fastest growing cancer in the United States. To help combat the recent rise in morbidity, our laboratory has developed a low-cost tethered capsule endoscope system (TCE) aimed at improving early detection of esophageal cancer. The TCE contains a resonant fiberoptic laser scanner (1.6 mm O.D.) which fits into 6.4-mm easy-to-swallow capsule at the distal tip. The tethered portion contains a single mode optical fiber multiplexed to three laser diodes at the proximal end. This design offers two main advantages over current endoscope technology. First, because of its small size, the TCE can be swallowed with minimal patient discomfort, thereby obviating sedation. Second, by imaging via directed laser light, the TCE is strategically positioned to employ several burgeoning laser-based diagnostic technologies, such as narrow-band, hyperspectral, and fluorescence imaging. It is believed that the combination of such imaging techniques with novel biomarkers of dysplasia will greatly assist in identifying precancerous conditions such as Barrett's esophagus (BE). As the probe is swallowed, the fiber scanner captures high resolution, wide-field color images of the gastroesophageal junction (500 lines at 0.05-mm resolution) currently at 15-Hz frame rate. Video images are recorded as the capsule is slowly retracted by its tether. Accompanying software generates panoramic images from the video output by mosaicing individual frames to aid in pattern recognition. This initial report describes the rationale for the unique TCE system design, results from preliminary testing in vitro and in vivo, and discussion on the merits of this new platform technology as a basis for developing a low-cost screening program for esophageal cancer. 2006 IEEE.","author":[{"dropping-particle":"","family":"Seibel","given":"E J","non-dropping-particle":"","parse-names":false,"suffix":""},{"dropping-particle":"","family":"Carroll","given":"R E","non-dropping-particle":"","parse-names":false,"suffix":""},{"dropping-particle":"","family":"Dominitz","given":"J A","non-dropping-particle":"","parse-names":false,"suffix":""},{"dropping-particle":"","family":"Johnston","given":"R S","non-dropping-particle":"","parse-names":false,"suffix":""},{"dropping-particle":"","family":"Melville","given":"C D","non-dropping-particle":"","parse-names":false,"suffix":""},{"dropping-particle":"","family":"Lee","given":"C M","non-dropping-particle":"","parse-names":false,"suffix":""},{"dropping-particle":"","family":"Seitz","given":"S M","non-dropping-particle":"","parse-names":false,"suffix":""},{"dropping-particle":"","family":"Kimmey","given":"M B","non-dropping-particle":"","parse-names":false,"suffix":""}],"container-title":"IEEE Transactions on Biomedical Engineering","id":"ITEM-1","issue":"of Publication: March 2008","issued":{"date-parts":[["2008"]]},"page":"55 (3) (pp 1032-1042), 2008","title":"Tethered capsule endoscopy, a low-cost and high-performance alternative technology for the screening of esophageal cancer and Barrett's esophagus","type":"article-journal"},"uris":["http://www.mendeley.com/documents/?uuid=d585343c-2c8a-4528-ac2d-f3d25dda96eb"]}],"mendeley":{"formattedCitation":"(53)","plainTextFormattedCitation":"(53)","previouslyFormattedCitation":"(53)"},"properties":{"noteIndex":0},"schema":"https://github.com/citation-style-language/schema/raw/master/csl-citation.json"}</w:instrText>
      </w:r>
      <w:r w:rsidR="00207862"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53</w:t>
      </w:r>
      <w:r w:rsidR="00207862"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w:t>
      </w:r>
      <w:r w:rsidR="00207862" w:rsidRPr="002D3D23">
        <w:rPr>
          <w:rFonts w:ascii="Book Antiqua" w:hAnsi="Book Antiqua" w:cs="Arial"/>
          <w:color w:val="000000" w:themeColor="text1"/>
          <w:lang w:val="en-US"/>
        </w:rPr>
        <w:t xml:space="preserve"> </w:t>
      </w:r>
      <w:r w:rsidR="006A6AA5" w:rsidRPr="002D3D23">
        <w:rPr>
          <w:rFonts w:ascii="Book Antiqua" w:hAnsi="Book Antiqua" w:cs="Arial"/>
          <w:color w:val="000000" w:themeColor="text1"/>
          <w:lang w:val="en-US"/>
        </w:rPr>
        <w:t xml:space="preserve">The patient </w:t>
      </w:r>
      <w:r w:rsidR="006A6AA5" w:rsidRPr="002D3D23">
        <w:rPr>
          <w:rFonts w:ascii="Book Antiqua" w:hAnsi="Book Antiqua" w:cs="Arial"/>
          <w:color w:val="000000" w:themeColor="text1"/>
          <w:lang w:val="en-US"/>
        </w:rPr>
        <w:lastRenderedPageBreak/>
        <w:t>swallows the device and images are transmitted live up the single fiber into a processor, in contrast with the tethered WCE which stores images for viewing at a later time. With the SFE capsule,</w:t>
      </w:r>
      <w:r w:rsidR="00207862" w:rsidRPr="002D3D23">
        <w:rPr>
          <w:rFonts w:ascii="Book Antiqua" w:hAnsi="Book Antiqua" w:cs="Arial"/>
          <w:color w:val="000000" w:themeColor="text1"/>
          <w:lang w:val="en-US"/>
        </w:rPr>
        <w:t xml:space="preserve"> real time</w:t>
      </w:r>
      <w:r w:rsidR="006A6AA5" w:rsidRPr="002D3D23">
        <w:rPr>
          <w:rFonts w:ascii="Book Antiqua" w:hAnsi="Book Antiqua" w:cs="Arial"/>
          <w:color w:val="000000" w:themeColor="text1"/>
          <w:lang w:val="en-US"/>
        </w:rPr>
        <w:t xml:space="preserve"> images mean that </w:t>
      </w:r>
      <w:r w:rsidR="00172DAC" w:rsidRPr="002D3D23">
        <w:rPr>
          <w:rFonts w:ascii="Book Antiqua" w:hAnsi="Book Antiqua" w:cs="Arial"/>
          <w:color w:val="000000" w:themeColor="text1"/>
          <w:lang w:val="en-US"/>
        </w:rPr>
        <w:t>pathologies and</w:t>
      </w:r>
      <w:r w:rsidR="00207862" w:rsidRPr="002D3D23">
        <w:rPr>
          <w:rFonts w:ascii="Book Antiqua" w:hAnsi="Book Antiqua" w:cs="Arial"/>
          <w:color w:val="000000" w:themeColor="text1"/>
          <w:lang w:val="en-US"/>
        </w:rPr>
        <w:t xml:space="preserve"> potential problems</w:t>
      </w:r>
      <w:r w:rsidR="00172DAC" w:rsidRPr="002D3D23">
        <w:rPr>
          <w:rFonts w:ascii="Book Antiqua" w:hAnsi="Book Antiqua" w:cs="Arial"/>
          <w:color w:val="000000" w:themeColor="text1"/>
          <w:lang w:val="en-US"/>
        </w:rPr>
        <w:t xml:space="preserve"> are</w:t>
      </w:r>
      <w:r w:rsidR="00207862" w:rsidRPr="002D3D23">
        <w:rPr>
          <w:rFonts w:ascii="Book Antiqua" w:hAnsi="Book Antiqua" w:cs="Arial"/>
          <w:color w:val="000000" w:themeColor="text1"/>
          <w:lang w:val="en-US"/>
        </w:rPr>
        <w:t xml:space="preserve"> identified at an </w:t>
      </w:r>
      <w:r w:rsidR="00097AE2" w:rsidRPr="002D3D23">
        <w:rPr>
          <w:rFonts w:ascii="Book Antiqua" w:hAnsi="Book Antiqua" w:cs="Arial"/>
          <w:color w:val="000000" w:themeColor="text1"/>
          <w:lang w:val="en-US"/>
        </w:rPr>
        <w:t>immediate</w:t>
      </w:r>
      <w:r w:rsidR="00207862" w:rsidRPr="002D3D23">
        <w:rPr>
          <w:rFonts w:ascii="Book Antiqua" w:hAnsi="Book Antiqua" w:cs="Arial"/>
          <w:color w:val="000000" w:themeColor="text1"/>
          <w:lang w:val="en-US"/>
        </w:rPr>
        <w:t xml:space="preserve"> stage</w:t>
      </w:r>
      <w:r w:rsidR="00A713C8" w:rsidRPr="002D3D23">
        <w:rPr>
          <w:rFonts w:ascii="Book Antiqua" w:hAnsi="Book Antiqua" w:cs="Arial"/>
          <w:color w:val="000000" w:themeColor="text1"/>
          <w:lang w:val="en-US"/>
        </w:rPr>
        <w:t>.</w:t>
      </w:r>
      <w:r w:rsidR="003A0465" w:rsidRPr="002D3D23">
        <w:rPr>
          <w:rFonts w:ascii="Book Antiqua" w:hAnsi="Book Antiqua" w:cs="Arial"/>
          <w:color w:val="000000" w:themeColor="text1"/>
          <w:lang w:val="en-US"/>
        </w:rPr>
        <w:t xml:space="preserve"> </w:t>
      </w:r>
      <w:r w:rsidR="00207862" w:rsidRPr="002D3D23">
        <w:rPr>
          <w:rFonts w:ascii="Book Antiqua" w:hAnsi="Book Antiqua" w:cs="Arial"/>
          <w:color w:val="000000" w:themeColor="text1"/>
          <w:lang w:val="en-US"/>
        </w:rPr>
        <w:t>Research into the application of SFE in real clinical scenarios is required but this has the potential for gastrointestinal endoscopy to be safer, more cost-effective, better tolerated and more advanced than current technology allows</w:t>
      </w:r>
      <w:r w:rsidR="00207862"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{"citationItems":[{"id":"ITEM-1","itemData":{"ISSN":"1052-5157","author":[{"dropping-particle":"","family":"Seibel","given":"Eric J","non-dropping-particle":"","parse-names":false,"suffix":""},{"dropping-particle":"","family":"Brown","given":"Christopher M","non-dropping-particle":"","parse-names":false,"suffix":""},{"dropping-particle":"","family":"Dominitz","given":"Jason A","non-dropping-particle":"","parse-names":false,"suffix":""},{"dropping-particle":"","family":"Kimmey","given":"Michael B","non-dropping-particle":"","parse-names":false,"suffix":""}],"container-title":"Gastrointestinal endoscopy clinics of North America","id":"ITEM-1","issue":"3","issued":{"date-parts":[["2008"]]},"page":"467-478","publisher":"Elsevier","title":"Scanning single fiber endoscopy: a new platform technology for integrated laser imaging, diagnosis, and future therapies","type":"article-journal","volume":"18"},"uris":["http://www.mendeley.com/documents/?uuid=14602cca-4c24-4242-8139-6233d2811d74","http://www.mendeley.com/documents/?uuid=e387cea3-55e7-4d5d-9391-15d6b0794897"]}],"mendeley":{"formattedCitation":"(47)","plainTextFormattedCitation":"(47)","previouslyFormattedCitation":"(47)"},"properties":{"noteIndex":0},"schema":"https://github.com/citation-style-language/schema/raw/master/csl-citation.json"}</w:instrText>
      </w:r>
      <w:r w:rsidR="00207862"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47</w:t>
      </w:r>
      <w:r w:rsidR="00207862"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097AE2" w:rsidRPr="002D3D23">
        <w:rPr>
          <w:rFonts w:ascii="Book Antiqua" w:hAnsi="Book Antiqua" w:cs="Arial"/>
          <w:color w:val="000000" w:themeColor="text1"/>
          <w:lang w:val="en-US"/>
        </w:rPr>
        <w:t>.</w:t>
      </w:r>
      <w:r w:rsidR="00E05E96" w:rsidRPr="002D3D23">
        <w:rPr>
          <w:rFonts w:ascii="Book Antiqua" w:hAnsi="Book Antiqua" w:cs="Arial"/>
          <w:color w:val="000000" w:themeColor="text1"/>
          <w:lang w:val="en-US"/>
        </w:rPr>
        <w:t xml:space="preserve"> </w:t>
      </w:r>
      <w:r w:rsidR="00217204" w:rsidRPr="002D3D23">
        <w:rPr>
          <w:rFonts w:ascii="Book Antiqua" w:hAnsi="Book Antiqua" w:cs="Arial"/>
          <w:color w:val="000000" w:themeColor="text1"/>
          <w:lang w:val="en-US"/>
        </w:rPr>
        <w:t>The progress of this technology continues at a rapid pace, with prototype devices as thin as a human hair that carry better resolution, being developed</w:t>
      </w:r>
      <w:r w:rsidR="00217204" w:rsidRPr="002D3D23">
        <w:rPr>
          <w:rFonts w:ascii="Book Antiqua" w:hAnsi="Book Antiqua" w:cs="Arial"/>
          <w:color w:val="000000" w:themeColor="text1"/>
          <w:vertAlign w:val="superscript"/>
          <w:lang w:val="en-US"/>
        </w:rPr>
        <w:fldChar w:fldCharType="begin" w:fldLock="1"/>
      </w:r>
      <w:r w:rsidR="00217204" w:rsidRPr="002D3D23">
        <w:rPr>
          <w:rFonts w:ascii="Book Antiqua" w:hAnsi="Book Antiqua" w:cs="Arial"/>
          <w:color w:val="000000" w:themeColor="text1"/>
          <w:vertAlign w:val="superscript"/>
          <w:lang w:val="en-US"/>
        </w:rPr>
        <w:instrText>ADDIN CSL_CITATION {"citationItems":[{"id":"ITEM-1","itemData":{"DOI":"10.1364/OE.21.001656","ISSN":"1094-4087 (Electronic)","PMID":"23389151","abstract":"We experimentally demonstrate endoscopic imaging through a multi-mode fiber (MMF) in which the number of resolvable image features approaches four times the number of spatial modes per polarization propagating in the fiber. In our method, a sequence of random field patterns is input to the fiber, generating a sequence of random intensity patterns at the output, which are used to sample an object. Reflected power values are returned through the fiber and linear optimization is used to reconstruct an image. The factor-of-four resolution enhancement is due to mixing of modes by the squaring inherent in field-to-intensity conversion. The incoherent point-spread function (PSF) at the center of the fiber output plane is an Airy disk equivalent to the coherent PSF of a conventional diffraction-limited imaging system having a numerical aperture twice that of the fiber. All previous methods for imaging through MMF can only resolve a number of features equal to the number of modes. Most of these methods use localized intensity patterns for sampling the object and use local image reconstruction.","author":[{"dropping-particle":"","family":"Mahalati","given":"Reza Nasiri","non-dropping-particle":"","parse-names":false,"suffix":""},{"dropping-particle":"","family":"Gu","given":"Ruo Yu","non-dropping-particle":"","parse-names":false,"suffix":""},{"dropping-particle":"","family":"Kahn","given":"Joseph M","non-dropping-particle":"","parse-names":false,"suffix":""}],"container-title":"Optics express","id":"ITEM-1","issue":"2","issued":{"date-parts":[["2013","1"]]},"language":"eng","page":"1656-1668","publisher-place":"United States","title":"Resolution limits for imaging through multi-mode fiber.","type":"article-journal","volume":"21"},"uris":["http://www.mendeley.com/documents/?uuid=3a7046fa-b6ab-4ce1-b3a2-138262b28533","http://www.mendeley.com/documents/?uuid=4fcdd868-9c6e-42a1-9040-4a89c6a2de81"]}],"mendeley":{"formattedCitation":"(54)","plainTextFormattedCitation":"(54)","previouslyFormattedCitation":"(54)"},"properties":{"noteIndex":0},"schema":"https://github.com/citation-style-language/schema/raw/master/csl-citation.json"}</w:instrText>
      </w:r>
      <w:r w:rsidR="00217204"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217204" w:rsidRPr="002D3D23">
        <w:rPr>
          <w:rFonts w:ascii="Book Antiqua" w:hAnsi="Book Antiqua" w:cs="Arial"/>
          <w:color w:val="000000" w:themeColor="text1"/>
          <w:vertAlign w:val="superscript"/>
          <w:lang w:val="en-US"/>
        </w:rPr>
        <w:t>54</w:t>
      </w:r>
      <w:r w:rsidR="00217204"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217204" w:rsidRPr="002D3D23">
        <w:rPr>
          <w:rFonts w:ascii="Book Antiqua" w:hAnsi="Book Antiqua" w:cs="Arial"/>
          <w:color w:val="000000" w:themeColor="text1"/>
          <w:lang w:val="en-US"/>
        </w:rPr>
        <w:t xml:space="preserve">. </w:t>
      </w:r>
    </w:p>
    <w:p w14:paraId="09E517E2" w14:textId="77777777" w:rsidR="00234AFD" w:rsidRPr="002D3D23" w:rsidRDefault="00234AFD" w:rsidP="002D3D23">
      <w:pPr>
        <w:adjustRightInd w:val="0"/>
        <w:snapToGrid w:val="0"/>
        <w:spacing w:line="360" w:lineRule="auto"/>
        <w:jc w:val="both"/>
        <w:rPr>
          <w:rFonts w:ascii="Book Antiqua" w:hAnsi="Book Antiqua" w:cs="Arial"/>
          <w:color w:val="000000" w:themeColor="text1"/>
          <w:lang w:val="en-US"/>
        </w:rPr>
      </w:pPr>
    </w:p>
    <w:p w14:paraId="34129D18" w14:textId="34BD38A5" w:rsidR="007D3491" w:rsidRPr="008746ED" w:rsidRDefault="000231FF" w:rsidP="002D3D23">
      <w:pPr>
        <w:adjustRightInd w:val="0"/>
        <w:snapToGrid w:val="0"/>
        <w:spacing w:line="360" w:lineRule="auto"/>
        <w:jc w:val="both"/>
        <w:rPr>
          <w:rFonts w:ascii="Book Antiqua" w:hAnsi="Book Antiqua" w:cs="Arial"/>
          <w:b/>
          <w:color w:val="000000" w:themeColor="text1"/>
          <w:lang w:val="en-US"/>
        </w:rPr>
      </w:pPr>
      <w:r w:rsidRPr="002D3D23">
        <w:rPr>
          <w:rFonts w:ascii="Book Antiqua" w:hAnsi="Book Antiqua" w:cs="Arial"/>
          <w:b/>
          <w:color w:val="000000" w:themeColor="text1"/>
          <w:lang w:val="en-US"/>
        </w:rPr>
        <w:t>CONCLUSION</w:t>
      </w:r>
    </w:p>
    <w:p w14:paraId="2562A50E" w14:textId="61CB2704" w:rsidR="007D3491" w:rsidRPr="002D3D23" w:rsidRDefault="007D3491"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Miniature </w:t>
      </w:r>
      <w:r w:rsidR="005D24D8" w:rsidRPr="002D3D23">
        <w:rPr>
          <w:rFonts w:ascii="Book Antiqua" w:hAnsi="Book Antiqua" w:cs="Arial"/>
          <w:color w:val="000000" w:themeColor="text1"/>
          <w:lang w:val="en-US"/>
        </w:rPr>
        <w:t xml:space="preserve">GI </w:t>
      </w:r>
      <w:r w:rsidRPr="002D3D23">
        <w:rPr>
          <w:rFonts w:ascii="Book Antiqua" w:hAnsi="Book Antiqua" w:cs="Arial"/>
          <w:color w:val="000000" w:themeColor="text1"/>
          <w:lang w:val="en-US"/>
        </w:rPr>
        <w:t xml:space="preserve">endoscopy has many forms and is in many ways a relative term. Through the recognition that endoscopy is an invasive procedure to which patients are prone to experiencing significant discomfort, and that accessibility to areas of the gastrointestinal tract requires development of existing equipment, endoscopes with narrower calibers have been produced. The three main domains in miniature endoscopy currently are ultrathin devices, scanning fiber endoscopes and wireless capsules. Within these domains many products are being developed </w:t>
      </w:r>
      <w:r w:rsidR="005D24D8" w:rsidRPr="002D3D23">
        <w:rPr>
          <w:rFonts w:ascii="Book Antiqua" w:hAnsi="Book Antiqua" w:cs="Arial"/>
          <w:color w:val="000000" w:themeColor="text1"/>
          <w:lang w:val="en-US"/>
        </w:rPr>
        <w:t xml:space="preserve">at a rapid pace. </w:t>
      </w:r>
    </w:p>
    <w:p w14:paraId="1AB392D1" w14:textId="21816423" w:rsidR="007D3491" w:rsidRDefault="007D3491" w:rsidP="008746ED">
      <w:pPr>
        <w:adjustRightInd w:val="0"/>
        <w:snapToGrid w:val="0"/>
        <w:spacing w:line="360" w:lineRule="auto"/>
        <w:ind w:firstLineChars="100" w:firstLine="240"/>
        <w:jc w:val="both"/>
        <w:rPr>
          <w:rFonts w:ascii="Book Antiqua" w:hAnsi="Book Antiqua" w:cs="Arial"/>
          <w:color w:val="000000" w:themeColor="text1"/>
          <w:lang w:val="en-US"/>
        </w:rPr>
      </w:pPr>
      <w:r w:rsidRPr="002D3D23">
        <w:rPr>
          <w:rFonts w:ascii="Book Antiqua" w:hAnsi="Book Antiqua" w:cs="Arial"/>
          <w:color w:val="000000" w:themeColor="text1"/>
          <w:lang w:val="en-US"/>
        </w:rPr>
        <w:t xml:space="preserve">The role of gastrointestinal endoscopy can be generally </w:t>
      </w:r>
      <w:r w:rsidR="00A36A9B" w:rsidRPr="002D3D23">
        <w:rPr>
          <w:rFonts w:ascii="Book Antiqua" w:hAnsi="Book Antiqua" w:cs="Arial"/>
          <w:color w:val="000000" w:themeColor="text1"/>
          <w:lang w:val="en-US"/>
        </w:rPr>
        <w:t>categorized</w:t>
      </w:r>
      <w:r w:rsidRPr="002D3D23">
        <w:rPr>
          <w:rFonts w:ascii="Book Antiqua" w:hAnsi="Book Antiqua" w:cs="Arial"/>
          <w:color w:val="000000" w:themeColor="text1"/>
          <w:lang w:val="en-US"/>
        </w:rPr>
        <w:t xml:space="preserve"> into two aspects</w:t>
      </w:r>
      <w:r w:rsidR="00A36A9B" w:rsidRPr="002D3D23">
        <w:rPr>
          <w:rFonts w:ascii="Book Antiqua" w:hAnsi="Book Antiqua" w:cs="Arial"/>
          <w:color w:val="000000" w:themeColor="text1"/>
          <w:lang w:val="en-US"/>
        </w:rPr>
        <w:t>- diagnostic and therapeutic</w:t>
      </w:r>
      <w:r w:rsidRPr="002D3D23">
        <w:rPr>
          <w:rFonts w:ascii="Book Antiqua" w:hAnsi="Book Antiqua" w:cs="Arial"/>
          <w:color w:val="000000" w:themeColor="text1"/>
          <w:lang w:val="en-US"/>
        </w:rPr>
        <w:t>.</w:t>
      </w:r>
      <w:r w:rsidR="00A36A9B" w:rsidRPr="002D3D23">
        <w:rPr>
          <w:rFonts w:ascii="Book Antiqua" w:hAnsi="Book Antiqua" w:cs="Arial"/>
          <w:color w:val="000000" w:themeColor="text1"/>
          <w:lang w:val="en-US"/>
        </w:rPr>
        <w:t xml:space="preserve"> From a healthcare perspective, it is clear that a suitably accurate means of diagnosing GI diseases, which is better tolerated and eventually more cost-effective than standard endoscopy warrants major consideration for future practice. </w:t>
      </w:r>
      <w:r w:rsidRPr="002D3D23">
        <w:rPr>
          <w:rFonts w:ascii="Book Antiqua" w:hAnsi="Book Antiqua" w:cs="Arial"/>
          <w:color w:val="000000" w:themeColor="text1"/>
          <w:lang w:val="en-US"/>
        </w:rPr>
        <w:t xml:space="preserve">Screening for </w:t>
      </w:r>
      <w:r w:rsidR="00217204" w:rsidRPr="002D3D23">
        <w:rPr>
          <w:rFonts w:ascii="Book Antiqua" w:hAnsi="Book Antiqua" w:cs="Arial"/>
          <w:color w:val="000000" w:themeColor="text1"/>
          <w:lang w:val="en-US"/>
        </w:rPr>
        <w:t xml:space="preserve">various luminal GI diseases, in particular, malignant and pre-malignant conditions is a </w:t>
      </w:r>
      <w:r w:rsidR="008C6940" w:rsidRPr="002D3D23">
        <w:rPr>
          <w:rFonts w:ascii="Book Antiqua" w:hAnsi="Book Antiqua" w:cs="Arial"/>
          <w:color w:val="000000" w:themeColor="text1"/>
          <w:lang w:val="en-US"/>
        </w:rPr>
        <w:t xml:space="preserve">topical issue. We believe that miniature devices such as ultrathin endoscopes and capsules can bring a high quality screening service that satisfies the needs outlined by Wilson </w:t>
      </w:r>
      <w:r w:rsidR="00D54B80">
        <w:rPr>
          <w:rFonts w:ascii="Book Antiqua" w:hAnsi="Book Antiqua" w:cs="Arial"/>
          <w:i/>
          <w:iCs/>
          <w:color w:val="000000" w:themeColor="text1"/>
          <w:lang w:val="en-US"/>
        </w:rPr>
        <w:t>et al</w:t>
      </w:r>
      <w:r w:rsidR="008C6940" w:rsidRPr="002D3D23">
        <w:rPr>
          <w:rFonts w:ascii="Book Antiqua" w:hAnsi="Book Antiqua" w:cs="Arial"/>
          <w:color w:val="000000" w:themeColor="text1"/>
          <w:vertAlign w:val="superscript"/>
          <w:lang w:val="en-US"/>
        </w:rPr>
        <w:fldChar w:fldCharType="begin" w:fldLock="1"/>
      </w:r>
      <w:r w:rsidR="00050CC0" w:rsidRPr="002D3D23">
        <w:rPr>
          <w:rFonts w:ascii="Book Antiqua" w:hAnsi="Book Antiqua" w:cs="Arial"/>
          <w:color w:val="000000" w:themeColor="text1"/>
          <w:vertAlign w:val="superscript"/>
          <w:lang w:val="en-US"/>
        </w:rPr>
        <w:instrText>ADDIN CSL_CITATION {"citationItems":[{"id":"ITEM-1","itemData":{"URL":"http://whqlibdoc.who.int/php/WHO_PHP_34.pdf","author":[{"dropping-particle":"","family":"Wilson","given":"J M G","non-dropping-particle":"","parse-names":false,"suffix":""},{"dropping-particle":"","family":"Jungner","given":"G","non-dropping-particle":"","parse-names":false,"suffix":""}],"id":"ITEM-1","issue":"07/03/2013","issued":{"date-parts":[["1968"]]},"publisher":"World Health Organisation (WHO)","publisher-place":"online","title":"Principles and practice of screening for disease","type":"webpage","volume":"2013"},"uris":["http://www.mendeley.com/documents/?uuid=f555bda9-0545-41af-8595-74ec25238d56"]}],"mendeley":{"formattedCitation":"(55)","plainTextFormattedCitation":"(55)","previouslyFormattedCitation":"(55)"},"properties":{"noteIndex":0},"schema":"https://github.com/citation-style-language/schema/raw/master/csl-citation.json"}</w:instrText>
      </w:r>
      <w:r w:rsidR="008C6940" w:rsidRPr="002D3D23">
        <w:rPr>
          <w:rFonts w:ascii="Book Antiqua" w:hAnsi="Book Antiqua" w:cs="Arial"/>
          <w:color w:val="000000" w:themeColor="text1"/>
          <w:vertAlign w:val="superscript"/>
          <w:lang w:val="en-US"/>
        </w:rPr>
        <w:fldChar w:fldCharType="separate"/>
      </w:r>
      <w:r w:rsidR="00582DF5" w:rsidRPr="002D3D23">
        <w:rPr>
          <w:rFonts w:ascii="Book Antiqua" w:hAnsi="Book Antiqua" w:cs="Arial"/>
          <w:color w:val="000000" w:themeColor="text1"/>
          <w:vertAlign w:val="superscript"/>
          <w:lang w:val="en-US"/>
        </w:rPr>
        <w:t>[</w:t>
      </w:r>
      <w:r w:rsidR="00952009" w:rsidRPr="002D3D23">
        <w:rPr>
          <w:rFonts w:ascii="Book Antiqua" w:hAnsi="Book Antiqua" w:cs="Arial"/>
          <w:color w:val="000000" w:themeColor="text1"/>
          <w:vertAlign w:val="superscript"/>
          <w:lang w:val="en-US"/>
        </w:rPr>
        <w:t>55</w:t>
      </w:r>
      <w:r w:rsidR="008C6940" w:rsidRPr="002D3D23">
        <w:rPr>
          <w:rFonts w:ascii="Book Antiqua" w:hAnsi="Book Antiqua" w:cs="Arial"/>
          <w:color w:val="000000" w:themeColor="text1"/>
          <w:vertAlign w:val="superscript"/>
          <w:lang w:val="en-US"/>
        </w:rPr>
        <w:fldChar w:fldCharType="end"/>
      </w:r>
      <w:r w:rsidR="00582DF5" w:rsidRPr="002D3D23">
        <w:rPr>
          <w:rFonts w:ascii="Book Antiqua" w:hAnsi="Book Antiqua" w:cs="Arial"/>
          <w:color w:val="000000" w:themeColor="text1"/>
          <w:vertAlign w:val="superscript"/>
          <w:lang w:val="en-US"/>
        </w:rPr>
        <w:t>]</w:t>
      </w:r>
      <w:r w:rsidR="0064734F" w:rsidRPr="002D3D23">
        <w:rPr>
          <w:rFonts w:ascii="Book Antiqua" w:hAnsi="Book Antiqua" w:cs="Arial"/>
          <w:color w:val="000000" w:themeColor="text1"/>
          <w:lang w:val="en-US"/>
        </w:rPr>
        <w:t>.</w:t>
      </w:r>
      <w:r w:rsidR="008C6940" w:rsidRPr="002D3D23">
        <w:rPr>
          <w:rFonts w:ascii="Book Antiqua" w:hAnsi="Book Antiqua" w:cs="Arial"/>
          <w:color w:val="000000" w:themeColor="text1"/>
          <w:lang w:val="en-US"/>
        </w:rPr>
        <w:t xml:space="preserve"> As evidenced above, the diagnostic capabilities of miniature endoscopic devices such as SFE and magnetically guided </w:t>
      </w:r>
      <w:r w:rsidR="00097AE2" w:rsidRPr="002D3D23">
        <w:rPr>
          <w:rFonts w:ascii="Book Antiqua" w:hAnsi="Book Antiqua" w:cs="Arial"/>
          <w:color w:val="000000" w:themeColor="text1"/>
          <w:lang w:val="en-US"/>
        </w:rPr>
        <w:t>W</w:t>
      </w:r>
      <w:r w:rsidR="008C6940" w:rsidRPr="002D3D23">
        <w:rPr>
          <w:rFonts w:ascii="Book Antiqua" w:hAnsi="Book Antiqua" w:cs="Arial"/>
          <w:color w:val="000000" w:themeColor="text1"/>
          <w:lang w:val="en-US"/>
        </w:rPr>
        <w:t>CEs enhance today’s practice. Through the enhanced access provided by miniature endoscopy</w:t>
      </w:r>
      <w:r w:rsidR="00A36A9B" w:rsidRPr="002D3D23">
        <w:rPr>
          <w:rFonts w:ascii="Book Antiqua" w:hAnsi="Book Antiqua" w:cs="Arial"/>
          <w:color w:val="000000" w:themeColor="text1"/>
          <w:lang w:val="en-US"/>
        </w:rPr>
        <w:t>,</w:t>
      </w:r>
      <w:r w:rsidR="008C6940" w:rsidRPr="002D3D23">
        <w:rPr>
          <w:rFonts w:ascii="Book Antiqua" w:hAnsi="Book Antiqua" w:cs="Arial"/>
          <w:color w:val="000000" w:themeColor="text1"/>
          <w:lang w:val="en-US"/>
        </w:rPr>
        <w:t xml:space="preserve"> therapeutic interventions like hemostasis and delivery of medication may be </w:t>
      </w:r>
      <w:r w:rsidR="005D24D8" w:rsidRPr="002D3D23">
        <w:rPr>
          <w:rFonts w:ascii="Book Antiqua" w:hAnsi="Book Antiqua" w:cs="Arial"/>
          <w:color w:val="000000" w:themeColor="text1"/>
          <w:lang w:val="en-US"/>
        </w:rPr>
        <w:t xml:space="preserve">achievable </w:t>
      </w:r>
      <w:r w:rsidR="008C6940" w:rsidRPr="002D3D23">
        <w:rPr>
          <w:rFonts w:ascii="Book Antiqua" w:hAnsi="Book Antiqua" w:cs="Arial"/>
          <w:color w:val="000000" w:themeColor="text1"/>
          <w:lang w:val="en-US"/>
        </w:rPr>
        <w:t xml:space="preserve">in the future by </w:t>
      </w:r>
      <w:r w:rsidR="005D24D8" w:rsidRPr="002D3D23">
        <w:rPr>
          <w:rFonts w:ascii="Book Antiqua" w:hAnsi="Book Antiqua" w:cs="Arial"/>
          <w:color w:val="000000" w:themeColor="text1"/>
          <w:lang w:val="en-US"/>
        </w:rPr>
        <w:t>incorporating robotic</w:t>
      </w:r>
      <w:r w:rsidR="00436A38" w:rsidRPr="002D3D23">
        <w:rPr>
          <w:rFonts w:ascii="Book Antiqua" w:hAnsi="Book Antiqua" w:cs="Arial"/>
          <w:color w:val="000000" w:themeColor="text1"/>
          <w:lang w:val="en-US"/>
        </w:rPr>
        <w:t xml:space="preserve">s and remote controlling systems. </w:t>
      </w:r>
    </w:p>
    <w:p w14:paraId="72B32B06" w14:textId="77777777" w:rsidR="008746ED" w:rsidRPr="002D3D23" w:rsidRDefault="008746ED" w:rsidP="008746ED">
      <w:pPr>
        <w:adjustRightInd w:val="0"/>
        <w:snapToGrid w:val="0"/>
        <w:spacing w:line="360" w:lineRule="auto"/>
        <w:ind w:firstLineChars="100" w:firstLine="240"/>
        <w:jc w:val="both"/>
        <w:rPr>
          <w:rFonts w:ascii="Book Antiqua" w:hAnsi="Book Antiqua" w:cs="Arial"/>
          <w:color w:val="000000" w:themeColor="text1"/>
          <w:lang w:val="en-US"/>
        </w:rPr>
      </w:pPr>
    </w:p>
    <w:p w14:paraId="6581C429" w14:textId="77777777" w:rsidR="008746ED" w:rsidRDefault="008746ED">
      <w:pPr>
        <w:rPr>
          <w:rFonts w:ascii="Book Antiqua" w:hAnsi="Book Antiqua" w:cs="Arial"/>
          <w:b/>
          <w:bCs/>
          <w:color w:val="000000" w:themeColor="text1"/>
          <w:lang w:val="en-US"/>
        </w:rPr>
      </w:pPr>
      <w:r>
        <w:rPr>
          <w:rFonts w:ascii="Book Antiqua" w:hAnsi="Book Antiqua" w:cs="Arial"/>
          <w:b/>
          <w:bCs/>
          <w:color w:val="000000" w:themeColor="text1"/>
          <w:lang w:val="en-US"/>
        </w:rPr>
        <w:br w:type="page"/>
      </w:r>
    </w:p>
    <w:p w14:paraId="5DC0DF67" w14:textId="6A980842" w:rsidR="00F32586" w:rsidRPr="002D3D23" w:rsidRDefault="005D1C6B" w:rsidP="002D3D23">
      <w:pPr>
        <w:adjustRightInd w:val="0"/>
        <w:snapToGrid w:val="0"/>
        <w:spacing w:line="360" w:lineRule="auto"/>
        <w:jc w:val="both"/>
        <w:rPr>
          <w:rFonts w:ascii="Book Antiqua" w:hAnsi="Book Antiqua" w:cs="Arial"/>
          <w:color w:val="000000" w:themeColor="text1"/>
          <w:lang w:val="en-US"/>
        </w:rPr>
      </w:pPr>
      <w:r w:rsidRPr="002D3D23">
        <w:rPr>
          <w:rFonts w:ascii="Book Antiqua" w:hAnsi="Book Antiqua" w:cs="Arial"/>
          <w:b/>
          <w:bCs/>
          <w:color w:val="000000" w:themeColor="text1"/>
          <w:lang w:val="en-US"/>
        </w:rPr>
        <w:lastRenderedPageBreak/>
        <w:t>REFERENCES</w:t>
      </w:r>
    </w:p>
    <w:p w14:paraId="7754430A"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1 </w:t>
      </w:r>
      <w:r w:rsidRPr="001B26B6">
        <w:rPr>
          <w:rFonts w:ascii="Book Antiqua" w:hAnsi="Book Antiqua" w:cs="Arial"/>
          <w:b/>
          <w:bCs/>
          <w:color w:val="000000" w:themeColor="text1"/>
          <w:lang w:val="en-US"/>
        </w:rPr>
        <w:t>Schäfer PK</w:t>
      </w:r>
      <w:r w:rsidRPr="001B26B6">
        <w:rPr>
          <w:rFonts w:ascii="Book Antiqua" w:hAnsi="Book Antiqua" w:cs="Arial"/>
          <w:color w:val="000000" w:themeColor="text1"/>
          <w:lang w:val="en-US"/>
        </w:rPr>
        <w:t>, Sauerbruch T. [Rudolf Schindler (1888--1968)--"father" of gastroscopy]. </w:t>
      </w:r>
      <w:r w:rsidRPr="001B26B6">
        <w:rPr>
          <w:rFonts w:ascii="Book Antiqua" w:hAnsi="Book Antiqua" w:cs="Arial"/>
          <w:i/>
          <w:iCs/>
          <w:color w:val="000000" w:themeColor="text1"/>
          <w:lang w:val="en-US"/>
        </w:rPr>
        <w:t>Z Gastroenterol</w:t>
      </w:r>
      <w:r w:rsidRPr="001B26B6">
        <w:rPr>
          <w:rFonts w:ascii="Book Antiqua" w:hAnsi="Book Antiqua" w:cs="Arial"/>
          <w:color w:val="000000" w:themeColor="text1"/>
          <w:lang w:val="en-US"/>
        </w:rPr>
        <w:t> 2004; </w:t>
      </w:r>
      <w:r w:rsidRPr="001B26B6">
        <w:rPr>
          <w:rFonts w:ascii="Book Antiqua" w:hAnsi="Book Antiqua" w:cs="Arial"/>
          <w:b/>
          <w:bCs/>
          <w:color w:val="000000" w:themeColor="text1"/>
          <w:lang w:val="en-US"/>
        </w:rPr>
        <w:t>42</w:t>
      </w:r>
      <w:r w:rsidRPr="001B26B6">
        <w:rPr>
          <w:rFonts w:ascii="Book Antiqua" w:hAnsi="Book Antiqua" w:cs="Arial"/>
          <w:color w:val="000000" w:themeColor="text1"/>
          <w:lang w:val="en-US"/>
        </w:rPr>
        <w:t>: 550-556 [PMID: 15190453 DOI: 10.1055/s-2004-813178]</w:t>
      </w:r>
    </w:p>
    <w:p w14:paraId="769CDA47"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2 </w:t>
      </w:r>
      <w:r w:rsidRPr="001B26B6">
        <w:rPr>
          <w:rFonts w:ascii="Book Antiqua" w:hAnsi="Book Antiqua" w:cs="Arial"/>
          <w:b/>
          <w:bCs/>
          <w:color w:val="000000" w:themeColor="text1"/>
          <w:lang w:val="en-US"/>
        </w:rPr>
        <w:t>ASGE Technology Committee.</w:t>
      </w:r>
      <w:r w:rsidRPr="001B26B6">
        <w:rPr>
          <w:rFonts w:ascii="Book Antiqua" w:hAnsi="Book Antiqua" w:cs="Arial"/>
          <w:color w:val="000000" w:themeColor="text1"/>
          <w:lang w:val="en-US"/>
        </w:rPr>
        <w:t>, Rodriguez SA, Banerjee S, Desilets D, Diehl DL, Farraye FA, Kaul V, Kwon RS, Mamula P, Pedrosa MC, Varadarajulu S, Song LM, Tierney WM. Ultrathin endoscopes. </w:t>
      </w:r>
      <w:r w:rsidRPr="001B26B6">
        <w:rPr>
          <w:rFonts w:ascii="Book Antiqua" w:hAnsi="Book Antiqua" w:cs="Arial"/>
          <w:i/>
          <w:iCs/>
          <w:color w:val="000000" w:themeColor="text1"/>
          <w:lang w:val="en-US"/>
        </w:rPr>
        <w:t>Gastrointest Endosc</w:t>
      </w:r>
      <w:r w:rsidRPr="001B26B6">
        <w:rPr>
          <w:rFonts w:ascii="Book Antiqua" w:hAnsi="Book Antiqua" w:cs="Arial"/>
          <w:color w:val="000000" w:themeColor="text1"/>
          <w:lang w:val="en-US"/>
        </w:rPr>
        <w:t> 2010; </w:t>
      </w:r>
      <w:r w:rsidRPr="001B26B6">
        <w:rPr>
          <w:rFonts w:ascii="Book Antiqua" w:hAnsi="Book Antiqua" w:cs="Arial"/>
          <w:b/>
          <w:bCs/>
          <w:color w:val="000000" w:themeColor="text1"/>
          <w:lang w:val="en-US"/>
        </w:rPr>
        <w:t>71</w:t>
      </w:r>
      <w:r w:rsidRPr="001B26B6">
        <w:rPr>
          <w:rFonts w:ascii="Book Antiqua" w:hAnsi="Book Antiqua" w:cs="Arial"/>
          <w:color w:val="000000" w:themeColor="text1"/>
          <w:lang w:val="en-US"/>
        </w:rPr>
        <w:t>: 893-898 [PMID: 20438882 DOI: 10.1016/j.gie.2010.01.022]</w:t>
      </w:r>
    </w:p>
    <w:p w14:paraId="7A6EDB89"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3 </w:t>
      </w:r>
      <w:r w:rsidRPr="001B26B6">
        <w:rPr>
          <w:rFonts w:ascii="Book Antiqua" w:hAnsi="Book Antiqua" w:cs="Arial"/>
          <w:b/>
          <w:bCs/>
          <w:color w:val="000000" w:themeColor="text1"/>
          <w:lang w:val="en-US"/>
        </w:rPr>
        <w:t>Shaker R</w:t>
      </w:r>
      <w:r w:rsidRPr="001B26B6">
        <w:rPr>
          <w:rFonts w:ascii="Book Antiqua" w:hAnsi="Book Antiqua" w:cs="Arial"/>
          <w:color w:val="000000" w:themeColor="text1"/>
          <w:lang w:val="en-US"/>
        </w:rPr>
        <w:t>. Unsedated trans-nasal pharyngoesophagogastroduodenoscopy (T-EGD): technique. </w:t>
      </w:r>
      <w:r w:rsidRPr="001B26B6">
        <w:rPr>
          <w:rFonts w:ascii="Book Antiqua" w:hAnsi="Book Antiqua" w:cs="Arial"/>
          <w:i/>
          <w:iCs/>
          <w:color w:val="000000" w:themeColor="text1"/>
          <w:lang w:val="en-US"/>
        </w:rPr>
        <w:t>Gastrointest Endosc</w:t>
      </w:r>
      <w:r w:rsidRPr="001B26B6">
        <w:rPr>
          <w:rFonts w:ascii="Book Antiqua" w:hAnsi="Book Antiqua" w:cs="Arial"/>
          <w:color w:val="000000" w:themeColor="text1"/>
          <w:lang w:val="en-US"/>
        </w:rPr>
        <w:t> 1994; </w:t>
      </w:r>
      <w:r w:rsidRPr="001B26B6">
        <w:rPr>
          <w:rFonts w:ascii="Book Antiqua" w:hAnsi="Book Antiqua" w:cs="Arial"/>
          <w:b/>
          <w:bCs/>
          <w:color w:val="000000" w:themeColor="text1"/>
          <w:lang w:val="en-US"/>
        </w:rPr>
        <w:t>40</w:t>
      </w:r>
      <w:r w:rsidRPr="001B26B6">
        <w:rPr>
          <w:rFonts w:ascii="Book Antiqua" w:hAnsi="Book Antiqua" w:cs="Arial"/>
          <w:color w:val="000000" w:themeColor="text1"/>
          <w:lang w:val="en-US"/>
        </w:rPr>
        <w:t>: 346-348 [PMID: 8056238 DOI: 10.1016/S0016-5107(94)70068-0]</w:t>
      </w:r>
    </w:p>
    <w:p w14:paraId="09E91FD1"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4 </w:t>
      </w:r>
      <w:r w:rsidRPr="001B26B6">
        <w:rPr>
          <w:rFonts w:ascii="Book Antiqua" w:hAnsi="Book Antiqua" w:cs="Arial"/>
          <w:b/>
          <w:bCs/>
          <w:color w:val="000000" w:themeColor="text1"/>
          <w:lang w:val="en-US"/>
        </w:rPr>
        <w:t>Li S</w:t>
      </w:r>
      <w:r w:rsidRPr="001B26B6">
        <w:rPr>
          <w:rFonts w:ascii="Book Antiqua" w:hAnsi="Book Antiqua" w:cs="Arial"/>
          <w:color w:val="000000" w:themeColor="text1"/>
          <w:lang w:val="en-US"/>
        </w:rPr>
        <w:t>, Yuan C, Xu MD. Two different endoscopic long intestinal tube placements for small bowel obstruction: Transnasal ultrathin endoscopy versus conventional endoscopy. </w:t>
      </w:r>
      <w:r w:rsidRPr="001B26B6">
        <w:rPr>
          <w:rFonts w:ascii="Book Antiqua" w:hAnsi="Book Antiqua" w:cs="Arial"/>
          <w:i/>
          <w:iCs/>
          <w:color w:val="000000" w:themeColor="text1"/>
          <w:lang w:val="en-US"/>
        </w:rPr>
        <w:t>J Cancer Res Ther</w:t>
      </w:r>
      <w:r w:rsidRPr="001B26B6">
        <w:rPr>
          <w:rFonts w:ascii="Book Antiqua" w:hAnsi="Book Antiqua" w:cs="Arial"/>
          <w:color w:val="000000" w:themeColor="text1"/>
          <w:lang w:val="en-US"/>
        </w:rPr>
        <w:t> 2015; </w:t>
      </w:r>
      <w:r w:rsidRPr="001B26B6">
        <w:rPr>
          <w:rFonts w:ascii="Book Antiqua" w:hAnsi="Book Antiqua" w:cs="Arial"/>
          <w:b/>
          <w:bCs/>
          <w:color w:val="000000" w:themeColor="text1"/>
          <w:lang w:val="en-US"/>
        </w:rPr>
        <w:t xml:space="preserve">11 </w:t>
      </w:r>
      <w:r w:rsidRPr="001B26B6">
        <w:rPr>
          <w:rFonts w:ascii="Book Antiqua" w:hAnsi="Book Antiqua" w:cs="Arial"/>
          <w:color w:val="000000" w:themeColor="text1"/>
          <w:lang w:val="en-US"/>
        </w:rPr>
        <w:t>Suppl: C248-C252 [PMID: 26612447 DOI: 10.4103/0973-1482.170531]</w:t>
      </w:r>
    </w:p>
    <w:p w14:paraId="4F7650F1"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5 </w:t>
      </w:r>
      <w:r w:rsidRPr="001B26B6">
        <w:rPr>
          <w:rFonts w:ascii="Book Antiqua" w:hAnsi="Book Antiqua" w:cs="Arial"/>
          <w:b/>
          <w:bCs/>
          <w:color w:val="000000" w:themeColor="text1"/>
          <w:lang w:val="en-US"/>
        </w:rPr>
        <w:t>Kawakami H</w:t>
      </w:r>
      <w:r w:rsidRPr="001B26B6">
        <w:rPr>
          <w:rFonts w:ascii="Book Antiqua" w:hAnsi="Book Antiqua" w:cs="Arial"/>
          <w:color w:val="000000" w:themeColor="text1"/>
          <w:lang w:val="en-US"/>
        </w:rPr>
        <w:t>, Kuwatani M, Kawahata S. Peroral ultra-slim endoscopy-guided biliary drainage and stone extraction for postoperative upper gastrointestinal stenosis with a naïve papilla (with videos). </w:t>
      </w:r>
      <w:r w:rsidRPr="001B26B6">
        <w:rPr>
          <w:rFonts w:ascii="Book Antiqua" w:hAnsi="Book Antiqua" w:cs="Arial"/>
          <w:i/>
          <w:iCs/>
          <w:color w:val="000000" w:themeColor="text1"/>
          <w:lang w:val="en-US"/>
        </w:rPr>
        <w:t>J Hepatobiliary Pancreat Sci</w:t>
      </w:r>
      <w:r w:rsidRPr="001B26B6">
        <w:rPr>
          <w:rFonts w:ascii="Book Antiqua" w:hAnsi="Book Antiqua" w:cs="Arial"/>
          <w:color w:val="000000" w:themeColor="text1"/>
          <w:lang w:val="en-US"/>
        </w:rPr>
        <w:t> 2015; </w:t>
      </w:r>
      <w:r w:rsidRPr="001B26B6">
        <w:rPr>
          <w:rFonts w:ascii="Book Antiqua" w:hAnsi="Book Antiqua" w:cs="Arial"/>
          <w:b/>
          <w:bCs/>
          <w:color w:val="000000" w:themeColor="text1"/>
          <w:lang w:val="en-US"/>
        </w:rPr>
        <w:t>22</w:t>
      </w:r>
      <w:r w:rsidRPr="001B26B6">
        <w:rPr>
          <w:rFonts w:ascii="Book Antiqua" w:hAnsi="Book Antiqua" w:cs="Arial"/>
          <w:color w:val="000000" w:themeColor="text1"/>
          <w:lang w:val="en-US"/>
        </w:rPr>
        <w:t>: 571-572 [PMID: 25882352 DOI: 10.1002/jhbp.253]</w:t>
      </w:r>
    </w:p>
    <w:p w14:paraId="090C1A5A"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6 </w:t>
      </w:r>
      <w:r w:rsidRPr="001B26B6">
        <w:rPr>
          <w:rFonts w:ascii="Book Antiqua" w:hAnsi="Book Antiqua" w:cs="Arial"/>
          <w:b/>
          <w:bCs/>
          <w:color w:val="000000" w:themeColor="text1"/>
          <w:lang w:val="en-US"/>
        </w:rPr>
        <w:t>Park SW</w:t>
      </w:r>
      <w:r w:rsidRPr="001B26B6">
        <w:rPr>
          <w:rFonts w:ascii="Book Antiqua" w:hAnsi="Book Antiqua" w:cs="Arial"/>
          <w:color w:val="000000" w:themeColor="text1"/>
          <w:lang w:val="en-US"/>
        </w:rPr>
        <w:t>, Lee H, Park JC, Shin SK, Lee SK, Lee YC. Ultrathin endoscope-assisted self-expandable metallic stent placement following initial unsuccessful attempt in malignant upper gastrointestinal obstruction. </w:t>
      </w:r>
      <w:r w:rsidRPr="001B26B6">
        <w:rPr>
          <w:rFonts w:ascii="Book Antiqua" w:hAnsi="Book Antiqua" w:cs="Arial"/>
          <w:i/>
          <w:iCs/>
          <w:color w:val="000000" w:themeColor="text1"/>
          <w:lang w:val="en-US"/>
        </w:rPr>
        <w:t>Dig Endosc</w:t>
      </w:r>
      <w:r w:rsidRPr="001B26B6">
        <w:rPr>
          <w:rFonts w:ascii="Book Antiqua" w:hAnsi="Book Antiqua" w:cs="Arial"/>
          <w:color w:val="000000" w:themeColor="text1"/>
          <w:lang w:val="en-US"/>
        </w:rPr>
        <w:t> 2014; </w:t>
      </w:r>
      <w:r w:rsidRPr="001B26B6">
        <w:rPr>
          <w:rFonts w:ascii="Book Antiqua" w:hAnsi="Book Antiqua" w:cs="Arial"/>
          <w:b/>
          <w:bCs/>
          <w:color w:val="000000" w:themeColor="text1"/>
          <w:lang w:val="en-US"/>
        </w:rPr>
        <w:t>26</w:t>
      </w:r>
      <w:r w:rsidRPr="001B26B6">
        <w:rPr>
          <w:rFonts w:ascii="Book Antiqua" w:hAnsi="Book Antiqua" w:cs="Arial"/>
          <w:color w:val="000000" w:themeColor="text1"/>
          <w:lang w:val="en-US"/>
        </w:rPr>
        <w:t>: 200-207 [PMID: 23751083 DOI: 10.1111/den.12133]</w:t>
      </w:r>
    </w:p>
    <w:p w14:paraId="305B9848"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7 </w:t>
      </w:r>
      <w:r w:rsidRPr="001B26B6">
        <w:rPr>
          <w:rFonts w:ascii="Book Antiqua" w:hAnsi="Book Antiqua" w:cs="Arial"/>
          <w:b/>
          <w:bCs/>
          <w:color w:val="000000" w:themeColor="text1"/>
          <w:lang w:val="en-US"/>
        </w:rPr>
        <w:t>Shariff MK</w:t>
      </w:r>
      <w:r w:rsidRPr="001B26B6">
        <w:rPr>
          <w:rFonts w:ascii="Book Antiqua" w:hAnsi="Book Antiqua" w:cs="Arial"/>
          <w:color w:val="000000" w:themeColor="text1"/>
          <w:lang w:val="en-US"/>
        </w:rPr>
        <w:t>, Varghese S, O'Donovan M, Abdullahi Z, Liu X, Fitzgerald RC, di Pietro M. Pilot randomized crossover study comparing the efficacy of transnasal disposable endosheath with standard endoscopy to detect Barrett's esophagus. </w:t>
      </w:r>
      <w:r w:rsidRPr="001B26B6">
        <w:rPr>
          <w:rFonts w:ascii="Book Antiqua" w:hAnsi="Book Antiqua" w:cs="Arial"/>
          <w:i/>
          <w:iCs/>
          <w:color w:val="000000" w:themeColor="text1"/>
          <w:lang w:val="en-US"/>
        </w:rPr>
        <w:t>Endoscopy</w:t>
      </w:r>
      <w:r w:rsidRPr="001B26B6">
        <w:rPr>
          <w:rFonts w:ascii="Book Antiqua" w:hAnsi="Book Antiqua" w:cs="Arial"/>
          <w:color w:val="000000" w:themeColor="text1"/>
          <w:lang w:val="en-US"/>
        </w:rPr>
        <w:t> 2016; </w:t>
      </w:r>
      <w:r w:rsidRPr="001B26B6">
        <w:rPr>
          <w:rFonts w:ascii="Book Antiqua" w:hAnsi="Book Antiqua" w:cs="Arial"/>
          <w:b/>
          <w:bCs/>
          <w:color w:val="000000" w:themeColor="text1"/>
          <w:lang w:val="en-US"/>
        </w:rPr>
        <w:t>48</w:t>
      </w:r>
      <w:r w:rsidRPr="001B26B6">
        <w:rPr>
          <w:rFonts w:ascii="Book Antiqua" w:hAnsi="Book Antiqua" w:cs="Arial"/>
          <w:color w:val="000000" w:themeColor="text1"/>
          <w:lang w:val="en-US"/>
        </w:rPr>
        <w:t>: 110-116 [PMID: 26535563 DOI: 10.1055/s-0034-1393310]</w:t>
      </w:r>
    </w:p>
    <w:p w14:paraId="44EDD4BA"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8 </w:t>
      </w:r>
      <w:r w:rsidRPr="001B26B6">
        <w:rPr>
          <w:rFonts w:ascii="Book Antiqua" w:hAnsi="Book Antiqua" w:cs="Arial"/>
          <w:b/>
          <w:bCs/>
          <w:color w:val="000000" w:themeColor="text1"/>
          <w:lang w:val="en-US"/>
        </w:rPr>
        <w:t>Baeg MK</w:t>
      </w:r>
      <w:r w:rsidRPr="001B26B6">
        <w:rPr>
          <w:rFonts w:ascii="Book Antiqua" w:hAnsi="Book Antiqua" w:cs="Arial"/>
          <w:color w:val="000000" w:themeColor="text1"/>
          <w:lang w:val="en-US"/>
        </w:rPr>
        <w:t xml:space="preserve">, Lim CH, Kim JS, Cho YK, Park JM, Lee BI, Lee IS, Choi MG. Portable disposable ultrathin endoscopy tested through percutaneous endoscopic </w:t>
      </w:r>
      <w:r w:rsidRPr="001B26B6">
        <w:rPr>
          <w:rFonts w:ascii="Book Antiqua" w:hAnsi="Book Antiqua" w:cs="Arial"/>
          <w:color w:val="000000" w:themeColor="text1"/>
          <w:lang w:val="en-US"/>
        </w:rPr>
        <w:lastRenderedPageBreak/>
        <w:t>gastrostomy. </w:t>
      </w:r>
      <w:r w:rsidRPr="001B26B6">
        <w:rPr>
          <w:rFonts w:ascii="Book Antiqua" w:hAnsi="Book Antiqua" w:cs="Arial"/>
          <w:i/>
          <w:iCs/>
          <w:color w:val="000000" w:themeColor="text1"/>
          <w:lang w:val="en-US"/>
        </w:rPr>
        <w:t xml:space="preserve">Medicine </w:t>
      </w:r>
      <w:r w:rsidRPr="001B26B6">
        <w:rPr>
          <w:rFonts w:ascii="Book Antiqua" w:hAnsi="Book Antiqua" w:cs="Arial"/>
          <w:color w:val="000000" w:themeColor="text1"/>
          <w:lang w:val="en-US"/>
        </w:rPr>
        <w:t>(Baltimore) 2016; </w:t>
      </w:r>
      <w:r w:rsidRPr="001B26B6">
        <w:rPr>
          <w:rFonts w:ascii="Book Antiqua" w:hAnsi="Book Antiqua" w:cs="Arial"/>
          <w:b/>
          <w:bCs/>
          <w:color w:val="000000" w:themeColor="text1"/>
          <w:lang w:val="en-US"/>
        </w:rPr>
        <w:t>95</w:t>
      </w:r>
      <w:r w:rsidRPr="001B26B6">
        <w:rPr>
          <w:rFonts w:ascii="Book Antiqua" w:hAnsi="Book Antiqua" w:cs="Arial"/>
          <w:color w:val="000000" w:themeColor="text1"/>
          <w:lang w:val="en-US"/>
        </w:rPr>
        <w:t>: e5423 [PMID: 27902596 DOI: 10.1097/MD.0000000000005423]</w:t>
      </w:r>
    </w:p>
    <w:p w14:paraId="7306C3DA" w14:textId="0845AF6B"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highlight w:val="yellow"/>
          <w:lang w:val="en-US"/>
        </w:rPr>
        <w:t>9 </w:t>
      </w:r>
      <w:r w:rsidRPr="001B26B6">
        <w:rPr>
          <w:rFonts w:ascii="Book Antiqua" w:hAnsi="Book Antiqua" w:cs="Arial"/>
          <w:b/>
          <w:bCs/>
          <w:color w:val="000000" w:themeColor="text1"/>
          <w:highlight w:val="yellow"/>
          <w:lang w:val="en-US"/>
        </w:rPr>
        <w:t>Yoon EWT,</w:t>
      </w:r>
      <w:r w:rsidRPr="001B26B6">
        <w:rPr>
          <w:rFonts w:ascii="Book Antiqua" w:hAnsi="Book Antiqua" w:cs="Arial"/>
          <w:color w:val="000000" w:themeColor="text1"/>
          <w:highlight w:val="yellow"/>
          <w:lang w:val="en-US"/>
        </w:rPr>
        <w:t xml:space="preserve"> Sakomoto M. Percutaneous endoscopic gastrostomy (PEG) using the modified introducer technique: clinical experience and description of an innovative new kit. </w:t>
      </w:r>
      <w:r w:rsidRPr="001B26B6">
        <w:rPr>
          <w:rFonts w:ascii="Book Antiqua" w:hAnsi="Book Antiqua" w:cs="Arial"/>
          <w:i/>
          <w:iCs/>
          <w:color w:val="000000" w:themeColor="text1"/>
          <w:highlight w:val="yellow"/>
          <w:lang w:val="en-US"/>
        </w:rPr>
        <w:t>Gastroenterol, Hepatol Endosc</w:t>
      </w:r>
      <w:r w:rsidRPr="001B26B6">
        <w:rPr>
          <w:rFonts w:ascii="Book Antiqua" w:hAnsi="Book Antiqua" w:cs="Arial"/>
          <w:color w:val="000000" w:themeColor="text1"/>
          <w:highlight w:val="yellow"/>
          <w:lang w:val="en-US"/>
        </w:rPr>
        <w:t xml:space="preserve"> 2016; </w:t>
      </w:r>
      <w:r w:rsidRPr="001B26B6">
        <w:rPr>
          <w:rFonts w:ascii="Book Antiqua" w:hAnsi="Book Antiqua" w:cs="Arial"/>
          <w:b/>
          <w:bCs/>
          <w:color w:val="000000" w:themeColor="text1"/>
          <w:highlight w:val="yellow"/>
          <w:lang w:val="en-US"/>
        </w:rPr>
        <w:t>1</w:t>
      </w:r>
      <w:r w:rsidRPr="001B26B6">
        <w:rPr>
          <w:rFonts w:ascii="Book Antiqua" w:hAnsi="Book Antiqua" w:cs="Arial"/>
          <w:color w:val="000000" w:themeColor="text1"/>
          <w:highlight w:val="yellow"/>
          <w:lang w:val="en-US"/>
        </w:rPr>
        <w:t>: 97-99 [DOI: 10.15761/GHE.1000127]</w:t>
      </w:r>
    </w:p>
    <w:p w14:paraId="65946BB1" w14:textId="53F09DF5"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10 </w:t>
      </w:r>
      <w:r w:rsidRPr="001B26B6">
        <w:rPr>
          <w:rFonts w:ascii="Book Antiqua" w:hAnsi="Book Antiqua" w:cs="Arial"/>
          <w:b/>
          <w:bCs/>
          <w:color w:val="000000" w:themeColor="text1"/>
          <w:lang w:val="en-US"/>
        </w:rPr>
        <w:t>Sato Y</w:t>
      </w:r>
      <w:r w:rsidRPr="001B26B6">
        <w:rPr>
          <w:rFonts w:ascii="Book Antiqua" w:hAnsi="Book Antiqua" w:cs="Arial"/>
          <w:color w:val="000000" w:themeColor="text1"/>
          <w:lang w:val="en-US"/>
        </w:rPr>
        <w:t>, Goshi S, Kawauchi Y, Nishigaki Y, Mizuno KI, Hashimoto S, Takeuchi M, Kobayashi M, Ozawa T, Nishizawa M, Aoyagi Y. Safety of unsedated PEG placement using transoral ultrathin endoscopy in patients with amyotrophic lateral sclerosis. </w:t>
      </w:r>
      <w:r w:rsidRPr="001B26B6">
        <w:rPr>
          <w:rFonts w:ascii="Book Antiqua" w:hAnsi="Book Antiqua" w:cs="Arial"/>
          <w:i/>
          <w:iCs/>
          <w:color w:val="000000" w:themeColor="text1"/>
          <w:lang w:val="en-US"/>
        </w:rPr>
        <w:t>Nutr Neurosci</w:t>
      </w:r>
      <w:r w:rsidRPr="001B26B6">
        <w:rPr>
          <w:rFonts w:ascii="Book Antiqua" w:hAnsi="Book Antiqua" w:cs="Arial"/>
          <w:color w:val="000000" w:themeColor="text1"/>
          <w:lang w:val="en-US"/>
        </w:rPr>
        <w:t> 2017; </w:t>
      </w:r>
      <w:r w:rsidRPr="001B26B6">
        <w:rPr>
          <w:rFonts w:ascii="Book Antiqua" w:hAnsi="Book Antiqua" w:cs="Arial"/>
          <w:b/>
          <w:bCs/>
          <w:color w:val="000000" w:themeColor="text1"/>
          <w:lang w:val="en-US"/>
        </w:rPr>
        <w:t>20</w:t>
      </w:r>
      <w:r w:rsidRPr="001B26B6">
        <w:rPr>
          <w:rFonts w:ascii="Book Antiqua" w:hAnsi="Book Antiqua" w:cs="Arial"/>
          <w:color w:val="000000" w:themeColor="text1"/>
          <w:lang w:val="en-US"/>
        </w:rPr>
        <w:t>: 71-75 [PMID: 25290682 DOI: 10.1179/1476830514Y.0000000161]</w:t>
      </w:r>
    </w:p>
    <w:p w14:paraId="09F45BEA"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11 </w:t>
      </w:r>
      <w:r w:rsidRPr="001B26B6">
        <w:rPr>
          <w:rFonts w:ascii="Book Antiqua" w:hAnsi="Book Antiqua" w:cs="Arial"/>
          <w:b/>
          <w:bCs/>
          <w:color w:val="000000" w:themeColor="text1"/>
          <w:lang w:val="en-US"/>
        </w:rPr>
        <w:t>Blevins CH</w:t>
      </w:r>
      <w:r w:rsidRPr="001B26B6">
        <w:rPr>
          <w:rFonts w:ascii="Book Antiqua" w:hAnsi="Book Antiqua" w:cs="Arial"/>
          <w:color w:val="000000" w:themeColor="text1"/>
          <w:lang w:val="en-US"/>
        </w:rPr>
        <w:t>, Egginton JS, Shah ND, Johnson ML, Iyer PG. Comparative Assessment of Patient Preferences and Tolerability in Barrett Esophagus Screening: Results From a Randomized Trial. </w:t>
      </w:r>
      <w:r w:rsidRPr="001B26B6">
        <w:rPr>
          <w:rFonts w:ascii="Book Antiqua" w:hAnsi="Book Antiqua" w:cs="Arial"/>
          <w:i/>
          <w:iCs/>
          <w:color w:val="000000" w:themeColor="text1"/>
          <w:lang w:val="en-US"/>
        </w:rPr>
        <w:t>J Clin Gastroenterol</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52</w:t>
      </w:r>
      <w:r w:rsidRPr="001B26B6">
        <w:rPr>
          <w:rFonts w:ascii="Book Antiqua" w:hAnsi="Book Antiqua" w:cs="Arial"/>
          <w:color w:val="000000" w:themeColor="text1"/>
          <w:lang w:val="en-US"/>
        </w:rPr>
        <w:t>: 880-884 [PMID: 29369237 DOI: 10.1097/MCG.0000000000000991]</w:t>
      </w:r>
    </w:p>
    <w:p w14:paraId="7E76E816"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12 </w:t>
      </w:r>
      <w:r w:rsidRPr="001B26B6">
        <w:rPr>
          <w:rFonts w:ascii="Book Antiqua" w:hAnsi="Book Antiqua" w:cs="Arial"/>
          <w:b/>
          <w:bCs/>
          <w:color w:val="000000" w:themeColor="text1"/>
          <w:lang w:val="en-US"/>
        </w:rPr>
        <w:t>Castro Filho EC</w:t>
      </w:r>
      <w:r w:rsidRPr="001B26B6">
        <w:rPr>
          <w:rFonts w:ascii="Book Antiqua" w:hAnsi="Book Antiqua" w:cs="Arial"/>
          <w:color w:val="000000" w:themeColor="text1"/>
          <w:lang w:val="en-US"/>
        </w:rPr>
        <w:t>, Perazzo H, Guimaraes RAP, Machado L, Fernandes FF, Perez RM. Reliability and safety of transnasal compared to conventional endoscopy for detecting oesophageal varices in cirrhotic patients. </w:t>
      </w:r>
      <w:r w:rsidRPr="001B26B6">
        <w:rPr>
          <w:rFonts w:ascii="Book Antiqua" w:hAnsi="Book Antiqua" w:cs="Arial"/>
          <w:i/>
          <w:iCs/>
          <w:color w:val="000000" w:themeColor="text1"/>
          <w:lang w:val="en-US"/>
        </w:rPr>
        <w:t>Liver Int</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38</w:t>
      </w:r>
      <w:r w:rsidRPr="001B26B6">
        <w:rPr>
          <w:rFonts w:ascii="Book Antiqua" w:hAnsi="Book Antiqua" w:cs="Arial"/>
          <w:color w:val="000000" w:themeColor="text1"/>
          <w:lang w:val="en-US"/>
        </w:rPr>
        <w:t>: 1418-1426 [PMID: 29323459 DOI: 10.1111/liv.13692]</w:t>
      </w:r>
    </w:p>
    <w:p w14:paraId="32B28A28"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13 </w:t>
      </w:r>
      <w:r w:rsidRPr="001B26B6">
        <w:rPr>
          <w:rFonts w:ascii="Book Antiqua" w:hAnsi="Book Antiqua" w:cs="Arial"/>
          <w:b/>
          <w:bCs/>
          <w:color w:val="000000" w:themeColor="text1"/>
          <w:lang w:val="en-US"/>
        </w:rPr>
        <w:t>Sami SS</w:t>
      </w:r>
      <w:r w:rsidRPr="001B26B6">
        <w:rPr>
          <w:rFonts w:ascii="Book Antiqua" w:hAnsi="Book Antiqua" w:cs="Arial"/>
          <w:color w:val="000000" w:themeColor="text1"/>
          <w:lang w:val="en-US"/>
        </w:rPr>
        <w:t>, Iyer PG, Pophali P, Halland M, di Pietro M, Ortiz-Fernandez-Sordo J, White JR, Johnson M, Guha IN, Fitzgerald RC, Ragunath K. Acceptability, Accuracy, and Safety of Disposable Transnasal Capsule Endoscopy for Barrett's Esophagus Screening. </w:t>
      </w:r>
      <w:r w:rsidRPr="001B26B6">
        <w:rPr>
          <w:rFonts w:ascii="Book Antiqua" w:hAnsi="Book Antiqua" w:cs="Arial"/>
          <w:i/>
          <w:iCs/>
          <w:color w:val="000000" w:themeColor="text1"/>
          <w:lang w:val="en-US"/>
        </w:rPr>
        <w:t>Clin Gastroenterol Hepatol</w:t>
      </w:r>
      <w:r w:rsidRPr="001B26B6">
        <w:rPr>
          <w:rFonts w:ascii="Book Antiqua" w:hAnsi="Book Antiqua" w:cs="Arial"/>
          <w:color w:val="000000" w:themeColor="text1"/>
          <w:lang w:val="en-US"/>
        </w:rPr>
        <w:t> 2019; </w:t>
      </w:r>
      <w:r w:rsidRPr="001B26B6">
        <w:rPr>
          <w:rFonts w:ascii="Book Antiqua" w:hAnsi="Book Antiqua" w:cs="Arial"/>
          <w:b/>
          <w:bCs/>
          <w:color w:val="000000" w:themeColor="text1"/>
          <w:lang w:val="en-US"/>
        </w:rPr>
        <w:t>17</w:t>
      </w:r>
      <w:r w:rsidRPr="001B26B6">
        <w:rPr>
          <w:rFonts w:ascii="Book Antiqua" w:hAnsi="Book Antiqua" w:cs="Arial"/>
          <w:color w:val="000000" w:themeColor="text1"/>
          <w:lang w:val="en-US"/>
        </w:rPr>
        <w:t>: 638-646.e1 [PMID: 30081223 DOI: 10.1016/j.cgh.2018.07.019]</w:t>
      </w:r>
    </w:p>
    <w:p w14:paraId="066AE53F"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14 </w:t>
      </w:r>
      <w:r w:rsidRPr="001B26B6">
        <w:rPr>
          <w:rFonts w:ascii="Book Antiqua" w:hAnsi="Book Antiqua" w:cs="Arial"/>
          <w:b/>
          <w:bCs/>
          <w:color w:val="000000" w:themeColor="text1"/>
          <w:lang w:val="en-US"/>
        </w:rPr>
        <w:t>Shariff MK</w:t>
      </w:r>
      <w:r w:rsidRPr="001B26B6">
        <w:rPr>
          <w:rFonts w:ascii="Book Antiqua" w:hAnsi="Book Antiqua" w:cs="Arial"/>
          <w:color w:val="000000" w:themeColor="text1"/>
          <w:lang w:val="en-US"/>
        </w:rPr>
        <w:t>, Bird-Lieberman EL, O'Donovan M, Abdullahi Z, Liu X, Blazeby J, Fitzgerald R. Randomized crossover study comparing efficacy of transnasal endoscopy with that of standard endoscopy to detect Barrett's esophagus. </w:t>
      </w:r>
      <w:r w:rsidRPr="001B26B6">
        <w:rPr>
          <w:rFonts w:ascii="Book Antiqua" w:hAnsi="Book Antiqua" w:cs="Arial"/>
          <w:i/>
          <w:iCs/>
          <w:color w:val="000000" w:themeColor="text1"/>
          <w:lang w:val="en-US"/>
        </w:rPr>
        <w:t>Gastrointest Endosc</w:t>
      </w:r>
      <w:r w:rsidRPr="001B26B6">
        <w:rPr>
          <w:rFonts w:ascii="Book Antiqua" w:hAnsi="Book Antiqua" w:cs="Arial"/>
          <w:color w:val="000000" w:themeColor="text1"/>
          <w:lang w:val="en-US"/>
        </w:rPr>
        <w:t> 2012; </w:t>
      </w:r>
      <w:r w:rsidRPr="001B26B6">
        <w:rPr>
          <w:rFonts w:ascii="Book Antiqua" w:hAnsi="Book Antiqua" w:cs="Arial"/>
          <w:b/>
          <w:bCs/>
          <w:color w:val="000000" w:themeColor="text1"/>
          <w:lang w:val="en-US"/>
        </w:rPr>
        <w:t>75</w:t>
      </w:r>
      <w:r w:rsidRPr="001B26B6">
        <w:rPr>
          <w:rFonts w:ascii="Book Antiqua" w:hAnsi="Book Antiqua" w:cs="Arial"/>
          <w:color w:val="000000" w:themeColor="text1"/>
          <w:lang w:val="en-US"/>
        </w:rPr>
        <w:t>: 954-961 [PMID: 22421496 DOI: 10.1016/j.gie.2012.01.029]</w:t>
      </w:r>
    </w:p>
    <w:p w14:paraId="4DE944A7"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15 </w:t>
      </w:r>
      <w:r w:rsidRPr="001B26B6">
        <w:rPr>
          <w:rFonts w:ascii="Book Antiqua" w:hAnsi="Book Antiqua" w:cs="Arial"/>
          <w:b/>
          <w:bCs/>
          <w:color w:val="000000" w:themeColor="text1"/>
          <w:lang w:val="en-US"/>
        </w:rPr>
        <w:t>Moriarty JP</w:t>
      </w:r>
      <w:r w:rsidRPr="001B26B6">
        <w:rPr>
          <w:rFonts w:ascii="Book Antiqua" w:hAnsi="Book Antiqua" w:cs="Arial"/>
          <w:color w:val="000000" w:themeColor="text1"/>
          <w:lang w:val="en-US"/>
        </w:rPr>
        <w:t xml:space="preserve">, Shah ND, Rubenstein JH, Blevins CH, Johnson M, Katzka DA, Wang KK, Wongkeesong LM, Ahlquist DA, Iyer PG. Costs associated with Barrett's esophagus screening in the community: an economic analysis of a prospective </w:t>
      </w:r>
      <w:r w:rsidRPr="001B26B6">
        <w:rPr>
          <w:rFonts w:ascii="Book Antiqua" w:hAnsi="Book Antiqua" w:cs="Arial"/>
          <w:color w:val="000000" w:themeColor="text1"/>
          <w:lang w:val="en-US"/>
        </w:rPr>
        <w:lastRenderedPageBreak/>
        <w:t>randomized controlled trial of sedated versus hospital unsedated versus mobile community unsedated endoscopy. </w:t>
      </w:r>
      <w:r w:rsidRPr="001B26B6">
        <w:rPr>
          <w:rFonts w:ascii="Book Antiqua" w:hAnsi="Book Antiqua" w:cs="Arial"/>
          <w:i/>
          <w:iCs/>
          <w:color w:val="000000" w:themeColor="text1"/>
          <w:lang w:val="en-US"/>
        </w:rPr>
        <w:t>Gastrointest Endosc</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87</w:t>
      </w:r>
      <w:r w:rsidRPr="001B26B6">
        <w:rPr>
          <w:rFonts w:ascii="Book Antiqua" w:hAnsi="Book Antiqua" w:cs="Arial"/>
          <w:color w:val="000000" w:themeColor="text1"/>
          <w:lang w:val="en-US"/>
        </w:rPr>
        <w:t>: 88-94.e2 [PMID: 28455158 DOI: 10.1016/j.gie.2017.04.019]</w:t>
      </w:r>
    </w:p>
    <w:p w14:paraId="08FB9F4D"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16 </w:t>
      </w:r>
      <w:r w:rsidRPr="001B26B6">
        <w:rPr>
          <w:rFonts w:ascii="Book Antiqua" w:hAnsi="Book Antiqua" w:cs="Arial"/>
          <w:b/>
          <w:bCs/>
          <w:color w:val="000000" w:themeColor="text1"/>
          <w:lang w:val="en-US"/>
        </w:rPr>
        <w:t>Saeian K</w:t>
      </w:r>
      <w:r w:rsidRPr="001B26B6">
        <w:rPr>
          <w:rFonts w:ascii="Book Antiqua" w:hAnsi="Book Antiqua" w:cs="Arial"/>
          <w:color w:val="000000" w:themeColor="text1"/>
          <w:lang w:val="en-US"/>
        </w:rPr>
        <w:t>, Staff DM, Vasilopoulos S, Townsend WF, Almagro UA, Komorowski RA, Choi H, Shaker R. Unsedated transnasal endoscopy accurately detects Barrett's metaplasia and dysplasia. </w:t>
      </w:r>
      <w:r w:rsidRPr="001B26B6">
        <w:rPr>
          <w:rFonts w:ascii="Book Antiqua" w:hAnsi="Book Antiqua" w:cs="Arial"/>
          <w:i/>
          <w:iCs/>
          <w:color w:val="000000" w:themeColor="text1"/>
          <w:lang w:val="en-US"/>
        </w:rPr>
        <w:t>Gastrointest Endosc</w:t>
      </w:r>
      <w:r w:rsidRPr="001B26B6">
        <w:rPr>
          <w:rFonts w:ascii="Book Antiqua" w:hAnsi="Book Antiqua" w:cs="Arial"/>
          <w:color w:val="000000" w:themeColor="text1"/>
          <w:lang w:val="en-US"/>
        </w:rPr>
        <w:t> 2002; </w:t>
      </w:r>
      <w:r w:rsidRPr="001B26B6">
        <w:rPr>
          <w:rFonts w:ascii="Book Antiqua" w:hAnsi="Book Antiqua" w:cs="Arial"/>
          <w:b/>
          <w:bCs/>
          <w:color w:val="000000" w:themeColor="text1"/>
          <w:lang w:val="en-US"/>
        </w:rPr>
        <w:t>56</w:t>
      </w:r>
      <w:r w:rsidRPr="001B26B6">
        <w:rPr>
          <w:rFonts w:ascii="Book Antiqua" w:hAnsi="Book Antiqua" w:cs="Arial"/>
          <w:color w:val="000000" w:themeColor="text1"/>
          <w:lang w:val="en-US"/>
        </w:rPr>
        <w:t>: 472-478 [PMID: 12297760 DOI: 10.1067/mge.2002.128131]</w:t>
      </w:r>
    </w:p>
    <w:p w14:paraId="381AFE47"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17 </w:t>
      </w:r>
      <w:r w:rsidRPr="001B26B6">
        <w:rPr>
          <w:rFonts w:ascii="Book Antiqua" w:hAnsi="Book Antiqua" w:cs="Arial"/>
          <w:b/>
          <w:bCs/>
          <w:color w:val="000000" w:themeColor="text1"/>
          <w:lang w:val="en-US"/>
        </w:rPr>
        <w:t>Toyoizumi H</w:t>
      </w:r>
      <w:r w:rsidRPr="001B26B6">
        <w:rPr>
          <w:rFonts w:ascii="Book Antiqua" w:hAnsi="Book Antiqua" w:cs="Arial"/>
          <w:color w:val="000000" w:themeColor="text1"/>
          <w:lang w:val="en-US"/>
        </w:rPr>
        <w:t>, Kaise M, Arakawa H, Yonezawa J, Yoshida Y, Kato M, Yoshimura N, Goda K, Tajiri H. Ultrathin endoscopy versus high-resolution endoscopy for diagnosing superficial gastric neoplasia. </w:t>
      </w:r>
      <w:r w:rsidRPr="001B26B6">
        <w:rPr>
          <w:rFonts w:ascii="Book Antiqua" w:hAnsi="Book Antiqua" w:cs="Arial"/>
          <w:i/>
          <w:iCs/>
          <w:color w:val="000000" w:themeColor="text1"/>
          <w:lang w:val="en-US"/>
        </w:rPr>
        <w:t>Gastrointest Endosc</w:t>
      </w:r>
      <w:r w:rsidRPr="001B26B6">
        <w:rPr>
          <w:rFonts w:ascii="Book Antiqua" w:hAnsi="Book Antiqua" w:cs="Arial"/>
          <w:color w:val="000000" w:themeColor="text1"/>
          <w:lang w:val="en-US"/>
        </w:rPr>
        <w:t> 2009; </w:t>
      </w:r>
      <w:r w:rsidRPr="001B26B6">
        <w:rPr>
          <w:rFonts w:ascii="Book Antiqua" w:hAnsi="Book Antiqua" w:cs="Arial"/>
          <w:b/>
          <w:bCs/>
          <w:color w:val="000000" w:themeColor="text1"/>
          <w:lang w:val="en-US"/>
        </w:rPr>
        <w:t>70</w:t>
      </w:r>
      <w:r w:rsidRPr="001B26B6">
        <w:rPr>
          <w:rFonts w:ascii="Book Antiqua" w:hAnsi="Book Antiqua" w:cs="Arial"/>
          <w:color w:val="000000" w:themeColor="text1"/>
          <w:lang w:val="en-US"/>
        </w:rPr>
        <w:t>: 240-245 [PMID: 19386304 DOI: 10.1016/j.gie.2008.10.064]</w:t>
      </w:r>
    </w:p>
    <w:p w14:paraId="7E99B132"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18 </w:t>
      </w:r>
      <w:r w:rsidRPr="001B26B6">
        <w:rPr>
          <w:rFonts w:ascii="Book Antiqua" w:hAnsi="Book Antiqua" w:cs="Arial"/>
          <w:b/>
          <w:bCs/>
          <w:color w:val="000000" w:themeColor="text1"/>
          <w:lang w:val="en-US"/>
        </w:rPr>
        <w:t>Iddan G</w:t>
      </w:r>
      <w:r w:rsidRPr="001B26B6">
        <w:rPr>
          <w:rFonts w:ascii="Book Antiqua" w:hAnsi="Book Antiqua" w:cs="Arial"/>
          <w:color w:val="000000" w:themeColor="text1"/>
          <w:lang w:val="en-US"/>
        </w:rPr>
        <w:t>, Meron G, Glukhovsky A, Swain P. Wireless capsule endoscopy. </w:t>
      </w:r>
      <w:r w:rsidRPr="001B26B6">
        <w:rPr>
          <w:rFonts w:ascii="Book Antiqua" w:hAnsi="Book Antiqua" w:cs="Arial"/>
          <w:i/>
          <w:iCs/>
          <w:color w:val="000000" w:themeColor="text1"/>
          <w:lang w:val="en-US"/>
        </w:rPr>
        <w:t>Nature</w:t>
      </w:r>
      <w:r w:rsidRPr="001B26B6">
        <w:rPr>
          <w:rFonts w:ascii="Book Antiqua" w:hAnsi="Book Antiqua" w:cs="Arial"/>
          <w:color w:val="000000" w:themeColor="text1"/>
          <w:lang w:val="en-US"/>
        </w:rPr>
        <w:t> 2000; </w:t>
      </w:r>
      <w:r w:rsidRPr="001B26B6">
        <w:rPr>
          <w:rFonts w:ascii="Book Antiqua" w:hAnsi="Book Antiqua" w:cs="Arial"/>
          <w:b/>
          <w:bCs/>
          <w:color w:val="000000" w:themeColor="text1"/>
          <w:lang w:val="en-US"/>
        </w:rPr>
        <w:t>405</w:t>
      </w:r>
      <w:r w:rsidRPr="001B26B6">
        <w:rPr>
          <w:rFonts w:ascii="Book Antiqua" w:hAnsi="Book Antiqua" w:cs="Arial"/>
          <w:color w:val="000000" w:themeColor="text1"/>
          <w:lang w:val="en-US"/>
        </w:rPr>
        <w:t>: 417 [PMID: 10839527 DOI: 10.1038/35013140]</w:t>
      </w:r>
    </w:p>
    <w:p w14:paraId="692FCF56" w14:textId="25EF0050"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19 </w:t>
      </w:r>
      <w:r w:rsidRPr="001B26B6">
        <w:rPr>
          <w:rFonts w:ascii="Book Antiqua" w:hAnsi="Book Antiqua" w:cs="Arial"/>
          <w:b/>
          <w:bCs/>
          <w:color w:val="000000" w:themeColor="text1"/>
          <w:lang w:val="en-US"/>
        </w:rPr>
        <w:t>Triester SL</w:t>
      </w:r>
      <w:r w:rsidRPr="001B26B6">
        <w:rPr>
          <w:rFonts w:ascii="Book Antiqua" w:hAnsi="Book Antiqua" w:cs="Arial"/>
          <w:color w:val="000000" w:themeColor="text1"/>
          <w:lang w:val="en-US"/>
        </w:rPr>
        <w:t>, Leighton JA, Leontiadis GI, Fleischer DE, Hara AK, Heigh RI, Shiff AD, Sharma VK. A meta-analysis of the yield of capsule endoscopy compared to other diagnostic modalities in patients with obscure gastrointestinal bleeding. </w:t>
      </w:r>
      <w:r w:rsidRPr="001B26B6">
        <w:rPr>
          <w:rFonts w:ascii="Book Antiqua" w:hAnsi="Book Antiqua" w:cs="Arial"/>
          <w:i/>
          <w:iCs/>
          <w:color w:val="000000" w:themeColor="text1"/>
          <w:lang w:val="en-US"/>
        </w:rPr>
        <w:t>Am J Gastroenterol</w:t>
      </w:r>
      <w:r w:rsidR="00893912">
        <w:rPr>
          <w:rFonts w:ascii="Book Antiqua" w:hAnsi="Book Antiqua" w:cs="Arial"/>
          <w:color w:val="000000" w:themeColor="text1"/>
          <w:lang w:val="en-US"/>
        </w:rPr>
        <w:t xml:space="preserve"> </w:t>
      </w:r>
      <w:r w:rsidRPr="001B26B6">
        <w:rPr>
          <w:rFonts w:ascii="Book Antiqua" w:hAnsi="Book Antiqua" w:cs="Arial"/>
          <w:color w:val="000000" w:themeColor="text1"/>
          <w:lang w:val="en-US"/>
        </w:rPr>
        <w:t>2005; </w:t>
      </w:r>
      <w:r w:rsidRPr="001B26B6">
        <w:rPr>
          <w:rFonts w:ascii="Book Antiqua" w:hAnsi="Book Antiqua" w:cs="Arial"/>
          <w:b/>
          <w:bCs/>
          <w:color w:val="000000" w:themeColor="text1"/>
          <w:lang w:val="en-US"/>
        </w:rPr>
        <w:t>100</w:t>
      </w:r>
      <w:r w:rsidRPr="001B26B6">
        <w:rPr>
          <w:rFonts w:ascii="Book Antiqua" w:hAnsi="Book Antiqua" w:cs="Arial"/>
          <w:color w:val="000000" w:themeColor="text1"/>
          <w:lang w:val="en-US"/>
        </w:rPr>
        <w:t>: 2407-2418 [PMID: 16279893 DOI: 10.1111/j.1572-0241.2005.00274.x]</w:t>
      </w:r>
    </w:p>
    <w:p w14:paraId="6A31FFF7"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20 </w:t>
      </w:r>
      <w:r w:rsidRPr="001B26B6">
        <w:rPr>
          <w:rFonts w:ascii="Book Antiqua" w:hAnsi="Book Antiqua" w:cs="Arial"/>
          <w:b/>
          <w:bCs/>
          <w:color w:val="000000" w:themeColor="text1"/>
          <w:lang w:val="en-US"/>
        </w:rPr>
        <w:t>Luján-Sanchis M</w:t>
      </w:r>
      <w:r w:rsidRPr="001B26B6">
        <w:rPr>
          <w:rFonts w:ascii="Book Antiqua" w:hAnsi="Book Antiqua" w:cs="Arial"/>
          <w:color w:val="000000" w:themeColor="text1"/>
          <w:lang w:val="en-US"/>
        </w:rPr>
        <w:t>, Sanchis-Artero L, Larrey-Ruiz L, Peño-Muñoz L, Núñez-Martínez P, Castillo-López G, González-González L, Clemente CB, Albert Antequera C, Durá-Ayet A, Sempere-Garcia-Argüelles J. Current role of capsule endoscopy in Crohn's disease. </w:t>
      </w:r>
      <w:r w:rsidRPr="001B26B6">
        <w:rPr>
          <w:rFonts w:ascii="Book Antiqua" w:hAnsi="Book Antiqua" w:cs="Arial"/>
          <w:i/>
          <w:iCs/>
          <w:color w:val="000000" w:themeColor="text1"/>
          <w:lang w:val="en-US"/>
        </w:rPr>
        <w:t>World J Gastrointest Endosc</w:t>
      </w:r>
      <w:r w:rsidRPr="001B26B6">
        <w:rPr>
          <w:rFonts w:ascii="Book Antiqua" w:hAnsi="Book Antiqua" w:cs="Arial"/>
          <w:color w:val="000000" w:themeColor="text1"/>
          <w:lang w:val="en-US"/>
        </w:rPr>
        <w:t> 2016; </w:t>
      </w:r>
      <w:r w:rsidRPr="001B26B6">
        <w:rPr>
          <w:rFonts w:ascii="Book Antiqua" w:hAnsi="Book Antiqua" w:cs="Arial"/>
          <w:b/>
          <w:bCs/>
          <w:color w:val="000000" w:themeColor="text1"/>
          <w:lang w:val="en-US"/>
        </w:rPr>
        <w:t>8</w:t>
      </w:r>
      <w:r w:rsidRPr="001B26B6">
        <w:rPr>
          <w:rFonts w:ascii="Book Antiqua" w:hAnsi="Book Antiqua" w:cs="Arial"/>
          <w:color w:val="000000" w:themeColor="text1"/>
          <w:lang w:val="en-US"/>
        </w:rPr>
        <w:t>: 572-583 [PMID: 27668067 DOI: 10.4253/wjge.v8.i17.572]</w:t>
      </w:r>
    </w:p>
    <w:p w14:paraId="1B358BE3"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21 </w:t>
      </w:r>
      <w:r w:rsidRPr="001B26B6">
        <w:rPr>
          <w:rFonts w:ascii="Book Antiqua" w:hAnsi="Book Antiqua" w:cs="Arial"/>
          <w:b/>
          <w:bCs/>
          <w:color w:val="000000" w:themeColor="text1"/>
          <w:lang w:val="en-US"/>
        </w:rPr>
        <w:t>Doherty GA</w:t>
      </w:r>
      <w:r w:rsidRPr="001B26B6">
        <w:rPr>
          <w:rFonts w:ascii="Book Antiqua" w:hAnsi="Book Antiqua" w:cs="Arial"/>
          <w:color w:val="000000" w:themeColor="text1"/>
          <w:lang w:val="en-US"/>
        </w:rPr>
        <w:t>, Moss AC, Cheifetz AS. Capsule endoscopy for small-bowel evaluation in Crohn's disease. </w:t>
      </w:r>
      <w:r w:rsidRPr="001B26B6">
        <w:rPr>
          <w:rFonts w:ascii="Book Antiqua" w:hAnsi="Book Antiqua" w:cs="Arial"/>
          <w:i/>
          <w:iCs/>
          <w:color w:val="000000" w:themeColor="text1"/>
          <w:lang w:val="en-US"/>
        </w:rPr>
        <w:t>Gastrointest Endosc</w:t>
      </w:r>
      <w:r w:rsidRPr="001B26B6">
        <w:rPr>
          <w:rFonts w:ascii="Book Antiqua" w:hAnsi="Book Antiqua" w:cs="Arial"/>
          <w:color w:val="000000" w:themeColor="text1"/>
          <w:lang w:val="en-US"/>
        </w:rPr>
        <w:t> 2011; </w:t>
      </w:r>
      <w:r w:rsidRPr="001B26B6">
        <w:rPr>
          <w:rFonts w:ascii="Book Antiqua" w:hAnsi="Book Antiqua" w:cs="Arial"/>
          <w:b/>
          <w:bCs/>
          <w:color w:val="000000" w:themeColor="text1"/>
          <w:lang w:val="en-US"/>
        </w:rPr>
        <w:t>74</w:t>
      </w:r>
      <w:r w:rsidRPr="001B26B6">
        <w:rPr>
          <w:rFonts w:ascii="Book Antiqua" w:hAnsi="Book Antiqua" w:cs="Arial"/>
          <w:color w:val="000000" w:themeColor="text1"/>
          <w:lang w:val="en-US"/>
        </w:rPr>
        <w:t>: 167-175 [PMID: 21497806 DOI: 10.1016/j.gie.2011.01.067]</w:t>
      </w:r>
    </w:p>
    <w:p w14:paraId="70443F2E"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22 </w:t>
      </w:r>
      <w:r w:rsidRPr="001B26B6">
        <w:rPr>
          <w:rFonts w:ascii="Book Antiqua" w:hAnsi="Book Antiqua" w:cs="Arial"/>
          <w:b/>
          <w:bCs/>
          <w:color w:val="000000" w:themeColor="text1"/>
          <w:lang w:val="en-US"/>
        </w:rPr>
        <w:t>Zwinger LL</w:t>
      </w:r>
      <w:r w:rsidRPr="001B26B6">
        <w:rPr>
          <w:rFonts w:ascii="Book Antiqua" w:hAnsi="Book Antiqua" w:cs="Arial"/>
          <w:color w:val="000000" w:themeColor="text1"/>
          <w:lang w:val="en-US"/>
        </w:rPr>
        <w:t>, Siegmund B, Stroux A, Adler A, Veltzke-Schlieker W, Wentrup R, Jürgensen C, Wiedenmann B, Wiedbrauck F, Hollerbach S, Liceni T, Bojarski C. CapsoCam SV-1 Versus PillCam SB 3 in the Detection of Obscure Gastrointestinal Bleeding: Results of a Prospective Randomized Comparative Multicenter Study. </w:t>
      </w:r>
      <w:r w:rsidRPr="001B26B6">
        <w:rPr>
          <w:rFonts w:ascii="Book Antiqua" w:hAnsi="Book Antiqua" w:cs="Arial"/>
          <w:i/>
          <w:iCs/>
          <w:color w:val="000000" w:themeColor="text1"/>
          <w:lang w:val="en-US"/>
        </w:rPr>
        <w:t xml:space="preserve">J </w:t>
      </w:r>
      <w:r w:rsidRPr="001B26B6">
        <w:rPr>
          <w:rFonts w:ascii="Book Antiqua" w:hAnsi="Book Antiqua" w:cs="Arial"/>
          <w:i/>
          <w:iCs/>
          <w:color w:val="000000" w:themeColor="text1"/>
          <w:lang w:val="en-US"/>
        </w:rPr>
        <w:lastRenderedPageBreak/>
        <w:t>Clin Gastroenterol</w:t>
      </w:r>
      <w:r w:rsidRPr="001B26B6">
        <w:rPr>
          <w:rFonts w:ascii="Book Antiqua" w:hAnsi="Book Antiqua" w:cs="Arial"/>
          <w:color w:val="000000" w:themeColor="text1"/>
          <w:lang w:val="en-US"/>
        </w:rPr>
        <w:t> 2019; </w:t>
      </w:r>
      <w:r w:rsidRPr="001B26B6">
        <w:rPr>
          <w:rFonts w:ascii="Book Antiqua" w:hAnsi="Book Antiqua" w:cs="Arial"/>
          <w:b/>
          <w:bCs/>
          <w:color w:val="000000" w:themeColor="text1"/>
          <w:lang w:val="en-US"/>
        </w:rPr>
        <w:t>53</w:t>
      </w:r>
      <w:r w:rsidRPr="001B26B6">
        <w:rPr>
          <w:rFonts w:ascii="Book Antiqua" w:hAnsi="Book Antiqua" w:cs="Arial"/>
          <w:color w:val="000000" w:themeColor="text1"/>
          <w:lang w:val="en-US"/>
        </w:rPr>
        <w:t>: e101-e106 [PMID: 29369240 DOI: 10.1097/MCG.0000000000000994]</w:t>
      </w:r>
    </w:p>
    <w:p w14:paraId="0538BF00"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23 </w:t>
      </w:r>
      <w:r w:rsidRPr="001B26B6">
        <w:rPr>
          <w:rFonts w:ascii="Book Antiqua" w:hAnsi="Book Antiqua" w:cs="Arial"/>
          <w:b/>
          <w:bCs/>
          <w:color w:val="000000" w:themeColor="text1"/>
          <w:lang w:val="en-US"/>
        </w:rPr>
        <w:t>Monteiro S</w:t>
      </w:r>
      <w:r w:rsidRPr="001B26B6">
        <w:rPr>
          <w:rFonts w:ascii="Book Antiqua" w:hAnsi="Book Antiqua" w:cs="Arial"/>
          <w:color w:val="000000" w:themeColor="text1"/>
          <w:lang w:val="en-US"/>
        </w:rPr>
        <w:t>, de Castro FD, Carvalho PB, Moreira MJ, Rosa B, Cotter J. PillCam® SB3 capsule: Does the increased frame rate eliminate the risk of missing lesions? </w:t>
      </w:r>
      <w:r w:rsidRPr="001B26B6">
        <w:rPr>
          <w:rFonts w:ascii="Book Antiqua" w:hAnsi="Book Antiqua" w:cs="Arial"/>
          <w:i/>
          <w:iCs/>
          <w:color w:val="000000" w:themeColor="text1"/>
          <w:lang w:val="en-US"/>
        </w:rPr>
        <w:t>World J Gastroenterol</w:t>
      </w:r>
      <w:r w:rsidRPr="001B26B6">
        <w:rPr>
          <w:rFonts w:ascii="Book Antiqua" w:hAnsi="Book Antiqua" w:cs="Arial"/>
          <w:color w:val="000000" w:themeColor="text1"/>
          <w:lang w:val="en-US"/>
        </w:rPr>
        <w:t> 2016; </w:t>
      </w:r>
      <w:r w:rsidRPr="001B26B6">
        <w:rPr>
          <w:rFonts w:ascii="Book Antiqua" w:hAnsi="Book Antiqua" w:cs="Arial"/>
          <w:b/>
          <w:bCs/>
          <w:color w:val="000000" w:themeColor="text1"/>
          <w:lang w:val="en-US"/>
        </w:rPr>
        <w:t>22</w:t>
      </w:r>
      <w:r w:rsidRPr="001B26B6">
        <w:rPr>
          <w:rFonts w:ascii="Book Antiqua" w:hAnsi="Book Antiqua" w:cs="Arial"/>
          <w:color w:val="000000" w:themeColor="text1"/>
          <w:lang w:val="en-US"/>
        </w:rPr>
        <w:t>: 3066-3068 [PMID: 26973404 DOI: 10.3748/wjg.v22.i10.3066]</w:t>
      </w:r>
    </w:p>
    <w:p w14:paraId="6D041D11"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24 </w:t>
      </w:r>
      <w:r w:rsidRPr="001B26B6">
        <w:rPr>
          <w:rFonts w:ascii="Book Antiqua" w:hAnsi="Book Antiqua" w:cs="Arial"/>
          <w:b/>
          <w:bCs/>
          <w:color w:val="000000" w:themeColor="text1"/>
          <w:lang w:val="en-US"/>
        </w:rPr>
        <w:t>McAlindon ME</w:t>
      </w:r>
      <w:r w:rsidRPr="001B26B6">
        <w:rPr>
          <w:rFonts w:ascii="Book Antiqua" w:hAnsi="Book Antiqua" w:cs="Arial"/>
          <w:color w:val="000000" w:themeColor="text1"/>
          <w:lang w:val="en-US"/>
        </w:rPr>
        <w:t>, Ching HL, Yung D, Sidhu R, Koulaouzidis A. Capsule endoscopy of the small bowel. </w:t>
      </w:r>
      <w:r w:rsidRPr="001B26B6">
        <w:rPr>
          <w:rFonts w:ascii="Book Antiqua" w:hAnsi="Book Antiqua" w:cs="Arial"/>
          <w:i/>
          <w:iCs/>
          <w:color w:val="000000" w:themeColor="text1"/>
          <w:lang w:val="en-US"/>
        </w:rPr>
        <w:t>Ann Transl Med</w:t>
      </w:r>
      <w:r w:rsidRPr="001B26B6">
        <w:rPr>
          <w:rFonts w:ascii="Book Antiqua" w:hAnsi="Book Antiqua" w:cs="Arial"/>
          <w:color w:val="000000" w:themeColor="text1"/>
          <w:lang w:val="en-US"/>
        </w:rPr>
        <w:t> 2016; </w:t>
      </w:r>
      <w:r w:rsidRPr="001B26B6">
        <w:rPr>
          <w:rFonts w:ascii="Book Antiqua" w:hAnsi="Book Antiqua" w:cs="Arial"/>
          <w:b/>
          <w:bCs/>
          <w:color w:val="000000" w:themeColor="text1"/>
          <w:lang w:val="en-US"/>
        </w:rPr>
        <w:t>4</w:t>
      </w:r>
      <w:r w:rsidRPr="001B26B6">
        <w:rPr>
          <w:rFonts w:ascii="Book Antiqua" w:hAnsi="Book Antiqua" w:cs="Arial"/>
          <w:color w:val="000000" w:themeColor="text1"/>
          <w:lang w:val="en-US"/>
        </w:rPr>
        <w:t>: 369 [PMID: 27826572 DOI: 10.21037/atm.2016.09.18]</w:t>
      </w:r>
    </w:p>
    <w:p w14:paraId="51DC0C9C"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25 </w:t>
      </w:r>
      <w:r w:rsidRPr="001B26B6">
        <w:rPr>
          <w:rFonts w:ascii="Book Antiqua" w:hAnsi="Book Antiqua" w:cs="Arial"/>
          <w:b/>
          <w:bCs/>
          <w:color w:val="000000" w:themeColor="text1"/>
          <w:lang w:val="en-US"/>
        </w:rPr>
        <w:t>Byrne MF</w:t>
      </w:r>
      <w:r w:rsidRPr="001B26B6">
        <w:rPr>
          <w:rFonts w:ascii="Book Antiqua" w:hAnsi="Book Antiqua" w:cs="Arial"/>
          <w:color w:val="000000" w:themeColor="text1"/>
          <w:lang w:val="en-US"/>
        </w:rPr>
        <w:t>, Donnellan F. Artificial intelligence and capsule endoscopy: Is the truly "smart" capsule nearly here? </w:t>
      </w:r>
      <w:r w:rsidRPr="001B26B6">
        <w:rPr>
          <w:rFonts w:ascii="Book Antiqua" w:hAnsi="Book Antiqua" w:cs="Arial"/>
          <w:i/>
          <w:iCs/>
          <w:color w:val="000000" w:themeColor="text1"/>
          <w:lang w:val="en-US"/>
        </w:rPr>
        <w:t>Gastrointest Endosc</w:t>
      </w:r>
      <w:r w:rsidRPr="001B26B6">
        <w:rPr>
          <w:rFonts w:ascii="Book Antiqua" w:hAnsi="Book Antiqua" w:cs="Arial"/>
          <w:color w:val="000000" w:themeColor="text1"/>
          <w:lang w:val="en-US"/>
        </w:rPr>
        <w:t> 2019; </w:t>
      </w:r>
      <w:r w:rsidRPr="001B26B6">
        <w:rPr>
          <w:rFonts w:ascii="Book Antiqua" w:hAnsi="Book Antiqua" w:cs="Arial"/>
          <w:b/>
          <w:bCs/>
          <w:color w:val="000000" w:themeColor="text1"/>
          <w:lang w:val="en-US"/>
        </w:rPr>
        <w:t>89</w:t>
      </w:r>
      <w:r w:rsidRPr="001B26B6">
        <w:rPr>
          <w:rFonts w:ascii="Book Antiqua" w:hAnsi="Book Antiqua" w:cs="Arial"/>
          <w:color w:val="000000" w:themeColor="text1"/>
          <w:lang w:val="en-US"/>
        </w:rPr>
        <w:t>: 195-197 [PMID: 30567676 DOI: 10.1016/j.gie.2018.08.017]</w:t>
      </w:r>
    </w:p>
    <w:p w14:paraId="01DCAB32"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26 </w:t>
      </w:r>
      <w:r w:rsidRPr="001B26B6">
        <w:rPr>
          <w:rFonts w:ascii="Book Antiqua" w:hAnsi="Book Antiqua" w:cs="Arial"/>
          <w:b/>
          <w:bCs/>
          <w:color w:val="000000" w:themeColor="text1"/>
          <w:lang w:val="en-US"/>
        </w:rPr>
        <w:t>Li J</w:t>
      </w:r>
      <w:r w:rsidRPr="001B26B6">
        <w:rPr>
          <w:rFonts w:ascii="Book Antiqua" w:hAnsi="Book Antiqua" w:cs="Arial"/>
          <w:color w:val="000000" w:themeColor="text1"/>
          <w:lang w:val="en-US"/>
        </w:rPr>
        <w:t>, Leung WK. Colon capsule endoscopy for inflammatory bowel disease. </w:t>
      </w:r>
      <w:r w:rsidRPr="001B26B6">
        <w:rPr>
          <w:rFonts w:ascii="Book Antiqua" w:hAnsi="Book Antiqua" w:cs="Arial"/>
          <w:i/>
          <w:iCs/>
          <w:color w:val="000000" w:themeColor="text1"/>
          <w:lang w:val="en-US"/>
        </w:rPr>
        <w:t>J Dig Dis</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19</w:t>
      </w:r>
      <w:r w:rsidRPr="001B26B6">
        <w:rPr>
          <w:rFonts w:ascii="Book Antiqua" w:hAnsi="Book Antiqua" w:cs="Arial"/>
          <w:color w:val="000000" w:themeColor="text1"/>
          <w:lang w:val="en-US"/>
        </w:rPr>
        <w:t>: 386-394 [PMID: 29869371 DOI: 10.1111/1751-2980.12614]</w:t>
      </w:r>
    </w:p>
    <w:p w14:paraId="09A04D92"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27 </w:t>
      </w:r>
      <w:r w:rsidRPr="001B26B6">
        <w:rPr>
          <w:rFonts w:ascii="Book Antiqua" w:hAnsi="Book Antiqua" w:cs="Arial"/>
          <w:b/>
          <w:bCs/>
          <w:color w:val="000000" w:themeColor="text1"/>
          <w:lang w:val="en-US"/>
        </w:rPr>
        <w:t>Pasha SF</w:t>
      </w:r>
      <w:r w:rsidRPr="001B26B6">
        <w:rPr>
          <w:rFonts w:ascii="Book Antiqua" w:hAnsi="Book Antiqua" w:cs="Arial"/>
          <w:color w:val="000000" w:themeColor="text1"/>
          <w:lang w:val="en-US"/>
        </w:rPr>
        <w:t>. Applications of Colon Capsule Endoscopy. </w:t>
      </w:r>
      <w:r w:rsidRPr="001B26B6">
        <w:rPr>
          <w:rFonts w:ascii="Book Antiqua" w:hAnsi="Book Antiqua" w:cs="Arial"/>
          <w:i/>
          <w:iCs/>
          <w:color w:val="000000" w:themeColor="text1"/>
          <w:lang w:val="en-US"/>
        </w:rPr>
        <w:t>Curr Gastroenterol Rep</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20</w:t>
      </w:r>
      <w:r w:rsidRPr="001B26B6">
        <w:rPr>
          <w:rFonts w:ascii="Book Antiqua" w:hAnsi="Book Antiqua" w:cs="Arial"/>
          <w:color w:val="000000" w:themeColor="text1"/>
          <w:lang w:val="en-US"/>
        </w:rPr>
        <w:t>: 22 [PMID: 29644509 DOI: 10.1007/s11894-018-0628-7]</w:t>
      </w:r>
    </w:p>
    <w:p w14:paraId="65CC9A8D"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28 </w:t>
      </w:r>
      <w:r w:rsidRPr="001B26B6">
        <w:rPr>
          <w:rFonts w:ascii="Book Antiqua" w:hAnsi="Book Antiqua" w:cs="Arial"/>
          <w:b/>
          <w:bCs/>
          <w:color w:val="000000" w:themeColor="text1"/>
          <w:lang w:val="en-US"/>
        </w:rPr>
        <w:t>Spada C</w:t>
      </w:r>
      <w:r w:rsidRPr="001B26B6">
        <w:rPr>
          <w:rFonts w:ascii="Book Antiqua" w:hAnsi="Book Antiqua" w:cs="Arial"/>
          <w:color w:val="000000" w:themeColor="text1"/>
          <w:lang w:val="en-US"/>
        </w:rPr>
        <w:t>, Pasha SF, Gross SA, Leighton JA, Schnoll-Sussman F, Correale L, González Suárez B, Costamagna G, Hassan C. Accuracy of First- and Second-Generation Colon Capsules in Endoscopic Detection of Colorectal Polyps: A Systematic Review and Meta-analysis. </w:t>
      </w:r>
      <w:r w:rsidRPr="001B26B6">
        <w:rPr>
          <w:rFonts w:ascii="Book Antiqua" w:hAnsi="Book Antiqua" w:cs="Arial"/>
          <w:i/>
          <w:iCs/>
          <w:color w:val="000000" w:themeColor="text1"/>
          <w:lang w:val="en-US"/>
        </w:rPr>
        <w:t>Clin Gastroenterol Hepatol</w:t>
      </w:r>
      <w:r w:rsidRPr="001B26B6">
        <w:rPr>
          <w:rFonts w:ascii="Book Antiqua" w:hAnsi="Book Antiqua" w:cs="Arial"/>
          <w:color w:val="000000" w:themeColor="text1"/>
          <w:lang w:val="en-US"/>
        </w:rPr>
        <w:t> 2016; </w:t>
      </w:r>
      <w:r w:rsidRPr="001B26B6">
        <w:rPr>
          <w:rFonts w:ascii="Book Antiqua" w:hAnsi="Book Antiqua" w:cs="Arial"/>
          <w:b/>
          <w:bCs/>
          <w:color w:val="000000" w:themeColor="text1"/>
          <w:lang w:val="en-US"/>
        </w:rPr>
        <w:t>14</w:t>
      </w:r>
      <w:r w:rsidRPr="001B26B6">
        <w:rPr>
          <w:rFonts w:ascii="Book Antiqua" w:hAnsi="Book Antiqua" w:cs="Arial"/>
          <w:color w:val="000000" w:themeColor="text1"/>
          <w:lang w:val="en-US"/>
        </w:rPr>
        <w:t>: 1533-1543.e8 [PMID: 27165469 DOI: 10.1016/j.cgh.2016.04.038]</w:t>
      </w:r>
    </w:p>
    <w:p w14:paraId="7552131D"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29 </w:t>
      </w:r>
      <w:r w:rsidRPr="001B26B6">
        <w:rPr>
          <w:rFonts w:ascii="Book Antiqua" w:hAnsi="Book Antiqua" w:cs="Arial"/>
          <w:b/>
          <w:bCs/>
          <w:color w:val="000000" w:themeColor="text1"/>
          <w:lang w:val="en-US"/>
        </w:rPr>
        <w:t>Hall B</w:t>
      </w:r>
      <w:r w:rsidRPr="001B26B6">
        <w:rPr>
          <w:rFonts w:ascii="Book Antiqua" w:hAnsi="Book Antiqua" w:cs="Arial"/>
          <w:color w:val="000000" w:themeColor="text1"/>
          <w:lang w:val="en-US"/>
        </w:rPr>
        <w:t>, Holleran G, McNamara D. PillCam COLON 2(©) as a pan-enteroscopic test in Crohn's disease. </w:t>
      </w:r>
      <w:r w:rsidRPr="001B26B6">
        <w:rPr>
          <w:rFonts w:ascii="Book Antiqua" w:hAnsi="Book Antiqua" w:cs="Arial"/>
          <w:i/>
          <w:iCs/>
          <w:color w:val="000000" w:themeColor="text1"/>
          <w:lang w:val="en-US"/>
        </w:rPr>
        <w:t>World J Gastrointest Endosc</w:t>
      </w:r>
      <w:r w:rsidRPr="001B26B6">
        <w:rPr>
          <w:rFonts w:ascii="Book Antiqua" w:hAnsi="Book Antiqua" w:cs="Arial"/>
          <w:color w:val="000000" w:themeColor="text1"/>
          <w:lang w:val="en-US"/>
        </w:rPr>
        <w:t> 2015; </w:t>
      </w:r>
      <w:r w:rsidRPr="001B26B6">
        <w:rPr>
          <w:rFonts w:ascii="Book Antiqua" w:hAnsi="Book Antiqua" w:cs="Arial"/>
          <w:b/>
          <w:bCs/>
          <w:color w:val="000000" w:themeColor="text1"/>
          <w:lang w:val="en-US"/>
        </w:rPr>
        <w:t>7</w:t>
      </w:r>
      <w:r w:rsidRPr="001B26B6">
        <w:rPr>
          <w:rFonts w:ascii="Book Antiqua" w:hAnsi="Book Antiqua" w:cs="Arial"/>
          <w:color w:val="000000" w:themeColor="text1"/>
          <w:lang w:val="en-US"/>
        </w:rPr>
        <w:t>: 1230-1232 [PMID: 26566430 DOI: 10.4253/wjge.v7.i16.1230]</w:t>
      </w:r>
    </w:p>
    <w:p w14:paraId="68B432C6"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30 </w:t>
      </w:r>
      <w:r w:rsidRPr="001B26B6">
        <w:rPr>
          <w:rFonts w:ascii="Book Antiqua" w:hAnsi="Book Antiqua" w:cs="Arial"/>
          <w:b/>
          <w:bCs/>
          <w:color w:val="000000" w:themeColor="text1"/>
          <w:lang w:val="en-US"/>
        </w:rPr>
        <w:t>Ye CA</w:t>
      </w:r>
      <w:r w:rsidRPr="001B26B6">
        <w:rPr>
          <w:rFonts w:ascii="Book Antiqua" w:hAnsi="Book Antiqua" w:cs="Arial"/>
          <w:color w:val="000000" w:themeColor="text1"/>
          <w:lang w:val="en-US"/>
        </w:rPr>
        <w:t>, Gao YJ, Ge ZZ, Dai J, Li XB, Xue HB, Ran ZH, Zhao YJ. PillCam colon capsule endoscopy versus conventional colonoscopy for the detection of severity and extent of ulcerative colitis. </w:t>
      </w:r>
      <w:r w:rsidRPr="001B26B6">
        <w:rPr>
          <w:rFonts w:ascii="Book Antiqua" w:hAnsi="Book Antiqua" w:cs="Arial"/>
          <w:i/>
          <w:iCs/>
          <w:color w:val="000000" w:themeColor="text1"/>
          <w:lang w:val="en-US"/>
        </w:rPr>
        <w:t>J Dig Dis</w:t>
      </w:r>
      <w:r w:rsidRPr="001B26B6">
        <w:rPr>
          <w:rFonts w:ascii="Book Antiqua" w:hAnsi="Book Antiqua" w:cs="Arial"/>
          <w:color w:val="000000" w:themeColor="text1"/>
          <w:lang w:val="en-US"/>
        </w:rPr>
        <w:t> 2013; </w:t>
      </w:r>
      <w:r w:rsidRPr="001B26B6">
        <w:rPr>
          <w:rFonts w:ascii="Book Antiqua" w:hAnsi="Book Antiqua" w:cs="Arial"/>
          <w:b/>
          <w:bCs/>
          <w:color w:val="000000" w:themeColor="text1"/>
          <w:lang w:val="en-US"/>
        </w:rPr>
        <w:t>14</w:t>
      </w:r>
      <w:r w:rsidRPr="001B26B6">
        <w:rPr>
          <w:rFonts w:ascii="Book Antiqua" w:hAnsi="Book Antiqua" w:cs="Arial"/>
          <w:color w:val="000000" w:themeColor="text1"/>
          <w:lang w:val="en-US"/>
        </w:rPr>
        <w:t>: 117-124 [PMID: 23134295 DOI: 10.1111/1751-2980.12005]</w:t>
      </w:r>
    </w:p>
    <w:p w14:paraId="640CBDDA"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31 </w:t>
      </w:r>
      <w:r w:rsidRPr="001B26B6">
        <w:rPr>
          <w:rFonts w:ascii="Book Antiqua" w:hAnsi="Book Antiqua" w:cs="Arial"/>
          <w:b/>
          <w:bCs/>
          <w:color w:val="000000" w:themeColor="text1"/>
          <w:lang w:val="en-US"/>
        </w:rPr>
        <w:t>Gralnek IM</w:t>
      </w:r>
      <w:r w:rsidRPr="001B26B6">
        <w:rPr>
          <w:rFonts w:ascii="Book Antiqua" w:hAnsi="Book Antiqua" w:cs="Arial"/>
          <w:color w:val="000000" w:themeColor="text1"/>
          <w:lang w:val="en-US"/>
        </w:rPr>
        <w:t xml:space="preserve">, Adler SN, Yassin K, Koslowsky B, Metzger Y, Eliakim R. Detecting esophageal disease with second-generation capsule endoscopy: initial evaluation of </w:t>
      </w:r>
      <w:r w:rsidRPr="001B26B6">
        <w:rPr>
          <w:rFonts w:ascii="Book Antiqua" w:hAnsi="Book Antiqua" w:cs="Arial"/>
          <w:color w:val="000000" w:themeColor="text1"/>
          <w:lang w:val="en-US"/>
        </w:rPr>
        <w:lastRenderedPageBreak/>
        <w:t>the PillCam ESO 2. </w:t>
      </w:r>
      <w:r w:rsidRPr="001B26B6">
        <w:rPr>
          <w:rFonts w:ascii="Book Antiqua" w:hAnsi="Book Antiqua" w:cs="Arial"/>
          <w:i/>
          <w:iCs/>
          <w:color w:val="000000" w:themeColor="text1"/>
          <w:lang w:val="en-US"/>
        </w:rPr>
        <w:t>Endoscopy</w:t>
      </w:r>
      <w:r w:rsidRPr="001B26B6">
        <w:rPr>
          <w:rFonts w:ascii="Book Antiqua" w:hAnsi="Book Antiqua" w:cs="Arial"/>
          <w:color w:val="000000" w:themeColor="text1"/>
          <w:lang w:val="en-US"/>
        </w:rPr>
        <w:t> 2008; </w:t>
      </w:r>
      <w:r w:rsidRPr="001B26B6">
        <w:rPr>
          <w:rFonts w:ascii="Book Antiqua" w:hAnsi="Book Antiqua" w:cs="Arial"/>
          <w:b/>
          <w:bCs/>
          <w:color w:val="000000" w:themeColor="text1"/>
          <w:lang w:val="en-US"/>
        </w:rPr>
        <w:t>40</w:t>
      </w:r>
      <w:r w:rsidRPr="001B26B6">
        <w:rPr>
          <w:rFonts w:ascii="Book Antiqua" w:hAnsi="Book Antiqua" w:cs="Arial"/>
          <w:color w:val="000000" w:themeColor="text1"/>
          <w:lang w:val="en-US"/>
        </w:rPr>
        <w:t>: 275-279 [PMID: 18389444 DOI: 10.1055/s-2007-995645]</w:t>
      </w:r>
    </w:p>
    <w:p w14:paraId="57DC51ED"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32 </w:t>
      </w:r>
      <w:r w:rsidRPr="001B26B6">
        <w:rPr>
          <w:rFonts w:ascii="Book Antiqua" w:hAnsi="Book Antiqua" w:cs="Arial"/>
          <w:b/>
          <w:bCs/>
          <w:color w:val="000000" w:themeColor="text1"/>
          <w:lang w:val="en-US"/>
        </w:rPr>
        <w:t>di Pietro M</w:t>
      </w:r>
      <w:r w:rsidRPr="001B26B6">
        <w:rPr>
          <w:rFonts w:ascii="Book Antiqua" w:hAnsi="Book Antiqua" w:cs="Arial"/>
          <w:color w:val="000000" w:themeColor="text1"/>
          <w:lang w:val="en-US"/>
        </w:rPr>
        <w:t>, Canto MI, Fitzgerald RC. Endoscopic Management of Early Adenocarcinoma and Squamous Cell Carcinoma of the Esophagus: Screening, Diagnosis, and Therapy. </w:t>
      </w:r>
      <w:r w:rsidRPr="001B26B6">
        <w:rPr>
          <w:rFonts w:ascii="Book Antiqua" w:hAnsi="Book Antiqua" w:cs="Arial"/>
          <w:i/>
          <w:iCs/>
          <w:color w:val="000000" w:themeColor="text1"/>
          <w:lang w:val="en-US"/>
        </w:rPr>
        <w:t>Gastroenterology</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154</w:t>
      </w:r>
      <w:r w:rsidRPr="001B26B6">
        <w:rPr>
          <w:rFonts w:ascii="Book Antiqua" w:hAnsi="Book Antiqua" w:cs="Arial"/>
          <w:color w:val="000000" w:themeColor="text1"/>
          <w:lang w:val="en-US"/>
        </w:rPr>
        <w:t>: 421-436 [PMID: 28778650 DOI: 10.1053/j.gastro.2017.07.041]</w:t>
      </w:r>
    </w:p>
    <w:p w14:paraId="3A3FC2FF"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33 </w:t>
      </w:r>
      <w:r w:rsidRPr="001B26B6">
        <w:rPr>
          <w:rFonts w:ascii="Book Antiqua" w:hAnsi="Book Antiqua" w:cs="Arial"/>
          <w:b/>
          <w:bCs/>
          <w:color w:val="000000" w:themeColor="text1"/>
          <w:lang w:val="en-US"/>
        </w:rPr>
        <w:t>Gralnek IM</w:t>
      </w:r>
      <w:r w:rsidRPr="001B26B6">
        <w:rPr>
          <w:rFonts w:ascii="Book Antiqua" w:hAnsi="Book Antiqua" w:cs="Arial"/>
          <w:color w:val="000000" w:themeColor="text1"/>
          <w:lang w:val="en-US"/>
        </w:rPr>
        <w:t>, Ching JY, Maza I, Wu JC, Rainer TH, Israelit S, Klein A, Chan FK, Ephrath H, Eliakim R, Peled R, Sung JJ. Capsule endoscopy in acute upper gastrointestinal hemorrhage: a prospective cohort study. </w:t>
      </w:r>
      <w:r w:rsidRPr="001B26B6">
        <w:rPr>
          <w:rFonts w:ascii="Book Antiqua" w:hAnsi="Book Antiqua" w:cs="Arial"/>
          <w:i/>
          <w:iCs/>
          <w:color w:val="000000" w:themeColor="text1"/>
          <w:lang w:val="en-US"/>
        </w:rPr>
        <w:t>Endoscopy</w:t>
      </w:r>
      <w:r w:rsidRPr="001B26B6">
        <w:rPr>
          <w:rFonts w:ascii="Book Antiqua" w:hAnsi="Book Antiqua" w:cs="Arial"/>
          <w:color w:val="000000" w:themeColor="text1"/>
          <w:lang w:val="en-US"/>
        </w:rPr>
        <w:t> 2013; </w:t>
      </w:r>
      <w:r w:rsidRPr="001B26B6">
        <w:rPr>
          <w:rFonts w:ascii="Book Antiqua" w:hAnsi="Book Antiqua" w:cs="Arial"/>
          <w:b/>
          <w:bCs/>
          <w:color w:val="000000" w:themeColor="text1"/>
          <w:lang w:val="en-US"/>
        </w:rPr>
        <w:t>45</w:t>
      </w:r>
      <w:r w:rsidRPr="001B26B6">
        <w:rPr>
          <w:rFonts w:ascii="Book Antiqua" w:hAnsi="Book Antiqua" w:cs="Arial"/>
          <w:color w:val="000000" w:themeColor="text1"/>
          <w:lang w:val="en-US"/>
        </w:rPr>
        <w:t>: 12-19 [PMID: 23254402 DOI: 10.1055/s-0032-1325933]</w:t>
      </w:r>
    </w:p>
    <w:p w14:paraId="3B287892"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34 </w:t>
      </w:r>
      <w:r w:rsidRPr="001B26B6">
        <w:rPr>
          <w:rFonts w:ascii="Book Antiqua" w:hAnsi="Book Antiqua" w:cs="Arial"/>
          <w:b/>
          <w:bCs/>
          <w:color w:val="000000" w:themeColor="text1"/>
          <w:lang w:val="en-US"/>
        </w:rPr>
        <w:t>McCarty TR</w:t>
      </w:r>
      <w:r w:rsidRPr="001B26B6">
        <w:rPr>
          <w:rFonts w:ascii="Book Antiqua" w:hAnsi="Book Antiqua" w:cs="Arial"/>
          <w:color w:val="000000" w:themeColor="text1"/>
          <w:lang w:val="en-US"/>
        </w:rPr>
        <w:t>, Afinogenova Y, Njei B. Use of Wireless Capsule Endoscopy for the Diagnosis and Grading of Esophageal Varices in Patients With Portal Hypertension: A Systematic Review and Meta-Analysis. </w:t>
      </w:r>
      <w:r w:rsidRPr="001B26B6">
        <w:rPr>
          <w:rFonts w:ascii="Book Antiqua" w:hAnsi="Book Antiqua" w:cs="Arial"/>
          <w:i/>
          <w:iCs/>
          <w:color w:val="000000" w:themeColor="text1"/>
          <w:lang w:val="en-US"/>
        </w:rPr>
        <w:t>J Clin Gastroenterol</w:t>
      </w:r>
      <w:r w:rsidRPr="001B26B6">
        <w:rPr>
          <w:rFonts w:ascii="Book Antiqua" w:hAnsi="Book Antiqua" w:cs="Arial"/>
          <w:color w:val="000000" w:themeColor="text1"/>
          <w:lang w:val="en-US"/>
        </w:rPr>
        <w:t> 2017; </w:t>
      </w:r>
      <w:r w:rsidRPr="001B26B6">
        <w:rPr>
          <w:rFonts w:ascii="Book Antiqua" w:hAnsi="Book Antiqua" w:cs="Arial"/>
          <w:b/>
          <w:bCs/>
          <w:color w:val="000000" w:themeColor="text1"/>
          <w:lang w:val="en-US"/>
        </w:rPr>
        <w:t>51</w:t>
      </w:r>
      <w:r w:rsidRPr="001B26B6">
        <w:rPr>
          <w:rFonts w:ascii="Book Antiqua" w:hAnsi="Book Antiqua" w:cs="Arial"/>
          <w:color w:val="000000" w:themeColor="text1"/>
          <w:lang w:val="en-US"/>
        </w:rPr>
        <w:t>: 174-182 [PMID: 27548729 DOI: 10.1097/MCG.0000000000000589]</w:t>
      </w:r>
    </w:p>
    <w:p w14:paraId="1AA63AE7"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35 </w:t>
      </w:r>
      <w:r w:rsidRPr="001B26B6">
        <w:rPr>
          <w:rFonts w:ascii="Book Antiqua" w:hAnsi="Book Antiqua" w:cs="Arial"/>
          <w:b/>
          <w:bCs/>
          <w:color w:val="000000" w:themeColor="text1"/>
          <w:lang w:val="en-US"/>
        </w:rPr>
        <w:t>Slawinski PR</w:t>
      </w:r>
      <w:r w:rsidRPr="001B26B6">
        <w:rPr>
          <w:rFonts w:ascii="Book Antiqua" w:hAnsi="Book Antiqua" w:cs="Arial"/>
          <w:color w:val="000000" w:themeColor="text1"/>
          <w:lang w:val="en-US"/>
        </w:rPr>
        <w:t>, Obstein KL, Valdastri P. Capsule endoscopy of the future: What's on the horizon? </w:t>
      </w:r>
      <w:r w:rsidRPr="001B26B6">
        <w:rPr>
          <w:rFonts w:ascii="Book Antiqua" w:hAnsi="Book Antiqua" w:cs="Arial"/>
          <w:i/>
          <w:iCs/>
          <w:color w:val="000000" w:themeColor="text1"/>
          <w:lang w:val="en-US"/>
        </w:rPr>
        <w:t>World J Gastroenterol</w:t>
      </w:r>
      <w:r w:rsidRPr="001B26B6">
        <w:rPr>
          <w:rFonts w:ascii="Book Antiqua" w:hAnsi="Book Antiqua" w:cs="Arial"/>
          <w:color w:val="000000" w:themeColor="text1"/>
          <w:lang w:val="en-US"/>
        </w:rPr>
        <w:t> 2015; </w:t>
      </w:r>
      <w:r w:rsidRPr="001B26B6">
        <w:rPr>
          <w:rFonts w:ascii="Book Antiqua" w:hAnsi="Book Antiqua" w:cs="Arial"/>
          <w:b/>
          <w:bCs/>
          <w:color w:val="000000" w:themeColor="text1"/>
          <w:lang w:val="en-US"/>
        </w:rPr>
        <w:t>21</w:t>
      </w:r>
      <w:r w:rsidRPr="001B26B6">
        <w:rPr>
          <w:rFonts w:ascii="Book Antiqua" w:hAnsi="Book Antiqua" w:cs="Arial"/>
          <w:color w:val="000000" w:themeColor="text1"/>
          <w:lang w:val="en-US"/>
        </w:rPr>
        <w:t>: 10528-10541 [PMID: 26457013 DOI: 10.3748/wjg.v21.i37.10528]</w:t>
      </w:r>
    </w:p>
    <w:p w14:paraId="762E7CCB" w14:textId="0B1C7DFB"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highlight w:val="yellow"/>
          <w:lang w:val="en-US"/>
        </w:rPr>
        <w:t>36 </w:t>
      </w:r>
      <w:r w:rsidRPr="001B26B6">
        <w:rPr>
          <w:rFonts w:ascii="Book Antiqua" w:hAnsi="Book Antiqua" w:cs="Arial"/>
          <w:b/>
          <w:bCs/>
          <w:color w:val="000000" w:themeColor="text1"/>
          <w:highlight w:val="yellow"/>
          <w:lang w:val="en-US"/>
        </w:rPr>
        <w:t>Mahoney AW</w:t>
      </w:r>
      <w:r w:rsidRPr="001B26B6">
        <w:rPr>
          <w:rFonts w:ascii="Book Antiqua" w:hAnsi="Book Antiqua" w:cs="Arial"/>
          <w:color w:val="000000" w:themeColor="text1"/>
          <w:highlight w:val="yellow"/>
          <w:lang w:val="en-US"/>
        </w:rPr>
        <w:t xml:space="preserve">, Abbott JJ. Five-degree-of-freedom manipulation of an untethered magnetic device in fluid using a single permanent magnet with application in stomach capsule endoscopy. </w:t>
      </w:r>
      <w:r w:rsidRPr="001B26B6">
        <w:rPr>
          <w:rFonts w:ascii="Book Antiqua" w:hAnsi="Book Antiqua" w:cs="Arial"/>
          <w:i/>
          <w:iCs/>
          <w:color w:val="000000" w:themeColor="text1"/>
          <w:highlight w:val="yellow"/>
          <w:lang w:val="en-US"/>
        </w:rPr>
        <w:t>Int J Rob Res</w:t>
      </w:r>
      <w:r w:rsidRPr="001B26B6">
        <w:rPr>
          <w:rFonts w:ascii="Book Antiqua" w:hAnsi="Book Antiqua" w:cs="Arial"/>
          <w:color w:val="000000" w:themeColor="text1"/>
          <w:highlight w:val="yellow"/>
          <w:lang w:val="en-US"/>
        </w:rPr>
        <w:t xml:space="preserve"> 2016; </w:t>
      </w:r>
      <w:r w:rsidRPr="001B26B6">
        <w:rPr>
          <w:rFonts w:ascii="Book Antiqua" w:hAnsi="Book Antiqua" w:cs="Arial"/>
          <w:b/>
          <w:bCs/>
          <w:color w:val="000000" w:themeColor="text1"/>
          <w:highlight w:val="yellow"/>
          <w:lang w:val="en-US"/>
        </w:rPr>
        <w:t>35</w:t>
      </w:r>
      <w:r w:rsidRPr="001B26B6">
        <w:rPr>
          <w:rFonts w:ascii="Book Antiqua" w:hAnsi="Book Antiqua" w:cs="Arial"/>
          <w:color w:val="000000" w:themeColor="text1"/>
          <w:highlight w:val="yellow"/>
          <w:lang w:val="en-US"/>
        </w:rPr>
        <w:t>: 129-147 [DOI: 10.1177</w:t>
      </w:r>
      <w:r w:rsidR="00893912" w:rsidRPr="00893912">
        <w:rPr>
          <w:rFonts w:ascii="Book Antiqua" w:eastAsia="宋体" w:hAnsi="Book Antiqua" w:cs="宋体"/>
          <w:color w:val="000000" w:themeColor="text1"/>
          <w:highlight w:val="yellow"/>
          <w:lang w:val="en-US" w:eastAsia="zh-CN"/>
        </w:rPr>
        <w:t>/</w:t>
      </w:r>
      <w:r w:rsidRPr="001B26B6">
        <w:rPr>
          <w:rFonts w:ascii="Book Antiqua" w:hAnsi="Book Antiqua" w:cs="Arial"/>
          <w:color w:val="000000" w:themeColor="text1"/>
          <w:highlight w:val="yellow"/>
          <w:lang w:val="en-US"/>
        </w:rPr>
        <w:t>2F0278364914558006]</w:t>
      </w:r>
    </w:p>
    <w:p w14:paraId="70765F85"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37 </w:t>
      </w:r>
      <w:r w:rsidRPr="001B26B6">
        <w:rPr>
          <w:rFonts w:ascii="Book Antiqua" w:hAnsi="Book Antiqua" w:cs="Arial"/>
          <w:b/>
          <w:bCs/>
          <w:color w:val="000000" w:themeColor="text1"/>
          <w:lang w:val="en-US"/>
        </w:rPr>
        <w:t>Shamsudhin N</w:t>
      </w:r>
      <w:r w:rsidRPr="001B26B6">
        <w:rPr>
          <w:rFonts w:ascii="Book Antiqua" w:hAnsi="Book Antiqua" w:cs="Arial"/>
          <w:color w:val="000000" w:themeColor="text1"/>
          <w:lang w:val="en-US"/>
        </w:rPr>
        <w:t>, Zverev VI, Keller H, Pane S, Egolf PW, Nelson BJ, Tishin AM. Magnetically guided capsule endoscopy. </w:t>
      </w:r>
      <w:r w:rsidRPr="001B26B6">
        <w:rPr>
          <w:rFonts w:ascii="Book Antiqua" w:hAnsi="Book Antiqua" w:cs="Arial"/>
          <w:i/>
          <w:iCs/>
          <w:color w:val="000000" w:themeColor="text1"/>
          <w:lang w:val="en-US"/>
        </w:rPr>
        <w:t>Med Phys</w:t>
      </w:r>
      <w:r w:rsidRPr="001B26B6">
        <w:rPr>
          <w:rFonts w:ascii="Book Antiqua" w:hAnsi="Book Antiqua" w:cs="Arial"/>
          <w:color w:val="000000" w:themeColor="text1"/>
          <w:lang w:val="en-US"/>
        </w:rPr>
        <w:t> 2017; </w:t>
      </w:r>
      <w:r w:rsidRPr="001B26B6">
        <w:rPr>
          <w:rFonts w:ascii="Book Antiqua" w:hAnsi="Book Antiqua" w:cs="Arial"/>
          <w:b/>
          <w:bCs/>
          <w:color w:val="000000" w:themeColor="text1"/>
          <w:lang w:val="en-US"/>
        </w:rPr>
        <w:t>44</w:t>
      </w:r>
      <w:r w:rsidRPr="001B26B6">
        <w:rPr>
          <w:rFonts w:ascii="Book Antiqua" w:hAnsi="Book Antiqua" w:cs="Arial"/>
          <w:color w:val="000000" w:themeColor="text1"/>
          <w:lang w:val="en-US"/>
        </w:rPr>
        <w:t>: e91-e111 [PMID: 28437000 DOI: 10.1002/mp.12299]</w:t>
      </w:r>
    </w:p>
    <w:p w14:paraId="083B6130"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38 </w:t>
      </w:r>
      <w:r w:rsidRPr="001B26B6">
        <w:rPr>
          <w:rFonts w:ascii="Book Antiqua" w:hAnsi="Book Antiqua" w:cs="Arial"/>
          <w:b/>
          <w:bCs/>
          <w:color w:val="000000" w:themeColor="text1"/>
          <w:lang w:val="en-US"/>
        </w:rPr>
        <w:t>Ching HL</w:t>
      </w:r>
      <w:r w:rsidRPr="001B26B6">
        <w:rPr>
          <w:rFonts w:ascii="Book Antiqua" w:hAnsi="Book Antiqua" w:cs="Arial"/>
          <w:color w:val="000000" w:themeColor="text1"/>
          <w:lang w:val="en-US"/>
        </w:rPr>
        <w:t>, Healy A, Thurston V, Hale MF, Sidhu R, McAlindon ME. Upper gastrointestinal tract capsule endoscopy using a nurse-led protocol: First reported experience. </w:t>
      </w:r>
      <w:r w:rsidRPr="001B26B6">
        <w:rPr>
          <w:rFonts w:ascii="Book Antiqua" w:hAnsi="Book Antiqua" w:cs="Arial"/>
          <w:i/>
          <w:iCs/>
          <w:color w:val="000000" w:themeColor="text1"/>
          <w:lang w:val="en-US"/>
        </w:rPr>
        <w:t>World J Gastroenterol</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24</w:t>
      </w:r>
      <w:r w:rsidRPr="001B26B6">
        <w:rPr>
          <w:rFonts w:ascii="Book Antiqua" w:hAnsi="Book Antiqua" w:cs="Arial"/>
          <w:color w:val="000000" w:themeColor="text1"/>
          <w:lang w:val="en-US"/>
        </w:rPr>
        <w:t>: 2893-2901 [PMID: 30018484 DOI: 10.3748/wjg.v24.i26.2893]</w:t>
      </w:r>
    </w:p>
    <w:p w14:paraId="690C2941"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39 </w:t>
      </w:r>
      <w:r w:rsidRPr="001B26B6">
        <w:rPr>
          <w:rFonts w:ascii="Book Antiqua" w:hAnsi="Book Antiqua" w:cs="Arial"/>
          <w:b/>
          <w:bCs/>
          <w:color w:val="000000" w:themeColor="text1"/>
          <w:lang w:val="en-US"/>
        </w:rPr>
        <w:t>Zhao AJ</w:t>
      </w:r>
      <w:r w:rsidRPr="001B26B6">
        <w:rPr>
          <w:rFonts w:ascii="Book Antiqua" w:hAnsi="Book Antiqua" w:cs="Arial"/>
          <w:color w:val="000000" w:themeColor="text1"/>
          <w:lang w:val="en-US"/>
        </w:rPr>
        <w:t xml:space="preserve">, Qian YY, Sun H, Hou X, Pan J, Liu X, Zhou W, Chen YZ, Jiang X, Li ZS, Liao Z. Screening for gastric cancer with magnetically controlled capsule </w:t>
      </w:r>
      <w:r w:rsidRPr="001B26B6">
        <w:rPr>
          <w:rFonts w:ascii="Book Antiqua" w:hAnsi="Book Antiqua" w:cs="Arial"/>
          <w:color w:val="000000" w:themeColor="text1"/>
          <w:lang w:val="en-US"/>
        </w:rPr>
        <w:lastRenderedPageBreak/>
        <w:t>gastroscopy in asymptomatic individuals. </w:t>
      </w:r>
      <w:r w:rsidRPr="001B26B6">
        <w:rPr>
          <w:rFonts w:ascii="Book Antiqua" w:hAnsi="Book Antiqua" w:cs="Arial"/>
          <w:i/>
          <w:iCs/>
          <w:color w:val="000000" w:themeColor="text1"/>
          <w:lang w:val="en-US"/>
        </w:rPr>
        <w:t>Gastrointest Endosc</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88</w:t>
      </w:r>
      <w:r w:rsidRPr="001B26B6">
        <w:rPr>
          <w:rFonts w:ascii="Book Antiqua" w:hAnsi="Book Antiqua" w:cs="Arial"/>
          <w:color w:val="000000" w:themeColor="text1"/>
          <w:lang w:val="en-US"/>
        </w:rPr>
        <w:t>: 466-474.e1 [PMID: 29753039 DOI: 10.1016/j.gie.2018.05.003]</w:t>
      </w:r>
    </w:p>
    <w:p w14:paraId="12979302" w14:textId="2B97B7D6"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highlight w:val="yellow"/>
          <w:lang w:val="en-US"/>
        </w:rPr>
        <w:t>40 </w:t>
      </w:r>
      <w:r w:rsidRPr="001B26B6">
        <w:rPr>
          <w:rFonts w:ascii="Book Antiqua" w:hAnsi="Book Antiqua" w:cs="Arial"/>
          <w:b/>
          <w:bCs/>
          <w:color w:val="000000" w:themeColor="text1"/>
          <w:highlight w:val="yellow"/>
          <w:lang w:val="en-US"/>
        </w:rPr>
        <w:t>Kong K</w:t>
      </w:r>
      <w:r w:rsidRPr="001B26B6">
        <w:rPr>
          <w:rFonts w:ascii="Book Antiqua" w:hAnsi="Book Antiqua" w:cs="Arial"/>
          <w:color w:val="000000" w:themeColor="text1"/>
          <w:highlight w:val="yellow"/>
          <w:lang w:val="en-US"/>
        </w:rPr>
        <w:t xml:space="preserve">, Yim S, Choi S, Jeon D. A robotic biopsy device for capsule endoscopy. </w:t>
      </w:r>
      <w:r w:rsidRPr="00BC0572">
        <w:rPr>
          <w:rFonts w:ascii="Book Antiqua" w:hAnsi="Book Antiqua" w:cs="Arial"/>
          <w:i/>
          <w:iCs/>
          <w:color w:val="000000" w:themeColor="text1"/>
          <w:highlight w:val="yellow"/>
          <w:lang w:val="en-US"/>
        </w:rPr>
        <w:t>J Med Device</w:t>
      </w:r>
      <w:r w:rsidR="00BC0572">
        <w:rPr>
          <w:rFonts w:ascii="Book Antiqua" w:hAnsi="Book Antiqua" w:cs="Arial"/>
          <w:color w:val="000000" w:themeColor="text1"/>
          <w:highlight w:val="yellow"/>
          <w:lang w:val="en-US"/>
        </w:rPr>
        <w:t xml:space="preserve"> </w:t>
      </w:r>
      <w:r w:rsidRPr="001B26B6">
        <w:rPr>
          <w:rFonts w:ascii="Book Antiqua" w:hAnsi="Book Antiqua" w:cs="Arial"/>
          <w:color w:val="000000" w:themeColor="text1"/>
          <w:highlight w:val="yellow"/>
          <w:lang w:val="en-US"/>
        </w:rPr>
        <w:t xml:space="preserve">2012; </w:t>
      </w:r>
      <w:r w:rsidRPr="001B26B6">
        <w:rPr>
          <w:rFonts w:ascii="Book Antiqua" w:hAnsi="Book Antiqua" w:cs="Arial"/>
          <w:b/>
          <w:bCs/>
          <w:color w:val="000000" w:themeColor="text1"/>
          <w:highlight w:val="yellow"/>
          <w:lang w:val="en-US"/>
        </w:rPr>
        <w:t>6</w:t>
      </w:r>
      <w:r w:rsidRPr="001B26B6">
        <w:rPr>
          <w:rFonts w:ascii="Book Antiqua" w:hAnsi="Book Antiqua" w:cs="Arial"/>
          <w:color w:val="000000" w:themeColor="text1"/>
          <w:highlight w:val="yellow"/>
          <w:lang w:val="en-US"/>
        </w:rPr>
        <w:t>: 31004 [DOI: 10.1115/1.4007100]</w:t>
      </w:r>
    </w:p>
    <w:p w14:paraId="5BEF78E2"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41 </w:t>
      </w:r>
      <w:r w:rsidRPr="001B26B6">
        <w:rPr>
          <w:rFonts w:ascii="Book Antiqua" w:hAnsi="Book Antiqua" w:cs="Arial"/>
          <w:b/>
          <w:bCs/>
          <w:color w:val="000000" w:themeColor="text1"/>
          <w:lang w:val="en-US"/>
        </w:rPr>
        <w:t>Ciuti G</w:t>
      </w:r>
      <w:r w:rsidRPr="001B26B6">
        <w:rPr>
          <w:rFonts w:ascii="Book Antiqua" w:hAnsi="Book Antiqua" w:cs="Arial"/>
          <w:color w:val="000000" w:themeColor="text1"/>
          <w:lang w:val="en-US"/>
        </w:rPr>
        <w:t>, Donlin R, Valdastri P, Arezzo A, Menciassi A, Morino M, Dario P. Robotic versus manual control in magnetic steering of an endoscopic capsule. </w:t>
      </w:r>
      <w:r w:rsidRPr="001B26B6">
        <w:rPr>
          <w:rFonts w:ascii="Book Antiqua" w:hAnsi="Book Antiqua" w:cs="Arial"/>
          <w:i/>
          <w:iCs/>
          <w:color w:val="000000" w:themeColor="text1"/>
          <w:lang w:val="en-US"/>
        </w:rPr>
        <w:t>Endoscopy</w:t>
      </w:r>
      <w:r w:rsidRPr="001B26B6">
        <w:rPr>
          <w:rFonts w:ascii="Book Antiqua" w:hAnsi="Book Antiqua" w:cs="Arial"/>
          <w:color w:val="000000" w:themeColor="text1"/>
          <w:lang w:val="en-US"/>
        </w:rPr>
        <w:t> 2010; </w:t>
      </w:r>
      <w:r w:rsidRPr="001B26B6">
        <w:rPr>
          <w:rFonts w:ascii="Book Antiqua" w:hAnsi="Book Antiqua" w:cs="Arial"/>
          <w:b/>
          <w:bCs/>
          <w:color w:val="000000" w:themeColor="text1"/>
          <w:lang w:val="en-US"/>
        </w:rPr>
        <w:t>42</w:t>
      </w:r>
      <w:r w:rsidRPr="001B26B6">
        <w:rPr>
          <w:rFonts w:ascii="Book Antiqua" w:hAnsi="Book Antiqua" w:cs="Arial"/>
          <w:color w:val="000000" w:themeColor="text1"/>
          <w:lang w:val="en-US"/>
        </w:rPr>
        <w:t>: 148-152 [PMID: 20017088 DOI: 10.1055/s-0029-1243808]</w:t>
      </w:r>
    </w:p>
    <w:p w14:paraId="0CFD690C" w14:textId="08F9F799"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42 </w:t>
      </w:r>
      <w:r w:rsidRPr="001B26B6">
        <w:rPr>
          <w:rFonts w:ascii="Book Antiqua" w:hAnsi="Book Antiqua" w:cs="Arial"/>
          <w:b/>
          <w:bCs/>
          <w:color w:val="000000" w:themeColor="text1"/>
          <w:lang w:val="en-US"/>
        </w:rPr>
        <w:t>Liao Z</w:t>
      </w:r>
      <w:r w:rsidRPr="001B26B6">
        <w:rPr>
          <w:rFonts w:ascii="Book Antiqua" w:hAnsi="Book Antiqua" w:cs="Arial"/>
          <w:color w:val="000000" w:themeColor="text1"/>
          <w:lang w:val="en-US"/>
        </w:rPr>
        <w:t>, Hou X, Lin-Hu EQ, Sheng JQ, Ge ZZ, Jiang B, Hou XH, Liu JY, Li Z, Huang QY, Zhao XJ, Li N, Gao YJ, Zhang Y, Zhou JQ, Wang XY, Liu J, Xie XP, Yang CM, Liu HL, Sun XT, Zou WB, Li ZS. Accuracy of Magnetically Controlled Capsule Endoscopy, Compared With Conventional Gastroscopy, in Detection of Gastric Diseases. </w:t>
      </w:r>
      <w:r w:rsidRPr="001B26B6">
        <w:rPr>
          <w:rFonts w:ascii="Book Antiqua" w:hAnsi="Book Antiqua" w:cs="Arial"/>
          <w:i/>
          <w:iCs/>
          <w:color w:val="000000" w:themeColor="text1"/>
          <w:lang w:val="en-US"/>
        </w:rPr>
        <w:t>Clin Gastroenterol Hepatol</w:t>
      </w:r>
      <w:r>
        <w:rPr>
          <w:rFonts w:ascii="Book Antiqua" w:hAnsi="Book Antiqua" w:cs="Arial"/>
          <w:i/>
          <w:iCs/>
          <w:color w:val="000000" w:themeColor="text1"/>
          <w:lang w:val="en-US"/>
        </w:rPr>
        <w:t xml:space="preserve"> </w:t>
      </w:r>
      <w:r w:rsidRPr="001B26B6">
        <w:rPr>
          <w:rFonts w:ascii="Book Antiqua" w:hAnsi="Book Antiqua" w:cs="Arial"/>
          <w:color w:val="000000" w:themeColor="text1"/>
          <w:lang w:val="en-US"/>
        </w:rPr>
        <w:t>2016; </w:t>
      </w:r>
      <w:r w:rsidRPr="001B26B6">
        <w:rPr>
          <w:rFonts w:ascii="Book Antiqua" w:hAnsi="Book Antiqua" w:cs="Arial"/>
          <w:b/>
          <w:bCs/>
          <w:color w:val="000000" w:themeColor="text1"/>
          <w:lang w:val="en-US"/>
        </w:rPr>
        <w:t>14</w:t>
      </w:r>
      <w:r w:rsidRPr="001B26B6">
        <w:rPr>
          <w:rFonts w:ascii="Book Antiqua" w:hAnsi="Book Antiqua" w:cs="Arial"/>
          <w:color w:val="000000" w:themeColor="text1"/>
          <w:lang w:val="en-US"/>
        </w:rPr>
        <w:t>: 1266-1273.e1 [PMID: 27211503 DOI: 10.1016/j.cgh.2016.05.013]</w:t>
      </w:r>
    </w:p>
    <w:p w14:paraId="70B396E5"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43 </w:t>
      </w:r>
      <w:r w:rsidRPr="001B26B6">
        <w:rPr>
          <w:rFonts w:ascii="Book Antiqua" w:hAnsi="Book Antiqua" w:cs="Arial"/>
          <w:b/>
          <w:bCs/>
          <w:color w:val="000000" w:themeColor="text1"/>
          <w:lang w:val="en-US"/>
        </w:rPr>
        <w:t>Ching HL</w:t>
      </w:r>
      <w:r w:rsidRPr="001B26B6">
        <w:rPr>
          <w:rFonts w:ascii="Book Antiqua" w:hAnsi="Book Antiqua" w:cs="Arial"/>
          <w:color w:val="000000" w:themeColor="text1"/>
          <w:lang w:val="en-US"/>
        </w:rPr>
        <w:t>, Hale MF, Kurien M, Campbell JA, Chetcuti Zammit S, Healy A, Thurston V, Hebden JM, Sidhu R, McAlindon ME. Diagnostic yield of magnetically assisted capsule endoscopy versus gastroscopy in recurrent and refractory iron deficiency anemia. </w:t>
      </w:r>
      <w:r w:rsidRPr="001B26B6">
        <w:rPr>
          <w:rFonts w:ascii="Book Antiqua" w:hAnsi="Book Antiqua" w:cs="Arial"/>
          <w:i/>
          <w:iCs/>
          <w:color w:val="000000" w:themeColor="text1"/>
          <w:lang w:val="en-US"/>
        </w:rPr>
        <w:t>Endoscopy</w:t>
      </w:r>
      <w:r w:rsidRPr="001B26B6">
        <w:rPr>
          <w:rFonts w:ascii="Book Antiqua" w:hAnsi="Book Antiqua" w:cs="Arial"/>
          <w:color w:val="000000" w:themeColor="text1"/>
          <w:lang w:val="en-US"/>
        </w:rPr>
        <w:t> 2019; </w:t>
      </w:r>
      <w:r w:rsidRPr="001B26B6">
        <w:rPr>
          <w:rFonts w:ascii="Book Antiqua" w:hAnsi="Book Antiqua" w:cs="Arial"/>
          <w:b/>
          <w:bCs/>
          <w:color w:val="000000" w:themeColor="text1"/>
          <w:lang w:val="en-US"/>
        </w:rPr>
        <w:t>51</w:t>
      </w:r>
      <w:r w:rsidRPr="001B26B6">
        <w:rPr>
          <w:rFonts w:ascii="Book Antiqua" w:hAnsi="Book Antiqua" w:cs="Arial"/>
          <w:color w:val="000000" w:themeColor="text1"/>
          <w:lang w:val="en-US"/>
        </w:rPr>
        <w:t>: 409-418 [PMID: 30360012 DOI: 10.1055/a-0750-5682]</w:t>
      </w:r>
    </w:p>
    <w:p w14:paraId="34B0CF78"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44 </w:t>
      </w:r>
      <w:r w:rsidRPr="001B26B6">
        <w:rPr>
          <w:rFonts w:ascii="Book Antiqua" w:hAnsi="Book Antiqua" w:cs="Arial"/>
          <w:b/>
          <w:bCs/>
          <w:color w:val="000000" w:themeColor="text1"/>
          <w:lang w:val="en-US"/>
        </w:rPr>
        <w:t>Li Z</w:t>
      </w:r>
      <w:r w:rsidRPr="001B26B6">
        <w:rPr>
          <w:rFonts w:ascii="Book Antiqua" w:hAnsi="Book Antiqua" w:cs="Arial"/>
          <w:color w:val="000000" w:themeColor="text1"/>
          <w:lang w:val="en-US"/>
        </w:rPr>
        <w:t>, Chiu PW. Robotic Endoscopy. </w:t>
      </w:r>
      <w:r w:rsidRPr="001B26B6">
        <w:rPr>
          <w:rFonts w:ascii="Book Antiqua" w:hAnsi="Book Antiqua" w:cs="Arial"/>
          <w:i/>
          <w:iCs/>
          <w:color w:val="000000" w:themeColor="text1"/>
          <w:lang w:val="en-US"/>
        </w:rPr>
        <w:t>Visc Med</w:t>
      </w:r>
      <w:r w:rsidRPr="001B26B6">
        <w:rPr>
          <w:rFonts w:ascii="Book Antiqua" w:hAnsi="Book Antiqua" w:cs="Arial"/>
          <w:color w:val="000000" w:themeColor="text1"/>
          <w:lang w:val="en-US"/>
        </w:rPr>
        <w:t> 2018; </w:t>
      </w:r>
      <w:r w:rsidRPr="001B26B6">
        <w:rPr>
          <w:rFonts w:ascii="Book Antiqua" w:hAnsi="Book Antiqua" w:cs="Arial"/>
          <w:b/>
          <w:bCs/>
          <w:color w:val="000000" w:themeColor="text1"/>
          <w:lang w:val="en-US"/>
        </w:rPr>
        <w:t>34</w:t>
      </w:r>
      <w:r w:rsidRPr="001B26B6">
        <w:rPr>
          <w:rFonts w:ascii="Book Antiqua" w:hAnsi="Book Antiqua" w:cs="Arial"/>
          <w:color w:val="000000" w:themeColor="text1"/>
          <w:lang w:val="en-US"/>
        </w:rPr>
        <w:t>: 45-51 [PMID: 29594169 DOI: 10.1159/000486121]</w:t>
      </w:r>
    </w:p>
    <w:p w14:paraId="7E14073B" w14:textId="19C64DB3"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highlight w:val="yellow"/>
          <w:lang w:val="en-US"/>
        </w:rPr>
        <w:t>45 </w:t>
      </w:r>
      <w:r w:rsidRPr="001B26B6">
        <w:rPr>
          <w:rFonts w:ascii="Book Antiqua" w:hAnsi="Book Antiqua" w:cs="Arial"/>
          <w:b/>
          <w:bCs/>
          <w:color w:val="000000" w:themeColor="text1"/>
          <w:highlight w:val="yellow"/>
          <w:lang w:val="en-US"/>
        </w:rPr>
        <w:t>Keller H</w:t>
      </w:r>
      <w:r w:rsidRPr="001B26B6">
        <w:rPr>
          <w:rFonts w:ascii="Book Antiqua" w:hAnsi="Book Antiqua" w:cs="Arial"/>
          <w:color w:val="000000" w:themeColor="text1"/>
          <w:highlight w:val="yellow"/>
          <w:lang w:val="en-US"/>
        </w:rPr>
        <w:t>, Juloski A, Kawano H, Bechtold M, Kimura A, Takizawa H, Kuth R. Method for navigation and control of a magnetically guided capsule endoscope in the human stomach. In: Biomedical Robotics and Biomechatronics (BioRob), 2012 4</w:t>
      </w:r>
      <w:r w:rsidRPr="001B26B6">
        <w:rPr>
          <w:rFonts w:ascii="Book Antiqua" w:hAnsi="Book Antiqua" w:cs="Arial"/>
          <w:color w:val="000000" w:themeColor="text1"/>
          <w:highlight w:val="yellow"/>
          <w:vertAlign w:val="superscript"/>
          <w:lang w:val="en-US"/>
        </w:rPr>
        <w:t>th</w:t>
      </w:r>
      <w:r w:rsidRPr="001B26B6">
        <w:rPr>
          <w:rFonts w:ascii="Book Antiqua" w:hAnsi="Book Antiqua" w:cs="Arial"/>
          <w:color w:val="000000" w:themeColor="text1"/>
          <w:highlight w:val="yellow"/>
          <w:lang w:val="en-US"/>
        </w:rPr>
        <w:t xml:space="preserve"> IEEE RAS &amp; EMBS International Conference on. </w:t>
      </w:r>
      <w:r w:rsidRPr="001B26B6">
        <w:rPr>
          <w:rFonts w:ascii="Book Antiqua" w:hAnsi="Book Antiqua" w:cs="Arial"/>
          <w:i/>
          <w:iCs/>
          <w:color w:val="000000" w:themeColor="text1"/>
          <w:highlight w:val="yellow"/>
          <w:lang w:val="en-US"/>
        </w:rPr>
        <w:t>IEEE</w:t>
      </w:r>
      <w:r w:rsidRPr="001B26B6">
        <w:rPr>
          <w:rFonts w:ascii="Book Antiqua" w:hAnsi="Book Antiqua" w:cs="Arial"/>
          <w:color w:val="000000" w:themeColor="text1"/>
          <w:highlight w:val="yellow"/>
          <w:lang w:val="en-US"/>
        </w:rPr>
        <w:t xml:space="preserve"> 2012:</w:t>
      </w:r>
      <w:r w:rsidR="00CA7375">
        <w:rPr>
          <w:rFonts w:ascii="Book Antiqua" w:hAnsi="Book Antiqua" w:cs="Arial"/>
          <w:color w:val="000000" w:themeColor="text1"/>
          <w:highlight w:val="yellow"/>
          <w:lang w:val="en-US"/>
        </w:rPr>
        <w:t xml:space="preserve"> </w:t>
      </w:r>
      <w:r w:rsidRPr="001B26B6">
        <w:rPr>
          <w:rFonts w:ascii="Book Antiqua" w:hAnsi="Book Antiqua" w:cs="Arial"/>
          <w:color w:val="000000" w:themeColor="text1"/>
          <w:highlight w:val="yellow"/>
          <w:lang w:val="en-US"/>
        </w:rPr>
        <w:t>859–865 [DOI: 10.1109/BioRob.2012.6290795]</w:t>
      </w:r>
    </w:p>
    <w:p w14:paraId="61665E10"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46 </w:t>
      </w:r>
      <w:r w:rsidRPr="001B26B6">
        <w:rPr>
          <w:rFonts w:ascii="Book Antiqua" w:hAnsi="Book Antiqua" w:cs="Arial"/>
          <w:b/>
          <w:bCs/>
          <w:color w:val="000000" w:themeColor="text1"/>
          <w:lang w:val="en-US"/>
        </w:rPr>
        <w:t>Lee CM</w:t>
      </w:r>
      <w:r w:rsidRPr="001B26B6">
        <w:rPr>
          <w:rFonts w:ascii="Book Antiqua" w:hAnsi="Book Antiqua" w:cs="Arial"/>
          <w:color w:val="000000" w:themeColor="text1"/>
          <w:lang w:val="en-US"/>
        </w:rPr>
        <w:t xml:space="preserve">, Engelbrecht CJ, Soper TD, Helmchen F, Seibel EJ. </w:t>
      </w:r>
      <w:bookmarkStart w:id="161" w:name="OLE_LINK95"/>
      <w:bookmarkStart w:id="162" w:name="OLE_LINK96"/>
      <w:r w:rsidRPr="001B26B6">
        <w:rPr>
          <w:rFonts w:ascii="Book Antiqua" w:hAnsi="Book Antiqua" w:cs="Arial"/>
          <w:color w:val="000000" w:themeColor="text1"/>
          <w:lang w:val="en-US"/>
        </w:rPr>
        <w:t>Scanning fiber endoscopy</w:t>
      </w:r>
      <w:bookmarkEnd w:id="161"/>
      <w:bookmarkEnd w:id="162"/>
      <w:r w:rsidRPr="001B26B6">
        <w:rPr>
          <w:rFonts w:ascii="Book Antiqua" w:hAnsi="Book Antiqua" w:cs="Arial"/>
          <w:color w:val="000000" w:themeColor="text1"/>
          <w:lang w:val="en-US"/>
        </w:rPr>
        <w:t xml:space="preserve"> with highly flexible, 1 mm catheterscopes for wide-field, full-color imaging. </w:t>
      </w:r>
      <w:r w:rsidRPr="001B26B6">
        <w:rPr>
          <w:rFonts w:ascii="Book Antiqua" w:hAnsi="Book Antiqua" w:cs="Arial"/>
          <w:i/>
          <w:iCs/>
          <w:color w:val="000000" w:themeColor="text1"/>
          <w:lang w:val="en-US"/>
        </w:rPr>
        <w:t>J Biophotonics</w:t>
      </w:r>
      <w:r w:rsidRPr="001B26B6">
        <w:rPr>
          <w:rFonts w:ascii="Book Antiqua" w:hAnsi="Book Antiqua" w:cs="Arial"/>
          <w:color w:val="000000" w:themeColor="text1"/>
          <w:lang w:val="en-US"/>
        </w:rPr>
        <w:t>2010; </w:t>
      </w:r>
      <w:r w:rsidRPr="001B26B6">
        <w:rPr>
          <w:rFonts w:ascii="Book Antiqua" w:hAnsi="Book Antiqua" w:cs="Arial"/>
          <w:b/>
          <w:bCs/>
          <w:color w:val="000000" w:themeColor="text1"/>
          <w:lang w:val="en-US"/>
        </w:rPr>
        <w:t>3</w:t>
      </w:r>
      <w:r w:rsidRPr="001B26B6">
        <w:rPr>
          <w:rFonts w:ascii="Book Antiqua" w:hAnsi="Book Antiqua" w:cs="Arial"/>
          <w:color w:val="000000" w:themeColor="text1"/>
          <w:lang w:val="en-US"/>
        </w:rPr>
        <w:t>: 385-407 [PMID: 20336702 DOI: 10.1002/jbio.200900087]</w:t>
      </w:r>
    </w:p>
    <w:p w14:paraId="2F3380ED"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47 </w:t>
      </w:r>
      <w:r w:rsidRPr="001B26B6">
        <w:rPr>
          <w:rFonts w:ascii="Book Antiqua" w:hAnsi="Book Antiqua" w:cs="Arial"/>
          <w:b/>
          <w:bCs/>
          <w:color w:val="000000" w:themeColor="text1"/>
          <w:lang w:val="en-US"/>
        </w:rPr>
        <w:t>Seibel EJ</w:t>
      </w:r>
      <w:r w:rsidRPr="001B26B6">
        <w:rPr>
          <w:rFonts w:ascii="Book Antiqua" w:hAnsi="Book Antiqua" w:cs="Arial"/>
          <w:color w:val="000000" w:themeColor="text1"/>
          <w:lang w:val="en-US"/>
        </w:rPr>
        <w:t xml:space="preserve">, Brown CM, Dominitz JA, Kimmey MB. Scanning single fiber endoscopy: a new platform technology for integrated laser imaging, diagnosis, and </w:t>
      </w:r>
      <w:r w:rsidRPr="001B26B6">
        <w:rPr>
          <w:rFonts w:ascii="Book Antiqua" w:hAnsi="Book Antiqua" w:cs="Arial"/>
          <w:color w:val="000000" w:themeColor="text1"/>
          <w:lang w:val="en-US"/>
        </w:rPr>
        <w:lastRenderedPageBreak/>
        <w:t>future therapies. </w:t>
      </w:r>
      <w:r w:rsidRPr="001B26B6">
        <w:rPr>
          <w:rFonts w:ascii="Book Antiqua" w:hAnsi="Book Antiqua" w:cs="Arial"/>
          <w:i/>
          <w:iCs/>
          <w:color w:val="000000" w:themeColor="text1"/>
          <w:lang w:val="en-US"/>
        </w:rPr>
        <w:t>Gastrointest Endosc Clin N Am</w:t>
      </w:r>
      <w:r w:rsidRPr="001B26B6">
        <w:rPr>
          <w:rFonts w:ascii="Book Antiqua" w:hAnsi="Book Antiqua" w:cs="Arial"/>
          <w:color w:val="000000" w:themeColor="text1"/>
          <w:lang w:val="en-US"/>
        </w:rPr>
        <w:t> 2008; </w:t>
      </w:r>
      <w:r w:rsidRPr="001B26B6">
        <w:rPr>
          <w:rFonts w:ascii="Book Antiqua" w:hAnsi="Book Antiqua" w:cs="Arial"/>
          <w:b/>
          <w:bCs/>
          <w:color w:val="000000" w:themeColor="text1"/>
          <w:lang w:val="en-US"/>
        </w:rPr>
        <w:t>18</w:t>
      </w:r>
      <w:r w:rsidRPr="001B26B6">
        <w:rPr>
          <w:rFonts w:ascii="Book Antiqua" w:hAnsi="Book Antiqua" w:cs="Arial"/>
          <w:color w:val="000000" w:themeColor="text1"/>
          <w:lang w:val="en-US"/>
        </w:rPr>
        <w:t>: 467-478, viii [PMID: 18674697 DOI: 10.1016/j.giec.2008.05.001]</w:t>
      </w:r>
    </w:p>
    <w:p w14:paraId="65E5DA43"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48 </w:t>
      </w:r>
      <w:r w:rsidRPr="001B26B6">
        <w:rPr>
          <w:rFonts w:ascii="Book Antiqua" w:hAnsi="Book Antiqua" w:cs="Arial"/>
          <w:b/>
          <w:bCs/>
          <w:color w:val="000000" w:themeColor="text1"/>
          <w:lang w:val="en-US"/>
        </w:rPr>
        <w:t>Yelin D</w:t>
      </w:r>
      <w:r w:rsidRPr="001B26B6">
        <w:rPr>
          <w:rFonts w:ascii="Book Antiqua" w:hAnsi="Book Antiqua" w:cs="Arial"/>
          <w:color w:val="000000" w:themeColor="text1"/>
          <w:lang w:val="en-US"/>
        </w:rPr>
        <w:t>, White WM, Motz JT, Yun SH, Bouma BE, Tearney GJ. Spectral-domain spectrally-encoded endoscopy. </w:t>
      </w:r>
      <w:r w:rsidRPr="001B26B6">
        <w:rPr>
          <w:rFonts w:ascii="Book Antiqua" w:hAnsi="Book Antiqua" w:cs="Arial"/>
          <w:i/>
          <w:iCs/>
          <w:color w:val="000000" w:themeColor="text1"/>
          <w:lang w:val="en-US"/>
        </w:rPr>
        <w:t>Opt Express</w:t>
      </w:r>
      <w:r w:rsidRPr="001B26B6">
        <w:rPr>
          <w:rFonts w:ascii="Book Antiqua" w:hAnsi="Book Antiqua" w:cs="Arial"/>
          <w:color w:val="000000" w:themeColor="text1"/>
          <w:lang w:val="en-US"/>
        </w:rPr>
        <w:t> 2007; </w:t>
      </w:r>
      <w:r w:rsidRPr="001B26B6">
        <w:rPr>
          <w:rFonts w:ascii="Book Antiqua" w:hAnsi="Book Antiqua" w:cs="Arial"/>
          <w:b/>
          <w:bCs/>
          <w:color w:val="000000" w:themeColor="text1"/>
          <w:lang w:val="en-US"/>
        </w:rPr>
        <w:t>15</w:t>
      </w:r>
      <w:r w:rsidRPr="001B26B6">
        <w:rPr>
          <w:rFonts w:ascii="Book Antiqua" w:hAnsi="Book Antiqua" w:cs="Arial"/>
          <w:color w:val="000000" w:themeColor="text1"/>
          <w:lang w:val="en-US"/>
        </w:rPr>
        <w:t>: 2432-2444 [PMID: 19532480 DOI: 10.1364/oe.15.002432]</w:t>
      </w:r>
    </w:p>
    <w:p w14:paraId="3DF33832"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49 </w:t>
      </w:r>
      <w:r w:rsidRPr="001B26B6">
        <w:rPr>
          <w:rFonts w:ascii="Book Antiqua" w:hAnsi="Book Antiqua" w:cs="Arial"/>
          <w:b/>
          <w:bCs/>
          <w:color w:val="000000" w:themeColor="text1"/>
          <w:lang w:val="en-US"/>
        </w:rPr>
        <w:t>Tearney GJ</w:t>
      </w:r>
      <w:r w:rsidRPr="001B26B6">
        <w:rPr>
          <w:rFonts w:ascii="Book Antiqua" w:hAnsi="Book Antiqua" w:cs="Arial"/>
          <w:color w:val="000000" w:themeColor="text1"/>
          <w:lang w:val="en-US"/>
        </w:rPr>
        <w:t>, Shishkov M, Bouma BE. Spectrally encoded miniature endoscopy. </w:t>
      </w:r>
      <w:r w:rsidRPr="001B26B6">
        <w:rPr>
          <w:rFonts w:ascii="Book Antiqua" w:hAnsi="Book Antiqua" w:cs="Arial"/>
          <w:i/>
          <w:iCs/>
          <w:color w:val="000000" w:themeColor="text1"/>
          <w:lang w:val="en-US"/>
        </w:rPr>
        <w:t>Opt Lett</w:t>
      </w:r>
      <w:r w:rsidRPr="001B26B6">
        <w:rPr>
          <w:rFonts w:ascii="Book Antiqua" w:hAnsi="Book Antiqua" w:cs="Arial"/>
          <w:color w:val="000000" w:themeColor="text1"/>
          <w:lang w:val="en-US"/>
        </w:rPr>
        <w:t> 2002; </w:t>
      </w:r>
      <w:r w:rsidRPr="001B26B6">
        <w:rPr>
          <w:rFonts w:ascii="Book Antiqua" w:hAnsi="Book Antiqua" w:cs="Arial"/>
          <w:b/>
          <w:bCs/>
          <w:color w:val="000000" w:themeColor="text1"/>
          <w:lang w:val="en-US"/>
        </w:rPr>
        <w:t>27</w:t>
      </w:r>
      <w:r w:rsidRPr="001B26B6">
        <w:rPr>
          <w:rFonts w:ascii="Book Antiqua" w:hAnsi="Book Antiqua" w:cs="Arial"/>
          <w:color w:val="000000" w:themeColor="text1"/>
          <w:lang w:val="en-US"/>
        </w:rPr>
        <w:t>: 412-414 [PMID: 18007818 DOI: 10.1364/OL.27.000412]</w:t>
      </w:r>
    </w:p>
    <w:p w14:paraId="36BFB9AB"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50 </w:t>
      </w:r>
      <w:r w:rsidRPr="001B26B6">
        <w:rPr>
          <w:rFonts w:ascii="Book Antiqua" w:hAnsi="Book Antiqua" w:cs="Arial"/>
          <w:b/>
          <w:bCs/>
          <w:color w:val="000000" w:themeColor="text1"/>
          <w:lang w:val="en-US"/>
        </w:rPr>
        <w:t>Yelin D</w:t>
      </w:r>
      <w:r w:rsidRPr="001B26B6">
        <w:rPr>
          <w:rFonts w:ascii="Book Antiqua" w:hAnsi="Book Antiqua" w:cs="Arial"/>
          <w:color w:val="000000" w:themeColor="text1"/>
          <w:lang w:val="en-US"/>
        </w:rPr>
        <w:t>, Bouma BE, Tearney GJ. Volumetric sub-surface imaging using spectrally encoded endoscopy. </w:t>
      </w:r>
      <w:r w:rsidRPr="001B26B6">
        <w:rPr>
          <w:rFonts w:ascii="Book Antiqua" w:hAnsi="Book Antiqua" w:cs="Arial"/>
          <w:i/>
          <w:iCs/>
          <w:color w:val="000000" w:themeColor="text1"/>
          <w:lang w:val="en-US"/>
        </w:rPr>
        <w:t>Opt Express</w:t>
      </w:r>
      <w:r w:rsidRPr="001B26B6">
        <w:rPr>
          <w:rFonts w:ascii="Book Antiqua" w:hAnsi="Book Antiqua" w:cs="Arial"/>
          <w:color w:val="000000" w:themeColor="text1"/>
          <w:lang w:val="en-US"/>
        </w:rPr>
        <w:t> 2008; </w:t>
      </w:r>
      <w:r w:rsidRPr="001B26B6">
        <w:rPr>
          <w:rFonts w:ascii="Book Antiqua" w:hAnsi="Book Antiqua" w:cs="Arial"/>
          <w:b/>
          <w:bCs/>
          <w:color w:val="000000" w:themeColor="text1"/>
          <w:lang w:val="en-US"/>
        </w:rPr>
        <w:t>16</w:t>
      </w:r>
      <w:r w:rsidRPr="001B26B6">
        <w:rPr>
          <w:rFonts w:ascii="Book Antiqua" w:hAnsi="Book Antiqua" w:cs="Arial"/>
          <w:color w:val="000000" w:themeColor="text1"/>
          <w:lang w:val="en-US"/>
        </w:rPr>
        <w:t>: 1748-1757 [PMID: 18542254 DOI: 10.1364/oe.16.001748]</w:t>
      </w:r>
    </w:p>
    <w:p w14:paraId="7442B759"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51 </w:t>
      </w:r>
      <w:r w:rsidRPr="001B26B6">
        <w:rPr>
          <w:rFonts w:ascii="Book Antiqua" w:hAnsi="Book Antiqua" w:cs="Arial"/>
          <w:b/>
          <w:bCs/>
          <w:color w:val="000000" w:themeColor="text1"/>
          <w:lang w:val="en-US"/>
        </w:rPr>
        <w:t>Miller SJ</w:t>
      </w:r>
      <w:r w:rsidRPr="001B26B6">
        <w:rPr>
          <w:rFonts w:ascii="Book Antiqua" w:hAnsi="Book Antiqua" w:cs="Arial"/>
          <w:color w:val="000000" w:themeColor="text1"/>
          <w:lang w:val="en-US"/>
        </w:rPr>
        <w:t>, Lee CM, Joshi BP, Gaustad A, Seibel EJ, Wang TD. Targeted detection of murine colonic dysplasia in vivo with flexible multispectral scanning fiber endoscopy. </w:t>
      </w:r>
      <w:r w:rsidRPr="001B26B6">
        <w:rPr>
          <w:rFonts w:ascii="Book Antiqua" w:hAnsi="Book Antiqua" w:cs="Arial"/>
          <w:i/>
          <w:iCs/>
          <w:color w:val="000000" w:themeColor="text1"/>
          <w:lang w:val="en-US"/>
        </w:rPr>
        <w:t>J Biomed Opt</w:t>
      </w:r>
      <w:r w:rsidRPr="001B26B6">
        <w:rPr>
          <w:rFonts w:ascii="Book Antiqua" w:hAnsi="Book Antiqua" w:cs="Arial"/>
          <w:color w:val="000000" w:themeColor="text1"/>
          <w:lang w:val="en-US"/>
        </w:rPr>
        <w:t> 2012; </w:t>
      </w:r>
      <w:r w:rsidRPr="001B26B6">
        <w:rPr>
          <w:rFonts w:ascii="Book Antiqua" w:hAnsi="Book Antiqua" w:cs="Arial"/>
          <w:b/>
          <w:bCs/>
          <w:color w:val="000000" w:themeColor="text1"/>
          <w:lang w:val="en-US"/>
        </w:rPr>
        <w:t>17</w:t>
      </w:r>
      <w:r w:rsidRPr="001B26B6">
        <w:rPr>
          <w:rFonts w:ascii="Book Antiqua" w:hAnsi="Book Antiqua" w:cs="Arial"/>
          <w:color w:val="000000" w:themeColor="text1"/>
          <w:lang w:val="en-US"/>
        </w:rPr>
        <w:t>: 021103 [PMID: 22463021 DOI: 10.1117/1.JBO.17.2.021103]</w:t>
      </w:r>
    </w:p>
    <w:p w14:paraId="3E80D68E"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52 </w:t>
      </w:r>
      <w:r w:rsidRPr="001B26B6">
        <w:rPr>
          <w:rFonts w:ascii="Book Antiqua" w:hAnsi="Book Antiqua" w:cs="Arial"/>
          <w:b/>
          <w:bCs/>
          <w:color w:val="000000" w:themeColor="text1"/>
          <w:lang w:val="en-US"/>
        </w:rPr>
        <w:t>Templeton AW</w:t>
      </w:r>
      <w:r w:rsidRPr="001B26B6">
        <w:rPr>
          <w:rFonts w:ascii="Book Antiqua" w:hAnsi="Book Antiqua" w:cs="Arial"/>
          <w:color w:val="000000" w:themeColor="text1"/>
          <w:lang w:val="en-US"/>
        </w:rPr>
        <w:t>, Webb K, Hwang JH, Seibel EJ, Saunders M. Scanning fiber endoscopy: a novel platform for cholangioscopy. </w:t>
      </w:r>
      <w:r w:rsidRPr="001B26B6">
        <w:rPr>
          <w:rFonts w:ascii="Book Antiqua" w:hAnsi="Book Antiqua" w:cs="Arial"/>
          <w:i/>
          <w:iCs/>
          <w:color w:val="000000" w:themeColor="text1"/>
          <w:lang w:val="en-US"/>
        </w:rPr>
        <w:t>Gastrointest Endosc</w:t>
      </w:r>
      <w:r w:rsidRPr="001B26B6">
        <w:rPr>
          <w:rFonts w:ascii="Book Antiqua" w:hAnsi="Book Antiqua" w:cs="Arial"/>
          <w:color w:val="000000" w:themeColor="text1"/>
          <w:lang w:val="en-US"/>
        </w:rPr>
        <w:t> 2014; </w:t>
      </w:r>
      <w:r w:rsidRPr="001B26B6">
        <w:rPr>
          <w:rFonts w:ascii="Book Antiqua" w:hAnsi="Book Antiqua" w:cs="Arial"/>
          <w:b/>
          <w:bCs/>
          <w:color w:val="000000" w:themeColor="text1"/>
          <w:lang w:val="en-US"/>
        </w:rPr>
        <w:t>79</w:t>
      </w:r>
      <w:r w:rsidRPr="001B26B6">
        <w:rPr>
          <w:rFonts w:ascii="Book Antiqua" w:hAnsi="Book Antiqua" w:cs="Arial"/>
          <w:color w:val="000000" w:themeColor="text1"/>
          <w:lang w:val="en-US"/>
        </w:rPr>
        <w:t>: 1000-1001 [PMID: 24462166 DOI: 10.1016/j.gie.2013.12.005]</w:t>
      </w:r>
    </w:p>
    <w:p w14:paraId="6FB3DDEC"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53 </w:t>
      </w:r>
      <w:r w:rsidRPr="001B26B6">
        <w:rPr>
          <w:rFonts w:ascii="Book Antiqua" w:hAnsi="Book Antiqua" w:cs="Arial"/>
          <w:b/>
          <w:bCs/>
          <w:color w:val="000000" w:themeColor="text1"/>
          <w:lang w:val="en-US"/>
        </w:rPr>
        <w:t>Seibel EJ</w:t>
      </w:r>
      <w:r w:rsidRPr="001B26B6">
        <w:rPr>
          <w:rFonts w:ascii="Book Antiqua" w:hAnsi="Book Antiqua" w:cs="Arial"/>
          <w:color w:val="000000" w:themeColor="text1"/>
          <w:lang w:val="en-US"/>
        </w:rPr>
        <w:t>, Carroll RE, Dominitz JA, Johnston RS, Melville CD, Lee CM, Seitz SM, Kimmey MB. Tethered capsule endoscopy, a low-cost and high-performance alternative technology for the screening of esophageal cancer and Barrett's esophagus. </w:t>
      </w:r>
      <w:r w:rsidRPr="001B26B6">
        <w:rPr>
          <w:rFonts w:ascii="Book Antiqua" w:hAnsi="Book Antiqua" w:cs="Arial"/>
          <w:i/>
          <w:iCs/>
          <w:color w:val="000000" w:themeColor="text1"/>
          <w:lang w:val="en-US"/>
        </w:rPr>
        <w:t>IEEE Trans Biomed Eng</w:t>
      </w:r>
      <w:r w:rsidRPr="001B26B6">
        <w:rPr>
          <w:rFonts w:ascii="Book Antiqua" w:hAnsi="Book Antiqua" w:cs="Arial"/>
          <w:color w:val="000000" w:themeColor="text1"/>
          <w:lang w:val="en-US"/>
        </w:rPr>
        <w:t> 2008; </w:t>
      </w:r>
      <w:r w:rsidRPr="001B26B6">
        <w:rPr>
          <w:rFonts w:ascii="Book Antiqua" w:hAnsi="Book Antiqua" w:cs="Arial"/>
          <w:b/>
          <w:bCs/>
          <w:color w:val="000000" w:themeColor="text1"/>
          <w:lang w:val="en-US"/>
        </w:rPr>
        <w:t>55</w:t>
      </w:r>
      <w:r w:rsidRPr="001B26B6">
        <w:rPr>
          <w:rFonts w:ascii="Book Antiqua" w:hAnsi="Book Antiqua" w:cs="Arial"/>
          <w:color w:val="000000" w:themeColor="text1"/>
          <w:lang w:val="en-US"/>
        </w:rPr>
        <w:t>: 1032-1042 [PMID: 18334395 DOI: 10.1109/TBME.2008.915680]</w:t>
      </w:r>
    </w:p>
    <w:p w14:paraId="6255ACDB"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lang w:val="en-US"/>
        </w:rPr>
        <w:t>54 </w:t>
      </w:r>
      <w:r w:rsidRPr="001B26B6">
        <w:rPr>
          <w:rFonts w:ascii="Book Antiqua" w:hAnsi="Book Antiqua" w:cs="Arial"/>
          <w:b/>
          <w:bCs/>
          <w:color w:val="000000" w:themeColor="text1"/>
          <w:lang w:val="en-US"/>
        </w:rPr>
        <w:t>Mahalati RN</w:t>
      </w:r>
      <w:r w:rsidRPr="001B26B6">
        <w:rPr>
          <w:rFonts w:ascii="Book Antiqua" w:hAnsi="Book Antiqua" w:cs="Arial"/>
          <w:color w:val="000000" w:themeColor="text1"/>
          <w:lang w:val="en-US"/>
        </w:rPr>
        <w:t>, Gu RY, Kahn JM. Resolution limits for imaging through multi-mode fiber. </w:t>
      </w:r>
      <w:r w:rsidRPr="001B26B6">
        <w:rPr>
          <w:rFonts w:ascii="Book Antiqua" w:hAnsi="Book Antiqua" w:cs="Arial"/>
          <w:i/>
          <w:iCs/>
          <w:color w:val="000000" w:themeColor="text1"/>
          <w:lang w:val="en-US"/>
        </w:rPr>
        <w:t>Opt Express</w:t>
      </w:r>
      <w:r w:rsidRPr="001B26B6">
        <w:rPr>
          <w:rFonts w:ascii="Book Antiqua" w:hAnsi="Book Antiqua" w:cs="Arial"/>
          <w:color w:val="000000" w:themeColor="text1"/>
          <w:lang w:val="en-US"/>
        </w:rPr>
        <w:t> 2013; </w:t>
      </w:r>
      <w:r w:rsidRPr="001B26B6">
        <w:rPr>
          <w:rFonts w:ascii="Book Antiqua" w:hAnsi="Book Antiqua" w:cs="Arial"/>
          <w:b/>
          <w:bCs/>
          <w:color w:val="000000" w:themeColor="text1"/>
          <w:lang w:val="en-US"/>
        </w:rPr>
        <w:t>21</w:t>
      </w:r>
      <w:r w:rsidRPr="001B26B6">
        <w:rPr>
          <w:rFonts w:ascii="Book Antiqua" w:hAnsi="Book Antiqua" w:cs="Arial"/>
          <w:color w:val="000000" w:themeColor="text1"/>
          <w:lang w:val="en-US"/>
        </w:rPr>
        <w:t>: 1656-1668 [PMID: 23389151 DOI: 10.1364/OE.21.001656]</w:t>
      </w:r>
    </w:p>
    <w:p w14:paraId="0BD52CCC" w14:textId="77777777" w:rsidR="001B26B6" w:rsidRPr="001B26B6" w:rsidRDefault="001B26B6" w:rsidP="001B26B6">
      <w:pPr>
        <w:adjustRightInd w:val="0"/>
        <w:snapToGrid w:val="0"/>
        <w:spacing w:line="360" w:lineRule="auto"/>
        <w:jc w:val="both"/>
        <w:rPr>
          <w:rFonts w:ascii="Book Antiqua" w:hAnsi="Book Antiqua" w:cs="Arial"/>
          <w:color w:val="000000" w:themeColor="text1"/>
          <w:lang w:val="en-US"/>
        </w:rPr>
      </w:pPr>
      <w:r w:rsidRPr="001B26B6">
        <w:rPr>
          <w:rFonts w:ascii="Book Antiqua" w:hAnsi="Book Antiqua" w:cs="Arial"/>
          <w:color w:val="000000" w:themeColor="text1"/>
          <w:highlight w:val="yellow"/>
          <w:lang w:val="en-US"/>
        </w:rPr>
        <w:t>55 </w:t>
      </w:r>
      <w:r w:rsidRPr="001B26B6">
        <w:rPr>
          <w:rFonts w:ascii="Book Antiqua" w:hAnsi="Book Antiqua" w:cs="Arial"/>
          <w:b/>
          <w:bCs/>
          <w:color w:val="000000" w:themeColor="text1"/>
          <w:highlight w:val="yellow"/>
          <w:lang w:val="en-US"/>
        </w:rPr>
        <w:t>Wilson JMG</w:t>
      </w:r>
      <w:r w:rsidRPr="001B26B6">
        <w:rPr>
          <w:rFonts w:ascii="Book Antiqua" w:hAnsi="Book Antiqua" w:cs="Arial"/>
          <w:color w:val="000000" w:themeColor="text1"/>
          <w:highlight w:val="yellow"/>
          <w:lang w:val="en-US"/>
        </w:rPr>
        <w:t>, Jungner G. Principles and Practice of Screening for Disease. Public Health Paper No. 34 World Health Organization 1968</w:t>
      </w:r>
    </w:p>
    <w:p w14:paraId="268C8EE8" w14:textId="6A73D1BD" w:rsidR="00C32E7D" w:rsidRPr="00C32E7D" w:rsidRDefault="00C32E7D" w:rsidP="00C32E7D">
      <w:pPr>
        <w:wordWrap w:val="0"/>
        <w:snapToGrid w:val="0"/>
        <w:spacing w:line="360" w:lineRule="auto"/>
        <w:jc w:val="right"/>
        <w:rPr>
          <w:rFonts w:ascii="Book Antiqua" w:eastAsia="宋体" w:hAnsi="Book Antiqua"/>
          <w:b/>
          <w:bCs/>
          <w:lang w:val="en-US" w:eastAsia="zh-CN"/>
        </w:rPr>
      </w:pPr>
      <w:bookmarkStart w:id="163" w:name="OLE_LINK148"/>
      <w:bookmarkStart w:id="164" w:name="OLE_LINK320"/>
      <w:bookmarkStart w:id="165" w:name="OLE_LINK387"/>
      <w:bookmarkStart w:id="166" w:name="OLE_LINK254"/>
      <w:bookmarkStart w:id="167" w:name="OLE_LINK149"/>
      <w:bookmarkStart w:id="168" w:name="OLE_LINK225"/>
      <w:bookmarkStart w:id="169" w:name="OLE_LINK207"/>
      <w:bookmarkStart w:id="170" w:name="OLE_LINK226"/>
      <w:bookmarkStart w:id="171" w:name="OLE_LINK212"/>
      <w:bookmarkStart w:id="172" w:name="OLE_LINK250"/>
      <w:bookmarkStart w:id="173" w:name="OLE_LINK281"/>
      <w:bookmarkStart w:id="174" w:name="OLE_LINK282"/>
      <w:bookmarkStart w:id="175" w:name="OLE_LINK313"/>
      <w:bookmarkStart w:id="176" w:name="OLE_LINK304"/>
      <w:bookmarkStart w:id="177" w:name="OLE_LINK321"/>
      <w:bookmarkStart w:id="178" w:name="OLE_LINK385"/>
      <w:bookmarkStart w:id="179" w:name="OLE_LINK400"/>
      <w:bookmarkStart w:id="180" w:name="OLE_LINK346"/>
      <w:bookmarkStart w:id="181" w:name="OLE_LINK371"/>
      <w:bookmarkStart w:id="182" w:name="OLE_LINK334"/>
      <w:bookmarkStart w:id="183" w:name="OLE_LINK1830"/>
      <w:bookmarkStart w:id="184" w:name="OLE_LINK457"/>
      <w:bookmarkStart w:id="185" w:name="OLE_LINK288"/>
      <w:bookmarkStart w:id="186" w:name="OLE_LINK384"/>
      <w:bookmarkStart w:id="187" w:name="OLE_LINK379"/>
      <w:bookmarkStart w:id="188" w:name="OLE_LINK303"/>
      <w:bookmarkStart w:id="189" w:name="OLE_LINK450"/>
      <w:bookmarkStart w:id="190" w:name="OLE_LINK489"/>
      <w:bookmarkStart w:id="191" w:name="OLE_LINK535"/>
      <w:bookmarkStart w:id="192" w:name="OLE_LINK648"/>
      <w:bookmarkStart w:id="193" w:name="OLE_LINK686"/>
      <w:bookmarkStart w:id="194" w:name="OLE_LINK471"/>
      <w:bookmarkStart w:id="195" w:name="OLE_LINK462"/>
      <w:bookmarkStart w:id="196" w:name="OLE_LINK519"/>
      <w:bookmarkStart w:id="197" w:name="OLE_LINK575"/>
      <w:bookmarkStart w:id="198" w:name="OLE_LINK491"/>
      <w:bookmarkStart w:id="199" w:name="OLE_LINK532"/>
      <w:bookmarkStart w:id="200" w:name="OLE_LINK572"/>
      <w:bookmarkStart w:id="201" w:name="OLE_LINK574"/>
      <w:bookmarkStart w:id="202" w:name="OLE_LINK480"/>
      <w:bookmarkStart w:id="203" w:name="OLE_LINK567"/>
      <w:bookmarkStart w:id="204" w:name="OLE_LINK2700"/>
      <w:bookmarkStart w:id="205" w:name="OLE_LINK581"/>
      <w:bookmarkStart w:id="206" w:name="OLE_LINK639"/>
      <w:bookmarkStart w:id="207" w:name="OLE_LINK688"/>
      <w:bookmarkStart w:id="208" w:name="OLE_LINK722"/>
      <w:bookmarkStart w:id="209" w:name="OLE_LINK542"/>
      <w:bookmarkStart w:id="210" w:name="OLE_LINK589"/>
      <w:bookmarkStart w:id="211" w:name="OLE_LINK582"/>
      <w:bookmarkStart w:id="212" w:name="OLE_LINK640"/>
      <w:bookmarkStart w:id="213" w:name="OLE_LINK714"/>
      <w:bookmarkStart w:id="214" w:name="OLE_LINK593"/>
      <w:bookmarkStart w:id="215" w:name="OLE_LINK716"/>
      <w:bookmarkStart w:id="216" w:name="OLE_LINK770"/>
      <w:bookmarkStart w:id="217" w:name="OLE_LINK801"/>
      <w:bookmarkStart w:id="218" w:name="OLE_LINK660"/>
      <w:bookmarkStart w:id="219" w:name="OLE_LINK781"/>
      <w:bookmarkStart w:id="220" w:name="OLE_LINK833"/>
      <w:bookmarkStart w:id="221" w:name="OLE_LINK642"/>
      <w:bookmarkStart w:id="222" w:name="OLE_LINK700"/>
      <w:bookmarkStart w:id="223" w:name="OLE_LINK792"/>
      <w:bookmarkStart w:id="224" w:name="OLE_LINK2882"/>
      <w:bookmarkStart w:id="225" w:name="OLE_LINK836"/>
      <w:bookmarkStart w:id="226" w:name="OLE_LINK889"/>
      <w:bookmarkStart w:id="227" w:name="OLE_LINK782"/>
      <w:bookmarkStart w:id="228" w:name="OLE_LINK826"/>
      <w:bookmarkStart w:id="229" w:name="OLE_LINK865"/>
      <w:bookmarkStart w:id="230" w:name="OLE_LINK856"/>
      <w:bookmarkStart w:id="231" w:name="OLE_LINK908"/>
      <w:bookmarkStart w:id="232" w:name="OLE_LINK980"/>
      <w:bookmarkStart w:id="233" w:name="OLE_LINK1018"/>
      <w:bookmarkStart w:id="234" w:name="OLE_LINK1049"/>
      <w:bookmarkStart w:id="235" w:name="OLE_LINK1076"/>
      <w:bookmarkStart w:id="236" w:name="OLE_LINK1106"/>
      <w:bookmarkStart w:id="237" w:name="OLE_LINK891"/>
      <w:bookmarkStart w:id="238" w:name="OLE_LINK943"/>
      <w:bookmarkStart w:id="239" w:name="OLE_LINK981"/>
      <w:bookmarkStart w:id="240" w:name="OLE_LINK1030"/>
      <w:bookmarkStart w:id="241" w:name="OLE_LINK847"/>
      <w:bookmarkStart w:id="242" w:name="OLE_LINK909"/>
      <w:bookmarkStart w:id="243" w:name="OLE_LINK906"/>
      <w:bookmarkStart w:id="244" w:name="OLE_LINK992"/>
      <w:bookmarkStart w:id="245" w:name="OLE_LINK993"/>
      <w:bookmarkStart w:id="246" w:name="OLE_LINK1052"/>
      <w:bookmarkStart w:id="247" w:name="OLE_LINK946"/>
      <w:bookmarkStart w:id="248" w:name="OLE_LINK911"/>
      <w:bookmarkStart w:id="249" w:name="OLE_LINK930"/>
      <w:bookmarkStart w:id="250" w:name="OLE_LINK1059"/>
      <w:bookmarkStart w:id="251" w:name="OLE_LINK1174"/>
      <w:bookmarkStart w:id="252" w:name="OLE_LINK1137"/>
      <w:bookmarkStart w:id="253" w:name="OLE_LINK1167"/>
      <w:bookmarkStart w:id="254" w:name="OLE_LINK1200"/>
      <w:bookmarkStart w:id="255" w:name="OLE_LINK1241"/>
      <w:bookmarkStart w:id="256" w:name="OLE_LINK1288"/>
      <w:bookmarkStart w:id="257" w:name="OLE_LINK1056"/>
      <w:bookmarkStart w:id="258" w:name="OLE_LINK1158"/>
      <w:bookmarkStart w:id="259" w:name="OLE_LINK1175"/>
      <w:bookmarkStart w:id="260" w:name="OLE_LINK1074"/>
      <w:bookmarkStart w:id="261" w:name="OLE_LINK1169"/>
      <w:bookmarkStart w:id="262" w:name="OLE_LINK386"/>
      <w:bookmarkStart w:id="263" w:name="OLE_LINK33"/>
      <w:bookmarkStart w:id="264" w:name="OLE_LINK34"/>
      <w:bookmarkStart w:id="265" w:name="OLE_LINK599"/>
      <w:r w:rsidRPr="00C32E7D">
        <w:rPr>
          <w:rFonts w:ascii="Book Antiqua" w:eastAsia="宋体" w:hAnsi="Book Antiqua"/>
          <w:b/>
          <w:bCs/>
          <w:lang w:val="en-US" w:eastAsia="zh-CN"/>
        </w:rPr>
        <w:t>P-Reviewer:</w:t>
      </w:r>
      <w:r w:rsidRPr="00C32E7D">
        <w:rPr>
          <w:rFonts w:ascii="Book Antiqua" w:eastAsia="宋体" w:hAnsi="Book Antiqua" w:hint="eastAsia"/>
          <w:b/>
          <w:bCs/>
          <w:lang w:val="en-US" w:eastAsia="zh-CN"/>
        </w:rPr>
        <w:t xml:space="preserve"> </w:t>
      </w:r>
      <w:r w:rsidRPr="00C32E7D">
        <w:rPr>
          <w:rFonts w:ascii="Book Antiqua" w:eastAsia="宋体" w:hAnsi="Book Antiqua"/>
          <w:bCs/>
          <w:lang w:val="en-US" w:eastAsia="zh-CN"/>
        </w:rPr>
        <w:t>Cerwenka</w:t>
      </w:r>
      <w:r>
        <w:rPr>
          <w:rFonts w:ascii="Book Antiqua" w:eastAsia="宋体" w:hAnsi="Book Antiqua"/>
          <w:bCs/>
          <w:lang w:val="en-US" w:eastAsia="zh-CN"/>
        </w:rPr>
        <w:t xml:space="preserve"> H</w:t>
      </w:r>
      <w:r w:rsidR="00AA253D">
        <w:rPr>
          <w:rFonts w:ascii="Book Antiqua" w:eastAsia="宋体" w:hAnsi="Book Antiqua"/>
          <w:bCs/>
          <w:lang w:val="en-US" w:eastAsia="zh-CN"/>
        </w:rPr>
        <w:t xml:space="preserve">, </w:t>
      </w:r>
      <w:r w:rsidR="00AA253D" w:rsidRPr="00AA253D">
        <w:rPr>
          <w:rFonts w:ascii="Book Antiqua" w:eastAsia="宋体" w:hAnsi="Book Antiqua"/>
          <w:bCs/>
          <w:lang w:val="en-US" w:eastAsia="zh-CN"/>
        </w:rPr>
        <w:t xml:space="preserve">Farkas DT </w:t>
      </w:r>
    </w:p>
    <w:p w14:paraId="795322A9" w14:textId="53F91F3F" w:rsidR="00C32E7D" w:rsidRPr="00C32E7D" w:rsidRDefault="00C32E7D" w:rsidP="008A2434">
      <w:pPr>
        <w:wordWrap w:val="0"/>
        <w:snapToGrid w:val="0"/>
        <w:spacing w:line="360" w:lineRule="auto"/>
        <w:jc w:val="right"/>
        <w:rPr>
          <w:rFonts w:ascii="Book Antiqua" w:eastAsia="宋体" w:hAnsi="Book Antiqua"/>
          <w:lang w:val="en-US" w:eastAsia="zh-CN"/>
        </w:rPr>
      </w:pPr>
      <w:r w:rsidRPr="00C32E7D">
        <w:rPr>
          <w:rFonts w:ascii="Book Antiqua" w:eastAsia="宋体" w:hAnsi="Book Antiqua"/>
          <w:b/>
          <w:bCs/>
          <w:lang w:val="en-US" w:eastAsia="zh-CN"/>
        </w:rPr>
        <w:t>S-Editor:</w:t>
      </w:r>
      <w:r w:rsidRPr="00C32E7D">
        <w:rPr>
          <w:rFonts w:ascii="Book Antiqua" w:eastAsia="宋体" w:hAnsi="Book Antiqua" w:hint="eastAsia"/>
          <w:lang w:val="en-US" w:eastAsia="zh-CN"/>
        </w:rPr>
        <w:t xml:space="preserve"> </w:t>
      </w:r>
      <w:r w:rsidRPr="00C32E7D">
        <w:rPr>
          <w:rFonts w:ascii="Book Antiqua" w:eastAsia="宋体" w:hAnsi="Book Antiqua"/>
          <w:lang w:val="en-US" w:eastAsia="zh-CN"/>
        </w:rPr>
        <w:t>Ma</w:t>
      </w:r>
      <w:r w:rsidRPr="00C32E7D">
        <w:rPr>
          <w:rFonts w:ascii="Book Antiqua" w:eastAsia="宋体" w:hAnsi="Book Antiqua" w:hint="eastAsia"/>
          <w:lang w:val="en-US" w:eastAsia="zh-CN"/>
        </w:rPr>
        <w:t xml:space="preserve"> </w:t>
      </w:r>
      <w:r w:rsidRPr="00C32E7D">
        <w:rPr>
          <w:rFonts w:ascii="Book Antiqua" w:eastAsia="宋体" w:hAnsi="Book Antiqua"/>
          <w:lang w:val="en-US" w:eastAsia="zh-CN"/>
        </w:rPr>
        <w:t>RY</w:t>
      </w:r>
      <w:r w:rsidRPr="00C32E7D">
        <w:rPr>
          <w:rFonts w:ascii="Book Antiqua" w:eastAsia="宋体" w:hAnsi="Book Antiqua" w:hint="eastAsia"/>
          <w:lang w:val="en-US" w:eastAsia="zh-CN"/>
        </w:rPr>
        <w:t xml:space="preserve"> </w:t>
      </w:r>
      <w:r w:rsidRPr="00C32E7D">
        <w:rPr>
          <w:rFonts w:ascii="Book Antiqua" w:eastAsia="宋体" w:hAnsi="Book Antiqua"/>
          <w:b/>
          <w:bCs/>
          <w:lang w:val="en-US" w:eastAsia="zh-CN"/>
        </w:rPr>
        <w:t>L-Editor:</w:t>
      </w:r>
      <w:r w:rsidRPr="00C32E7D">
        <w:rPr>
          <w:rFonts w:ascii="Book Antiqua" w:eastAsia="宋体" w:hAnsi="Book Antiqua"/>
          <w:lang w:val="en-US" w:eastAsia="zh-CN"/>
        </w:rPr>
        <w:t xml:space="preserve"> </w:t>
      </w:r>
      <w:r w:rsidR="008A2434" w:rsidRPr="008A2434">
        <w:rPr>
          <w:rFonts w:ascii="Book Antiqua" w:eastAsia="宋体" w:hAnsi="Book Antiqua"/>
          <w:lang w:val="en-US" w:eastAsia="zh-CN"/>
        </w:rPr>
        <w:t>A</w:t>
      </w:r>
      <w:r w:rsidR="008A2434">
        <w:rPr>
          <w:rFonts w:ascii="Book Antiqua" w:eastAsia="宋体" w:hAnsi="Book Antiqua" w:hint="eastAsia"/>
          <w:lang w:val="en-US" w:eastAsia="zh-CN"/>
        </w:rPr>
        <w:t xml:space="preserve"> </w:t>
      </w:r>
      <w:r w:rsidRPr="00C32E7D">
        <w:rPr>
          <w:rFonts w:ascii="Book Antiqua" w:eastAsia="宋体" w:hAnsi="Book Antiqua"/>
          <w:b/>
          <w:bCs/>
          <w:lang w:val="en-US" w:eastAsia="zh-CN"/>
        </w:rPr>
        <w:t>E-Editor:</w:t>
      </w:r>
      <w:r w:rsidR="008A2434">
        <w:rPr>
          <w:rFonts w:ascii="Book Antiqua" w:eastAsia="宋体" w:hAnsi="Book Antiqua" w:hint="eastAsia"/>
          <w:b/>
          <w:bCs/>
          <w:lang w:val="en-US" w:eastAsia="zh-CN"/>
        </w:rPr>
        <w:t xml:space="preserve"> </w:t>
      </w:r>
      <w:bookmarkStart w:id="266" w:name="_GoBack"/>
      <w:bookmarkEnd w:id="266"/>
      <w:r w:rsidR="008A2434" w:rsidRPr="008A2434">
        <w:rPr>
          <w:rFonts w:ascii="Book Antiqua" w:eastAsia="宋体" w:hAnsi="Book Antiqua"/>
          <w:bCs/>
          <w:lang w:val="en-US" w:eastAsia="zh-CN"/>
        </w:rPr>
        <w:t>Zhang YL</w:t>
      </w:r>
    </w:p>
    <w:p w14:paraId="05659912" w14:textId="77777777" w:rsidR="00C32E7D" w:rsidRPr="00C32E7D" w:rsidRDefault="00C32E7D" w:rsidP="00C32E7D">
      <w:pPr>
        <w:shd w:val="clear" w:color="auto" w:fill="FFFFFF"/>
        <w:snapToGrid w:val="0"/>
        <w:spacing w:line="360" w:lineRule="auto"/>
        <w:jc w:val="both"/>
        <w:rPr>
          <w:rFonts w:ascii="Book Antiqua" w:eastAsia="宋体" w:hAnsi="Book Antiqua" w:cs="Helvetica"/>
          <w:b/>
          <w:lang w:val="en-US" w:eastAsia="zh-CN"/>
        </w:rPr>
      </w:pPr>
      <w:bookmarkStart w:id="267" w:name="OLE_LINK880"/>
      <w:bookmarkStart w:id="268" w:name="OLE_LINK88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C32E7D">
        <w:rPr>
          <w:rFonts w:ascii="Book Antiqua" w:eastAsia="宋体" w:hAnsi="Book Antiqua" w:cs="Helvetica"/>
          <w:b/>
          <w:lang w:val="en-US" w:eastAsia="zh-CN"/>
        </w:rPr>
        <w:t xml:space="preserve">Specialty type: </w:t>
      </w:r>
      <w:r w:rsidRPr="00C32E7D">
        <w:rPr>
          <w:rFonts w:ascii="Book Antiqua" w:eastAsia="宋体" w:hAnsi="Book Antiqua" w:cs="Helvetica"/>
          <w:lang w:val="en-US" w:eastAsia="zh-CN"/>
        </w:rPr>
        <w:t>Gastroenterology and</w:t>
      </w:r>
      <w:r w:rsidRPr="00C32E7D">
        <w:rPr>
          <w:rFonts w:ascii="Book Antiqua" w:eastAsia="宋体" w:hAnsi="Book Antiqua" w:cs="Helvetica" w:hint="eastAsia"/>
          <w:lang w:val="en-US" w:eastAsia="zh-CN"/>
        </w:rPr>
        <w:t xml:space="preserve"> </w:t>
      </w:r>
      <w:r w:rsidRPr="00C32E7D">
        <w:rPr>
          <w:rFonts w:ascii="Book Antiqua" w:eastAsia="宋体" w:hAnsi="Book Antiqua" w:cs="Helvetica"/>
          <w:lang w:val="en-US" w:eastAsia="zh-CN"/>
        </w:rPr>
        <w:t>hepatology</w:t>
      </w:r>
    </w:p>
    <w:p w14:paraId="25ADFBC4" w14:textId="499886C8" w:rsidR="00C32E7D" w:rsidRPr="00C32E7D" w:rsidRDefault="00C32E7D" w:rsidP="00C32E7D">
      <w:pPr>
        <w:shd w:val="clear" w:color="auto" w:fill="FFFFFF"/>
        <w:snapToGrid w:val="0"/>
        <w:spacing w:line="360" w:lineRule="auto"/>
        <w:jc w:val="both"/>
        <w:rPr>
          <w:rFonts w:ascii="Book Antiqua" w:eastAsia="宋体" w:hAnsi="Book Antiqua" w:cs="Helvetica"/>
          <w:b/>
          <w:lang w:val="en-US" w:eastAsia="zh-CN"/>
        </w:rPr>
      </w:pPr>
      <w:r w:rsidRPr="00C32E7D">
        <w:rPr>
          <w:rFonts w:ascii="Book Antiqua" w:eastAsia="宋体" w:hAnsi="Book Antiqua" w:cs="Helvetica"/>
          <w:b/>
          <w:lang w:val="en-US" w:eastAsia="zh-CN"/>
        </w:rPr>
        <w:t xml:space="preserve">Country of origin: </w:t>
      </w:r>
      <w:r>
        <w:rPr>
          <w:rFonts w:ascii="Book Antiqua" w:eastAsia="宋体" w:hAnsi="Book Antiqua" w:cs="Helvetica"/>
          <w:lang w:val="en-US" w:eastAsia="zh-CN"/>
        </w:rPr>
        <w:t>United Kingdom</w:t>
      </w:r>
    </w:p>
    <w:p w14:paraId="1EA058D6" w14:textId="77777777" w:rsidR="00C32E7D" w:rsidRPr="00C32E7D" w:rsidRDefault="00C32E7D" w:rsidP="00C32E7D">
      <w:pPr>
        <w:shd w:val="clear" w:color="auto" w:fill="FFFFFF"/>
        <w:snapToGrid w:val="0"/>
        <w:spacing w:line="360" w:lineRule="auto"/>
        <w:jc w:val="both"/>
        <w:rPr>
          <w:rFonts w:ascii="Book Antiqua" w:eastAsia="宋体" w:hAnsi="Book Antiqua" w:cs="Helvetica"/>
          <w:b/>
          <w:lang w:val="en-US" w:eastAsia="zh-CN"/>
        </w:rPr>
      </w:pPr>
      <w:r w:rsidRPr="00C32E7D">
        <w:rPr>
          <w:rFonts w:ascii="Book Antiqua" w:eastAsia="宋体" w:hAnsi="Book Antiqua" w:cs="Helvetica"/>
          <w:b/>
          <w:lang w:val="en-US" w:eastAsia="zh-CN"/>
        </w:rPr>
        <w:lastRenderedPageBreak/>
        <w:t>Peer-review report classification</w:t>
      </w:r>
    </w:p>
    <w:p w14:paraId="087CB9ED" w14:textId="77777777" w:rsidR="00C32E7D" w:rsidRPr="00C32E7D" w:rsidRDefault="00C32E7D" w:rsidP="00C32E7D">
      <w:pPr>
        <w:shd w:val="clear" w:color="auto" w:fill="FFFFFF"/>
        <w:snapToGrid w:val="0"/>
        <w:spacing w:line="360" w:lineRule="auto"/>
        <w:jc w:val="both"/>
        <w:rPr>
          <w:rFonts w:ascii="Book Antiqua" w:eastAsia="宋体" w:hAnsi="Book Antiqua" w:cs="Helvetica"/>
          <w:lang w:val="en-US" w:eastAsia="zh-CN"/>
        </w:rPr>
      </w:pPr>
      <w:r w:rsidRPr="00C32E7D">
        <w:rPr>
          <w:rFonts w:ascii="Book Antiqua" w:eastAsia="宋体" w:hAnsi="Book Antiqua" w:cs="Helvetica"/>
          <w:lang w:val="en-US" w:eastAsia="zh-CN"/>
        </w:rPr>
        <w:t xml:space="preserve">Grade A (Excellent): </w:t>
      </w:r>
      <w:r w:rsidRPr="00C32E7D">
        <w:rPr>
          <w:rFonts w:ascii="Book Antiqua" w:eastAsia="宋体" w:hAnsi="Book Antiqua" w:cs="Helvetica" w:hint="eastAsia"/>
          <w:lang w:val="en-US" w:eastAsia="zh-CN"/>
        </w:rPr>
        <w:t>0</w:t>
      </w:r>
    </w:p>
    <w:p w14:paraId="33F564B5" w14:textId="605D94DD" w:rsidR="00C32E7D" w:rsidRPr="00C32E7D" w:rsidRDefault="00C32E7D" w:rsidP="00C32E7D">
      <w:pPr>
        <w:shd w:val="clear" w:color="auto" w:fill="FFFFFF"/>
        <w:snapToGrid w:val="0"/>
        <w:spacing w:line="360" w:lineRule="auto"/>
        <w:jc w:val="both"/>
        <w:rPr>
          <w:rFonts w:ascii="Book Antiqua" w:eastAsia="宋体" w:hAnsi="Book Antiqua" w:cs="Helvetica"/>
          <w:lang w:val="en-US" w:eastAsia="zh-CN"/>
        </w:rPr>
      </w:pPr>
      <w:r w:rsidRPr="00C32E7D">
        <w:rPr>
          <w:rFonts w:ascii="Book Antiqua" w:eastAsia="宋体" w:hAnsi="Book Antiqua" w:cs="Helvetica"/>
          <w:lang w:val="en-US" w:eastAsia="zh-CN"/>
        </w:rPr>
        <w:t xml:space="preserve">Grade B (Very good): </w:t>
      </w:r>
      <w:r>
        <w:rPr>
          <w:rFonts w:ascii="Book Antiqua" w:eastAsia="宋体" w:hAnsi="Book Antiqua" w:cs="Helvetica"/>
          <w:lang w:val="en-US" w:eastAsia="zh-CN"/>
        </w:rPr>
        <w:t>0</w:t>
      </w:r>
    </w:p>
    <w:p w14:paraId="682542A7" w14:textId="7495BEF6" w:rsidR="00C32E7D" w:rsidRPr="00C32E7D" w:rsidRDefault="00C32E7D" w:rsidP="00C32E7D">
      <w:pPr>
        <w:shd w:val="clear" w:color="auto" w:fill="FFFFFF"/>
        <w:snapToGrid w:val="0"/>
        <w:spacing w:line="360" w:lineRule="auto"/>
        <w:jc w:val="both"/>
        <w:rPr>
          <w:rFonts w:ascii="Book Antiqua" w:eastAsia="宋体" w:hAnsi="Book Antiqua" w:cs="Helvetica"/>
          <w:lang w:val="en-US" w:eastAsia="zh-CN"/>
        </w:rPr>
      </w:pPr>
      <w:r w:rsidRPr="00C32E7D">
        <w:rPr>
          <w:rFonts w:ascii="Book Antiqua" w:eastAsia="宋体" w:hAnsi="Book Antiqua" w:cs="Helvetica"/>
          <w:lang w:val="en-US" w:eastAsia="zh-CN"/>
        </w:rPr>
        <w:t xml:space="preserve">Grade C (Good): </w:t>
      </w:r>
      <w:r w:rsidRPr="00C32E7D">
        <w:rPr>
          <w:rFonts w:ascii="Book Antiqua" w:eastAsia="宋体" w:hAnsi="Book Antiqua" w:cs="Helvetica" w:hint="eastAsia"/>
          <w:lang w:val="en-US" w:eastAsia="zh-CN"/>
        </w:rPr>
        <w:t>C</w:t>
      </w:r>
      <w:r w:rsidR="001D16C0">
        <w:rPr>
          <w:rFonts w:ascii="Book Antiqua" w:eastAsia="宋体" w:hAnsi="Book Antiqua" w:cs="Helvetica"/>
          <w:lang w:val="en-US" w:eastAsia="zh-CN"/>
        </w:rPr>
        <w:t>, C</w:t>
      </w:r>
    </w:p>
    <w:p w14:paraId="787AE4C5" w14:textId="77777777" w:rsidR="00C32E7D" w:rsidRPr="00C32E7D" w:rsidRDefault="00C32E7D" w:rsidP="00C32E7D">
      <w:pPr>
        <w:shd w:val="clear" w:color="auto" w:fill="FFFFFF"/>
        <w:snapToGrid w:val="0"/>
        <w:spacing w:line="360" w:lineRule="auto"/>
        <w:jc w:val="both"/>
        <w:rPr>
          <w:rFonts w:ascii="Book Antiqua" w:eastAsia="宋体" w:hAnsi="Book Antiqua" w:cs="Helvetica"/>
          <w:lang w:val="en-US" w:eastAsia="zh-CN"/>
        </w:rPr>
      </w:pPr>
      <w:r w:rsidRPr="00C32E7D">
        <w:rPr>
          <w:rFonts w:ascii="Book Antiqua" w:eastAsia="宋体" w:hAnsi="Book Antiqua" w:cs="Helvetica"/>
          <w:lang w:val="en-US" w:eastAsia="zh-CN"/>
        </w:rPr>
        <w:t xml:space="preserve">Grade D (Fair): </w:t>
      </w:r>
      <w:r w:rsidRPr="00C32E7D">
        <w:rPr>
          <w:rFonts w:ascii="Book Antiqua" w:eastAsia="宋体" w:hAnsi="Book Antiqua" w:cs="Helvetica" w:hint="eastAsia"/>
          <w:lang w:val="en-US" w:eastAsia="zh-CN"/>
        </w:rPr>
        <w:t>0</w:t>
      </w:r>
    </w:p>
    <w:p w14:paraId="1DA74D2F" w14:textId="77777777" w:rsidR="00C32E7D" w:rsidRPr="00C32E7D" w:rsidRDefault="00C32E7D" w:rsidP="00C32E7D">
      <w:pPr>
        <w:snapToGrid w:val="0"/>
        <w:spacing w:line="360" w:lineRule="auto"/>
        <w:jc w:val="both"/>
        <w:rPr>
          <w:rFonts w:ascii="Book Antiqua" w:eastAsia="宋体" w:hAnsi="Book Antiqua"/>
          <w:b/>
          <w:iCs/>
          <w:lang w:val="en-US" w:eastAsia="zh-CN"/>
        </w:rPr>
      </w:pPr>
      <w:r w:rsidRPr="00C32E7D">
        <w:rPr>
          <w:rFonts w:ascii="Book Antiqua" w:eastAsia="宋体" w:hAnsi="Book Antiqua" w:cs="Helvetica"/>
          <w:lang w:val="en-US" w:eastAsia="zh-CN"/>
        </w:rPr>
        <w:t xml:space="preserve">Grade E (Poor): </w:t>
      </w:r>
      <w:r w:rsidRPr="00C32E7D">
        <w:rPr>
          <w:rFonts w:ascii="Book Antiqua" w:eastAsia="宋体" w:hAnsi="Book Antiqua" w:cs="Helvetica" w:hint="eastAsia"/>
          <w:lang w:val="en-US" w:eastAsia="zh-CN"/>
        </w:rPr>
        <w:t>0</w:t>
      </w:r>
      <w:bookmarkEnd w:id="262"/>
      <w:bookmarkEnd w:id="267"/>
      <w:bookmarkEnd w:id="268"/>
    </w:p>
    <w:bookmarkEnd w:id="263"/>
    <w:bookmarkEnd w:id="264"/>
    <w:bookmarkEnd w:id="265"/>
    <w:p w14:paraId="54AAD264" w14:textId="3FE49702" w:rsidR="00302CD1" w:rsidRDefault="00787534" w:rsidP="001B26B6">
      <w:pPr>
        <w:adjustRightInd w:val="0"/>
        <w:snapToGrid w:val="0"/>
        <w:spacing w:line="360" w:lineRule="auto"/>
        <w:jc w:val="both"/>
        <w:rPr>
          <w:rFonts w:ascii="Book Antiqua" w:hAnsi="Book Antiqua" w:cs="Arial"/>
          <w:color w:val="000000" w:themeColor="text1"/>
          <w:lang w:val="en-US"/>
        </w:rPr>
      </w:pPr>
      <w:r>
        <w:rPr>
          <w:rFonts w:ascii="Book Antiqua" w:hAnsi="Book Antiqua" w:cs="Arial"/>
          <w:noProof/>
          <w:color w:val="000000" w:themeColor="text1"/>
          <w:lang w:val="en-US" w:eastAsia="zh-CN"/>
        </w:rPr>
        <w:drawing>
          <wp:inline distT="0" distB="0" distL="0" distR="0" wp14:anchorId="3F8200BE" wp14:editId="218EEE64">
            <wp:extent cx="3588990" cy="3649649"/>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0222DC9-ABF7-46CB-B4B0-C9ECFB0CBCF1.png"/>
                    <pic:cNvPicPr/>
                  </pic:nvPicPr>
                  <pic:blipFill>
                    <a:blip r:embed="rId10">
                      <a:extLst>
                        <a:ext uri="{28A0092B-C50C-407E-A947-70E740481C1C}">
                          <a14:useLocalDpi xmlns:a14="http://schemas.microsoft.com/office/drawing/2010/main" val="0"/>
                        </a:ext>
                      </a:extLst>
                    </a:blip>
                    <a:stretch>
                      <a:fillRect/>
                    </a:stretch>
                  </pic:blipFill>
                  <pic:spPr>
                    <a:xfrm>
                      <a:off x="0" y="0"/>
                      <a:ext cx="3617177" cy="3678312"/>
                    </a:xfrm>
                    <a:prstGeom prst="rect">
                      <a:avLst/>
                    </a:prstGeom>
                  </pic:spPr>
                </pic:pic>
              </a:graphicData>
            </a:graphic>
          </wp:inline>
        </w:drawing>
      </w:r>
    </w:p>
    <w:p w14:paraId="384F789D" w14:textId="1FD786DC" w:rsidR="00787534" w:rsidRPr="00787534" w:rsidRDefault="00787534" w:rsidP="00787534">
      <w:pPr>
        <w:adjustRightInd w:val="0"/>
        <w:snapToGrid w:val="0"/>
        <w:spacing w:line="360" w:lineRule="auto"/>
        <w:jc w:val="both"/>
        <w:rPr>
          <w:rFonts w:ascii="Book Antiqua" w:hAnsi="Book Antiqua" w:cs="Arial"/>
          <w:color w:val="000000" w:themeColor="text1"/>
          <w:lang w:val="en-US"/>
        </w:rPr>
      </w:pPr>
      <w:r w:rsidRPr="00787534">
        <w:rPr>
          <w:rFonts w:ascii="Book Antiqua" w:hAnsi="Book Antiqua" w:cs="Arial"/>
          <w:b/>
          <w:bCs/>
          <w:color w:val="000000" w:themeColor="text1"/>
        </w:rPr>
        <w:t>Figure 1 The ‘EG Scan II’ system.</w:t>
      </w:r>
      <w:r w:rsidRPr="00787534">
        <w:rPr>
          <w:rFonts w:ascii="Book Antiqua" w:hAnsi="Book Antiqua" w:cs="Arial"/>
          <w:color w:val="000000" w:themeColor="text1"/>
        </w:rPr>
        <w:t xml:space="preserve"> A</w:t>
      </w:r>
      <w:r>
        <w:rPr>
          <w:rFonts w:ascii="Book Antiqua" w:hAnsi="Book Antiqua" w:cs="Arial"/>
          <w:color w:val="000000" w:themeColor="text1"/>
        </w:rPr>
        <w:t>:</w:t>
      </w:r>
      <w:r w:rsidRPr="00787534">
        <w:rPr>
          <w:rFonts w:ascii="Book Antiqua" w:hAnsi="Book Antiqua" w:cs="Arial"/>
          <w:color w:val="000000" w:themeColor="text1"/>
        </w:rPr>
        <w:t xml:space="preserve"> </w:t>
      </w:r>
      <w:r>
        <w:rPr>
          <w:rFonts w:ascii="Book Antiqua" w:hAnsi="Book Antiqua" w:cs="Arial"/>
          <w:color w:val="000000" w:themeColor="text1"/>
        </w:rPr>
        <w:t>T</w:t>
      </w:r>
      <w:r w:rsidRPr="00787534">
        <w:rPr>
          <w:rFonts w:ascii="Book Antiqua" w:hAnsi="Book Antiqua" w:cs="Arial"/>
          <w:color w:val="000000" w:themeColor="text1"/>
        </w:rPr>
        <w:t>he portable case with four main parts; B</w:t>
      </w:r>
      <w:r>
        <w:rPr>
          <w:rFonts w:ascii="Book Antiqua" w:hAnsi="Book Antiqua" w:cs="Arial"/>
          <w:color w:val="000000" w:themeColor="text1"/>
        </w:rPr>
        <w:t>:</w:t>
      </w:r>
      <w:r w:rsidRPr="00787534">
        <w:rPr>
          <w:rFonts w:ascii="Book Antiqua" w:hAnsi="Book Antiqua" w:cs="Arial"/>
          <w:color w:val="000000" w:themeColor="text1"/>
        </w:rPr>
        <w:t xml:space="preserve"> </w:t>
      </w:r>
      <w:r>
        <w:rPr>
          <w:rFonts w:ascii="Book Antiqua" w:hAnsi="Book Antiqua" w:cs="Arial"/>
          <w:color w:val="000000" w:themeColor="text1"/>
        </w:rPr>
        <w:t>T</w:t>
      </w:r>
      <w:r w:rsidRPr="00787534">
        <w:rPr>
          <w:rFonts w:ascii="Book Antiqua" w:hAnsi="Book Antiqua" w:cs="Arial"/>
          <w:color w:val="000000" w:themeColor="text1"/>
        </w:rPr>
        <w:t>he image processor (top left), disposable probe (top right), air tube (bottom right) and hand-held controller (bottom left); C</w:t>
      </w:r>
      <w:r>
        <w:rPr>
          <w:rFonts w:ascii="Book Antiqua" w:hAnsi="Book Antiqua" w:cs="Arial"/>
          <w:color w:val="000000" w:themeColor="text1"/>
        </w:rPr>
        <w:t>:</w:t>
      </w:r>
      <w:r w:rsidRPr="00787534">
        <w:rPr>
          <w:rFonts w:ascii="Book Antiqua" w:hAnsi="Book Antiqua" w:cs="Arial"/>
          <w:color w:val="000000" w:themeColor="text1"/>
        </w:rPr>
        <w:t xml:space="preserve"> </w:t>
      </w:r>
      <w:r>
        <w:rPr>
          <w:rFonts w:ascii="Book Antiqua" w:hAnsi="Book Antiqua" w:cs="Arial"/>
          <w:color w:val="000000" w:themeColor="text1"/>
        </w:rPr>
        <w:t>T</w:t>
      </w:r>
      <w:r w:rsidRPr="00787534">
        <w:rPr>
          <w:rFonts w:ascii="Book Antiqua" w:hAnsi="Book Antiqua" w:cs="Arial"/>
          <w:color w:val="000000" w:themeColor="text1"/>
        </w:rPr>
        <w:t>he system connected and ready for use; D</w:t>
      </w:r>
      <w:r>
        <w:rPr>
          <w:rFonts w:ascii="Book Antiqua" w:hAnsi="Book Antiqua" w:cs="Arial"/>
          <w:color w:val="000000" w:themeColor="text1"/>
        </w:rPr>
        <w:t>:</w:t>
      </w:r>
      <w:r w:rsidRPr="00787534">
        <w:rPr>
          <w:rFonts w:ascii="Book Antiqua" w:hAnsi="Book Antiqua" w:cs="Arial"/>
          <w:color w:val="000000" w:themeColor="text1"/>
        </w:rPr>
        <w:t xml:space="preserve"> </w:t>
      </w:r>
      <w:r>
        <w:rPr>
          <w:rFonts w:ascii="Book Antiqua" w:hAnsi="Book Antiqua" w:cs="Arial"/>
          <w:color w:val="000000" w:themeColor="text1"/>
        </w:rPr>
        <w:t>C</w:t>
      </w:r>
      <w:r w:rsidRPr="00787534">
        <w:rPr>
          <w:rFonts w:ascii="Book Antiqua" w:hAnsi="Book Antiqua" w:cs="Arial"/>
          <w:color w:val="000000" w:themeColor="text1"/>
        </w:rPr>
        <w:t>lose view of the capsule probe tip. Reproduced with permission from Sami SS</w:t>
      </w:r>
      <w:r>
        <w:rPr>
          <w:rFonts w:ascii="Book Antiqua" w:hAnsi="Book Antiqua" w:cs="Arial"/>
          <w:i/>
          <w:iCs/>
          <w:color w:val="000000" w:themeColor="text1"/>
        </w:rPr>
        <w:t xml:space="preserve"> </w:t>
      </w:r>
      <w:r w:rsidRPr="00787534">
        <w:rPr>
          <w:rFonts w:ascii="Book Antiqua" w:hAnsi="Book Antiqua" w:cs="Arial"/>
          <w:i/>
          <w:iCs/>
          <w:color w:val="000000" w:themeColor="text1"/>
        </w:rPr>
        <w:t xml:space="preserve">et al. </w:t>
      </w:r>
      <w:r w:rsidRPr="00787534">
        <w:rPr>
          <w:rFonts w:ascii="Book Antiqua" w:hAnsi="Book Antiqua" w:cs="Arial"/>
          <w:color w:val="000000" w:themeColor="text1"/>
        </w:rPr>
        <w:t>Copyright John Wiley and Sons</w:t>
      </w:r>
      <w:r w:rsidR="00A93A0F">
        <w:rPr>
          <w:rFonts w:ascii="Book Antiqua" w:hAnsi="Book Antiqua" w:cs="Arial"/>
          <w:color w:val="000000" w:themeColor="text1"/>
        </w:rPr>
        <w:t>.</w:t>
      </w:r>
    </w:p>
    <w:p w14:paraId="275B0F80" w14:textId="3AEBB539" w:rsidR="00787534" w:rsidRDefault="00787534">
      <w:pPr>
        <w:rPr>
          <w:rFonts w:ascii="Book Antiqua" w:hAnsi="Book Antiqua" w:cs="Arial"/>
          <w:color w:val="000000" w:themeColor="text1"/>
          <w:lang w:val="en-US"/>
        </w:rPr>
      </w:pPr>
      <w:r>
        <w:rPr>
          <w:rFonts w:ascii="Book Antiqua" w:hAnsi="Book Antiqua" w:cs="Arial"/>
          <w:color w:val="000000" w:themeColor="text1"/>
          <w:lang w:val="en-US"/>
        </w:rPr>
        <w:br w:type="page"/>
      </w:r>
    </w:p>
    <w:p w14:paraId="7F9415E2" w14:textId="2BC24EF0" w:rsidR="00C32E7D" w:rsidRDefault="00A93A0F" w:rsidP="001B26B6">
      <w:pPr>
        <w:adjustRightInd w:val="0"/>
        <w:snapToGrid w:val="0"/>
        <w:spacing w:line="360" w:lineRule="auto"/>
        <w:jc w:val="both"/>
        <w:rPr>
          <w:rFonts w:ascii="Book Antiqua" w:hAnsi="Book Antiqua" w:cs="Arial"/>
          <w:color w:val="000000" w:themeColor="text1"/>
          <w:lang w:val="en-US"/>
        </w:rPr>
      </w:pPr>
      <w:r w:rsidRPr="00A93A0F">
        <w:rPr>
          <w:rFonts w:ascii="Book Antiqua" w:hAnsi="Book Antiqua" w:cs="Arial"/>
          <w:noProof/>
          <w:color w:val="000000" w:themeColor="text1"/>
          <w:lang w:val="en-US" w:eastAsia="zh-CN"/>
        </w:rPr>
        <w:lastRenderedPageBreak/>
        <w:drawing>
          <wp:inline distT="0" distB="0" distL="0" distR="0" wp14:anchorId="585B1A70" wp14:editId="170B4B45">
            <wp:extent cx="4250282" cy="2497394"/>
            <wp:effectExtent l="0" t="0" r="4445" b="5080"/>
            <wp:docPr id="1025" name="Picture 3" descr="An external file that holds a picture, illustration, etc.&#10;Object name is 10-1055-s-0035-1569846-i320ei3.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7F88F3-A80E-D34E-98AA-202FA2D004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3" descr="An external file that holds a picture, illustration, etc.&#10;Object name is 10-1055-s-0035-1569846-i320ei3.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7F88F3-A80E-D34E-98AA-202FA2D004D1}"/>
                        </a:ext>
                      </a:extLst>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260371" cy="2503322"/>
                    </a:xfrm>
                    <a:prstGeom prst="rect">
                      <a:avLst/>
                    </a:prstGeom>
                    <a:noFill/>
                  </pic:spPr>
                </pic:pic>
              </a:graphicData>
            </a:graphic>
          </wp:inline>
        </w:drawing>
      </w:r>
    </w:p>
    <w:p w14:paraId="2DD2B505" w14:textId="08EA48E2" w:rsidR="00A93A0F" w:rsidRDefault="00A93A0F" w:rsidP="001B26B6">
      <w:pPr>
        <w:adjustRightInd w:val="0"/>
        <w:snapToGrid w:val="0"/>
        <w:spacing w:line="360" w:lineRule="auto"/>
        <w:jc w:val="both"/>
        <w:rPr>
          <w:rFonts w:ascii="Book Antiqua" w:hAnsi="Book Antiqua" w:cs="Arial"/>
          <w:color w:val="000000" w:themeColor="text1"/>
          <w:lang w:val="en-US"/>
        </w:rPr>
      </w:pPr>
      <w:r w:rsidRPr="00A93A0F">
        <w:rPr>
          <w:rFonts w:ascii="Book Antiqua" w:hAnsi="Book Antiqua" w:cs="Arial"/>
          <w:b/>
          <w:bCs/>
          <w:color w:val="000000" w:themeColor="text1"/>
          <w:lang w:val="en-US"/>
        </w:rPr>
        <w:t xml:space="preserve">Figure 2 Maneuvers of the </w:t>
      </w:r>
      <w:bookmarkStart w:id="269" w:name="OLE_LINK81"/>
      <w:bookmarkStart w:id="270" w:name="OLE_LINK82"/>
      <w:bookmarkStart w:id="271" w:name="OLE_LINK83"/>
      <w:bookmarkStart w:id="272" w:name="OLE_LINK84"/>
      <w:r w:rsidRPr="00A93A0F">
        <w:rPr>
          <w:rFonts w:ascii="Book Antiqua" w:hAnsi="Book Antiqua" w:cs="Arial"/>
          <w:b/>
          <w:bCs/>
          <w:color w:val="000000" w:themeColor="text1"/>
          <w:lang w:val="en-US"/>
        </w:rPr>
        <w:t>magnetically</w:t>
      </w:r>
      <w:bookmarkEnd w:id="269"/>
      <w:bookmarkEnd w:id="270"/>
      <w:r w:rsidRPr="00A93A0F">
        <w:rPr>
          <w:rFonts w:ascii="Book Antiqua" w:hAnsi="Book Antiqua" w:cs="Arial"/>
          <w:b/>
          <w:bCs/>
          <w:color w:val="000000" w:themeColor="text1"/>
          <w:lang w:val="en-US"/>
        </w:rPr>
        <w:t xml:space="preserve"> guided</w:t>
      </w:r>
      <w:bookmarkEnd w:id="271"/>
      <w:bookmarkEnd w:id="272"/>
      <w:r w:rsidRPr="00A93A0F">
        <w:rPr>
          <w:rFonts w:ascii="Book Antiqua" w:hAnsi="Book Antiqua" w:cs="Arial"/>
          <w:b/>
          <w:bCs/>
          <w:color w:val="000000" w:themeColor="text1"/>
          <w:lang w:val="en-US"/>
        </w:rPr>
        <w:t xml:space="preserve"> wireless capsule endoscopy in the stomach. </w:t>
      </w:r>
      <w:r w:rsidRPr="00A93A0F">
        <w:rPr>
          <w:rFonts w:ascii="Book Antiqua" w:hAnsi="Book Antiqua" w:cs="Arial"/>
          <w:color w:val="000000" w:themeColor="text1"/>
          <w:lang w:val="en-US"/>
        </w:rPr>
        <w:t xml:space="preserve">Reproduced with permission from </w:t>
      </w:r>
      <w:bookmarkStart w:id="273" w:name="OLE_LINK88"/>
      <w:bookmarkStart w:id="274" w:name="OLE_LINK89"/>
      <w:r w:rsidR="009A29CD">
        <w:rPr>
          <w:rFonts w:ascii="Book Antiqua" w:hAnsi="Book Antiqua" w:cs="Arial"/>
          <w:color w:val="000000" w:themeColor="text1"/>
          <w:lang w:val="en-US"/>
        </w:rPr>
        <w:t>Ching</w:t>
      </w:r>
      <w:r w:rsidRPr="00A93A0F">
        <w:rPr>
          <w:rFonts w:ascii="Book Antiqua" w:hAnsi="Book Antiqua" w:cs="Arial"/>
          <w:color w:val="000000" w:themeColor="text1"/>
          <w:lang w:val="en-US"/>
        </w:rPr>
        <w:t xml:space="preserve"> </w:t>
      </w:r>
      <w:r w:rsidR="009A29CD">
        <w:rPr>
          <w:rFonts w:ascii="Book Antiqua" w:hAnsi="Book Antiqua" w:cs="Arial"/>
          <w:color w:val="000000" w:themeColor="text1"/>
          <w:lang w:val="en-US"/>
        </w:rPr>
        <w:t>HL</w:t>
      </w:r>
      <w:r w:rsidRPr="00A93A0F">
        <w:rPr>
          <w:rFonts w:ascii="Book Antiqua" w:hAnsi="Book Antiqua" w:cs="Arial"/>
          <w:color w:val="000000" w:themeColor="text1"/>
          <w:lang w:val="en-US"/>
        </w:rPr>
        <w:t xml:space="preserve"> </w:t>
      </w:r>
      <w:r w:rsidRPr="00A93A0F">
        <w:rPr>
          <w:rFonts w:ascii="Book Antiqua" w:hAnsi="Book Antiqua" w:cs="Arial"/>
          <w:i/>
          <w:iCs/>
          <w:color w:val="000000" w:themeColor="text1"/>
          <w:lang w:val="en-US"/>
        </w:rPr>
        <w:t>et al</w:t>
      </w:r>
      <w:r w:rsidR="009A29CD" w:rsidRPr="009A29CD">
        <w:rPr>
          <w:rFonts w:ascii="Book Antiqua" w:hAnsi="Book Antiqua" w:cs="Arial"/>
          <w:color w:val="000000" w:themeColor="text1"/>
          <w:vertAlign w:val="superscript"/>
          <w:lang w:val="en-US"/>
        </w:rPr>
        <w:t>[43]</w:t>
      </w:r>
      <w:r w:rsidRPr="009A29CD">
        <w:rPr>
          <w:rFonts w:ascii="Book Antiqua" w:hAnsi="Book Antiqua" w:cs="Arial"/>
          <w:color w:val="000000" w:themeColor="text1"/>
          <w:lang w:val="en-US"/>
        </w:rPr>
        <w:t>.</w:t>
      </w:r>
      <w:bookmarkEnd w:id="273"/>
      <w:bookmarkEnd w:id="274"/>
      <w:r w:rsidRPr="00A93A0F">
        <w:rPr>
          <w:rFonts w:ascii="Book Antiqua" w:hAnsi="Book Antiqua" w:cs="Arial"/>
          <w:color w:val="000000" w:themeColor="text1"/>
          <w:lang w:val="en-US"/>
        </w:rPr>
        <w:t xml:space="preserve"> Copyright Thieme Group</w:t>
      </w:r>
      <w:r>
        <w:rPr>
          <w:rFonts w:ascii="Book Antiqua" w:hAnsi="Book Antiqua" w:cs="Arial"/>
          <w:color w:val="000000" w:themeColor="text1"/>
          <w:lang w:val="en-US"/>
        </w:rPr>
        <w:t>.</w:t>
      </w:r>
    </w:p>
    <w:p w14:paraId="7AAB284C" w14:textId="1335D4D0" w:rsidR="009A29CD" w:rsidRDefault="009A29CD">
      <w:pPr>
        <w:rPr>
          <w:rFonts w:ascii="Book Antiqua" w:hAnsi="Book Antiqua" w:cs="Arial"/>
          <w:color w:val="000000" w:themeColor="text1"/>
          <w:lang w:val="en-US"/>
        </w:rPr>
      </w:pPr>
      <w:r>
        <w:rPr>
          <w:rFonts w:ascii="Book Antiqua" w:hAnsi="Book Antiqua" w:cs="Arial"/>
          <w:color w:val="000000" w:themeColor="text1"/>
          <w:lang w:val="en-US"/>
        </w:rPr>
        <w:br w:type="page"/>
      </w:r>
    </w:p>
    <w:p w14:paraId="1331E3F1" w14:textId="309DC600" w:rsidR="009A29CD" w:rsidRDefault="009A29CD" w:rsidP="001B26B6">
      <w:pPr>
        <w:adjustRightInd w:val="0"/>
        <w:snapToGrid w:val="0"/>
        <w:spacing w:line="360" w:lineRule="auto"/>
        <w:jc w:val="both"/>
        <w:rPr>
          <w:rFonts w:ascii="Book Antiqua" w:hAnsi="Book Antiqua" w:cs="Arial"/>
          <w:color w:val="000000" w:themeColor="text1"/>
          <w:lang w:val="en-US"/>
        </w:rPr>
      </w:pPr>
      <w:r w:rsidRPr="009A29CD">
        <w:rPr>
          <w:rFonts w:ascii="Book Antiqua" w:hAnsi="Book Antiqua" w:cs="Arial"/>
          <w:noProof/>
          <w:color w:val="000000" w:themeColor="text1"/>
          <w:lang w:val="en-US" w:eastAsia="zh-CN"/>
        </w:rPr>
        <w:lastRenderedPageBreak/>
        <w:drawing>
          <wp:inline distT="0" distB="0" distL="0" distR="0" wp14:anchorId="2FC1B003" wp14:editId="6D30CE40">
            <wp:extent cx="2782529" cy="2086897"/>
            <wp:effectExtent l="0" t="0" r="0" b="0"/>
            <wp:docPr id="2" name="Picture 4" descr="/var/folders/t8/kjcqncgj3m357blrgnhrgjxc0000gn/T/com.microsoft.Word/WebArchiveCopyPasteTempFiles/10-1055-s-0035-1569846-i320ei1.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AD1308-FBA4-E84F-BD6F-20B4C772F4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4" descr="/var/folders/t8/kjcqncgj3m357blrgnhrgjxc0000gn/T/com.microsoft.Word/WebArchiveCopyPasteTempFiles/10-1055-s-0035-1569846-i320ei1.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AD1308-FBA4-E84F-BD6F-20B4C772F4A7}"/>
                        </a:ext>
                      </a:extLst>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791165" cy="2093374"/>
                    </a:xfrm>
                    <a:prstGeom prst="rect">
                      <a:avLst/>
                    </a:prstGeom>
                    <a:noFill/>
                  </pic:spPr>
                </pic:pic>
              </a:graphicData>
            </a:graphic>
          </wp:inline>
        </w:drawing>
      </w:r>
    </w:p>
    <w:p w14:paraId="7E612869" w14:textId="46FC0C6F" w:rsidR="009A29CD" w:rsidRDefault="009A29CD" w:rsidP="001B26B6">
      <w:pPr>
        <w:adjustRightInd w:val="0"/>
        <w:snapToGrid w:val="0"/>
        <w:spacing w:line="360" w:lineRule="auto"/>
        <w:jc w:val="both"/>
        <w:rPr>
          <w:rFonts w:ascii="Book Antiqua" w:hAnsi="Book Antiqua" w:cs="Arial"/>
          <w:color w:val="000000" w:themeColor="text1"/>
          <w:lang w:val="en-US"/>
        </w:rPr>
      </w:pPr>
      <w:r w:rsidRPr="009A29CD">
        <w:rPr>
          <w:rFonts w:ascii="Book Antiqua" w:hAnsi="Book Antiqua" w:cs="Arial"/>
          <w:b/>
          <w:bCs/>
          <w:color w:val="000000" w:themeColor="text1"/>
          <w:lang w:val="en-US"/>
        </w:rPr>
        <w:t xml:space="preserve">Figure 3 MicroCam Navi equipment (magnetically-assisted </w:t>
      </w:r>
      <w:bookmarkStart w:id="275" w:name="OLE_LINK93"/>
      <w:bookmarkStart w:id="276" w:name="OLE_LINK94"/>
      <w:r w:rsidRPr="009A29CD">
        <w:rPr>
          <w:rFonts w:ascii="Book Antiqua" w:hAnsi="Book Antiqua" w:cs="Arial"/>
          <w:b/>
          <w:bCs/>
          <w:color w:val="000000" w:themeColor="text1"/>
          <w:lang w:val="en-US"/>
        </w:rPr>
        <w:t>capsule endoscopy</w:t>
      </w:r>
      <w:bookmarkEnd w:id="275"/>
      <w:bookmarkEnd w:id="276"/>
      <w:r w:rsidRPr="009A29CD">
        <w:rPr>
          <w:rFonts w:ascii="Book Antiqua" w:hAnsi="Book Antiqua" w:cs="Arial"/>
          <w:b/>
          <w:bCs/>
          <w:color w:val="000000" w:themeColor="text1"/>
          <w:lang w:val="en-US"/>
        </w:rPr>
        <w:t xml:space="preserve">). </w:t>
      </w:r>
      <w:r w:rsidRPr="009A29CD">
        <w:rPr>
          <w:rFonts w:ascii="Book Antiqua" w:hAnsi="Book Antiqua" w:cs="Arial"/>
          <w:color w:val="000000" w:themeColor="text1"/>
          <w:lang w:val="en-US"/>
        </w:rPr>
        <w:t xml:space="preserve">Reproduced with permission from </w:t>
      </w:r>
      <w:r>
        <w:rPr>
          <w:rFonts w:ascii="Book Antiqua" w:hAnsi="Book Antiqua" w:cs="Arial"/>
          <w:color w:val="000000" w:themeColor="text1"/>
          <w:lang w:val="en-US"/>
        </w:rPr>
        <w:t>Ching</w:t>
      </w:r>
      <w:r w:rsidRPr="00A93A0F">
        <w:rPr>
          <w:rFonts w:ascii="Book Antiqua" w:hAnsi="Book Antiqua" w:cs="Arial"/>
          <w:color w:val="000000" w:themeColor="text1"/>
          <w:lang w:val="en-US"/>
        </w:rPr>
        <w:t xml:space="preserve"> </w:t>
      </w:r>
      <w:r>
        <w:rPr>
          <w:rFonts w:ascii="Book Antiqua" w:hAnsi="Book Antiqua" w:cs="Arial"/>
          <w:color w:val="000000" w:themeColor="text1"/>
          <w:lang w:val="en-US"/>
        </w:rPr>
        <w:t>HL</w:t>
      </w:r>
      <w:r w:rsidRPr="00A93A0F">
        <w:rPr>
          <w:rFonts w:ascii="Book Antiqua" w:hAnsi="Book Antiqua" w:cs="Arial"/>
          <w:color w:val="000000" w:themeColor="text1"/>
          <w:lang w:val="en-US"/>
        </w:rPr>
        <w:t xml:space="preserve"> </w:t>
      </w:r>
      <w:r w:rsidRPr="00A93A0F">
        <w:rPr>
          <w:rFonts w:ascii="Book Antiqua" w:hAnsi="Book Antiqua" w:cs="Arial"/>
          <w:i/>
          <w:iCs/>
          <w:color w:val="000000" w:themeColor="text1"/>
          <w:lang w:val="en-US"/>
        </w:rPr>
        <w:t>et al</w:t>
      </w:r>
      <w:r w:rsidRPr="009A29CD">
        <w:rPr>
          <w:rFonts w:ascii="Book Antiqua" w:hAnsi="Book Antiqua" w:cs="Arial"/>
          <w:color w:val="000000" w:themeColor="text1"/>
          <w:vertAlign w:val="superscript"/>
          <w:lang w:val="en-US"/>
        </w:rPr>
        <w:t>[</w:t>
      </w:r>
      <w:r>
        <w:rPr>
          <w:rFonts w:ascii="Book Antiqua" w:hAnsi="Book Antiqua" w:cs="Arial"/>
          <w:color w:val="000000" w:themeColor="text1"/>
          <w:vertAlign w:val="superscript"/>
          <w:lang w:val="en-US"/>
        </w:rPr>
        <w:t>38</w:t>
      </w:r>
      <w:r w:rsidRPr="009A29CD">
        <w:rPr>
          <w:rFonts w:ascii="Book Antiqua" w:hAnsi="Book Antiqua" w:cs="Arial"/>
          <w:color w:val="000000" w:themeColor="text1"/>
          <w:vertAlign w:val="superscript"/>
          <w:lang w:val="en-US"/>
        </w:rPr>
        <w:t>]</w:t>
      </w:r>
      <w:r w:rsidRPr="009A29CD">
        <w:rPr>
          <w:rFonts w:ascii="Book Antiqua" w:hAnsi="Book Antiqua" w:cs="Arial"/>
          <w:color w:val="000000" w:themeColor="text1"/>
          <w:lang w:val="en-US"/>
        </w:rPr>
        <w:t>. Copyright Thieme Group.</w:t>
      </w:r>
    </w:p>
    <w:p w14:paraId="4E75C668" w14:textId="17495395" w:rsidR="009A29CD" w:rsidRDefault="009A29CD">
      <w:pPr>
        <w:rPr>
          <w:rFonts w:ascii="Book Antiqua" w:hAnsi="Book Antiqua" w:cs="Arial"/>
          <w:color w:val="000000" w:themeColor="text1"/>
          <w:lang w:val="en-US"/>
        </w:rPr>
      </w:pPr>
      <w:r>
        <w:rPr>
          <w:rFonts w:ascii="Book Antiqua" w:hAnsi="Book Antiqua" w:cs="Arial"/>
          <w:color w:val="000000" w:themeColor="text1"/>
          <w:lang w:val="en-US"/>
        </w:rPr>
        <w:br w:type="page"/>
      </w:r>
    </w:p>
    <w:p w14:paraId="73183FC3" w14:textId="38978F22" w:rsidR="009A29CD" w:rsidRDefault="00351B61" w:rsidP="001B26B6">
      <w:pPr>
        <w:adjustRightInd w:val="0"/>
        <w:snapToGrid w:val="0"/>
        <w:spacing w:line="360" w:lineRule="auto"/>
        <w:jc w:val="both"/>
        <w:rPr>
          <w:rFonts w:ascii="Book Antiqua" w:hAnsi="Book Antiqua" w:cs="Arial"/>
          <w:color w:val="000000" w:themeColor="text1"/>
          <w:lang w:val="en-US"/>
        </w:rPr>
      </w:pPr>
      <w:r>
        <w:rPr>
          <w:rFonts w:ascii="Book Antiqua" w:hAnsi="Book Antiqua" w:cs="Arial"/>
          <w:noProof/>
          <w:color w:val="000000" w:themeColor="text1"/>
          <w:lang w:val="en-US" w:eastAsia="zh-CN"/>
        </w:rPr>
        <w:lastRenderedPageBreak/>
        <w:drawing>
          <wp:inline distT="0" distB="0" distL="0" distR="0" wp14:anchorId="295AF00F" wp14:editId="53D8A77E">
            <wp:extent cx="3810000" cy="50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9971A4-C230-420B-A390-A41A7120E595.png"/>
                    <pic:cNvPicPr/>
                  </pic:nvPicPr>
                  <pic:blipFill>
                    <a:blip r:embed="rId15">
                      <a:extLst>
                        <a:ext uri="{28A0092B-C50C-407E-A947-70E740481C1C}">
                          <a14:useLocalDpi xmlns:a14="http://schemas.microsoft.com/office/drawing/2010/main" val="0"/>
                        </a:ext>
                      </a:extLst>
                    </a:blip>
                    <a:stretch>
                      <a:fillRect/>
                    </a:stretch>
                  </pic:blipFill>
                  <pic:spPr>
                    <a:xfrm>
                      <a:off x="0" y="0"/>
                      <a:ext cx="3810000" cy="5080000"/>
                    </a:xfrm>
                    <a:prstGeom prst="rect">
                      <a:avLst/>
                    </a:prstGeom>
                  </pic:spPr>
                </pic:pic>
              </a:graphicData>
            </a:graphic>
          </wp:inline>
        </w:drawing>
      </w:r>
    </w:p>
    <w:p w14:paraId="14453D85" w14:textId="5B0FF629" w:rsidR="009A29CD" w:rsidRDefault="00351B61" w:rsidP="001B26B6">
      <w:pPr>
        <w:adjustRightInd w:val="0"/>
        <w:snapToGrid w:val="0"/>
        <w:spacing w:line="360" w:lineRule="auto"/>
        <w:jc w:val="both"/>
        <w:rPr>
          <w:rFonts w:ascii="Book Antiqua" w:hAnsi="Book Antiqua" w:cs="Arial"/>
          <w:color w:val="000000" w:themeColor="text1"/>
          <w:lang w:val="en-US"/>
        </w:rPr>
      </w:pPr>
      <w:r w:rsidRPr="00351B61">
        <w:rPr>
          <w:rFonts w:ascii="Book Antiqua" w:hAnsi="Book Antiqua" w:cs="Arial"/>
          <w:b/>
          <w:bCs/>
          <w:color w:val="000000" w:themeColor="text1"/>
          <w:lang w:val="en-US"/>
        </w:rPr>
        <w:t>Figure 4</w:t>
      </w:r>
      <w:r>
        <w:rPr>
          <w:rFonts w:ascii="Book Antiqua" w:hAnsi="Book Antiqua" w:cs="Arial"/>
          <w:color w:val="000000" w:themeColor="text1"/>
          <w:lang w:val="en-US"/>
        </w:rPr>
        <w:t xml:space="preserve"> </w:t>
      </w:r>
      <w:r>
        <w:rPr>
          <w:rFonts w:ascii="Book Antiqua" w:hAnsi="Book Antiqua" w:cs="Arial"/>
          <w:b/>
          <w:bCs/>
          <w:color w:val="000000" w:themeColor="text1"/>
          <w:lang w:val="en-US"/>
        </w:rPr>
        <w:t>C</w:t>
      </w:r>
      <w:r w:rsidRPr="009A29CD">
        <w:rPr>
          <w:rFonts w:ascii="Book Antiqua" w:hAnsi="Book Antiqua" w:cs="Arial"/>
          <w:b/>
          <w:bCs/>
          <w:color w:val="000000" w:themeColor="text1"/>
          <w:lang w:val="en-US"/>
        </w:rPr>
        <w:t>apsule endoscopy</w:t>
      </w:r>
      <w:r w:rsidRPr="00351B61">
        <w:rPr>
          <w:rFonts w:ascii="Book Antiqua" w:hAnsi="Book Antiqua" w:cs="Arial"/>
          <w:color w:val="000000" w:themeColor="text1"/>
          <w:lang w:val="en-US"/>
        </w:rPr>
        <w:t>. A</w:t>
      </w:r>
      <w:r>
        <w:rPr>
          <w:rFonts w:ascii="Book Antiqua" w:hAnsi="Book Antiqua" w:cs="Arial"/>
          <w:color w:val="000000" w:themeColor="text1"/>
          <w:lang w:val="en-US"/>
        </w:rPr>
        <w:t>:</w:t>
      </w:r>
      <w:r w:rsidRPr="00351B61">
        <w:rPr>
          <w:rFonts w:ascii="Book Antiqua" w:hAnsi="Book Antiqua" w:cs="Arial"/>
          <w:color w:val="000000" w:themeColor="text1"/>
          <w:lang w:val="en-US"/>
        </w:rPr>
        <w:t xml:space="preserve"> Longitudinal view of the </w:t>
      </w:r>
      <w:bookmarkStart w:id="277" w:name="OLE_LINK91"/>
      <w:bookmarkStart w:id="278" w:name="OLE_LINK92"/>
      <w:r w:rsidRPr="00351B61">
        <w:rPr>
          <w:rFonts w:ascii="Book Antiqua" w:hAnsi="Book Antiqua" w:cs="Arial"/>
          <w:color w:val="000000" w:themeColor="text1"/>
          <w:lang w:val="en-US"/>
        </w:rPr>
        <w:t>gastric body</w:t>
      </w:r>
      <w:bookmarkEnd w:id="277"/>
      <w:bookmarkEnd w:id="278"/>
      <w:r w:rsidRPr="00351B61">
        <w:rPr>
          <w:rFonts w:ascii="Book Antiqua" w:hAnsi="Book Antiqua" w:cs="Arial"/>
          <w:color w:val="000000" w:themeColor="text1"/>
          <w:lang w:val="en-US"/>
        </w:rPr>
        <w:t xml:space="preserve"> and lesser curve. B</w:t>
      </w:r>
      <w:r>
        <w:rPr>
          <w:rFonts w:ascii="Book Antiqua" w:hAnsi="Book Antiqua" w:cs="Arial"/>
          <w:color w:val="000000" w:themeColor="text1"/>
          <w:lang w:val="en-US"/>
        </w:rPr>
        <w:t>:</w:t>
      </w:r>
      <w:r w:rsidRPr="00351B61">
        <w:rPr>
          <w:rFonts w:ascii="Book Antiqua" w:hAnsi="Book Antiqua" w:cs="Arial"/>
          <w:color w:val="000000" w:themeColor="text1"/>
          <w:lang w:val="en-US"/>
        </w:rPr>
        <w:t xml:space="preserve"> Gastric antrum. C</w:t>
      </w:r>
      <w:r>
        <w:rPr>
          <w:rFonts w:ascii="Book Antiqua" w:hAnsi="Book Antiqua" w:cs="Arial"/>
          <w:color w:val="000000" w:themeColor="text1"/>
          <w:lang w:val="en-US"/>
        </w:rPr>
        <w:t xml:space="preserve">: </w:t>
      </w:r>
      <w:r w:rsidRPr="00351B61">
        <w:rPr>
          <w:rFonts w:ascii="Book Antiqua" w:hAnsi="Book Antiqua" w:cs="Arial"/>
          <w:color w:val="000000" w:themeColor="text1"/>
          <w:lang w:val="en-US"/>
        </w:rPr>
        <w:t>Pre-pyloric erosion. D</w:t>
      </w:r>
      <w:r>
        <w:rPr>
          <w:rFonts w:ascii="Book Antiqua" w:hAnsi="Book Antiqua" w:cs="Arial"/>
          <w:color w:val="000000" w:themeColor="text1"/>
          <w:lang w:val="en-US"/>
        </w:rPr>
        <w:t xml:space="preserve">: </w:t>
      </w:r>
      <w:r w:rsidRPr="00351B61">
        <w:rPr>
          <w:rFonts w:ascii="Book Antiqua" w:hAnsi="Book Antiqua" w:cs="Arial"/>
          <w:color w:val="000000" w:themeColor="text1"/>
          <w:lang w:val="en-US"/>
        </w:rPr>
        <w:t>Angioectasia in the cardia. E</w:t>
      </w:r>
      <w:r>
        <w:rPr>
          <w:rFonts w:ascii="Book Antiqua" w:hAnsi="Book Antiqua" w:cs="Arial"/>
          <w:color w:val="000000" w:themeColor="text1"/>
          <w:lang w:val="en-US"/>
        </w:rPr>
        <w:t>:</w:t>
      </w:r>
      <w:r w:rsidRPr="00351B61">
        <w:rPr>
          <w:rFonts w:ascii="Book Antiqua" w:hAnsi="Book Antiqua" w:cs="Arial"/>
          <w:color w:val="000000" w:themeColor="text1"/>
          <w:lang w:val="en-US"/>
        </w:rPr>
        <w:t xml:space="preserve"> </w:t>
      </w:r>
      <w:r>
        <w:rPr>
          <w:rFonts w:ascii="Book Antiqua" w:hAnsi="Book Antiqua" w:cs="Arial"/>
          <w:color w:val="000000" w:themeColor="text1"/>
          <w:lang w:val="en-US"/>
        </w:rPr>
        <w:t>N</w:t>
      </w:r>
      <w:r w:rsidRPr="00351B61">
        <w:rPr>
          <w:rFonts w:ascii="Book Antiqua" w:hAnsi="Book Antiqua" w:cs="Arial"/>
          <w:color w:val="000000" w:themeColor="text1"/>
          <w:lang w:val="en-US"/>
        </w:rPr>
        <w:t>onsteroidal anti-inflammatory drug-related erosive gastropathy. F</w:t>
      </w:r>
      <w:r>
        <w:rPr>
          <w:rFonts w:ascii="Book Antiqua" w:hAnsi="Book Antiqua" w:cs="Arial"/>
          <w:color w:val="000000" w:themeColor="text1"/>
          <w:lang w:val="en-US"/>
        </w:rPr>
        <w:t>:</w:t>
      </w:r>
      <w:r w:rsidRPr="00351B61">
        <w:rPr>
          <w:rFonts w:ascii="Book Antiqua" w:hAnsi="Book Antiqua" w:cs="Arial"/>
          <w:color w:val="000000" w:themeColor="text1"/>
          <w:lang w:val="en-US"/>
        </w:rPr>
        <w:t xml:space="preserve"> Fundic gland polyps. Reproduced with permission from Hale MF </w:t>
      </w:r>
      <w:r w:rsidRPr="00351B61">
        <w:rPr>
          <w:rFonts w:ascii="Book Antiqua" w:hAnsi="Book Antiqua" w:cs="Arial"/>
          <w:i/>
          <w:iCs/>
          <w:color w:val="000000" w:themeColor="text1"/>
          <w:lang w:val="en-US"/>
        </w:rPr>
        <w:t>et al</w:t>
      </w:r>
      <w:r w:rsidRPr="00351B61">
        <w:rPr>
          <w:rFonts w:ascii="Book Antiqua" w:hAnsi="Book Antiqua" w:cs="Arial"/>
          <w:color w:val="000000" w:themeColor="text1"/>
          <w:lang w:val="en-US"/>
        </w:rPr>
        <w:t>. Copyright Thieme Group.</w:t>
      </w:r>
    </w:p>
    <w:p w14:paraId="0D7A1F36" w14:textId="0638636B" w:rsidR="00FB7631" w:rsidRDefault="00FB7631">
      <w:pPr>
        <w:rPr>
          <w:rFonts w:ascii="Book Antiqua" w:hAnsi="Book Antiqua" w:cs="Arial"/>
          <w:color w:val="000000" w:themeColor="text1"/>
          <w:lang w:val="en-US"/>
        </w:rPr>
      </w:pPr>
      <w:r>
        <w:rPr>
          <w:rFonts w:ascii="Book Antiqua" w:hAnsi="Book Antiqua" w:cs="Arial"/>
          <w:color w:val="000000" w:themeColor="text1"/>
          <w:lang w:val="en-US"/>
        </w:rPr>
        <w:br w:type="page"/>
      </w:r>
    </w:p>
    <w:p w14:paraId="3C4AA51C" w14:textId="3EEDCDF5" w:rsidR="00351B61" w:rsidRDefault="005E4F2B" w:rsidP="001B26B6">
      <w:pPr>
        <w:adjustRightInd w:val="0"/>
        <w:snapToGrid w:val="0"/>
        <w:spacing w:line="360" w:lineRule="auto"/>
        <w:jc w:val="both"/>
        <w:rPr>
          <w:rFonts w:ascii="Book Antiqua" w:hAnsi="Book Antiqua" w:cs="Arial"/>
          <w:color w:val="000000" w:themeColor="text1"/>
          <w:lang w:val="en-US"/>
        </w:rPr>
      </w:pPr>
      <w:r>
        <w:rPr>
          <w:rFonts w:ascii="Book Antiqua" w:hAnsi="Book Antiqua" w:cs="Arial"/>
          <w:noProof/>
          <w:color w:val="000000" w:themeColor="text1"/>
          <w:lang w:val="en-US" w:eastAsia="zh-CN"/>
        </w:rPr>
        <w:lastRenderedPageBreak/>
        <w:drawing>
          <wp:inline distT="0" distB="0" distL="0" distR="0" wp14:anchorId="44030D24" wp14:editId="6D7D06EB">
            <wp:extent cx="3694957" cy="3116911"/>
            <wp:effectExtent l="0" t="0" r="127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6BDE63F-6925-4B0E-B919-E3D97E10D8D5.png"/>
                    <pic:cNvPicPr/>
                  </pic:nvPicPr>
                  <pic:blipFill>
                    <a:blip r:embed="rId16">
                      <a:extLst>
                        <a:ext uri="{28A0092B-C50C-407E-A947-70E740481C1C}">
                          <a14:useLocalDpi xmlns:a14="http://schemas.microsoft.com/office/drawing/2010/main" val="0"/>
                        </a:ext>
                      </a:extLst>
                    </a:blip>
                    <a:stretch>
                      <a:fillRect/>
                    </a:stretch>
                  </pic:blipFill>
                  <pic:spPr>
                    <a:xfrm>
                      <a:off x="0" y="0"/>
                      <a:ext cx="3722935" cy="3140512"/>
                    </a:xfrm>
                    <a:prstGeom prst="rect">
                      <a:avLst/>
                    </a:prstGeom>
                  </pic:spPr>
                </pic:pic>
              </a:graphicData>
            </a:graphic>
          </wp:inline>
        </w:drawing>
      </w:r>
    </w:p>
    <w:p w14:paraId="07087B88" w14:textId="5BB9BAEF" w:rsidR="00FB7631" w:rsidRPr="002D3D23" w:rsidRDefault="005E4F2B" w:rsidP="001B26B6">
      <w:pPr>
        <w:adjustRightInd w:val="0"/>
        <w:snapToGrid w:val="0"/>
        <w:spacing w:line="360" w:lineRule="auto"/>
        <w:jc w:val="both"/>
        <w:rPr>
          <w:rFonts w:ascii="Book Antiqua" w:hAnsi="Book Antiqua" w:cs="Arial"/>
          <w:color w:val="000000" w:themeColor="text1"/>
          <w:lang w:val="en-US"/>
        </w:rPr>
      </w:pPr>
      <w:r w:rsidRPr="00D04DD9">
        <w:rPr>
          <w:rFonts w:ascii="Book Antiqua" w:hAnsi="Book Antiqua" w:cs="Arial"/>
          <w:b/>
          <w:bCs/>
          <w:color w:val="000000" w:themeColor="text1"/>
          <w:lang w:val="en-US"/>
        </w:rPr>
        <w:t>Figure 5</w:t>
      </w:r>
      <w:r w:rsidR="00D04DD9" w:rsidRPr="00D04DD9">
        <w:rPr>
          <w:rFonts w:ascii="Book Antiqua" w:hAnsi="Book Antiqua" w:cs="Arial"/>
          <w:b/>
          <w:color w:val="000000" w:themeColor="text1"/>
          <w:lang w:val="en-US"/>
        </w:rPr>
        <w:t xml:space="preserve"> </w:t>
      </w:r>
      <w:r w:rsidR="00D04DD9" w:rsidRPr="002D3D23">
        <w:rPr>
          <w:rFonts w:ascii="Book Antiqua" w:hAnsi="Book Antiqua" w:cs="Arial"/>
          <w:b/>
          <w:color w:val="000000" w:themeColor="text1"/>
          <w:lang w:val="en-US"/>
        </w:rPr>
        <w:t>Scanning single fiber endoscopy</w:t>
      </w:r>
      <w:r w:rsidRPr="005E4F2B">
        <w:rPr>
          <w:rFonts w:ascii="Book Antiqua" w:hAnsi="Book Antiqua" w:cs="Arial"/>
          <w:color w:val="000000" w:themeColor="text1"/>
          <w:lang w:val="en-US"/>
        </w:rPr>
        <w:t>. A</w:t>
      </w:r>
      <w:r w:rsidR="00D04DD9">
        <w:rPr>
          <w:rFonts w:ascii="Book Antiqua" w:hAnsi="Book Antiqua" w:cs="Arial"/>
          <w:color w:val="000000" w:themeColor="text1"/>
          <w:lang w:val="en-US"/>
        </w:rPr>
        <w:t>:</w:t>
      </w:r>
      <w:r w:rsidRPr="005E4F2B">
        <w:rPr>
          <w:rFonts w:ascii="Book Antiqua" w:hAnsi="Book Antiqua" w:cs="Arial"/>
          <w:color w:val="000000" w:themeColor="text1"/>
          <w:lang w:val="en-US"/>
        </w:rPr>
        <w:t xml:space="preserve"> </w:t>
      </w:r>
      <w:r w:rsidR="00D04DD9" w:rsidRPr="001B26B6">
        <w:rPr>
          <w:rFonts w:ascii="Book Antiqua" w:hAnsi="Book Antiqua" w:cs="Arial"/>
          <w:color w:val="000000" w:themeColor="text1"/>
          <w:lang w:val="en-US"/>
        </w:rPr>
        <w:t>Scanning fiber endoscopy</w:t>
      </w:r>
      <w:r w:rsidR="00D04DD9" w:rsidRPr="005E4F2B">
        <w:rPr>
          <w:rFonts w:ascii="Book Antiqua" w:hAnsi="Book Antiqua" w:cs="Arial"/>
          <w:color w:val="000000" w:themeColor="text1"/>
          <w:lang w:val="en-US"/>
        </w:rPr>
        <w:t xml:space="preserve"> </w:t>
      </w:r>
      <w:r w:rsidR="00D04DD9">
        <w:rPr>
          <w:rFonts w:ascii="Book Antiqua" w:hAnsi="Book Antiqua" w:cs="Arial"/>
          <w:color w:val="000000" w:themeColor="text1"/>
          <w:lang w:val="en-US"/>
        </w:rPr>
        <w:t xml:space="preserve">(SFE) </w:t>
      </w:r>
      <w:r w:rsidRPr="005E4F2B">
        <w:rPr>
          <w:rFonts w:ascii="Book Antiqua" w:hAnsi="Book Antiqua" w:cs="Arial"/>
          <w:color w:val="000000" w:themeColor="text1"/>
          <w:lang w:val="en-US"/>
        </w:rPr>
        <w:t xml:space="preserve">endoscope probes showing 9 mm rigid tip length of 1.2 mm diameter prototype and 18 mm capsule length of 6.4 mm diameter </w:t>
      </w:r>
      <w:bookmarkStart w:id="279" w:name="OLE_LINK99"/>
      <w:bookmarkStart w:id="280" w:name="OLE_LINK100"/>
      <w:r w:rsidRPr="005E4F2B">
        <w:rPr>
          <w:rFonts w:ascii="Book Antiqua" w:hAnsi="Book Antiqua" w:cs="Arial"/>
          <w:color w:val="000000" w:themeColor="text1"/>
          <w:lang w:val="en-US"/>
        </w:rPr>
        <w:t>TCE</w:t>
      </w:r>
      <w:bookmarkEnd w:id="279"/>
      <w:bookmarkEnd w:id="280"/>
      <w:r w:rsidRPr="005E4F2B">
        <w:rPr>
          <w:rFonts w:ascii="Book Antiqua" w:hAnsi="Book Antiqua" w:cs="Arial"/>
          <w:color w:val="000000" w:themeColor="text1"/>
          <w:lang w:val="en-US"/>
        </w:rPr>
        <w:t>. A front view of the distal end of the TCE is shown in (B) illustrating that the TCE is a standard SFE probe with collection fibers modified for capsule use. The gastroesophageal junction of a human subject is shown in single 500-line RGB image contrast (C) compared to postprocessed ESI contrast of the same SFE image frame (D). The lighter esophageal tissue is more clearly differentiated from the red-colored gastric mucosa in the ESI image. Reproduced with permission from Lee CM et al</w:t>
      </w:r>
      <w:r w:rsidR="00D04DD9">
        <w:rPr>
          <w:rFonts w:ascii="Book Antiqua" w:hAnsi="Book Antiqua" w:cs="Arial"/>
          <w:color w:val="000000" w:themeColor="text1"/>
          <w:vertAlign w:val="superscript"/>
          <w:lang w:val="en-US"/>
        </w:rPr>
        <w:t>[46]</w:t>
      </w:r>
      <w:r w:rsidRPr="005E4F2B">
        <w:rPr>
          <w:rFonts w:ascii="Book Antiqua" w:hAnsi="Book Antiqua" w:cs="Arial"/>
          <w:color w:val="000000" w:themeColor="text1"/>
          <w:lang w:val="en-US"/>
        </w:rPr>
        <w:t>. Copyright John Wiley and Sons, Inc.</w:t>
      </w:r>
    </w:p>
    <w:sectPr w:rsidR="00FB7631" w:rsidRPr="002D3D23" w:rsidSect="0097041C">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5DDB8" w14:textId="77777777" w:rsidR="003B7615" w:rsidRDefault="003B7615" w:rsidP="005D2C89">
      <w:r>
        <w:separator/>
      </w:r>
    </w:p>
  </w:endnote>
  <w:endnote w:type="continuationSeparator" w:id="0">
    <w:p w14:paraId="6340F498" w14:textId="77777777" w:rsidR="003B7615" w:rsidRDefault="003B7615" w:rsidP="005D2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BA251" w14:textId="77777777" w:rsidR="003B7615" w:rsidRDefault="003B7615" w:rsidP="005D2C89">
      <w:r>
        <w:separator/>
      </w:r>
    </w:p>
  </w:footnote>
  <w:footnote w:type="continuationSeparator" w:id="0">
    <w:p w14:paraId="48D89495" w14:textId="77777777" w:rsidR="003B7615" w:rsidRDefault="003B7615" w:rsidP="005D2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F2E56"/>
    <w:multiLevelType w:val="hybridMultilevel"/>
    <w:tmpl w:val="6C6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737"/>
    <w:rsid w:val="0000086B"/>
    <w:rsid w:val="00012B34"/>
    <w:rsid w:val="000231FF"/>
    <w:rsid w:val="000356FD"/>
    <w:rsid w:val="000440D5"/>
    <w:rsid w:val="00050CC0"/>
    <w:rsid w:val="00062F2C"/>
    <w:rsid w:val="00066ED5"/>
    <w:rsid w:val="00074E50"/>
    <w:rsid w:val="00080A31"/>
    <w:rsid w:val="0009220B"/>
    <w:rsid w:val="00097AE2"/>
    <w:rsid w:val="000B45B5"/>
    <w:rsid w:val="000B45C0"/>
    <w:rsid w:val="000C3904"/>
    <w:rsid w:val="000D0E5F"/>
    <w:rsid w:val="000D2E63"/>
    <w:rsid w:val="000E17AA"/>
    <w:rsid w:val="000E7CA8"/>
    <w:rsid w:val="000F26F4"/>
    <w:rsid w:val="001018C6"/>
    <w:rsid w:val="00103EBB"/>
    <w:rsid w:val="0010579F"/>
    <w:rsid w:val="00127EF1"/>
    <w:rsid w:val="00147B07"/>
    <w:rsid w:val="001548AF"/>
    <w:rsid w:val="00164536"/>
    <w:rsid w:val="00172DAC"/>
    <w:rsid w:val="00177F3E"/>
    <w:rsid w:val="001829E6"/>
    <w:rsid w:val="001A3AB6"/>
    <w:rsid w:val="001A3BA8"/>
    <w:rsid w:val="001B232A"/>
    <w:rsid w:val="001B26B6"/>
    <w:rsid w:val="001B39C4"/>
    <w:rsid w:val="001B447E"/>
    <w:rsid w:val="001C1AD1"/>
    <w:rsid w:val="001C5078"/>
    <w:rsid w:val="001D16C0"/>
    <w:rsid w:val="001D59C7"/>
    <w:rsid w:val="00207862"/>
    <w:rsid w:val="00211C4B"/>
    <w:rsid w:val="00217204"/>
    <w:rsid w:val="00217492"/>
    <w:rsid w:val="00222DB6"/>
    <w:rsid w:val="002300AA"/>
    <w:rsid w:val="00234AFD"/>
    <w:rsid w:val="00263329"/>
    <w:rsid w:val="002665E0"/>
    <w:rsid w:val="002758C5"/>
    <w:rsid w:val="0028089A"/>
    <w:rsid w:val="002A7006"/>
    <w:rsid w:val="002B45D7"/>
    <w:rsid w:val="002C0EB0"/>
    <w:rsid w:val="002C68D1"/>
    <w:rsid w:val="002C6BEC"/>
    <w:rsid w:val="002D1323"/>
    <w:rsid w:val="002D2860"/>
    <w:rsid w:val="002D3D23"/>
    <w:rsid w:val="002D3DA5"/>
    <w:rsid w:val="002F4994"/>
    <w:rsid w:val="00302CD1"/>
    <w:rsid w:val="00305FD1"/>
    <w:rsid w:val="00307019"/>
    <w:rsid w:val="00316111"/>
    <w:rsid w:val="003261BD"/>
    <w:rsid w:val="003400B4"/>
    <w:rsid w:val="00340C00"/>
    <w:rsid w:val="00351B61"/>
    <w:rsid w:val="003524A6"/>
    <w:rsid w:val="00362E34"/>
    <w:rsid w:val="00367060"/>
    <w:rsid w:val="00370A0B"/>
    <w:rsid w:val="00376C12"/>
    <w:rsid w:val="0039555D"/>
    <w:rsid w:val="003A0465"/>
    <w:rsid w:val="003B0CDB"/>
    <w:rsid w:val="003B4074"/>
    <w:rsid w:val="003B4521"/>
    <w:rsid w:val="003B7615"/>
    <w:rsid w:val="003C54DF"/>
    <w:rsid w:val="003C5FB4"/>
    <w:rsid w:val="003F4E49"/>
    <w:rsid w:val="003F7309"/>
    <w:rsid w:val="00405665"/>
    <w:rsid w:val="0043442D"/>
    <w:rsid w:val="00436A38"/>
    <w:rsid w:val="004517B3"/>
    <w:rsid w:val="00463803"/>
    <w:rsid w:val="00464957"/>
    <w:rsid w:val="00470AFC"/>
    <w:rsid w:val="004960A8"/>
    <w:rsid w:val="004A533F"/>
    <w:rsid w:val="004B365E"/>
    <w:rsid w:val="004C234D"/>
    <w:rsid w:val="004D2AA3"/>
    <w:rsid w:val="004D6B52"/>
    <w:rsid w:val="004E296C"/>
    <w:rsid w:val="004F0737"/>
    <w:rsid w:val="00513D46"/>
    <w:rsid w:val="005202E1"/>
    <w:rsid w:val="0053067A"/>
    <w:rsid w:val="00531568"/>
    <w:rsid w:val="00553E7F"/>
    <w:rsid w:val="00561C29"/>
    <w:rsid w:val="00573E67"/>
    <w:rsid w:val="005763A2"/>
    <w:rsid w:val="00582DF5"/>
    <w:rsid w:val="00587435"/>
    <w:rsid w:val="005C107F"/>
    <w:rsid w:val="005C2A0E"/>
    <w:rsid w:val="005D1C6B"/>
    <w:rsid w:val="005D24D8"/>
    <w:rsid w:val="005D2C89"/>
    <w:rsid w:val="005D62D3"/>
    <w:rsid w:val="005E0DAE"/>
    <w:rsid w:val="005E1EFC"/>
    <w:rsid w:val="005E4F2B"/>
    <w:rsid w:val="005E5BC1"/>
    <w:rsid w:val="00603870"/>
    <w:rsid w:val="00627AE6"/>
    <w:rsid w:val="006345AA"/>
    <w:rsid w:val="00635082"/>
    <w:rsid w:val="00642811"/>
    <w:rsid w:val="0064734F"/>
    <w:rsid w:val="00656329"/>
    <w:rsid w:val="0065642B"/>
    <w:rsid w:val="00666C18"/>
    <w:rsid w:val="006732ED"/>
    <w:rsid w:val="006809D2"/>
    <w:rsid w:val="006A22E1"/>
    <w:rsid w:val="006A3C96"/>
    <w:rsid w:val="006A6AA5"/>
    <w:rsid w:val="006C0E5C"/>
    <w:rsid w:val="006C42B6"/>
    <w:rsid w:val="006D3BB6"/>
    <w:rsid w:val="006D7704"/>
    <w:rsid w:val="006E1CE7"/>
    <w:rsid w:val="007007A6"/>
    <w:rsid w:val="00700E63"/>
    <w:rsid w:val="007267F7"/>
    <w:rsid w:val="00730E78"/>
    <w:rsid w:val="007315BD"/>
    <w:rsid w:val="00734075"/>
    <w:rsid w:val="00742D80"/>
    <w:rsid w:val="00747280"/>
    <w:rsid w:val="00781CC9"/>
    <w:rsid w:val="00787534"/>
    <w:rsid w:val="00791F00"/>
    <w:rsid w:val="007C0272"/>
    <w:rsid w:val="007C5B36"/>
    <w:rsid w:val="007D3491"/>
    <w:rsid w:val="007D4880"/>
    <w:rsid w:val="007E21B0"/>
    <w:rsid w:val="007E7245"/>
    <w:rsid w:val="007F6D09"/>
    <w:rsid w:val="00805D9B"/>
    <w:rsid w:val="00825EE4"/>
    <w:rsid w:val="008377E9"/>
    <w:rsid w:val="00841F33"/>
    <w:rsid w:val="00845E7F"/>
    <w:rsid w:val="008462A1"/>
    <w:rsid w:val="00850BCC"/>
    <w:rsid w:val="00856537"/>
    <w:rsid w:val="00866C43"/>
    <w:rsid w:val="008746ED"/>
    <w:rsid w:val="0088131B"/>
    <w:rsid w:val="00881FE1"/>
    <w:rsid w:val="00882D69"/>
    <w:rsid w:val="008915C7"/>
    <w:rsid w:val="00893912"/>
    <w:rsid w:val="008A0E76"/>
    <w:rsid w:val="008A2434"/>
    <w:rsid w:val="008A3ACD"/>
    <w:rsid w:val="008B33DF"/>
    <w:rsid w:val="008C0E0D"/>
    <w:rsid w:val="008C57A0"/>
    <w:rsid w:val="008C6940"/>
    <w:rsid w:val="008F3142"/>
    <w:rsid w:val="009456DB"/>
    <w:rsid w:val="00946BD7"/>
    <w:rsid w:val="00952009"/>
    <w:rsid w:val="00961F5D"/>
    <w:rsid w:val="00966073"/>
    <w:rsid w:val="0097041C"/>
    <w:rsid w:val="00970903"/>
    <w:rsid w:val="00975DB1"/>
    <w:rsid w:val="00976EA5"/>
    <w:rsid w:val="00987690"/>
    <w:rsid w:val="009A29CD"/>
    <w:rsid w:val="009C239B"/>
    <w:rsid w:val="009C7E9C"/>
    <w:rsid w:val="009D6408"/>
    <w:rsid w:val="009D7532"/>
    <w:rsid w:val="009E1D2D"/>
    <w:rsid w:val="009F084B"/>
    <w:rsid w:val="009F098D"/>
    <w:rsid w:val="00A0371B"/>
    <w:rsid w:val="00A070C9"/>
    <w:rsid w:val="00A1221A"/>
    <w:rsid w:val="00A16518"/>
    <w:rsid w:val="00A17A83"/>
    <w:rsid w:val="00A26AF5"/>
    <w:rsid w:val="00A36A9B"/>
    <w:rsid w:val="00A51EB4"/>
    <w:rsid w:val="00A702A3"/>
    <w:rsid w:val="00A713C8"/>
    <w:rsid w:val="00A71844"/>
    <w:rsid w:val="00A719F8"/>
    <w:rsid w:val="00A752B1"/>
    <w:rsid w:val="00A92134"/>
    <w:rsid w:val="00A93A0F"/>
    <w:rsid w:val="00AA253D"/>
    <w:rsid w:val="00AA598D"/>
    <w:rsid w:val="00AB26B5"/>
    <w:rsid w:val="00AD734F"/>
    <w:rsid w:val="00AE06D3"/>
    <w:rsid w:val="00AE3348"/>
    <w:rsid w:val="00AF1AFE"/>
    <w:rsid w:val="00AF4EB9"/>
    <w:rsid w:val="00B26E52"/>
    <w:rsid w:val="00B54E34"/>
    <w:rsid w:val="00B57585"/>
    <w:rsid w:val="00B67D03"/>
    <w:rsid w:val="00B75047"/>
    <w:rsid w:val="00B75F7A"/>
    <w:rsid w:val="00B92737"/>
    <w:rsid w:val="00BA3E8F"/>
    <w:rsid w:val="00BB1B99"/>
    <w:rsid w:val="00BB62B7"/>
    <w:rsid w:val="00BC0572"/>
    <w:rsid w:val="00BC2C9E"/>
    <w:rsid w:val="00BC47B8"/>
    <w:rsid w:val="00C12143"/>
    <w:rsid w:val="00C15F36"/>
    <w:rsid w:val="00C17619"/>
    <w:rsid w:val="00C23DD1"/>
    <w:rsid w:val="00C26F25"/>
    <w:rsid w:val="00C32E7D"/>
    <w:rsid w:val="00C378A9"/>
    <w:rsid w:val="00C41577"/>
    <w:rsid w:val="00C51DB0"/>
    <w:rsid w:val="00C60E50"/>
    <w:rsid w:val="00C610C2"/>
    <w:rsid w:val="00C62501"/>
    <w:rsid w:val="00C64A0C"/>
    <w:rsid w:val="00C7411B"/>
    <w:rsid w:val="00C81AA9"/>
    <w:rsid w:val="00C82543"/>
    <w:rsid w:val="00C860A9"/>
    <w:rsid w:val="00C92230"/>
    <w:rsid w:val="00C934EB"/>
    <w:rsid w:val="00C94C6E"/>
    <w:rsid w:val="00C9671B"/>
    <w:rsid w:val="00C976F0"/>
    <w:rsid w:val="00CA7375"/>
    <w:rsid w:val="00CB3679"/>
    <w:rsid w:val="00CD1B43"/>
    <w:rsid w:val="00CD24A8"/>
    <w:rsid w:val="00CD56B9"/>
    <w:rsid w:val="00CF74BA"/>
    <w:rsid w:val="00CF7B02"/>
    <w:rsid w:val="00CF7F81"/>
    <w:rsid w:val="00D001C9"/>
    <w:rsid w:val="00D00C03"/>
    <w:rsid w:val="00D04DD9"/>
    <w:rsid w:val="00D15AC9"/>
    <w:rsid w:val="00D16A48"/>
    <w:rsid w:val="00D24790"/>
    <w:rsid w:val="00D274DE"/>
    <w:rsid w:val="00D27708"/>
    <w:rsid w:val="00D400D0"/>
    <w:rsid w:val="00D475B9"/>
    <w:rsid w:val="00D50322"/>
    <w:rsid w:val="00D54B80"/>
    <w:rsid w:val="00D61CF7"/>
    <w:rsid w:val="00D85FBF"/>
    <w:rsid w:val="00D9147D"/>
    <w:rsid w:val="00D957BF"/>
    <w:rsid w:val="00DA5531"/>
    <w:rsid w:val="00DB2A2A"/>
    <w:rsid w:val="00DC567E"/>
    <w:rsid w:val="00DD7CB1"/>
    <w:rsid w:val="00DE7670"/>
    <w:rsid w:val="00DF1C17"/>
    <w:rsid w:val="00DF2A42"/>
    <w:rsid w:val="00E00340"/>
    <w:rsid w:val="00E05E96"/>
    <w:rsid w:val="00E17836"/>
    <w:rsid w:val="00E22FA0"/>
    <w:rsid w:val="00E246AB"/>
    <w:rsid w:val="00E31150"/>
    <w:rsid w:val="00E33D0B"/>
    <w:rsid w:val="00E41D73"/>
    <w:rsid w:val="00E46E36"/>
    <w:rsid w:val="00E51C07"/>
    <w:rsid w:val="00E65A4D"/>
    <w:rsid w:val="00E664F0"/>
    <w:rsid w:val="00E712A4"/>
    <w:rsid w:val="00E86C85"/>
    <w:rsid w:val="00EA1179"/>
    <w:rsid w:val="00EC15B0"/>
    <w:rsid w:val="00EF3D76"/>
    <w:rsid w:val="00EF4F87"/>
    <w:rsid w:val="00F04AD2"/>
    <w:rsid w:val="00F065DE"/>
    <w:rsid w:val="00F20F05"/>
    <w:rsid w:val="00F32586"/>
    <w:rsid w:val="00F56008"/>
    <w:rsid w:val="00F62688"/>
    <w:rsid w:val="00F64E9D"/>
    <w:rsid w:val="00F82493"/>
    <w:rsid w:val="00F82B86"/>
    <w:rsid w:val="00F90090"/>
    <w:rsid w:val="00F910E4"/>
    <w:rsid w:val="00F91DCF"/>
    <w:rsid w:val="00FA0B54"/>
    <w:rsid w:val="00FA4E2A"/>
    <w:rsid w:val="00FB7017"/>
    <w:rsid w:val="00FB7631"/>
    <w:rsid w:val="00FC3B81"/>
    <w:rsid w:val="00FC63A0"/>
    <w:rsid w:val="00FF2736"/>
    <w:rsid w:val="00FF5654"/>
    <w:rsid w:val="00FF6D8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B170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6B9"/>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5E1EFC"/>
    <w:rPr>
      <w:sz w:val="16"/>
      <w:szCs w:val="16"/>
    </w:rPr>
  </w:style>
  <w:style w:type="paragraph" w:styleId="a4">
    <w:name w:val="annotation text"/>
    <w:basedOn w:val="a"/>
    <w:link w:val="Char"/>
    <w:uiPriority w:val="99"/>
    <w:unhideWhenUsed/>
    <w:rsid w:val="005E1EFC"/>
    <w:rPr>
      <w:rFonts w:asciiTheme="minorHAnsi" w:eastAsiaTheme="minorEastAsia" w:hAnsiTheme="minorHAnsi" w:cstheme="minorBidi"/>
      <w:sz w:val="20"/>
      <w:szCs w:val="20"/>
      <w:lang w:val="en-US"/>
    </w:rPr>
  </w:style>
  <w:style w:type="character" w:customStyle="1" w:styleId="Char">
    <w:name w:val="批注文字 Char"/>
    <w:basedOn w:val="a0"/>
    <w:link w:val="a4"/>
    <w:uiPriority w:val="99"/>
    <w:rsid w:val="005E1EFC"/>
    <w:rPr>
      <w:sz w:val="20"/>
      <w:szCs w:val="20"/>
    </w:rPr>
  </w:style>
  <w:style w:type="paragraph" w:styleId="a5">
    <w:name w:val="annotation subject"/>
    <w:basedOn w:val="a4"/>
    <w:next w:val="a4"/>
    <w:link w:val="Char0"/>
    <w:uiPriority w:val="99"/>
    <w:semiHidden/>
    <w:unhideWhenUsed/>
    <w:rsid w:val="005E1EFC"/>
    <w:rPr>
      <w:b/>
      <w:bCs/>
    </w:rPr>
  </w:style>
  <w:style w:type="character" w:customStyle="1" w:styleId="Char0">
    <w:name w:val="批注主题 Char"/>
    <w:basedOn w:val="Char"/>
    <w:link w:val="a5"/>
    <w:uiPriority w:val="99"/>
    <w:semiHidden/>
    <w:rsid w:val="005E1EFC"/>
    <w:rPr>
      <w:b/>
      <w:bCs/>
      <w:sz w:val="20"/>
      <w:szCs w:val="20"/>
    </w:rPr>
  </w:style>
  <w:style w:type="paragraph" w:styleId="a6">
    <w:name w:val="Balloon Text"/>
    <w:basedOn w:val="a"/>
    <w:link w:val="Char1"/>
    <w:uiPriority w:val="99"/>
    <w:semiHidden/>
    <w:unhideWhenUsed/>
    <w:rsid w:val="005E1EFC"/>
    <w:rPr>
      <w:rFonts w:ascii="Segoe UI" w:eastAsiaTheme="minorEastAsia" w:hAnsi="Segoe UI" w:cs="Segoe UI"/>
      <w:sz w:val="18"/>
      <w:szCs w:val="18"/>
      <w:lang w:val="en-US"/>
    </w:rPr>
  </w:style>
  <w:style w:type="character" w:customStyle="1" w:styleId="Char1">
    <w:name w:val="批注框文本 Char"/>
    <w:basedOn w:val="a0"/>
    <w:link w:val="a6"/>
    <w:uiPriority w:val="99"/>
    <w:semiHidden/>
    <w:rsid w:val="005E1EFC"/>
    <w:rPr>
      <w:rFonts w:ascii="Segoe UI" w:hAnsi="Segoe UI" w:cs="Segoe UI"/>
      <w:sz w:val="18"/>
      <w:szCs w:val="18"/>
    </w:rPr>
  </w:style>
  <w:style w:type="character" w:customStyle="1" w:styleId="apple-converted-space">
    <w:name w:val="apple-converted-space"/>
    <w:basedOn w:val="a0"/>
    <w:rsid w:val="00234AFD"/>
  </w:style>
  <w:style w:type="paragraph" w:styleId="a7">
    <w:name w:val="List Paragraph"/>
    <w:basedOn w:val="a"/>
    <w:uiPriority w:val="34"/>
    <w:qFormat/>
    <w:rsid w:val="006C0E5C"/>
    <w:pPr>
      <w:ind w:left="720"/>
      <w:contextualSpacing/>
    </w:pPr>
    <w:rPr>
      <w:rFonts w:asciiTheme="minorHAnsi" w:eastAsiaTheme="minorEastAsia" w:hAnsiTheme="minorHAnsi" w:cstheme="minorBidi"/>
      <w:lang w:val="en-US"/>
    </w:rPr>
  </w:style>
  <w:style w:type="paragraph" w:styleId="a8">
    <w:name w:val="header"/>
    <w:basedOn w:val="a"/>
    <w:link w:val="Char2"/>
    <w:uiPriority w:val="99"/>
    <w:unhideWhenUsed/>
    <w:rsid w:val="005D2C89"/>
    <w:pPr>
      <w:tabs>
        <w:tab w:val="center" w:pos="4680"/>
        <w:tab w:val="right" w:pos="9360"/>
      </w:tabs>
    </w:pPr>
    <w:rPr>
      <w:rFonts w:asciiTheme="minorHAnsi" w:eastAsiaTheme="minorEastAsia" w:hAnsiTheme="minorHAnsi" w:cstheme="minorBidi"/>
      <w:lang w:val="en-US"/>
    </w:rPr>
  </w:style>
  <w:style w:type="character" w:customStyle="1" w:styleId="Char2">
    <w:name w:val="页眉 Char"/>
    <w:basedOn w:val="a0"/>
    <w:link w:val="a8"/>
    <w:uiPriority w:val="99"/>
    <w:rsid w:val="005D2C89"/>
    <w:rPr>
      <w:lang w:val="en-US"/>
    </w:rPr>
  </w:style>
  <w:style w:type="paragraph" w:styleId="a9">
    <w:name w:val="footer"/>
    <w:basedOn w:val="a"/>
    <w:link w:val="Char3"/>
    <w:uiPriority w:val="99"/>
    <w:unhideWhenUsed/>
    <w:rsid w:val="005D2C89"/>
    <w:pPr>
      <w:tabs>
        <w:tab w:val="center" w:pos="4680"/>
        <w:tab w:val="right" w:pos="9360"/>
      </w:tabs>
    </w:pPr>
    <w:rPr>
      <w:rFonts w:asciiTheme="minorHAnsi" w:eastAsiaTheme="minorEastAsia" w:hAnsiTheme="minorHAnsi" w:cstheme="minorBidi"/>
      <w:lang w:val="en-US"/>
    </w:rPr>
  </w:style>
  <w:style w:type="character" w:customStyle="1" w:styleId="Char3">
    <w:name w:val="页脚 Char"/>
    <w:basedOn w:val="a0"/>
    <w:link w:val="a9"/>
    <w:uiPriority w:val="99"/>
    <w:rsid w:val="005D2C89"/>
    <w:rPr>
      <w:lang w:val="en-US"/>
    </w:rPr>
  </w:style>
  <w:style w:type="character" w:styleId="aa">
    <w:name w:val="Hyperlink"/>
    <w:basedOn w:val="a0"/>
    <w:uiPriority w:val="99"/>
    <w:unhideWhenUsed/>
    <w:rsid w:val="006E1CE7"/>
    <w:rPr>
      <w:color w:val="0563C1" w:themeColor="hyperlink"/>
      <w:u w:val="single"/>
    </w:rPr>
  </w:style>
  <w:style w:type="character" w:customStyle="1" w:styleId="UnresolvedMention">
    <w:name w:val="Unresolved Mention"/>
    <w:basedOn w:val="a0"/>
    <w:uiPriority w:val="99"/>
    <w:semiHidden/>
    <w:unhideWhenUsed/>
    <w:rsid w:val="006E1CE7"/>
    <w:rPr>
      <w:color w:val="605E5C"/>
      <w:shd w:val="clear" w:color="auto" w:fill="E1DFDD"/>
    </w:rPr>
  </w:style>
  <w:style w:type="paragraph" w:customStyle="1" w:styleId="1">
    <w:name w:val="正文1"/>
    <w:uiPriority w:val="99"/>
    <w:rsid w:val="00EC15B0"/>
    <w:pPr>
      <w:spacing w:line="276" w:lineRule="auto"/>
    </w:pPr>
    <w:rPr>
      <w:rFonts w:ascii="Arial" w:eastAsia="宋体" w:hAnsi="Arial" w:cs="Arial"/>
      <w:color w:val="000000"/>
      <w:sz w:val="22"/>
      <w:szCs w:val="20"/>
      <w:lang w:val="pl-PL" w:eastAsia="pl-PL"/>
    </w:rPr>
  </w:style>
  <w:style w:type="paragraph" w:customStyle="1" w:styleId="p1">
    <w:name w:val="p1"/>
    <w:basedOn w:val="a"/>
    <w:rsid w:val="00EC15B0"/>
    <w:rPr>
      <w:rFonts w:ascii="Helvetica" w:eastAsiaTheme="minorEastAsia" w:hAnsi="Helvetica"/>
      <w:sz w:val="18"/>
      <w:szCs w:val="18"/>
      <w:lang w:val="en-US" w:eastAsia="zh-CN"/>
    </w:rPr>
  </w:style>
  <w:style w:type="paragraph" w:styleId="ab">
    <w:name w:val="Revision"/>
    <w:hidden/>
    <w:uiPriority w:val="99"/>
    <w:semiHidden/>
    <w:rsid w:val="00EC15B0"/>
    <w:rPr>
      <w:lang w:val="en-US"/>
    </w:rPr>
  </w:style>
  <w:style w:type="character" w:styleId="ac">
    <w:name w:val="Strong"/>
    <w:basedOn w:val="a0"/>
    <w:uiPriority w:val="22"/>
    <w:qFormat/>
    <w:rsid w:val="00EC15B0"/>
    <w:rPr>
      <w:b/>
      <w:bCs/>
    </w:rPr>
  </w:style>
  <w:style w:type="character" w:styleId="ad">
    <w:name w:val="FollowedHyperlink"/>
    <w:basedOn w:val="a0"/>
    <w:uiPriority w:val="99"/>
    <w:semiHidden/>
    <w:unhideWhenUsed/>
    <w:rsid w:val="00C94C6E"/>
    <w:rPr>
      <w:color w:val="954F72" w:themeColor="followedHyperlink"/>
      <w:u w:val="single"/>
    </w:rPr>
  </w:style>
  <w:style w:type="paragraph" w:styleId="ae">
    <w:name w:val="Normal (Web)"/>
    <w:basedOn w:val="a"/>
    <w:uiPriority w:val="99"/>
    <w:semiHidden/>
    <w:unhideWhenUsed/>
    <w:rsid w:val="00D24790"/>
    <w:pPr>
      <w:spacing w:before="100" w:beforeAutospacing="1" w:after="100" w:afterAutospacing="1"/>
    </w:pPr>
  </w:style>
  <w:style w:type="character" w:customStyle="1" w:styleId="highlight">
    <w:name w:val="highlight"/>
    <w:basedOn w:val="a0"/>
    <w:rsid w:val="00976E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6B9"/>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5E1EFC"/>
    <w:rPr>
      <w:sz w:val="16"/>
      <w:szCs w:val="16"/>
    </w:rPr>
  </w:style>
  <w:style w:type="paragraph" w:styleId="a4">
    <w:name w:val="annotation text"/>
    <w:basedOn w:val="a"/>
    <w:link w:val="Char"/>
    <w:uiPriority w:val="99"/>
    <w:unhideWhenUsed/>
    <w:rsid w:val="005E1EFC"/>
    <w:rPr>
      <w:rFonts w:asciiTheme="minorHAnsi" w:eastAsiaTheme="minorEastAsia" w:hAnsiTheme="minorHAnsi" w:cstheme="minorBidi"/>
      <w:sz w:val="20"/>
      <w:szCs w:val="20"/>
      <w:lang w:val="en-US"/>
    </w:rPr>
  </w:style>
  <w:style w:type="character" w:customStyle="1" w:styleId="Char">
    <w:name w:val="批注文字 Char"/>
    <w:basedOn w:val="a0"/>
    <w:link w:val="a4"/>
    <w:uiPriority w:val="99"/>
    <w:rsid w:val="005E1EFC"/>
    <w:rPr>
      <w:sz w:val="20"/>
      <w:szCs w:val="20"/>
    </w:rPr>
  </w:style>
  <w:style w:type="paragraph" w:styleId="a5">
    <w:name w:val="annotation subject"/>
    <w:basedOn w:val="a4"/>
    <w:next w:val="a4"/>
    <w:link w:val="Char0"/>
    <w:uiPriority w:val="99"/>
    <w:semiHidden/>
    <w:unhideWhenUsed/>
    <w:rsid w:val="005E1EFC"/>
    <w:rPr>
      <w:b/>
      <w:bCs/>
    </w:rPr>
  </w:style>
  <w:style w:type="character" w:customStyle="1" w:styleId="Char0">
    <w:name w:val="批注主题 Char"/>
    <w:basedOn w:val="Char"/>
    <w:link w:val="a5"/>
    <w:uiPriority w:val="99"/>
    <w:semiHidden/>
    <w:rsid w:val="005E1EFC"/>
    <w:rPr>
      <w:b/>
      <w:bCs/>
      <w:sz w:val="20"/>
      <w:szCs w:val="20"/>
    </w:rPr>
  </w:style>
  <w:style w:type="paragraph" w:styleId="a6">
    <w:name w:val="Balloon Text"/>
    <w:basedOn w:val="a"/>
    <w:link w:val="Char1"/>
    <w:uiPriority w:val="99"/>
    <w:semiHidden/>
    <w:unhideWhenUsed/>
    <w:rsid w:val="005E1EFC"/>
    <w:rPr>
      <w:rFonts w:ascii="Segoe UI" w:eastAsiaTheme="minorEastAsia" w:hAnsi="Segoe UI" w:cs="Segoe UI"/>
      <w:sz w:val="18"/>
      <w:szCs w:val="18"/>
      <w:lang w:val="en-US"/>
    </w:rPr>
  </w:style>
  <w:style w:type="character" w:customStyle="1" w:styleId="Char1">
    <w:name w:val="批注框文本 Char"/>
    <w:basedOn w:val="a0"/>
    <w:link w:val="a6"/>
    <w:uiPriority w:val="99"/>
    <w:semiHidden/>
    <w:rsid w:val="005E1EFC"/>
    <w:rPr>
      <w:rFonts w:ascii="Segoe UI" w:hAnsi="Segoe UI" w:cs="Segoe UI"/>
      <w:sz w:val="18"/>
      <w:szCs w:val="18"/>
    </w:rPr>
  </w:style>
  <w:style w:type="character" w:customStyle="1" w:styleId="apple-converted-space">
    <w:name w:val="apple-converted-space"/>
    <w:basedOn w:val="a0"/>
    <w:rsid w:val="00234AFD"/>
  </w:style>
  <w:style w:type="paragraph" w:styleId="a7">
    <w:name w:val="List Paragraph"/>
    <w:basedOn w:val="a"/>
    <w:uiPriority w:val="34"/>
    <w:qFormat/>
    <w:rsid w:val="006C0E5C"/>
    <w:pPr>
      <w:ind w:left="720"/>
      <w:contextualSpacing/>
    </w:pPr>
    <w:rPr>
      <w:rFonts w:asciiTheme="minorHAnsi" w:eastAsiaTheme="minorEastAsia" w:hAnsiTheme="minorHAnsi" w:cstheme="minorBidi"/>
      <w:lang w:val="en-US"/>
    </w:rPr>
  </w:style>
  <w:style w:type="paragraph" w:styleId="a8">
    <w:name w:val="header"/>
    <w:basedOn w:val="a"/>
    <w:link w:val="Char2"/>
    <w:uiPriority w:val="99"/>
    <w:unhideWhenUsed/>
    <w:rsid w:val="005D2C89"/>
    <w:pPr>
      <w:tabs>
        <w:tab w:val="center" w:pos="4680"/>
        <w:tab w:val="right" w:pos="9360"/>
      </w:tabs>
    </w:pPr>
    <w:rPr>
      <w:rFonts w:asciiTheme="minorHAnsi" w:eastAsiaTheme="minorEastAsia" w:hAnsiTheme="minorHAnsi" w:cstheme="minorBidi"/>
      <w:lang w:val="en-US"/>
    </w:rPr>
  </w:style>
  <w:style w:type="character" w:customStyle="1" w:styleId="Char2">
    <w:name w:val="页眉 Char"/>
    <w:basedOn w:val="a0"/>
    <w:link w:val="a8"/>
    <w:uiPriority w:val="99"/>
    <w:rsid w:val="005D2C89"/>
    <w:rPr>
      <w:lang w:val="en-US"/>
    </w:rPr>
  </w:style>
  <w:style w:type="paragraph" w:styleId="a9">
    <w:name w:val="footer"/>
    <w:basedOn w:val="a"/>
    <w:link w:val="Char3"/>
    <w:uiPriority w:val="99"/>
    <w:unhideWhenUsed/>
    <w:rsid w:val="005D2C89"/>
    <w:pPr>
      <w:tabs>
        <w:tab w:val="center" w:pos="4680"/>
        <w:tab w:val="right" w:pos="9360"/>
      </w:tabs>
    </w:pPr>
    <w:rPr>
      <w:rFonts w:asciiTheme="minorHAnsi" w:eastAsiaTheme="minorEastAsia" w:hAnsiTheme="minorHAnsi" w:cstheme="minorBidi"/>
      <w:lang w:val="en-US"/>
    </w:rPr>
  </w:style>
  <w:style w:type="character" w:customStyle="1" w:styleId="Char3">
    <w:name w:val="页脚 Char"/>
    <w:basedOn w:val="a0"/>
    <w:link w:val="a9"/>
    <w:uiPriority w:val="99"/>
    <w:rsid w:val="005D2C89"/>
    <w:rPr>
      <w:lang w:val="en-US"/>
    </w:rPr>
  </w:style>
  <w:style w:type="character" w:styleId="aa">
    <w:name w:val="Hyperlink"/>
    <w:basedOn w:val="a0"/>
    <w:uiPriority w:val="99"/>
    <w:unhideWhenUsed/>
    <w:rsid w:val="006E1CE7"/>
    <w:rPr>
      <w:color w:val="0563C1" w:themeColor="hyperlink"/>
      <w:u w:val="single"/>
    </w:rPr>
  </w:style>
  <w:style w:type="character" w:customStyle="1" w:styleId="UnresolvedMention">
    <w:name w:val="Unresolved Mention"/>
    <w:basedOn w:val="a0"/>
    <w:uiPriority w:val="99"/>
    <w:semiHidden/>
    <w:unhideWhenUsed/>
    <w:rsid w:val="006E1CE7"/>
    <w:rPr>
      <w:color w:val="605E5C"/>
      <w:shd w:val="clear" w:color="auto" w:fill="E1DFDD"/>
    </w:rPr>
  </w:style>
  <w:style w:type="paragraph" w:customStyle="1" w:styleId="1">
    <w:name w:val="正文1"/>
    <w:uiPriority w:val="99"/>
    <w:rsid w:val="00EC15B0"/>
    <w:pPr>
      <w:spacing w:line="276" w:lineRule="auto"/>
    </w:pPr>
    <w:rPr>
      <w:rFonts w:ascii="Arial" w:eastAsia="宋体" w:hAnsi="Arial" w:cs="Arial"/>
      <w:color w:val="000000"/>
      <w:sz w:val="22"/>
      <w:szCs w:val="20"/>
      <w:lang w:val="pl-PL" w:eastAsia="pl-PL"/>
    </w:rPr>
  </w:style>
  <w:style w:type="paragraph" w:customStyle="1" w:styleId="p1">
    <w:name w:val="p1"/>
    <w:basedOn w:val="a"/>
    <w:rsid w:val="00EC15B0"/>
    <w:rPr>
      <w:rFonts w:ascii="Helvetica" w:eastAsiaTheme="minorEastAsia" w:hAnsi="Helvetica"/>
      <w:sz w:val="18"/>
      <w:szCs w:val="18"/>
      <w:lang w:val="en-US" w:eastAsia="zh-CN"/>
    </w:rPr>
  </w:style>
  <w:style w:type="paragraph" w:styleId="ab">
    <w:name w:val="Revision"/>
    <w:hidden/>
    <w:uiPriority w:val="99"/>
    <w:semiHidden/>
    <w:rsid w:val="00EC15B0"/>
    <w:rPr>
      <w:lang w:val="en-US"/>
    </w:rPr>
  </w:style>
  <w:style w:type="character" w:styleId="ac">
    <w:name w:val="Strong"/>
    <w:basedOn w:val="a0"/>
    <w:uiPriority w:val="22"/>
    <w:qFormat/>
    <w:rsid w:val="00EC15B0"/>
    <w:rPr>
      <w:b/>
      <w:bCs/>
    </w:rPr>
  </w:style>
  <w:style w:type="character" w:styleId="ad">
    <w:name w:val="FollowedHyperlink"/>
    <w:basedOn w:val="a0"/>
    <w:uiPriority w:val="99"/>
    <w:semiHidden/>
    <w:unhideWhenUsed/>
    <w:rsid w:val="00C94C6E"/>
    <w:rPr>
      <w:color w:val="954F72" w:themeColor="followedHyperlink"/>
      <w:u w:val="single"/>
    </w:rPr>
  </w:style>
  <w:style w:type="paragraph" w:styleId="ae">
    <w:name w:val="Normal (Web)"/>
    <w:basedOn w:val="a"/>
    <w:uiPriority w:val="99"/>
    <w:semiHidden/>
    <w:unhideWhenUsed/>
    <w:rsid w:val="00D24790"/>
    <w:pPr>
      <w:spacing w:before="100" w:beforeAutospacing="1" w:after="100" w:afterAutospacing="1"/>
    </w:pPr>
  </w:style>
  <w:style w:type="character" w:customStyle="1" w:styleId="highlight">
    <w:name w:val="highlight"/>
    <w:basedOn w:val="a0"/>
    <w:rsid w:val="00976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7643">
      <w:bodyDiv w:val="1"/>
      <w:marLeft w:val="0"/>
      <w:marRight w:val="0"/>
      <w:marTop w:val="0"/>
      <w:marBottom w:val="0"/>
      <w:divBdr>
        <w:top w:val="none" w:sz="0" w:space="0" w:color="auto"/>
        <w:left w:val="none" w:sz="0" w:space="0" w:color="auto"/>
        <w:bottom w:val="none" w:sz="0" w:space="0" w:color="auto"/>
        <w:right w:val="none" w:sz="0" w:space="0" w:color="auto"/>
      </w:divBdr>
    </w:div>
    <w:div w:id="48654787">
      <w:bodyDiv w:val="1"/>
      <w:marLeft w:val="0"/>
      <w:marRight w:val="0"/>
      <w:marTop w:val="0"/>
      <w:marBottom w:val="0"/>
      <w:divBdr>
        <w:top w:val="none" w:sz="0" w:space="0" w:color="auto"/>
        <w:left w:val="none" w:sz="0" w:space="0" w:color="auto"/>
        <w:bottom w:val="none" w:sz="0" w:space="0" w:color="auto"/>
        <w:right w:val="none" w:sz="0" w:space="0" w:color="auto"/>
      </w:divBdr>
    </w:div>
    <w:div w:id="56100595">
      <w:bodyDiv w:val="1"/>
      <w:marLeft w:val="0"/>
      <w:marRight w:val="0"/>
      <w:marTop w:val="0"/>
      <w:marBottom w:val="0"/>
      <w:divBdr>
        <w:top w:val="none" w:sz="0" w:space="0" w:color="auto"/>
        <w:left w:val="none" w:sz="0" w:space="0" w:color="auto"/>
        <w:bottom w:val="none" w:sz="0" w:space="0" w:color="auto"/>
        <w:right w:val="none" w:sz="0" w:space="0" w:color="auto"/>
      </w:divBdr>
    </w:div>
    <w:div w:id="75440680">
      <w:bodyDiv w:val="1"/>
      <w:marLeft w:val="0"/>
      <w:marRight w:val="0"/>
      <w:marTop w:val="0"/>
      <w:marBottom w:val="0"/>
      <w:divBdr>
        <w:top w:val="none" w:sz="0" w:space="0" w:color="auto"/>
        <w:left w:val="none" w:sz="0" w:space="0" w:color="auto"/>
        <w:bottom w:val="none" w:sz="0" w:space="0" w:color="auto"/>
        <w:right w:val="none" w:sz="0" w:space="0" w:color="auto"/>
      </w:divBdr>
      <w:divsChild>
        <w:div w:id="626083206">
          <w:marLeft w:val="0"/>
          <w:marRight w:val="0"/>
          <w:marTop w:val="0"/>
          <w:marBottom w:val="0"/>
          <w:divBdr>
            <w:top w:val="none" w:sz="0" w:space="0" w:color="auto"/>
            <w:left w:val="none" w:sz="0" w:space="0" w:color="auto"/>
            <w:bottom w:val="none" w:sz="0" w:space="0" w:color="auto"/>
            <w:right w:val="none" w:sz="0" w:space="0" w:color="auto"/>
          </w:divBdr>
        </w:div>
        <w:div w:id="930746052">
          <w:marLeft w:val="0"/>
          <w:marRight w:val="0"/>
          <w:marTop w:val="0"/>
          <w:marBottom w:val="0"/>
          <w:divBdr>
            <w:top w:val="none" w:sz="0" w:space="0" w:color="auto"/>
            <w:left w:val="none" w:sz="0" w:space="0" w:color="auto"/>
            <w:bottom w:val="none" w:sz="0" w:space="0" w:color="auto"/>
            <w:right w:val="none" w:sz="0" w:space="0" w:color="auto"/>
          </w:divBdr>
        </w:div>
      </w:divsChild>
    </w:div>
    <w:div w:id="92289317">
      <w:bodyDiv w:val="1"/>
      <w:marLeft w:val="0"/>
      <w:marRight w:val="0"/>
      <w:marTop w:val="0"/>
      <w:marBottom w:val="0"/>
      <w:divBdr>
        <w:top w:val="none" w:sz="0" w:space="0" w:color="auto"/>
        <w:left w:val="none" w:sz="0" w:space="0" w:color="auto"/>
        <w:bottom w:val="none" w:sz="0" w:space="0" w:color="auto"/>
        <w:right w:val="none" w:sz="0" w:space="0" w:color="auto"/>
      </w:divBdr>
    </w:div>
    <w:div w:id="96364347">
      <w:bodyDiv w:val="1"/>
      <w:marLeft w:val="0"/>
      <w:marRight w:val="0"/>
      <w:marTop w:val="0"/>
      <w:marBottom w:val="0"/>
      <w:divBdr>
        <w:top w:val="none" w:sz="0" w:space="0" w:color="auto"/>
        <w:left w:val="none" w:sz="0" w:space="0" w:color="auto"/>
        <w:bottom w:val="none" w:sz="0" w:space="0" w:color="auto"/>
        <w:right w:val="none" w:sz="0" w:space="0" w:color="auto"/>
      </w:divBdr>
    </w:div>
    <w:div w:id="126971945">
      <w:bodyDiv w:val="1"/>
      <w:marLeft w:val="0"/>
      <w:marRight w:val="0"/>
      <w:marTop w:val="0"/>
      <w:marBottom w:val="0"/>
      <w:divBdr>
        <w:top w:val="none" w:sz="0" w:space="0" w:color="auto"/>
        <w:left w:val="none" w:sz="0" w:space="0" w:color="auto"/>
        <w:bottom w:val="none" w:sz="0" w:space="0" w:color="auto"/>
        <w:right w:val="none" w:sz="0" w:space="0" w:color="auto"/>
      </w:divBdr>
    </w:div>
    <w:div w:id="136849269">
      <w:bodyDiv w:val="1"/>
      <w:marLeft w:val="0"/>
      <w:marRight w:val="0"/>
      <w:marTop w:val="0"/>
      <w:marBottom w:val="0"/>
      <w:divBdr>
        <w:top w:val="none" w:sz="0" w:space="0" w:color="auto"/>
        <w:left w:val="none" w:sz="0" w:space="0" w:color="auto"/>
        <w:bottom w:val="none" w:sz="0" w:space="0" w:color="auto"/>
        <w:right w:val="none" w:sz="0" w:space="0" w:color="auto"/>
      </w:divBdr>
    </w:div>
    <w:div w:id="149905635">
      <w:bodyDiv w:val="1"/>
      <w:marLeft w:val="0"/>
      <w:marRight w:val="0"/>
      <w:marTop w:val="0"/>
      <w:marBottom w:val="0"/>
      <w:divBdr>
        <w:top w:val="none" w:sz="0" w:space="0" w:color="auto"/>
        <w:left w:val="none" w:sz="0" w:space="0" w:color="auto"/>
        <w:bottom w:val="none" w:sz="0" w:space="0" w:color="auto"/>
        <w:right w:val="none" w:sz="0" w:space="0" w:color="auto"/>
      </w:divBdr>
    </w:div>
    <w:div w:id="156194056">
      <w:bodyDiv w:val="1"/>
      <w:marLeft w:val="0"/>
      <w:marRight w:val="0"/>
      <w:marTop w:val="0"/>
      <w:marBottom w:val="0"/>
      <w:divBdr>
        <w:top w:val="none" w:sz="0" w:space="0" w:color="auto"/>
        <w:left w:val="none" w:sz="0" w:space="0" w:color="auto"/>
        <w:bottom w:val="none" w:sz="0" w:space="0" w:color="auto"/>
        <w:right w:val="none" w:sz="0" w:space="0" w:color="auto"/>
      </w:divBdr>
    </w:div>
    <w:div w:id="177041114">
      <w:bodyDiv w:val="1"/>
      <w:marLeft w:val="0"/>
      <w:marRight w:val="0"/>
      <w:marTop w:val="0"/>
      <w:marBottom w:val="0"/>
      <w:divBdr>
        <w:top w:val="none" w:sz="0" w:space="0" w:color="auto"/>
        <w:left w:val="none" w:sz="0" w:space="0" w:color="auto"/>
        <w:bottom w:val="none" w:sz="0" w:space="0" w:color="auto"/>
        <w:right w:val="none" w:sz="0" w:space="0" w:color="auto"/>
      </w:divBdr>
    </w:div>
    <w:div w:id="234052646">
      <w:bodyDiv w:val="1"/>
      <w:marLeft w:val="0"/>
      <w:marRight w:val="0"/>
      <w:marTop w:val="0"/>
      <w:marBottom w:val="0"/>
      <w:divBdr>
        <w:top w:val="none" w:sz="0" w:space="0" w:color="auto"/>
        <w:left w:val="none" w:sz="0" w:space="0" w:color="auto"/>
        <w:bottom w:val="none" w:sz="0" w:space="0" w:color="auto"/>
        <w:right w:val="none" w:sz="0" w:space="0" w:color="auto"/>
      </w:divBdr>
    </w:div>
    <w:div w:id="265431197">
      <w:bodyDiv w:val="1"/>
      <w:marLeft w:val="0"/>
      <w:marRight w:val="0"/>
      <w:marTop w:val="0"/>
      <w:marBottom w:val="0"/>
      <w:divBdr>
        <w:top w:val="none" w:sz="0" w:space="0" w:color="auto"/>
        <w:left w:val="none" w:sz="0" w:space="0" w:color="auto"/>
        <w:bottom w:val="none" w:sz="0" w:space="0" w:color="auto"/>
        <w:right w:val="none" w:sz="0" w:space="0" w:color="auto"/>
      </w:divBdr>
    </w:div>
    <w:div w:id="277294208">
      <w:bodyDiv w:val="1"/>
      <w:marLeft w:val="0"/>
      <w:marRight w:val="0"/>
      <w:marTop w:val="0"/>
      <w:marBottom w:val="0"/>
      <w:divBdr>
        <w:top w:val="none" w:sz="0" w:space="0" w:color="auto"/>
        <w:left w:val="none" w:sz="0" w:space="0" w:color="auto"/>
        <w:bottom w:val="none" w:sz="0" w:space="0" w:color="auto"/>
        <w:right w:val="none" w:sz="0" w:space="0" w:color="auto"/>
      </w:divBdr>
    </w:div>
    <w:div w:id="294482052">
      <w:bodyDiv w:val="1"/>
      <w:marLeft w:val="0"/>
      <w:marRight w:val="0"/>
      <w:marTop w:val="0"/>
      <w:marBottom w:val="0"/>
      <w:divBdr>
        <w:top w:val="none" w:sz="0" w:space="0" w:color="auto"/>
        <w:left w:val="none" w:sz="0" w:space="0" w:color="auto"/>
        <w:bottom w:val="none" w:sz="0" w:space="0" w:color="auto"/>
        <w:right w:val="none" w:sz="0" w:space="0" w:color="auto"/>
      </w:divBdr>
    </w:div>
    <w:div w:id="300841908">
      <w:bodyDiv w:val="1"/>
      <w:marLeft w:val="0"/>
      <w:marRight w:val="0"/>
      <w:marTop w:val="0"/>
      <w:marBottom w:val="0"/>
      <w:divBdr>
        <w:top w:val="none" w:sz="0" w:space="0" w:color="auto"/>
        <w:left w:val="none" w:sz="0" w:space="0" w:color="auto"/>
        <w:bottom w:val="none" w:sz="0" w:space="0" w:color="auto"/>
        <w:right w:val="none" w:sz="0" w:space="0" w:color="auto"/>
      </w:divBdr>
    </w:div>
    <w:div w:id="317077799">
      <w:bodyDiv w:val="1"/>
      <w:marLeft w:val="0"/>
      <w:marRight w:val="0"/>
      <w:marTop w:val="0"/>
      <w:marBottom w:val="0"/>
      <w:divBdr>
        <w:top w:val="none" w:sz="0" w:space="0" w:color="auto"/>
        <w:left w:val="none" w:sz="0" w:space="0" w:color="auto"/>
        <w:bottom w:val="none" w:sz="0" w:space="0" w:color="auto"/>
        <w:right w:val="none" w:sz="0" w:space="0" w:color="auto"/>
      </w:divBdr>
    </w:div>
    <w:div w:id="320619959">
      <w:bodyDiv w:val="1"/>
      <w:marLeft w:val="0"/>
      <w:marRight w:val="0"/>
      <w:marTop w:val="0"/>
      <w:marBottom w:val="0"/>
      <w:divBdr>
        <w:top w:val="none" w:sz="0" w:space="0" w:color="auto"/>
        <w:left w:val="none" w:sz="0" w:space="0" w:color="auto"/>
        <w:bottom w:val="none" w:sz="0" w:space="0" w:color="auto"/>
        <w:right w:val="none" w:sz="0" w:space="0" w:color="auto"/>
      </w:divBdr>
    </w:div>
    <w:div w:id="352416512">
      <w:bodyDiv w:val="1"/>
      <w:marLeft w:val="0"/>
      <w:marRight w:val="0"/>
      <w:marTop w:val="0"/>
      <w:marBottom w:val="0"/>
      <w:divBdr>
        <w:top w:val="none" w:sz="0" w:space="0" w:color="auto"/>
        <w:left w:val="none" w:sz="0" w:space="0" w:color="auto"/>
        <w:bottom w:val="none" w:sz="0" w:space="0" w:color="auto"/>
        <w:right w:val="none" w:sz="0" w:space="0" w:color="auto"/>
      </w:divBdr>
    </w:div>
    <w:div w:id="400061548">
      <w:bodyDiv w:val="1"/>
      <w:marLeft w:val="0"/>
      <w:marRight w:val="0"/>
      <w:marTop w:val="0"/>
      <w:marBottom w:val="0"/>
      <w:divBdr>
        <w:top w:val="none" w:sz="0" w:space="0" w:color="auto"/>
        <w:left w:val="none" w:sz="0" w:space="0" w:color="auto"/>
        <w:bottom w:val="none" w:sz="0" w:space="0" w:color="auto"/>
        <w:right w:val="none" w:sz="0" w:space="0" w:color="auto"/>
      </w:divBdr>
    </w:div>
    <w:div w:id="420420764">
      <w:bodyDiv w:val="1"/>
      <w:marLeft w:val="0"/>
      <w:marRight w:val="0"/>
      <w:marTop w:val="0"/>
      <w:marBottom w:val="0"/>
      <w:divBdr>
        <w:top w:val="none" w:sz="0" w:space="0" w:color="auto"/>
        <w:left w:val="none" w:sz="0" w:space="0" w:color="auto"/>
        <w:bottom w:val="none" w:sz="0" w:space="0" w:color="auto"/>
        <w:right w:val="none" w:sz="0" w:space="0" w:color="auto"/>
      </w:divBdr>
    </w:div>
    <w:div w:id="443960648">
      <w:bodyDiv w:val="1"/>
      <w:marLeft w:val="0"/>
      <w:marRight w:val="0"/>
      <w:marTop w:val="0"/>
      <w:marBottom w:val="0"/>
      <w:divBdr>
        <w:top w:val="none" w:sz="0" w:space="0" w:color="auto"/>
        <w:left w:val="none" w:sz="0" w:space="0" w:color="auto"/>
        <w:bottom w:val="none" w:sz="0" w:space="0" w:color="auto"/>
        <w:right w:val="none" w:sz="0" w:space="0" w:color="auto"/>
      </w:divBdr>
    </w:div>
    <w:div w:id="455293729">
      <w:bodyDiv w:val="1"/>
      <w:marLeft w:val="0"/>
      <w:marRight w:val="0"/>
      <w:marTop w:val="0"/>
      <w:marBottom w:val="0"/>
      <w:divBdr>
        <w:top w:val="none" w:sz="0" w:space="0" w:color="auto"/>
        <w:left w:val="none" w:sz="0" w:space="0" w:color="auto"/>
        <w:bottom w:val="none" w:sz="0" w:space="0" w:color="auto"/>
        <w:right w:val="none" w:sz="0" w:space="0" w:color="auto"/>
      </w:divBdr>
    </w:div>
    <w:div w:id="505480418">
      <w:bodyDiv w:val="1"/>
      <w:marLeft w:val="0"/>
      <w:marRight w:val="0"/>
      <w:marTop w:val="0"/>
      <w:marBottom w:val="0"/>
      <w:divBdr>
        <w:top w:val="none" w:sz="0" w:space="0" w:color="auto"/>
        <w:left w:val="none" w:sz="0" w:space="0" w:color="auto"/>
        <w:bottom w:val="none" w:sz="0" w:space="0" w:color="auto"/>
        <w:right w:val="none" w:sz="0" w:space="0" w:color="auto"/>
      </w:divBdr>
    </w:div>
    <w:div w:id="565842870">
      <w:bodyDiv w:val="1"/>
      <w:marLeft w:val="0"/>
      <w:marRight w:val="0"/>
      <w:marTop w:val="0"/>
      <w:marBottom w:val="0"/>
      <w:divBdr>
        <w:top w:val="none" w:sz="0" w:space="0" w:color="auto"/>
        <w:left w:val="none" w:sz="0" w:space="0" w:color="auto"/>
        <w:bottom w:val="none" w:sz="0" w:space="0" w:color="auto"/>
        <w:right w:val="none" w:sz="0" w:space="0" w:color="auto"/>
      </w:divBdr>
    </w:div>
    <w:div w:id="640812388">
      <w:bodyDiv w:val="1"/>
      <w:marLeft w:val="0"/>
      <w:marRight w:val="0"/>
      <w:marTop w:val="0"/>
      <w:marBottom w:val="0"/>
      <w:divBdr>
        <w:top w:val="none" w:sz="0" w:space="0" w:color="auto"/>
        <w:left w:val="none" w:sz="0" w:space="0" w:color="auto"/>
        <w:bottom w:val="none" w:sz="0" w:space="0" w:color="auto"/>
        <w:right w:val="none" w:sz="0" w:space="0" w:color="auto"/>
      </w:divBdr>
    </w:div>
    <w:div w:id="674111527">
      <w:bodyDiv w:val="1"/>
      <w:marLeft w:val="0"/>
      <w:marRight w:val="0"/>
      <w:marTop w:val="0"/>
      <w:marBottom w:val="0"/>
      <w:divBdr>
        <w:top w:val="none" w:sz="0" w:space="0" w:color="auto"/>
        <w:left w:val="none" w:sz="0" w:space="0" w:color="auto"/>
        <w:bottom w:val="none" w:sz="0" w:space="0" w:color="auto"/>
        <w:right w:val="none" w:sz="0" w:space="0" w:color="auto"/>
      </w:divBdr>
    </w:div>
    <w:div w:id="685985659">
      <w:bodyDiv w:val="1"/>
      <w:marLeft w:val="0"/>
      <w:marRight w:val="0"/>
      <w:marTop w:val="0"/>
      <w:marBottom w:val="0"/>
      <w:divBdr>
        <w:top w:val="none" w:sz="0" w:space="0" w:color="auto"/>
        <w:left w:val="none" w:sz="0" w:space="0" w:color="auto"/>
        <w:bottom w:val="none" w:sz="0" w:space="0" w:color="auto"/>
        <w:right w:val="none" w:sz="0" w:space="0" w:color="auto"/>
      </w:divBdr>
    </w:div>
    <w:div w:id="701587101">
      <w:bodyDiv w:val="1"/>
      <w:marLeft w:val="0"/>
      <w:marRight w:val="0"/>
      <w:marTop w:val="0"/>
      <w:marBottom w:val="0"/>
      <w:divBdr>
        <w:top w:val="none" w:sz="0" w:space="0" w:color="auto"/>
        <w:left w:val="none" w:sz="0" w:space="0" w:color="auto"/>
        <w:bottom w:val="none" w:sz="0" w:space="0" w:color="auto"/>
        <w:right w:val="none" w:sz="0" w:space="0" w:color="auto"/>
      </w:divBdr>
    </w:div>
    <w:div w:id="712459538">
      <w:bodyDiv w:val="1"/>
      <w:marLeft w:val="0"/>
      <w:marRight w:val="0"/>
      <w:marTop w:val="0"/>
      <w:marBottom w:val="0"/>
      <w:divBdr>
        <w:top w:val="none" w:sz="0" w:space="0" w:color="auto"/>
        <w:left w:val="none" w:sz="0" w:space="0" w:color="auto"/>
        <w:bottom w:val="none" w:sz="0" w:space="0" w:color="auto"/>
        <w:right w:val="none" w:sz="0" w:space="0" w:color="auto"/>
      </w:divBdr>
    </w:div>
    <w:div w:id="737286747">
      <w:bodyDiv w:val="1"/>
      <w:marLeft w:val="0"/>
      <w:marRight w:val="0"/>
      <w:marTop w:val="0"/>
      <w:marBottom w:val="0"/>
      <w:divBdr>
        <w:top w:val="none" w:sz="0" w:space="0" w:color="auto"/>
        <w:left w:val="none" w:sz="0" w:space="0" w:color="auto"/>
        <w:bottom w:val="none" w:sz="0" w:space="0" w:color="auto"/>
        <w:right w:val="none" w:sz="0" w:space="0" w:color="auto"/>
      </w:divBdr>
    </w:div>
    <w:div w:id="756483322">
      <w:bodyDiv w:val="1"/>
      <w:marLeft w:val="0"/>
      <w:marRight w:val="0"/>
      <w:marTop w:val="0"/>
      <w:marBottom w:val="0"/>
      <w:divBdr>
        <w:top w:val="none" w:sz="0" w:space="0" w:color="auto"/>
        <w:left w:val="none" w:sz="0" w:space="0" w:color="auto"/>
        <w:bottom w:val="none" w:sz="0" w:space="0" w:color="auto"/>
        <w:right w:val="none" w:sz="0" w:space="0" w:color="auto"/>
      </w:divBdr>
    </w:div>
    <w:div w:id="811094419">
      <w:bodyDiv w:val="1"/>
      <w:marLeft w:val="0"/>
      <w:marRight w:val="0"/>
      <w:marTop w:val="0"/>
      <w:marBottom w:val="0"/>
      <w:divBdr>
        <w:top w:val="none" w:sz="0" w:space="0" w:color="auto"/>
        <w:left w:val="none" w:sz="0" w:space="0" w:color="auto"/>
        <w:bottom w:val="none" w:sz="0" w:space="0" w:color="auto"/>
        <w:right w:val="none" w:sz="0" w:space="0" w:color="auto"/>
      </w:divBdr>
    </w:div>
    <w:div w:id="815027718">
      <w:bodyDiv w:val="1"/>
      <w:marLeft w:val="0"/>
      <w:marRight w:val="0"/>
      <w:marTop w:val="0"/>
      <w:marBottom w:val="0"/>
      <w:divBdr>
        <w:top w:val="none" w:sz="0" w:space="0" w:color="auto"/>
        <w:left w:val="none" w:sz="0" w:space="0" w:color="auto"/>
        <w:bottom w:val="none" w:sz="0" w:space="0" w:color="auto"/>
        <w:right w:val="none" w:sz="0" w:space="0" w:color="auto"/>
      </w:divBdr>
    </w:div>
    <w:div w:id="842089869">
      <w:bodyDiv w:val="1"/>
      <w:marLeft w:val="0"/>
      <w:marRight w:val="0"/>
      <w:marTop w:val="0"/>
      <w:marBottom w:val="0"/>
      <w:divBdr>
        <w:top w:val="none" w:sz="0" w:space="0" w:color="auto"/>
        <w:left w:val="none" w:sz="0" w:space="0" w:color="auto"/>
        <w:bottom w:val="none" w:sz="0" w:space="0" w:color="auto"/>
        <w:right w:val="none" w:sz="0" w:space="0" w:color="auto"/>
      </w:divBdr>
    </w:div>
    <w:div w:id="843471457">
      <w:bodyDiv w:val="1"/>
      <w:marLeft w:val="0"/>
      <w:marRight w:val="0"/>
      <w:marTop w:val="0"/>
      <w:marBottom w:val="0"/>
      <w:divBdr>
        <w:top w:val="none" w:sz="0" w:space="0" w:color="auto"/>
        <w:left w:val="none" w:sz="0" w:space="0" w:color="auto"/>
        <w:bottom w:val="none" w:sz="0" w:space="0" w:color="auto"/>
        <w:right w:val="none" w:sz="0" w:space="0" w:color="auto"/>
      </w:divBdr>
    </w:div>
    <w:div w:id="866529274">
      <w:bodyDiv w:val="1"/>
      <w:marLeft w:val="0"/>
      <w:marRight w:val="0"/>
      <w:marTop w:val="0"/>
      <w:marBottom w:val="0"/>
      <w:divBdr>
        <w:top w:val="none" w:sz="0" w:space="0" w:color="auto"/>
        <w:left w:val="none" w:sz="0" w:space="0" w:color="auto"/>
        <w:bottom w:val="none" w:sz="0" w:space="0" w:color="auto"/>
        <w:right w:val="none" w:sz="0" w:space="0" w:color="auto"/>
      </w:divBdr>
    </w:div>
    <w:div w:id="881403282">
      <w:bodyDiv w:val="1"/>
      <w:marLeft w:val="0"/>
      <w:marRight w:val="0"/>
      <w:marTop w:val="0"/>
      <w:marBottom w:val="0"/>
      <w:divBdr>
        <w:top w:val="none" w:sz="0" w:space="0" w:color="auto"/>
        <w:left w:val="none" w:sz="0" w:space="0" w:color="auto"/>
        <w:bottom w:val="none" w:sz="0" w:space="0" w:color="auto"/>
        <w:right w:val="none" w:sz="0" w:space="0" w:color="auto"/>
      </w:divBdr>
    </w:div>
    <w:div w:id="887061908">
      <w:bodyDiv w:val="1"/>
      <w:marLeft w:val="0"/>
      <w:marRight w:val="0"/>
      <w:marTop w:val="0"/>
      <w:marBottom w:val="0"/>
      <w:divBdr>
        <w:top w:val="none" w:sz="0" w:space="0" w:color="auto"/>
        <w:left w:val="none" w:sz="0" w:space="0" w:color="auto"/>
        <w:bottom w:val="none" w:sz="0" w:space="0" w:color="auto"/>
        <w:right w:val="none" w:sz="0" w:space="0" w:color="auto"/>
      </w:divBdr>
    </w:div>
    <w:div w:id="890308241">
      <w:bodyDiv w:val="1"/>
      <w:marLeft w:val="0"/>
      <w:marRight w:val="0"/>
      <w:marTop w:val="0"/>
      <w:marBottom w:val="0"/>
      <w:divBdr>
        <w:top w:val="none" w:sz="0" w:space="0" w:color="auto"/>
        <w:left w:val="none" w:sz="0" w:space="0" w:color="auto"/>
        <w:bottom w:val="none" w:sz="0" w:space="0" w:color="auto"/>
        <w:right w:val="none" w:sz="0" w:space="0" w:color="auto"/>
      </w:divBdr>
    </w:div>
    <w:div w:id="928389739">
      <w:bodyDiv w:val="1"/>
      <w:marLeft w:val="0"/>
      <w:marRight w:val="0"/>
      <w:marTop w:val="0"/>
      <w:marBottom w:val="0"/>
      <w:divBdr>
        <w:top w:val="none" w:sz="0" w:space="0" w:color="auto"/>
        <w:left w:val="none" w:sz="0" w:space="0" w:color="auto"/>
        <w:bottom w:val="none" w:sz="0" w:space="0" w:color="auto"/>
        <w:right w:val="none" w:sz="0" w:space="0" w:color="auto"/>
      </w:divBdr>
    </w:div>
    <w:div w:id="946306286">
      <w:bodyDiv w:val="1"/>
      <w:marLeft w:val="0"/>
      <w:marRight w:val="0"/>
      <w:marTop w:val="0"/>
      <w:marBottom w:val="0"/>
      <w:divBdr>
        <w:top w:val="none" w:sz="0" w:space="0" w:color="auto"/>
        <w:left w:val="none" w:sz="0" w:space="0" w:color="auto"/>
        <w:bottom w:val="none" w:sz="0" w:space="0" w:color="auto"/>
        <w:right w:val="none" w:sz="0" w:space="0" w:color="auto"/>
      </w:divBdr>
    </w:div>
    <w:div w:id="998000694">
      <w:bodyDiv w:val="1"/>
      <w:marLeft w:val="0"/>
      <w:marRight w:val="0"/>
      <w:marTop w:val="0"/>
      <w:marBottom w:val="0"/>
      <w:divBdr>
        <w:top w:val="none" w:sz="0" w:space="0" w:color="auto"/>
        <w:left w:val="none" w:sz="0" w:space="0" w:color="auto"/>
        <w:bottom w:val="none" w:sz="0" w:space="0" w:color="auto"/>
        <w:right w:val="none" w:sz="0" w:space="0" w:color="auto"/>
      </w:divBdr>
    </w:div>
    <w:div w:id="999117714">
      <w:bodyDiv w:val="1"/>
      <w:marLeft w:val="0"/>
      <w:marRight w:val="0"/>
      <w:marTop w:val="0"/>
      <w:marBottom w:val="0"/>
      <w:divBdr>
        <w:top w:val="none" w:sz="0" w:space="0" w:color="auto"/>
        <w:left w:val="none" w:sz="0" w:space="0" w:color="auto"/>
        <w:bottom w:val="none" w:sz="0" w:space="0" w:color="auto"/>
        <w:right w:val="none" w:sz="0" w:space="0" w:color="auto"/>
      </w:divBdr>
      <w:divsChild>
        <w:div w:id="1244291971">
          <w:marLeft w:val="0"/>
          <w:marRight w:val="0"/>
          <w:marTop w:val="0"/>
          <w:marBottom w:val="0"/>
          <w:divBdr>
            <w:top w:val="none" w:sz="0" w:space="0" w:color="auto"/>
            <w:left w:val="none" w:sz="0" w:space="0" w:color="auto"/>
            <w:bottom w:val="none" w:sz="0" w:space="0" w:color="auto"/>
            <w:right w:val="none" w:sz="0" w:space="0" w:color="auto"/>
          </w:divBdr>
          <w:divsChild>
            <w:div w:id="1428424026">
              <w:marLeft w:val="0"/>
              <w:marRight w:val="0"/>
              <w:marTop w:val="0"/>
              <w:marBottom w:val="0"/>
              <w:divBdr>
                <w:top w:val="none" w:sz="0" w:space="0" w:color="auto"/>
                <w:left w:val="none" w:sz="0" w:space="0" w:color="auto"/>
                <w:bottom w:val="none" w:sz="0" w:space="0" w:color="auto"/>
                <w:right w:val="none" w:sz="0" w:space="0" w:color="auto"/>
              </w:divBdr>
              <w:divsChild>
                <w:div w:id="12402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75296">
      <w:bodyDiv w:val="1"/>
      <w:marLeft w:val="0"/>
      <w:marRight w:val="0"/>
      <w:marTop w:val="0"/>
      <w:marBottom w:val="0"/>
      <w:divBdr>
        <w:top w:val="none" w:sz="0" w:space="0" w:color="auto"/>
        <w:left w:val="none" w:sz="0" w:space="0" w:color="auto"/>
        <w:bottom w:val="none" w:sz="0" w:space="0" w:color="auto"/>
        <w:right w:val="none" w:sz="0" w:space="0" w:color="auto"/>
      </w:divBdr>
    </w:div>
    <w:div w:id="1016078433">
      <w:bodyDiv w:val="1"/>
      <w:marLeft w:val="0"/>
      <w:marRight w:val="0"/>
      <w:marTop w:val="0"/>
      <w:marBottom w:val="0"/>
      <w:divBdr>
        <w:top w:val="none" w:sz="0" w:space="0" w:color="auto"/>
        <w:left w:val="none" w:sz="0" w:space="0" w:color="auto"/>
        <w:bottom w:val="none" w:sz="0" w:space="0" w:color="auto"/>
        <w:right w:val="none" w:sz="0" w:space="0" w:color="auto"/>
      </w:divBdr>
    </w:div>
    <w:div w:id="1019895449">
      <w:bodyDiv w:val="1"/>
      <w:marLeft w:val="0"/>
      <w:marRight w:val="0"/>
      <w:marTop w:val="0"/>
      <w:marBottom w:val="0"/>
      <w:divBdr>
        <w:top w:val="none" w:sz="0" w:space="0" w:color="auto"/>
        <w:left w:val="none" w:sz="0" w:space="0" w:color="auto"/>
        <w:bottom w:val="none" w:sz="0" w:space="0" w:color="auto"/>
        <w:right w:val="none" w:sz="0" w:space="0" w:color="auto"/>
      </w:divBdr>
    </w:div>
    <w:div w:id="1036808361">
      <w:bodyDiv w:val="1"/>
      <w:marLeft w:val="0"/>
      <w:marRight w:val="0"/>
      <w:marTop w:val="0"/>
      <w:marBottom w:val="0"/>
      <w:divBdr>
        <w:top w:val="none" w:sz="0" w:space="0" w:color="auto"/>
        <w:left w:val="none" w:sz="0" w:space="0" w:color="auto"/>
        <w:bottom w:val="none" w:sz="0" w:space="0" w:color="auto"/>
        <w:right w:val="none" w:sz="0" w:space="0" w:color="auto"/>
      </w:divBdr>
    </w:div>
    <w:div w:id="1056049095">
      <w:bodyDiv w:val="1"/>
      <w:marLeft w:val="0"/>
      <w:marRight w:val="0"/>
      <w:marTop w:val="0"/>
      <w:marBottom w:val="0"/>
      <w:divBdr>
        <w:top w:val="none" w:sz="0" w:space="0" w:color="auto"/>
        <w:left w:val="none" w:sz="0" w:space="0" w:color="auto"/>
        <w:bottom w:val="none" w:sz="0" w:space="0" w:color="auto"/>
        <w:right w:val="none" w:sz="0" w:space="0" w:color="auto"/>
      </w:divBdr>
    </w:div>
    <w:div w:id="1112675955">
      <w:bodyDiv w:val="1"/>
      <w:marLeft w:val="0"/>
      <w:marRight w:val="0"/>
      <w:marTop w:val="0"/>
      <w:marBottom w:val="0"/>
      <w:divBdr>
        <w:top w:val="none" w:sz="0" w:space="0" w:color="auto"/>
        <w:left w:val="none" w:sz="0" w:space="0" w:color="auto"/>
        <w:bottom w:val="none" w:sz="0" w:space="0" w:color="auto"/>
        <w:right w:val="none" w:sz="0" w:space="0" w:color="auto"/>
      </w:divBdr>
    </w:div>
    <w:div w:id="1145392389">
      <w:bodyDiv w:val="1"/>
      <w:marLeft w:val="0"/>
      <w:marRight w:val="0"/>
      <w:marTop w:val="0"/>
      <w:marBottom w:val="0"/>
      <w:divBdr>
        <w:top w:val="none" w:sz="0" w:space="0" w:color="auto"/>
        <w:left w:val="none" w:sz="0" w:space="0" w:color="auto"/>
        <w:bottom w:val="none" w:sz="0" w:space="0" w:color="auto"/>
        <w:right w:val="none" w:sz="0" w:space="0" w:color="auto"/>
      </w:divBdr>
    </w:div>
    <w:div w:id="1189639508">
      <w:bodyDiv w:val="1"/>
      <w:marLeft w:val="0"/>
      <w:marRight w:val="0"/>
      <w:marTop w:val="0"/>
      <w:marBottom w:val="0"/>
      <w:divBdr>
        <w:top w:val="none" w:sz="0" w:space="0" w:color="auto"/>
        <w:left w:val="none" w:sz="0" w:space="0" w:color="auto"/>
        <w:bottom w:val="none" w:sz="0" w:space="0" w:color="auto"/>
        <w:right w:val="none" w:sz="0" w:space="0" w:color="auto"/>
      </w:divBdr>
    </w:div>
    <w:div w:id="1192038269">
      <w:bodyDiv w:val="1"/>
      <w:marLeft w:val="0"/>
      <w:marRight w:val="0"/>
      <w:marTop w:val="0"/>
      <w:marBottom w:val="0"/>
      <w:divBdr>
        <w:top w:val="none" w:sz="0" w:space="0" w:color="auto"/>
        <w:left w:val="none" w:sz="0" w:space="0" w:color="auto"/>
        <w:bottom w:val="none" w:sz="0" w:space="0" w:color="auto"/>
        <w:right w:val="none" w:sz="0" w:space="0" w:color="auto"/>
      </w:divBdr>
    </w:div>
    <w:div w:id="1219973507">
      <w:bodyDiv w:val="1"/>
      <w:marLeft w:val="0"/>
      <w:marRight w:val="0"/>
      <w:marTop w:val="0"/>
      <w:marBottom w:val="0"/>
      <w:divBdr>
        <w:top w:val="none" w:sz="0" w:space="0" w:color="auto"/>
        <w:left w:val="none" w:sz="0" w:space="0" w:color="auto"/>
        <w:bottom w:val="none" w:sz="0" w:space="0" w:color="auto"/>
        <w:right w:val="none" w:sz="0" w:space="0" w:color="auto"/>
      </w:divBdr>
    </w:div>
    <w:div w:id="1235242573">
      <w:bodyDiv w:val="1"/>
      <w:marLeft w:val="0"/>
      <w:marRight w:val="0"/>
      <w:marTop w:val="0"/>
      <w:marBottom w:val="0"/>
      <w:divBdr>
        <w:top w:val="none" w:sz="0" w:space="0" w:color="auto"/>
        <w:left w:val="none" w:sz="0" w:space="0" w:color="auto"/>
        <w:bottom w:val="none" w:sz="0" w:space="0" w:color="auto"/>
        <w:right w:val="none" w:sz="0" w:space="0" w:color="auto"/>
      </w:divBdr>
    </w:div>
    <w:div w:id="1264261179">
      <w:bodyDiv w:val="1"/>
      <w:marLeft w:val="0"/>
      <w:marRight w:val="0"/>
      <w:marTop w:val="0"/>
      <w:marBottom w:val="0"/>
      <w:divBdr>
        <w:top w:val="none" w:sz="0" w:space="0" w:color="auto"/>
        <w:left w:val="none" w:sz="0" w:space="0" w:color="auto"/>
        <w:bottom w:val="none" w:sz="0" w:space="0" w:color="auto"/>
        <w:right w:val="none" w:sz="0" w:space="0" w:color="auto"/>
      </w:divBdr>
    </w:div>
    <w:div w:id="1275868512">
      <w:bodyDiv w:val="1"/>
      <w:marLeft w:val="0"/>
      <w:marRight w:val="0"/>
      <w:marTop w:val="0"/>
      <w:marBottom w:val="0"/>
      <w:divBdr>
        <w:top w:val="none" w:sz="0" w:space="0" w:color="auto"/>
        <w:left w:val="none" w:sz="0" w:space="0" w:color="auto"/>
        <w:bottom w:val="none" w:sz="0" w:space="0" w:color="auto"/>
        <w:right w:val="none" w:sz="0" w:space="0" w:color="auto"/>
      </w:divBdr>
    </w:div>
    <w:div w:id="1310088137">
      <w:bodyDiv w:val="1"/>
      <w:marLeft w:val="0"/>
      <w:marRight w:val="0"/>
      <w:marTop w:val="0"/>
      <w:marBottom w:val="0"/>
      <w:divBdr>
        <w:top w:val="none" w:sz="0" w:space="0" w:color="auto"/>
        <w:left w:val="none" w:sz="0" w:space="0" w:color="auto"/>
        <w:bottom w:val="none" w:sz="0" w:space="0" w:color="auto"/>
        <w:right w:val="none" w:sz="0" w:space="0" w:color="auto"/>
      </w:divBdr>
    </w:div>
    <w:div w:id="1340814922">
      <w:bodyDiv w:val="1"/>
      <w:marLeft w:val="0"/>
      <w:marRight w:val="0"/>
      <w:marTop w:val="0"/>
      <w:marBottom w:val="0"/>
      <w:divBdr>
        <w:top w:val="none" w:sz="0" w:space="0" w:color="auto"/>
        <w:left w:val="none" w:sz="0" w:space="0" w:color="auto"/>
        <w:bottom w:val="none" w:sz="0" w:space="0" w:color="auto"/>
        <w:right w:val="none" w:sz="0" w:space="0" w:color="auto"/>
      </w:divBdr>
    </w:div>
    <w:div w:id="1364355796">
      <w:bodyDiv w:val="1"/>
      <w:marLeft w:val="0"/>
      <w:marRight w:val="0"/>
      <w:marTop w:val="0"/>
      <w:marBottom w:val="0"/>
      <w:divBdr>
        <w:top w:val="none" w:sz="0" w:space="0" w:color="auto"/>
        <w:left w:val="none" w:sz="0" w:space="0" w:color="auto"/>
        <w:bottom w:val="none" w:sz="0" w:space="0" w:color="auto"/>
        <w:right w:val="none" w:sz="0" w:space="0" w:color="auto"/>
      </w:divBdr>
    </w:div>
    <w:div w:id="1366977651">
      <w:bodyDiv w:val="1"/>
      <w:marLeft w:val="0"/>
      <w:marRight w:val="0"/>
      <w:marTop w:val="0"/>
      <w:marBottom w:val="0"/>
      <w:divBdr>
        <w:top w:val="none" w:sz="0" w:space="0" w:color="auto"/>
        <w:left w:val="none" w:sz="0" w:space="0" w:color="auto"/>
        <w:bottom w:val="none" w:sz="0" w:space="0" w:color="auto"/>
        <w:right w:val="none" w:sz="0" w:space="0" w:color="auto"/>
      </w:divBdr>
    </w:div>
    <w:div w:id="1396706042">
      <w:bodyDiv w:val="1"/>
      <w:marLeft w:val="0"/>
      <w:marRight w:val="0"/>
      <w:marTop w:val="0"/>
      <w:marBottom w:val="0"/>
      <w:divBdr>
        <w:top w:val="none" w:sz="0" w:space="0" w:color="auto"/>
        <w:left w:val="none" w:sz="0" w:space="0" w:color="auto"/>
        <w:bottom w:val="none" w:sz="0" w:space="0" w:color="auto"/>
        <w:right w:val="none" w:sz="0" w:space="0" w:color="auto"/>
      </w:divBdr>
    </w:div>
    <w:div w:id="1409234307">
      <w:bodyDiv w:val="1"/>
      <w:marLeft w:val="0"/>
      <w:marRight w:val="0"/>
      <w:marTop w:val="0"/>
      <w:marBottom w:val="0"/>
      <w:divBdr>
        <w:top w:val="none" w:sz="0" w:space="0" w:color="auto"/>
        <w:left w:val="none" w:sz="0" w:space="0" w:color="auto"/>
        <w:bottom w:val="none" w:sz="0" w:space="0" w:color="auto"/>
        <w:right w:val="none" w:sz="0" w:space="0" w:color="auto"/>
      </w:divBdr>
    </w:div>
    <w:div w:id="1419592030">
      <w:bodyDiv w:val="1"/>
      <w:marLeft w:val="0"/>
      <w:marRight w:val="0"/>
      <w:marTop w:val="0"/>
      <w:marBottom w:val="0"/>
      <w:divBdr>
        <w:top w:val="none" w:sz="0" w:space="0" w:color="auto"/>
        <w:left w:val="none" w:sz="0" w:space="0" w:color="auto"/>
        <w:bottom w:val="none" w:sz="0" w:space="0" w:color="auto"/>
        <w:right w:val="none" w:sz="0" w:space="0" w:color="auto"/>
      </w:divBdr>
    </w:div>
    <w:div w:id="1424719164">
      <w:bodyDiv w:val="1"/>
      <w:marLeft w:val="0"/>
      <w:marRight w:val="0"/>
      <w:marTop w:val="0"/>
      <w:marBottom w:val="0"/>
      <w:divBdr>
        <w:top w:val="none" w:sz="0" w:space="0" w:color="auto"/>
        <w:left w:val="none" w:sz="0" w:space="0" w:color="auto"/>
        <w:bottom w:val="none" w:sz="0" w:space="0" w:color="auto"/>
        <w:right w:val="none" w:sz="0" w:space="0" w:color="auto"/>
      </w:divBdr>
    </w:div>
    <w:div w:id="1433817084">
      <w:bodyDiv w:val="1"/>
      <w:marLeft w:val="0"/>
      <w:marRight w:val="0"/>
      <w:marTop w:val="0"/>
      <w:marBottom w:val="0"/>
      <w:divBdr>
        <w:top w:val="none" w:sz="0" w:space="0" w:color="auto"/>
        <w:left w:val="none" w:sz="0" w:space="0" w:color="auto"/>
        <w:bottom w:val="none" w:sz="0" w:space="0" w:color="auto"/>
        <w:right w:val="none" w:sz="0" w:space="0" w:color="auto"/>
      </w:divBdr>
    </w:div>
    <w:div w:id="1450709531">
      <w:bodyDiv w:val="1"/>
      <w:marLeft w:val="0"/>
      <w:marRight w:val="0"/>
      <w:marTop w:val="0"/>
      <w:marBottom w:val="0"/>
      <w:divBdr>
        <w:top w:val="none" w:sz="0" w:space="0" w:color="auto"/>
        <w:left w:val="none" w:sz="0" w:space="0" w:color="auto"/>
        <w:bottom w:val="none" w:sz="0" w:space="0" w:color="auto"/>
        <w:right w:val="none" w:sz="0" w:space="0" w:color="auto"/>
      </w:divBdr>
    </w:div>
    <w:div w:id="1463963276">
      <w:bodyDiv w:val="1"/>
      <w:marLeft w:val="0"/>
      <w:marRight w:val="0"/>
      <w:marTop w:val="0"/>
      <w:marBottom w:val="0"/>
      <w:divBdr>
        <w:top w:val="none" w:sz="0" w:space="0" w:color="auto"/>
        <w:left w:val="none" w:sz="0" w:space="0" w:color="auto"/>
        <w:bottom w:val="none" w:sz="0" w:space="0" w:color="auto"/>
        <w:right w:val="none" w:sz="0" w:space="0" w:color="auto"/>
      </w:divBdr>
    </w:div>
    <w:div w:id="1517303401">
      <w:bodyDiv w:val="1"/>
      <w:marLeft w:val="0"/>
      <w:marRight w:val="0"/>
      <w:marTop w:val="0"/>
      <w:marBottom w:val="0"/>
      <w:divBdr>
        <w:top w:val="none" w:sz="0" w:space="0" w:color="auto"/>
        <w:left w:val="none" w:sz="0" w:space="0" w:color="auto"/>
        <w:bottom w:val="none" w:sz="0" w:space="0" w:color="auto"/>
        <w:right w:val="none" w:sz="0" w:space="0" w:color="auto"/>
      </w:divBdr>
    </w:div>
    <w:div w:id="1527979678">
      <w:bodyDiv w:val="1"/>
      <w:marLeft w:val="0"/>
      <w:marRight w:val="0"/>
      <w:marTop w:val="0"/>
      <w:marBottom w:val="0"/>
      <w:divBdr>
        <w:top w:val="none" w:sz="0" w:space="0" w:color="auto"/>
        <w:left w:val="none" w:sz="0" w:space="0" w:color="auto"/>
        <w:bottom w:val="none" w:sz="0" w:space="0" w:color="auto"/>
        <w:right w:val="none" w:sz="0" w:space="0" w:color="auto"/>
      </w:divBdr>
    </w:div>
    <w:div w:id="1528518936">
      <w:bodyDiv w:val="1"/>
      <w:marLeft w:val="0"/>
      <w:marRight w:val="0"/>
      <w:marTop w:val="0"/>
      <w:marBottom w:val="0"/>
      <w:divBdr>
        <w:top w:val="none" w:sz="0" w:space="0" w:color="auto"/>
        <w:left w:val="none" w:sz="0" w:space="0" w:color="auto"/>
        <w:bottom w:val="none" w:sz="0" w:space="0" w:color="auto"/>
        <w:right w:val="none" w:sz="0" w:space="0" w:color="auto"/>
      </w:divBdr>
    </w:div>
    <w:div w:id="1544947400">
      <w:bodyDiv w:val="1"/>
      <w:marLeft w:val="0"/>
      <w:marRight w:val="0"/>
      <w:marTop w:val="0"/>
      <w:marBottom w:val="0"/>
      <w:divBdr>
        <w:top w:val="none" w:sz="0" w:space="0" w:color="auto"/>
        <w:left w:val="none" w:sz="0" w:space="0" w:color="auto"/>
        <w:bottom w:val="none" w:sz="0" w:space="0" w:color="auto"/>
        <w:right w:val="none" w:sz="0" w:space="0" w:color="auto"/>
      </w:divBdr>
    </w:div>
    <w:div w:id="1566062593">
      <w:bodyDiv w:val="1"/>
      <w:marLeft w:val="0"/>
      <w:marRight w:val="0"/>
      <w:marTop w:val="0"/>
      <w:marBottom w:val="0"/>
      <w:divBdr>
        <w:top w:val="none" w:sz="0" w:space="0" w:color="auto"/>
        <w:left w:val="none" w:sz="0" w:space="0" w:color="auto"/>
        <w:bottom w:val="none" w:sz="0" w:space="0" w:color="auto"/>
        <w:right w:val="none" w:sz="0" w:space="0" w:color="auto"/>
      </w:divBdr>
    </w:div>
    <w:div w:id="1573003140">
      <w:bodyDiv w:val="1"/>
      <w:marLeft w:val="0"/>
      <w:marRight w:val="0"/>
      <w:marTop w:val="0"/>
      <w:marBottom w:val="0"/>
      <w:divBdr>
        <w:top w:val="none" w:sz="0" w:space="0" w:color="auto"/>
        <w:left w:val="none" w:sz="0" w:space="0" w:color="auto"/>
        <w:bottom w:val="none" w:sz="0" w:space="0" w:color="auto"/>
        <w:right w:val="none" w:sz="0" w:space="0" w:color="auto"/>
      </w:divBdr>
    </w:div>
    <w:div w:id="1603950014">
      <w:bodyDiv w:val="1"/>
      <w:marLeft w:val="0"/>
      <w:marRight w:val="0"/>
      <w:marTop w:val="0"/>
      <w:marBottom w:val="0"/>
      <w:divBdr>
        <w:top w:val="none" w:sz="0" w:space="0" w:color="auto"/>
        <w:left w:val="none" w:sz="0" w:space="0" w:color="auto"/>
        <w:bottom w:val="none" w:sz="0" w:space="0" w:color="auto"/>
        <w:right w:val="none" w:sz="0" w:space="0" w:color="auto"/>
      </w:divBdr>
    </w:div>
    <w:div w:id="1610311923">
      <w:bodyDiv w:val="1"/>
      <w:marLeft w:val="0"/>
      <w:marRight w:val="0"/>
      <w:marTop w:val="0"/>
      <w:marBottom w:val="0"/>
      <w:divBdr>
        <w:top w:val="none" w:sz="0" w:space="0" w:color="auto"/>
        <w:left w:val="none" w:sz="0" w:space="0" w:color="auto"/>
        <w:bottom w:val="none" w:sz="0" w:space="0" w:color="auto"/>
        <w:right w:val="none" w:sz="0" w:space="0" w:color="auto"/>
      </w:divBdr>
    </w:div>
    <w:div w:id="1611937744">
      <w:bodyDiv w:val="1"/>
      <w:marLeft w:val="0"/>
      <w:marRight w:val="0"/>
      <w:marTop w:val="0"/>
      <w:marBottom w:val="0"/>
      <w:divBdr>
        <w:top w:val="none" w:sz="0" w:space="0" w:color="auto"/>
        <w:left w:val="none" w:sz="0" w:space="0" w:color="auto"/>
        <w:bottom w:val="none" w:sz="0" w:space="0" w:color="auto"/>
        <w:right w:val="none" w:sz="0" w:space="0" w:color="auto"/>
      </w:divBdr>
    </w:div>
    <w:div w:id="1616517864">
      <w:bodyDiv w:val="1"/>
      <w:marLeft w:val="0"/>
      <w:marRight w:val="0"/>
      <w:marTop w:val="0"/>
      <w:marBottom w:val="0"/>
      <w:divBdr>
        <w:top w:val="none" w:sz="0" w:space="0" w:color="auto"/>
        <w:left w:val="none" w:sz="0" w:space="0" w:color="auto"/>
        <w:bottom w:val="none" w:sz="0" w:space="0" w:color="auto"/>
        <w:right w:val="none" w:sz="0" w:space="0" w:color="auto"/>
      </w:divBdr>
    </w:div>
    <w:div w:id="1640766014">
      <w:bodyDiv w:val="1"/>
      <w:marLeft w:val="0"/>
      <w:marRight w:val="0"/>
      <w:marTop w:val="0"/>
      <w:marBottom w:val="0"/>
      <w:divBdr>
        <w:top w:val="none" w:sz="0" w:space="0" w:color="auto"/>
        <w:left w:val="none" w:sz="0" w:space="0" w:color="auto"/>
        <w:bottom w:val="none" w:sz="0" w:space="0" w:color="auto"/>
        <w:right w:val="none" w:sz="0" w:space="0" w:color="auto"/>
      </w:divBdr>
    </w:div>
    <w:div w:id="1682512669">
      <w:bodyDiv w:val="1"/>
      <w:marLeft w:val="0"/>
      <w:marRight w:val="0"/>
      <w:marTop w:val="0"/>
      <w:marBottom w:val="0"/>
      <w:divBdr>
        <w:top w:val="none" w:sz="0" w:space="0" w:color="auto"/>
        <w:left w:val="none" w:sz="0" w:space="0" w:color="auto"/>
        <w:bottom w:val="none" w:sz="0" w:space="0" w:color="auto"/>
        <w:right w:val="none" w:sz="0" w:space="0" w:color="auto"/>
      </w:divBdr>
    </w:div>
    <w:div w:id="1709799722">
      <w:bodyDiv w:val="1"/>
      <w:marLeft w:val="0"/>
      <w:marRight w:val="0"/>
      <w:marTop w:val="0"/>
      <w:marBottom w:val="0"/>
      <w:divBdr>
        <w:top w:val="none" w:sz="0" w:space="0" w:color="auto"/>
        <w:left w:val="none" w:sz="0" w:space="0" w:color="auto"/>
        <w:bottom w:val="none" w:sz="0" w:space="0" w:color="auto"/>
        <w:right w:val="none" w:sz="0" w:space="0" w:color="auto"/>
      </w:divBdr>
    </w:div>
    <w:div w:id="1771194679">
      <w:bodyDiv w:val="1"/>
      <w:marLeft w:val="0"/>
      <w:marRight w:val="0"/>
      <w:marTop w:val="0"/>
      <w:marBottom w:val="0"/>
      <w:divBdr>
        <w:top w:val="none" w:sz="0" w:space="0" w:color="auto"/>
        <w:left w:val="none" w:sz="0" w:space="0" w:color="auto"/>
        <w:bottom w:val="none" w:sz="0" w:space="0" w:color="auto"/>
        <w:right w:val="none" w:sz="0" w:space="0" w:color="auto"/>
      </w:divBdr>
    </w:div>
    <w:div w:id="1778212693">
      <w:bodyDiv w:val="1"/>
      <w:marLeft w:val="0"/>
      <w:marRight w:val="0"/>
      <w:marTop w:val="0"/>
      <w:marBottom w:val="0"/>
      <w:divBdr>
        <w:top w:val="none" w:sz="0" w:space="0" w:color="auto"/>
        <w:left w:val="none" w:sz="0" w:space="0" w:color="auto"/>
        <w:bottom w:val="none" w:sz="0" w:space="0" w:color="auto"/>
        <w:right w:val="none" w:sz="0" w:space="0" w:color="auto"/>
      </w:divBdr>
    </w:div>
    <w:div w:id="1882741630">
      <w:bodyDiv w:val="1"/>
      <w:marLeft w:val="0"/>
      <w:marRight w:val="0"/>
      <w:marTop w:val="0"/>
      <w:marBottom w:val="0"/>
      <w:divBdr>
        <w:top w:val="none" w:sz="0" w:space="0" w:color="auto"/>
        <w:left w:val="none" w:sz="0" w:space="0" w:color="auto"/>
        <w:bottom w:val="none" w:sz="0" w:space="0" w:color="auto"/>
        <w:right w:val="none" w:sz="0" w:space="0" w:color="auto"/>
      </w:divBdr>
    </w:div>
    <w:div w:id="1886870750">
      <w:bodyDiv w:val="1"/>
      <w:marLeft w:val="0"/>
      <w:marRight w:val="0"/>
      <w:marTop w:val="0"/>
      <w:marBottom w:val="0"/>
      <w:divBdr>
        <w:top w:val="none" w:sz="0" w:space="0" w:color="auto"/>
        <w:left w:val="none" w:sz="0" w:space="0" w:color="auto"/>
        <w:bottom w:val="none" w:sz="0" w:space="0" w:color="auto"/>
        <w:right w:val="none" w:sz="0" w:space="0" w:color="auto"/>
      </w:divBdr>
    </w:div>
    <w:div w:id="1886942098">
      <w:bodyDiv w:val="1"/>
      <w:marLeft w:val="0"/>
      <w:marRight w:val="0"/>
      <w:marTop w:val="0"/>
      <w:marBottom w:val="0"/>
      <w:divBdr>
        <w:top w:val="none" w:sz="0" w:space="0" w:color="auto"/>
        <w:left w:val="none" w:sz="0" w:space="0" w:color="auto"/>
        <w:bottom w:val="none" w:sz="0" w:space="0" w:color="auto"/>
        <w:right w:val="none" w:sz="0" w:space="0" w:color="auto"/>
      </w:divBdr>
    </w:div>
    <w:div w:id="1925071061">
      <w:bodyDiv w:val="1"/>
      <w:marLeft w:val="0"/>
      <w:marRight w:val="0"/>
      <w:marTop w:val="0"/>
      <w:marBottom w:val="0"/>
      <w:divBdr>
        <w:top w:val="none" w:sz="0" w:space="0" w:color="auto"/>
        <w:left w:val="none" w:sz="0" w:space="0" w:color="auto"/>
        <w:bottom w:val="none" w:sz="0" w:space="0" w:color="auto"/>
        <w:right w:val="none" w:sz="0" w:space="0" w:color="auto"/>
      </w:divBdr>
    </w:div>
    <w:div w:id="1929315431">
      <w:bodyDiv w:val="1"/>
      <w:marLeft w:val="0"/>
      <w:marRight w:val="0"/>
      <w:marTop w:val="0"/>
      <w:marBottom w:val="0"/>
      <w:divBdr>
        <w:top w:val="none" w:sz="0" w:space="0" w:color="auto"/>
        <w:left w:val="none" w:sz="0" w:space="0" w:color="auto"/>
        <w:bottom w:val="none" w:sz="0" w:space="0" w:color="auto"/>
        <w:right w:val="none" w:sz="0" w:space="0" w:color="auto"/>
      </w:divBdr>
      <w:divsChild>
        <w:div w:id="523593778">
          <w:marLeft w:val="0"/>
          <w:marRight w:val="0"/>
          <w:marTop w:val="0"/>
          <w:marBottom w:val="0"/>
          <w:divBdr>
            <w:top w:val="none" w:sz="0" w:space="0" w:color="auto"/>
            <w:left w:val="none" w:sz="0" w:space="0" w:color="auto"/>
            <w:bottom w:val="none" w:sz="0" w:space="0" w:color="auto"/>
            <w:right w:val="none" w:sz="0" w:space="0" w:color="auto"/>
          </w:divBdr>
          <w:divsChild>
            <w:div w:id="662122403">
              <w:marLeft w:val="0"/>
              <w:marRight w:val="0"/>
              <w:marTop w:val="0"/>
              <w:marBottom w:val="0"/>
              <w:divBdr>
                <w:top w:val="none" w:sz="0" w:space="0" w:color="auto"/>
                <w:left w:val="none" w:sz="0" w:space="0" w:color="auto"/>
                <w:bottom w:val="none" w:sz="0" w:space="0" w:color="auto"/>
                <w:right w:val="none" w:sz="0" w:space="0" w:color="auto"/>
              </w:divBdr>
              <w:divsChild>
                <w:div w:id="11096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80365">
      <w:bodyDiv w:val="1"/>
      <w:marLeft w:val="0"/>
      <w:marRight w:val="0"/>
      <w:marTop w:val="0"/>
      <w:marBottom w:val="0"/>
      <w:divBdr>
        <w:top w:val="none" w:sz="0" w:space="0" w:color="auto"/>
        <w:left w:val="none" w:sz="0" w:space="0" w:color="auto"/>
        <w:bottom w:val="none" w:sz="0" w:space="0" w:color="auto"/>
        <w:right w:val="none" w:sz="0" w:space="0" w:color="auto"/>
      </w:divBdr>
    </w:div>
    <w:div w:id="1943299808">
      <w:bodyDiv w:val="1"/>
      <w:marLeft w:val="0"/>
      <w:marRight w:val="0"/>
      <w:marTop w:val="0"/>
      <w:marBottom w:val="0"/>
      <w:divBdr>
        <w:top w:val="none" w:sz="0" w:space="0" w:color="auto"/>
        <w:left w:val="none" w:sz="0" w:space="0" w:color="auto"/>
        <w:bottom w:val="none" w:sz="0" w:space="0" w:color="auto"/>
        <w:right w:val="none" w:sz="0" w:space="0" w:color="auto"/>
      </w:divBdr>
    </w:div>
    <w:div w:id="1964924282">
      <w:bodyDiv w:val="1"/>
      <w:marLeft w:val="0"/>
      <w:marRight w:val="0"/>
      <w:marTop w:val="0"/>
      <w:marBottom w:val="0"/>
      <w:divBdr>
        <w:top w:val="none" w:sz="0" w:space="0" w:color="auto"/>
        <w:left w:val="none" w:sz="0" w:space="0" w:color="auto"/>
        <w:bottom w:val="none" w:sz="0" w:space="0" w:color="auto"/>
        <w:right w:val="none" w:sz="0" w:space="0" w:color="auto"/>
      </w:divBdr>
    </w:div>
    <w:div w:id="1971157688">
      <w:bodyDiv w:val="1"/>
      <w:marLeft w:val="0"/>
      <w:marRight w:val="0"/>
      <w:marTop w:val="0"/>
      <w:marBottom w:val="0"/>
      <w:divBdr>
        <w:top w:val="none" w:sz="0" w:space="0" w:color="auto"/>
        <w:left w:val="none" w:sz="0" w:space="0" w:color="auto"/>
        <w:bottom w:val="none" w:sz="0" w:space="0" w:color="auto"/>
        <w:right w:val="none" w:sz="0" w:space="0" w:color="auto"/>
      </w:divBdr>
    </w:div>
    <w:div w:id="2008512957">
      <w:bodyDiv w:val="1"/>
      <w:marLeft w:val="0"/>
      <w:marRight w:val="0"/>
      <w:marTop w:val="0"/>
      <w:marBottom w:val="0"/>
      <w:divBdr>
        <w:top w:val="none" w:sz="0" w:space="0" w:color="auto"/>
        <w:left w:val="none" w:sz="0" w:space="0" w:color="auto"/>
        <w:bottom w:val="none" w:sz="0" w:space="0" w:color="auto"/>
        <w:right w:val="none" w:sz="0" w:space="0" w:color="auto"/>
      </w:divBdr>
    </w:div>
    <w:div w:id="2014720088">
      <w:bodyDiv w:val="1"/>
      <w:marLeft w:val="0"/>
      <w:marRight w:val="0"/>
      <w:marTop w:val="0"/>
      <w:marBottom w:val="0"/>
      <w:divBdr>
        <w:top w:val="none" w:sz="0" w:space="0" w:color="auto"/>
        <w:left w:val="none" w:sz="0" w:space="0" w:color="auto"/>
        <w:bottom w:val="none" w:sz="0" w:space="0" w:color="auto"/>
        <w:right w:val="none" w:sz="0" w:space="0" w:color="auto"/>
      </w:divBdr>
    </w:div>
    <w:div w:id="2023431571">
      <w:bodyDiv w:val="1"/>
      <w:marLeft w:val="0"/>
      <w:marRight w:val="0"/>
      <w:marTop w:val="0"/>
      <w:marBottom w:val="0"/>
      <w:divBdr>
        <w:top w:val="none" w:sz="0" w:space="0" w:color="auto"/>
        <w:left w:val="none" w:sz="0" w:space="0" w:color="auto"/>
        <w:bottom w:val="none" w:sz="0" w:space="0" w:color="auto"/>
        <w:right w:val="none" w:sz="0" w:space="0" w:color="auto"/>
      </w:divBdr>
    </w:div>
    <w:div w:id="2038311820">
      <w:bodyDiv w:val="1"/>
      <w:marLeft w:val="0"/>
      <w:marRight w:val="0"/>
      <w:marTop w:val="0"/>
      <w:marBottom w:val="0"/>
      <w:divBdr>
        <w:top w:val="none" w:sz="0" w:space="0" w:color="auto"/>
        <w:left w:val="none" w:sz="0" w:space="0" w:color="auto"/>
        <w:bottom w:val="none" w:sz="0" w:space="0" w:color="auto"/>
        <w:right w:val="none" w:sz="0" w:space="0" w:color="auto"/>
      </w:divBdr>
    </w:div>
    <w:div w:id="2067147556">
      <w:bodyDiv w:val="1"/>
      <w:marLeft w:val="0"/>
      <w:marRight w:val="0"/>
      <w:marTop w:val="0"/>
      <w:marBottom w:val="0"/>
      <w:divBdr>
        <w:top w:val="none" w:sz="0" w:space="0" w:color="auto"/>
        <w:left w:val="none" w:sz="0" w:space="0" w:color="auto"/>
        <w:bottom w:val="none" w:sz="0" w:space="0" w:color="auto"/>
        <w:right w:val="none" w:sz="0" w:space="0" w:color="auto"/>
      </w:divBdr>
    </w:div>
    <w:div w:id="2072076732">
      <w:bodyDiv w:val="1"/>
      <w:marLeft w:val="0"/>
      <w:marRight w:val="0"/>
      <w:marTop w:val="0"/>
      <w:marBottom w:val="0"/>
      <w:divBdr>
        <w:top w:val="none" w:sz="0" w:space="0" w:color="auto"/>
        <w:left w:val="none" w:sz="0" w:space="0" w:color="auto"/>
        <w:bottom w:val="none" w:sz="0" w:space="0" w:color="auto"/>
        <w:right w:val="none" w:sz="0" w:space="0" w:color="auto"/>
      </w:divBdr>
    </w:div>
    <w:div w:id="2076707303">
      <w:bodyDiv w:val="1"/>
      <w:marLeft w:val="0"/>
      <w:marRight w:val="0"/>
      <w:marTop w:val="0"/>
      <w:marBottom w:val="0"/>
      <w:divBdr>
        <w:top w:val="none" w:sz="0" w:space="0" w:color="auto"/>
        <w:left w:val="none" w:sz="0" w:space="0" w:color="auto"/>
        <w:bottom w:val="none" w:sz="0" w:space="0" w:color="auto"/>
        <w:right w:val="none" w:sz="0" w:space="0" w:color="auto"/>
      </w:divBdr>
    </w:div>
    <w:div w:id="2106610829">
      <w:bodyDiv w:val="1"/>
      <w:marLeft w:val="0"/>
      <w:marRight w:val="0"/>
      <w:marTop w:val="0"/>
      <w:marBottom w:val="0"/>
      <w:divBdr>
        <w:top w:val="none" w:sz="0" w:space="0" w:color="auto"/>
        <w:left w:val="none" w:sz="0" w:space="0" w:color="auto"/>
        <w:bottom w:val="none" w:sz="0" w:space="0" w:color="auto"/>
        <w:right w:val="none" w:sz="0" w:space="0" w:color="auto"/>
      </w:divBdr>
    </w:div>
    <w:div w:id="2111270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file:////ad.ucl.ac.uk/var/folders/t8/kjcqncgj3m357blrgnhrgjxc0000gn/T/com.microsoft.Word/WebArchiveCopyPasteTempFiles/10-1055-s-0035-1569846-i320ei3.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file:////var/folders/t8/kjcqncgj3m357blrgnhrgjxc0000gn/T/com.microsoft.Word/WebArchiveCopyPasteTempFiles/10-1055-s-0035-1569846-i320ei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9F24B-9D7E-4723-BCD8-0EC658F5C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23944</Words>
  <Characters>136484</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160108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McGoran</dc:creator>
  <cp:lastModifiedBy>User</cp:lastModifiedBy>
  <cp:revision>3</cp:revision>
  <dcterms:created xsi:type="dcterms:W3CDTF">2019-07-02T04:30:00Z</dcterms:created>
  <dcterms:modified xsi:type="dcterms:W3CDTF">2019-08-14T09:05:00Z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0058fd2f-3847-3301-b4c0-620ed0f36b96</vt:lpwstr>
  </property>
  <property fmtid="{D5CDD505-2E9C-101B-9397-08002B2CF9AE}" pid="24" name="Mendeley Citation Style_1">
    <vt:lpwstr>http://www.zotero.org/styles/vancouver</vt:lpwstr>
  </property>
</Properties>
</file>