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61" w:rsidRPr="00DB4BFE" w:rsidRDefault="007E0261" w:rsidP="00135736">
      <w:pPr>
        <w:adjustRightInd w:val="0"/>
        <w:snapToGrid w:val="0"/>
        <w:spacing w:line="360" w:lineRule="auto"/>
        <w:rPr>
          <w:rFonts w:ascii="Book Antiqua" w:eastAsia="Times New Roman" w:hAnsi="Book Antiqua" w:cs="宋体"/>
          <w:b/>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GoBack"/>
      <w:bookmarkEnd w:id="8"/>
      <w:r w:rsidRPr="00DB4BFE">
        <w:rPr>
          <w:rFonts w:ascii="Book Antiqua" w:eastAsia="Times New Roman" w:hAnsi="Book Antiqua" w:cs="宋体"/>
          <w:b/>
          <w:color w:val="000000"/>
          <w:sz w:val="24"/>
          <w:szCs w:val="24"/>
        </w:rPr>
        <w:t xml:space="preserve">Name of Journal: </w:t>
      </w:r>
      <w:r w:rsidR="008E546A" w:rsidRPr="00DB4BFE">
        <w:rPr>
          <w:rFonts w:ascii="Book Antiqua" w:hAnsi="Book Antiqua" w:cs="Arial"/>
          <w:b/>
          <w:bCs/>
          <w:i/>
          <w:color w:val="000000"/>
          <w:sz w:val="24"/>
          <w:szCs w:val="24"/>
        </w:rPr>
        <w:t>World Journal of Gastroenterology</w:t>
      </w:r>
    </w:p>
    <w:p w:rsidR="007E0261" w:rsidRPr="00DB4BFE" w:rsidRDefault="007E0261" w:rsidP="00135736">
      <w:pPr>
        <w:adjustRightInd w:val="0"/>
        <w:snapToGrid w:val="0"/>
        <w:spacing w:line="360" w:lineRule="auto"/>
        <w:rPr>
          <w:rFonts w:ascii="Book Antiqua" w:hAnsi="Book Antiqua" w:cs="Arial"/>
          <w:b/>
          <w:color w:val="000000"/>
          <w:sz w:val="24"/>
          <w:szCs w:val="24"/>
          <w:lang w:val="en"/>
        </w:rPr>
      </w:pPr>
      <w:r w:rsidRPr="00DB4BFE">
        <w:rPr>
          <w:rFonts w:ascii="Book Antiqua" w:eastAsia="Times New Roman" w:hAnsi="Book Antiqua"/>
          <w:b/>
          <w:bCs/>
          <w:color w:val="000000"/>
          <w:sz w:val="24"/>
          <w:szCs w:val="24"/>
        </w:rPr>
        <w:t>Manuscript NO</w:t>
      </w:r>
      <w:r w:rsidRPr="00DB4BFE">
        <w:rPr>
          <w:rFonts w:ascii="Book Antiqua" w:hAnsi="Book Antiqua" w:cs="Arial"/>
          <w:b/>
          <w:color w:val="000000"/>
          <w:sz w:val="24"/>
          <w:szCs w:val="24"/>
          <w:lang w:val="en"/>
        </w:rPr>
        <w:t xml:space="preserve">: </w:t>
      </w:r>
      <w:r w:rsidR="008E546A" w:rsidRPr="00DB4BFE">
        <w:rPr>
          <w:rFonts w:ascii="Book Antiqua" w:hAnsi="Book Antiqua" w:cs="Arial"/>
          <w:b/>
          <w:bCs/>
          <w:color w:val="000000"/>
          <w:sz w:val="24"/>
          <w:szCs w:val="24"/>
        </w:rPr>
        <w:t>47395</w:t>
      </w:r>
    </w:p>
    <w:p w:rsidR="007E0261" w:rsidRPr="00DB4BFE" w:rsidRDefault="007E0261" w:rsidP="00135736">
      <w:pPr>
        <w:spacing w:line="360" w:lineRule="auto"/>
        <w:rPr>
          <w:rFonts w:ascii="Book Antiqua" w:hAnsi="Book Antiqua" w:cs="Arial"/>
          <w:b/>
          <w:bCs/>
          <w:color w:val="000000"/>
          <w:sz w:val="24"/>
          <w:szCs w:val="24"/>
        </w:rPr>
      </w:pPr>
      <w:r w:rsidRPr="00DB4BFE">
        <w:rPr>
          <w:rFonts w:ascii="Book Antiqua" w:hAnsi="Book Antiqua"/>
          <w:b/>
          <w:color w:val="000000"/>
          <w:sz w:val="24"/>
          <w:szCs w:val="24"/>
          <w:shd w:val="clear" w:color="auto" w:fill="FFFFFF"/>
        </w:rPr>
        <w:t>Manuscript Type</w:t>
      </w:r>
      <w:r w:rsidRPr="00DB4BFE">
        <w:rPr>
          <w:rFonts w:ascii="Book Antiqua" w:hAnsi="Book Antiqua"/>
          <w:b/>
          <w:color w:val="000000"/>
          <w:sz w:val="24"/>
          <w:szCs w:val="24"/>
        </w:rPr>
        <w:t>:</w:t>
      </w:r>
      <w:bookmarkEnd w:id="0"/>
      <w:bookmarkEnd w:id="1"/>
      <w:bookmarkEnd w:id="2"/>
      <w:bookmarkEnd w:id="3"/>
      <w:bookmarkEnd w:id="4"/>
      <w:bookmarkEnd w:id="5"/>
      <w:bookmarkEnd w:id="6"/>
      <w:bookmarkEnd w:id="7"/>
      <w:r w:rsidR="008E546A" w:rsidRPr="00DB4BFE">
        <w:rPr>
          <w:rFonts w:ascii="Book Antiqua" w:hAnsi="Book Antiqua"/>
          <w:b/>
          <w:color w:val="000000"/>
          <w:sz w:val="24"/>
          <w:szCs w:val="24"/>
        </w:rPr>
        <w:t xml:space="preserve"> </w:t>
      </w:r>
      <w:r w:rsidR="00135736" w:rsidRPr="00DB4BFE">
        <w:rPr>
          <w:rFonts w:ascii="Book Antiqua" w:hAnsi="Book Antiqua"/>
          <w:b/>
          <w:color w:val="000000"/>
          <w:sz w:val="24"/>
          <w:szCs w:val="24"/>
        </w:rPr>
        <w:t>ORIGINAL ARTICLE</w:t>
      </w:r>
    </w:p>
    <w:p w:rsidR="007E0261" w:rsidRPr="00DB4BFE" w:rsidRDefault="007E0261" w:rsidP="00135736">
      <w:pPr>
        <w:spacing w:line="360" w:lineRule="auto"/>
        <w:rPr>
          <w:rFonts w:ascii="Book Antiqua" w:hAnsi="Book Antiqua"/>
          <w:b/>
          <w:color w:val="000000"/>
          <w:sz w:val="24"/>
          <w:szCs w:val="24"/>
        </w:rPr>
      </w:pPr>
    </w:p>
    <w:p w:rsidR="00135736" w:rsidRPr="00DB4BFE" w:rsidRDefault="00135736" w:rsidP="00135736">
      <w:pPr>
        <w:spacing w:line="360" w:lineRule="auto"/>
        <w:rPr>
          <w:rFonts w:ascii="Book Antiqua" w:hAnsi="Book Antiqua" w:hint="eastAsia"/>
          <w:b/>
          <w:i/>
          <w:color w:val="000000"/>
          <w:sz w:val="24"/>
          <w:szCs w:val="24"/>
        </w:rPr>
      </w:pPr>
      <w:r w:rsidRPr="00DB4BFE">
        <w:rPr>
          <w:rFonts w:ascii="Book Antiqua" w:hAnsi="Book Antiqua" w:cs="Arial"/>
          <w:b/>
          <w:bCs/>
          <w:i/>
          <w:color w:val="000000"/>
          <w:sz w:val="24"/>
          <w:szCs w:val="24"/>
        </w:rPr>
        <w:t>Clinical Trials Study</w:t>
      </w:r>
    </w:p>
    <w:p w:rsidR="007E0261" w:rsidRPr="006A23C4" w:rsidRDefault="008E546A" w:rsidP="00135736">
      <w:pPr>
        <w:spacing w:line="360" w:lineRule="auto"/>
        <w:rPr>
          <w:rFonts w:ascii="Book Antiqua" w:hAnsi="Book Antiqua"/>
          <w:b/>
          <w:color w:val="000000"/>
          <w:sz w:val="24"/>
          <w:szCs w:val="24"/>
        </w:rPr>
      </w:pPr>
      <w:bookmarkStart w:id="9" w:name="OLE_LINK9"/>
      <w:r w:rsidRPr="006A23C4">
        <w:rPr>
          <w:rFonts w:ascii="Book Antiqua" w:hAnsi="Book Antiqua"/>
          <w:b/>
          <w:color w:val="000000"/>
          <w:sz w:val="24"/>
          <w:szCs w:val="24"/>
        </w:rPr>
        <w:t xml:space="preserve">Effects of early enteral nutrition on Th17/Treg </w:t>
      </w:r>
      <w:r w:rsidR="00A167B3">
        <w:rPr>
          <w:rFonts w:ascii="Book Antiqua" w:hAnsi="Book Antiqua"/>
          <w:b/>
          <w:color w:val="000000"/>
          <w:sz w:val="24"/>
          <w:szCs w:val="24"/>
        </w:rPr>
        <w:t xml:space="preserve">cells </w:t>
      </w:r>
      <w:r w:rsidRPr="006A23C4">
        <w:rPr>
          <w:rFonts w:ascii="Book Antiqua" w:hAnsi="Book Antiqua"/>
          <w:b/>
          <w:color w:val="000000"/>
          <w:sz w:val="24"/>
          <w:szCs w:val="24"/>
        </w:rPr>
        <w:t>and IL-23/IL-17 in septic patients</w:t>
      </w:r>
    </w:p>
    <w:bookmarkEnd w:id="9"/>
    <w:p w:rsidR="007E0261" w:rsidRPr="006A23C4" w:rsidRDefault="007E0261" w:rsidP="00135736">
      <w:pPr>
        <w:spacing w:line="360" w:lineRule="auto"/>
        <w:rPr>
          <w:rFonts w:ascii="Book Antiqua" w:hAnsi="Book Antiqua"/>
          <w:b/>
          <w:color w:val="000000"/>
          <w:sz w:val="24"/>
          <w:szCs w:val="24"/>
        </w:rPr>
      </w:pPr>
    </w:p>
    <w:p w:rsidR="007E0261" w:rsidRPr="006A23C4" w:rsidRDefault="00135736" w:rsidP="00135736">
      <w:pPr>
        <w:spacing w:line="360" w:lineRule="auto"/>
        <w:rPr>
          <w:rFonts w:ascii="Book Antiqua" w:hAnsi="Book Antiqua"/>
          <w:bCs/>
          <w:color w:val="000000"/>
          <w:sz w:val="24"/>
          <w:szCs w:val="24"/>
          <w:shd w:val="clear" w:color="auto" w:fill="FFFFFF"/>
        </w:rPr>
      </w:pPr>
      <w:r w:rsidRPr="006A23C4">
        <w:rPr>
          <w:rFonts w:ascii="Book Antiqua" w:hAnsi="Book Antiqua"/>
          <w:bCs/>
          <w:color w:val="000000"/>
          <w:sz w:val="24"/>
          <w:szCs w:val="24"/>
          <w:shd w:val="clear" w:color="auto" w:fill="FFFFFF"/>
        </w:rPr>
        <w:t xml:space="preserve">Sun JK </w:t>
      </w:r>
      <w:r w:rsidRPr="006A23C4">
        <w:rPr>
          <w:rFonts w:ascii="Book Antiqua" w:hAnsi="Book Antiqua"/>
          <w:bCs/>
          <w:i/>
          <w:color w:val="000000"/>
          <w:sz w:val="24"/>
          <w:szCs w:val="24"/>
          <w:shd w:val="clear" w:color="auto" w:fill="FFFFFF"/>
        </w:rPr>
        <w:t>et al</w:t>
      </w:r>
      <w:r w:rsidRPr="006A23C4">
        <w:rPr>
          <w:rFonts w:ascii="Book Antiqua" w:hAnsi="Book Antiqua"/>
          <w:bCs/>
          <w:color w:val="000000"/>
          <w:sz w:val="24"/>
          <w:szCs w:val="24"/>
          <w:shd w:val="clear" w:color="auto" w:fill="FFFFFF"/>
        </w:rPr>
        <w:t xml:space="preserve">. </w:t>
      </w:r>
      <w:bookmarkStart w:id="10" w:name="OLE_LINK10"/>
      <w:bookmarkStart w:id="11" w:name="OLE_LINK11"/>
      <w:r w:rsidR="008E546A" w:rsidRPr="006A23C4">
        <w:rPr>
          <w:rFonts w:ascii="Book Antiqua" w:hAnsi="Book Antiqua"/>
          <w:bCs/>
          <w:color w:val="000000"/>
          <w:sz w:val="24"/>
          <w:szCs w:val="24"/>
          <w:shd w:val="clear" w:color="auto" w:fill="FFFFFF"/>
        </w:rPr>
        <w:t xml:space="preserve">EEN and Th17/Treg </w:t>
      </w:r>
      <w:r w:rsidR="00A167B3">
        <w:rPr>
          <w:rFonts w:ascii="Book Antiqua" w:hAnsi="Book Antiqua"/>
          <w:bCs/>
          <w:color w:val="000000"/>
          <w:sz w:val="24"/>
          <w:szCs w:val="24"/>
          <w:shd w:val="clear" w:color="auto" w:fill="FFFFFF"/>
        </w:rPr>
        <w:t>cells in</w:t>
      </w:r>
      <w:r w:rsidR="00A167B3" w:rsidRPr="006A23C4">
        <w:rPr>
          <w:rFonts w:ascii="Book Antiqua" w:hAnsi="Book Antiqua"/>
          <w:bCs/>
          <w:color w:val="000000"/>
          <w:sz w:val="24"/>
          <w:szCs w:val="24"/>
          <w:shd w:val="clear" w:color="auto" w:fill="FFFFFF"/>
        </w:rPr>
        <w:t xml:space="preserve"> </w:t>
      </w:r>
      <w:r w:rsidR="008E546A" w:rsidRPr="006A23C4">
        <w:rPr>
          <w:rFonts w:ascii="Book Antiqua" w:hAnsi="Book Antiqua"/>
          <w:bCs/>
          <w:color w:val="000000"/>
          <w:sz w:val="24"/>
          <w:szCs w:val="24"/>
          <w:shd w:val="clear" w:color="auto" w:fill="FFFFFF"/>
        </w:rPr>
        <w:t>sepsis</w:t>
      </w:r>
      <w:bookmarkEnd w:id="10"/>
      <w:bookmarkEnd w:id="11"/>
    </w:p>
    <w:p w:rsidR="007E0261" w:rsidRPr="006A23C4" w:rsidRDefault="007E0261" w:rsidP="00135736">
      <w:pPr>
        <w:spacing w:line="360" w:lineRule="auto"/>
        <w:rPr>
          <w:rFonts w:ascii="Book Antiqua" w:hAnsi="Book Antiqua"/>
          <w:b/>
          <w:color w:val="000000"/>
          <w:sz w:val="24"/>
          <w:szCs w:val="24"/>
        </w:rPr>
      </w:pPr>
    </w:p>
    <w:p w:rsidR="007E0261" w:rsidRPr="006A23C4" w:rsidRDefault="008E546A"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Jia-Kui Sun, Wen-Hao Zhang</w:t>
      </w:r>
      <w:r w:rsidR="007E0261" w:rsidRPr="006A23C4">
        <w:rPr>
          <w:rFonts w:ascii="Book Antiqua" w:hAnsi="Book Antiqua"/>
          <w:color w:val="000000"/>
          <w:kern w:val="0"/>
          <w:sz w:val="24"/>
          <w:szCs w:val="24"/>
        </w:rPr>
        <w:t>, Wen-Xiu Chen, Xiang Wang, Xin-Wei Mu</w:t>
      </w:r>
    </w:p>
    <w:p w:rsidR="007E0261" w:rsidRPr="006A23C4" w:rsidRDefault="007E0261" w:rsidP="00135736">
      <w:pPr>
        <w:spacing w:line="360" w:lineRule="auto"/>
        <w:rPr>
          <w:rFonts w:ascii="Book Antiqua" w:hAnsi="Book Antiqua"/>
          <w:color w:val="000000"/>
          <w:kern w:val="0"/>
          <w:sz w:val="24"/>
          <w:szCs w:val="24"/>
        </w:rPr>
      </w:pPr>
    </w:p>
    <w:p w:rsidR="007E0261" w:rsidRPr="006A23C4" w:rsidRDefault="00135736" w:rsidP="00135736">
      <w:pPr>
        <w:spacing w:line="360" w:lineRule="auto"/>
        <w:rPr>
          <w:rFonts w:ascii="Book Antiqua" w:hAnsi="Book Antiqua"/>
          <w:b/>
          <w:color w:val="000000"/>
          <w:kern w:val="0"/>
          <w:sz w:val="24"/>
          <w:szCs w:val="24"/>
        </w:rPr>
      </w:pPr>
      <w:r w:rsidRPr="006A23C4">
        <w:rPr>
          <w:rFonts w:ascii="Book Antiqua" w:hAnsi="Book Antiqua"/>
          <w:b/>
          <w:color w:val="000000"/>
          <w:kern w:val="0"/>
          <w:sz w:val="24"/>
          <w:szCs w:val="24"/>
        </w:rPr>
        <w:t>Jia-Kui Sun, Wen-Hao Zhang, Wen-Xiu Chen, Xiang Wang, Xin-Wei Mu,</w:t>
      </w:r>
      <w:r w:rsidRPr="006A23C4">
        <w:rPr>
          <w:rFonts w:ascii="Book Antiqua" w:hAnsi="Book Antiqua" w:hint="eastAsia"/>
          <w:b/>
          <w:color w:val="000000"/>
          <w:kern w:val="0"/>
          <w:sz w:val="24"/>
          <w:szCs w:val="24"/>
        </w:rPr>
        <w:t xml:space="preserve"> </w:t>
      </w:r>
      <w:r w:rsidR="007E0261" w:rsidRPr="006A23C4">
        <w:rPr>
          <w:rFonts w:ascii="Book Antiqua" w:hAnsi="Book Antiqua"/>
          <w:bCs/>
          <w:color w:val="000000"/>
          <w:sz w:val="24"/>
          <w:szCs w:val="24"/>
          <w:shd w:val="clear" w:color="auto" w:fill="FFFFFF"/>
        </w:rPr>
        <w:t>Department of Intensive Care Unit, Nanjing First Hospital, Nanjing Medical University, Nanjing 210006, Jiangsu Province, China</w:t>
      </w:r>
    </w:p>
    <w:p w:rsidR="008E546A" w:rsidRPr="006A23C4" w:rsidRDefault="008E546A" w:rsidP="00135736">
      <w:pPr>
        <w:spacing w:line="360" w:lineRule="auto"/>
        <w:rPr>
          <w:rFonts w:ascii="Book Antiqua" w:hAnsi="Book Antiqua"/>
          <w:bCs/>
          <w:color w:val="000000"/>
          <w:sz w:val="24"/>
          <w:szCs w:val="24"/>
          <w:shd w:val="clear" w:color="auto" w:fill="FFFFFF"/>
        </w:rPr>
      </w:pPr>
    </w:p>
    <w:p w:rsidR="007E0261" w:rsidRPr="006A23C4" w:rsidRDefault="00135736" w:rsidP="00135736">
      <w:pPr>
        <w:spacing w:line="360" w:lineRule="auto"/>
        <w:rPr>
          <w:rFonts w:ascii="Book Antiqua" w:hAnsi="Book Antiqua"/>
          <w:bCs/>
          <w:color w:val="000000"/>
          <w:sz w:val="24"/>
          <w:szCs w:val="24"/>
          <w:shd w:val="clear" w:color="auto" w:fill="FFFFFF"/>
        </w:rPr>
      </w:pPr>
      <w:r w:rsidRPr="006A23C4">
        <w:rPr>
          <w:rFonts w:ascii="Book Antiqua" w:eastAsia="Times New Roman" w:hAnsi="Book Antiqua"/>
          <w:b/>
          <w:bCs/>
          <w:color w:val="000000"/>
          <w:kern w:val="0"/>
          <w:sz w:val="24"/>
          <w:szCs w:val="24"/>
          <w:shd w:val="clear" w:color="auto" w:fill="FFFFFF"/>
          <w:lang w:val="hu-HU" w:eastAsia="hu-HU"/>
        </w:rPr>
        <w:t>ORCID number</w:t>
      </w:r>
      <w:r w:rsidRPr="006A23C4">
        <w:rPr>
          <w:rFonts w:ascii="Book Antiqua" w:eastAsia="Times New Roman" w:hAnsi="Book Antiqua"/>
          <w:b/>
          <w:color w:val="000000"/>
          <w:kern w:val="0"/>
          <w:sz w:val="24"/>
          <w:szCs w:val="24"/>
          <w:lang w:val="en-GB" w:eastAsia="hu-HU"/>
        </w:rPr>
        <w:t xml:space="preserve">: </w:t>
      </w:r>
      <w:r w:rsidR="008E546A" w:rsidRPr="006A23C4">
        <w:rPr>
          <w:rFonts w:ascii="Book Antiqua" w:hAnsi="Book Antiqua"/>
          <w:bCs/>
          <w:color w:val="000000"/>
          <w:sz w:val="24"/>
          <w:szCs w:val="24"/>
          <w:shd w:val="clear" w:color="auto" w:fill="FFFFFF"/>
        </w:rPr>
        <w:t>Jia-Kui Sun (</w:t>
      </w:r>
      <w:hyperlink r:id="rId7" w:tgtFrame="_blank" w:history="1">
        <w:r w:rsidR="008E546A" w:rsidRPr="006A23C4">
          <w:rPr>
            <w:rFonts w:ascii="Book Antiqua" w:hAnsi="Book Antiqua"/>
            <w:bCs/>
            <w:color w:val="000000"/>
            <w:sz w:val="24"/>
            <w:szCs w:val="24"/>
            <w:shd w:val="clear" w:color="auto" w:fill="FFFFFF"/>
          </w:rPr>
          <w:t>0000-0002-1248-7974</w:t>
        </w:r>
      </w:hyperlink>
      <w:r w:rsidR="008E546A" w:rsidRPr="006A23C4">
        <w:rPr>
          <w:rFonts w:ascii="Book Antiqua" w:hAnsi="Book Antiqua"/>
          <w:bCs/>
          <w:color w:val="000000"/>
          <w:sz w:val="24"/>
          <w:szCs w:val="24"/>
          <w:shd w:val="clear" w:color="auto" w:fill="FFFFFF"/>
        </w:rPr>
        <w:t>)</w:t>
      </w:r>
      <w:r w:rsidR="009B35A5" w:rsidRPr="006A23C4">
        <w:rPr>
          <w:rFonts w:ascii="Book Antiqua" w:hAnsi="Book Antiqua"/>
          <w:bCs/>
          <w:color w:val="000000"/>
          <w:sz w:val="24"/>
          <w:szCs w:val="24"/>
          <w:shd w:val="clear" w:color="auto" w:fill="FFFFFF"/>
        </w:rPr>
        <w:t>;</w:t>
      </w:r>
      <w:r w:rsidR="008E546A" w:rsidRPr="006A23C4">
        <w:rPr>
          <w:rFonts w:ascii="Book Antiqua" w:hAnsi="Book Antiqua"/>
          <w:bCs/>
          <w:color w:val="000000"/>
          <w:sz w:val="24"/>
          <w:szCs w:val="24"/>
          <w:shd w:val="clear" w:color="auto" w:fill="FFFFFF"/>
        </w:rPr>
        <w:t xml:space="preserve"> Wen-Hao Zhang (</w:t>
      </w:r>
      <w:hyperlink r:id="rId8" w:tgtFrame="_blank" w:history="1">
        <w:r w:rsidR="008E546A" w:rsidRPr="006A23C4">
          <w:rPr>
            <w:rFonts w:ascii="Book Antiqua" w:hAnsi="Book Antiqua"/>
            <w:bCs/>
            <w:color w:val="000000"/>
            <w:sz w:val="24"/>
            <w:szCs w:val="24"/>
            <w:shd w:val="clear" w:color="auto" w:fill="FFFFFF"/>
          </w:rPr>
          <w:t>0000-0003-2708-2221</w:t>
        </w:r>
      </w:hyperlink>
      <w:r w:rsidR="008E546A" w:rsidRPr="006A23C4">
        <w:rPr>
          <w:rFonts w:ascii="Book Antiqua" w:hAnsi="Book Antiqua"/>
          <w:bCs/>
          <w:color w:val="000000"/>
          <w:sz w:val="24"/>
          <w:szCs w:val="24"/>
          <w:shd w:val="clear" w:color="auto" w:fill="FFFFFF"/>
        </w:rPr>
        <w:t>)</w:t>
      </w:r>
      <w:r w:rsidR="009B35A5" w:rsidRPr="006A23C4">
        <w:rPr>
          <w:rFonts w:ascii="Book Antiqua" w:hAnsi="Book Antiqua"/>
          <w:bCs/>
          <w:color w:val="000000"/>
          <w:sz w:val="24"/>
          <w:szCs w:val="24"/>
          <w:shd w:val="clear" w:color="auto" w:fill="FFFFFF"/>
        </w:rPr>
        <w:t>;</w:t>
      </w:r>
      <w:r w:rsidR="008E546A" w:rsidRPr="006A23C4">
        <w:rPr>
          <w:rFonts w:ascii="Book Antiqua" w:hAnsi="Book Antiqua"/>
          <w:bCs/>
          <w:color w:val="000000"/>
          <w:sz w:val="24"/>
          <w:szCs w:val="24"/>
          <w:shd w:val="clear" w:color="auto" w:fill="FFFFFF"/>
        </w:rPr>
        <w:t xml:space="preserve"> Wen-Xiu Chen (</w:t>
      </w:r>
      <w:hyperlink r:id="rId9" w:tgtFrame="_blank" w:history="1">
        <w:r w:rsidR="008E546A" w:rsidRPr="006A23C4">
          <w:rPr>
            <w:rFonts w:ascii="Book Antiqua" w:hAnsi="Book Antiqua"/>
            <w:bCs/>
            <w:color w:val="000000"/>
            <w:sz w:val="24"/>
            <w:szCs w:val="24"/>
            <w:shd w:val="clear" w:color="auto" w:fill="FFFFFF"/>
          </w:rPr>
          <w:t>0000-0002-4692-487X</w:t>
        </w:r>
      </w:hyperlink>
      <w:r w:rsidR="008E546A" w:rsidRPr="006A23C4">
        <w:rPr>
          <w:rFonts w:ascii="Book Antiqua" w:hAnsi="Book Antiqua"/>
          <w:bCs/>
          <w:color w:val="000000"/>
          <w:sz w:val="24"/>
          <w:szCs w:val="24"/>
          <w:shd w:val="clear" w:color="auto" w:fill="FFFFFF"/>
        </w:rPr>
        <w:t>)</w:t>
      </w:r>
      <w:r w:rsidR="009B35A5" w:rsidRPr="006A23C4">
        <w:rPr>
          <w:rFonts w:ascii="Book Antiqua" w:hAnsi="Book Antiqua"/>
          <w:bCs/>
          <w:color w:val="000000"/>
          <w:sz w:val="24"/>
          <w:szCs w:val="24"/>
          <w:shd w:val="clear" w:color="auto" w:fill="FFFFFF"/>
        </w:rPr>
        <w:t>;</w:t>
      </w:r>
      <w:r w:rsidR="008E546A" w:rsidRPr="006A23C4">
        <w:rPr>
          <w:rFonts w:ascii="Book Antiqua" w:hAnsi="Book Antiqua"/>
          <w:bCs/>
          <w:color w:val="000000"/>
          <w:sz w:val="24"/>
          <w:szCs w:val="24"/>
          <w:shd w:val="clear" w:color="auto" w:fill="FFFFFF"/>
        </w:rPr>
        <w:t xml:space="preserve"> Xiang Wang (</w:t>
      </w:r>
      <w:hyperlink r:id="rId10" w:tgtFrame="_blank" w:history="1">
        <w:r w:rsidR="008E546A" w:rsidRPr="006A23C4">
          <w:rPr>
            <w:rFonts w:ascii="Book Antiqua" w:hAnsi="Book Antiqua"/>
            <w:bCs/>
            <w:color w:val="000000"/>
            <w:sz w:val="24"/>
            <w:szCs w:val="24"/>
            <w:shd w:val="clear" w:color="auto" w:fill="FFFFFF"/>
          </w:rPr>
          <w:t>0000-0002-0228-0152</w:t>
        </w:r>
      </w:hyperlink>
      <w:r w:rsidR="008E546A" w:rsidRPr="006A23C4">
        <w:rPr>
          <w:rFonts w:ascii="Book Antiqua" w:hAnsi="Book Antiqua"/>
          <w:bCs/>
          <w:color w:val="000000"/>
          <w:sz w:val="24"/>
          <w:szCs w:val="24"/>
          <w:shd w:val="clear" w:color="auto" w:fill="FFFFFF"/>
        </w:rPr>
        <w:t>)</w:t>
      </w:r>
      <w:r w:rsidR="009B35A5" w:rsidRPr="006A23C4">
        <w:rPr>
          <w:rFonts w:ascii="Book Antiqua" w:hAnsi="Book Antiqua"/>
          <w:bCs/>
          <w:color w:val="000000"/>
          <w:sz w:val="24"/>
          <w:szCs w:val="24"/>
          <w:shd w:val="clear" w:color="auto" w:fill="FFFFFF"/>
        </w:rPr>
        <w:t>;</w:t>
      </w:r>
      <w:r w:rsidR="008E546A" w:rsidRPr="006A23C4">
        <w:rPr>
          <w:rFonts w:ascii="Book Antiqua" w:hAnsi="Book Antiqua"/>
          <w:bCs/>
          <w:color w:val="000000"/>
          <w:sz w:val="24"/>
          <w:szCs w:val="24"/>
          <w:shd w:val="clear" w:color="auto" w:fill="FFFFFF"/>
        </w:rPr>
        <w:t xml:space="preserve"> Xin-Wei Mu (</w:t>
      </w:r>
      <w:hyperlink r:id="rId11" w:tgtFrame="_blank" w:history="1">
        <w:r w:rsidR="008E546A" w:rsidRPr="006A23C4">
          <w:rPr>
            <w:rFonts w:ascii="Book Antiqua" w:hAnsi="Book Antiqua"/>
            <w:bCs/>
            <w:color w:val="000000"/>
            <w:sz w:val="24"/>
            <w:szCs w:val="24"/>
            <w:shd w:val="clear" w:color="auto" w:fill="FFFFFF"/>
          </w:rPr>
          <w:t>0000-0002-1916-6567</w:t>
        </w:r>
      </w:hyperlink>
      <w:r w:rsidR="008E546A" w:rsidRPr="006A23C4">
        <w:rPr>
          <w:rFonts w:ascii="Book Antiqua" w:hAnsi="Book Antiqua"/>
          <w:bCs/>
          <w:color w:val="000000"/>
          <w:sz w:val="24"/>
          <w:szCs w:val="24"/>
          <w:shd w:val="clear" w:color="auto" w:fill="FFFFFF"/>
        </w:rPr>
        <w:t>)</w:t>
      </w:r>
      <w:r w:rsidR="009B35A5" w:rsidRPr="006A23C4">
        <w:rPr>
          <w:rFonts w:ascii="Book Antiqua" w:hAnsi="Book Antiqua"/>
          <w:bCs/>
          <w:color w:val="000000"/>
          <w:sz w:val="24"/>
          <w:szCs w:val="24"/>
          <w:shd w:val="clear" w:color="auto" w:fill="FFFFFF"/>
        </w:rPr>
        <w:t>.</w:t>
      </w:r>
    </w:p>
    <w:p w:rsidR="008E546A" w:rsidRPr="006A23C4" w:rsidRDefault="008E546A" w:rsidP="00135736">
      <w:pPr>
        <w:spacing w:line="360" w:lineRule="auto"/>
        <w:rPr>
          <w:rFonts w:ascii="Book Antiqua" w:hAnsi="Book Antiqua"/>
          <w:color w:val="000000"/>
          <w:kern w:val="0"/>
          <w:sz w:val="24"/>
          <w:szCs w:val="24"/>
        </w:rPr>
      </w:pPr>
    </w:p>
    <w:p w:rsidR="008E546A" w:rsidRPr="006A23C4" w:rsidRDefault="009B35A5" w:rsidP="00135736">
      <w:pPr>
        <w:spacing w:line="360" w:lineRule="auto"/>
        <w:rPr>
          <w:rFonts w:ascii="Book Antiqua" w:hAnsi="Book Antiqua"/>
          <w:bCs/>
          <w:color w:val="000000"/>
          <w:sz w:val="24"/>
          <w:szCs w:val="24"/>
          <w:shd w:val="clear" w:color="auto" w:fill="FFFFFF"/>
        </w:rPr>
      </w:pPr>
      <w:r w:rsidRPr="006A23C4">
        <w:rPr>
          <w:rFonts w:ascii="Book Antiqua" w:eastAsia="Times New Roman" w:hAnsi="Book Antiqua"/>
          <w:b/>
          <w:color w:val="000000"/>
          <w:kern w:val="0"/>
          <w:sz w:val="24"/>
          <w:szCs w:val="24"/>
          <w:lang w:val="hu-HU" w:eastAsia="hu-HU"/>
        </w:rPr>
        <w:t xml:space="preserve">Author contributions: </w:t>
      </w:r>
      <w:r w:rsidR="008E546A" w:rsidRPr="006A23C4">
        <w:rPr>
          <w:rFonts w:ascii="Book Antiqua" w:hAnsi="Book Antiqua"/>
          <w:bCs/>
          <w:color w:val="000000"/>
          <w:sz w:val="24"/>
          <w:szCs w:val="24"/>
          <w:shd w:val="clear" w:color="auto" w:fill="FFFFFF"/>
        </w:rPr>
        <w:t>Sun JK, Wang X, and Mu XW designed the research; Sun JK, Zhang WH, and Chen WX performed the research; Sun JK and Zhang WH analyzed the data; and Sun JK wrote the paper.</w:t>
      </w:r>
    </w:p>
    <w:p w:rsidR="008E546A" w:rsidRPr="006A23C4" w:rsidRDefault="008E546A" w:rsidP="00135736">
      <w:pPr>
        <w:spacing w:line="360" w:lineRule="auto"/>
        <w:rPr>
          <w:rFonts w:ascii="Book Antiqua" w:hAnsi="Book Antiqua" w:cs="Garamond-Bold"/>
          <w:b/>
          <w:bCs/>
          <w:color w:val="000000"/>
          <w:sz w:val="24"/>
          <w:szCs w:val="24"/>
        </w:rPr>
      </w:pPr>
    </w:p>
    <w:p w:rsidR="008E546A" w:rsidRPr="006A23C4" w:rsidRDefault="007E0261" w:rsidP="00135736">
      <w:pPr>
        <w:spacing w:line="360" w:lineRule="auto"/>
        <w:rPr>
          <w:rFonts w:ascii="Book Antiqua" w:hAnsi="Book Antiqua"/>
          <w:bCs/>
          <w:color w:val="000000"/>
          <w:sz w:val="24"/>
          <w:szCs w:val="24"/>
          <w:shd w:val="clear" w:color="auto" w:fill="FFFFFF"/>
        </w:rPr>
      </w:pPr>
      <w:r w:rsidRPr="006A23C4">
        <w:rPr>
          <w:rFonts w:ascii="Book Antiqua" w:hAnsi="Book Antiqua" w:cs="Garamond-Bold"/>
          <w:b/>
          <w:bCs/>
          <w:color w:val="000000"/>
          <w:sz w:val="24"/>
          <w:szCs w:val="24"/>
        </w:rPr>
        <w:t>Supported by</w:t>
      </w:r>
      <w:r w:rsidR="008E546A" w:rsidRPr="006A23C4">
        <w:rPr>
          <w:rFonts w:ascii="Book Antiqua" w:hAnsi="Book Antiqua"/>
          <w:bCs/>
          <w:color w:val="000000"/>
          <w:sz w:val="24"/>
          <w:szCs w:val="24"/>
          <w:shd w:val="clear" w:color="auto" w:fill="FFFFFF"/>
        </w:rPr>
        <w:t xml:space="preserve"> the National Natural Science Foundation of China</w:t>
      </w:r>
      <w:r w:rsidR="00242F4A">
        <w:rPr>
          <w:rFonts w:ascii="Book Antiqua" w:hAnsi="Book Antiqua"/>
          <w:bCs/>
          <w:color w:val="000000"/>
          <w:sz w:val="24"/>
          <w:szCs w:val="24"/>
          <w:shd w:val="clear" w:color="auto" w:fill="FFFFFF"/>
        </w:rPr>
        <w:t xml:space="preserve">, </w:t>
      </w:r>
      <w:r w:rsidR="008E546A" w:rsidRPr="006A23C4">
        <w:rPr>
          <w:rFonts w:ascii="Book Antiqua" w:hAnsi="Book Antiqua"/>
          <w:bCs/>
          <w:color w:val="000000"/>
          <w:sz w:val="24"/>
          <w:szCs w:val="24"/>
          <w:shd w:val="clear" w:color="auto" w:fill="FFFFFF"/>
        </w:rPr>
        <w:t>No. 81701881</w:t>
      </w:r>
      <w:r w:rsidR="00242F4A">
        <w:rPr>
          <w:rFonts w:ascii="Book Antiqua" w:hAnsi="Book Antiqua"/>
          <w:bCs/>
          <w:color w:val="000000"/>
          <w:sz w:val="24"/>
          <w:szCs w:val="24"/>
          <w:shd w:val="clear" w:color="auto" w:fill="FFFFFF"/>
        </w:rPr>
        <w:t>;</w:t>
      </w:r>
      <w:r w:rsidR="008E546A" w:rsidRPr="006A23C4">
        <w:rPr>
          <w:rFonts w:ascii="Book Antiqua" w:hAnsi="Book Antiqua"/>
          <w:bCs/>
          <w:color w:val="000000"/>
          <w:sz w:val="24"/>
          <w:szCs w:val="24"/>
          <w:shd w:val="clear" w:color="auto" w:fill="FFFFFF"/>
        </w:rPr>
        <w:t xml:space="preserve"> and the Nanjing Medical Science and Technology Development Foundation</w:t>
      </w:r>
      <w:r w:rsidR="00242F4A">
        <w:rPr>
          <w:rFonts w:ascii="Book Antiqua" w:hAnsi="Book Antiqua"/>
          <w:bCs/>
          <w:color w:val="000000"/>
          <w:sz w:val="24"/>
          <w:szCs w:val="24"/>
          <w:shd w:val="clear" w:color="auto" w:fill="FFFFFF"/>
        </w:rPr>
        <w:t xml:space="preserve">, </w:t>
      </w:r>
      <w:r w:rsidR="008E546A" w:rsidRPr="006A23C4">
        <w:rPr>
          <w:rFonts w:ascii="Book Antiqua" w:hAnsi="Book Antiqua"/>
          <w:bCs/>
          <w:color w:val="000000"/>
          <w:sz w:val="24"/>
          <w:szCs w:val="24"/>
          <w:shd w:val="clear" w:color="auto" w:fill="FFFFFF"/>
        </w:rPr>
        <w:t>No. YKK15098</w:t>
      </w:r>
      <w:r w:rsidR="00242F4A">
        <w:rPr>
          <w:rFonts w:ascii="Book Antiqua" w:hAnsi="Book Antiqua"/>
          <w:bCs/>
          <w:color w:val="000000"/>
          <w:sz w:val="24"/>
          <w:szCs w:val="24"/>
          <w:shd w:val="clear" w:color="auto" w:fill="FFFFFF"/>
        </w:rPr>
        <w:t xml:space="preserve"> and </w:t>
      </w:r>
      <w:r w:rsidR="008E546A" w:rsidRPr="006A23C4">
        <w:rPr>
          <w:rFonts w:ascii="Book Antiqua" w:hAnsi="Book Antiqua"/>
          <w:bCs/>
          <w:color w:val="000000"/>
          <w:sz w:val="24"/>
          <w:szCs w:val="24"/>
          <w:shd w:val="clear" w:color="auto" w:fill="FFFFFF"/>
        </w:rPr>
        <w:t>No. YKK17102.</w:t>
      </w:r>
    </w:p>
    <w:p w:rsidR="008E546A" w:rsidRPr="006A23C4" w:rsidRDefault="008E546A" w:rsidP="00135736">
      <w:pPr>
        <w:spacing w:line="360" w:lineRule="auto"/>
        <w:rPr>
          <w:rFonts w:ascii="Book Antiqua" w:hAnsi="Book Antiqua" w:cs="Garamond-Bold"/>
          <w:b/>
          <w:bCs/>
          <w:color w:val="000000"/>
          <w:sz w:val="24"/>
          <w:szCs w:val="24"/>
        </w:rPr>
      </w:pPr>
    </w:p>
    <w:p w:rsidR="008E546A" w:rsidRPr="006A23C4" w:rsidRDefault="009B35A5" w:rsidP="00135736">
      <w:pPr>
        <w:spacing w:line="360" w:lineRule="auto"/>
        <w:rPr>
          <w:rFonts w:ascii="Book Antiqua" w:hAnsi="Book Antiqua"/>
          <w:bCs/>
          <w:color w:val="000000"/>
          <w:sz w:val="24"/>
          <w:szCs w:val="24"/>
          <w:shd w:val="clear" w:color="auto" w:fill="FFFFFF"/>
        </w:rPr>
      </w:pPr>
      <w:r w:rsidRPr="006A23C4">
        <w:rPr>
          <w:rFonts w:ascii="Book Antiqua" w:eastAsia="Times New Roman" w:hAnsi="Book Antiqua"/>
          <w:b/>
          <w:bCs/>
          <w:iCs/>
          <w:color w:val="000000"/>
          <w:kern w:val="0"/>
          <w:sz w:val="24"/>
          <w:szCs w:val="24"/>
          <w:lang w:val="hu-HU" w:eastAsia="hu-HU"/>
        </w:rPr>
        <w:t xml:space="preserve">Institutional review board statement: </w:t>
      </w:r>
      <w:r w:rsidR="008E546A" w:rsidRPr="006A23C4">
        <w:rPr>
          <w:rFonts w:ascii="Book Antiqua" w:hAnsi="Book Antiqua"/>
          <w:bCs/>
          <w:color w:val="000000"/>
          <w:sz w:val="24"/>
          <w:szCs w:val="24"/>
          <w:shd w:val="clear" w:color="auto" w:fill="FFFFFF"/>
        </w:rPr>
        <w:t xml:space="preserve">The study was reviewed and approved by the Institutional Ethics Committee of Nanjing First Hospital (Approval </w:t>
      </w:r>
      <w:r w:rsidR="008E546A" w:rsidRPr="006A23C4">
        <w:rPr>
          <w:rFonts w:ascii="Book Antiqua" w:hAnsi="Book Antiqua"/>
          <w:bCs/>
          <w:color w:val="000000"/>
          <w:sz w:val="24"/>
          <w:szCs w:val="24"/>
          <w:shd w:val="clear" w:color="auto" w:fill="FFFFFF"/>
        </w:rPr>
        <w:lastRenderedPageBreak/>
        <w:t>Number: KY20170921-02).</w:t>
      </w:r>
    </w:p>
    <w:p w:rsidR="008E546A" w:rsidRPr="006A23C4" w:rsidRDefault="008E546A" w:rsidP="00135736">
      <w:pPr>
        <w:spacing w:line="360" w:lineRule="auto"/>
        <w:rPr>
          <w:rFonts w:ascii="Book Antiqua" w:hAnsi="Book Antiqua"/>
          <w:b/>
          <w:color w:val="000000"/>
          <w:kern w:val="0"/>
          <w:sz w:val="24"/>
          <w:szCs w:val="24"/>
        </w:rPr>
      </w:pPr>
    </w:p>
    <w:p w:rsidR="007E0261" w:rsidRPr="006A23C4" w:rsidRDefault="009B35A5" w:rsidP="00135736">
      <w:pPr>
        <w:spacing w:line="360" w:lineRule="auto"/>
        <w:rPr>
          <w:rFonts w:ascii="Book Antiqua" w:hAnsi="Book Antiqua"/>
          <w:bCs/>
          <w:color w:val="000000"/>
          <w:sz w:val="24"/>
          <w:szCs w:val="24"/>
          <w:shd w:val="clear" w:color="auto" w:fill="FFFFFF"/>
        </w:rPr>
      </w:pPr>
      <w:r w:rsidRPr="006A23C4">
        <w:rPr>
          <w:rFonts w:ascii="Book Antiqua" w:eastAsia="Times New Roman" w:hAnsi="Book Antiqua"/>
          <w:b/>
          <w:color w:val="000000"/>
          <w:kern w:val="0"/>
          <w:sz w:val="24"/>
          <w:szCs w:val="24"/>
          <w:lang w:val="hu-HU" w:eastAsia="hu-HU"/>
        </w:rPr>
        <w:t>Clinical trial registration statement</w:t>
      </w:r>
      <w:r w:rsidRPr="006A23C4">
        <w:rPr>
          <w:rFonts w:ascii="Book Antiqua" w:eastAsia="Times New Roman" w:hAnsi="Book Antiqua"/>
          <w:b/>
          <w:bCs/>
          <w:iCs/>
          <w:color w:val="000000"/>
          <w:kern w:val="0"/>
          <w:sz w:val="24"/>
          <w:szCs w:val="24"/>
          <w:lang w:val="hu-HU" w:eastAsia="hu-HU"/>
        </w:rPr>
        <w:t xml:space="preserve">: </w:t>
      </w:r>
      <w:r w:rsidR="008E546A" w:rsidRPr="006A23C4">
        <w:rPr>
          <w:rFonts w:ascii="Book Antiqua" w:hAnsi="Book Antiqua"/>
          <w:bCs/>
          <w:color w:val="000000"/>
          <w:sz w:val="24"/>
          <w:szCs w:val="24"/>
          <w:shd w:val="clear" w:color="auto" w:fill="FFFFFF"/>
        </w:rPr>
        <w:t xml:space="preserve">This study is registered at </w:t>
      </w:r>
      <w:r w:rsidR="008E546A" w:rsidRPr="006A23C4">
        <w:rPr>
          <w:rFonts w:ascii="Book Antiqua" w:hAnsi="Book Antiqua"/>
          <w:bCs/>
          <w:color w:val="000000"/>
          <w:sz w:val="24"/>
          <w:szCs w:val="24"/>
          <w:u w:val="single"/>
          <w:shd w:val="clear" w:color="auto" w:fill="FFFFFF"/>
        </w:rPr>
        <w:t>https://www.clinicaltrials.gov</w:t>
      </w:r>
      <w:r w:rsidR="008E546A" w:rsidRPr="006A23C4">
        <w:rPr>
          <w:rFonts w:ascii="Book Antiqua" w:hAnsi="Book Antiqua"/>
          <w:bCs/>
          <w:color w:val="000000"/>
          <w:sz w:val="24"/>
          <w:szCs w:val="24"/>
          <w:shd w:val="clear" w:color="auto" w:fill="FFFFFF"/>
        </w:rPr>
        <w:t>. The registration identification number is NCT03385850.</w:t>
      </w:r>
    </w:p>
    <w:p w:rsidR="008E546A" w:rsidRPr="006A23C4" w:rsidRDefault="008E546A" w:rsidP="00135736">
      <w:pPr>
        <w:spacing w:line="360" w:lineRule="auto"/>
        <w:rPr>
          <w:rFonts w:ascii="Book Antiqua" w:hAnsi="Book Antiqua"/>
          <w:bCs/>
          <w:color w:val="000000"/>
          <w:sz w:val="24"/>
          <w:szCs w:val="24"/>
          <w:shd w:val="clear" w:color="auto" w:fill="FFFFFF"/>
        </w:rPr>
      </w:pPr>
    </w:p>
    <w:p w:rsidR="00085B89" w:rsidRPr="006A23C4" w:rsidRDefault="009B35A5" w:rsidP="00135736">
      <w:pPr>
        <w:spacing w:line="360" w:lineRule="auto"/>
        <w:rPr>
          <w:rFonts w:ascii="Book Antiqua" w:hAnsi="Book Antiqua"/>
          <w:bCs/>
          <w:color w:val="000000"/>
          <w:sz w:val="24"/>
          <w:szCs w:val="24"/>
          <w:shd w:val="clear" w:color="auto" w:fill="FFFFFF"/>
        </w:rPr>
      </w:pPr>
      <w:r w:rsidRPr="006A23C4">
        <w:rPr>
          <w:rFonts w:ascii="Book Antiqua" w:eastAsia="Times New Roman" w:hAnsi="Book Antiqua"/>
          <w:b/>
          <w:bCs/>
          <w:iCs/>
          <w:color w:val="000000"/>
          <w:kern w:val="0"/>
          <w:sz w:val="24"/>
          <w:szCs w:val="24"/>
          <w:lang w:val="hu-HU" w:eastAsia="hu-HU"/>
        </w:rPr>
        <w:t xml:space="preserve">Informed consent statement: </w:t>
      </w:r>
      <w:r w:rsidR="00085B89" w:rsidRPr="006A23C4">
        <w:rPr>
          <w:rFonts w:ascii="Book Antiqua" w:hAnsi="Book Antiqua"/>
          <w:bCs/>
          <w:color w:val="000000"/>
          <w:sz w:val="24"/>
          <w:szCs w:val="24"/>
          <w:shd w:val="clear" w:color="auto" w:fill="FFFFFF"/>
        </w:rPr>
        <w:t>All involved persons (legally authorized representative) gave their written informed consent prior to study inclusion.</w:t>
      </w:r>
    </w:p>
    <w:p w:rsidR="00085B89" w:rsidRPr="006A23C4" w:rsidRDefault="00085B89" w:rsidP="00135736">
      <w:pPr>
        <w:spacing w:line="360" w:lineRule="auto"/>
        <w:rPr>
          <w:rFonts w:ascii="Book Antiqua" w:hAnsi="Book Antiqua"/>
          <w:bCs/>
          <w:color w:val="000000"/>
          <w:sz w:val="24"/>
          <w:szCs w:val="24"/>
          <w:shd w:val="clear" w:color="auto" w:fill="FFFFFF"/>
        </w:rPr>
      </w:pPr>
    </w:p>
    <w:p w:rsidR="009B35A5" w:rsidRPr="006A23C4" w:rsidRDefault="009B35A5" w:rsidP="00135736">
      <w:pPr>
        <w:spacing w:line="360" w:lineRule="auto"/>
        <w:rPr>
          <w:rFonts w:ascii="Book Antiqua" w:hAnsi="Book Antiqua" w:hint="eastAsia"/>
          <w:color w:val="000000"/>
          <w:kern w:val="0"/>
          <w:sz w:val="24"/>
          <w:szCs w:val="24"/>
        </w:rPr>
      </w:pPr>
      <w:r w:rsidRPr="006A23C4">
        <w:rPr>
          <w:rFonts w:ascii="Book Antiqua" w:eastAsia="Times New Roman" w:hAnsi="Book Antiqua"/>
          <w:b/>
          <w:color w:val="000000"/>
          <w:kern w:val="0"/>
          <w:sz w:val="24"/>
          <w:szCs w:val="24"/>
          <w:lang w:val="hu-HU" w:eastAsia="hu-HU"/>
        </w:rPr>
        <w:t>Conflict-of-interest statement</w:t>
      </w:r>
      <w:r w:rsidRPr="006A23C4">
        <w:rPr>
          <w:rFonts w:ascii="Book Antiqua" w:eastAsia="Times New Roman" w:hAnsi="Book Antiqua" w:cs="TimesNewRomanPS-BoldItalicMT"/>
          <w:b/>
          <w:bCs/>
          <w:iCs/>
          <w:color w:val="000000"/>
          <w:kern w:val="0"/>
          <w:sz w:val="24"/>
          <w:szCs w:val="24"/>
          <w:lang w:val="hu-HU" w:eastAsia="hu-HU"/>
        </w:rPr>
        <w:t xml:space="preserve">: </w:t>
      </w:r>
      <w:r w:rsidRPr="006A23C4">
        <w:rPr>
          <w:rFonts w:ascii="Book Antiqua" w:hAnsi="Book Antiqua"/>
          <w:color w:val="000000"/>
          <w:kern w:val="0"/>
          <w:sz w:val="24"/>
          <w:szCs w:val="24"/>
        </w:rPr>
        <w:t>The authors declare no conflicts of interest.</w:t>
      </w:r>
    </w:p>
    <w:p w:rsidR="009B35A5" w:rsidRPr="006A23C4" w:rsidRDefault="009B35A5" w:rsidP="00135736">
      <w:pPr>
        <w:spacing w:line="360" w:lineRule="auto"/>
        <w:rPr>
          <w:rFonts w:ascii="Book Antiqua" w:hAnsi="Book Antiqua" w:hint="eastAsia"/>
          <w:bCs/>
          <w:color w:val="000000"/>
          <w:sz w:val="24"/>
          <w:szCs w:val="24"/>
          <w:shd w:val="clear" w:color="auto" w:fill="FFFFFF"/>
        </w:rPr>
      </w:pPr>
    </w:p>
    <w:p w:rsidR="004B33B4" w:rsidRPr="006A23C4" w:rsidRDefault="009B35A5" w:rsidP="009B35A5">
      <w:pPr>
        <w:widowControl/>
        <w:spacing w:line="360" w:lineRule="auto"/>
        <w:rPr>
          <w:rFonts w:ascii="Book Antiqua" w:hAnsi="Book Antiqua"/>
          <w:bCs/>
          <w:color w:val="000000"/>
          <w:sz w:val="24"/>
          <w:szCs w:val="24"/>
          <w:shd w:val="clear" w:color="auto" w:fill="FFFFFF"/>
        </w:rPr>
      </w:pPr>
      <w:r w:rsidRPr="006A23C4">
        <w:rPr>
          <w:rFonts w:ascii="Book Antiqua" w:eastAsia="Times New Roman" w:hAnsi="Book Antiqua"/>
          <w:b/>
          <w:color w:val="000000"/>
          <w:kern w:val="0"/>
          <w:sz w:val="24"/>
          <w:szCs w:val="24"/>
          <w:lang w:val="hu-HU" w:eastAsia="hu-HU"/>
        </w:rPr>
        <w:t>CONSORT 2010 statement</w:t>
      </w:r>
      <w:r w:rsidRPr="006A23C4">
        <w:rPr>
          <w:rFonts w:ascii="Book Antiqua" w:eastAsia="Times New Roman" w:hAnsi="Book Antiqua" w:hint="eastAsia"/>
          <w:b/>
          <w:color w:val="000000"/>
          <w:kern w:val="0"/>
          <w:sz w:val="24"/>
          <w:szCs w:val="24"/>
          <w:lang w:val="hu-HU" w:eastAsia="hu-HU"/>
        </w:rPr>
        <w:t>:</w:t>
      </w:r>
      <w:r w:rsidRPr="006A23C4">
        <w:rPr>
          <w:rFonts w:ascii="Book Antiqua" w:eastAsia="Times New Roman" w:hAnsi="Book Antiqua"/>
          <w:b/>
          <w:color w:val="000000"/>
          <w:kern w:val="0"/>
          <w:sz w:val="24"/>
          <w:szCs w:val="24"/>
          <w:lang w:val="hu-HU" w:eastAsia="hu-HU"/>
        </w:rPr>
        <w:t xml:space="preserve"> </w:t>
      </w:r>
      <w:r w:rsidR="004B33B4" w:rsidRPr="006A23C4">
        <w:rPr>
          <w:rFonts w:ascii="Book Antiqua" w:hAnsi="Book Antiqua"/>
          <w:bCs/>
          <w:color w:val="000000"/>
          <w:sz w:val="24"/>
          <w:szCs w:val="24"/>
          <w:shd w:val="clear" w:color="auto" w:fill="FFFFFF"/>
        </w:rPr>
        <w:t>The authors have read the CONSORT 2010 Statement, and the manuscript was prepared and revised according to the CONSORT 2010 Statement.</w:t>
      </w:r>
    </w:p>
    <w:p w:rsidR="009B35A5" w:rsidRPr="006A23C4" w:rsidRDefault="009B35A5" w:rsidP="009B35A5">
      <w:pPr>
        <w:widowControl/>
        <w:spacing w:line="360" w:lineRule="auto"/>
        <w:rPr>
          <w:rFonts w:ascii="Book Antiqua" w:hAnsi="Book Antiqua"/>
          <w:bCs/>
          <w:color w:val="000000"/>
          <w:sz w:val="24"/>
          <w:szCs w:val="24"/>
          <w:shd w:val="clear" w:color="auto" w:fill="FFFFFF"/>
        </w:rPr>
      </w:pPr>
    </w:p>
    <w:p w:rsidR="009B35A5" w:rsidRPr="006A23C4" w:rsidRDefault="009B35A5" w:rsidP="009B35A5">
      <w:pPr>
        <w:widowControl/>
        <w:adjustRightInd w:val="0"/>
        <w:snapToGrid w:val="0"/>
        <w:spacing w:line="360" w:lineRule="auto"/>
        <w:rPr>
          <w:rFonts w:ascii="Book Antiqua" w:eastAsia="Times New Roman" w:hAnsi="Book Antiqua" w:cs="宋体"/>
          <w:color w:val="000000"/>
          <w:kern w:val="0"/>
          <w:sz w:val="24"/>
          <w:szCs w:val="24"/>
          <w:lang w:val="hu-HU" w:eastAsia="hu-HU"/>
        </w:rPr>
      </w:pPr>
      <w:r w:rsidRPr="006A23C4">
        <w:rPr>
          <w:rFonts w:ascii="Book Antiqua" w:eastAsia="Times New Roman" w:hAnsi="Book Antiqua"/>
          <w:b/>
          <w:color w:val="000000"/>
          <w:kern w:val="0"/>
          <w:sz w:val="24"/>
          <w:szCs w:val="24"/>
          <w:lang w:val="hu-HU" w:eastAsia="hu-HU"/>
        </w:rPr>
        <w:t xml:space="preserve">Open-Access: </w:t>
      </w:r>
      <w:bookmarkStart w:id="12" w:name="OLE_LINK12"/>
      <w:bookmarkStart w:id="13" w:name="OLE_LINK13"/>
      <w:r w:rsidRPr="006A23C4">
        <w:rPr>
          <w:rFonts w:ascii="Book Antiqua" w:eastAsia="Times New Roman" w:hAnsi="Book Antiqua"/>
          <w:color w:val="000000"/>
          <w:kern w:val="0"/>
          <w:sz w:val="24"/>
          <w:szCs w:val="24"/>
          <w:lang w:val="hu-HU" w:eastAsia="hu-HU"/>
        </w:rPr>
        <w:t xml:space="preserve">This article is an </w:t>
      </w:r>
      <w:r w:rsidRPr="006A23C4">
        <w:rPr>
          <w:rFonts w:ascii="Book Antiqua" w:eastAsia="Times New Roman" w:hAnsi="Book Antiqua" w:cs="宋体"/>
          <w:color w:val="000000"/>
          <w:kern w:val="0"/>
          <w:sz w:val="24"/>
          <w:szCs w:val="24"/>
          <w:lang w:val="hu-HU" w:eastAsia="hu-HU"/>
        </w:rPr>
        <w:t xml:space="preserve">open-access article which </w:t>
      </w:r>
      <w:r w:rsidRPr="006A23C4">
        <w:rPr>
          <w:rFonts w:ascii="Book Antiqua" w:eastAsia="Times New Roman" w:hAnsi="Book Antiqua"/>
          <w:color w:val="000000"/>
          <w:kern w:val="0"/>
          <w:sz w:val="24"/>
          <w:szCs w:val="24"/>
          <w:lang w:val="hu-HU" w:eastAsia="hu-HU"/>
        </w:rPr>
        <w:t xml:space="preserve">selected by an in-house editor and fully peer-reviewed by external reviewers. It </w:t>
      </w:r>
      <w:r w:rsidRPr="006A23C4">
        <w:rPr>
          <w:rFonts w:ascii="Book Antiqua" w:eastAsia="Times New Roman" w:hAnsi="Book Antiqua" w:cs="宋体"/>
          <w:color w:val="000000"/>
          <w:kern w:val="0"/>
          <w:sz w:val="24"/>
          <w:szCs w:val="24"/>
          <w:lang w:val="hu-HU" w:eastAsia="hu-HU"/>
        </w:rPr>
        <w:t xml:space="preserve">distributed in accordance with </w:t>
      </w:r>
      <w:r w:rsidRPr="006A23C4">
        <w:rPr>
          <w:rFonts w:ascii="Book Antiqua" w:eastAsia="Times New Roman" w:hAnsi="Book Antiqua"/>
          <w:color w:val="000000"/>
          <w:kern w:val="0"/>
          <w:sz w:val="24"/>
          <w:szCs w:val="24"/>
          <w:lang w:val="hu-HU" w:eastAsia="hu-HU"/>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p>
    <w:p w:rsidR="009B35A5" w:rsidRPr="006A23C4" w:rsidRDefault="009B35A5" w:rsidP="009B35A5">
      <w:pPr>
        <w:widowControl/>
        <w:spacing w:line="360" w:lineRule="auto"/>
        <w:rPr>
          <w:rFonts w:ascii="Book Antiqua" w:eastAsia="Times New Roman" w:hAnsi="Book Antiqua"/>
          <w:b/>
          <w:color w:val="000000"/>
          <w:kern w:val="0"/>
          <w:sz w:val="24"/>
          <w:szCs w:val="24"/>
          <w:lang w:val="hu-HU" w:eastAsia="hu-HU"/>
        </w:rPr>
      </w:pPr>
    </w:p>
    <w:p w:rsidR="009B35A5" w:rsidRPr="006A23C4" w:rsidRDefault="009B35A5" w:rsidP="009B35A5">
      <w:pPr>
        <w:widowControl/>
        <w:spacing w:line="360" w:lineRule="auto"/>
        <w:rPr>
          <w:rFonts w:ascii="Book Antiqua" w:eastAsia="等线" w:hAnsi="Book Antiqua" w:hint="eastAsia"/>
          <w:b/>
          <w:color w:val="000000"/>
          <w:kern w:val="0"/>
          <w:sz w:val="24"/>
          <w:szCs w:val="24"/>
          <w:lang w:val="hu-HU"/>
        </w:rPr>
      </w:pPr>
      <w:r w:rsidRPr="006A23C4">
        <w:rPr>
          <w:rFonts w:ascii="Book Antiqua" w:eastAsia="等线" w:hAnsi="Book Antiqua"/>
          <w:b/>
          <w:color w:val="000000"/>
          <w:kern w:val="0"/>
          <w:sz w:val="24"/>
          <w:szCs w:val="24"/>
          <w:lang w:val="hu-HU"/>
        </w:rPr>
        <w:t xml:space="preserve">Manuscript source: </w:t>
      </w:r>
      <w:r w:rsidRPr="006A23C4">
        <w:rPr>
          <w:rFonts w:ascii="Book Antiqua" w:eastAsia="等线" w:hAnsi="Book Antiqua"/>
          <w:color w:val="000000"/>
          <w:kern w:val="0"/>
          <w:sz w:val="24"/>
          <w:szCs w:val="24"/>
          <w:lang w:val="hu-HU"/>
        </w:rPr>
        <w:t>Unsolicited manuscript</w:t>
      </w:r>
    </w:p>
    <w:p w:rsidR="007E0261" w:rsidRPr="006A23C4" w:rsidRDefault="007E0261" w:rsidP="00135736">
      <w:pPr>
        <w:spacing w:line="360" w:lineRule="auto"/>
        <w:rPr>
          <w:rFonts w:ascii="Book Antiqua" w:hAnsi="Book Antiqua"/>
          <w:bCs/>
          <w:color w:val="000000"/>
          <w:sz w:val="24"/>
          <w:szCs w:val="24"/>
          <w:shd w:val="clear" w:color="auto" w:fill="FFFFFF"/>
        </w:rPr>
      </w:pPr>
    </w:p>
    <w:p w:rsidR="007E0261" w:rsidRPr="006A23C4" w:rsidRDefault="009B35A5" w:rsidP="00135736">
      <w:pPr>
        <w:spacing w:line="360" w:lineRule="auto"/>
        <w:rPr>
          <w:rFonts w:ascii="Book Antiqua" w:hAnsi="Book Antiqua"/>
          <w:color w:val="000000"/>
          <w:kern w:val="0"/>
          <w:sz w:val="24"/>
          <w:szCs w:val="24"/>
        </w:rPr>
      </w:pPr>
      <w:r w:rsidRPr="006A23C4">
        <w:rPr>
          <w:rFonts w:ascii="Book Antiqua" w:eastAsia="Times New Roman" w:hAnsi="Book Antiqua"/>
          <w:b/>
          <w:color w:val="000000"/>
          <w:kern w:val="0"/>
          <w:sz w:val="24"/>
          <w:szCs w:val="24"/>
          <w:lang w:val="hu-HU" w:eastAsia="hu-HU"/>
        </w:rPr>
        <w:t>Corresponding author:</w:t>
      </w:r>
      <w:r w:rsidRPr="006A23C4">
        <w:rPr>
          <w:rFonts w:ascii="Book Antiqua" w:eastAsia="Times New Roman" w:hAnsi="Book Antiqua"/>
          <w:color w:val="000000"/>
          <w:kern w:val="0"/>
          <w:sz w:val="24"/>
          <w:szCs w:val="24"/>
          <w:lang w:val="en-GB" w:eastAsia="hu-HU"/>
        </w:rPr>
        <w:t xml:space="preserve"> </w:t>
      </w:r>
      <w:r w:rsidR="007E0261" w:rsidRPr="006A23C4">
        <w:rPr>
          <w:rFonts w:ascii="Book Antiqua" w:hAnsi="Book Antiqua"/>
          <w:b/>
          <w:color w:val="000000"/>
          <w:kern w:val="0"/>
          <w:sz w:val="24"/>
          <w:szCs w:val="24"/>
        </w:rPr>
        <w:t>Xiang Wang</w:t>
      </w:r>
      <w:r w:rsidRPr="006A23C4">
        <w:rPr>
          <w:rFonts w:ascii="Book Antiqua" w:hAnsi="Book Antiqua"/>
          <w:b/>
          <w:color w:val="000000"/>
          <w:kern w:val="0"/>
          <w:sz w:val="24"/>
          <w:szCs w:val="24"/>
        </w:rPr>
        <w:t>, MD, Doctor,</w:t>
      </w:r>
      <w:r w:rsidRPr="006A23C4">
        <w:rPr>
          <w:rFonts w:ascii="Book Antiqua" w:hAnsi="Book Antiqua"/>
          <w:color w:val="000000"/>
          <w:kern w:val="0"/>
          <w:sz w:val="24"/>
          <w:szCs w:val="24"/>
        </w:rPr>
        <w:t xml:space="preserve"> </w:t>
      </w:r>
      <w:bookmarkStart w:id="14" w:name="OLE_LINK16"/>
      <w:bookmarkStart w:id="15" w:name="OLE_LINK19"/>
      <w:r w:rsidRPr="006A23C4">
        <w:rPr>
          <w:rFonts w:ascii="Book Antiqua" w:hAnsi="Book Antiqua"/>
          <w:bCs/>
          <w:color w:val="000000"/>
          <w:kern w:val="0"/>
          <w:sz w:val="24"/>
          <w:szCs w:val="24"/>
        </w:rPr>
        <w:t>Department of Intensive Care Unit</w:t>
      </w:r>
      <w:bookmarkEnd w:id="14"/>
      <w:bookmarkEnd w:id="15"/>
      <w:r w:rsidRPr="006A23C4">
        <w:rPr>
          <w:rFonts w:ascii="Book Antiqua" w:hAnsi="Book Antiqua"/>
          <w:bCs/>
          <w:color w:val="000000"/>
          <w:kern w:val="0"/>
          <w:sz w:val="24"/>
          <w:szCs w:val="24"/>
        </w:rPr>
        <w:t xml:space="preserve">, </w:t>
      </w:r>
      <w:bookmarkStart w:id="16" w:name="OLE_LINK20"/>
      <w:bookmarkStart w:id="17" w:name="OLE_LINK21"/>
      <w:r w:rsidRPr="006A23C4">
        <w:rPr>
          <w:rFonts w:ascii="Book Antiqua" w:hAnsi="Book Antiqua"/>
          <w:bCs/>
          <w:color w:val="000000"/>
          <w:kern w:val="0"/>
          <w:sz w:val="24"/>
          <w:szCs w:val="24"/>
        </w:rPr>
        <w:t>Nanjing First Hospital, Nanjing Medical Universit</w:t>
      </w:r>
      <w:bookmarkEnd w:id="16"/>
      <w:bookmarkEnd w:id="17"/>
      <w:r w:rsidRPr="006A23C4">
        <w:rPr>
          <w:rFonts w:ascii="Book Antiqua" w:hAnsi="Book Antiqua"/>
          <w:bCs/>
          <w:color w:val="000000"/>
          <w:kern w:val="0"/>
          <w:sz w:val="24"/>
          <w:szCs w:val="24"/>
        </w:rPr>
        <w:t>y,</w:t>
      </w:r>
      <w:r w:rsidRPr="006A23C4">
        <w:rPr>
          <w:rFonts w:ascii="Book Antiqua" w:hAnsi="Book Antiqua" w:hint="eastAsia"/>
          <w:color w:val="000000"/>
          <w:kern w:val="0"/>
          <w:sz w:val="24"/>
          <w:szCs w:val="24"/>
        </w:rPr>
        <w:t xml:space="preserve"> </w:t>
      </w:r>
      <w:bookmarkStart w:id="18" w:name="OLE_LINK23"/>
      <w:bookmarkStart w:id="19" w:name="OLE_LINK24"/>
      <w:r w:rsidR="007E0261" w:rsidRPr="006A23C4">
        <w:rPr>
          <w:rFonts w:ascii="Book Antiqua" w:hAnsi="Book Antiqua"/>
          <w:color w:val="000000"/>
          <w:kern w:val="0"/>
          <w:sz w:val="24"/>
          <w:szCs w:val="24"/>
        </w:rPr>
        <w:t>68 Changle Road</w:t>
      </w:r>
      <w:bookmarkEnd w:id="18"/>
      <w:bookmarkEnd w:id="19"/>
      <w:r w:rsidR="007E0261" w:rsidRPr="006A23C4">
        <w:rPr>
          <w:rFonts w:ascii="Book Antiqua" w:hAnsi="Book Antiqua"/>
          <w:color w:val="000000"/>
          <w:kern w:val="0"/>
          <w:sz w:val="24"/>
          <w:szCs w:val="24"/>
        </w:rPr>
        <w:t>, Nanjing 210006, Jiangsu Province, China</w:t>
      </w:r>
      <w:r w:rsidRPr="006A23C4">
        <w:rPr>
          <w:rFonts w:ascii="Book Antiqua" w:hAnsi="Book Antiqua"/>
          <w:color w:val="000000"/>
          <w:kern w:val="0"/>
          <w:sz w:val="24"/>
          <w:szCs w:val="24"/>
        </w:rPr>
        <w:t>.</w:t>
      </w:r>
      <w:r w:rsidRPr="006A23C4">
        <w:rPr>
          <w:rFonts w:ascii="Book Antiqua" w:hAnsi="Book Antiqua" w:hint="eastAsia"/>
          <w:color w:val="000000"/>
          <w:kern w:val="0"/>
          <w:sz w:val="24"/>
          <w:szCs w:val="24"/>
        </w:rPr>
        <w:t xml:space="preserve"> </w:t>
      </w:r>
      <w:r w:rsidR="007E0261" w:rsidRPr="006A23C4">
        <w:rPr>
          <w:rFonts w:ascii="Book Antiqua" w:hAnsi="Book Antiqua"/>
          <w:color w:val="000000"/>
          <w:kern w:val="0"/>
          <w:sz w:val="24"/>
          <w:szCs w:val="24"/>
        </w:rPr>
        <w:t>njdrwx2016@163.com</w:t>
      </w:r>
    </w:p>
    <w:p w:rsidR="007E0261" w:rsidRPr="006A23C4" w:rsidRDefault="007E0261" w:rsidP="00135736">
      <w:pPr>
        <w:spacing w:line="360" w:lineRule="auto"/>
        <w:rPr>
          <w:rFonts w:ascii="Book Antiqua" w:hAnsi="Book Antiqua"/>
          <w:color w:val="000000"/>
          <w:kern w:val="0"/>
          <w:sz w:val="24"/>
          <w:szCs w:val="24"/>
        </w:rPr>
      </w:pPr>
      <w:r w:rsidRPr="006A23C4">
        <w:rPr>
          <w:rFonts w:ascii="Book Antiqua" w:hAnsi="Book Antiqua"/>
          <w:b/>
          <w:color w:val="000000"/>
          <w:kern w:val="0"/>
          <w:sz w:val="24"/>
          <w:szCs w:val="24"/>
        </w:rPr>
        <w:t>Telephone:</w:t>
      </w:r>
      <w:r w:rsidRPr="006A23C4">
        <w:rPr>
          <w:rFonts w:ascii="Book Antiqua" w:hAnsi="Book Antiqua"/>
          <w:color w:val="000000"/>
          <w:kern w:val="0"/>
          <w:sz w:val="24"/>
          <w:szCs w:val="24"/>
        </w:rPr>
        <w:t xml:space="preserve"> +86-25-52271234</w:t>
      </w:r>
    </w:p>
    <w:p w:rsidR="007E0261" w:rsidRPr="006A23C4" w:rsidRDefault="007E0261" w:rsidP="00135736">
      <w:pPr>
        <w:spacing w:line="360" w:lineRule="auto"/>
        <w:rPr>
          <w:rFonts w:ascii="Book Antiqua" w:hAnsi="Book Antiqua"/>
          <w:color w:val="000000"/>
          <w:kern w:val="0"/>
          <w:sz w:val="24"/>
          <w:szCs w:val="24"/>
        </w:rPr>
      </w:pPr>
      <w:r w:rsidRPr="006A23C4">
        <w:rPr>
          <w:rFonts w:ascii="Book Antiqua" w:hAnsi="Book Antiqua"/>
          <w:b/>
          <w:color w:val="000000"/>
          <w:kern w:val="0"/>
          <w:sz w:val="24"/>
          <w:szCs w:val="24"/>
        </w:rPr>
        <w:lastRenderedPageBreak/>
        <w:t>Fax:</w:t>
      </w:r>
      <w:r w:rsidRPr="006A23C4">
        <w:rPr>
          <w:rFonts w:ascii="Book Antiqua" w:hAnsi="Book Antiqua"/>
          <w:color w:val="000000"/>
          <w:kern w:val="0"/>
          <w:sz w:val="24"/>
          <w:szCs w:val="24"/>
        </w:rPr>
        <w:t xml:space="preserve"> +86-25-52271326</w:t>
      </w:r>
    </w:p>
    <w:p w:rsidR="009B35A5" w:rsidRPr="006A23C4" w:rsidRDefault="009B35A5" w:rsidP="00135736">
      <w:pPr>
        <w:spacing w:line="360" w:lineRule="auto"/>
        <w:rPr>
          <w:rFonts w:ascii="Book Antiqua" w:hAnsi="Book Antiqua"/>
          <w:color w:val="000000"/>
          <w:kern w:val="0"/>
          <w:sz w:val="24"/>
          <w:szCs w:val="24"/>
        </w:rPr>
      </w:pPr>
    </w:p>
    <w:p w:rsidR="006E6EFA" w:rsidRPr="006A23C4" w:rsidRDefault="006E6EFA" w:rsidP="006E6EFA">
      <w:pPr>
        <w:spacing w:line="360" w:lineRule="auto"/>
        <w:rPr>
          <w:rFonts w:ascii="Book Antiqua" w:hAnsi="Book Antiqua"/>
          <w:b/>
          <w:color w:val="000000"/>
          <w:sz w:val="24"/>
          <w:szCs w:val="24"/>
        </w:rPr>
      </w:pPr>
      <w:bookmarkStart w:id="20" w:name="OLE_LINK75"/>
      <w:bookmarkStart w:id="21" w:name="OLE_LINK76"/>
      <w:bookmarkStart w:id="22" w:name="OLE_LINK269"/>
      <w:bookmarkStart w:id="23" w:name="OLE_LINK239"/>
      <w:r w:rsidRPr="006A23C4">
        <w:rPr>
          <w:rFonts w:ascii="Book Antiqua" w:hAnsi="Book Antiqua"/>
          <w:b/>
          <w:color w:val="000000"/>
          <w:sz w:val="24"/>
          <w:szCs w:val="24"/>
        </w:rPr>
        <w:t xml:space="preserve">Received: </w:t>
      </w:r>
      <w:r w:rsidRPr="006A23C4">
        <w:rPr>
          <w:rFonts w:ascii="Book Antiqua" w:hAnsi="Book Antiqua"/>
          <w:color w:val="000000"/>
          <w:sz w:val="24"/>
          <w:szCs w:val="24"/>
        </w:rPr>
        <w:t>March 14, 2019</w:t>
      </w:r>
    </w:p>
    <w:p w:rsidR="006E6EFA" w:rsidRPr="006A23C4" w:rsidRDefault="006E6EFA" w:rsidP="006E6EFA">
      <w:pPr>
        <w:spacing w:line="360" w:lineRule="auto"/>
        <w:rPr>
          <w:rFonts w:ascii="Book Antiqua" w:hAnsi="Book Antiqua"/>
          <w:b/>
          <w:color w:val="000000"/>
          <w:sz w:val="24"/>
          <w:szCs w:val="24"/>
        </w:rPr>
      </w:pPr>
      <w:r w:rsidRPr="006A23C4">
        <w:rPr>
          <w:rFonts w:ascii="Book Antiqua" w:hAnsi="Book Antiqua"/>
          <w:b/>
          <w:color w:val="000000"/>
          <w:sz w:val="24"/>
          <w:szCs w:val="24"/>
        </w:rPr>
        <w:t xml:space="preserve">Peer-review started: </w:t>
      </w:r>
      <w:r w:rsidRPr="006A23C4">
        <w:rPr>
          <w:rFonts w:ascii="Book Antiqua" w:hAnsi="Book Antiqua"/>
          <w:color w:val="000000"/>
          <w:sz w:val="24"/>
          <w:szCs w:val="24"/>
        </w:rPr>
        <w:t>March 14, 2019</w:t>
      </w:r>
    </w:p>
    <w:p w:rsidR="006E6EFA" w:rsidRPr="006A23C4" w:rsidRDefault="006E6EFA" w:rsidP="006E6EFA">
      <w:pPr>
        <w:spacing w:line="360" w:lineRule="auto"/>
        <w:rPr>
          <w:rFonts w:ascii="Book Antiqua" w:hAnsi="Book Antiqua"/>
          <w:b/>
          <w:color w:val="000000"/>
          <w:sz w:val="24"/>
          <w:szCs w:val="24"/>
        </w:rPr>
      </w:pPr>
      <w:r w:rsidRPr="006A23C4">
        <w:rPr>
          <w:rFonts w:ascii="Book Antiqua" w:hAnsi="Book Antiqua"/>
          <w:b/>
          <w:color w:val="000000"/>
          <w:sz w:val="24"/>
          <w:szCs w:val="24"/>
        </w:rPr>
        <w:t xml:space="preserve">First decision: </w:t>
      </w:r>
      <w:r w:rsidRPr="006A23C4">
        <w:rPr>
          <w:rFonts w:ascii="Book Antiqua" w:hAnsi="Book Antiqua"/>
          <w:color w:val="000000"/>
          <w:sz w:val="24"/>
          <w:szCs w:val="24"/>
        </w:rPr>
        <w:t>March 27, 2019</w:t>
      </w:r>
    </w:p>
    <w:p w:rsidR="006E6EFA" w:rsidRPr="006A23C4" w:rsidRDefault="006E6EFA" w:rsidP="006E6EFA">
      <w:pPr>
        <w:spacing w:line="360" w:lineRule="auto"/>
        <w:rPr>
          <w:rFonts w:ascii="Book Antiqua" w:hAnsi="Book Antiqua"/>
          <w:b/>
          <w:color w:val="000000"/>
          <w:sz w:val="24"/>
          <w:szCs w:val="24"/>
        </w:rPr>
      </w:pPr>
      <w:r w:rsidRPr="006A23C4">
        <w:rPr>
          <w:rFonts w:ascii="Book Antiqua" w:hAnsi="Book Antiqua"/>
          <w:b/>
          <w:color w:val="000000"/>
          <w:sz w:val="24"/>
          <w:szCs w:val="24"/>
        </w:rPr>
        <w:t xml:space="preserve">Revised: </w:t>
      </w:r>
      <w:r w:rsidRPr="006A23C4">
        <w:rPr>
          <w:rFonts w:ascii="Book Antiqua" w:hAnsi="Book Antiqua"/>
          <w:color w:val="000000"/>
          <w:sz w:val="24"/>
          <w:szCs w:val="24"/>
        </w:rPr>
        <w:t>April 4, 2019</w:t>
      </w:r>
    </w:p>
    <w:p w:rsidR="006E6EFA" w:rsidRPr="006A23C4" w:rsidRDefault="006E6EFA" w:rsidP="006E6EFA">
      <w:pPr>
        <w:spacing w:line="360" w:lineRule="auto"/>
        <w:rPr>
          <w:rFonts w:ascii="Book Antiqua" w:hAnsi="Book Antiqua"/>
          <w:color w:val="000000"/>
          <w:sz w:val="24"/>
          <w:szCs w:val="24"/>
        </w:rPr>
      </w:pPr>
      <w:r w:rsidRPr="006A23C4">
        <w:rPr>
          <w:rFonts w:ascii="Book Antiqua" w:hAnsi="Book Antiqua"/>
          <w:b/>
          <w:color w:val="000000"/>
          <w:sz w:val="24"/>
          <w:szCs w:val="24"/>
        </w:rPr>
        <w:t>Accepted:</w:t>
      </w:r>
      <w:r w:rsidR="00DC2AEC" w:rsidRPr="00DC2AEC">
        <w:t xml:space="preserve"> </w:t>
      </w:r>
      <w:r w:rsidR="00DC2AEC" w:rsidRPr="00DC2AEC">
        <w:rPr>
          <w:rFonts w:ascii="Book Antiqua" w:hAnsi="Book Antiqua"/>
          <w:color w:val="000000"/>
          <w:sz w:val="24"/>
          <w:szCs w:val="24"/>
        </w:rPr>
        <w:t>April 29, 2019</w:t>
      </w:r>
      <w:r w:rsidRPr="006A23C4">
        <w:rPr>
          <w:rFonts w:ascii="Book Antiqua" w:hAnsi="Book Antiqua"/>
          <w:b/>
          <w:color w:val="000000"/>
          <w:sz w:val="24"/>
          <w:szCs w:val="24"/>
        </w:rPr>
        <w:t xml:space="preserve"> </w:t>
      </w:r>
    </w:p>
    <w:p w:rsidR="006E6EFA" w:rsidRPr="006A23C4" w:rsidRDefault="006E6EFA" w:rsidP="006E6EFA">
      <w:pPr>
        <w:spacing w:line="360" w:lineRule="auto"/>
        <w:rPr>
          <w:rFonts w:ascii="Book Antiqua" w:hAnsi="Book Antiqua"/>
          <w:b/>
          <w:color w:val="000000"/>
          <w:sz w:val="24"/>
          <w:szCs w:val="24"/>
        </w:rPr>
      </w:pPr>
      <w:r w:rsidRPr="006A23C4">
        <w:rPr>
          <w:rFonts w:ascii="Book Antiqua" w:hAnsi="Book Antiqua"/>
          <w:b/>
          <w:color w:val="000000"/>
          <w:sz w:val="24"/>
          <w:szCs w:val="24"/>
        </w:rPr>
        <w:t>Article in press:</w:t>
      </w:r>
      <w:r w:rsidR="00015CD9">
        <w:rPr>
          <w:rFonts w:ascii="Book Antiqua" w:hAnsi="Book Antiqua" w:hint="eastAsia"/>
          <w:b/>
          <w:color w:val="000000"/>
          <w:sz w:val="24"/>
          <w:szCs w:val="24"/>
        </w:rPr>
        <w:t xml:space="preserve"> </w:t>
      </w:r>
      <w:r w:rsidR="00015CD9" w:rsidRPr="00015CD9">
        <w:rPr>
          <w:rFonts w:ascii="Book Antiqua" w:hAnsi="Book Antiqua"/>
          <w:color w:val="000000"/>
          <w:sz w:val="24"/>
          <w:szCs w:val="24"/>
        </w:rPr>
        <w:t>April 29, 2019</w:t>
      </w:r>
    </w:p>
    <w:p w:rsidR="006E6EFA" w:rsidRPr="006A23C4" w:rsidRDefault="006E6EFA" w:rsidP="006E6EFA">
      <w:pPr>
        <w:spacing w:line="360" w:lineRule="auto"/>
        <w:rPr>
          <w:rFonts w:ascii="Book Antiqua" w:hAnsi="Book Antiqua"/>
          <w:b/>
          <w:color w:val="000000"/>
          <w:sz w:val="24"/>
          <w:szCs w:val="24"/>
        </w:rPr>
      </w:pPr>
      <w:r w:rsidRPr="006A23C4">
        <w:rPr>
          <w:rFonts w:ascii="Book Antiqua" w:hAnsi="Book Antiqua"/>
          <w:b/>
          <w:color w:val="000000"/>
          <w:sz w:val="24"/>
          <w:szCs w:val="24"/>
        </w:rPr>
        <w:t>Published online:</w:t>
      </w:r>
      <w:r w:rsidR="00015CD9">
        <w:rPr>
          <w:rFonts w:ascii="Book Antiqua" w:hAnsi="Book Antiqua" w:hint="eastAsia"/>
          <w:b/>
          <w:color w:val="000000"/>
          <w:sz w:val="24"/>
          <w:szCs w:val="24"/>
        </w:rPr>
        <w:t xml:space="preserve"> </w:t>
      </w:r>
      <w:r w:rsidR="00015CD9" w:rsidRPr="00015CD9">
        <w:rPr>
          <w:rFonts w:ascii="Book Antiqua" w:hAnsi="Book Antiqua"/>
          <w:color w:val="000000"/>
          <w:sz w:val="24"/>
          <w:szCs w:val="24"/>
        </w:rPr>
        <w:t>June 14, 2019</w:t>
      </w:r>
    </w:p>
    <w:bookmarkEnd w:id="20"/>
    <w:bookmarkEnd w:id="21"/>
    <w:bookmarkEnd w:id="22"/>
    <w:bookmarkEnd w:id="23"/>
    <w:p w:rsidR="007E0261" w:rsidRPr="006A23C4" w:rsidRDefault="007E0261" w:rsidP="00135736">
      <w:pPr>
        <w:spacing w:line="360" w:lineRule="auto"/>
        <w:rPr>
          <w:rFonts w:ascii="Book Antiqua" w:hAnsi="Book Antiqua" w:hint="eastAsia"/>
          <w:b/>
          <w:color w:val="000000"/>
          <w:kern w:val="0"/>
          <w:sz w:val="24"/>
          <w:szCs w:val="24"/>
        </w:rPr>
      </w:pPr>
    </w:p>
    <w:p w:rsidR="007E0261" w:rsidRPr="006A23C4" w:rsidRDefault="007E0261" w:rsidP="00135736">
      <w:pPr>
        <w:spacing w:line="360" w:lineRule="auto"/>
        <w:rPr>
          <w:rFonts w:ascii="Book Antiqua" w:hAnsi="Book Antiqua"/>
          <w:b/>
          <w:color w:val="000000"/>
          <w:sz w:val="24"/>
          <w:szCs w:val="24"/>
        </w:rPr>
      </w:pPr>
      <w:r w:rsidRPr="006A23C4">
        <w:rPr>
          <w:rFonts w:ascii="Book Antiqua" w:hAnsi="Book Antiqua"/>
          <w:b/>
          <w:color w:val="000000"/>
          <w:kern w:val="0"/>
          <w:sz w:val="24"/>
          <w:szCs w:val="24"/>
        </w:rPr>
        <w:br w:type="page"/>
      </w:r>
      <w:r w:rsidRPr="006A23C4">
        <w:rPr>
          <w:rFonts w:ascii="Book Antiqua" w:hAnsi="Book Antiqua"/>
          <w:b/>
          <w:color w:val="000000"/>
          <w:sz w:val="24"/>
          <w:szCs w:val="24"/>
        </w:rPr>
        <w:lastRenderedPageBreak/>
        <w:t>Abstract</w:t>
      </w:r>
    </w:p>
    <w:p w:rsidR="00490F6A" w:rsidRPr="006A23C4" w:rsidRDefault="00490F6A" w:rsidP="00135736">
      <w:pPr>
        <w:spacing w:line="360" w:lineRule="auto"/>
        <w:rPr>
          <w:rFonts w:ascii="Book Antiqua" w:hAnsi="Book Antiqua"/>
          <w:bCs/>
          <w:i/>
          <w:color w:val="000000"/>
          <w:sz w:val="24"/>
          <w:szCs w:val="24"/>
          <w:shd w:val="clear" w:color="auto" w:fill="FFFFFF"/>
        </w:rPr>
      </w:pPr>
      <w:r w:rsidRPr="006A23C4">
        <w:rPr>
          <w:rFonts w:ascii="Book Antiqua" w:hAnsi="Book Antiqua"/>
          <w:b/>
          <w:bCs/>
          <w:i/>
          <w:color w:val="000000"/>
          <w:sz w:val="24"/>
          <w:szCs w:val="24"/>
          <w:shd w:val="clear" w:color="auto" w:fill="FFFFFF"/>
        </w:rPr>
        <w:t>BACKGROUND</w:t>
      </w:r>
    </w:p>
    <w:p w:rsidR="00C87AC2" w:rsidRPr="006A23C4" w:rsidRDefault="00C87AC2" w:rsidP="00135736">
      <w:pPr>
        <w:spacing w:line="360" w:lineRule="auto"/>
        <w:rPr>
          <w:rFonts w:ascii="Book Antiqua" w:hAnsi="Book Antiqua"/>
          <w:bCs/>
          <w:color w:val="000000"/>
          <w:sz w:val="24"/>
          <w:szCs w:val="24"/>
          <w:shd w:val="clear" w:color="auto" w:fill="FFFFFF"/>
        </w:rPr>
      </w:pPr>
      <w:r w:rsidRPr="006A23C4">
        <w:rPr>
          <w:rFonts w:ascii="Book Antiqua" w:hAnsi="Book Antiqua"/>
          <w:bCs/>
          <w:color w:val="000000"/>
          <w:sz w:val="24"/>
          <w:szCs w:val="24"/>
          <w:shd w:val="clear" w:color="auto" w:fill="FFFFFF"/>
        </w:rPr>
        <w:t xml:space="preserve">The imbalance of Th17/Treg cells and </w:t>
      </w:r>
      <w:r w:rsidR="00A167B3">
        <w:rPr>
          <w:rFonts w:ascii="Book Antiqua" w:hAnsi="Book Antiqua"/>
          <w:bCs/>
          <w:color w:val="000000"/>
          <w:sz w:val="24"/>
          <w:szCs w:val="24"/>
          <w:shd w:val="clear" w:color="auto" w:fill="FFFFFF"/>
        </w:rPr>
        <w:t xml:space="preserve">the </w:t>
      </w:r>
      <w:r w:rsidRPr="006A23C4">
        <w:rPr>
          <w:rFonts w:ascii="Book Antiqua" w:hAnsi="Book Antiqua"/>
          <w:bCs/>
          <w:color w:val="000000"/>
          <w:sz w:val="24"/>
          <w:szCs w:val="24"/>
          <w:shd w:val="clear" w:color="auto" w:fill="FFFFFF"/>
        </w:rPr>
        <w:t>IL-23/IL-17 axis have been confirmed to be associated with sepsis and various inflammatory diseases. Early enteral nutrition (EEN) can modulate the inflammatory response, improve immune dysfunction, and prevent enterogenic infection in critically ill patients</w:t>
      </w:r>
      <w:r w:rsidR="003566D1">
        <w:rPr>
          <w:rFonts w:ascii="Book Antiqua" w:hAnsi="Book Antiqua"/>
          <w:bCs/>
          <w:color w:val="000000"/>
          <w:sz w:val="24"/>
          <w:szCs w:val="24"/>
          <w:shd w:val="clear" w:color="auto" w:fill="FFFFFF"/>
        </w:rPr>
        <w:t>;</w:t>
      </w:r>
      <w:r w:rsidR="003566D1" w:rsidRPr="006A23C4">
        <w:rPr>
          <w:rFonts w:ascii="Book Antiqua" w:hAnsi="Book Antiqua"/>
          <w:bCs/>
          <w:color w:val="000000"/>
          <w:sz w:val="24"/>
          <w:szCs w:val="24"/>
          <w:shd w:val="clear" w:color="auto" w:fill="FFFFFF"/>
        </w:rPr>
        <w:t xml:space="preserve"> </w:t>
      </w:r>
      <w:r w:rsidRPr="006A23C4">
        <w:rPr>
          <w:rFonts w:ascii="Book Antiqua" w:hAnsi="Book Antiqua"/>
          <w:bCs/>
          <w:color w:val="000000"/>
          <w:sz w:val="24"/>
          <w:szCs w:val="24"/>
          <w:shd w:val="clear" w:color="auto" w:fill="FFFFFF"/>
        </w:rPr>
        <w:t xml:space="preserve">however, the precise mechanisms remain unclear. Considering the important roles of Th17 and Treg lymphocytes in the development of inflammatory and infectious diseases, we hypothesized that EEN could improve the immune dysfunction in sepsis by maintaining a balanced Th17/Treg </w:t>
      </w:r>
      <w:r w:rsidR="00A167B3">
        <w:rPr>
          <w:rFonts w:ascii="Book Antiqua" w:hAnsi="Book Antiqua"/>
          <w:bCs/>
          <w:color w:val="000000"/>
          <w:sz w:val="24"/>
          <w:szCs w:val="24"/>
          <w:shd w:val="clear" w:color="auto" w:fill="FFFFFF"/>
        </w:rPr>
        <w:t xml:space="preserve">cell </w:t>
      </w:r>
      <w:r w:rsidRPr="006A23C4">
        <w:rPr>
          <w:rFonts w:ascii="Book Antiqua" w:hAnsi="Book Antiqua"/>
          <w:bCs/>
          <w:color w:val="000000"/>
          <w:sz w:val="24"/>
          <w:szCs w:val="24"/>
          <w:shd w:val="clear" w:color="auto" w:fill="FFFFFF"/>
        </w:rPr>
        <w:t>ratio and by regulating the IL-23/IL-17 axis.</w:t>
      </w:r>
    </w:p>
    <w:p w:rsidR="00C87AC2" w:rsidRPr="006A23C4" w:rsidRDefault="00C87AC2" w:rsidP="00135736">
      <w:pPr>
        <w:spacing w:line="360" w:lineRule="auto"/>
        <w:rPr>
          <w:rFonts w:ascii="Book Antiqua" w:hAnsi="Book Antiqua"/>
          <w:bCs/>
          <w:color w:val="000000"/>
          <w:sz w:val="24"/>
          <w:szCs w:val="24"/>
          <w:shd w:val="clear" w:color="auto" w:fill="FFFFFF"/>
        </w:rPr>
      </w:pPr>
    </w:p>
    <w:p w:rsidR="00490F6A" w:rsidRPr="006A23C4" w:rsidRDefault="00490F6A" w:rsidP="00135736">
      <w:pPr>
        <w:spacing w:line="360" w:lineRule="auto"/>
        <w:rPr>
          <w:rFonts w:ascii="Book Antiqua" w:hAnsi="Book Antiqua"/>
          <w:b/>
          <w:i/>
          <w:color w:val="000000"/>
          <w:kern w:val="0"/>
          <w:sz w:val="24"/>
          <w:szCs w:val="24"/>
        </w:rPr>
      </w:pPr>
      <w:r w:rsidRPr="006A23C4">
        <w:rPr>
          <w:rFonts w:ascii="Book Antiqua" w:hAnsi="Book Antiqua"/>
          <w:b/>
          <w:i/>
          <w:color w:val="000000"/>
          <w:kern w:val="0"/>
          <w:sz w:val="24"/>
          <w:szCs w:val="24"/>
        </w:rPr>
        <w:t>AIM</w:t>
      </w:r>
    </w:p>
    <w:p w:rsidR="00C87AC2" w:rsidRPr="006A23C4" w:rsidRDefault="00C87AC2"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To investigate the effects of EEN on the Th17/Treg</w:t>
      </w:r>
      <w:r w:rsidR="00A167B3">
        <w:rPr>
          <w:rFonts w:ascii="Book Antiqua" w:hAnsi="Book Antiqua"/>
          <w:color w:val="000000"/>
          <w:kern w:val="0"/>
          <w:sz w:val="24"/>
          <w:szCs w:val="24"/>
        </w:rPr>
        <w:t xml:space="preserve"> cell</w:t>
      </w:r>
      <w:r w:rsidRPr="006A23C4">
        <w:rPr>
          <w:rFonts w:ascii="Book Antiqua" w:hAnsi="Book Antiqua"/>
          <w:color w:val="000000"/>
          <w:kern w:val="0"/>
          <w:sz w:val="24"/>
          <w:szCs w:val="24"/>
        </w:rPr>
        <w:t xml:space="preserve"> ratios and </w:t>
      </w:r>
      <w:r w:rsidR="00A167B3">
        <w:rPr>
          <w:rFonts w:ascii="Book Antiqua" w:hAnsi="Book Antiqua"/>
          <w:color w:val="000000"/>
          <w:kern w:val="0"/>
          <w:sz w:val="24"/>
          <w:szCs w:val="24"/>
        </w:rPr>
        <w:t xml:space="preserve">the </w:t>
      </w:r>
      <w:r w:rsidRPr="006A23C4">
        <w:rPr>
          <w:rFonts w:ascii="Book Antiqua" w:hAnsi="Book Antiqua"/>
          <w:color w:val="000000"/>
          <w:kern w:val="0"/>
          <w:sz w:val="24"/>
          <w:szCs w:val="24"/>
        </w:rPr>
        <w:t>IL-23/IL-17 axis in septic patients.</w:t>
      </w:r>
    </w:p>
    <w:p w:rsidR="00C87AC2" w:rsidRPr="00781688" w:rsidRDefault="00C87AC2" w:rsidP="00135736">
      <w:pPr>
        <w:spacing w:line="360" w:lineRule="auto"/>
        <w:rPr>
          <w:rFonts w:ascii="Book Antiqua" w:hAnsi="Book Antiqua"/>
          <w:color w:val="000000"/>
          <w:kern w:val="0"/>
          <w:sz w:val="24"/>
          <w:szCs w:val="24"/>
        </w:rPr>
      </w:pPr>
    </w:p>
    <w:p w:rsidR="00490F6A" w:rsidRPr="006A23C4" w:rsidRDefault="00490F6A" w:rsidP="00135736">
      <w:pPr>
        <w:spacing w:line="360" w:lineRule="auto"/>
        <w:rPr>
          <w:rFonts w:ascii="Book Antiqua" w:hAnsi="Book Antiqua"/>
          <w:i/>
          <w:color w:val="000000"/>
          <w:kern w:val="0"/>
          <w:sz w:val="24"/>
          <w:szCs w:val="24"/>
        </w:rPr>
      </w:pPr>
      <w:r w:rsidRPr="006A23C4">
        <w:rPr>
          <w:rFonts w:ascii="Book Antiqua" w:hAnsi="Book Antiqua"/>
          <w:b/>
          <w:i/>
          <w:color w:val="000000"/>
          <w:kern w:val="0"/>
          <w:sz w:val="24"/>
          <w:szCs w:val="24"/>
        </w:rPr>
        <w:t>METHODS</w:t>
      </w:r>
    </w:p>
    <w:p w:rsidR="007E0261" w:rsidRPr="006A23C4" w:rsidRDefault="007E0261"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In this prospective clinical trial, patients were randomly divided into </w:t>
      </w:r>
      <w:r w:rsidR="00A167B3">
        <w:rPr>
          <w:rFonts w:ascii="Book Antiqua" w:hAnsi="Book Antiqua"/>
          <w:color w:val="000000"/>
          <w:kern w:val="0"/>
          <w:sz w:val="24"/>
          <w:szCs w:val="24"/>
        </w:rPr>
        <w:t>an</w:t>
      </w:r>
      <w:r w:rsidR="00A167B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EEN or delayed enteral nutrition (DEN) group. Enteral feeding was started within 48 h in the EEN group, whereas enteral feeding was started on the 4th day in the DEN group. The Th17 and Treg </w:t>
      </w:r>
      <w:r w:rsidR="00A167B3">
        <w:rPr>
          <w:rFonts w:ascii="Book Antiqua" w:hAnsi="Book Antiqua"/>
          <w:color w:val="000000"/>
          <w:kern w:val="0"/>
          <w:sz w:val="24"/>
          <w:szCs w:val="24"/>
        </w:rPr>
        <w:t xml:space="preserve">cell </w:t>
      </w:r>
      <w:r w:rsidRPr="006A23C4">
        <w:rPr>
          <w:rFonts w:ascii="Book Antiqua" w:hAnsi="Book Antiqua"/>
          <w:color w:val="000000"/>
          <w:kern w:val="0"/>
          <w:sz w:val="24"/>
          <w:szCs w:val="24"/>
        </w:rPr>
        <w:t>percentages and the interleukin levels were tested on days 1, 3, and 7 after admission. The clinical severity and outcome variables were also recorded.</w:t>
      </w:r>
    </w:p>
    <w:p w:rsidR="00C87AC2" w:rsidRPr="006A23C4" w:rsidRDefault="00C87AC2" w:rsidP="00135736">
      <w:pPr>
        <w:spacing w:line="360" w:lineRule="auto"/>
        <w:rPr>
          <w:rFonts w:ascii="Book Antiqua" w:hAnsi="Book Antiqua" w:cs="TimesNewRomanPS-BoldMT"/>
          <w:b/>
          <w:bCs/>
          <w:color w:val="000000"/>
          <w:kern w:val="0"/>
          <w:sz w:val="24"/>
          <w:szCs w:val="24"/>
        </w:rPr>
      </w:pPr>
    </w:p>
    <w:p w:rsidR="00490F6A" w:rsidRPr="006A23C4" w:rsidRDefault="00490F6A" w:rsidP="00135736">
      <w:pPr>
        <w:spacing w:line="360" w:lineRule="auto"/>
        <w:rPr>
          <w:rFonts w:ascii="Book Antiqua" w:hAnsi="Book Antiqua"/>
          <w:i/>
          <w:color w:val="000000"/>
          <w:kern w:val="0"/>
          <w:sz w:val="24"/>
          <w:szCs w:val="24"/>
        </w:rPr>
      </w:pPr>
      <w:r w:rsidRPr="006A23C4">
        <w:rPr>
          <w:rFonts w:ascii="Book Antiqua" w:hAnsi="Book Antiqua"/>
          <w:b/>
          <w:i/>
          <w:color w:val="000000"/>
          <w:kern w:val="0"/>
          <w:sz w:val="24"/>
          <w:szCs w:val="24"/>
        </w:rPr>
        <w:t>RESULTS</w:t>
      </w:r>
    </w:p>
    <w:p w:rsidR="007E0261" w:rsidRPr="006A23C4" w:rsidRDefault="007E0261"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Fifty-three patients were enrolled in this trial from October 2017 to June 2018.</w:t>
      </w:r>
      <w:r w:rsidRPr="006A23C4">
        <w:rPr>
          <w:rFonts w:ascii="Book Antiqua" w:hAnsi="Book Antiqua" w:cs="TimesNewRomanPS-BoldMT"/>
          <w:b/>
          <w:bCs/>
          <w:color w:val="000000"/>
          <w:kern w:val="0"/>
          <w:sz w:val="24"/>
          <w:szCs w:val="24"/>
        </w:rPr>
        <w:t xml:space="preserve"> </w:t>
      </w:r>
      <w:r w:rsidRPr="006A23C4">
        <w:rPr>
          <w:rFonts w:ascii="Book Antiqua" w:hAnsi="Book Antiqua"/>
          <w:color w:val="000000"/>
          <w:kern w:val="0"/>
          <w:sz w:val="24"/>
          <w:szCs w:val="24"/>
        </w:rPr>
        <w:t>The Th17</w:t>
      </w:r>
      <w:r w:rsidR="00A167B3">
        <w:rPr>
          <w:rFonts w:ascii="Book Antiqua" w:hAnsi="Book Antiqua"/>
          <w:color w:val="000000"/>
          <w:kern w:val="0"/>
          <w:sz w:val="24"/>
          <w:szCs w:val="24"/>
        </w:rPr>
        <w:t xml:space="preserve"> cell</w:t>
      </w:r>
      <w:r w:rsidRPr="006A23C4">
        <w:rPr>
          <w:rFonts w:ascii="Book Antiqua" w:hAnsi="Book Antiqua"/>
          <w:color w:val="000000"/>
          <w:kern w:val="0"/>
          <w:sz w:val="24"/>
          <w:szCs w:val="24"/>
        </w:rPr>
        <w:t xml:space="preserve"> percentages, Th17/Treg </w:t>
      </w:r>
      <w:r w:rsidR="00A167B3">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IL-17, IL-23, and IL-6 levels of the EEN group were</w:t>
      </w:r>
      <w:r w:rsidRPr="006A23C4">
        <w:rPr>
          <w:rFonts w:ascii="Book Antiqua" w:hAnsi="Book Antiqua"/>
          <w:bCs/>
          <w:color w:val="000000"/>
          <w:kern w:val="0"/>
          <w:sz w:val="24"/>
          <w:szCs w:val="24"/>
        </w:rPr>
        <w:t xml:space="preserve"> lower than those of the DEN group on the 7th day after admission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0.05</w:t>
      </w:r>
      <w:r w:rsidRPr="006A23C4">
        <w:rPr>
          <w:rFonts w:ascii="Book Antiqua" w:hAnsi="Book Antiqua"/>
          <w:bCs/>
          <w:color w:val="000000"/>
          <w:kern w:val="0"/>
          <w:sz w:val="24"/>
          <w:szCs w:val="24"/>
        </w:rPr>
        <w:t>). T</w:t>
      </w:r>
      <w:r w:rsidRPr="006A23C4">
        <w:rPr>
          <w:rFonts w:ascii="Book Antiqua" w:hAnsi="Book Antiqua"/>
          <w:color w:val="000000"/>
          <w:kern w:val="0"/>
          <w:sz w:val="24"/>
          <w:szCs w:val="24"/>
        </w:rPr>
        <w:t xml:space="preserve">he </w:t>
      </w:r>
      <w:r w:rsidRPr="006A23C4">
        <w:rPr>
          <w:rFonts w:ascii="Book Antiqua" w:hAnsi="Book Antiqua"/>
          <w:bCs/>
          <w:color w:val="000000"/>
          <w:kern w:val="0"/>
          <w:sz w:val="24"/>
          <w:szCs w:val="24"/>
        </w:rPr>
        <w:t xml:space="preserve">duration of </w:t>
      </w:r>
      <w:r w:rsidRPr="006A23C4">
        <w:rPr>
          <w:rFonts w:ascii="Book Antiqua" w:hAnsi="Book Antiqua"/>
          <w:color w:val="000000"/>
          <w:kern w:val="0"/>
          <w:sz w:val="24"/>
          <w:szCs w:val="24"/>
        </w:rPr>
        <w:t>mechanical ventilation</w:t>
      </w:r>
      <w:r w:rsidRPr="006A23C4">
        <w:rPr>
          <w:rFonts w:ascii="Book Antiqua" w:hAnsi="Book Antiqua"/>
          <w:bCs/>
          <w:color w:val="000000"/>
          <w:kern w:val="0"/>
          <w:sz w:val="24"/>
          <w:szCs w:val="24"/>
        </w:rPr>
        <w:t xml:space="preserve"> and of the </w:t>
      </w:r>
      <w:r w:rsidR="00490F6A" w:rsidRPr="006A23C4">
        <w:rPr>
          <w:rFonts w:ascii="Book Antiqua" w:hAnsi="Book Antiqua"/>
          <w:color w:val="000000"/>
          <w:kern w:val="0"/>
          <w:sz w:val="24"/>
          <w:szCs w:val="24"/>
        </w:rPr>
        <w:t>intensive care unit</w:t>
      </w:r>
      <w:r w:rsidRPr="006A23C4">
        <w:rPr>
          <w:rFonts w:ascii="Book Antiqua" w:hAnsi="Book Antiqua"/>
          <w:bCs/>
          <w:color w:val="000000"/>
          <w:kern w:val="0"/>
          <w:sz w:val="24"/>
          <w:szCs w:val="24"/>
        </w:rPr>
        <w:t xml:space="preserve"> stay of the EEN group were shorter than those of the DEN </w:t>
      </w:r>
      <w:r w:rsidRPr="006A23C4">
        <w:rPr>
          <w:rFonts w:ascii="Book Antiqua" w:hAnsi="Book Antiqua"/>
          <w:bCs/>
          <w:color w:val="000000"/>
          <w:kern w:val="0"/>
          <w:sz w:val="24"/>
          <w:szCs w:val="24"/>
        </w:rPr>
        <w:lastRenderedPageBreak/>
        <w:t>group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0.05</w:t>
      </w:r>
      <w:r w:rsidRPr="006A23C4">
        <w:rPr>
          <w:rFonts w:ascii="Book Antiqua" w:hAnsi="Book Antiqua"/>
          <w:bCs/>
          <w:color w:val="000000"/>
          <w:kern w:val="0"/>
          <w:sz w:val="24"/>
          <w:szCs w:val="24"/>
        </w:rPr>
        <w:t>).</w:t>
      </w:r>
      <w:r w:rsidRPr="006A23C4">
        <w:rPr>
          <w:rFonts w:ascii="Book Antiqua" w:hAnsi="Book Antiqua"/>
          <w:color w:val="000000"/>
          <w:kern w:val="0"/>
          <w:sz w:val="24"/>
          <w:szCs w:val="24"/>
        </w:rPr>
        <w:t xml:space="preserve"> However, no difference in the 28-d mortality was found between the two groups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0.728).</w:t>
      </w:r>
    </w:p>
    <w:p w:rsidR="007E0261" w:rsidRPr="006A23C4" w:rsidRDefault="007E0261" w:rsidP="00135736">
      <w:pPr>
        <w:spacing w:line="360" w:lineRule="auto"/>
        <w:rPr>
          <w:rFonts w:ascii="Book Antiqua" w:hAnsi="Book Antiqua"/>
          <w:b/>
          <w:color w:val="000000"/>
          <w:kern w:val="0"/>
          <w:sz w:val="24"/>
          <w:szCs w:val="24"/>
        </w:rPr>
      </w:pPr>
    </w:p>
    <w:p w:rsidR="00490F6A" w:rsidRPr="006A23C4" w:rsidRDefault="00490F6A" w:rsidP="00135736">
      <w:pPr>
        <w:spacing w:line="360" w:lineRule="auto"/>
        <w:rPr>
          <w:rFonts w:ascii="Book Antiqua" w:hAnsi="Book Antiqua"/>
          <w:i/>
          <w:color w:val="000000"/>
          <w:kern w:val="0"/>
          <w:sz w:val="24"/>
          <w:szCs w:val="24"/>
        </w:rPr>
      </w:pPr>
      <w:r w:rsidRPr="006A23C4">
        <w:rPr>
          <w:rFonts w:ascii="Book Antiqua" w:hAnsi="Book Antiqua"/>
          <w:b/>
          <w:i/>
          <w:color w:val="000000"/>
          <w:kern w:val="0"/>
          <w:sz w:val="24"/>
          <w:szCs w:val="24"/>
        </w:rPr>
        <w:t>CONCLUSION</w:t>
      </w:r>
    </w:p>
    <w:p w:rsidR="007E0261" w:rsidRPr="006A23C4" w:rsidRDefault="007E0261" w:rsidP="00135736">
      <w:pPr>
        <w:spacing w:line="360" w:lineRule="auto"/>
        <w:rPr>
          <w:rFonts w:ascii="Book Antiqua" w:hAnsi="Book Antiqua" w:cs="TimesNewRomanPS-BoldMT"/>
          <w:b/>
          <w:bCs/>
          <w:color w:val="000000"/>
          <w:kern w:val="0"/>
          <w:sz w:val="24"/>
          <w:szCs w:val="24"/>
        </w:rPr>
      </w:pPr>
      <w:r w:rsidRPr="006A23C4">
        <w:rPr>
          <w:rFonts w:ascii="Book Antiqua" w:hAnsi="Book Antiqua"/>
          <w:color w:val="000000"/>
          <w:kern w:val="0"/>
          <w:sz w:val="24"/>
          <w:szCs w:val="24"/>
        </w:rPr>
        <w:t xml:space="preserve">EEN could regulate the imbalance of Th17/Treg </w:t>
      </w:r>
      <w:r w:rsidR="00A167B3">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and suppress the IL-23/IL-17 axis during sepsis. Moreover, EEN could reduce the clinical severity of sepsis but did not reduce the 28-d mortality of septic patients.</w:t>
      </w:r>
    </w:p>
    <w:p w:rsidR="007E0261" w:rsidRPr="006A23C4" w:rsidRDefault="007E0261" w:rsidP="00135736">
      <w:pPr>
        <w:spacing w:line="360" w:lineRule="auto"/>
        <w:rPr>
          <w:rFonts w:ascii="Book Antiqua" w:hAnsi="Book Antiqua"/>
          <w:b/>
          <w:color w:val="000000"/>
          <w:sz w:val="24"/>
          <w:szCs w:val="24"/>
        </w:rPr>
      </w:pPr>
    </w:p>
    <w:p w:rsidR="007E0261" w:rsidRPr="006A23C4" w:rsidRDefault="006372EB" w:rsidP="00135736">
      <w:pPr>
        <w:spacing w:line="360" w:lineRule="auto"/>
        <w:rPr>
          <w:rFonts w:ascii="Book Antiqua" w:hAnsi="Book Antiqua"/>
          <w:color w:val="000000"/>
          <w:kern w:val="0"/>
          <w:sz w:val="24"/>
          <w:szCs w:val="24"/>
        </w:rPr>
      </w:pPr>
      <w:r w:rsidRPr="006A23C4">
        <w:rPr>
          <w:rFonts w:ascii="Book Antiqua" w:eastAsia="Times New Roman" w:hAnsi="Book Antiqua" w:cs="Arial"/>
          <w:b/>
          <w:color w:val="000000"/>
          <w:kern w:val="0"/>
          <w:sz w:val="24"/>
          <w:szCs w:val="24"/>
          <w:lang w:eastAsia="hu-HU"/>
        </w:rPr>
        <w:t xml:space="preserve">Key words: </w:t>
      </w:r>
      <w:bookmarkStart w:id="24" w:name="OLE_LINK14"/>
      <w:r w:rsidR="007E0261" w:rsidRPr="006A23C4">
        <w:rPr>
          <w:rFonts w:ascii="Book Antiqua" w:hAnsi="Book Antiqua"/>
          <w:color w:val="000000"/>
          <w:kern w:val="0"/>
          <w:sz w:val="24"/>
          <w:szCs w:val="24"/>
        </w:rPr>
        <w:t>Early enteral nutrition; Enteral nutrition; T helper lymphocytes; Th17/Treg cells; IL-23/IL-17 axis; Sepsis</w:t>
      </w:r>
    </w:p>
    <w:bookmarkEnd w:id="24"/>
    <w:p w:rsidR="007E0261" w:rsidRPr="006A23C4" w:rsidRDefault="007E0261" w:rsidP="00135736">
      <w:pPr>
        <w:spacing w:line="360" w:lineRule="auto"/>
        <w:rPr>
          <w:rFonts w:ascii="Book Antiqua" w:hAnsi="Book Antiqua"/>
          <w:b/>
          <w:color w:val="000000"/>
          <w:sz w:val="24"/>
          <w:szCs w:val="24"/>
        </w:rPr>
      </w:pPr>
    </w:p>
    <w:p w:rsidR="006372EB" w:rsidRPr="006A23C4" w:rsidRDefault="006372EB" w:rsidP="006372EB">
      <w:pPr>
        <w:autoSpaceDE w:val="0"/>
        <w:autoSpaceDN w:val="0"/>
        <w:adjustRightInd w:val="0"/>
        <w:snapToGrid w:val="0"/>
        <w:spacing w:line="360" w:lineRule="auto"/>
        <w:rPr>
          <w:rFonts w:ascii="Book Antiqua" w:hAnsi="Book Antiqua" w:cs="Arial Unicode MS"/>
          <w:color w:val="000000"/>
          <w:sz w:val="24"/>
          <w:szCs w:val="24"/>
        </w:rPr>
      </w:pPr>
      <w:r w:rsidRPr="006A23C4">
        <w:rPr>
          <w:rFonts w:ascii="Book Antiqua" w:hAnsi="Book Antiqua"/>
          <w:b/>
          <w:color w:val="000000"/>
          <w:sz w:val="24"/>
          <w:szCs w:val="24"/>
          <w:lang w:val="en-GB"/>
        </w:rPr>
        <w:t xml:space="preserve">© </w:t>
      </w:r>
      <w:r w:rsidRPr="006A23C4">
        <w:rPr>
          <w:rFonts w:ascii="Book Antiqua" w:eastAsia="AdvTimes" w:hAnsi="Book Antiqua" w:cs="AdvTimes"/>
          <w:b/>
          <w:color w:val="000000"/>
          <w:sz w:val="24"/>
          <w:szCs w:val="24"/>
        </w:rPr>
        <w:t>The Author(s) 2019.</w:t>
      </w:r>
      <w:r w:rsidRPr="006A23C4">
        <w:rPr>
          <w:rFonts w:ascii="Book Antiqua" w:eastAsia="AdvTimes" w:hAnsi="Book Antiqua" w:cs="AdvTimes"/>
          <w:color w:val="000000"/>
          <w:sz w:val="24"/>
          <w:szCs w:val="24"/>
        </w:rPr>
        <w:t xml:space="preserve"> Published by </w:t>
      </w:r>
      <w:r w:rsidRPr="006A23C4">
        <w:rPr>
          <w:rFonts w:ascii="Book Antiqua" w:hAnsi="Book Antiqua" w:cs="Arial Unicode MS"/>
          <w:color w:val="000000"/>
          <w:sz w:val="24"/>
          <w:szCs w:val="24"/>
          <w:lang w:val="en-GB"/>
        </w:rPr>
        <w:t>Baishideng Publishing Group Inc.</w:t>
      </w:r>
      <w:r w:rsidRPr="006A23C4">
        <w:rPr>
          <w:rFonts w:ascii="Book Antiqua" w:hAnsi="Book Antiqua" w:cs="Arial Unicode MS"/>
          <w:color w:val="000000"/>
          <w:sz w:val="24"/>
          <w:szCs w:val="24"/>
        </w:rPr>
        <w:t xml:space="preserve"> All rights reserved.</w:t>
      </w:r>
    </w:p>
    <w:p w:rsidR="006372EB" w:rsidRPr="006A23C4" w:rsidRDefault="006372EB" w:rsidP="00135736">
      <w:pPr>
        <w:spacing w:line="360" w:lineRule="auto"/>
        <w:rPr>
          <w:rFonts w:ascii="Book Antiqua" w:hAnsi="Book Antiqua" w:hint="eastAsia"/>
          <w:b/>
          <w:color w:val="000000"/>
          <w:sz w:val="24"/>
          <w:szCs w:val="24"/>
        </w:rPr>
      </w:pPr>
    </w:p>
    <w:p w:rsidR="002C7D3B" w:rsidRPr="006A23C4" w:rsidRDefault="006372EB" w:rsidP="00135736">
      <w:pPr>
        <w:spacing w:line="360" w:lineRule="auto"/>
        <w:rPr>
          <w:rFonts w:ascii="Book Antiqua" w:hAnsi="Book Antiqua"/>
          <w:color w:val="000000"/>
          <w:sz w:val="24"/>
          <w:szCs w:val="24"/>
        </w:rPr>
      </w:pPr>
      <w:bookmarkStart w:id="25" w:name="OLE_LINK40"/>
      <w:bookmarkStart w:id="26" w:name="OLE_LINK41"/>
      <w:r w:rsidRPr="006A23C4">
        <w:rPr>
          <w:rFonts w:ascii="Book Antiqua" w:eastAsia="Arial Unicode MS" w:hAnsi="Book Antiqua" w:cs="Arial Unicode MS"/>
          <w:b/>
          <w:color w:val="000000"/>
          <w:kern w:val="0"/>
          <w:sz w:val="24"/>
          <w:szCs w:val="24"/>
          <w:lang w:val="hu-HU" w:eastAsia="hu-HU"/>
        </w:rPr>
        <w:t xml:space="preserve">Core </w:t>
      </w:r>
      <w:r w:rsidRPr="006A23C4">
        <w:rPr>
          <w:rFonts w:ascii="Book Antiqua" w:eastAsia="Times New Roman" w:hAnsi="Book Antiqua" w:cs="Arial Unicode MS"/>
          <w:b/>
          <w:color w:val="000000"/>
          <w:kern w:val="0"/>
          <w:sz w:val="24"/>
          <w:szCs w:val="24"/>
          <w:lang w:val="hu-HU" w:eastAsia="hu-HU"/>
        </w:rPr>
        <w:t>tip</w:t>
      </w:r>
      <w:r w:rsidRPr="006A23C4">
        <w:rPr>
          <w:rFonts w:ascii="Book Antiqua" w:eastAsia="Arial Unicode MS" w:hAnsi="Book Antiqua" w:cs="Arial Unicode MS"/>
          <w:b/>
          <w:color w:val="000000"/>
          <w:kern w:val="0"/>
          <w:sz w:val="24"/>
          <w:szCs w:val="24"/>
          <w:lang w:val="hu-HU" w:eastAsia="hu-HU"/>
        </w:rPr>
        <w:t>:</w:t>
      </w:r>
      <w:r w:rsidRPr="006A23C4">
        <w:rPr>
          <w:rFonts w:ascii="Book Antiqua" w:eastAsia="Times New Roman" w:hAnsi="Book Antiqua" w:cs="Arial"/>
          <w:b/>
          <w:color w:val="000000"/>
          <w:kern w:val="0"/>
          <w:sz w:val="24"/>
          <w:szCs w:val="24"/>
          <w:lang w:eastAsia="hu-HU"/>
        </w:rPr>
        <w:t xml:space="preserve"> </w:t>
      </w:r>
      <w:bookmarkStart w:id="27" w:name="OLE_LINK15"/>
      <w:r w:rsidR="002C7D3B" w:rsidRPr="006A23C4">
        <w:rPr>
          <w:rFonts w:ascii="Book Antiqua" w:hAnsi="Book Antiqua"/>
          <w:color w:val="000000"/>
          <w:kern w:val="0"/>
          <w:sz w:val="24"/>
          <w:szCs w:val="24"/>
        </w:rPr>
        <w:t xml:space="preserve">The aim of this prospective clinical trial was to investigate </w:t>
      </w:r>
      <w:r w:rsidR="00A167B3">
        <w:rPr>
          <w:rFonts w:ascii="Book Antiqua" w:hAnsi="Book Antiqua"/>
          <w:color w:val="000000"/>
          <w:kern w:val="0"/>
          <w:sz w:val="24"/>
          <w:szCs w:val="24"/>
        </w:rPr>
        <w:t xml:space="preserve">the </w:t>
      </w:r>
      <w:r w:rsidR="002C7D3B" w:rsidRPr="006A23C4">
        <w:rPr>
          <w:rFonts w:ascii="Book Antiqua" w:hAnsi="Book Antiqua"/>
          <w:color w:val="000000"/>
          <w:kern w:val="0"/>
          <w:sz w:val="24"/>
          <w:szCs w:val="24"/>
        </w:rPr>
        <w:t xml:space="preserve">effects of </w:t>
      </w:r>
      <w:r w:rsidR="00F2246B" w:rsidRPr="006A23C4">
        <w:rPr>
          <w:rFonts w:ascii="Book Antiqua" w:hAnsi="Book Antiqua"/>
          <w:bCs/>
          <w:color w:val="000000"/>
          <w:sz w:val="24"/>
          <w:szCs w:val="24"/>
          <w:shd w:val="clear" w:color="auto" w:fill="FFFFFF"/>
        </w:rPr>
        <w:t>early enteral nutrition (EEN)</w:t>
      </w:r>
      <w:r w:rsidR="00574A61" w:rsidRPr="006A23C4">
        <w:rPr>
          <w:rFonts w:ascii="Book Antiqua" w:hAnsi="Book Antiqua"/>
          <w:color w:val="000000"/>
          <w:kern w:val="0"/>
          <w:sz w:val="24"/>
          <w:szCs w:val="24"/>
        </w:rPr>
        <w:t xml:space="preserve"> on </w:t>
      </w:r>
      <w:r w:rsidR="002C7D3B" w:rsidRPr="006A23C4">
        <w:rPr>
          <w:rFonts w:ascii="Book Antiqua" w:hAnsi="Book Antiqua"/>
          <w:color w:val="000000"/>
          <w:kern w:val="0"/>
          <w:sz w:val="24"/>
          <w:szCs w:val="24"/>
        </w:rPr>
        <w:t xml:space="preserve">Th17/Treg </w:t>
      </w:r>
      <w:r w:rsidR="00A167B3">
        <w:rPr>
          <w:rFonts w:ascii="Book Antiqua" w:hAnsi="Book Antiqua"/>
          <w:color w:val="000000"/>
          <w:kern w:val="0"/>
          <w:sz w:val="24"/>
          <w:szCs w:val="24"/>
        </w:rPr>
        <w:t xml:space="preserve">cell </w:t>
      </w:r>
      <w:r w:rsidR="002C7D3B" w:rsidRPr="006A23C4">
        <w:rPr>
          <w:rFonts w:ascii="Book Antiqua" w:hAnsi="Book Antiqua"/>
          <w:color w:val="000000"/>
          <w:kern w:val="0"/>
          <w:sz w:val="24"/>
          <w:szCs w:val="24"/>
        </w:rPr>
        <w:t xml:space="preserve">ratios and </w:t>
      </w:r>
      <w:r w:rsidR="00A167B3">
        <w:rPr>
          <w:rFonts w:ascii="Book Antiqua" w:hAnsi="Book Antiqua"/>
          <w:color w:val="000000"/>
          <w:kern w:val="0"/>
          <w:sz w:val="24"/>
          <w:szCs w:val="24"/>
        </w:rPr>
        <w:t xml:space="preserve">the </w:t>
      </w:r>
      <w:r w:rsidR="002C7D3B" w:rsidRPr="006A23C4">
        <w:rPr>
          <w:rFonts w:ascii="Book Antiqua" w:hAnsi="Book Antiqua"/>
          <w:color w:val="000000"/>
          <w:kern w:val="0"/>
          <w:sz w:val="24"/>
          <w:szCs w:val="24"/>
        </w:rPr>
        <w:t xml:space="preserve">IL-23/IL-17 axis in septic patients. Patients were randomly divided into </w:t>
      </w:r>
      <w:r w:rsidR="00A167B3">
        <w:rPr>
          <w:rFonts w:ascii="Book Antiqua" w:hAnsi="Book Antiqua"/>
          <w:color w:val="000000"/>
          <w:kern w:val="0"/>
          <w:sz w:val="24"/>
          <w:szCs w:val="24"/>
        </w:rPr>
        <w:t xml:space="preserve">an </w:t>
      </w:r>
      <w:r w:rsidR="002C7D3B" w:rsidRPr="006A23C4">
        <w:rPr>
          <w:rFonts w:ascii="Book Antiqua" w:hAnsi="Book Antiqua"/>
          <w:color w:val="000000"/>
          <w:kern w:val="0"/>
          <w:sz w:val="24"/>
          <w:szCs w:val="24"/>
        </w:rPr>
        <w:t xml:space="preserve">EEN or </w:t>
      </w:r>
      <w:r w:rsidR="00F2246B" w:rsidRPr="006A23C4">
        <w:rPr>
          <w:rFonts w:ascii="Book Antiqua" w:hAnsi="Book Antiqua"/>
          <w:color w:val="000000"/>
          <w:kern w:val="0"/>
          <w:sz w:val="24"/>
          <w:szCs w:val="24"/>
        </w:rPr>
        <w:t>delayed enteral nutrition (DEN)</w:t>
      </w:r>
      <w:r w:rsidR="002C7D3B" w:rsidRPr="006A23C4">
        <w:rPr>
          <w:rFonts w:ascii="Book Antiqua" w:hAnsi="Book Antiqua"/>
          <w:color w:val="000000"/>
          <w:kern w:val="0"/>
          <w:sz w:val="24"/>
          <w:szCs w:val="24"/>
        </w:rPr>
        <w:t xml:space="preserve"> group. As a result, the Th17 </w:t>
      </w:r>
      <w:r w:rsidR="009E3E12">
        <w:rPr>
          <w:rFonts w:ascii="Book Antiqua" w:hAnsi="Book Antiqua"/>
          <w:color w:val="000000"/>
          <w:kern w:val="0"/>
          <w:sz w:val="24"/>
          <w:szCs w:val="24"/>
        </w:rPr>
        <w:t xml:space="preserve">cell </w:t>
      </w:r>
      <w:r w:rsidR="002C7D3B" w:rsidRPr="006A23C4">
        <w:rPr>
          <w:rFonts w:ascii="Book Antiqua" w:hAnsi="Book Antiqua"/>
          <w:color w:val="000000"/>
          <w:kern w:val="0"/>
          <w:sz w:val="24"/>
          <w:szCs w:val="24"/>
        </w:rPr>
        <w:t>percentages, Th17/Treg</w:t>
      </w:r>
      <w:r w:rsidR="00781688">
        <w:rPr>
          <w:rFonts w:ascii="Book Antiqua" w:hAnsi="Book Antiqua"/>
          <w:color w:val="000000"/>
          <w:kern w:val="0"/>
          <w:sz w:val="24"/>
          <w:szCs w:val="24"/>
        </w:rPr>
        <w:t xml:space="preserve"> cell</w:t>
      </w:r>
      <w:r w:rsidR="002C7D3B" w:rsidRPr="006A23C4">
        <w:rPr>
          <w:rFonts w:ascii="Book Antiqua" w:hAnsi="Book Antiqua"/>
          <w:color w:val="000000"/>
          <w:kern w:val="0"/>
          <w:sz w:val="24"/>
          <w:szCs w:val="24"/>
        </w:rPr>
        <w:t xml:space="preserve"> ratios, IL-17, IL-23, and IL-6 levels of the EEN group were</w:t>
      </w:r>
      <w:r w:rsidR="002C7D3B" w:rsidRPr="006A23C4">
        <w:rPr>
          <w:rFonts w:ascii="Book Antiqua" w:hAnsi="Book Antiqua"/>
          <w:bCs/>
          <w:color w:val="000000"/>
          <w:kern w:val="0"/>
          <w:sz w:val="24"/>
          <w:szCs w:val="24"/>
        </w:rPr>
        <w:t xml:space="preserve"> lower than those of the DEN group on the 7th day after admission. In other words, </w:t>
      </w:r>
      <w:r w:rsidR="002C7D3B" w:rsidRPr="006A23C4">
        <w:rPr>
          <w:rFonts w:ascii="Book Antiqua" w:hAnsi="Book Antiqua"/>
          <w:color w:val="000000"/>
          <w:kern w:val="0"/>
          <w:sz w:val="24"/>
          <w:szCs w:val="24"/>
        </w:rPr>
        <w:t xml:space="preserve">EEN could regulate the imbalance of Th17/Treg </w:t>
      </w:r>
      <w:r w:rsidR="00A167B3">
        <w:rPr>
          <w:rFonts w:ascii="Book Antiqua" w:hAnsi="Book Antiqua"/>
          <w:color w:val="000000"/>
          <w:kern w:val="0"/>
          <w:sz w:val="24"/>
          <w:szCs w:val="24"/>
        </w:rPr>
        <w:t xml:space="preserve">cell </w:t>
      </w:r>
      <w:r w:rsidR="002C7D3B" w:rsidRPr="006A23C4">
        <w:rPr>
          <w:rFonts w:ascii="Book Antiqua" w:hAnsi="Book Antiqua"/>
          <w:color w:val="000000"/>
          <w:kern w:val="0"/>
          <w:sz w:val="24"/>
          <w:szCs w:val="24"/>
        </w:rPr>
        <w:t>ratios and suppress the IL-23/IL-17 axis during sepsis. Moreover, EEN could reduce the clinical severity but did not reduce the 28-d mortality of se</w:t>
      </w:r>
      <w:r w:rsidR="00574A61" w:rsidRPr="006A23C4">
        <w:rPr>
          <w:rFonts w:ascii="Book Antiqua" w:hAnsi="Book Antiqua"/>
          <w:color w:val="000000"/>
          <w:kern w:val="0"/>
          <w:sz w:val="24"/>
          <w:szCs w:val="24"/>
        </w:rPr>
        <w:t>psis</w:t>
      </w:r>
      <w:r w:rsidR="002C7D3B" w:rsidRPr="006A23C4">
        <w:rPr>
          <w:rFonts w:ascii="Book Antiqua" w:hAnsi="Book Antiqua"/>
          <w:color w:val="000000"/>
          <w:kern w:val="0"/>
          <w:sz w:val="24"/>
          <w:szCs w:val="24"/>
        </w:rPr>
        <w:t>.</w:t>
      </w:r>
    </w:p>
    <w:bookmarkEnd w:id="27"/>
    <w:p w:rsidR="002C7D3B" w:rsidRPr="006A23C4" w:rsidRDefault="002C7D3B" w:rsidP="00135736">
      <w:pPr>
        <w:spacing w:line="360" w:lineRule="auto"/>
        <w:rPr>
          <w:rFonts w:ascii="Book Antiqua" w:eastAsia="Arial Unicode MS" w:hAnsi="Book Antiqua" w:cs="Arial Unicode MS"/>
          <w:b/>
          <w:color w:val="000000"/>
          <w:sz w:val="24"/>
          <w:szCs w:val="24"/>
          <w:lang w:val="en"/>
        </w:rPr>
      </w:pPr>
    </w:p>
    <w:p w:rsidR="00015CD9" w:rsidRPr="00EC7987" w:rsidRDefault="00F2246B" w:rsidP="00015CD9">
      <w:pPr>
        <w:rPr>
          <w:rFonts w:ascii="Book Antiqua" w:eastAsia="等线" w:hAnsi="Book Antiqua"/>
          <w:sz w:val="24"/>
          <w:szCs w:val="24"/>
        </w:rPr>
      </w:pPr>
      <w:r w:rsidRPr="006A23C4">
        <w:rPr>
          <w:rFonts w:ascii="Book Antiqua" w:hAnsi="Book Antiqua"/>
          <w:color w:val="000000"/>
          <w:kern w:val="0"/>
          <w:sz w:val="24"/>
          <w:szCs w:val="24"/>
        </w:rPr>
        <w:t>Sun</w:t>
      </w:r>
      <w:r w:rsidRPr="006A23C4">
        <w:rPr>
          <w:rFonts w:ascii="Book Antiqua" w:hAnsi="Book Antiqua"/>
          <w:color w:val="000000"/>
          <w:sz w:val="24"/>
          <w:szCs w:val="24"/>
        </w:rPr>
        <w:t xml:space="preserve"> JK, </w:t>
      </w:r>
      <w:r w:rsidRPr="006A23C4">
        <w:rPr>
          <w:rFonts w:ascii="Book Antiqua" w:hAnsi="Book Antiqua"/>
          <w:color w:val="000000"/>
          <w:kern w:val="0"/>
          <w:sz w:val="24"/>
          <w:szCs w:val="24"/>
        </w:rPr>
        <w:t>Zhang</w:t>
      </w:r>
      <w:r w:rsidRPr="006A23C4">
        <w:rPr>
          <w:rFonts w:ascii="Book Antiqua" w:hAnsi="Book Antiqua"/>
          <w:color w:val="000000"/>
          <w:sz w:val="24"/>
          <w:szCs w:val="24"/>
        </w:rPr>
        <w:t xml:space="preserve"> WH, </w:t>
      </w:r>
      <w:r w:rsidRPr="006A23C4">
        <w:rPr>
          <w:rFonts w:ascii="Book Antiqua" w:hAnsi="Book Antiqua"/>
          <w:color w:val="000000"/>
          <w:kern w:val="0"/>
          <w:sz w:val="24"/>
          <w:szCs w:val="24"/>
        </w:rPr>
        <w:t>Chen</w:t>
      </w:r>
      <w:r w:rsidRPr="006A23C4">
        <w:rPr>
          <w:rFonts w:ascii="Book Antiqua" w:hAnsi="Book Antiqua"/>
          <w:color w:val="000000"/>
          <w:sz w:val="24"/>
          <w:szCs w:val="24"/>
        </w:rPr>
        <w:t xml:space="preserve"> WX, </w:t>
      </w:r>
      <w:r w:rsidRPr="006A23C4">
        <w:rPr>
          <w:rFonts w:ascii="Book Antiqua" w:hAnsi="Book Antiqua"/>
          <w:color w:val="000000"/>
          <w:kern w:val="0"/>
          <w:sz w:val="24"/>
          <w:szCs w:val="24"/>
        </w:rPr>
        <w:t>Wang</w:t>
      </w:r>
      <w:r w:rsidRPr="006A23C4">
        <w:rPr>
          <w:rFonts w:ascii="Book Antiqua" w:hAnsi="Book Antiqua"/>
          <w:color w:val="000000"/>
          <w:sz w:val="24"/>
          <w:szCs w:val="24"/>
        </w:rPr>
        <w:t xml:space="preserve"> X, </w:t>
      </w:r>
      <w:r w:rsidRPr="006A23C4">
        <w:rPr>
          <w:rFonts w:ascii="Book Antiqua" w:hAnsi="Book Antiqua"/>
          <w:color w:val="000000"/>
          <w:kern w:val="0"/>
          <w:sz w:val="24"/>
          <w:szCs w:val="24"/>
        </w:rPr>
        <w:t>Mu</w:t>
      </w:r>
      <w:r w:rsidRPr="006A23C4">
        <w:rPr>
          <w:rFonts w:ascii="Book Antiqua" w:hAnsi="Book Antiqua"/>
          <w:color w:val="000000"/>
          <w:sz w:val="24"/>
          <w:szCs w:val="24"/>
        </w:rPr>
        <w:t xml:space="preserve"> XW. Effects of early enteral nutrition on Th17/Treg </w:t>
      </w:r>
      <w:r w:rsidR="00A167B3">
        <w:rPr>
          <w:rFonts w:ascii="Book Antiqua" w:hAnsi="Book Antiqua"/>
          <w:color w:val="000000"/>
          <w:sz w:val="24"/>
          <w:szCs w:val="24"/>
        </w:rPr>
        <w:t xml:space="preserve">cells </w:t>
      </w:r>
      <w:r w:rsidRPr="006A23C4">
        <w:rPr>
          <w:rFonts w:ascii="Book Antiqua" w:hAnsi="Book Antiqua"/>
          <w:color w:val="000000"/>
          <w:sz w:val="24"/>
          <w:szCs w:val="24"/>
        </w:rPr>
        <w:t xml:space="preserve">and IL-23/IL-17 in septic patients. </w:t>
      </w:r>
      <w:r w:rsidRPr="006A23C4">
        <w:rPr>
          <w:rFonts w:ascii="Book Antiqua" w:hAnsi="Book Antiqua" w:cs="Arial"/>
          <w:bCs/>
          <w:i/>
          <w:color w:val="000000"/>
          <w:sz w:val="24"/>
          <w:szCs w:val="24"/>
        </w:rPr>
        <w:t xml:space="preserve">World J Gastroenterol </w:t>
      </w:r>
      <w:r w:rsidR="00015CD9" w:rsidRPr="00015CD9">
        <w:rPr>
          <w:rFonts w:ascii="Book Antiqua" w:eastAsia="Calibri" w:hAnsi="Book Antiqua"/>
          <w:sz w:val="24"/>
          <w:szCs w:val="24"/>
        </w:rPr>
        <w:t xml:space="preserve">2019; 25(22): </w:t>
      </w:r>
      <w:r w:rsidR="00015CD9">
        <w:rPr>
          <w:rFonts w:ascii="Book Antiqua" w:eastAsia="等线" w:hAnsi="Book Antiqua" w:hint="eastAsia"/>
          <w:sz w:val="24"/>
          <w:szCs w:val="24"/>
        </w:rPr>
        <w:t>2799</w:t>
      </w:r>
      <w:r w:rsidR="00015CD9" w:rsidRPr="00015CD9">
        <w:rPr>
          <w:rFonts w:ascii="Book Antiqua" w:eastAsia="Calibri" w:hAnsi="Book Antiqua"/>
          <w:sz w:val="24"/>
          <w:szCs w:val="24"/>
        </w:rPr>
        <w:t>-</w:t>
      </w:r>
      <w:r w:rsidR="00015CD9">
        <w:rPr>
          <w:rFonts w:ascii="Book Antiqua" w:eastAsia="等线" w:hAnsi="Book Antiqua" w:hint="eastAsia"/>
          <w:sz w:val="24"/>
          <w:szCs w:val="24"/>
        </w:rPr>
        <w:t>2808</w:t>
      </w:r>
    </w:p>
    <w:p w:rsidR="00015CD9" w:rsidRDefault="00015CD9" w:rsidP="00015CD9">
      <w:pPr>
        <w:rPr>
          <w:rFonts w:ascii="Book Antiqua" w:eastAsia="等线" w:hAnsi="Book Antiqua"/>
          <w:sz w:val="24"/>
          <w:szCs w:val="24"/>
        </w:rPr>
      </w:pPr>
      <w:r w:rsidRPr="00015CD9">
        <w:rPr>
          <w:rFonts w:ascii="Book Antiqua" w:eastAsia="Calibri" w:hAnsi="Book Antiqua"/>
          <w:b/>
          <w:sz w:val="24"/>
          <w:szCs w:val="24"/>
        </w:rPr>
        <w:t>URL:</w:t>
      </w:r>
      <w:r w:rsidRPr="00015CD9">
        <w:rPr>
          <w:rFonts w:ascii="Book Antiqua" w:eastAsia="Calibri" w:hAnsi="Book Antiqua"/>
          <w:sz w:val="24"/>
          <w:szCs w:val="24"/>
        </w:rPr>
        <w:t xml:space="preserve"> https://www.wjgnet.com/1007-9327/full/v25/i22/</w:t>
      </w:r>
      <w:r>
        <w:rPr>
          <w:rFonts w:ascii="Book Antiqua" w:eastAsia="等线" w:hAnsi="Book Antiqua" w:hint="eastAsia"/>
          <w:sz w:val="24"/>
          <w:szCs w:val="24"/>
        </w:rPr>
        <w:t>2799</w:t>
      </w:r>
      <w:r w:rsidRPr="00015CD9">
        <w:rPr>
          <w:rFonts w:ascii="Book Antiqua" w:eastAsia="Calibri" w:hAnsi="Book Antiqua"/>
          <w:sz w:val="24"/>
          <w:szCs w:val="24"/>
        </w:rPr>
        <w:t>.htm</w:t>
      </w:r>
    </w:p>
    <w:p w:rsidR="00F2246B" w:rsidRPr="006A23C4" w:rsidRDefault="00015CD9" w:rsidP="00015CD9">
      <w:pPr>
        <w:spacing w:line="360" w:lineRule="auto"/>
        <w:rPr>
          <w:rFonts w:ascii="Book Antiqua" w:hAnsi="Book Antiqua" w:hint="eastAsia"/>
          <w:color w:val="000000"/>
          <w:sz w:val="24"/>
          <w:szCs w:val="24"/>
        </w:rPr>
      </w:pPr>
      <w:r w:rsidRPr="00015CD9">
        <w:rPr>
          <w:rFonts w:ascii="Book Antiqua" w:eastAsia="Calibri" w:hAnsi="Book Antiqua"/>
          <w:b/>
          <w:sz w:val="24"/>
          <w:szCs w:val="24"/>
        </w:rPr>
        <w:t xml:space="preserve">DOI: </w:t>
      </w:r>
      <w:r w:rsidRPr="00015CD9">
        <w:rPr>
          <w:rFonts w:ascii="Book Antiqua" w:eastAsia="Calibri" w:hAnsi="Book Antiqua"/>
          <w:sz w:val="24"/>
          <w:szCs w:val="24"/>
        </w:rPr>
        <w:t>https://dx.doi.org/10.3748/wjg.v25.i22.</w:t>
      </w:r>
      <w:r>
        <w:rPr>
          <w:rFonts w:ascii="Book Antiqua" w:eastAsia="等线" w:hAnsi="Book Antiqua" w:hint="eastAsia"/>
          <w:sz w:val="24"/>
          <w:szCs w:val="24"/>
        </w:rPr>
        <w:t>2799</w:t>
      </w:r>
    </w:p>
    <w:p w:rsidR="007E0261" w:rsidRPr="006A23C4" w:rsidRDefault="00F2246B" w:rsidP="00135736">
      <w:pPr>
        <w:spacing w:line="360" w:lineRule="auto"/>
        <w:rPr>
          <w:rFonts w:ascii="Book Antiqua" w:hAnsi="Book Antiqua"/>
          <w:b/>
          <w:color w:val="000000"/>
          <w:sz w:val="24"/>
          <w:szCs w:val="24"/>
        </w:rPr>
      </w:pPr>
      <w:r w:rsidRPr="006A23C4">
        <w:rPr>
          <w:rFonts w:ascii="Book Antiqua" w:eastAsia="Arial Unicode MS" w:hAnsi="Book Antiqua" w:cs="Arial Unicode MS"/>
          <w:b/>
          <w:color w:val="000000"/>
          <w:sz w:val="24"/>
          <w:szCs w:val="24"/>
          <w:lang w:val="en"/>
        </w:rPr>
        <w:br w:type="page"/>
      </w:r>
      <w:bookmarkEnd w:id="25"/>
      <w:bookmarkEnd w:id="26"/>
      <w:r w:rsidR="00F10718" w:rsidRPr="006A23C4">
        <w:rPr>
          <w:rFonts w:ascii="Book Antiqua" w:hAnsi="Book Antiqua"/>
          <w:b/>
          <w:color w:val="000000"/>
          <w:sz w:val="24"/>
          <w:szCs w:val="24"/>
        </w:rPr>
        <w:t>INTRODUCTION</w:t>
      </w:r>
    </w:p>
    <w:p w:rsidR="007E0261" w:rsidRPr="006A23C4" w:rsidRDefault="007E0261" w:rsidP="00F10718">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As a severe systemic response to infection, sepsis is often accompanied by multiple organ dysfunction syndrome (MODS). </w:t>
      </w:r>
      <w:r w:rsidR="008D3F50" w:rsidRPr="006A23C4">
        <w:rPr>
          <w:rFonts w:ascii="Book Antiqua" w:hAnsi="Book Antiqua"/>
          <w:color w:val="000000"/>
          <w:kern w:val="0"/>
          <w:sz w:val="24"/>
          <w:szCs w:val="24"/>
        </w:rPr>
        <w:t>Recent studies</w:t>
      </w:r>
      <w:r w:rsidRPr="006A23C4">
        <w:rPr>
          <w:rFonts w:ascii="Book Antiqua" w:hAnsi="Book Antiqua"/>
          <w:color w:val="000000"/>
          <w:kern w:val="0"/>
          <w:sz w:val="24"/>
          <w:szCs w:val="24"/>
          <w:vertAlign w:val="superscript"/>
        </w:rPr>
        <w:t>[1-4]</w:t>
      </w:r>
      <w:r w:rsidRPr="006A23C4">
        <w:rPr>
          <w:rFonts w:ascii="Book Antiqua" w:hAnsi="Book Antiqua"/>
          <w:color w:val="000000"/>
          <w:kern w:val="0"/>
          <w:sz w:val="24"/>
          <w:szCs w:val="24"/>
        </w:rPr>
        <w:t xml:space="preserve"> have reported that immune disorders might play a </w:t>
      </w:r>
      <w:r w:rsidR="00AB5A8D" w:rsidRPr="006A23C4">
        <w:rPr>
          <w:rFonts w:ascii="Book Antiqua" w:hAnsi="Book Antiqua"/>
          <w:color w:val="000000"/>
          <w:kern w:val="0"/>
          <w:sz w:val="24"/>
          <w:szCs w:val="24"/>
        </w:rPr>
        <w:t>vital</w:t>
      </w:r>
      <w:r w:rsidRPr="006A23C4">
        <w:rPr>
          <w:rFonts w:ascii="Book Antiqua" w:hAnsi="Book Antiqua"/>
          <w:color w:val="000000"/>
          <w:kern w:val="0"/>
          <w:sz w:val="24"/>
          <w:szCs w:val="24"/>
        </w:rPr>
        <w:t xml:space="preserve"> role in the development of sepsis, and these disorders (immune excess or suppression) are closely related to T lymphocytes during both the early and late phases of sepsis. In addition to Th1 and Th2 lymphocytes, the roles of Th17 and Treg lymphocytes (which are also differentiated from CD4+ T cell subsets) in sepsi</w:t>
      </w:r>
      <w:r w:rsidR="008D3F50" w:rsidRPr="006A23C4">
        <w:rPr>
          <w:rFonts w:ascii="Book Antiqua" w:hAnsi="Book Antiqua"/>
          <w:color w:val="000000"/>
          <w:kern w:val="0"/>
          <w:sz w:val="24"/>
          <w:szCs w:val="24"/>
        </w:rPr>
        <w:t>s have been clarified gradually</w:t>
      </w:r>
      <w:r w:rsidRPr="006A23C4">
        <w:rPr>
          <w:rFonts w:ascii="Book Antiqua" w:hAnsi="Book Antiqua"/>
          <w:color w:val="000000"/>
          <w:kern w:val="0"/>
          <w:sz w:val="24"/>
          <w:szCs w:val="24"/>
          <w:vertAlign w:val="superscript"/>
        </w:rPr>
        <w:t>[5,6]</w:t>
      </w:r>
      <w:r w:rsidRPr="006A23C4">
        <w:rPr>
          <w:rFonts w:ascii="Book Antiqua" w:hAnsi="Book Antiqua"/>
          <w:color w:val="000000"/>
          <w:kern w:val="0"/>
          <w:sz w:val="24"/>
          <w:szCs w:val="24"/>
        </w:rPr>
        <w:t>.</w:t>
      </w:r>
    </w:p>
    <w:p w:rsidR="007E0261" w:rsidRPr="006A23C4" w:rsidRDefault="007E0261" w:rsidP="00F10718">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Mature Th17 cells cause a pro-inflammatory response, mainly by secreting IL-17 and IL-6, whereas Treg cells exert anti-inflammatory effects by secreting TGF-β and IL-10. The imbalance of Th17/Treg cells has been confirmed to be associated with sepsis an</w:t>
      </w:r>
      <w:r w:rsidR="008D3F50" w:rsidRPr="006A23C4">
        <w:rPr>
          <w:rFonts w:ascii="Book Antiqua" w:hAnsi="Book Antiqua"/>
          <w:color w:val="000000"/>
          <w:kern w:val="0"/>
          <w:sz w:val="24"/>
          <w:szCs w:val="24"/>
        </w:rPr>
        <w:t>d various inflammatory diseases</w:t>
      </w:r>
      <w:r w:rsidRPr="006A23C4">
        <w:rPr>
          <w:rFonts w:ascii="Book Antiqua" w:hAnsi="Book Antiqua"/>
          <w:color w:val="000000"/>
          <w:kern w:val="0"/>
          <w:sz w:val="24"/>
          <w:szCs w:val="24"/>
          <w:vertAlign w:val="superscript"/>
        </w:rPr>
        <w:t>[1,3,6]</w:t>
      </w:r>
      <w:r w:rsidRPr="006A23C4">
        <w:rPr>
          <w:rFonts w:ascii="Book Antiqua" w:hAnsi="Book Antiqua"/>
          <w:color w:val="000000"/>
          <w:kern w:val="0"/>
          <w:sz w:val="24"/>
          <w:szCs w:val="24"/>
        </w:rPr>
        <w:t>. It was reported that Th17 cells could be activated by another cytokine, IL-23 (belonging to the IL-12 family), which then increased the secretion of IL-17, f</w:t>
      </w:r>
      <w:r w:rsidR="008D3F50" w:rsidRPr="006A23C4">
        <w:rPr>
          <w:rFonts w:ascii="Book Antiqua" w:hAnsi="Book Antiqua"/>
          <w:color w:val="000000"/>
          <w:kern w:val="0"/>
          <w:sz w:val="24"/>
          <w:szCs w:val="24"/>
        </w:rPr>
        <w:t>orming a positive feedback loop</w:t>
      </w:r>
      <w:r w:rsidRPr="006A23C4">
        <w:rPr>
          <w:rFonts w:ascii="Book Antiqua" w:hAnsi="Book Antiqua"/>
          <w:color w:val="000000"/>
          <w:kern w:val="0"/>
          <w:sz w:val="24"/>
          <w:szCs w:val="24"/>
          <w:vertAlign w:val="superscript"/>
        </w:rPr>
        <w:t>[7,8]</w:t>
      </w:r>
      <w:r w:rsidRPr="006A23C4">
        <w:rPr>
          <w:rFonts w:ascii="Book Antiqua" w:hAnsi="Book Antiqua"/>
          <w:color w:val="000000"/>
          <w:kern w:val="0"/>
          <w:sz w:val="24"/>
          <w:szCs w:val="24"/>
        </w:rPr>
        <w:t>. This positive feedback loop of the IL-23/IL-17 axis has considerable roles in the progression of infection, cancer</w:t>
      </w:r>
      <w:r w:rsidR="003566D1">
        <w:rPr>
          <w:rFonts w:ascii="Book Antiqua" w:hAnsi="Book Antiqua"/>
          <w:color w:val="000000"/>
          <w:kern w:val="0"/>
          <w:sz w:val="24"/>
          <w:szCs w:val="24"/>
        </w:rPr>
        <w:t>,</w:t>
      </w:r>
      <w:r w:rsidRPr="006A23C4">
        <w:rPr>
          <w:rFonts w:ascii="Book Antiqua" w:hAnsi="Book Antiqua"/>
          <w:color w:val="000000"/>
          <w:kern w:val="0"/>
          <w:sz w:val="24"/>
          <w:szCs w:val="24"/>
        </w:rPr>
        <w:t xml:space="preserve"> and inflammatory bowel disease. Therefore, improving the imbalance of the Th17/Treg </w:t>
      </w:r>
      <w:r w:rsidR="003566D1">
        <w:rPr>
          <w:rFonts w:ascii="Book Antiqua" w:hAnsi="Book Antiqua"/>
          <w:color w:val="000000"/>
          <w:kern w:val="0"/>
          <w:sz w:val="24"/>
          <w:szCs w:val="24"/>
        </w:rPr>
        <w:t xml:space="preserve">cells </w:t>
      </w:r>
      <w:r w:rsidRPr="006A23C4">
        <w:rPr>
          <w:rFonts w:ascii="Book Antiqua" w:hAnsi="Book Antiqua"/>
          <w:color w:val="000000"/>
          <w:kern w:val="0"/>
          <w:sz w:val="24"/>
          <w:szCs w:val="24"/>
        </w:rPr>
        <w:t xml:space="preserve">and the IL-23/IL-17 </w:t>
      </w:r>
      <w:r w:rsidR="003566D1" w:rsidRPr="006A23C4">
        <w:rPr>
          <w:rFonts w:ascii="Book Antiqua" w:hAnsi="Book Antiqua"/>
          <w:color w:val="000000"/>
          <w:kern w:val="0"/>
          <w:sz w:val="24"/>
          <w:szCs w:val="24"/>
        </w:rPr>
        <w:t>ax</w:t>
      </w:r>
      <w:r w:rsidR="003566D1">
        <w:rPr>
          <w:rFonts w:ascii="Book Antiqua" w:hAnsi="Book Antiqua"/>
          <w:color w:val="000000"/>
          <w:kern w:val="0"/>
          <w:sz w:val="24"/>
          <w:szCs w:val="24"/>
        </w:rPr>
        <w:t>i</w:t>
      </w:r>
      <w:r w:rsidR="003566D1" w:rsidRPr="006A23C4">
        <w:rPr>
          <w:rFonts w:ascii="Book Antiqua" w:hAnsi="Book Antiqua"/>
          <w:color w:val="000000"/>
          <w:kern w:val="0"/>
          <w:sz w:val="24"/>
          <w:szCs w:val="24"/>
        </w:rPr>
        <w:t xml:space="preserve">s </w:t>
      </w:r>
      <w:r w:rsidRPr="006A23C4">
        <w:rPr>
          <w:rFonts w:ascii="Book Antiqua" w:hAnsi="Book Antiqua"/>
          <w:color w:val="000000"/>
          <w:kern w:val="0"/>
          <w:sz w:val="24"/>
          <w:szCs w:val="24"/>
        </w:rPr>
        <w:t>might be a valuable strategy for the treatment of sepsis.</w:t>
      </w:r>
    </w:p>
    <w:p w:rsidR="007E0261" w:rsidRPr="006A23C4" w:rsidRDefault="007E0261" w:rsidP="00F10718">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As an essential therapeutic measure for sepsis, enteral nutrition (EN), especially early </w:t>
      </w:r>
      <w:r w:rsidR="00F10718" w:rsidRPr="006A23C4">
        <w:rPr>
          <w:rFonts w:ascii="Book Antiqua" w:hAnsi="Book Antiqua"/>
          <w:color w:val="000000"/>
          <w:kern w:val="0"/>
          <w:sz w:val="24"/>
          <w:szCs w:val="24"/>
        </w:rPr>
        <w:t>EN</w:t>
      </w:r>
      <w:r w:rsidRPr="006A23C4">
        <w:rPr>
          <w:rFonts w:ascii="Book Antiqua" w:hAnsi="Book Antiqua"/>
          <w:color w:val="000000"/>
          <w:kern w:val="0"/>
          <w:sz w:val="24"/>
          <w:szCs w:val="24"/>
        </w:rPr>
        <w:t xml:space="preserve"> (EEN), can modulate the inflammatory response, improve immune dysfunction, and prevent enterogenic infec</w:t>
      </w:r>
      <w:r w:rsidR="008D3F50" w:rsidRPr="006A23C4">
        <w:rPr>
          <w:rFonts w:ascii="Book Antiqua" w:hAnsi="Book Antiqua"/>
          <w:color w:val="000000"/>
          <w:kern w:val="0"/>
          <w:sz w:val="24"/>
          <w:szCs w:val="24"/>
        </w:rPr>
        <w:t>tion in critically ill patients</w:t>
      </w:r>
      <w:r w:rsidRPr="006A23C4">
        <w:rPr>
          <w:rFonts w:ascii="Book Antiqua" w:hAnsi="Book Antiqua"/>
          <w:color w:val="000000"/>
          <w:kern w:val="0"/>
          <w:sz w:val="24"/>
          <w:szCs w:val="24"/>
          <w:vertAlign w:val="superscript"/>
        </w:rPr>
        <w:t>[9-11]</w:t>
      </w:r>
      <w:r w:rsidRPr="006A23C4">
        <w:rPr>
          <w:rFonts w:ascii="Book Antiqua" w:hAnsi="Book Antiqua"/>
          <w:color w:val="000000"/>
          <w:kern w:val="0"/>
          <w:sz w:val="24"/>
          <w:szCs w:val="24"/>
        </w:rPr>
        <w:t xml:space="preserve">; however, the precise mechanisms remain unclear. Considering the important roles of Th17 and Treg lymphocytes in the development of inflammatory and infectious diseases, we hypothesized that EN could improve the immune dysfunction in sepsis by maintaining a balanced Th17/Treg </w:t>
      </w:r>
      <w:r w:rsidR="003566D1">
        <w:rPr>
          <w:rFonts w:ascii="Book Antiqua" w:hAnsi="Book Antiqua"/>
          <w:color w:val="000000"/>
          <w:kern w:val="0"/>
          <w:sz w:val="24"/>
          <w:szCs w:val="24"/>
        </w:rPr>
        <w:t xml:space="preserve">cell </w:t>
      </w:r>
      <w:r w:rsidRPr="006A23C4">
        <w:rPr>
          <w:rFonts w:ascii="Book Antiqua" w:hAnsi="Book Antiqua"/>
          <w:color w:val="000000"/>
          <w:kern w:val="0"/>
          <w:sz w:val="24"/>
          <w:szCs w:val="24"/>
        </w:rPr>
        <w:t>ratio and by regulating the IL-23/IL-17 axis. O</w:t>
      </w:r>
      <w:r w:rsidR="008D3F50" w:rsidRPr="006A23C4">
        <w:rPr>
          <w:rFonts w:ascii="Book Antiqua" w:hAnsi="Book Antiqua"/>
          <w:color w:val="000000"/>
          <w:kern w:val="0"/>
          <w:sz w:val="24"/>
          <w:szCs w:val="24"/>
        </w:rPr>
        <w:t>ur previous retrospective study</w:t>
      </w:r>
      <w:r w:rsidRPr="006A23C4">
        <w:rPr>
          <w:rFonts w:ascii="Book Antiqua" w:hAnsi="Book Antiqua"/>
          <w:color w:val="000000"/>
          <w:kern w:val="0"/>
          <w:sz w:val="24"/>
          <w:szCs w:val="24"/>
          <w:vertAlign w:val="superscript"/>
        </w:rPr>
        <w:t>[12]</w:t>
      </w:r>
      <w:r w:rsidRPr="006A23C4">
        <w:rPr>
          <w:rFonts w:ascii="Book Antiqua" w:hAnsi="Book Antiqua"/>
          <w:color w:val="000000"/>
          <w:kern w:val="0"/>
          <w:sz w:val="24"/>
          <w:szCs w:val="24"/>
        </w:rPr>
        <w:t xml:space="preserve"> also confirmed that EEN could improve the </w:t>
      </w:r>
      <w:r w:rsidR="00BC4097" w:rsidRPr="006A23C4">
        <w:rPr>
          <w:rFonts w:ascii="Book Antiqua" w:hAnsi="Book Antiqua"/>
          <w:color w:val="000000"/>
          <w:kern w:val="0"/>
          <w:sz w:val="24"/>
          <w:szCs w:val="24"/>
        </w:rPr>
        <w:t>imbalance</w:t>
      </w:r>
      <w:r w:rsidRPr="006A23C4">
        <w:rPr>
          <w:rFonts w:ascii="Book Antiqua" w:hAnsi="Book Antiqua"/>
          <w:color w:val="000000"/>
          <w:kern w:val="0"/>
          <w:sz w:val="24"/>
          <w:szCs w:val="24"/>
        </w:rPr>
        <w:t xml:space="preserve"> of Th1/Th2 and Th17/Treg </w:t>
      </w:r>
      <w:r w:rsidR="003566D1">
        <w:rPr>
          <w:rFonts w:ascii="Book Antiqua" w:hAnsi="Book Antiqua"/>
          <w:color w:val="000000"/>
          <w:kern w:val="0"/>
          <w:sz w:val="24"/>
          <w:szCs w:val="24"/>
        </w:rPr>
        <w:t xml:space="preserve">cell </w:t>
      </w:r>
      <w:r w:rsidRPr="006A23C4">
        <w:rPr>
          <w:rFonts w:ascii="Book Antiqua" w:hAnsi="Book Antiqua"/>
          <w:color w:val="000000"/>
          <w:kern w:val="0"/>
          <w:sz w:val="24"/>
          <w:szCs w:val="24"/>
        </w:rPr>
        <w:t xml:space="preserve">ratios during the early stage of sepsis. However, it is unclear how EN affects the IL-23/IL-17 axis in septic patients. Moreover, due to the limitations of retrospective studies, a prospective clinical trial is still needed to verify our conclusions. Therefore, we hypothesized that EEN could decrease the Th17/Treg </w:t>
      </w:r>
      <w:r w:rsidR="003566D1">
        <w:rPr>
          <w:rFonts w:ascii="Book Antiqua" w:hAnsi="Book Antiqua"/>
          <w:color w:val="000000"/>
          <w:kern w:val="0"/>
          <w:sz w:val="24"/>
          <w:szCs w:val="24"/>
        </w:rPr>
        <w:t xml:space="preserve">cell </w:t>
      </w:r>
      <w:r w:rsidRPr="006A23C4">
        <w:rPr>
          <w:rFonts w:ascii="Book Antiqua" w:hAnsi="Book Antiqua"/>
          <w:color w:val="000000"/>
          <w:kern w:val="0"/>
          <w:sz w:val="24"/>
          <w:szCs w:val="24"/>
        </w:rPr>
        <w:t>ratio and regulate the IL-23/IL-17 axis in septic patients, and this prospective randomized clinical study was performed to verify our hypothesis.</w:t>
      </w:r>
    </w:p>
    <w:p w:rsidR="007E0261" w:rsidRPr="006A23C4" w:rsidRDefault="007E0261" w:rsidP="00135736">
      <w:pPr>
        <w:spacing w:line="360" w:lineRule="auto"/>
        <w:rPr>
          <w:rFonts w:ascii="Book Antiqua" w:hAnsi="Book Antiqua"/>
          <w:b/>
          <w:color w:val="000000"/>
          <w:sz w:val="24"/>
          <w:szCs w:val="24"/>
        </w:rPr>
      </w:pPr>
    </w:p>
    <w:p w:rsidR="007E0261" w:rsidRPr="006A23C4" w:rsidRDefault="00F10718" w:rsidP="00135736">
      <w:pPr>
        <w:spacing w:line="360" w:lineRule="auto"/>
        <w:rPr>
          <w:rFonts w:ascii="Book Antiqua" w:hAnsi="Book Antiqua"/>
          <w:b/>
          <w:color w:val="000000"/>
          <w:sz w:val="24"/>
          <w:szCs w:val="24"/>
        </w:rPr>
      </w:pPr>
      <w:r w:rsidRPr="006A23C4">
        <w:rPr>
          <w:rFonts w:ascii="Book Antiqua" w:hAnsi="Book Antiqua"/>
          <w:b/>
          <w:color w:val="000000"/>
          <w:sz w:val="24"/>
          <w:szCs w:val="24"/>
        </w:rPr>
        <w:t>MATERIALS AND METHODS</w:t>
      </w:r>
    </w:p>
    <w:p w:rsidR="007E0261" w:rsidRPr="006A23C4" w:rsidRDefault="007E0261" w:rsidP="00135736">
      <w:pPr>
        <w:spacing w:line="360" w:lineRule="auto"/>
        <w:rPr>
          <w:rFonts w:ascii="Book Antiqua" w:hAnsi="Book Antiqua"/>
          <w:b/>
          <w:i/>
          <w:color w:val="000000"/>
          <w:sz w:val="24"/>
          <w:szCs w:val="24"/>
        </w:rPr>
      </w:pPr>
      <w:r w:rsidRPr="006A23C4">
        <w:rPr>
          <w:rFonts w:ascii="Book Antiqua" w:hAnsi="Book Antiqua"/>
          <w:b/>
          <w:i/>
          <w:color w:val="000000"/>
          <w:sz w:val="24"/>
          <w:szCs w:val="24"/>
        </w:rPr>
        <w:t>Study design</w:t>
      </w:r>
    </w:p>
    <w:p w:rsidR="007E0261" w:rsidRPr="006A23C4" w:rsidRDefault="007E0261" w:rsidP="00F10718">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This was a </w:t>
      </w:r>
      <w:r w:rsidR="00BC4097" w:rsidRPr="006A23C4">
        <w:rPr>
          <w:rFonts w:ascii="Book Antiqua" w:hAnsi="Book Antiqua"/>
          <w:color w:val="000000"/>
          <w:kern w:val="0"/>
          <w:sz w:val="24"/>
          <w:szCs w:val="24"/>
        </w:rPr>
        <w:t xml:space="preserve">prospective, </w:t>
      </w:r>
      <w:r w:rsidRPr="006A23C4">
        <w:rPr>
          <w:rFonts w:ascii="Book Antiqua" w:hAnsi="Book Antiqua"/>
          <w:color w:val="000000"/>
          <w:kern w:val="0"/>
          <w:sz w:val="24"/>
          <w:szCs w:val="24"/>
        </w:rPr>
        <w:t xml:space="preserve">single-center, and randomized clinical trial. Patients were randomly allocated to receive EEN or delayed </w:t>
      </w:r>
      <w:r w:rsidR="00F10718" w:rsidRPr="006A23C4">
        <w:rPr>
          <w:rFonts w:ascii="Book Antiqua" w:hAnsi="Book Antiqua"/>
          <w:color w:val="000000"/>
          <w:kern w:val="0"/>
          <w:sz w:val="24"/>
          <w:szCs w:val="24"/>
        </w:rPr>
        <w:t>EN</w:t>
      </w:r>
      <w:r w:rsidRPr="006A23C4">
        <w:rPr>
          <w:rFonts w:ascii="Book Antiqua" w:hAnsi="Book Antiqua"/>
          <w:color w:val="000000"/>
          <w:kern w:val="0"/>
          <w:sz w:val="24"/>
          <w:szCs w:val="24"/>
        </w:rPr>
        <w:t xml:space="preserve"> (DEN) on admission. </w:t>
      </w:r>
      <w:r w:rsidR="005A6458" w:rsidRPr="006A23C4">
        <w:rPr>
          <w:rFonts w:ascii="Book Antiqua" w:hAnsi="Book Antiqua"/>
          <w:bCs/>
          <w:color w:val="000000"/>
          <w:sz w:val="24"/>
          <w:szCs w:val="24"/>
        </w:rPr>
        <w:t>We used the simple randomization or complete randomization</w:t>
      </w:r>
      <w:r w:rsidR="003566D1">
        <w:rPr>
          <w:rFonts w:ascii="Book Antiqua" w:hAnsi="Book Antiqua"/>
          <w:bCs/>
          <w:color w:val="000000"/>
          <w:sz w:val="24"/>
          <w:szCs w:val="24"/>
        </w:rPr>
        <w:t xml:space="preserve">, which </w:t>
      </w:r>
      <w:r w:rsidRPr="006A23C4">
        <w:rPr>
          <w:rFonts w:ascii="Book Antiqua" w:hAnsi="Book Antiqua"/>
          <w:color w:val="000000"/>
          <w:kern w:val="0"/>
          <w:sz w:val="24"/>
          <w:szCs w:val="24"/>
        </w:rPr>
        <w:t xml:space="preserve">was based on the remainder grouping method of random numbers. After generating random numbers with a computer, the remainder grouping method (divided by </w:t>
      </w:r>
      <w:r w:rsidR="00167B26">
        <w:rPr>
          <w:rFonts w:ascii="Book Antiqua" w:hAnsi="Book Antiqua"/>
          <w:color w:val="000000"/>
          <w:kern w:val="0"/>
          <w:sz w:val="24"/>
          <w:szCs w:val="24"/>
        </w:rPr>
        <w:t>two</w:t>
      </w:r>
      <w:r w:rsidRPr="006A23C4">
        <w:rPr>
          <w:rFonts w:ascii="Book Antiqua" w:hAnsi="Book Antiqua"/>
          <w:color w:val="000000"/>
          <w:kern w:val="0"/>
          <w:sz w:val="24"/>
          <w:szCs w:val="24"/>
        </w:rPr>
        <w:t xml:space="preserve">) was performed to decide which group (EEN or DEN) the patients would be assigned into. </w:t>
      </w:r>
      <w:r w:rsidR="00243E1C" w:rsidRPr="006A23C4">
        <w:rPr>
          <w:rFonts w:ascii="Book Antiqua" w:hAnsi="Book Antiqua"/>
          <w:color w:val="000000"/>
          <w:kern w:val="0"/>
          <w:sz w:val="24"/>
          <w:szCs w:val="24"/>
        </w:rPr>
        <w:t xml:space="preserve">The treatment allocation was concealed before </w:t>
      </w:r>
      <w:r w:rsidR="003566D1">
        <w:rPr>
          <w:rFonts w:ascii="Book Antiqua" w:hAnsi="Book Antiqua"/>
          <w:color w:val="000000"/>
          <w:kern w:val="0"/>
          <w:sz w:val="24"/>
          <w:szCs w:val="24"/>
        </w:rPr>
        <w:t xml:space="preserve">a </w:t>
      </w:r>
      <w:r w:rsidR="00243E1C" w:rsidRPr="006A23C4">
        <w:rPr>
          <w:rFonts w:ascii="Book Antiqua" w:hAnsi="Book Antiqua"/>
          <w:color w:val="000000"/>
          <w:kern w:val="0"/>
          <w:sz w:val="24"/>
          <w:szCs w:val="24"/>
        </w:rPr>
        <w:t xml:space="preserve">patient was included in this study, and patients would not be removed from the study after treatment allocation </w:t>
      </w:r>
      <w:r w:rsidR="003566D1" w:rsidRPr="006A23C4">
        <w:rPr>
          <w:rFonts w:ascii="Book Antiqua" w:hAnsi="Book Antiqua"/>
          <w:color w:val="000000"/>
          <w:kern w:val="0"/>
          <w:sz w:val="24"/>
          <w:szCs w:val="24"/>
        </w:rPr>
        <w:t>bec</w:t>
      </w:r>
      <w:r w:rsidR="003566D1">
        <w:rPr>
          <w:rFonts w:ascii="Book Antiqua" w:hAnsi="Book Antiqua"/>
          <w:color w:val="000000"/>
          <w:kern w:val="0"/>
          <w:sz w:val="24"/>
          <w:szCs w:val="24"/>
        </w:rPr>
        <w:t>a</w:t>
      </w:r>
      <w:r w:rsidR="003566D1" w:rsidRPr="006A23C4">
        <w:rPr>
          <w:rFonts w:ascii="Book Antiqua" w:hAnsi="Book Antiqua"/>
          <w:color w:val="000000"/>
          <w:kern w:val="0"/>
          <w:sz w:val="24"/>
          <w:szCs w:val="24"/>
        </w:rPr>
        <w:t xml:space="preserve">me </w:t>
      </w:r>
      <w:r w:rsidR="00243E1C" w:rsidRPr="006A23C4">
        <w:rPr>
          <w:rFonts w:ascii="Book Antiqua" w:hAnsi="Book Antiqua"/>
          <w:color w:val="000000"/>
          <w:kern w:val="0"/>
          <w:sz w:val="24"/>
          <w:szCs w:val="24"/>
        </w:rPr>
        <w:t xml:space="preserve">known. The main intervention difference of the two groups was the initial time of enteral feeding, therefore, it was not possible to blind treating physicians to the treatment allocation. The inclusive patients were blind to the treatment allocations. Therefore, this is a single-blind clinical trial. </w:t>
      </w:r>
      <w:r w:rsidRPr="006A23C4">
        <w:rPr>
          <w:rFonts w:ascii="Book Antiqua" w:hAnsi="Book Antiqua"/>
          <w:color w:val="000000"/>
          <w:kern w:val="0"/>
          <w:sz w:val="24"/>
          <w:szCs w:val="24"/>
        </w:rPr>
        <w:t>The sample size was calculated with the Power Analysis and Sample Size software (2011) before our study started; however, considering the small sample size of this study, we defined our trial as a prospective pilot study. The study protocol was approved by the Institutional Ethics Committee of Nanjing First Hospital (Approval Number: KY20170921-02), and informed consent was obtained from each patient</w:t>
      </w:r>
      <w:r w:rsidR="00996A35" w:rsidRPr="006A23C4">
        <w:rPr>
          <w:rFonts w:ascii="Book Antiqua" w:hAnsi="Book Antiqua"/>
          <w:color w:val="000000"/>
          <w:kern w:val="0"/>
          <w:sz w:val="24"/>
          <w:szCs w:val="24"/>
        </w:rPr>
        <w:t xml:space="preserve">’s </w:t>
      </w:r>
      <w:r w:rsidRPr="006A23C4">
        <w:rPr>
          <w:rFonts w:ascii="Book Antiqua" w:hAnsi="Book Antiqua"/>
          <w:color w:val="000000"/>
          <w:kern w:val="0"/>
          <w:sz w:val="24"/>
          <w:szCs w:val="24"/>
        </w:rPr>
        <w:t>first-degree relatives. This study was also registered at Clinical Trials.gov (ID: NCT03385850). Participation in the study did not necessitate any changes in treatment. Figure 1 shows the flow diagram of the participants.</w:t>
      </w:r>
    </w:p>
    <w:p w:rsidR="00F10718" w:rsidRPr="006A23C4" w:rsidRDefault="00F10718" w:rsidP="00F10718">
      <w:pPr>
        <w:spacing w:line="360" w:lineRule="auto"/>
        <w:rPr>
          <w:rFonts w:ascii="Book Antiqua" w:hAnsi="Book Antiqua"/>
          <w:color w:val="000000"/>
          <w:kern w:val="0"/>
          <w:sz w:val="24"/>
          <w:szCs w:val="24"/>
        </w:rPr>
      </w:pPr>
    </w:p>
    <w:p w:rsidR="007E0261" w:rsidRPr="006A23C4" w:rsidRDefault="007E0261" w:rsidP="00135736">
      <w:pPr>
        <w:spacing w:line="360" w:lineRule="auto"/>
        <w:rPr>
          <w:rFonts w:ascii="Book Antiqua" w:hAnsi="Book Antiqua"/>
          <w:b/>
          <w:i/>
          <w:color w:val="000000"/>
          <w:sz w:val="24"/>
          <w:szCs w:val="24"/>
        </w:rPr>
      </w:pPr>
      <w:r w:rsidRPr="006A23C4">
        <w:rPr>
          <w:rFonts w:ascii="Book Antiqua" w:hAnsi="Book Antiqua"/>
          <w:b/>
          <w:i/>
          <w:color w:val="000000"/>
          <w:sz w:val="24"/>
          <w:szCs w:val="24"/>
        </w:rPr>
        <w:t>Patients</w:t>
      </w:r>
    </w:p>
    <w:p w:rsidR="007E0261" w:rsidRPr="006A23C4" w:rsidRDefault="007E0261" w:rsidP="00F10718">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From October 2017 to June 2018, all adult patients (age 18-70 years) admitted into the intensive care unit (ICU) of Nanjing First Hospital with a diagnosis of sepsis were included in this prospective clinical study. The diagnostic criteria for sepsis were in accordance with </w:t>
      </w:r>
      <w:r w:rsidR="008D3F50" w:rsidRPr="006A23C4">
        <w:rPr>
          <w:rFonts w:ascii="Book Antiqua" w:hAnsi="Book Antiqua"/>
          <w:color w:val="000000"/>
          <w:kern w:val="0"/>
          <w:sz w:val="24"/>
          <w:szCs w:val="24"/>
        </w:rPr>
        <w:t>the surviving sepsis guidelines</w:t>
      </w:r>
      <w:r w:rsidRPr="006A23C4">
        <w:rPr>
          <w:rFonts w:ascii="Book Antiqua" w:hAnsi="Book Antiqua"/>
          <w:color w:val="000000"/>
          <w:kern w:val="0"/>
          <w:sz w:val="24"/>
          <w:szCs w:val="24"/>
          <w:vertAlign w:val="superscript"/>
        </w:rPr>
        <w:t>[13,14]</w:t>
      </w:r>
      <w:r w:rsidRPr="006A23C4">
        <w:rPr>
          <w:rFonts w:ascii="Book Antiqua" w:hAnsi="Book Antiqua"/>
          <w:color w:val="000000"/>
          <w:kern w:val="0"/>
          <w:sz w:val="24"/>
          <w:szCs w:val="24"/>
        </w:rPr>
        <w:t>. Patients with ileus or digestive tract hemorrhage, inflammatory bowel disease, severe abdominal hypertension (</w:t>
      </w:r>
      <w:bookmarkStart w:id="28" w:name="OLE_LINK3"/>
      <w:bookmarkStart w:id="29" w:name="OLE_LINK4"/>
      <w:bookmarkStart w:id="30" w:name="OLE_LINK5"/>
      <w:bookmarkStart w:id="31" w:name="OLE_LINK6"/>
      <w:r w:rsidR="00F10718" w:rsidRPr="006A23C4">
        <w:rPr>
          <w:rFonts w:ascii="Book Antiqua" w:hAnsi="Book Antiqua"/>
          <w:color w:val="000000"/>
          <w:kern w:val="0"/>
          <w:sz w:val="24"/>
          <w:szCs w:val="24"/>
        </w:rPr>
        <w:t xml:space="preserve">intra-abdominal pressure </w:t>
      </w:r>
      <w:bookmarkEnd w:id="28"/>
      <w:bookmarkEnd w:id="29"/>
      <w:bookmarkEnd w:id="30"/>
      <w:bookmarkEnd w:id="31"/>
      <w:r w:rsidRPr="006A23C4">
        <w:rPr>
          <w:rFonts w:ascii="Book Antiqua" w:hAnsi="Book Antiqua"/>
          <w:color w:val="000000"/>
          <w:kern w:val="0"/>
          <w:sz w:val="24"/>
          <w:szCs w:val="24"/>
        </w:rPr>
        <w:t>&gt;</w:t>
      </w:r>
      <w:r w:rsidR="00F10718"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25 mmHg), chronic organ dysfunction (</w:t>
      </w:r>
      <w:r w:rsidRPr="006A23C4">
        <w:rPr>
          <w:rFonts w:ascii="Book Antiqua" w:hAnsi="Book Antiqua"/>
          <w:i/>
          <w:color w:val="000000"/>
          <w:kern w:val="0"/>
          <w:sz w:val="24"/>
          <w:szCs w:val="24"/>
        </w:rPr>
        <w:t>e.g</w:t>
      </w:r>
      <w:r w:rsidRPr="006A23C4">
        <w:rPr>
          <w:rFonts w:ascii="Book Antiqua" w:hAnsi="Book Antiqua"/>
          <w:color w:val="000000"/>
          <w:kern w:val="0"/>
          <w:sz w:val="24"/>
          <w:szCs w:val="24"/>
        </w:rPr>
        <w:t>., hepatic or renal dysfunction), malnutrition</w:t>
      </w:r>
      <w:r w:rsidR="00AA157E">
        <w:rPr>
          <w:rFonts w:ascii="Book Antiqua" w:hAnsi="Book Antiqua"/>
          <w:color w:val="000000"/>
          <w:kern w:val="0"/>
          <w:sz w:val="24"/>
          <w:szCs w:val="24"/>
        </w:rPr>
        <w:t>,</w:t>
      </w:r>
      <w:r w:rsidRPr="006A23C4">
        <w:rPr>
          <w:rFonts w:ascii="Book Antiqua" w:hAnsi="Book Antiqua"/>
          <w:color w:val="000000"/>
          <w:kern w:val="0"/>
          <w:sz w:val="24"/>
          <w:szCs w:val="24"/>
        </w:rPr>
        <w:t xml:space="preserve"> or immunodeficiency, and patients with a history of long-term use of hormones were excluded. All patients received specialized treatments for sepsis as needed, including antimicrobial therapy, fluid resuscitation, vasopressor administration, oxygen administration, mechanical ventilation</w:t>
      </w:r>
      <w:r w:rsidR="00772353" w:rsidRPr="006A23C4">
        <w:rPr>
          <w:rFonts w:ascii="Book Antiqua" w:hAnsi="Book Antiqua"/>
          <w:color w:val="000000"/>
          <w:kern w:val="0"/>
          <w:sz w:val="24"/>
          <w:szCs w:val="24"/>
        </w:rPr>
        <w:t xml:space="preserve"> (MV)</w:t>
      </w:r>
      <w:r w:rsidRPr="006A23C4">
        <w:rPr>
          <w:rFonts w:ascii="Book Antiqua" w:hAnsi="Book Antiqua"/>
          <w:color w:val="000000"/>
          <w:kern w:val="0"/>
          <w:sz w:val="24"/>
          <w:szCs w:val="24"/>
        </w:rPr>
        <w:t>, glucose control, and renal replacement therapy.</w:t>
      </w:r>
    </w:p>
    <w:p w:rsidR="00F10718" w:rsidRPr="006A23C4" w:rsidRDefault="00F10718" w:rsidP="00135736">
      <w:pPr>
        <w:spacing w:line="360" w:lineRule="auto"/>
        <w:rPr>
          <w:rFonts w:ascii="Book Antiqua" w:hAnsi="Book Antiqua"/>
          <w:b/>
          <w:color w:val="000000"/>
          <w:sz w:val="24"/>
          <w:szCs w:val="24"/>
        </w:rPr>
      </w:pPr>
    </w:p>
    <w:p w:rsidR="007E0261" w:rsidRPr="006A23C4" w:rsidRDefault="007E0261" w:rsidP="00135736">
      <w:pPr>
        <w:spacing w:line="360" w:lineRule="auto"/>
        <w:rPr>
          <w:rFonts w:ascii="Book Antiqua" w:hAnsi="Book Antiqua"/>
          <w:b/>
          <w:i/>
          <w:color w:val="000000"/>
          <w:sz w:val="24"/>
          <w:szCs w:val="24"/>
        </w:rPr>
      </w:pPr>
      <w:r w:rsidRPr="006A23C4">
        <w:rPr>
          <w:rFonts w:ascii="Book Antiqua" w:hAnsi="Book Antiqua"/>
          <w:b/>
          <w:i/>
          <w:color w:val="000000"/>
          <w:sz w:val="24"/>
          <w:szCs w:val="24"/>
        </w:rPr>
        <w:t>Nutrition protocols</w:t>
      </w:r>
    </w:p>
    <w:p w:rsidR="007E0261" w:rsidRPr="006A23C4" w:rsidRDefault="007E0261" w:rsidP="00772353">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Before </w:t>
      </w:r>
      <w:r w:rsidR="00F10718" w:rsidRPr="006A23C4">
        <w:rPr>
          <w:rFonts w:ascii="Book Antiqua" w:hAnsi="Book Antiqua"/>
          <w:color w:val="000000"/>
          <w:kern w:val="0"/>
          <w:sz w:val="24"/>
          <w:szCs w:val="24"/>
        </w:rPr>
        <w:t>EN</w:t>
      </w:r>
      <w:r w:rsidRPr="006A23C4">
        <w:rPr>
          <w:rFonts w:ascii="Book Antiqua" w:hAnsi="Book Antiqua"/>
          <w:color w:val="000000"/>
          <w:kern w:val="0"/>
          <w:sz w:val="24"/>
          <w:szCs w:val="24"/>
        </w:rPr>
        <w:t xml:space="preserve"> began, a nasogastric or nasojejunal feeding tube (size 10F, Flocare, Nutricia Ltd) was placed as needed. The nasojejunal tube was inserted using our novel method of blin</w:t>
      </w:r>
      <w:r w:rsidR="008D3F50" w:rsidRPr="006A23C4">
        <w:rPr>
          <w:rFonts w:ascii="Book Antiqua" w:hAnsi="Book Antiqua"/>
          <w:color w:val="000000"/>
          <w:kern w:val="0"/>
          <w:sz w:val="24"/>
          <w:szCs w:val="24"/>
        </w:rPr>
        <w:t>d bedside post</w:t>
      </w:r>
      <w:r w:rsidR="00772353" w:rsidRPr="006A23C4">
        <w:rPr>
          <w:rFonts w:ascii="Book Antiqua" w:hAnsi="Book Antiqua"/>
          <w:color w:val="000000"/>
          <w:kern w:val="0"/>
          <w:sz w:val="24"/>
          <w:szCs w:val="24"/>
        </w:rPr>
        <w:t>-</w:t>
      </w:r>
      <w:r w:rsidR="008D3F50" w:rsidRPr="006A23C4">
        <w:rPr>
          <w:rFonts w:ascii="Book Antiqua" w:hAnsi="Book Antiqua"/>
          <w:color w:val="000000"/>
          <w:kern w:val="0"/>
          <w:sz w:val="24"/>
          <w:szCs w:val="24"/>
        </w:rPr>
        <w:t>pyloric placement</w:t>
      </w:r>
      <w:r w:rsidRPr="006A23C4">
        <w:rPr>
          <w:rFonts w:ascii="Book Antiqua" w:hAnsi="Book Antiqua"/>
          <w:color w:val="000000"/>
          <w:kern w:val="0"/>
          <w:sz w:val="24"/>
          <w:szCs w:val="24"/>
          <w:vertAlign w:val="superscript"/>
        </w:rPr>
        <w:t>[15]</w:t>
      </w:r>
      <w:r w:rsidRPr="006A23C4">
        <w:rPr>
          <w:rFonts w:ascii="Book Antiqua" w:hAnsi="Book Antiqua"/>
          <w:color w:val="000000"/>
          <w:kern w:val="0"/>
          <w:sz w:val="24"/>
          <w:szCs w:val="24"/>
        </w:rPr>
        <w:t>. In the EEN group, enteral feeding was initiated within the first 24-48 h, whereas in the DEN group, enteral feeding was initiated on the 4th day after admission. A peptide-based formula (Peptisorb, Nutricia Ltd) was used in the first 24-48 hours, and if the patients were tolerant, whole protein formula (Nutrison Fibre, Nutr</w:t>
      </w:r>
      <w:r w:rsidR="008D3F50" w:rsidRPr="006A23C4">
        <w:rPr>
          <w:rFonts w:ascii="Book Antiqua" w:hAnsi="Book Antiqua"/>
          <w:color w:val="000000"/>
          <w:kern w:val="0"/>
          <w:sz w:val="24"/>
          <w:szCs w:val="24"/>
        </w:rPr>
        <w:t>icia Ltd) was used subsequently</w:t>
      </w:r>
      <w:r w:rsidRPr="006A23C4">
        <w:rPr>
          <w:rFonts w:ascii="Book Antiqua" w:hAnsi="Book Antiqua"/>
          <w:color w:val="000000"/>
          <w:kern w:val="0"/>
          <w:sz w:val="24"/>
          <w:szCs w:val="24"/>
          <w:vertAlign w:val="superscript"/>
        </w:rPr>
        <w:t>[11,12]</w:t>
      </w:r>
      <w:r w:rsidRPr="006A23C4">
        <w:rPr>
          <w:rFonts w:ascii="Book Antiqua" w:hAnsi="Book Antiqua"/>
          <w:color w:val="000000"/>
          <w:kern w:val="0"/>
          <w:sz w:val="24"/>
          <w:szCs w:val="24"/>
        </w:rPr>
        <w:t>. The goal intake was defined as 20-25 kcal/kg</w:t>
      </w:r>
      <w:r w:rsidR="00772353"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day, and the protein need </w:t>
      </w:r>
      <w:r w:rsidR="008D3F50" w:rsidRPr="006A23C4">
        <w:rPr>
          <w:rFonts w:ascii="Book Antiqua" w:hAnsi="Book Antiqua"/>
          <w:color w:val="000000"/>
          <w:kern w:val="0"/>
          <w:sz w:val="24"/>
          <w:szCs w:val="24"/>
        </w:rPr>
        <w:t>was defined as 1.2-2.0 g/kg</w:t>
      </w:r>
      <w:r w:rsidR="00772353" w:rsidRPr="006A23C4">
        <w:rPr>
          <w:rFonts w:ascii="Book Antiqua" w:hAnsi="Book Antiqua"/>
          <w:color w:val="000000"/>
          <w:kern w:val="0"/>
          <w:sz w:val="24"/>
          <w:szCs w:val="24"/>
        </w:rPr>
        <w:t>/</w:t>
      </w:r>
      <w:r w:rsidR="008D3F50" w:rsidRPr="006A23C4">
        <w:rPr>
          <w:rFonts w:ascii="Book Antiqua" w:hAnsi="Book Antiqua"/>
          <w:color w:val="000000"/>
          <w:kern w:val="0"/>
          <w:sz w:val="24"/>
          <w:szCs w:val="24"/>
        </w:rPr>
        <w:t>day</w:t>
      </w:r>
      <w:r w:rsidRPr="006A23C4">
        <w:rPr>
          <w:rFonts w:ascii="Book Antiqua" w:hAnsi="Book Antiqua"/>
          <w:color w:val="000000"/>
          <w:kern w:val="0"/>
          <w:sz w:val="24"/>
          <w:szCs w:val="24"/>
          <w:vertAlign w:val="superscript"/>
        </w:rPr>
        <w:t>[10]</w:t>
      </w:r>
      <w:r w:rsidRPr="006A23C4">
        <w:rPr>
          <w:rFonts w:ascii="Book Antiqua" w:hAnsi="Book Antiqua"/>
          <w:color w:val="000000"/>
          <w:kern w:val="0"/>
          <w:sz w:val="24"/>
          <w:szCs w:val="24"/>
        </w:rPr>
        <w:t>. The feeding rate was started at 15-20 mL/h and increased by 15-20 mL every 6-8 h. If patients were intolerant because of abdominal distension,</w:t>
      </w:r>
      <w:r w:rsidRPr="006A23C4" w:rsidDel="00816B3D">
        <w:rPr>
          <w:rFonts w:ascii="Book Antiqua" w:hAnsi="Book Antiqua"/>
          <w:color w:val="000000"/>
          <w:kern w:val="0"/>
          <w:sz w:val="24"/>
          <w:szCs w:val="24"/>
        </w:rPr>
        <w:t xml:space="preserve"> </w:t>
      </w:r>
      <w:r w:rsidRPr="006A23C4">
        <w:rPr>
          <w:rFonts w:ascii="Book Antiqua" w:hAnsi="Book Antiqua"/>
          <w:color w:val="000000"/>
          <w:kern w:val="0"/>
          <w:sz w:val="24"/>
          <w:szCs w:val="24"/>
        </w:rPr>
        <w:t>diarrhea, or high gastric residual volume (&gt;500 mL), we diluted the feeding concentration, slowed down the feeding rate, or used prokinetic agents.</w:t>
      </w:r>
    </w:p>
    <w:p w:rsidR="007E0261" w:rsidRPr="006A23C4" w:rsidRDefault="007E0261" w:rsidP="00772353">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Parenteral nutrition (PN) was supplemented if the enteral feedings alone could not meet &gt; 60% of the energy and pr</w:t>
      </w:r>
      <w:r w:rsidR="008D3F50" w:rsidRPr="006A23C4">
        <w:rPr>
          <w:rFonts w:ascii="Book Antiqua" w:hAnsi="Book Antiqua"/>
          <w:color w:val="000000"/>
          <w:kern w:val="0"/>
          <w:sz w:val="24"/>
          <w:szCs w:val="24"/>
        </w:rPr>
        <w:t>otein requirements after 7 d</w:t>
      </w:r>
      <w:r w:rsidRPr="006A23C4">
        <w:rPr>
          <w:rFonts w:ascii="Book Antiqua" w:hAnsi="Book Antiqua"/>
          <w:color w:val="000000"/>
          <w:kern w:val="0"/>
          <w:sz w:val="24"/>
          <w:szCs w:val="24"/>
          <w:vertAlign w:val="superscript"/>
        </w:rPr>
        <w:t>[10]</w:t>
      </w:r>
      <w:r w:rsidRPr="006A23C4">
        <w:rPr>
          <w:rFonts w:ascii="Book Antiqua" w:hAnsi="Book Antiqua"/>
          <w:color w:val="000000"/>
          <w:kern w:val="0"/>
          <w:sz w:val="24"/>
          <w:szCs w:val="24"/>
        </w:rPr>
        <w:t>. The caloric intake of PN was defined as 20-25 kcal/kg</w:t>
      </w:r>
      <w:r w:rsidR="00772353" w:rsidRPr="006A23C4">
        <w:rPr>
          <w:rFonts w:ascii="Book Antiqua" w:hAnsi="Book Antiqua"/>
          <w:color w:val="000000"/>
          <w:kern w:val="0"/>
          <w:sz w:val="24"/>
          <w:szCs w:val="24"/>
        </w:rPr>
        <w:t>/</w:t>
      </w:r>
      <w:r w:rsidRPr="006A23C4">
        <w:rPr>
          <w:rFonts w:ascii="Book Antiqua" w:hAnsi="Book Antiqua"/>
          <w:color w:val="000000"/>
          <w:kern w:val="0"/>
          <w:sz w:val="24"/>
          <w:szCs w:val="24"/>
        </w:rPr>
        <w:t>day, and the calorie</w:t>
      </w:r>
      <w:r w:rsidR="00AA157E">
        <w:rPr>
          <w:rFonts w:ascii="Book Antiqua" w:hAnsi="Book Antiqua"/>
          <w:color w:val="000000"/>
          <w:kern w:val="0"/>
          <w:sz w:val="24"/>
          <w:szCs w:val="24"/>
        </w:rPr>
        <w:t>/</w:t>
      </w:r>
      <w:r w:rsidRPr="006A23C4">
        <w:rPr>
          <w:rFonts w:ascii="Book Antiqua" w:hAnsi="Book Antiqua"/>
          <w:color w:val="000000"/>
          <w:kern w:val="0"/>
          <w:sz w:val="24"/>
          <w:szCs w:val="24"/>
        </w:rPr>
        <w:t>nitrogen ratio was defined as 120-150:1. Fifty to seventy percent of the total energy intake was provided by glucose, whereas the supply of lipids was based on serum triglyceride levels. Moreover, sufficient insulin, electrolytes, vitamins, and trace elements were also added.</w:t>
      </w:r>
    </w:p>
    <w:p w:rsidR="00772353" w:rsidRPr="006A23C4" w:rsidRDefault="00772353" w:rsidP="00772353">
      <w:pPr>
        <w:spacing w:line="360" w:lineRule="auto"/>
        <w:rPr>
          <w:rFonts w:ascii="Book Antiqua" w:hAnsi="Book Antiqua" w:hint="eastAsia"/>
          <w:color w:val="000000"/>
          <w:kern w:val="0"/>
          <w:sz w:val="24"/>
          <w:szCs w:val="24"/>
        </w:rPr>
      </w:pPr>
    </w:p>
    <w:p w:rsidR="007E0261" w:rsidRPr="006A23C4" w:rsidRDefault="007E0261" w:rsidP="00135736">
      <w:pPr>
        <w:spacing w:line="360" w:lineRule="auto"/>
        <w:rPr>
          <w:rFonts w:ascii="Book Antiqua" w:hAnsi="Book Antiqua"/>
          <w:b/>
          <w:i/>
          <w:color w:val="000000"/>
          <w:sz w:val="24"/>
          <w:szCs w:val="24"/>
        </w:rPr>
      </w:pPr>
      <w:r w:rsidRPr="006A23C4">
        <w:rPr>
          <w:rFonts w:ascii="Book Antiqua" w:hAnsi="Book Antiqua"/>
          <w:b/>
          <w:i/>
          <w:color w:val="000000"/>
          <w:sz w:val="24"/>
          <w:szCs w:val="24"/>
        </w:rPr>
        <w:t>Data collection</w:t>
      </w:r>
    </w:p>
    <w:p w:rsidR="007E0261" w:rsidRPr="006A23C4" w:rsidRDefault="007E0261" w:rsidP="00772353">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On admission, the baseline data, including </w:t>
      </w:r>
      <w:r w:rsidR="00BC4097" w:rsidRPr="006A23C4">
        <w:rPr>
          <w:rFonts w:ascii="Book Antiqua" w:hAnsi="Book Antiqua"/>
          <w:color w:val="000000"/>
          <w:kern w:val="0"/>
          <w:sz w:val="24"/>
          <w:szCs w:val="24"/>
        </w:rPr>
        <w:t xml:space="preserve">sex, </w:t>
      </w:r>
      <w:r w:rsidRPr="006A23C4">
        <w:rPr>
          <w:rFonts w:ascii="Book Antiqua" w:hAnsi="Book Antiqua"/>
          <w:color w:val="000000"/>
          <w:kern w:val="0"/>
          <w:sz w:val="24"/>
          <w:szCs w:val="24"/>
        </w:rPr>
        <w:t>age, body-mass index, and the etiology of sepsis, were collected. The acute physiology and chronic health evaluation II (APACHE II) scores and sequential organ failure assessment (SOFA) scores were recorded on days 1, 3, and 7 after admission.</w:t>
      </w:r>
      <w:r w:rsidR="003F6906" w:rsidRPr="006A23C4">
        <w:rPr>
          <w:rFonts w:ascii="Book Antiqua" w:hAnsi="Book Antiqua"/>
          <w:color w:val="000000"/>
          <w:kern w:val="0"/>
          <w:sz w:val="24"/>
          <w:szCs w:val="24"/>
        </w:rPr>
        <w:t xml:space="preserve"> Meanwhile, white blood cell (WBC) count</w:t>
      </w:r>
      <w:r w:rsidR="006A230B" w:rsidRPr="006A23C4">
        <w:rPr>
          <w:rFonts w:ascii="Book Antiqua" w:hAnsi="Book Antiqua"/>
          <w:color w:val="000000"/>
          <w:kern w:val="0"/>
          <w:sz w:val="24"/>
          <w:szCs w:val="24"/>
        </w:rPr>
        <w:t xml:space="preserve"> </w:t>
      </w:r>
      <w:r w:rsidR="006A230B" w:rsidRPr="006A23C4">
        <w:rPr>
          <w:rFonts w:ascii="Book Antiqua" w:hAnsi="Book Antiqua"/>
          <w:bCs/>
          <w:color w:val="000000"/>
          <w:sz w:val="24"/>
          <w:szCs w:val="24"/>
        </w:rPr>
        <w:t>(10</w:t>
      </w:r>
      <w:r w:rsidR="006A230B" w:rsidRPr="006A23C4">
        <w:rPr>
          <w:rFonts w:ascii="Book Antiqua" w:hAnsi="Book Antiqua"/>
          <w:bCs/>
          <w:color w:val="000000"/>
          <w:sz w:val="24"/>
          <w:szCs w:val="24"/>
          <w:vertAlign w:val="superscript"/>
        </w:rPr>
        <w:t>9</w:t>
      </w:r>
      <w:r w:rsidR="006A230B" w:rsidRPr="006A23C4">
        <w:rPr>
          <w:rFonts w:ascii="Book Antiqua" w:hAnsi="Book Antiqua"/>
          <w:bCs/>
          <w:color w:val="000000"/>
          <w:sz w:val="24"/>
          <w:szCs w:val="24"/>
        </w:rPr>
        <w:t>/L)</w:t>
      </w:r>
      <w:r w:rsidR="003F6906" w:rsidRPr="006A23C4">
        <w:rPr>
          <w:rFonts w:ascii="Book Antiqua" w:hAnsi="Book Antiqua"/>
          <w:color w:val="000000"/>
          <w:kern w:val="0"/>
          <w:sz w:val="24"/>
          <w:szCs w:val="24"/>
        </w:rPr>
        <w:t>, hemoglobin</w:t>
      </w:r>
      <w:r w:rsidR="006A230B" w:rsidRPr="006A23C4">
        <w:rPr>
          <w:rFonts w:ascii="Book Antiqua" w:hAnsi="Book Antiqua"/>
          <w:color w:val="000000"/>
          <w:kern w:val="0"/>
          <w:sz w:val="24"/>
          <w:szCs w:val="24"/>
        </w:rPr>
        <w:t xml:space="preserve"> </w:t>
      </w:r>
      <w:r w:rsidR="006A230B" w:rsidRPr="006A23C4">
        <w:rPr>
          <w:rFonts w:ascii="Book Antiqua" w:hAnsi="Book Antiqua"/>
          <w:bCs/>
          <w:color w:val="000000"/>
          <w:sz w:val="24"/>
          <w:szCs w:val="24"/>
        </w:rPr>
        <w:t>(g/L)</w:t>
      </w:r>
      <w:r w:rsidR="003F6906" w:rsidRPr="006A23C4">
        <w:rPr>
          <w:rFonts w:ascii="Book Antiqua" w:hAnsi="Book Antiqua"/>
          <w:color w:val="000000"/>
          <w:kern w:val="0"/>
          <w:sz w:val="24"/>
          <w:szCs w:val="24"/>
        </w:rPr>
        <w:t>, total bilirubin</w:t>
      </w:r>
      <w:r w:rsidR="006A230B" w:rsidRPr="006A23C4">
        <w:rPr>
          <w:rFonts w:ascii="Book Antiqua" w:hAnsi="Book Antiqua"/>
          <w:color w:val="000000"/>
          <w:kern w:val="0"/>
          <w:sz w:val="24"/>
          <w:szCs w:val="24"/>
        </w:rPr>
        <w:t xml:space="preserve"> (umol/L)</w:t>
      </w:r>
      <w:r w:rsidR="003F6906" w:rsidRPr="006A23C4">
        <w:rPr>
          <w:rFonts w:ascii="Book Antiqua" w:hAnsi="Book Antiqua"/>
          <w:color w:val="000000"/>
          <w:kern w:val="0"/>
          <w:sz w:val="24"/>
          <w:szCs w:val="24"/>
        </w:rPr>
        <w:t xml:space="preserve">, and albumin </w:t>
      </w:r>
      <w:r w:rsidR="006A230B" w:rsidRPr="006A23C4">
        <w:rPr>
          <w:rFonts w:ascii="Book Antiqua" w:hAnsi="Book Antiqua"/>
          <w:color w:val="000000"/>
          <w:kern w:val="0"/>
          <w:sz w:val="24"/>
          <w:szCs w:val="24"/>
        </w:rPr>
        <w:t>(</w:t>
      </w:r>
      <w:r w:rsidR="006A230B" w:rsidRPr="006A23C4">
        <w:rPr>
          <w:rFonts w:ascii="Book Antiqua" w:hAnsi="Book Antiqua"/>
          <w:bCs/>
          <w:color w:val="000000"/>
          <w:sz w:val="24"/>
          <w:szCs w:val="24"/>
        </w:rPr>
        <w:t>g/L</w:t>
      </w:r>
      <w:r w:rsidR="006A230B" w:rsidRPr="006A23C4">
        <w:rPr>
          <w:rFonts w:ascii="Book Antiqua" w:hAnsi="Book Antiqua"/>
          <w:color w:val="000000"/>
          <w:kern w:val="0"/>
          <w:sz w:val="24"/>
          <w:szCs w:val="24"/>
        </w:rPr>
        <w:t xml:space="preserve">) </w:t>
      </w:r>
      <w:r w:rsidR="003F6906" w:rsidRPr="006A23C4">
        <w:rPr>
          <w:rFonts w:ascii="Book Antiqua" w:hAnsi="Book Antiqua"/>
          <w:color w:val="000000"/>
          <w:kern w:val="0"/>
          <w:sz w:val="24"/>
          <w:szCs w:val="24"/>
        </w:rPr>
        <w:t xml:space="preserve">levels in peripheral blood were also recorded. </w:t>
      </w:r>
      <w:r w:rsidRPr="006A23C4">
        <w:rPr>
          <w:rFonts w:ascii="Book Antiqua" w:hAnsi="Book Antiqua"/>
          <w:color w:val="000000"/>
          <w:kern w:val="0"/>
          <w:sz w:val="24"/>
          <w:szCs w:val="24"/>
        </w:rPr>
        <w:t xml:space="preserve">The Th17 and Treg lymphocyte percentages, IL-17, IL-23, IL-6 and IL-10 levels in peripheral blood were tested on days 1, 3, and 7 after admission. </w:t>
      </w:r>
      <w:r w:rsidR="00D9387B" w:rsidRPr="006A23C4">
        <w:rPr>
          <w:rFonts w:ascii="Book Antiqua" w:hAnsi="Book Antiqua"/>
          <w:color w:val="000000"/>
          <w:kern w:val="0"/>
          <w:sz w:val="24"/>
          <w:szCs w:val="24"/>
        </w:rPr>
        <w:t>Th17 and Treg lymphocytes were measured by flow cytometry. After human peripheral blood mononuclear cells were isolated, the proliferation analysis of Th17 cell subpopulations was performed by using a BD PharmingenTM Human Th17 Phenotyping Kit (BD Biosciences, U</w:t>
      </w:r>
      <w:r w:rsidR="00772353" w:rsidRPr="006A23C4">
        <w:rPr>
          <w:rFonts w:ascii="Book Antiqua" w:hAnsi="Book Antiqua"/>
          <w:color w:val="000000"/>
          <w:kern w:val="0"/>
          <w:sz w:val="24"/>
          <w:szCs w:val="24"/>
        </w:rPr>
        <w:t>nited States</w:t>
      </w:r>
      <w:r w:rsidR="00D9387B" w:rsidRPr="006A23C4">
        <w:rPr>
          <w:rFonts w:ascii="Book Antiqua" w:hAnsi="Book Antiqua"/>
          <w:color w:val="000000"/>
          <w:kern w:val="0"/>
          <w:sz w:val="24"/>
          <w:szCs w:val="24"/>
        </w:rPr>
        <w:t xml:space="preserve">), and the Treg cell subpopulation was detected by using CD4 (antigen presenting cells), CD25 (PE), and Foxp3 (Fluorescein isothiocyanate)-labeled antibodies (e-Bioscience, </w:t>
      </w:r>
      <w:r w:rsidR="00772353" w:rsidRPr="00772353">
        <w:rPr>
          <w:rFonts w:ascii="Book Antiqua" w:hAnsi="Book Antiqua"/>
          <w:color w:val="000000"/>
          <w:kern w:val="0"/>
          <w:sz w:val="24"/>
          <w:szCs w:val="24"/>
        </w:rPr>
        <w:t>United States</w:t>
      </w:r>
      <w:r w:rsidR="00D9387B" w:rsidRPr="006A23C4">
        <w:rPr>
          <w:rFonts w:ascii="Book Antiqua" w:hAnsi="Book Antiqua"/>
          <w:color w:val="000000"/>
          <w:kern w:val="0"/>
          <w:sz w:val="24"/>
          <w:szCs w:val="24"/>
        </w:rPr>
        <w:t xml:space="preserve">). Serum IL-17, IL-23, IL-6, and IL-10 cytokines were detected </w:t>
      </w:r>
      <w:r w:rsidR="00AA157E">
        <w:rPr>
          <w:rFonts w:ascii="Book Antiqua" w:hAnsi="Book Antiqua"/>
          <w:color w:val="000000"/>
          <w:kern w:val="0"/>
          <w:sz w:val="24"/>
          <w:szCs w:val="24"/>
        </w:rPr>
        <w:t>with</w:t>
      </w:r>
      <w:r w:rsidR="00AA157E" w:rsidRPr="006A23C4">
        <w:rPr>
          <w:rFonts w:ascii="Book Antiqua" w:hAnsi="Book Antiqua"/>
          <w:color w:val="000000"/>
          <w:kern w:val="0"/>
          <w:sz w:val="24"/>
          <w:szCs w:val="24"/>
        </w:rPr>
        <w:t xml:space="preserve"> </w:t>
      </w:r>
      <w:r w:rsidR="00D9387B" w:rsidRPr="006A23C4">
        <w:rPr>
          <w:rFonts w:ascii="Book Antiqua" w:hAnsi="Book Antiqua"/>
          <w:color w:val="000000"/>
          <w:kern w:val="0"/>
          <w:sz w:val="24"/>
          <w:szCs w:val="24"/>
        </w:rPr>
        <w:t>commercial</w:t>
      </w:r>
      <w:r w:rsidR="00AA157E">
        <w:rPr>
          <w:rFonts w:ascii="Book Antiqua" w:hAnsi="Book Antiqua"/>
          <w:color w:val="000000"/>
          <w:kern w:val="0"/>
          <w:sz w:val="24"/>
          <w:szCs w:val="24"/>
        </w:rPr>
        <w:t>ly</w:t>
      </w:r>
      <w:r w:rsidR="00D9387B" w:rsidRPr="006A23C4">
        <w:rPr>
          <w:rFonts w:ascii="Book Antiqua" w:hAnsi="Book Antiqua"/>
          <w:color w:val="000000"/>
          <w:kern w:val="0"/>
          <w:sz w:val="24"/>
          <w:szCs w:val="24"/>
        </w:rPr>
        <w:t xml:space="preserve"> available Human Quantikine enzyme-linked immunosorbent assays (ELISA) kits (R</w:t>
      </w:r>
      <w:r w:rsidR="00772353" w:rsidRPr="006A23C4">
        <w:rPr>
          <w:rFonts w:ascii="Book Antiqua" w:hAnsi="Book Antiqua"/>
          <w:color w:val="000000"/>
          <w:kern w:val="0"/>
          <w:sz w:val="24"/>
          <w:szCs w:val="24"/>
        </w:rPr>
        <w:t xml:space="preserve"> and </w:t>
      </w:r>
      <w:r w:rsidR="00D9387B" w:rsidRPr="006A23C4">
        <w:rPr>
          <w:rFonts w:ascii="Book Antiqua" w:hAnsi="Book Antiqua"/>
          <w:color w:val="000000"/>
          <w:kern w:val="0"/>
          <w:sz w:val="24"/>
          <w:szCs w:val="24"/>
        </w:rPr>
        <w:t xml:space="preserve">D Systems, Bio-Techne Corporation, </w:t>
      </w:r>
      <w:r w:rsidR="00772353" w:rsidRPr="00772353">
        <w:rPr>
          <w:rFonts w:ascii="Book Antiqua" w:hAnsi="Book Antiqua"/>
          <w:color w:val="000000"/>
          <w:kern w:val="0"/>
          <w:sz w:val="24"/>
          <w:szCs w:val="24"/>
        </w:rPr>
        <w:t>United States</w:t>
      </w:r>
      <w:r w:rsidR="00D9387B" w:rsidRPr="006A23C4">
        <w:rPr>
          <w:rFonts w:ascii="Book Antiqua" w:hAnsi="Book Antiqua"/>
          <w:color w:val="000000"/>
          <w:kern w:val="0"/>
          <w:sz w:val="24"/>
          <w:szCs w:val="24"/>
        </w:rPr>
        <w:t>) according to the manufacturer’s instructions. The sensitivity of ELISA kits was 15 pg/mL for IL-17, 16.3 pg/mL for IL-23, 0.7 pg/mL for IL-6, and 3.9 pg/mL for IL-10. The assay range of ELISA kits was 31.2-2000 pg/mL for IL-17, 39.0-2500 pg/mL for IL-23, 3.1-300 pg/mL for IL-6, and 7.8-500 pg/mL for IL-10.</w:t>
      </w:r>
      <w:r w:rsidRPr="006A23C4">
        <w:rPr>
          <w:rFonts w:ascii="Book Antiqua" w:hAnsi="Book Antiqua"/>
          <w:color w:val="000000"/>
          <w:kern w:val="0"/>
          <w:sz w:val="24"/>
          <w:szCs w:val="24"/>
        </w:rPr>
        <w:t xml:space="preserve"> In addition, clinical outcome variables including the 28-d mortality, days in the ICU, days of MV, and the number of patients receiving continuous renal replacement therapy (CRRT) were also recorded.</w:t>
      </w:r>
    </w:p>
    <w:p w:rsidR="00772353" w:rsidRPr="006A23C4" w:rsidRDefault="00772353" w:rsidP="00772353">
      <w:pPr>
        <w:spacing w:line="360" w:lineRule="auto"/>
        <w:rPr>
          <w:rFonts w:ascii="Book Antiqua" w:hAnsi="Book Antiqua"/>
          <w:bCs/>
          <w:color w:val="000000"/>
          <w:sz w:val="24"/>
          <w:szCs w:val="24"/>
        </w:rPr>
      </w:pPr>
    </w:p>
    <w:p w:rsidR="007E0261" w:rsidRPr="006A23C4" w:rsidRDefault="007E0261" w:rsidP="00135736">
      <w:pPr>
        <w:spacing w:line="360" w:lineRule="auto"/>
        <w:rPr>
          <w:rFonts w:ascii="Book Antiqua" w:hAnsi="Book Antiqua"/>
          <w:i/>
          <w:color w:val="000000"/>
          <w:kern w:val="0"/>
          <w:sz w:val="24"/>
          <w:szCs w:val="24"/>
        </w:rPr>
      </w:pPr>
      <w:r w:rsidRPr="006A23C4">
        <w:rPr>
          <w:rFonts w:ascii="Book Antiqua" w:hAnsi="Book Antiqua"/>
          <w:b/>
          <w:i/>
          <w:color w:val="000000"/>
          <w:sz w:val="24"/>
          <w:szCs w:val="24"/>
        </w:rPr>
        <w:t>Statistical analysis</w:t>
      </w:r>
    </w:p>
    <w:p w:rsidR="007E0261" w:rsidRPr="006A23C4" w:rsidRDefault="007E0261" w:rsidP="00772353">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The Kolmogorov-Smirnov test was first performed to test the normal distribution of the data. Normally distributed data are expressed as the mean ± standard deviation and were compared by </w:t>
      </w:r>
      <w:r w:rsidR="00AA157E" w:rsidRPr="006A23C4">
        <w:rPr>
          <w:rFonts w:ascii="Book Antiqua" w:hAnsi="Book Antiqua"/>
          <w:i/>
          <w:color w:val="000000"/>
          <w:kern w:val="0"/>
          <w:sz w:val="24"/>
          <w:szCs w:val="24"/>
        </w:rPr>
        <w:t>t</w:t>
      </w:r>
      <w:r w:rsidR="00AA157E">
        <w:rPr>
          <w:rFonts w:ascii="Book Antiqua" w:hAnsi="Book Antiqua"/>
          <w:color w:val="000000"/>
          <w:kern w:val="0"/>
          <w:sz w:val="24"/>
          <w:szCs w:val="24"/>
        </w:rPr>
        <w:t>-</w:t>
      </w:r>
      <w:r w:rsidRPr="006A23C4">
        <w:rPr>
          <w:rFonts w:ascii="Book Antiqua" w:hAnsi="Book Antiqua"/>
          <w:color w:val="000000"/>
          <w:kern w:val="0"/>
          <w:sz w:val="24"/>
          <w:szCs w:val="24"/>
        </w:rPr>
        <w:t>tests. Abnormally distributed data are expressed as</w:t>
      </w:r>
      <w:r w:rsidR="00AA157E">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medians (interquartile ranges) and were compared by the Mann-Whitney </w:t>
      </w:r>
      <w:r w:rsidRPr="006A23C4">
        <w:rPr>
          <w:rFonts w:ascii="Book Antiqua" w:hAnsi="Book Antiqua"/>
          <w:i/>
          <w:color w:val="000000"/>
          <w:kern w:val="0"/>
          <w:sz w:val="24"/>
          <w:szCs w:val="24"/>
        </w:rPr>
        <w:t>U</w:t>
      </w:r>
      <w:r w:rsidRPr="006A23C4">
        <w:rPr>
          <w:rFonts w:ascii="Book Antiqua" w:hAnsi="Book Antiqua"/>
          <w:color w:val="000000"/>
          <w:kern w:val="0"/>
          <w:sz w:val="24"/>
          <w:szCs w:val="24"/>
        </w:rPr>
        <w:t xml:space="preserve"> test or Kruskal-Wallis test. Categorical variables are presented as absolute numbers or percentages and were analyzed using the </w:t>
      </w:r>
      <w:r w:rsidRPr="006A23C4">
        <w:rPr>
          <w:rFonts w:ascii="Book Antiqua" w:hAnsi="Book Antiqua"/>
          <w:i/>
          <w:color w:val="000000"/>
          <w:kern w:val="0"/>
          <w:sz w:val="24"/>
          <w:szCs w:val="24"/>
        </w:rPr>
        <w:t>χ</w:t>
      </w:r>
      <w:r w:rsidRPr="006A23C4">
        <w:rPr>
          <w:rFonts w:ascii="Book Antiqua" w:hAnsi="Book Antiqua"/>
          <w:i/>
          <w:color w:val="000000"/>
          <w:kern w:val="0"/>
          <w:sz w:val="24"/>
          <w:szCs w:val="24"/>
          <w:vertAlign w:val="superscript"/>
        </w:rPr>
        <w:t>2</w:t>
      </w:r>
      <w:r w:rsidRPr="006A23C4">
        <w:rPr>
          <w:rFonts w:ascii="Book Antiqua" w:hAnsi="Book Antiqua"/>
          <w:color w:val="000000"/>
          <w:kern w:val="0"/>
          <w:sz w:val="24"/>
          <w:szCs w:val="24"/>
        </w:rPr>
        <w:t xml:space="preserve"> test or Fisher’s exact test. Survival curves for up to 28 d after admission were generated </w:t>
      </w:r>
      <w:r w:rsidR="00AA157E">
        <w:rPr>
          <w:rFonts w:ascii="Book Antiqua" w:hAnsi="Book Antiqua"/>
          <w:color w:val="000000"/>
          <w:kern w:val="0"/>
          <w:sz w:val="24"/>
          <w:szCs w:val="24"/>
        </w:rPr>
        <w:t>using</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the Kaplan–Meier method and were compared </w:t>
      </w:r>
      <w:r w:rsidR="00AA157E">
        <w:rPr>
          <w:rFonts w:ascii="Book Antiqua" w:hAnsi="Book Antiqua"/>
          <w:color w:val="000000"/>
          <w:kern w:val="0"/>
          <w:sz w:val="24"/>
          <w:szCs w:val="24"/>
        </w:rPr>
        <w:t>by</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the log-rank test. IBM SPSS software (version 22.0, NY, U</w:t>
      </w:r>
      <w:r w:rsidR="00772353" w:rsidRPr="006A23C4">
        <w:rPr>
          <w:rFonts w:ascii="Book Antiqua" w:hAnsi="Book Antiqua"/>
          <w:color w:val="000000"/>
          <w:kern w:val="0"/>
          <w:sz w:val="24"/>
          <w:szCs w:val="24"/>
        </w:rPr>
        <w:t>nited States</w:t>
      </w:r>
      <w:r w:rsidRPr="006A23C4">
        <w:rPr>
          <w:rFonts w:ascii="Book Antiqua" w:hAnsi="Book Antiqua"/>
          <w:color w:val="000000"/>
          <w:kern w:val="0"/>
          <w:sz w:val="24"/>
          <w:szCs w:val="24"/>
        </w:rPr>
        <w:t xml:space="preserve">) was used for statistical </w:t>
      </w:r>
      <w:r w:rsidR="00AA157E" w:rsidRPr="006A23C4">
        <w:rPr>
          <w:rFonts w:ascii="Book Antiqua" w:hAnsi="Book Antiqua"/>
          <w:color w:val="000000"/>
          <w:kern w:val="0"/>
          <w:sz w:val="24"/>
          <w:szCs w:val="24"/>
        </w:rPr>
        <w:t>analys</w:t>
      </w:r>
      <w:r w:rsidR="00AA157E">
        <w:rPr>
          <w:rFonts w:ascii="Book Antiqua" w:hAnsi="Book Antiqua"/>
          <w:color w:val="000000"/>
          <w:kern w:val="0"/>
          <w:sz w:val="24"/>
          <w:szCs w:val="24"/>
        </w:rPr>
        <w:t>e</w:t>
      </w:r>
      <w:r w:rsidR="00AA157E" w:rsidRPr="006A23C4">
        <w:rPr>
          <w:rFonts w:ascii="Book Antiqua" w:hAnsi="Book Antiqua"/>
          <w:color w:val="000000"/>
          <w:kern w:val="0"/>
          <w:sz w:val="24"/>
          <w:szCs w:val="24"/>
        </w:rPr>
        <w:t>s</w:t>
      </w:r>
      <w:r w:rsidRPr="006A23C4">
        <w:rPr>
          <w:rFonts w:ascii="Book Antiqua" w:hAnsi="Book Antiqua"/>
          <w:color w:val="000000"/>
          <w:kern w:val="0"/>
          <w:sz w:val="24"/>
          <w:szCs w:val="24"/>
        </w:rPr>
        <w:t xml:space="preserve">, and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0.05 was considered statistically significant. To take into account the repeated nature of variables, analysis</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of</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variance (ANOVA) for</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repeated</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measurements of the general</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linear</w:t>
      </w:r>
      <w:r w:rsidR="00772353"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model was implemented. The statistical methods of this study were reviewed by Qiao Liu, a biostatistician from the Center for Disease Control and Prevention of Jiangsu Province in China.</w:t>
      </w:r>
    </w:p>
    <w:p w:rsidR="00772353" w:rsidRPr="006A23C4" w:rsidRDefault="00772353" w:rsidP="00772353">
      <w:pPr>
        <w:spacing w:line="360" w:lineRule="auto"/>
        <w:rPr>
          <w:rFonts w:ascii="Book Antiqua" w:hAnsi="Book Antiqua"/>
          <w:color w:val="000000"/>
          <w:kern w:val="0"/>
          <w:sz w:val="24"/>
          <w:szCs w:val="24"/>
        </w:rPr>
      </w:pPr>
    </w:p>
    <w:p w:rsidR="007E0261" w:rsidRPr="006A23C4" w:rsidRDefault="00772353" w:rsidP="00135736">
      <w:pPr>
        <w:spacing w:line="360" w:lineRule="auto"/>
        <w:rPr>
          <w:rFonts w:ascii="Book Antiqua" w:hAnsi="Book Antiqua"/>
          <w:b/>
          <w:color w:val="000000"/>
          <w:sz w:val="24"/>
          <w:szCs w:val="24"/>
        </w:rPr>
      </w:pPr>
      <w:r w:rsidRPr="006A23C4">
        <w:rPr>
          <w:rFonts w:ascii="Book Antiqua" w:hAnsi="Book Antiqua"/>
          <w:b/>
          <w:color w:val="000000"/>
          <w:sz w:val="24"/>
          <w:szCs w:val="24"/>
        </w:rPr>
        <w:t>RESULTS</w:t>
      </w:r>
    </w:p>
    <w:p w:rsidR="007E0261" w:rsidRPr="006A23C4" w:rsidRDefault="007E0261" w:rsidP="009F4B6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As shown in Figure 1, a total of 53 septic patients were enrolled in this </w:t>
      </w:r>
      <w:r w:rsidR="00020FCA" w:rsidRPr="006A23C4">
        <w:rPr>
          <w:rFonts w:ascii="Book Antiqua" w:hAnsi="Book Antiqua"/>
          <w:color w:val="000000"/>
          <w:kern w:val="0"/>
          <w:sz w:val="24"/>
          <w:szCs w:val="24"/>
        </w:rPr>
        <w:t xml:space="preserve">randomized </w:t>
      </w:r>
      <w:r w:rsidRPr="006A23C4">
        <w:rPr>
          <w:rFonts w:ascii="Book Antiqua" w:hAnsi="Book Antiqua"/>
          <w:color w:val="000000"/>
          <w:kern w:val="0"/>
          <w:sz w:val="24"/>
          <w:szCs w:val="24"/>
        </w:rPr>
        <w:t>clinical trial during the study period. Of these patients, 26 received EEN</w:t>
      </w:r>
      <w:r w:rsidR="00167B26">
        <w:rPr>
          <w:rFonts w:ascii="Book Antiqua" w:hAnsi="Book Antiqua"/>
          <w:color w:val="000000"/>
          <w:kern w:val="0"/>
          <w:sz w:val="24"/>
          <w:szCs w:val="24"/>
        </w:rPr>
        <w:t xml:space="preserve"> and</w:t>
      </w:r>
      <w:r w:rsidRPr="006A23C4">
        <w:rPr>
          <w:rFonts w:ascii="Book Antiqua" w:hAnsi="Book Antiqua"/>
          <w:color w:val="000000"/>
          <w:kern w:val="0"/>
          <w:sz w:val="24"/>
          <w:szCs w:val="24"/>
        </w:rPr>
        <w:t xml:space="preserve"> 27 received DEN. The demographic data and clinical parameters of the patients on admission </w:t>
      </w:r>
      <w:r w:rsidR="00AA157E">
        <w:rPr>
          <w:rFonts w:ascii="Book Antiqua" w:hAnsi="Book Antiqua"/>
          <w:color w:val="000000"/>
          <w:kern w:val="0"/>
          <w:sz w:val="24"/>
          <w:szCs w:val="24"/>
        </w:rPr>
        <w:t>are</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presented in Table 1. Seven (13.2%) </w:t>
      </w:r>
      <w:r w:rsidR="00AA157E" w:rsidRPr="006A23C4">
        <w:rPr>
          <w:rFonts w:ascii="Book Antiqua" w:hAnsi="Book Antiqua"/>
          <w:color w:val="000000"/>
          <w:kern w:val="0"/>
          <w:sz w:val="24"/>
          <w:szCs w:val="24"/>
        </w:rPr>
        <w:t xml:space="preserve">patients </w:t>
      </w:r>
      <w:r w:rsidRPr="006A23C4">
        <w:rPr>
          <w:rFonts w:ascii="Book Antiqua" w:hAnsi="Book Antiqua"/>
          <w:color w:val="000000"/>
          <w:kern w:val="0"/>
          <w:sz w:val="24"/>
          <w:szCs w:val="24"/>
        </w:rPr>
        <w:t>received CRRT, and 10 (18.9%) patients died of MODS or infectious complications during the hospital stay (within 28 d).</w:t>
      </w:r>
    </w:p>
    <w:p w:rsidR="009F4B66" w:rsidRPr="006A23C4" w:rsidRDefault="009F4B66" w:rsidP="009F4B66">
      <w:pPr>
        <w:spacing w:line="360" w:lineRule="auto"/>
        <w:rPr>
          <w:rFonts w:ascii="Book Antiqua" w:hAnsi="Book Antiqua"/>
          <w:color w:val="000000"/>
          <w:kern w:val="0"/>
          <w:sz w:val="24"/>
          <w:szCs w:val="24"/>
        </w:rPr>
      </w:pPr>
    </w:p>
    <w:p w:rsidR="007E0261" w:rsidRPr="006A23C4" w:rsidRDefault="007E0261" w:rsidP="00135736">
      <w:pPr>
        <w:spacing w:line="360" w:lineRule="auto"/>
        <w:rPr>
          <w:rFonts w:ascii="Book Antiqua" w:hAnsi="Book Antiqua"/>
          <w:b/>
          <w:i/>
          <w:color w:val="000000"/>
          <w:sz w:val="24"/>
          <w:szCs w:val="24"/>
        </w:rPr>
      </w:pPr>
      <w:r w:rsidRPr="006A23C4">
        <w:rPr>
          <w:rFonts w:ascii="Book Antiqua" w:hAnsi="Book Antiqua"/>
          <w:b/>
          <w:i/>
          <w:color w:val="000000"/>
          <w:sz w:val="24"/>
          <w:szCs w:val="24"/>
        </w:rPr>
        <w:t>T lymphocyte percentages</w:t>
      </w:r>
    </w:p>
    <w:p w:rsidR="007E0261" w:rsidRPr="006A23C4" w:rsidRDefault="007E0261" w:rsidP="009F4B6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Figure 2 shows the difference in the Th17 and Treg lymphocyte percentages and the Th17/Treg </w:t>
      </w:r>
      <w:r w:rsidR="003A685C">
        <w:rPr>
          <w:rFonts w:ascii="Book Antiqua" w:hAnsi="Book Antiqua"/>
          <w:color w:val="000000"/>
          <w:kern w:val="0"/>
          <w:sz w:val="24"/>
          <w:szCs w:val="24"/>
        </w:rPr>
        <w:t xml:space="preserve">cell </w:t>
      </w:r>
      <w:r w:rsidRPr="006A23C4">
        <w:rPr>
          <w:rFonts w:ascii="Book Antiqua" w:hAnsi="Book Antiqua"/>
          <w:color w:val="000000"/>
          <w:kern w:val="0"/>
          <w:sz w:val="24"/>
          <w:szCs w:val="24"/>
        </w:rPr>
        <w:t xml:space="preserve">ratios between the two groups on days 1, 3, and 7 after admission. As shown in Figure 2A, patients in the EEN group had </w:t>
      </w:r>
      <w:r w:rsidR="00AA157E">
        <w:rPr>
          <w:rFonts w:ascii="Book Antiqua" w:hAnsi="Book Antiqua"/>
          <w:color w:val="000000"/>
          <w:kern w:val="0"/>
          <w:sz w:val="24"/>
          <w:szCs w:val="24"/>
        </w:rPr>
        <w:t xml:space="preserve">a </w:t>
      </w:r>
      <w:r w:rsidRPr="006A23C4">
        <w:rPr>
          <w:rFonts w:ascii="Book Antiqua" w:hAnsi="Book Antiqua"/>
          <w:color w:val="000000"/>
          <w:kern w:val="0"/>
          <w:sz w:val="24"/>
          <w:szCs w:val="24"/>
        </w:rPr>
        <w:t xml:space="preserve">significantly lower Th17 </w:t>
      </w:r>
      <w:r w:rsidR="009E3E12">
        <w:rPr>
          <w:rFonts w:ascii="Book Antiqua" w:hAnsi="Book Antiqua"/>
          <w:color w:val="000000"/>
          <w:kern w:val="0"/>
          <w:sz w:val="24"/>
          <w:szCs w:val="24"/>
        </w:rPr>
        <w:t xml:space="preserve">cell </w:t>
      </w:r>
      <w:r w:rsidRPr="006A23C4">
        <w:rPr>
          <w:rFonts w:ascii="Book Antiqua" w:hAnsi="Book Antiqua"/>
          <w:color w:val="000000"/>
          <w:kern w:val="0"/>
          <w:sz w:val="24"/>
          <w:szCs w:val="24"/>
        </w:rPr>
        <w:t>percentage on the 7th day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0.002) after admission compared to </w:t>
      </w:r>
      <w:r w:rsidR="00AA157E" w:rsidRPr="006A23C4">
        <w:rPr>
          <w:rFonts w:ascii="Book Antiqua" w:hAnsi="Book Antiqua"/>
          <w:color w:val="000000"/>
          <w:kern w:val="0"/>
          <w:sz w:val="24"/>
          <w:szCs w:val="24"/>
        </w:rPr>
        <w:t>th</w:t>
      </w:r>
      <w:r w:rsidR="00AA157E">
        <w:rPr>
          <w:rFonts w:ascii="Book Antiqua" w:hAnsi="Book Antiqua"/>
          <w:color w:val="000000"/>
          <w:kern w:val="0"/>
          <w:sz w:val="24"/>
          <w:szCs w:val="24"/>
        </w:rPr>
        <w:t>at</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in the DEN group. Similar results were also found for the Th17/Treg</w:t>
      </w:r>
      <w:r w:rsidR="003A685C">
        <w:rPr>
          <w:rFonts w:ascii="Book Antiqua" w:hAnsi="Book Antiqua"/>
          <w:color w:val="000000"/>
          <w:kern w:val="0"/>
          <w:sz w:val="24"/>
          <w:szCs w:val="24"/>
        </w:rPr>
        <w:t xml:space="preserve"> cell</w:t>
      </w:r>
      <w:r w:rsidRPr="006A23C4">
        <w:rPr>
          <w:rFonts w:ascii="Book Antiqua" w:hAnsi="Book Antiqua"/>
          <w:color w:val="000000"/>
          <w:kern w:val="0"/>
          <w:sz w:val="24"/>
          <w:szCs w:val="24"/>
        </w:rPr>
        <w:t xml:space="preserve"> ratios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0.01) (Figure 2C). However, no </w:t>
      </w:r>
      <w:r w:rsidR="00AA157E">
        <w:rPr>
          <w:rFonts w:ascii="Book Antiqua" w:hAnsi="Book Antiqua"/>
          <w:color w:val="000000"/>
          <w:kern w:val="0"/>
          <w:sz w:val="24"/>
          <w:szCs w:val="24"/>
        </w:rPr>
        <w:t xml:space="preserve">significant </w:t>
      </w:r>
      <w:r w:rsidRPr="006A23C4">
        <w:rPr>
          <w:rFonts w:ascii="Book Antiqua" w:hAnsi="Book Antiqua"/>
          <w:color w:val="000000"/>
          <w:kern w:val="0"/>
          <w:sz w:val="24"/>
          <w:szCs w:val="24"/>
        </w:rPr>
        <w:t xml:space="preserve">difference in the Treg </w:t>
      </w:r>
      <w:r w:rsidR="009E3E12">
        <w:rPr>
          <w:rFonts w:ascii="Book Antiqua" w:hAnsi="Book Antiqua"/>
          <w:color w:val="000000"/>
          <w:kern w:val="0"/>
          <w:sz w:val="24"/>
          <w:szCs w:val="24"/>
        </w:rPr>
        <w:t xml:space="preserve">cell </w:t>
      </w:r>
      <w:r w:rsidRPr="006A23C4">
        <w:rPr>
          <w:rFonts w:ascii="Book Antiqua" w:hAnsi="Book Antiqua"/>
          <w:color w:val="000000"/>
          <w:kern w:val="0"/>
          <w:sz w:val="24"/>
          <w:szCs w:val="24"/>
        </w:rPr>
        <w:t xml:space="preserve">percentages </w:t>
      </w:r>
      <w:r w:rsidR="00AA157E" w:rsidRPr="006A23C4">
        <w:rPr>
          <w:rFonts w:ascii="Book Antiqua" w:hAnsi="Book Antiqua"/>
          <w:color w:val="000000"/>
          <w:kern w:val="0"/>
          <w:sz w:val="24"/>
          <w:szCs w:val="24"/>
        </w:rPr>
        <w:t>w</w:t>
      </w:r>
      <w:r w:rsidR="00AA157E">
        <w:rPr>
          <w:rFonts w:ascii="Book Antiqua" w:hAnsi="Book Antiqua"/>
          <w:color w:val="000000"/>
          <w:kern w:val="0"/>
          <w:sz w:val="24"/>
          <w:szCs w:val="24"/>
        </w:rPr>
        <w:t>as</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found during the 7 d after admission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&gt; 0.05) between the two groups</w:t>
      </w:r>
      <w:r w:rsidR="009F4B66" w:rsidRPr="006A23C4">
        <w:rPr>
          <w:rFonts w:ascii="Book Antiqua" w:hAnsi="Book Antiqua"/>
          <w:color w:val="000000"/>
          <w:kern w:val="0"/>
          <w:sz w:val="24"/>
          <w:szCs w:val="24"/>
        </w:rPr>
        <w:t xml:space="preserve"> </w:t>
      </w:r>
      <w:r w:rsidR="009F4B66" w:rsidRPr="009F4B66">
        <w:rPr>
          <w:rFonts w:ascii="Book Antiqua" w:hAnsi="Book Antiqua"/>
          <w:color w:val="000000"/>
          <w:kern w:val="0"/>
          <w:sz w:val="24"/>
          <w:szCs w:val="24"/>
        </w:rPr>
        <w:t>(Figure 2B)</w:t>
      </w:r>
      <w:r w:rsidRPr="006A23C4">
        <w:rPr>
          <w:rFonts w:ascii="Book Antiqua" w:hAnsi="Book Antiqua"/>
          <w:color w:val="000000"/>
          <w:kern w:val="0"/>
          <w:sz w:val="24"/>
          <w:szCs w:val="24"/>
        </w:rPr>
        <w:t>.</w:t>
      </w:r>
    </w:p>
    <w:p w:rsidR="009F4B66" w:rsidRPr="006A23C4" w:rsidRDefault="009F4B66" w:rsidP="00135736">
      <w:pPr>
        <w:spacing w:line="360" w:lineRule="auto"/>
        <w:rPr>
          <w:rFonts w:ascii="Book Antiqua" w:hAnsi="Book Antiqua"/>
          <w:b/>
          <w:color w:val="000000"/>
          <w:sz w:val="24"/>
          <w:szCs w:val="24"/>
        </w:rPr>
      </w:pPr>
    </w:p>
    <w:p w:rsidR="007E0261" w:rsidRPr="00167B26" w:rsidRDefault="00AA157E" w:rsidP="00135736">
      <w:pPr>
        <w:spacing w:line="360" w:lineRule="auto"/>
        <w:rPr>
          <w:rFonts w:ascii="Book Antiqua" w:hAnsi="Book Antiqua"/>
          <w:b/>
          <w:i/>
          <w:color w:val="000000"/>
          <w:sz w:val="24"/>
          <w:szCs w:val="24"/>
        </w:rPr>
      </w:pPr>
      <w:r w:rsidRPr="00167B26">
        <w:rPr>
          <w:rFonts w:ascii="Book Antiqua" w:hAnsi="Book Antiqua"/>
          <w:b/>
          <w:i/>
          <w:color w:val="000000"/>
          <w:sz w:val="24"/>
          <w:szCs w:val="24"/>
        </w:rPr>
        <w:t>C</w:t>
      </w:r>
      <w:r w:rsidR="007E0261" w:rsidRPr="00167B26">
        <w:rPr>
          <w:rFonts w:ascii="Book Antiqua" w:hAnsi="Book Antiqua"/>
          <w:b/>
          <w:i/>
          <w:color w:val="000000"/>
          <w:sz w:val="24"/>
          <w:szCs w:val="24"/>
        </w:rPr>
        <w:t>ytokines</w:t>
      </w:r>
    </w:p>
    <w:p w:rsidR="007E0261" w:rsidRPr="006A23C4" w:rsidRDefault="007E0261" w:rsidP="009F4B6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Figure 3 shows the difference in the serum IL-17</w:t>
      </w:r>
      <w:r w:rsidR="00AA157E">
        <w:rPr>
          <w:rFonts w:ascii="Book Antiqua" w:hAnsi="Book Antiqua"/>
          <w:color w:val="000000"/>
          <w:kern w:val="0"/>
          <w:sz w:val="24"/>
          <w:szCs w:val="24"/>
        </w:rPr>
        <w:t xml:space="preserve"> and</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IL-23 levels and IL-23/IL-17 ratios between the two groups on days 1, 3, and 7 after admission. As shown in Figure 3A, patients in the EEN group had </w:t>
      </w:r>
      <w:r w:rsidR="00AA157E">
        <w:rPr>
          <w:rFonts w:ascii="Book Antiqua" w:hAnsi="Book Antiqua"/>
          <w:color w:val="000000"/>
          <w:kern w:val="0"/>
          <w:sz w:val="24"/>
          <w:szCs w:val="24"/>
        </w:rPr>
        <w:t xml:space="preserve">a </w:t>
      </w:r>
      <w:r w:rsidRPr="006A23C4">
        <w:rPr>
          <w:rFonts w:ascii="Book Antiqua" w:hAnsi="Book Antiqua"/>
          <w:color w:val="000000"/>
          <w:kern w:val="0"/>
          <w:sz w:val="24"/>
          <w:szCs w:val="24"/>
        </w:rPr>
        <w:t>significantly lower IL-17 level on the 7th day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0.01) after admission compared to </w:t>
      </w:r>
      <w:r w:rsidR="00AA157E" w:rsidRPr="006A23C4">
        <w:rPr>
          <w:rFonts w:ascii="Book Antiqua" w:hAnsi="Book Antiqua"/>
          <w:color w:val="000000"/>
          <w:kern w:val="0"/>
          <w:sz w:val="24"/>
          <w:szCs w:val="24"/>
        </w:rPr>
        <w:t>th</w:t>
      </w:r>
      <w:r w:rsidR="00AA157E">
        <w:rPr>
          <w:rFonts w:ascii="Book Antiqua" w:hAnsi="Book Antiqua"/>
          <w:color w:val="000000"/>
          <w:kern w:val="0"/>
          <w:sz w:val="24"/>
          <w:szCs w:val="24"/>
        </w:rPr>
        <w:t>at</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of the DEN group. Similar results were also found for the IL-23 levels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0.016) (Figure 2B). No </w:t>
      </w:r>
      <w:r w:rsidR="00AA157E">
        <w:rPr>
          <w:rFonts w:ascii="Book Antiqua" w:hAnsi="Book Antiqua"/>
          <w:color w:val="000000"/>
          <w:kern w:val="0"/>
          <w:sz w:val="24"/>
          <w:szCs w:val="24"/>
        </w:rPr>
        <w:t xml:space="preserve">significant </w:t>
      </w:r>
      <w:r w:rsidRPr="006A23C4">
        <w:rPr>
          <w:rFonts w:ascii="Book Antiqua" w:hAnsi="Book Antiqua"/>
          <w:color w:val="000000"/>
          <w:kern w:val="0"/>
          <w:sz w:val="24"/>
          <w:szCs w:val="24"/>
        </w:rPr>
        <w:t xml:space="preserve">difference in the IL-23/IL-17 ratios </w:t>
      </w:r>
      <w:r w:rsidR="00AA157E" w:rsidRPr="006A23C4">
        <w:rPr>
          <w:rFonts w:ascii="Book Antiqua" w:hAnsi="Book Antiqua"/>
          <w:color w:val="000000"/>
          <w:kern w:val="0"/>
          <w:sz w:val="24"/>
          <w:szCs w:val="24"/>
        </w:rPr>
        <w:t>w</w:t>
      </w:r>
      <w:r w:rsidR="00AA157E">
        <w:rPr>
          <w:rFonts w:ascii="Book Antiqua" w:hAnsi="Book Antiqua"/>
          <w:color w:val="000000"/>
          <w:kern w:val="0"/>
          <w:sz w:val="24"/>
          <w:szCs w:val="24"/>
        </w:rPr>
        <w:t>as</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found during the 7 days after admission between the two groups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&gt; 0.05) (Figure 3C), and the results indicated that the expression of the members of the IL-23/IL-17 axis was simultaneously suppressed in both groups.</w:t>
      </w:r>
    </w:p>
    <w:p w:rsidR="007E0261" w:rsidRPr="006A23C4" w:rsidRDefault="007E0261" w:rsidP="001E5EE5">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Figure 4 shows the difference in serum IL-6 and IL-10 levels between the two groups on days 1, 3, and 7 after admission. As shown in Figure 4A, patients in the EEN group had </w:t>
      </w:r>
      <w:r w:rsidR="00AA157E">
        <w:rPr>
          <w:rFonts w:ascii="Book Antiqua" w:hAnsi="Book Antiqua"/>
          <w:color w:val="000000"/>
          <w:kern w:val="0"/>
          <w:sz w:val="24"/>
          <w:szCs w:val="24"/>
        </w:rPr>
        <w:t xml:space="preserve">a </w:t>
      </w:r>
      <w:r w:rsidRPr="006A23C4">
        <w:rPr>
          <w:rFonts w:ascii="Book Antiqua" w:hAnsi="Book Antiqua"/>
          <w:color w:val="000000"/>
          <w:kern w:val="0"/>
          <w:sz w:val="24"/>
          <w:szCs w:val="24"/>
        </w:rPr>
        <w:t>significantly lower IL-6 level on the 7th day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0.001) after admission compared to </w:t>
      </w:r>
      <w:r w:rsidR="00AA157E" w:rsidRPr="006A23C4">
        <w:rPr>
          <w:rFonts w:ascii="Book Antiqua" w:hAnsi="Book Antiqua"/>
          <w:color w:val="000000"/>
          <w:kern w:val="0"/>
          <w:sz w:val="24"/>
          <w:szCs w:val="24"/>
        </w:rPr>
        <w:t>th</w:t>
      </w:r>
      <w:r w:rsidR="00AA157E">
        <w:rPr>
          <w:rFonts w:ascii="Book Antiqua" w:hAnsi="Book Antiqua"/>
          <w:color w:val="000000"/>
          <w:kern w:val="0"/>
          <w:sz w:val="24"/>
          <w:szCs w:val="24"/>
        </w:rPr>
        <w:t>at</w:t>
      </w:r>
      <w:r w:rsidR="00AA157E"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in the DEN group. However, no </w:t>
      </w:r>
      <w:r w:rsidR="00781688">
        <w:rPr>
          <w:rFonts w:ascii="Book Antiqua" w:hAnsi="Book Antiqua"/>
          <w:color w:val="000000"/>
          <w:kern w:val="0"/>
          <w:sz w:val="24"/>
          <w:szCs w:val="24"/>
        </w:rPr>
        <w:t>significant</w:t>
      </w:r>
      <w:r w:rsidR="00AA157E">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difference in the IL-10 levels </w:t>
      </w:r>
      <w:r w:rsidR="00781688" w:rsidRPr="006A23C4">
        <w:rPr>
          <w:rFonts w:ascii="Book Antiqua" w:hAnsi="Book Antiqua"/>
          <w:color w:val="000000"/>
          <w:kern w:val="0"/>
          <w:sz w:val="24"/>
          <w:szCs w:val="24"/>
        </w:rPr>
        <w:t>w</w:t>
      </w:r>
      <w:r w:rsidR="00781688">
        <w:rPr>
          <w:rFonts w:ascii="Book Antiqua" w:hAnsi="Book Antiqua"/>
          <w:color w:val="000000"/>
          <w:kern w:val="0"/>
          <w:sz w:val="24"/>
          <w:szCs w:val="24"/>
        </w:rPr>
        <w:t>as</w:t>
      </w:r>
      <w:r w:rsidR="00781688"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found during the 7 d after admission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&gt; 0.05) between the two groups</w:t>
      </w:r>
      <w:r w:rsidR="001E5EE5" w:rsidRPr="006A23C4">
        <w:rPr>
          <w:rFonts w:ascii="Book Antiqua" w:hAnsi="Book Antiqua"/>
          <w:color w:val="000000"/>
          <w:kern w:val="0"/>
          <w:sz w:val="24"/>
          <w:szCs w:val="24"/>
        </w:rPr>
        <w:t xml:space="preserve"> </w:t>
      </w:r>
      <w:r w:rsidR="001E5EE5" w:rsidRPr="001E5EE5">
        <w:rPr>
          <w:rFonts w:ascii="Book Antiqua" w:hAnsi="Book Antiqua"/>
          <w:color w:val="000000"/>
          <w:kern w:val="0"/>
          <w:sz w:val="24"/>
          <w:szCs w:val="24"/>
        </w:rPr>
        <w:t>(Figure 4B)</w:t>
      </w:r>
      <w:r w:rsidRPr="006A23C4">
        <w:rPr>
          <w:rFonts w:ascii="Book Antiqua" w:hAnsi="Book Antiqua"/>
          <w:color w:val="000000"/>
          <w:kern w:val="0"/>
          <w:sz w:val="24"/>
          <w:szCs w:val="24"/>
        </w:rPr>
        <w:t>.</w:t>
      </w:r>
    </w:p>
    <w:p w:rsidR="001E5EE5" w:rsidRPr="00781688" w:rsidRDefault="001E5EE5" w:rsidP="00135736">
      <w:pPr>
        <w:spacing w:line="360" w:lineRule="auto"/>
        <w:rPr>
          <w:rFonts w:ascii="Book Antiqua" w:hAnsi="Book Antiqua"/>
          <w:b/>
          <w:color w:val="000000"/>
          <w:sz w:val="24"/>
          <w:szCs w:val="24"/>
        </w:rPr>
      </w:pPr>
    </w:p>
    <w:p w:rsidR="007E0261" w:rsidRPr="006A23C4" w:rsidRDefault="00AA157E" w:rsidP="00135736">
      <w:pPr>
        <w:spacing w:line="360" w:lineRule="auto"/>
        <w:rPr>
          <w:rFonts w:ascii="Book Antiqua" w:hAnsi="Book Antiqua"/>
          <w:b/>
          <w:i/>
          <w:color w:val="000000"/>
          <w:sz w:val="24"/>
          <w:szCs w:val="24"/>
        </w:rPr>
      </w:pPr>
      <w:r>
        <w:rPr>
          <w:rFonts w:ascii="Book Antiqua" w:hAnsi="Book Antiqua"/>
          <w:b/>
          <w:i/>
          <w:color w:val="000000"/>
          <w:sz w:val="24"/>
          <w:szCs w:val="24"/>
        </w:rPr>
        <w:t>C</w:t>
      </w:r>
      <w:r w:rsidR="007E0261" w:rsidRPr="006A23C4">
        <w:rPr>
          <w:rFonts w:ascii="Book Antiqua" w:hAnsi="Book Antiqua"/>
          <w:b/>
          <w:i/>
          <w:color w:val="000000"/>
          <w:sz w:val="24"/>
          <w:szCs w:val="24"/>
        </w:rPr>
        <w:t>linical severity variables</w:t>
      </w:r>
    </w:p>
    <w:p w:rsidR="006A230B" w:rsidRPr="006A23C4" w:rsidRDefault="007E0261" w:rsidP="001E5EE5">
      <w:pPr>
        <w:spacing w:line="360" w:lineRule="auto"/>
        <w:rPr>
          <w:rFonts w:ascii="Book Antiqua" w:hAnsi="Book Antiqua"/>
          <w:bCs/>
          <w:color w:val="000000"/>
          <w:sz w:val="24"/>
          <w:szCs w:val="24"/>
        </w:rPr>
      </w:pPr>
      <w:r w:rsidRPr="006A23C4">
        <w:rPr>
          <w:rFonts w:ascii="Book Antiqua" w:hAnsi="Book Antiqua"/>
          <w:color w:val="000000"/>
          <w:kern w:val="0"/>
          <w:sz w:val="24"/>
          <w:szCs w:val="24"/>
        </w:rPr>
        <w:t>Table 2 shows the difference in the clinical severity variables between the two groups during the ICU stay. The APACHE II and SOFA scores of the EEN group were significantly lower than those of the DEN group on the 7th day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0.05). The duration (days) of MV and ICU stay of the EEN group were also </w:t>
      </w:r>
      <w:r w:rsidR="00AA157E">
        <w:rPr>
          <w:rFonts w:ascii="Book Antiqua" w:hAnsi="Book Antiqua"/>
          <w:color w:val="000000"/>
          <w:kern w:val="0"/>
          <w:sz w:val="24"/>
          <w:szCs w:val="24"/>
        </w:rPr>
        <w:t xml:space="preserve">significantly </w:t>
      </w:r>
      <w:r w:rsidRPr="006A23C4">
        <w:rPr>
          <w:rFonts w:ascii="Book Antiqua" w:hAnsi="Book Antiqua"/>
          <w:color w:val="000000"/>
          <w:kern w:val="0"/>
          <w:sz w:val="24"/>
          <w:szCs w:val="24"/>
        </w:rPr>
        <w:t>shorter than those of the DEN group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&lt; 0.05). However, no </w:t>
      </w:r>
      <w:r w:rsidR="00AA157E">
        <w:rPr>
          <w:rFonts w:ascii="Book Antiqua" w:hAnsi="Book Antiqua"/>
          <w:color w:val="000000"/>
          <w:kern w:val="0"/>
          <w:sz w:val="24"/>
          <w:szCs w:val="24"/>
        </w:rPr>
        <w:t xml:space="preserve">significant </w:t>
      </w:r>
      <w:r w:rsidRPr="006A23C4">
        <w:rPr>
          <w:rFonts w:ascii="Book Antiqua" w:hAnsi="Book Antiqua"/>
          <w:color w:val="000000"/>
          <w:kern w:val="0"/>
          <w:sz w:val="24"/>
          <w:szCs w:val="24"/>
        </w:rPr>
        <w:t xml:space="preserve">difference in the number of patients receiving CRRT was found between the two groups (4/26 </w:t>
      </w:r>
      <w:r w:rsidRPr="006A23C4">
        <w:rPr>
          <w:rFonts w:ascii="Book Antiqua" w:hAnsi="Book Antiqua"/>
          <w:i/>
          <w:color w:val="000000"/>
          <w:kern w:val="0"/>
          <w:sz w:val="24"/>
          <w:szCs w:val="24"/>
        </w:rPr>
        <w:t>vs</w:t>
      </w:r>
      <w:r w:rsidRPr="006A23C4">
        <w:rPr>
          <w:rFonts w:ascii="Book Antiqua" w:hAnsi="Book Antiqua"/>
          <w:color w:val="000000"/>
          <w:kern w:val="0"/>
          <w:sz w:val="24"/>
          <w:szCs w:val="24"/>
        </w:rPr>
        <w:t xml:space="preserve"> 3/27,</w:t>
      </w:r>
      <w:r w:rsidRPr="006A23C4">
        <w:rPr>
          <w:rFonts w:ascii="Book Antiqua" w:hAnsi="Book Antiqua"/>
          <w:i/>
          <w:color w:val="000000"/>
          <w:kern w:val="0"/>
          <w:sz w:val="24"/>
          <w:szCs w:val="24"/>
        </w:rPr>
        <w:t xml:space="preserve"> P </w:t>
      </w:r>
      <w:r w:rsidRPr="006A23C4">
        <w:rPr>
          <w:rFonts w:ascii="Book Antiqua" w:hAnsi="Book Antiqua"/>
          <w:color w:val="000000"/>
          <w:kern w:val="0"/>
          <w:sz w:val="24"/>
          <w:szCs w:val="24"/>
        </w:rPr>
        <w:t>= 0.704).</w:t>
      </w:r>
      <w:r w:rsidR="006A230B" w:rsidRPr="006A23C4">
        <w:rPr>
          <w:rFonts w:ascii="Book Antiqua" w:hAnsi="Book Antiqua"/>
          <w:bCs/>
          <w:color w:val="000000"/>
          <w:sz w:val="24"/>
          <w:szCs w:val="24"/>
        </w:rPr>
        <w:t xml:space="preserve"> </w:t>
      </w:r>
    </w:p>
    <w:p w:rsidR="007E0261" w:rsidRPr="006A23C4" w:rsidRDefault="006A230B" w:rsidP="002B133E">
      <w:pPr>
        <w:spacing w:line="360" w:lineRule="auto"/>
        <w:ind w:firstLineChars="100" w:firstLine="240"/>
        <w:rPr>
          <w:rFonts w:ascii="Book Antiqua" w:hAnsi="Book Antiqua"/>
          <w:color w:val="000000"/>
          <w:kern w:val="0"/>
          <w:sz w:val="24"/>
          <w:szCs w:val="24"/>
        </w:rPr>
      </w:pPr>
      <w:r w:rsidRPr="006A23C4">
        <w:rPr>
          <w:rFonts w:ascii="Book Antiqua" w:hAnsi="Book Antiqua"/>
          <w:bCs/>
          <w:color w:val="000000"/>
          <w:sz w:val="24"/>
          <w:szCs w:val="24"/>
        </w:rPr>
        <w:t xml:space="preserve">The effects of EEN on WBC counts, </w:t>
      </w:r>
      <w:r w:rsidRPr="006A23C4">
        <w:rPr>
          <w:rFonts w:ascii="Book Antiqua" w:hAnsi="Book Antiqua"/>
          <w:color w:val="000000"/>
          <w:kern w:val="0"/>
          <w:sz w:val="24"/>
          <w:szCs w:val="24"/>
        </w:rPr>
        <w:t xml:space="preserve">hemoglobin, total bilirubin, </w:t>
      </w:r>
      <w:r w:rsidRPr="006A23C4">
        <w:rPr>
          <w:rFonts w:ascii="Book Antiqua" w:hAnsi="Book Antiqua"/>
          <w:bCs/>
          <w:color w:val="000000"/>
          <w:sz w:val="24"/>
          <w:szCs w:val="24"/>
        </w:rPr>
        <w:t xml:space="preserve">and albumin levels were also investigated, </w:t>
      </w:r>
      <w:r w:rsidR="00CA63BF">
        <w:rPr>
          <w:rFonts w:ascii="Book Antiqua" w:hAnsi="Book Antiqua"/>
          <w:bCs/>
          <w:color w:val="000000"/>
          <w:sz w:val="24"/>
          <w:szCs w:val="24"/>
        </w:rPr>
        <w:t xml:space="preserve">and </w:t>
      </w:r>
      <w:r w:rsidRPr="006A23C4">
        <w:rPr>
          <w:rFonts w:ascii="Book Antiqua" w:hAnsi="Book Antiqua"/>
          <w:bCs/>
          <w:color w:val="000000"/>
          <w:sz w:val="24"/>
          <w:szCs w:val="24"/>
        </w:rPr>
        <w:t>we found that EEN had a tendency of decreasing WBC count (9.57</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3.12 </w:t>
      </w:r>
      <w:r w:rsidR="002B133E" w:rsidRPr="006A23C4">
        <w:rPr>
          <w:rFonts w:ascii="Book Antiqua" w:hAnsi="Book Antiqua"/>
          <w:bCs/>
          <w:i/>
          <w:color w:val="000000"/>
          <w:sz w:val="24"/>
          <w:szCs w:val="24"/>
        </w:rPr>
        <w:t>vs</w:t>
      </w:r>
      <w:r w:rsidRPr="006A23C4">
        <w:rPr>
          <w:rFonts w:ascii="Book Antiqua" w:hAnsi="Book Antiqua"/>
          <w:bCs/>
          <w:color w:val="000000"/>
          <w:sz w:val="24"/>
          <w:szCs w:val="24"/>
        </w:rPr>
        <w:t xml:space="preserve"> 12.03</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5.53, </w:t>
      </w:r>
      <w:r w:rsidRPr="006A23C4">
        <w:rPr>
          <w:rFonts w:ascii="Book Antiqua" w:hAnsi="Book Antiqua"/>
          <w:bCs/>
          <w:i/>
          <w:color w:val="000000"/>
          <w:sz w:val="24"/>
          <w:szCs w:val="24"/>
        </w:rPr>
        <w:t>P</w:t>
      </w:r>
      <w:r w:rsidRPr="006A23C4">
        <w:rPr>
          <w:rFonts w:ascii="Book Antiqua" w:hAnsi="Book Antiqua"/>
          <w:bCs/>
          <w:color w:val="000000"/>
          <w:sz w:val="24"/>
          <w:szCs w:val="24"/>
        </w:rPr>
        <w:t xml:space="preserve"> =</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0.051) and </w:t>
      </w:r>
      <w:r w:rsidRPr="006A23C4">
        <w:rPr>
          <w:rFonts w:ascii="Book Antiqua" w:hAnsi="Book Antiqua"/>
          <w:color w:val="000000"/>
          <w:kern w:val="0"/>
          <w:sz w:val="24"/>
          <w:szCs w:val="24"/>
        </w:rPr>
        <w:t>total bilirubin</w:t>
      </w:r>
      <w:r w:rsidRPr="006A23C4">
        <w:rPr>
          <w:rFonts w:ascii="Book Antiqua" w:hAnsi="Book Antiqua"/>
          <w:bCs/>
          <w:color w:val="000000"/>
          <w:sz w:val="24"/>
          <w:szCs w:val="24"/>
        </w:rPr>
        <w:t xml:space="preserve"> (14.04</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11.06 </w:t>
      </w:r>
      <w:r w:rsidR="002B133E" w:rsidRPr="002B133E">
        <w:rPr>
          <w:rFonts w:ascii="Book Antiqua" w:hAnsi="Book Antiqua"/>
          <w:bCs/>
          <w:i/>
          <w:color w:val="000000"/>
          <w:sz w:val="24"/>
          <w:szCs w:val="24"/>
        </w:rPr>
        <w:t>vs</w:t>
      </w:r>
      <w:r w:rsidR="002B133E" w:rsidRPr="002B133E">
        <w:rPr>
          <w:rFonts w:ascii="Book Antiqua" w:hAnsi="Book Antiqua"/>
          <w:bCs/>
          <w:color w:val="000000"/>
          <w:sz w:val="24"/>
          <w:szCs w:val="24"/>
        </w:rPr>
        <w:t xml:space="preserve"> </w:t>
      </w:r>
      <w:r w:rsidRPr="006A23C4">
        <w:rPr>
          <w:rFonts w:ascii="Book Antiqua" w:hAnsi="Book Antiqua"/>
          <w:bCs/>
          <w:color w:val="000000"/>
          <w:sz w:val="24"/>
          <w:szCs w:val="24"/>
        </w:rPr>
        <w:t>20.14</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18.21, </w:t>
      </w:r>
      <w:r w:rsidRPr="006A23C4">
        <w:rPr>
          <w:rFonts w:ascii="Book Antiqua" w:hAnsi="Book Antiqua"/>
          <w:bCs/>
          <w:i/>
          <w:color w:val="000000"/>
          <w:sz w:val="24"/>
          <w:szCs w:val="24"/>
        </w:rPr>
        <w:t xml:space="preserve">P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0.146) on the 7th day after admission. Moreover, EEN also had a tendency of increasing albumin level (33.51</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3.75 </w:t>
      </w:r>
      <w:r w:rsidR="002B133E" w:rsidRPr="002B133E">
        <w:rPr>
          <w:rFonts w:ascii="Book Antiqua" w:hAnsi="Book Antiqua"/>
          <w:bCs/>
          <w:i/>
          <w:color w:val="000000"/>
          <w:sz w:val="24"/>
          <w:szCs w:val="24"/>
        </w:rPr>
        <w:t>vs</w:t>
      </w:r>
      <w:r w:rsidR="002B133E" w:rsidRPr="002B133E">
        <w:rPr>
          <w:rFonts w:ascii="Book Antiqua" w:hAnsi="Book Antiqua"/>
          <w:bCs/>
          <w:color w:val="000000"/>
          <w:sz w:val="24"/>
          <w:szCs w:val="24"/>
        </w:rPr>
        <w:t xml:space="preserve"> </w:t>
      </w:r>
      <w:r w:rsidRPr="006A23C4">
        <w:rPr>
          <w:rFonts w:ascii="Book Antiqua" w:hAnsi="Book Antiqua"/>
          <w:bCs/>
          <w:color w:val="000000"/>
          <w:sz w:val="24"/>
          <w:szCs w:val="24"/>
        </w:rPr>
        <w:t>31.47</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3.82, </w:t>
      </w:r>
      <w:r w:rsidRPr="006A23C4">
        <w:rPr>
          <w:rFonts w:ascii="Book Antiqua" w:hAnsi="Book Antiqua"/>
          <w:bCs/>
          <w:i/>
          <w:color w:val="000000"/>
          <w:sz w:val="24"/>
          <w:szCs w:val="24"/>
        </w:rPr>
        <w:t>P</w:t>
      </w:r>
      <w:r w:rsidRPr="006A23C4">
        <w:rPr>
          <w:rFonts w:ascii="Book Antiqua" w:hAnsi="Book Antiqua"/>
          <w:bCs/>
          <w:color w:val="000000"/>
          <w:sz w:val="24"/>
          <w:szCs w:val="24"/>
        </w:rPr>
        <w:t xml:space="preserve"> =</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0.055) on the 7th day after admission. No similar tendency on </w:t>
      </w:r>
      <w:r w:rsidRPr="006A23C4">
        <w:rPr>
          <w:rFonts w:ascii="Book Antiqua" w:hAnsi="Book Antiqua"/>
          <w:color w:val="000000"/>
          <w:kern w:val="0"/>
          <w:sz w:val="24"/>
          <w:szCs w:val="24"/>
        </w:rPr>
        <w:t>hemoglobin</w:t>
      </w:r>
      <w:r w:rsidRPr="006A23C4">
        <w:rPr>
          <w:rFonts w:ascii="Book Antiqua" w:hAnsi="Book Antiqua"/>
          <w:bCs/>
          <w:color w:val="000000"/>
          <w:sz w:val="24"/>
          <w:szCs w:val="24"/>
        </w:rPr>
        <w:t xml:space="preserve"> (106.73</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16.53 </w:t>
      </w:r>
      <w:r w:rsidR="002B133E" w:rsidRPr="002B133E">
        <w:rPr>
          <w:rFonts w:ascii="Book Antiqua" w:hAnsi="Book Antiqua"/>
          <w:bCs/>
          <w:i/>
          <w:color w:val="000000"/>
          <w:sz w:val="24"/>
          <w:szCs w:val="24"/>
        </w:rPr>
        <w:t>vs</w:t>
      </w:r>
      <w:r w:rsidR="002B133E" w:rsidRPr="002B133E">
        <w:rPr>
          <w:rFonts w:ascii="Book Antiqua" w:hAnsi="Book Antiqua"/>
          <w:bCs/>
          <w:color w:val="000000"/>
          <w:sz w:val="24"/>
          <w:szCs w:val="24"/>
        </w:rPr>
        <w:t xml:space="preserve"> </w:t>
      </w:r>
      <w:r w:rsidRPr="006A23C4">
        <w:rPr>
          <w:rFonts w:ascii="Book Antiqua" w:hAnsi="Book Antiqua"/>
          <w:bCs/>
          <w:color w:val="000000"/>
          <w:sz w:val="24"/>
          <w:szCs w:val="24"/>
        </w:rPr>
        <w:t>105.56</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 xml:space="preserve">23.60, </w:t>
      </w:r>
      <w:r w:rsidRPr="006A23C4">
        <w:rPr>
          <w:rFonts w:ascii="Book Antiqua" w:hAnsi="Book Antiqua"/>
          <w:bCs/>
          <w:i/>
          <w:color w:val="000000"/>
          <w:sz w:val="24"/>
          <w:szCs w:val="24"/>
        </w:rPr>
        <w:t>P</w:t>
      </w:r>
      <w:r w:rsidRPr="006A23C4">
        <w:rPr>
          <w:rFonts w:ascii="Book Antiqua" w:hAnsi="Book Antiqua"/>
          <w:bCs/>
          <w:color w:val="000000"/>
          <w:sz w:val="24"/>
          <w:szCs w:val="24"/>
        </w:rPr>
        <w:t xml:space="preserve"> =</w:t>
      </w:r>
      <w:r w:rsidR="002B133E" w:rsidRPr="006A23C4">
        <w:rPr>
          <w:rFonts w:ascii="Book Antiqua" w:hAnsi="Book Antiqua"/>
          <w:bCs/>
          <w:color w:val="000000"/>
          <w:sz w:val="24"/>
          <w:szCs w:val="24"/>
        </w:rPr>
        <w:t xml:space="preserve"> </w:t>
      </w:r>
      <w:r w:rsidRPr="006A23C4">
        <w:rPr>
          <w:rFonts w:ascii="Book Antiqua" w:hAnsi="Book Antiqua"/>
          <w:bCs/>
          <w:color w:val="000000"/>
          <w:sz w:val="24"/>
          <w:szCs w:val="24"/>
        </w:rPr>
        <w:t>0.835) was found during the 7 d after admission between the two groups. It may be part of the reasons why EEN can decrease APACH II and SOFA score</w:t>
      </w:r>
      <w:r w:rsidR="00CA63BF">
        <w:rPr>
          <w:rFonts w:ascii="Book Antiqua" w:hAnsi="Book Antiqua"/>
          <w:bCs/>
          <w:color w:val="000000"/>
          <w:sz w:val="24"/>
          <w:szCs w:val="24"/>
        </w:rPr>
        <w:t>s</w:t>
      </w:r>
      <w:r w:rsidRPr="006A23C4">
        <w:rPr>
          <w:rFonts w:ascii="Book Antiqua" w:hAnsi="Book Antiqua"/>
          <w:bCs/>
          <w:color w:val="000000"/>
          <w:sz w:val="24"/>
          <w:szCs w:val="24"/>
        </w:rPr>
        <w:t xml:space="preserve"> on 7th day after admission.</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During the 28 d of admission, 4 </w:t>
      </w:r>
      <w:r w:rsidR="00CA63BF" w:rsidRPr="006A23C4">
        <w:rPr>
          <w:rFonts w:ascii="Book Antiqua" w:hAnsi="Book Antiqua"/>
          <w:color w:val="000000"/>
          <w:kern w:val="0"/>
          <w:sz w:val="24"/>
          <w:szCs w:val="24"/>
        </w:rPr>
        <w:t>(15.4%)</w:t>
      </w:r>
      <w:r w:rsidR="00CA63BF">
        <w:rPr>
          <w:rFonts w:ascii="Book Antiqua" w:hAnsi="Book Antiqua"/>
          <w:color w:val="000000"/>
          <w:kern w:val="0"/>
          <w:sz w:val="24"/>
          <w:szCs w:val="24"/>
        </w:rPr>
        <w:t xml:space="preserve"> </w:t>
      </w:r>
      <w:r w:rsidRPr="006A23C4">
        <w:rPr>
          <w:rFonts w:ascii="Book Antiqua" w:hAnsi="Book Antiqua"/>
          <w:color w:val="000000"/>
          <w:kern w:val="0"/>
          <w:sz w:val="24"/>
          <w:szCs w:val="24"/>
        </w:rPr>
        <w:t>of 26 patients</w:t>
      </w:r>
      <w:r w:rsidR="00CA63BF">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in the EEN group and 6 </w:t>
      </w:r>
      <w:r w:rsidR="00CA63BF" w:rsidRPr="006A23C4">
        <w:rPr>
          <w:rFonts w:ascii="Book Antiqua" w:hAnsi="Book Antiqua"/>
          <w:color w:val="000000"/>
          <w:kern w:val="0"/>
          <w:sz w:val="24"/>
          <w:szCs w:val="24"/>
        </w:rPr>
        <w:t>(22.2%)</w:t>
      </w:r>
      <w:r w:rsidR="00CA63BF">
        <w:rPr>
          <w:rFonts w:ascii="Book Antiqua" w:hAnsi="Book Antiqua"/>
          <w:color w:val="000000"/>
          <w:kern w:val="0"/>
          <w:sz w:val="24"/>
          <w:szCs w:val="24"/>
        </w:rPr>
        <w:t xml:space="preserve"> </w:t>
      </w:r>
      <w:r w:rsidRPr="006A23C4">
        <w:rPr>
          <w:rFonts w:ascii="Book Antiqua" w:hAnsi="Book Antiqua"/>
          <w:color w:val="000000"/>
          <w:kern w:val="0"/>
          <w:sz w:val="24"/>
          <w:szCs w:val="24"/>
        </w:rPr>
        <w:t>of 27 patients</w:t>
      </w:r>
      <w:r w:rsidR="00CA63BF">
        <w:rPr>
          <w:rFonts w:ascii="Book Antiqua" w:hAnsi="Book Antiqua"/>
          <w:color w:val="000000"/>
          <w:kern w:val="0"/>
          <w:sz w:val="24"/>
          <w:szCs w:val="24"/>
        </w:rPr>
        <w:t xml:space="preserve"> </w:t>
      </w:r>
      <w:r w:rsidRPr="006A23C4">
        <w:rPr>
          <w:rFonts w:ascii="Book Antiqua" w:hAnsi="Book Antiqua"/>
          <w:color w:val="000000"/>
          <w:kern w:val="0"/>
          <w:sz w:val="24"/>
          <w:szCs w:val="24"/>
        </w:rPr>
        <w:t>in the DEN group died of MODS or infectious complications. As shown in Figure 5, no difference in the 28-d mortality was found between the EEN and DEN groups (</w:t>
      </w:r>
      <w:r w:rsidRPr="006A23C4">
        <w:rPr>
          <w:rFonts w:ascii="Book Antiqua" w:hAnsi="Book Antiqua"/>
          <w:i/>
          <w:color w:val="000000"/>
          <w:kern w:val="0"/>
          <w:sz w:val="24"/>
          <w:szCs w:val="24"/>
        </w:rPr>
        <w:t>P</w:t>
      </w:r>
      <w:r w:rsidRPr="006A23C4">
        <w:rPr>
          <w:rFonts w:ascii="Book Antiqua" w:hAnsi="Book Antiqua"/>
          <w:color w:val="000000"/>
          <w:kern w:val="0"/>
          <w:sz w:val="24"/>
          <w:szCs w:val="24"/>
        </w:rPr>
        <w:t xml:space="preserve"> = 0.728).</w:t>
      </w:r>
    </w:p>
    <w:p w:rsidR="002B133E" w:rsidRPr="006A23C4" w:rsidRDefault="002B133E" w:rsidP="00135736">
      <w:pPr>
        <w:spacing w:line="360" w:lineRule="auto"/>
        <w:rPr>
          <w:rFonts w:ascii="Book Antiqua" w:hAnsi="Book Antiqua"/>
          <w:b/>
          <w:color w:val="000000"/>
          <w:sz w:val="24"/>
          <w:szCs w:val="24"/>
        </w:rPr>
      </w:pPr>
    </w:p>
    <w:p w:rsidR="007E0261" w:rsidRPr="006A23C4" w:rsidRDefault="002B133E" w:rsidP="00135736">
      <w:pPr>
        <w:spacing w:line="360" w:lineRule="auto"/>
        <w:rPr>
          <w:rFonts w:ascii="Book Antiqua" w:hAnsi="Book Antiqua"/>
          <w:b/>
          <w:color w:val="000000"/>
          <w:sz w:val="24"/>
          <w:szCs w:val="24"/>
        </w:rPr>
      </w:pPr>
      <w:r w:rsidRPr="006A23C4">
        <w:rPr>
          <w:rFonts w:ascii="Book Antiqua" w:hAnsi="Book Antiqua"/>
          <w:b/>
          <w:color w:val="000000"/>
          <w:sz w:val="24"/>
          <w:szCs w:val="24"/>
        </w:rPr>
        <w:t>DISCUSSION</w:t>
      </w:r>
    </w:p>
    <w:p w:rsidR="007E0261" w:rsidRPr="006A23C4" w:rsidRDefault="007E0261" w:rsidP="002B133E">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 xml:space="preserve">This prospective clinical pilot study investigated the effects of EEN on the Th17/Treg </w:t>
      </w:r>
      <w:r w:rsidR="003A685C">
        <w:rPr>
          <w:rFonts w:ascii="Book Antiqua" w:hAnsi="Book Antiqua"/>
          <w:color w:val="000000"/>
          <w:kern w:val="0"/>
          <w:sz w:val="24"/>
          <w:szCs w:val="24"/>
        </w:rPr>
        <w:t xml:space="preserve">cell </w:t>
      </w:r>
      <w:r w:rsidRPr="006A23C4">
        <w:rPr>
          <w:rFonts w:ascii="Book Antiqua" w:hAnsi="Book Antiqua"/>
          <w:color w:val="000000"/>
          <w:kern w:val="0"/>
          <w:sz w:val="24"/>
          <w:szCs w:val="24"/>
        </w:rPr>
        <w:t xml:space="preserve">ratios and the IL-23/IL-17 axis in septic patients. We found that EEN could decrease the Th17 lymphocyte percentages, Th17/Treg </w:t>
      </w:r>
      <w:r w:rsidR="003A685C">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serum IL-17, IL-23</w:t>
      </w:r>
      <w:r w:rsidR="00CA63BF">
        <w:rPr>
          <w:rFonts w:ascii="Book Antiqua" w:hAnsi="Book Antiqua"/>
          <w:color w:val="000000"/>
          <w:kern w:val="0"/>
          <w:sz w:val="24"/>
          <w:szCs w:val="24"/>
        </w:rPr>
        <w:t>,</w:t>
      </w:r>
      <w:r w:rsidRPr="006A23C4">
        <w:rPr>
          <w:rFonts w:ascii="Book Antiqua" w:hAnsi="Book Antiqua"/>
          <w:color w:val="000000"/>
          <w:kern w:val="0"/>
          <w:sz w:val="24"/>
          <w:szCs w:val="24"/>
        </w:rPr>
        <w:t xml:space="preserve"> and IL-6 levels and could thus suppress the immune overactivation during the early stage of sepsis. Moreover, EEN could improve the clinical disease severity but could not reduce the 28-d mortality of septic patients.</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Despite the fact that the surviving sepsis guidelines recommended a series of therapeutic methods to treat sepsis, its mortality is still</w:t>
      </w:r>
      <w:r w:rsidR="008D3F50" w:rsidRPr="006A23C4">
        <w:rPr>
          <w:rFonts w:ascii="Book Antiqua" w:hAnsi="Book Antiqua"/>
          <w:color w:val="000000"/>
          <w:kern w:val="0"/>
          <w:sz w:val="24"/>
          <w:szCs w:val="24"/>
        </w:rPr>
        <w:t xml:space="preserve"> approximately 20</w:t>
      </w:r>
      <w:r w:rsidR="002B133E" w:rsidRPr="006A23C4">
        <w:rPr>
          <w:rFonts w:ascii="Book Antiqua" w:hAnsi="Book Antiqua"/>
          <w:color w:val="000000"/>
          <w:kern w:val="0"/>
          <w:sz w:val="24"/>
          <w:szCs w:val="24"/>
        </w:rPr>
        <w:t>%</w:t>
      </w:r>
      <w:r w:rsidR="008D3F50" w:rsidRPr="006A23C4">
        <w:rPr>
          <w:rFonts w:ascii="Book Antiqua" w:hAnsi="Book Antiqua"/>
          <w:color w:val="000000"/>
          <w:kern w:val="0"/>
          <w:sz w:val="24"/>
          <w:szCs w:val="24"/>
        </w:rPr>
        <w:t>-50% in adults</w:t>
      </w:r>
      <w:r w:rsidRPr="006A23C4">
        <w:rPr>
          <w:rFonts w:ascii="Book Antiqua" w:hAnsi="Book Antiqua"/>
          <w:color w:val="000000"/>
          <w:kern w:val="0"/>
          <w:sz w:val="24"/>
          <w:szCs w:val="24"/>
          <w:vertAlign w:val="superscript"/>
        </w:rPr>
        <w:t>[13,14]</w:t>
      </w:r>
      <w:r w:rsidRPr="006A23C4">
        <w:rPr>
          <w:rFonts w:ascii="Book Antiqua" w:hAnsi="Book Antiqua"/>
          <w:color w:val="000000"/>
          <w:kern w:val="0"/>
          <w:sz w:val="24"/>
          <w:szCs w:val="24"/>
        </w:rPr>
        <w:t xml:space="preserve">. Previous studies have shown that immune dysregulation plays an important role in the development of sepsis, and T lymphocytes, especially Th17 and Treg cells, are the main </w:t>
      </w:r>
      <w:r w:rsidR="008D3F50" w:rsidRPr="006A23C4">
        <w:rPr>
          <w:rFonts w:ascii="Book Antiqua" w:hAnsi="Book Antiqua"/>
          <w:color w:val="000000"/>
          <w:kern w:val="0"/>
          <w:sz w:val="24"/>
          <w:szCs w:val="24"/>
        </w:rPr>
        <w:t>mediators of this dysregulation</w:t>
      </w:r>
      <w:r w:rsidRPr="006A23C4">
        <w:rPr>
          <w:rFonts w:ascii="Book Antiqua" w:hAnsi="Book Antiqua"/>
          <w:color w:val="000000"/>
          <w:kern w:val="0"/>
          <w:sz w:val="24"/>
          <w:szCs w:val="24"/>
          <w:vertAlign w:val="superscript"/>
        </w:rPr>
        <w:t>[2,5,6]</w:t>
      </w:r>
      <w:r w:rsidR="008D3F50" w:rsidRPr="006A23C4">
        <w:rPr>
          <w:rFonts w:ascii="Book Antiqua" w:hAnsi="Book Antiqua"/>
          <w:color w:val="000000"/>
          <w:kern w:val="0"/>
          <w:sz w:val="24"/>
          <w:szCs w:val="24"/>
        </w:rPr>
        <w:t xml:space="preserve">. Li </w:t>
      </w:r>
      <w:r w:rsidR="008D3F50" w:rsidRPr="006A23C4">
        <w:rPr>
          <w:rFonts w:ascii="Book Antiqua" w:hAnsi="Book Antiqua"/>
          <w:i/>
          <w:color w:val="000000"/>
          <w:kern w:val="0"/>
          <w:sz w:val="24"/>
          <w:szCs w:val="24"/>
        </w:rPr>
        <w:t>et al</w:t>
      </w:r>
      <w:r w:rsidRPr="006A23C4">
        <w:rPr>
          <w:rFonts w:ascii="Book Antiqua" w:hAnsi="Book Antiqua"/>
          <w:color w:val="000000"/>
          <w:kern w:val="0"/>
          <w:sz w:val="24"/>
          <w:szCs w:val="24"/>
          <w:vertAlign w:val="superscript"/>
        </w:rPr>
        <w:t>[2]</w:t>
      </w:r>
      <w:r w:rsidRPr="006A23C4">
        <w:rPr>
          <w:rFonts w:ascii="Book Antiqua" w:hAnsi="Book Antiqua"/>
          <w:color w:val="000000"/>
          <w:kern w:val="0"/>
          <w:sz w:val="24"/>
          <w:szCs w:val="24"/>
        </w:rPr>
        <w:t xml:space="preserve"> found that the Th17/Treg</w:t>
      </w:r>
      <w:r w:rsidR="00CA63BF">
        <w:rPr>
          <w:rFonts w:ascii="Book Antiqua" w:hAnsi="Book Antiqua"/>
          <w:color w:val="000000"/>
          <w:kern w:val="0"/>
          <w:sz w:val="24"/>
          <w:szCs w:val="24"/>
        </w:rPr>
        <w:t xml:space="preserve"> cell</w:t>
      </w:r>
      <w:r w:rsidRPr="006A23C4">
        <w:rPr>
          <w:rFonts w:ascii="Book Antiqua" w:hAnsi="Book Antiqua"/>
          <w:color w:val="000000"/>
          <w:kern w:val="0"/>
          <w:sz w:val="24"/>
          <w:szCs w:val="24"/>
        </w:rPr>
        <w:t xml:space="preserve"> ratios were reduced in </w:t>
      </w:r>
      <w:r w:rsidR="008D3F50" w:rsidRPr="006A23C4">
        <w:rPr>
          <w:rFonts w:ascii="Book Antiqua" w:hAnsi="Book Antiqua"/>
          <w:color w:val="000000"/>
          <w:kern w:val="0"/>
          <w:sz w:val="24"/>
          <w:szCs w:val="24"/>
        </w:rPr>
        <w:t xml:space="preserve">septic patients, and Wu </w:t>
      </w:r>
      <w:r w:rsidR="008D3F50" w:rsidRPr="006A23C4">
        <w:rPr>
          <w:rFonts w:ascii="Book Antiqua" w:hAnsi="Book Antiqua"/>
          <w:i/>
          <w:color w:val="000000"/>
          <w:kern w:val="0"/>
          <w:sz w:val="24"/>
          <w:szCs w:val="24"/>
        </w:rPr>
        <w:t>et al</w:t>
      </w:r>
      <w:r w:rsidRPr="006A23C4">
        <w:rPr>
          <w:rFonts w:ascii="Book Antiqua" w:hAnsi="Book Antiqua"/>
          <w:color w:val="000000"/>
          <w:kern w:val="0"/>
          <w:sz w:val="24"/>
          <w:szCs w:val="24"/>
          <w:vertAlign w:val="superscript"/>
        </w:rPr>
        <w:t>[4]</w:t>
      </w:r>
      <w:r w:rsidRPr="006A23C4">
        <w:rPr>
          <w:rFonts w:ascii="Book Antiqua" w:hAnsi="Book Antiqua"/>
          <w:color w:val="000000"/>
          <w:kern w:val="0"/>
          <w:sz w:val="24"/>
          <w:szCs w:val="24"/>
        </w:rPr>
        <w:t xml:space="preserve"> reported that higher Th17 differentiation was associated with lower mortality in sepsis. Therefore, the imbalance of Th17/Treg cells is considere</w:t>
      </w:r>
      <w:r w:rsidR="008D3F50" w:rsidRPr="006A23C4">
        <w:rPr>
          <w:rFonts w:ascii="Book Antiqua" w:hAnsi="Book Antiqua"/>
          <w:color w:val="000000"/>
          <w:kern w:val="0"/>
          <w:sz w:val="24"/>
          <w:szCs w:val="24"/>
        </w:rPr>
        <w:t>d a crucial pathogeny of sepsis</w:t>
      </w:r>
      <w:r w:rsidRPr="006A23C4">
        <w:rPr>
          <w:rFonts w:ascii="Book Antiqua" w:hAnsi="Book Antiqua"/>
          <w:color w:val="000000"/>
          <w:kern w:val="0"/>
          <w:sz w:val="24"/>
          <w:szCs w:val="24"/>
          <w:vertAlign w:val="superscript"/>
        </w:rPr>
        <w:t>[1,3,6]</w:t>
      </w:r>
      <w:r w:rsidR="008D3F50" w:rsidRPr="006A23C4">
        <w:rPr>
          <w:rFonts w:ascii="Book Antiqua" w:hAnsi="Book Antiqua"/>
          <w:color w:val="000000"/>
          <w:kern w:val="0"/>
          <w:sz w:val="24"/>
          <w:szCs w:val="24"/>
        </w:rPr>
        <w:t>. An animal study</w:t>
      </w:r>
      <w:r w:rsidRPr="006A23C4">
        <w:rPr>
          <w:rFonts w:ascii="Book Antiqua" w:hAnsi="Book Antiqua"/>
          <w:color w:val="000000"/>
          <w:kern w:val="0"/>
          <w:sz w:val="24"/>
          <w:szCs w:val="24"/>
          <w:vertAlign w:val="superscript"/>
        </w:rPr>
        <w:t>[5]</w:t>
      </w:r>
      <w:r w:rsidRPr="006A23C4">
        <w:rPr>
          <w:rFonts w:ascii="Book Antiqua" w:hAnsi="Book Antiqua"/>
          <w:color w:val="000000"/>
          <w:kern w:val="0"/>
          <w:sz w:val="24"/>
          <w:szCs w:val="24"/>
        </w:rPr>
        <w:t xml:space="preserve"> showed that Xuebijing injection (a Chinese herbal medicine) regulated the balance of Treg and Th17 cells and improved survival in septi</w:t>
      </w:r>
      <w:r w:rsidR="008D3F50" w:rsidRPr="006A23C4">
        <w:rPr>
          <w:rFonts w:ascii="Book Antiqua" w:hAnsi="Book Antiqua"/>
          <w:color w:val="000000"/>
          <w:kern w:val="0"/>
          <w:sz w:val="24"/>
          <w:szCs w:val="24"/>
        </w:rPr>
        <w:t>c shock. Another clinical study</w:t>
      </w:r>
      <w:r w:rsidRPr="006A23C4">
        <w:rPr>
          <w:rFonts w:ascii="Book Antiqua" w:hAnsi="Book Antiqua"/>
          <w:color w:val="000000"/>
          <w:kern w:val="0"/>
          <w:sz w:val="24"/>
          <w:szCs w:val="24"/>
          <w:vertAlign w:val="superscript"/>
        </w:rPr>
        <w:t>[6]</w:t>
      </w:r>
      <w:r w:rsidRPr="006A23C4">
        <w:rPr>
          <w:rFonts w:ascii="Book Antiqua" w:hAnsi="Book Antiqua"/>
          <w:color w:val="000000"/>
          <w:kern w:val="0"/>
          <w:sz w:val="24"/>
          <w:szCs w:val="24"/>
        </w:rPr>
        <w:t xml:space="preserve"> reported that the Th17/Treg </w:t>
      </w:r>
      <w:r w:rsidR="00CA63BF">
        <w:rPr>
          <w:rFonts w:ascii="Book Antiqua" w:hAnsi="Book Antiqua"/>
          <w:color w:val="000000"/>
          <w:kern w:val="0"/>
          <w:sz w:val="24"/>
          <w:szCs w:val="24"/>
        </w:rPr>
        <w:t xml:space="preserve">cell </w:t>
      </w:r>
      <w:r w:rsidRPr="006A23C4">
        <w:rPr>
          <w:rFonts w:ascii="Book Antiqua" w:hAnsi="Book Antiqua"/>
          <w:color w:val="000000"/>
          <w:kern w:val="0"/>
          <w:sz w:val="24"/>
          <w:szCs w:val="24"/>
        </w:rPr>
        <w:t>imbalance in sepsis patients could be attenuated by high-volume hemofiltration. However, no consensus has been reached on how to modulate the imbalance of Th17/Treg cells. O</w:t>
      </w:r>
      <w:r w:rsidR="008D3F50" w:rsidRPr="006A23C4">
        <w:rPr>
          <w:rFonts w:ascii="Book Antiqua" w:hAnsi="Book Antiqua"/>
          <w:color w:val="000000"/>
          <w:kern w:val="0"/>
          <w:sz w:val="24"/>
          <w:szCs w:val="24"/>
        </w:rPr>
        <w:t>ur previous retrospective study</w:t>
      </w:r>
      <w:r w:rsidRPr="006A23C4">
        <w:rPr>
          <w:rFonts w:ascii="Book Antiqua" w:hAnsi="Book Antiqua"/>
          <w:color w:val="000000"/>
          <w:kern w:val="0"/>
          <w:sz w:val="24"/>
          <w:szCs w:val="24"/>
          <w:vertAlign w:val="superscript"/>
        </w:rPr>
        <w:t xml:space="preserve">[12] </w:t>
      </w:r>
      <w:r w:rsidRPr="006A23C4">
        <w:rPr>
          <w:rFonts w:ascii="Book Antiqua" w:hAnsi="Book Antiqua"/>
          <w:color w:val="000000"/>
          <w:kern w:val="0"/>
          <w:sz w:val="24"/>
          <w:szCs w:val="24"/>
        </w:rPr>
        <w:t xml:space="preserve">revealed that EEN could improve the imbalance of Th17/Treg </w:t>
      </w:r>
      <w:r w:rsidR="00CA63BF">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during the early stage of sepsis, and this prospective study also supported this conclusion. These findings provide a new and easier strategy for treating the imbalance of Th17/Treg cells.</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However, the percentage of T lymphocytes is not representative of their function. T cells trigger an inflammatory response mainly by secreting relevant cytokines. Th17 cells mainly express the pro-inflammatory factors IL-17 and IL-6, whereas Treg cells mainly express anti-inflammatory factors such as TGF-β and IL-10. Accordingly, we compared the difference in the serum IL-17, IL-6</w:t>
      </w:r>
      <w:r w:rsidR="00CA63BF">
        <w:rPr>
          <w:rFonts w:ascii="Book Antiqua" w:hAnsi="Book Antiqua"/>
          <w:color w:val="000000"/>
          <w:kern w:val="0"/>
          <w:sz w:val="24"/>
          <w:szCs w:val="24"/>
        </w:rPr>
        <w:t>,</w:t>
      </w:r>
      <w:r w:rsidRPr="006A23C4">
        <w:rPr>
          <w:rFonts w:ascii="Book Antiqua" w:hAnsi="Book Antiqua"/>
          <w:color w:val="000000"/>
          <w:kern w:val="0"/>
          <w:sz w:val="24"/>
          <w:szCs w:val="24"/>
        </w:rPr>
        <w:t xml:space="preserve"> and IL-10 levels between the EEN and DEN groups, and we found that EEN could decrease the IL-17 and IL-6 levels but not the IL-10 levels during sepsis compared to those of the DEN group. The results indicated that EEN ameliorated immune dysfunction by preventing the release of pro-inflammatory cytokines, but it did not increase the release of anti-inflammatory cytokines during the early stage of sepsis. This conclusion </w:t>
      </w:r>
      <w:r w:rsidR="00CA63BF">
        <w:rPr>
          <w:rFonts w:ascii="Book Antiqua" w:hAnsi="Book Antiqua"/>
          <w:color w:val="000000"/>
          <w:kern w:val="0"/>
          <w:sz w:val="24"/>
          <w:szCs w:val="24"/>
        </w:rPr>
        <w:t>i</w:t>
      </w:r>
      <w:r w:rsidR="00CA63BF" w:rsidRPr="006A23C4">
        <w:rPr>
          <w:rFonts w:ascii="Book Antiqua" w:hAnsi="Book Antiqua"/>
          <w:color w:val="000000"/>
          <w:kern w:val="0"/>
          <w:sz w:val="24"/>
          <w:szCs w:val="24"/>
        </w:rPr>
        <w:t xml:space="preserve">s </w:t>
      </w:r>
      <w:r w:rsidRPr="006A23C4">
        <w:rPr>
          <w:rFonts w:ascii="Book Antiqua" w:hAnsi="Book Antiqua"/>
          <w:color w:val="000000"/>
          <w:kern w:val="0"/>
          <w:sz w:val="24"/>
          <w:szCs w:val="24"/>
        </w:rPr>
        <w:t>in acc</w:t>
      </w:r>
      <w:r w:rsidR="008D3F50" w:rsidRPr="006A23C4">
        <w:rPr>
          <w:rFonts w:ascii="Book Antiqua" w:hAnsi="Book Antiqua"/>
          <w:color w:val="000000"/>
          <w:kern w:val="0"/>
          <w:sz w:val="24"/>
          <w:szCs w:val="24"/>
        </w:rPr>
        <w:t>ordance with our previous study</w:t>
      </w:r>
      <w:r w:rsidRPr="006A23C4">
        <w:rPr>
          <w:rFonts w:ascii="Book Antiqua" w:hAnsi="Book Antiqua"/>
          <w:color w:val="000000"/>
          <w:kern w:val="0"/>
          <w:sz w:val="24"/>
          <w:szCs w:val="24"/>
          <w:vertAlign w:val="superscript"/>
        </w:rPr>
        <w:t>[11]</w:t>
      </w:r>
      <w:r w:rsidRPr="006A23C4">
        <w:rPr>
          <w:rFonts w:ascii="Book Antiqua" w:hAnsi="Book Antiqua"/>
          <w:color w:val="000000"/>
          <w:kern w:val="0"/>
          <w:sz w:val="24"/>
          <w:szCs w:val="24"/>
        </w:rPr>
        <w:t>.</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Moreover, previous studies showed that Th17 lymphocytes could be activated by IL-23 and increase the secretion of IL</w:t>
      </w:r>
      <w:r w:rsidR="008D3F50" w:rsidRPr="006A23C4">
        <w:rPr>
          <w:rFonts w:ascii="Book Antiqua" w:hAnsi="Book Antiqua"/>
          <w:color w:val="000000"/>
          <w:kern w:val="0"/>
          <w:sz w:val="24"/>
          <w:szCs w:val="24"/>
        </w:rPr>
        <w:t>-17 in a positive feedback loop</w:t>
      </w:r>
      <w:r w:rsidRPr="006A23C4">
        <w:rPr>
          <w:rFonts w:ascii="Book Antiqua" w:hAnsi="Book Antiqua"/>
          <w:color w:val="000000"/>
          <w:kern w:val="0"/>
          <w:sz w:val="24"/>
          <w:szCs w:val="24"/>
          <w:vertAlign w:val="superscript"/>
        </w:rPr>
        <w:t>[7,8]</w:t>
      </w:r>
      <w:r w:rsidRPr="006A23C4">
        <w:rPr>
          <w:rFonts w:ascii="Book Antiqua" w:hAnsi="Book Antiqua"/>
          <w:color w:val="000000"/>
          <w:kern w:val="0"/>
          <w:sz w:val="24"/>
          <w:szCs w:val="24"/>
        </w:rPr>
        <w:t>. This positive feedback loop of the IL-23/IL-17 axis could promote the acute inflammatory reaction and</w:t>
      </w:r>
      <w:r w:rsidR="00CA63BF">
        <w:rPr>
          <w:rFonts w:ascii="Book Antiqua" w:hAnsi="Book Antiqua"/>
          <w:color w:val="000000"/>
          <w:kern w:val="0"/>
          <w:sz w:val="24"/>
          <w:szCs w:val="24"/>
        </w:rPr>
        <w:t xml:space="preserve"> </w:t>
      </w:r>
      <w:r w:rsidRPr="006A23C4">
        <w:rPr>
          <w:rFonts w:ascii="Book Antiqua" w:hAnsi="Book Antiqua"/>
          <w:color w:val="000000"/>
          <w:kern w:val="0"/>
          <w:sz w:val="24"/>
          <w:szCs w:val="24"/>
        </w:rPr>
        <w:t>the progression of i</w:t>
      </w:r>
      <w:r w:rsidR="008D3F50" w:rsidRPr="006A23C4">
        <w:rPr>
          <w:rFonts w:ascii="Book Antiqua" w:hAnsi="Book Antiqua"/>
          <w:color w:val="000000"/>
          <w:kern w:val="0"/>
          <w:sz w:val="24"/>
          <w:szCs w:val="24"/>
        </w:rPr>
        <w:t xml:space="preserve">nfectious disease. Cauvi </w:t>
      </w:r>
      <w:r w:rsidR="008D3F50" w:rsidRPr="006A23C4">
        <w:rPr>
          <w:rFonts w:ascii="Book Antiqua" w:hAnsi="Book Antiqua"/>
          <w:i/>
          <w:color w:val="000000"/>
          <w:kern w:val="0"/>
          <w:sz w:val="24"/>
          <w:szCs w:val="24"/>
        </w:rPr>
        <w:t>et al</w:t>
      </w:r>
      <w:r w:rsidRPr="006A23C4">
        <w:rPr>
          <w:rFonts w:ascii="Book Antiqua" w:hAnsi="Book Antiqua"/>
          <w:color w:val="000000"/>
          <w:kern w:val="0"/>
          <w:sz w:val="24"/>
          <w:szCs w:val="24"/>
          <w:vertAlign w:val="superscript"/>
        </w:rPr>
        <w:t>[7]</w:t>
      </w:r>
      <w:r w:rsidRPr="006A23C4">
        <w:rPr>
          <w:rFonts w:ascii="Book Antiqua" w:hAnsi="Book Antiqua"/>
          <w:color w:val="000000"/>
          <w:kern w:val="0"/>
          <w:sz w:val="24"/>
          <w:szCs w:val="24"/>
        </w:rPr>
        <w:t xml:space="preserve"> reported that the increased activation of the IL-23/IL-17 pathway had detrimental effects on sepsis-induced lung</w:t>
      </w:r>
      <w:r w:rsidR="008D3F50" w:rsidRPr="006A23C4">
        <w:rPr>
          <w:rFonts w:ascii="Book Antiqua" w:hAnsi="Book Antiqua"/>
          <w:color w:val="000000"/>
          <w:kern w:val="0"/>
          <w:sz w:val="24"/>
          <w:szCs w:val="24"/>
        </w:rPr>
        <w:t xml:space="preserve"> inflammation. Another study</w:t>
      </w:r>
      <w:r w:rsidRPr="006A23C4">
        <w:rPr>
          <w:rFonts w:ascii="Book Antiqua" w:hAnsi="Book Antiqua"/>
          <w:color w:val="000000"/>
          <w:kern w:val="0"/>
          <w:sz w:val="24"/>
          <w:szCs w:val="24"/>
          <w:vertAlign w:val="superscript"/>
        </w:rPr>
        <w:t>[8]</w:t>
      </w:r>
      <w:r w:rsidRPr="006A23C4">
        <w:rPr>
          <w:rFonts w:ascii="Book Antiqua" w:hAnsi="Book Antiqua"/>
          <w:color w:val="000000"/>
          <w:kern w:val="0"/>
          <w:sz w:val="24"/>
          <w:szCs w:val="24"/>
        </w:rPr>
        <w:t xml:space="preserve"> suggested that the determination of the preoperative Th17 cytokine (IL-23 and IL-17) mRNA levels might be useful for predicting the development of sepsis after radical cystectomy. Therefore, monoclonal antibodies that target IL-23 or IL-17 have been tes</w:t>
      </w:r>
      <w:r w:rsidR="008D3F50" w:rsidRPr="006A23C4">
        <w:rPr>
          <w:rFonts w:ascii="Book Antiqua" w:hAnsi="Book Antiqua"/>
          <w:color w:val="000000"/>
          <w:kern w:val="0"/>
          <w:sz w:val="24"/>
          <w:szCs w:val="24"/>
        </w:rPr>
        <w:t>ted for the treatment of sepsis</w:t>
      </w:r>
      <w:r w:rsidRPr="006A23C4">
        <w:rPr>
          <w:rFonts w:ascii="Book Antiqua" w:hAnsi="Book Antiqua"/>
          <w:color w:val="000000"/>
          <w:kern w:val="0"/>
          <w:sz w:val="24"/>
          <w:szCs w:val="24"/>
          <w:vertAlign w:val="superscript"/>
        </w:rPr>
        <w:t>[16,17]</w:t>
      </w:r>
      <w:r w:rsidRPr="006A23C4">
        <w:rPr>
          <w:rFonts w:ascii="Book Antiqua" w:hAnsi="Book Antiqua"/>
          <w:color w:val="000000"/>
          <w:kern w:val="0"/>
          <w:sz w:val="24"/>
          <w:szCs w:val="24"/>
        </w:rPr>
        <w:t>; however, no consensus has been reached because of the conflicting results of the experiments and clinical studies. In this study, we found that EEN could decrease the serum IL-17 and IL-23 levels during the early stage of sepsis. Our findings indicated that EEN might improve the immune dysfunction in sepsis by regulating the IL-23/IL-17 axis.</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The intestinal tract is considered </w:t>
      </w:r>
      <w:r w:rsidR="008D3F50" w:rsidRPr="006A23C4">
        <w:rPr>
          <w:rFonts w:ascii="Book Antiqua" w:hAnsi="Book Antiqua"/>
          <w:color w:val="000000"/>
          <w:kern w:val="0"/>
          <w:sz w:val="24"/>
          <w:szCs w:val="24"/>
        </w:rPr>
        <w:t>to be an important immune organ</w:t>
      </w:r>
      <w:r w:rsidRPr="006A23C4">
        <w:rPr>
          <w:rFonts w:ascii="Book Antiqua" w:hAnsi="Book Antiqua"/>
          <w:color w:val="000000"/>
          <w:kern w:val="0"/>
          <w:sz w:val="24"/>
          <w:szCs w:val="24"/>
          <w:vertAlign w:val="superscript"/>
        </w:rPr>
        <w:t>[18]</w:t>
      </w:r>
      <w:r w:rsidRPr="006A23C4">
        <w:rPr>
          <w:rFonts w:ascii="Book Antiqua" w:hAnsi="Book Antiqua"/>
          <w:color w:val="000000"/>
          <w:kern w:val="0"/>
          <w:sz w:val="24"/>
          <w:szCs w:val="24"/>
        </w:rPr>
        <w:t>. Recent studies have reported that the gut immune function was closely associated with enteral feeding, and a lack of enteral stimulation</w:t>
      </w:r>
      <w:r w:rsidR="008D3F50" w:rsidRPr="006A23C4">
        <w:rPr>
          <w:rFonts w:ascii="Book Antiqua" w:hAnsi="Book Antiqua"/>
          <w:color w:val="000000"/>
          <w:kern w:val="0"/>
          <w:sz w:val="24"/>
          <w:szCs w:val="24"/>
        </w:rPr>
        <w:t xml:space="preserve"> could lead to immune imbalance</w:t>
      </w:r>
      <w:r w:rsidRPr="006A23C4">
        <w:rPr>
          <w:rFonts w:ascii="Book Antiqua" w:hAnsi="Book Antiqua"/>
          <w:color w:val="000000"/>
          <w:kern w:val="0"/>
          <w:sz w:val="24"/>
          <w:szCs w:val="24"/>
          <w:vertAlign w:val="superscript"/>
        </w:rPr>
        <w:t>[19,20]</w:t>
      </w:r>
      <w:r w:rsidRPr="006A23C4">
        <w:rPr>
          <w:rFonts w:ascii="Book Antiqua" w:hAnsi="Book Antiqua"/>
          <w:color w:val="000000"/>
          <w:kern w:val="0"/>
          <w:sz w:val="24"/>
          <w:szCs w:val="24"/>
        </w:rPr>
        <w:t>. Our previous trials also found that EEN could improve the immune imbalance of patients with sepsis o</w:t>
      </w:r>
      <w:r w:rsidR="008D3F50" w:rsidRPr="006A23C4">
        <w:rPr>
          <w:rFonts w:ascii="Book Antiqua" w:hAnsi="Book Antiqua"/>
          <w:color w:val="000000"/>
          <w:kern w:val="0"/>
          <w:sz w:val="24"/>
          <w:szCs w:val="24"/>
        </w:rPr>
        <w:t>r severe acute pancreatitis</w:t>
      </w:r>
      <w:r w:rsidRPr="006A23C4">
        <w:rPr>
          <w:rFonts w:ascii="Book Antiqua" w:hAnsi="Book Antiqua"/>
          <w:color w:val="000000"/>
          <w:kern w:val="0"/>
          <w:sz w:val="24"/>
          <w:szCs w:val="24"/>
          <w:vertAlign w:val="superscript"/>
        </w:rPr>
        <w:t>[11,12]</w:t>
      </w:r>
      <w:r w:rsidRPr="006A23C4">
        <w:rPr>
          <w:rFonts w:ascii="Book Antiqua" w:hAnsi="Book Antiqua"/>
          <w:color w:val="000000"/>
          <w:kern w:val="0"/>
          <w:sz w:val="24"/>
          <w:szCs w:val="24"/>
        </w:rPr>
        <w:t xml:space="preserve">, but the underlying mechanisms were still not clear. In this study, we explored the potential mechanisms of the regulation of immune function by EEN by examining T lymphocytes and the IL-23/IL-17 axis in sepsis. We found that EEN improved the imbalance of the Th17/Treg </w:t>
      </w:r>
      <w:r w:rsidR="00CA63BF">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and suppressed the IL-23/IL-17 axis in sepsis compared to those of the DEN group. To the best of our knowledge, this is the first randomized clinical study to investigate the relationship between EEN and the IL-23/IL-17 axis in septic patients, and our results might provide a new mechanism by which EEN improves immune imbalance, as well as provide a new and easier strategy for treating the immune imbalance in sepsis.</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In addition, the present study also compared the difference in the clinical outcome variables between the EEN and DEN groups. We found that EEN could reduce the duration of MV and ICU stay, as well as the APACHE II and SOFA scores, but not the 28-d mortality of septic patients compared to those of the DEN group. </w:t>
      </w:r>
      <w:r w:rsidR="003F6906" w:rsidRPr="006A23C4">
        <w:rPr>
          <w:rFonts w:ascii="Book Antiqua" w:hAnsi="Book Antiqua"/>
          <w:bCs/>
          <w:color w:val="000000"/>
          <w:sz w:val="24"/>
          <w:szCs w:val="24"/>
        </w:rPr>
        <w:t xml:space="preserve">The results indicated that EEN can suppress the immune overactivation and improve the clinical disease severity during </w:t>
      </w:r>
      <w:r w:rsidR="00CA63BF">
        <w:rPr>
          <w:rFonts w:ascii="Book Antiqua" w:hAnsi="Book Antiqua"/>
          <w:bCs/>
          <w:color w:val="000000"/>
          <w:sz w:val="24"/>
          <w:szCs w:val="24"/>
        </w:rPr>
        <w:t xml:space="preserve">the </w:t>
      </w:r>
      <w:r w:rsidR="003F6906" w:rsidRPr="006A23C4">
        <w:rPr>
          <w:rFonts w:ascii="Book Antiqua" w:hAnsi="Book Antiqua"/>
          <w:bCs/>
          <w:color w:val="000000"/>
          <w:sz w:val="24"/>
          <w:szCs w:val="24"/>
        </w:rPr>
        <w:t>early stage of sepsis. However, the main intervention difference of the two groups was the initial time of enteral feeding in this study, thus patients would receive same treatments (especi</w:t>
      </w:r>
      <w:r w:rsidR="002B133E" w:rsidRPr="006A23C4">
        <w:rPr>
          <w:rFonts w:ascii="Book Antiqua" w:hAnsi="Book Antiqua"/>
          <w:bCs/>
          <w:color w:val="000000"/>
          <w:sz w:val="24"/>
          <w:szCs w:val="24"/>
        </w:rPr>
        <w:t>a</w:t>
      </w:r>
      <w:r w:rsidR="003F6906" w:rsidRPr="006A23C4">
        <w:rPr>
          <w:rFonts w:ascii="Book Antiqua" w:hAnsi="Book Antiqua"/>
          <w:bCs/>
          <w:color w:val="000000"/>
          <w:sz w:val="24"/>
          <w:szCs w:val="24"/>
        </w:rPr>
        <w:t>lly enteral nutr</w:t>
      </w:r>
      <w:r w:rsidR="002B133E" w:rsidRPr="006A23C4">
        <w:rPr>
          <w:rFonts w:ascii="Book Antiqua" w:hAnsi="Book Antiqua"/>
          <w:bCs/>
          <w:color w:val="000000"/>
          <w:sz w:val="24"/>
          <w:szCs w:val="24"/>
        </w:rPr>
        <w:t>i</w:t>
      </w:r>
      <w:r w:rsidR="003F6906" w:rsidRPr="006A23C4">
        <w:rPr>
          <w:rFonts w:ascii="Book Antiqua" w:hAnsi="Book Antiqua"/>
          <w:bCs/>
          <w:color w:val="000000"/>
          <w:sz w:val="24"/>
          <w:szCs w:val="24"/>
        </w:rPr>
        <w:t xml:space="preserve">tion) for sepsis after the acute stage. Therefore, no difference about the mortality was observed on </w:t>
      </w:r>
      <w:r w:rsidR="00CA63BF">
        <w:rPr>
          <w:rFonts w:ascii="Book Antiqua" w:hAnsi="Book Antiqua"/>
          <w:bCs/>
          <w:color w:val="000000"/>
          <w:sz w:val="24"/>
          <w:szCs w:val="24"/>
        </w:rPr>
        <w:t xml:space="preserve">the </w:t>
      </w:r>
      <w:r w:rsidR="003F6906" w:rsidRPr="006A23C4">
        <w:rPr>
          <w:rFonts w:ascii="Book Antiqua" w:hAnsi="Book Antiqua"/>
          <w:bCs/>
          <w:color w:val="000000"/>
          <w:sz w:val="24"/>
          <w:szCs w:val="24"/>
        </w:rPr>
        <w:t>28th day after admission. Moreover, this discrepancy occur</w:t>
      </w:r>
      <w:r w:rsidR="002B133E" w:rsidRPr="006A23C4">
        <w:rPr>
          <w:rFonts w:ascii="Book Antiqua" w:hAnsi="Book Antiqua"/>
          <w:bCs/>
          <w:color w:val="000000"/>
          <w:sz w:val="24"/>
          <w:szCs w:val="24"/>
        </w:rPr>
        <w:t>r</w:t>
      </w:r>
      <w:r w:rsidR="003F6906" w:rsidRPr="006A23C4">
        <w:rPr>
          <w:rFonts w:ascii="Book Antiqua" w:hAnsi="Book Antiqua"/>
          <w:bCs/>
          <w:color w:val="000000"/>
          <w:sz w:val="24"/>
          <w:szCs w:val="24"/>
        </w:rPr>
        <w:t xml:space="preserve">ed probably because this small sample trail was not powered to detect a difference in mortality. </w:t>
      </w:r>
      <w:r w:rsidRPr="006A23C4">
        <w:rPr>
          <w:rFonts w:ascii="Book Antiqua" w:hAnsi="Book Antiqua"/>
          <w:color w:val="000000"/>
          <w:kern w:val="0"/>
          <w:sz w:val="24"/>
          <w:szCs w:val="24"/>
        </w:rPr>
        <w:t xml:space="preserve">The conclusions </w:t>
      </w:r>
      <w:r w:rsidR="00CA63BF">
        <w:rPr>
          <w:rFonts w:ascii="Book Antiqua" w:hAnsi="Book Antiqua"/>
          <w:color w:val="000000"/>
          <w:kern w:val="0"/>
          <w:sz w:val="24"/>
          <w:szCs w:val="24"/>
        </w:rPr>
        <w:t>are</w:t>
      </w:r>
      <w:r w:rsidR="00CA63BF"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in accordance with previous studies</w:t>
      </w:r>
      <w:r w:rsidRPr="006A23C4">
        <w:rPr>
          <w:rFonts w:ascii="Book Antiqua" w:hAnsi="Book Antiqua"/>
          <w:color w:val="000000"/>
          <w:kern w:val="0"/>
          <w:sz w:val="24"/>
          <w:szCs w:val="24"/>
          <w:vertAlign w:val="superscript"/>
        </w:rPr>
        <w:t>[12,20]</w:t>
      </w:r>
      <w:r w:rsidRPr="006A23C4">
        <w:rPr>
          <w:rFonts w:ascii="Book Antiqua" w:hAnsi="Book Antiqua"/>
          <w:color w:val="000000"/>
          <w:kern w:val="0"/>
          <w:sz w:val="24"/>
          <w:szCs w:val="24"/>
        </w:rPr>
        <w:t>.</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Several limitations of this study should be discussed. Due to the single-center design and small sample size, our results might be unable to provide reliable conclusions, and the accuracy of these results should be examined with large-scale clinical studies. Moreover, because this study was not based on pathophysiological models, the precise mechanisms of EEN on the Th17/Treg </w:t>
      </w:r>
      <w:r w:rsidR="00CA63BF">
        <w:rPr>
          <w:rFonts w:ascii="Book Antiqua" w:hAnsi="Book Antiqua"/>
          <w:color w:val="000000"/>
          <w:kern w:val="0"/>
          <w:sz w:val="24"/>
          <w:szCs w:val="24"/>
        </w:rPr>
        <w:t xml:space="preserve">cell </w:t>
      </w:r>
      <w:r w:rsidRPr="006A23C4">
        <w:rPr>
          <w:rFonts w:ascii="Book Antiqua" w:hAnsi="Book Antiqua"/>
          <w:color w:val="000000"/>
          <w:kern w:val="0"/>
          <w:sz w:val="24"/>
          <w:szCs w:val="24"/>
        </w:rPr>
        <w:t>ratios and IL-23/IL-17 axis should be examined by future basic science investigations. Finally, because our immune variables were only recorded for one week, the later effects of EEN on sepsis should be studied with further clinical trials.</w:t>
      </w:r>
    </w:p>
    <w:p w:rsidR="007E0261" w:rsidRPr="006A23C4" w:rsidRDefault="007E0261" w:rsidP="002B133E">
      <w:pPr>
        <w:spacing w:line="360" w:lineRule="auto"/>
        <w:ind w:firstLineChars="100" w:firstLine="240"/>
        <w:rPr>
          <w:rFonts w:ascii="Book Antiqua" w:hAnsi="Book Antiqua"/>
          <w:color w:val="000000"/>
          <w:kern w:val="0"/>
          <w:sz w:val="24"/>
          <w:szCs w:val="24"/>
        </w:rPr>
      </w:pPr>
      <w:r w:rsidRPr="006A23C4">
        <w:rPr>
          <w:rFonts w:ascii="Book Antiqua" w:hAnsi="Book Antiqua"/>
          <w:color w:val="000000"/>
          <w:kern w:val="0"/>
          <w:sz w:val="24"/>
          <w:szCs w:val="24"/>
        </w:rPr>
        <w:t xml:space="preserve">In conclusion, our clinical pilot study found that EEN could improve the imbalance of the Th17/Treg </w:t>
      </w:r>
      <w:r w:rsidR="00CA63BF">
        <w:rPr>
          <w:rFonts w:ascii="Book Antiqua" w:hAnsi="Book Antiqua"/>
          <w:color w:val="000000"/>
          <w:kern w:val="0"/>
          <w:sz w:val="24"/>
          <w:szCs w:val="24"/>
        </w:rPr>
        <w:t xml:space="preserve">cell </w:t>
      </w:r>
      <w:r w:rsidRPr="006A23C4">
        <w:rPr>
          <w:rFonts w:ascii="Book Antiqua" w:hAnsi="Book Antiqua"/>
          <w:color w:val="000000"/>
          <w:kern w:val="0"/>
          <w:sz w:val="24"/>
          <w:szCs w:val="24"/>
        </w:rPr>
        <w:t xml:space="preserve">ratios and suppress the IL-23/IL-17 axis during the early stage of sepsis. Moreover, EEN could reduce the clinical severity but not the 28-day mortality of septic patients. </w:t>
      </w:r>
      <w:r w:rsidR="00CA63BF">
        <w:rPr>
          <w:rFonts w:ascii="Book Antiqua" w:hAnsi="Book Antiqua"/>
          <w:color w:val="000000"/>
          <w:kern w:val="0"/>
          <w:sz w:val="24"/>
          <w:szCs w:val="24"/>
        </w:rPr>
        <w:t>F</w:t>
      </w:r>
      <w:r w:rsidRPr="006A23C4">
        <w:rPr>
          <w:rFonts w:ascii="Book Antiqua" w:hAnsi="Book Antiqua"/>
          <w:color w:val="000000"/>
          <w:kern w:val="0"/>
          <w:sz w:val="24"/>
          <w:szCs w:val="24"/>
        </w:rPr>
        <w:t>urther basic experiments or large-scale randomized controlled trials are needed to validate our results.</w:t>
      </w:r>
    </w:p>
    <w:p w:rsidR="007E0261" w:rsidRPr="00781688" w:rsidRDefault="007E0261" w:rsidP="002B133E">
      <w:pPr>
        <w:spacing w:line="360" w:lineRule="auto"/>
        <w:rPr>
          <w:rFonts w:ascii="Book Antiqua" w:hAnsi="Book Antiqua" w:hint="eastAsia"/>
          <w:color w:val="000000"/>
          <w:kern w:val="0"/>
          <w:sz w:val="24"/>
          <w:szCs w:val="24"/>
        </w:rPr>
      </w:pPr>
    </w:p>
    <w:p w:rsidR="007E0261" w:rsidRPr="006A23C4" w:rsidRDefault="002B133E" w:rsidP="00135736">
      <w:pPr>
        <w:spacing w:line="360" w:lineRule="auto"/>
        <w:rPr>
          <w:rFonts w:ascii="Book Antiqua" w:hAnsi="Book Antiqua"/>
          <w:b/>
          <w:color w:val="000000"/>
          <w:kern w:val="0"/>
          <w:sz w:val="24"/>
          <w:szCs w:val="24"/>
        </w:rPr>
      </w:pPr>
      <w:r w:rsidRPr="006A23C4">
        <w:rPr>
          <w:rFonts w:ascii="Book Antiqua" w:hAnsi="Book Antiqua"/>
          <w:b/>
          <w:color w:val="000000"/>
          <w:kern w:val="0"/>
          <w:sz w:val="24"/>
          <w:szCs w:val="24"/>
        </w:rPr>
        <w:t>ARTICLE HIGHLIGHTS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background</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The imbalance of Th17/Treg cells and IL-23/IL-17 axis have been confirmed to be associated with sepsis and various inflammatory diseases. </w:t>
      </w:r>
      <w:r w:rsidR="00987482" w:rsidRPr="00987482">
        <w:rPr>
          <w:rFonts w:ascii="Book Antiqua" w:hAnsi="Book Antiqua"/>
          <w:bCs/>
          <w:color w:val="000000"/>
          <w:sz w:val="24"/>
          <w:szCs w:val="24"/>
          <w:shd w:val="clear" w:color="auto" w:fill="FFFFFF"/>
        </w:rPr>
        <w:t>Early enteral nutrition</w:t>
      </w:r>
      <w:r w:rsidR="00987482" w:rsidRPr="00987482">
        <w:rPr>
          <w:rFonts w:ascii="Book Antiqua" w:hAnsi="Book Antiqua" w:cs="Arial"/>
          <w:color w:val="000000"/>
          <w:sz w:val="24"/>
          <w:szCs w:val="24"/>
        </w:rPr>
        <w:t xml:space="preserve"> </w:t>
      </w:r>
      <w:r w:rsidR="00987482">
        <w:rPr>
          <w:rFonts w:ascii="Book Antiqua" w:hAnsi="Book Antiqua" w:cs="Arial"/>
          <w:color w:val="000000"/>
          <w:sz w:val="24"/>
          <w:szCs w:val="24"/>
        </w:rPr>
        <w:t>(</w:t>
      </w:r>
      <w:r w:rsidRPr="006A23C4">
        <w:rPr>
          <w:rFonts w:ascii="Book Antiqua" w:hAnsi="Book Antiqua" w:cs="Arial"/>
          <w:color w:val="000000"/>
          <w:sz w:val="24"/>
          <w:szCs w:val="24"/>
        </w:rPr>
        <w:t>EEN</w:t>
      </w:r>
      <w:r w:rsidR="00987482" w:rsidRPr="006A23C4">
        <w:rPr>
          <w:rFonts w:ascii="Book Antiqua" w:hAnsi="Book Antiqua" w:cs="Arial"/>
          <w:color w:val="000000"/>
          <w:sz w:val="24"/>
          <w:szCs w:val="24"/>
        </w:rPr>
        <w:t>)</w:t>
      </w:r>
      <w:r w:rsidRPr="006A23C4">
        <w:rPr>
          <w:rFonts w:ascii="Book Antiqua" w:hAnsi="Book Antiqua" w:cs="Arial"/>
          <w:color w:val="000000"/>
          <w:sz w:val="24"/>
          <w:szCs w:val="24"/>
        </w:rPr>
        <w:t xml:space="preserve"> can modulate the inflammatory response, improve immune dysfunction, and prevent </w:t>
      </w:r>
      <w:bookmarkStart w:id="32" w:name="OLE_LINK7"/>
      <w:bookmarkStart w:id="33" w:name="OLE_LINK8"/>
      <w:r w:rsidRPr="006A23C4">
        <w:rPr>
          <w:rFonts w:ascii="Book Antiqua" w:hAnsi="Book Antiqua" w:cs="Arial"/>
          <w:color w:val="000000"/>
          <w:sz w:val="24"/>
          <w:szCs w:val="24"/>
        </w:rPr>
        <w:t>enterogenic</w:t>
      </w:r>
      <w:bookmarkEnd w:id="32"/>
      <w:bookmarkEnd w:id="33"/>
      <w:r w:rsidRPr="006A23C4">
        <w:rPr>
          <w:rFonts w:ascii="Book Antiqua" w:hAnsi="Book Antiqua" w:cs="Arial"/>
          <w:color w:val="000000"/>
          <w:sz w:val="24"/>
          <w:szCs w:val="24"/>
        </w:rPr>
        <w:t xml:space="preserve"> infection in critically ill patients</w:t>
      </w:r>
      <w:r w:rsidR="009E3E12">
        <w:rPr>
          <w:rFonts w:ascii="Book Antiqua" w:hAnsi="Book Antiqua" w:cs="Arial"/>
          <w:color w:val="000000"/>
          <w:sz w:val="24"/>
          <w:szCs w:val="24"/>
        </w:rPr>
        <w:t>;</w:t>
      </w:r>
      <w:r w:rsidR="009E3E12" w:rsidRPr="006A23C4">
        <w:rPr>
          <w:rFonts w:ascii="Book Antiqua" w:hAnsi="Book Antiqua" w:cs="Arial"/>
          <w:color w:val="000000"/>
          <w:sz w:val="24"/>
          <w:szCs w:val="24"/>
        </w:rPr>
        <w:t xml:space="preserve"> </w:t>
      </w:r>
      <w:r w:rsidRPr="006A23C4">
        <w:rPr>
          <w:rFonts w:ascii="Book Antiqua" w:hAnsi="Book Antiqua" w:cs="Arial"/>
          <w:color w:val="000000"/>
          <w:sz w:val="24"/>
          <w:szCs w:val="24"/>
        </w:rPr>
        <w:t>however, the precise mechanisms remain unclear. Theref</w:t>
      </w:r>
      <w:r w:rsidR="00987482" w:rsidRPr="006A23C4">
        <w:rPr>
          <w:rFonts w:ascii="Book Antiqua" w:hAnsi="Book Antiqua" w:cs="Arial"/>
          <w:color w:val="000000"/>
          <w:sz w:val="24"/>
          <w:szCs w:val="24"/>
        </w:rPr>
        <w:t>or</w:t>
      </w:r>
      <w:r w:rsidRPr="006A23C4">
        <w:rPr>
          <w:rFonts w:ascii="Book Antiqua" w:hAnsi="Book Antiqua" w:cs="Arial"/>
          <w:color w:val="000000"/>
          <w:sz w:val="24"/>
          <w:szCs w:val="24"/>
        </w:rPr>
        <w:t xml:space="preserve">e, we hypothesized that EEN could improve the immune dysfunction in sepsis by maintaining a balanced Th17/Treg </w:t>
      </w:r>
      <w:r w:rsidR="003A685C">
        <w:rPr>
          <w:rFonts w:ascii="Book Antiqua" w:hAnsi="Book Antiqua" w:cs="Arial"/>
          <w:color w:val="000000"/>
          <w:sz w:val="24"/>
          <w:szCs w:val="24"/>
        </w:rPr>
        <w:t xml:space="preserve">cell </w:t>
      </w:r>
      <w:r w:rsidRPr="006A23C4">
        <w:rPr>
          <w:rFonts w:ascii="Book Antiqua" w:hAnsi="Book Antiqua" w:cs="Arial"/>
          <w:color w:val="000000"/>
          <w:sz w:val="24"/>
          <w:szCs w:val="24"/>
        </w:rPr>
        <w:t>ratio and by regulating the IL-23/IL-17 axis.</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motivation</w:t>
      </w:r>
    </w:p>
    <w:p w:rsidR="00137B16"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The aim of this </w:t>
      </w:r>
      <w:r w:rsidR="00137B16" w:rsidRPr="006A23C4">
        <w:rPr>
          <w:rFonts w:ascii="Book Antiqua" w:hAnsi="Book Antiqua" w:cs="Arial"/>
          <w:color w:val="000000"/>
          <w:sz w:val="24"/>
          <w:szCs w:val="24"/>
        </w:rPr>
        <w:t>study</w:t>
      </w:r>
      <w:r w:rsidRPr="006A23C4">
        <w:rPr>
          <w:rFonts w:ascii="Book Antiqua" w:hAnsi="Book Antiqua" w:cs="Arial"/>
          <w:color w:val="000000"/>
          <w:sz w:val="24"/>
          <w:szCs w:val="24"/>
        </w:rPr>
        <w:t xml:space="preserve"> was to </w:t>
      </w:r>
      <w:r w:rsidR="00137B16" w:rsidRPr="006A23C4">
        <w:rPr>
          <w:rFonts w:ascii="Book Antiqua" w:hAnsi="Book Antiqua" w:cs="Arial"/>
          <w:color w:val="000000"/>
          <w:sz w:val="24"/>
          <w:szCs w:val="24"/>
        </w:rPr>
        <w:t xml:space="preserve">test the hypothesis that EEN could improve the immune dysfunction in sepsis by maintaining a balanced Th17/Treg </w:t>
      </w:r>
      <w:r w:rsidR="003A685C">
        <w:rPr>
          <w:rFonts w:ascii="Book Antiqua" w:hAnsi="Book Antiqua" w:cs="Arial"/>
          <w:color w:val="000000"/>
          <w:sz w:val="24"/>
          <w:szCs w:val="24"/>
        </w:rPr>
        <w:t xml:space="preserve">cell </w:t>
      </w:r>
      <w:r w:rsidR="00137B16" w:rsidRPr="006A23C4">
        <w:rPr>
          <w:rFonts w:ascii="Book Antiqua" w:hAnsi="Book Antiqua" w:cs="Arial"/>
          <w:color w:val="000000"/>
          <w:sz w:val="24"/>
          <w:szCs w:val="24"/>
        </w:rPr>
        <w:t>ratio and by regulating the IL-23/IL-17 axis.</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objectives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The main objective of this prospective clinical trial was to investigate </w:t>
      </w:r>
      <w:r w:rsidR="009E3E12">
        <w:rPr>
          <w:rFonts w:ascii="Book Antiqua" w:hAnsi="Book Antiqua" w:cs="Arial"/>
          <w:color w:val="000000"/>
          <w:sz w:val="24"/>
          <w:szCs w:val="24"/>
        </w:rPr>
        <w:t xml:space="preserve">the </w:t>
      </w:r>
      <w:r w:rsidRPr="006A23C4">
        <w:rPr>
          <w:rFonts w:ascii="Book Antiqua" w:hAnsi="Book Antiqua" w:cs="Arial"/>
          <w:color w:val="000000"/>
          <w:sz w:val="24"/>
          <w:szCs w:val="24"/>
        </w:rPr>
        <w:t xml:space="preserve">effects of EEN on Th17/Treg </w:t>
      </w:r>
      <w:r w:rsidR="003A685C">
        <w:rPr>
          <w:rFonts w:ascii="Book Antiqua" w:hAnsi="Book Antiqua" w:cs="Arial"/>
          <w:color w:val="000000"/>
          <w:sz w:val="24"/>
          <w:szCs w:val="24"/>
        </w:rPr>
        <w:t xml:space="preserve">cell </w:t>
      </w:r>
      <w:r w:rsidRPr="006A23C4">
        <w:rPr>
          <w:rFonts w:ascii="Book Antiqua" w:hAnsi="Book Antiqua" w:cs="Arial"/>
          <w:color w:val="000000"/>
          <w:sz w:val="24"/>
          <w:szCs w:val="24"/>
        </w:rPr>
        <w:t>ratios and IL-23/IL-17 axis in septic patients.</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methods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In this prospective clinical trial, patients were randomly divided into </w:t>
      </w:r>
      <w:r w:rsidR="009E3E12">
        <w:rPr>
          <w:rFonts w:ascii="Book Antiqua" w:hAnsi="Book Antiqua" w:cs="Arial"/>
          <w:color w:val="000000"/>
          <w:sz w:val="24"/>
          <w:szCs w:val="24"/>
        </w:rPr>
        <w:t>an</w:t>
      </w:r>
      <w:r w:rsidR="009E3E12" w:rsidRPr="006A23C4">
        <w:rPr>
          <w:rFonts w:ascii="Book Antiqua" w:hAnsi="Book Antiqua" w:cs="Arial"/>
          <w:color w:val="000000"/>
          <w:sz w:val="24"/>
          <w:szCs w:val="24"/>
        </w:rPr>
        <w:t xml:space="preserve"> </w:t>
      </w:r>
      <w:r w:rsidRPr="006A23C4">
        <w:rPr>
          <w:rFonts w:ascii="Book Antiqua" w:hAnsi="Book Antiqua" w:cs="Arial"/>
          <w:color w:val="000000"/>
          <w:sz w:val="24"/>
          <w:szCs w:val="24"/>
        </w:rPr>
        <w:t xml:space="preserve">EEN or </w:t>
      </w:r>
      <w:r w:rsidR="00987482" w:rsidRPr="00987482">
        <w:rPr>
          <w:rFonts w:ascii="Book Antiqua" w:hAnsi="Book Antiqua"/>
          <w:color w:val="000000"/>
          <w:kern w:val="0"/>
          <w:sz w:val="24"/>
          <w:szCs w:val="24"/>
        </w:rPr>
        <w:t xml:space="preserve">delayed enteral nutrition </w:t>
      </w:r>
      <w:r w:rsidR="00987482">
        <w:rPr>
          <w:rFonts w:ascii="Book Antiqua" w:hAnsi="Book Antiqua"/>
          <w:color w:val="000000"/>
          <w:kern w:val="0"/>
          <w:sz w:val="24"/>
          <w:szCs w:val="24"/>
        </w:rPr>
        <w:t>(</w:t>
      </w:r>
      <w:r w:rsidRPr="006A23C4">
        <w:rPr>
          <w:rFonts w:ascii="Book Antiqua" w:hAnsi="Book Antiqua" w:cs="Arial"/>
          <w:color w:val="000000"/>
          <w:sz w:val="24"/>
          <w:szCs w:val="24"/>
        </w:rPr>
        <w:t>DEN</w:t>
      </w:r>
      <w:r w:rsidR="00987482" w:rsidRPr="006A23C4">
        <w:rPr>
          <w:rFonts w:ascii="Book Antiqua" w:hAnsi="Book Antiqua" w:cs="Arial"/>
          <w:color w:val="000000"/>
          <w:sz w:val="24"/>
          <w:szCs w:val="24"/>
        </w:rPr>
        <w:t>)</w:t>
      </w:r>
      <w:r w:rsidR="00167B26">
        <w:rPr>
          <w:rFonts w:ascii="Book Antiqua" w:hAnsi="Book Antiqua" w:cs="Arial"/>
          <w:color w:val="000000"/>
          <w:sz w:val="24"/>
          <w:szCs w:val="24"/>
        </w:rPr>
        <w:t xml:space="preserve"> group</w:t>
      </w:r>
      <w:r w:rsidRPr="006A23C4">
        <w:rPr>
          <w:rFonts w:ascii="Book Antiqua" w:hAnsi="Book Antiqua" w:cs="Arial"/>
          <w:color w:val="000000"/>
          <w:sz w:val="24"/>
          <w:szCs w:val="24"/>
        </w:rPr>
        <w:t xml:space="preserve">. Enteral feeding was started within 48 h in the EEN group, whereas enteral feeding was started on the 4th day in the DEN group. The Th17 and Treg </w:t>
      </w:r>
      <w:r w:rsidR="009E3E12">
        <w:rPr>
          <w:rFonts w:ascii="Book Antiqua" w:hAnsi="Book Antiqua" w:cs="Arial"/>
          <w:color w:val="000000"/>
          <w:sz w:val="24"/>
          <w:szCs w:val="24"/>
        </w:rPr>
        <w:t xml:space="preserve">cell </w:t>
      </w:r>
      <w:r w:rsidRPr="006A23C4">
        <w:rPr>
          <w:rFonts w:ascii="Book Antiqua" w:hAnsi="Book Antiqua" w:cs="Arial"/>
          <w:color w:val="000000"/>
          <w:sz w:val="24"/>
          <w:szCs w:val="24"/>
        </w:rPr>
        <w:t>percentages and the interleukin levels were tested on days 1, 3, and 7 after admission. The clinical severity and outcome variables were also recorded.</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results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Fifty-three patients were enrolled in this trial from October 2017 to June 2018. The Th17 </w:t>
      </w:r>
      <w:r w:rsidR="009E3E12">
        <w:rPr>
          <w:rFonts w:ascii="Book Antiqua" w:hAnsi="Book Antiqua" w:cs="Arial"/>
          <w:color w:val="000000"/>
          <w:sz w:val="24"/>
          <w:szCs w:val="24"/>
        </w:rPr>
        <w:t xml:space="preserve">cell </w:t>
      </w:r>
      <w:r w:rsidRPr="006A23C4">
        <w:rPr>
          <w:rFonts w:ascii="Book Antiqua" w:hAnsi="Book Antiqua" w:cs="Arial"/>
          <w:color w:val="000000"/>
          <w:sz w:val="24"/>
          <w:szCs w:val="24"/>
        </w:rPr>
        <w:t xml:space="preserve">percentages, Th17/Treg </w:t>
      </w:r>
      <w:r w:rsidR="003A685C">
        <w:rPr>
          <w:rFonts w:ascii="Book Antiqua" w:hAnsi="Book Antiqua" w:cs="Arial"/>
          <w:color w:val="000000"/>
          <w:sz w:val="24"/>
          <w:szCs w:val="24"/>
        </w:rPr>
        <w:t xml:space="preserve">cell </w:t>
      </w:r>
      <w:r w:rsidRPr="006A23C4">
        <w:rPr>
          <w:rFonts w:ascii="Book Antiqua" w:hAnsi="Book Antiqua" w:cs="Arial"/>
          <w:color w:val="000000"/>
          <w:sz w:val="24"/>
          <w:szCs w:val="24"/>
        </w:rPr>
        <w:t xml:space="preserve">ratios, IL-17, IL-23, and IL-6 levels of the EEN group were </w:t>
      </w:r>
      <w:r w:rsidR="009E3E12">
        <w:rPr>
          <w:rFonts w:ascii="Book Antiqua" w:hAnsi="Book Antiqua" w:cs="Arial"/>
          <w:color w:val="000000"/>
          <w:sz w:val="24"/>
          <w:szCs w:val="24"/>
        </w:rPr>
        <w:t xml:space="preserve">significantly </w:t>
      </w:r>
      <w:r w:rsidRPr="006A23C4">
        <w:rPr>
          <w:rFonts w:ascii="Book Antiqua" w:hAnsi="Book Antiqua" w:cs="Arial"/>
          <w:color w:val="000000"/>
          <w:sz w:val="24"/>
          <w:szCs w:val="24"/>
        </w:rPr>
        <w:t>lower than those of the DEN group on the 7th day after admission (</w:t>
      </w:r>
      <w:r w:rsidRPr="006A23C4">
        <w:rPr>
          <w:rFonts w:ascii="Book Antiqua" w:hAnsi="Book Antiqua" w:cs="Arial"/>
          <w:i/>
          <w:color w:val="000000"/>
          <w:sz w:val="24"/>
          <w:szCs w:val="24"/>
        </w:rPr>
        <w:t xml:space="preserve">P </w:t>
      </w:r>
      <w:r w:rsidRPr="006A23C4">
        <w:rPr>
          <w:rFonts w:ascii="Book Antiqua" w:hAnsi="Book Antiqua" w:cs="Arial"/>
          <w:color w:val="000000"/>
          <w:sz w:val="24"/>
          <w:szCs w:val="24"/>
        </w:rPr>
        <w:t xml:space="preserve">&lt; 0.05). The duration of mechanical ventilation and of the </w:t>
      </w:r>
      <w:r w:rsidR="00987482" w:rsidRPr="00987482">
        <w:rPr>
          <w:rFonts w:ascii="Book Antiqua" w:hAnsi="Book Antiqua"/>
          <w:color w:val="000000"/>
          <w:kern w:val="0"/>
          <w:sz w:val="24"/>
          <w:szCs w:val="24"/>
        </w:rPr>
        <w:t>intensive care unit</w:t>
      </w:r>
      <w:r w:rsidRPr="006A23C4">
        <w:rPr>
          <w:rFonts w:ascii="Book Antiqua" w:hAnsi="Book Antiqua" w:cs="Arial"/>
          <w:color w:val="000000"/>
          <w:sz w:val="24"/>
          <w:szCs w:val="24"/>
        </w:rPr>
        <w:t xml:space="preserve"> stay of the EEN group were </w:t>
      </w:r>
      <w:r w:rsidR="009E3E12">
        <w:rPr>
          <w:rFonts w:ascii="Book Antiqua" w:hAnsi="Book Antiqua" w:cs="Arial"/>
          <w:color w:val="000000"/>
          <w:sz w:val="24"/>
          <w:szCs w:val="24"/>
        </w:rPr>
        <w:t>significantly</w:t>
      </w:r>
      <w:r w:rsidR="009E3E12" w:rsidRPr="006A23C4">
        <w:rPr>
          <w:rFonts w:ascii="Book Antiqua" w:hAnsi="Book Antiqua" w:cs="Arial"/>
          <w:color w:val="000000"/>
          <w:sz w:val="24"/>
          <w:szCs w:val="24"/>
        </w:rPr>
        <w:t xml:space="preserve"> </w:t>
      </w:r>
      <w:r w:rsidRPr="006A23C4">
        <w:rPr>
          <w:rFonts w:ascii="Book Antiqua" w:hAnsi="Book Antiqua" w:cs="Arial"/>
          <w:color w:val="000000"/>
          <w:sz w:val="24"/>
          <w:szCs w:val="24"/>
        </w:rPr>
        <w:t>shorter than those of the DEN group (</w:t>
      </w:r>
      <w:r w:rsidRPr="006A23C4">
        <w:rPr>
          <w:rFonts w:ascii="Book Antiqua" w:hAnsi="Book Antiqua" w:cs="Arial"/>
          <w:i/>
          <w:color w:val="000000"/>
          <w:sz w:val="24"/>
          <w:szCs w:val="24"/>
        </w:rPr>
        <w:t xml:space="preserve">P </w:t>
      </w:r>
      <w:r w:rsidRPr="006A23C4">
        <w:rPr>
          <w:rFonts w:ascii="Book Antiqua" w:hAnsi="Book Antiqua" w:cs="Arial"/>
          <w:color w:val="000000"/>
          <w:sz w:val="24"/>
          <w:szCs w:val="24"/>
        </w:rPr>
        <w:t xml:space="preserve">&lt; 0.05). However, no </w:t>
      </w:r>
      <w:r w:rsidR="009E3E12">
        <w:rPr>
          <w:rFonts w:ascii="Book Antiqua" w:hAnsi="Book Antiqua" w:cs="Arial"/>
          <w:color w:val="000000"/>
          <w:sz w:val="24"/>
          <w:szCs w:val="24"/>
        </w:rPr>
        <w:t xml:space="preserve">significant </w:t>
      </w:r>
      <w:r w:rsidRPr="006A23C4">
        <w:rPr>
          <w:rFonts w:ascii="Book Antiqua" w:hAnsi="Book Antiqua" w:cs="Arial"/>
          <w:color w:val="000000"/>
          <w:sz w:val="24"/>
          <w:szCs w:val="24"/>
        </w:rPr>
        <w:t>difference in the 28-d mortality was found between the two groups (</w:t>
      </w:r>
      <w:r w:rsidRPr="006A23C4">
        <w:rPr>
          <w:rFonts w:ascii="Book Antiqua" w:hAnsi="Book Antiqua" w:cs="Arial"/>
          <w:i/>
          <w:color w:val="000000"/>
          <w:sz w:val="24"/>
          <w:szCs w:val="24"/>
        </w:rPr>
        <w:t xml:space="preserve">P </w:t>
      </w:r>
      <w:r w:rsidRPr="006A23C4">
        <w:rPr>
          <w:rFonts w:ascii="Book Antiqua" w:hAnsi="Book Antiqua" w:cs="Arial"/>
          <w:color w:val="000000"/>
          <w:sz w:val="24"/>
          <w:szCs w:val="24"/>
        </w:rPr>
        <w:t>= 0.728).</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conclusions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 xml:space="preserve">EEN could regulate the imbalance of Th17/Treg </w:t>
      </w:r>
      <w:r w:rsidR="003A685C">
        <w:rPr>
          <w:rFonts w:ascii="Book Antiqua" w:hAnsi="Book Antiqua" w:cs="Arial"/>
          <w:color w:val="000000"/>
          <w:sz w:val="24"/>
          <w:szCs w:val="24"/>
        </w:rPr>
        <w:t xml:space="preserve">cell </w:t>
      </w:r>
      <w:r w:rsidRPr="006A23C4">
        <w:rPr>
          <w:rFonts w:ascii="Book Antiqua" w:hAnsi="Book Antiqua" w:cs="Arial"/>
          <w:color w:val="000000"/>
          <w:sz w:val="24"/>
          <w:szCs w:val="24"/>
        </w:rPr>
        <w:t>ratios and suppress the IL-23/IL-17 axis during sepsis. Moreover, EEN could reduce the clinical severity of sepsis but did not reduce the 28-d mortality of septic patients.</w:t>
      </w:r>
    </w:p>
    <w:p w:rsidR="00987482" w:rsidRPr="006A23C4" w:rsidRDefault="00987482" w:rsidP="00135736">
      <w:pPr>
        <w:spacing w:line="360" w:lineRule="auto"/>
        <w:rPr>
          <w:rFonts w:ascii="Book Antiqua" w:hAnsi="Book Antiqua" w:cs="Arial"/>
          <w:color w:val="000000"/>
          <w:sz w:val="24"/>
          <w:szCs w:val="24"/>
        </w:rPr>
      </w:pP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b/>
          <w:i/>
          <w:color w:val="000000"/>
          <w:sz w:val="24"/>
          <w:szCs w:val="24"/>
        </w:rPr>
        <w:t>Research perspectives</w:t>
      </w:r>
    </w:p>
    <w:p w:rsidR="00DE6972" w:rsidRPr="006A23C4" w:rsidRDefault="00DE6972" w:rsidP="00135736">
      <w:pPr>
        <w:spacing w:line="360" w:lineRule="auto"/>
        <w:rPr>
          <w:rFonts w:ascii="Book Antiqua" w:hAnsi="Book Antiqua" w:cs="Arial"/>
          <w:color w:val="000000"/>
          <w:sz w:val="24"/>
          <w:szCs w:val="24"/>
        </w:rPr>
      </w:pPr>
      <w:r w:rsidRPr="006A23C4">
        <w:rPr>
          <w:rFonts w:ascii="Book Antiqua" w:hAnsi="Book Antiqua" w:cs="Arial"/>
          <w:color w:val="000000"/>
          <w:sz w:val="24"/>
          <w:szCs w:val="24"/>
        </w:rPr>
        <w:t>More large-scale clinical studies and basic science investigations should be performed to test the accuracy of our results in future.</w:t>
      </w:r>
    </w:p>
    <w:p w:rsidR="00DE6972" w:rsidRPr="006A23C4" w:rsidRDefault="00DE6972" w:rsidP="00135736">
      <w:pPr>
        <w:spacing w:line="360" w:lineRule="auto"/>
        <w:rPr>
          <w:rFonts w:ascii="Book Antiqua" w:hAnsi="Book Antiqua"/>
          <w:color w:val="000000"/>
          <w:kern w:val="0"/>
          <w:sz w:val="24"/>
          <w:szCs w:val="24"/>
        </w:rPr>
      </w:pPr>
    </w:p>
    <w:p w:rsidR="007E0261" w:rsidRPr="006A23C4" w:rsidRDefault="00987482" w:rsidP="00135736">
      <w:pPr>
        <w:spacing w:line="360" w:lineRule="auto"/>
        <w:rPr>
          <w:rFonts w:ascii="Book Antiqua" w:hAnsi="Book Antiqua"/>
          <w:b/>
          <w:color w:val="000000"/>
          <w:kern w:val="0"/>
          <w:sz w:val="24"/>
          <w:szCs w:val="24"/>
        </w:rPr>
      </w:pPr>
      <w:r w:rsidRPr="006A23C4">
        <w:rPr>
          <w:rFonts w:ascii="Book Antiqua" w:hAnsi="Book Antiqua"/>
          <w:b/>
          <w:color w:val="000000"/>
          <w:kern w:val="0"/>
          <w:sz w:val="24"/>
          <w:szCs w:val="24"/>
        </w:rPr>
        <w:t>ACKNOWLEDGMENTS</w:t>
      </w:r>
    </w:p>
    <w:p w:rsidR="007E0261" w:rsidRPr="006A23C4" w:rsidRDefault="007E0261" w:rsidP="00987482">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The authors thank Qiao Liu for her assistance in the statistical analysis of this study. The authors also thank Shen</w:t>
      </w:r>
      <w:r w:rsidR="0098748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X, Zou L, Liu Y, Liu H, Meng C, Xu QL, Chen YM, and Song XC </w:t>
      </w:r>
      <w:r w:rsidR="009E3E12">
        <w:rPr>
          <w:rFonts w:ascii="Book Antiqua" w:hAnsi="Book Antiqua"/>
          <w:color w:val="000000"/>
          <w:kern w:val="0"/>
          <w:sz w:val="24"/>
          <w:szCs w:val="24"/>
        </w:rPr>
        <w:t>at</w:t>
      </w:r>
      <w:r w:rsidR="009E3E1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 xml:space="preserve">the </w:t>
      </w:r>
      <w:r w:rsidR="009E3E12">
        <w:rPr>
          <w:rFonts w:ascii="Book Antiqua" w:hAnsi="Book Antiqua"/>
          <w:color w:val="000000"/>
          <w:kern w:val="0"/>
          <w:sz w:val="24"/>
          <w:szCs w:val="24"/>
        </w:rPr>
        <w:t>D</w:t>
      </w:r>
      <w:r w:rsidR="009E3E12" w:rsidRPr="006A23C4">
        <w:rPr>
          <w:rFonts w:ascii="Book Antiqua" w:hAnsi="Book Antiqua"/>
          <w:color w:val="000000"/>
          <w:kern w:val="0"/>
          <w:sz w:val="24"/>
          <w:szCs w:val="24"/>
        </w:rPr>
        <w:t xml:space="preserve">epartment </w:t>
      </w:r>
      <w:r w:rsidRPr="006A23C4">
        <w:rPr>
          <w:rFonts w:ascii="Book Antiqua" w:hAnsi="Book Antiqua"/>
          <w:color w:val="000000"/>
          <w:kern w:val="0"/>
          <w:sz w:val="24"/>
          <w:szCs w:val="24"/>
        </w:rPr>
        <w:t xml:space="preserve">of Intensive Care Unit </w:t>
      </w:r>
      <w:r w:rsidR="009E3E12">
        <w:rPr>
          <w:rFonts w:ascii="Book Antiqua" w:hAnsi="Book Antiqua"/>
          <w:color w:val="000000"/>
          <w:kern w:val="0"/>
          <w:sz w:val="24"/>
          <w:szCs w:val="24"/>
        </w:rPr>
        <w:t>of</w:t>
      </w:r>
      <w:r w:rsidR="009E3E1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Nanjing First Hospital for their contributions to this study.</w:t>
      </w:r>
    </w:p>
    <w:p w:rsidR="007E0261" w:rsidRPr="009E3E12" w:rsidRDefault="007E0261" w:rsidP="00135736">
      <w:pPr>
        <w:spacing w:line="360" w:lineRule="auto"/>
        <w:rPr>
          <w:rFonts w:ascii="Book Antiqua" w:hAnsi="Book Antiqua"/>
          <w:color w:val="000000"/>
          <w:kern w:val="0"/>
          <w:sz w:val="24"/>
          <w:szCs w:val="24"/>
        </w:rPr>
      </w:pPr>
    </w:p>
    <w:p w:rsidR="007E0261" w:rsidRPr="006A23C4" w:rsidRDefault="007E0261" w:rsidP="00135736">
      <w:pPr>
        <w:spacing w:line="360" w:lineRule="auto"/>
        <w:rPr>
          <w:rFonts w:ascii="Book Antiqua" w:hAnsi="Book Antiqua"/>
          <w:b/>
          <w:color w:val="000000"/>
          <w:sz w:val="24"/>
          <w:szCs w:val="24"/>
        </w:rPr>
      </w:pPr>
      <w:r w:rsidRPr="006A23C4">
        <w:rPr>
          <w:rFonts w:ascii="Book Antiqua" w:hAnsi="Book Antiqua"/>
          <w:color w:val="000000"/>
          <w:kern w:val="0"/>
          <w:sz w:val="24"/>
          <w:szCs w:val="24"/>
        </w:rPr>
        <w:br w:type="page"/>
      </w:r>
      <w:r w:rsidR="000F7226" w:rsidRPr="006A23C4">
        <w:rPr>
          <w:rFonts w:ascii="Book Antiqua" w:hAnsi="Book Antiqua"/>
          <w:b/>
          <w:color w:val="000000"/>
          <w:sz w:val="24"/>
          <w:szCs w:val="24"/>
        </w:rPr>
        <w:t>REFERENCES</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 </w:t>
      </w:r>
      <w:r w:rsidRPr="0032530F">
        <w:rPr>
          <w:rFonts w:ascii="Book Antiqua" w:eastAsia="等线" w:hAnsi="Book Antiqua"/>
          <w:b/>
          <w:sz w:val="24"/>
          <w:szCs w:val="24"/>
        </w:rPr>
        <w:t>Gupta DL</w:t>
      </w:r>
      <w:r w:rsidRPr="0032530F">
        <w:rPr>
          <w:rFonts w:ascii="Book Antiqua" w:eastAsia="等线" w:hAnsi="Book Antiqua"/>
          <w:sz w:val="24"/>
          <w:szCs w:val="24"/>
        </w:rPr>
        <w:t xml:space="preserve">, Bhoi S, Mohan T, Galwnkar S, Rao DN. Coexistence of Th1/Th2 and Th17/Treg imbalances in patients with post traumatic sepsis. </w:t>
      </w:r>
      <w:r w:rsidRPr="0032530F">
        <w:rPr>
          <w:rFonts w:ascii="Book Antiqua" w:eastAsia="等线" w:hAnsi="Book Antiqua"/>
          <w:i/>
          <w:sz w:val="24"/>
          <w:szCs w:val="24"/>
        </w:rPr>
        <w:t>Cytokine</w:t>
      </w:r>
      <w:r w:rsidRPr="0032530F">
        <w:rPr>
          <w:rFonts w:ascii="Book Antiqua" w:eastAsia="等线" w:hAnsi="Book Antiqua"/>
          <w:sz w:val="24"/>
          <w:szCs w:val="24"/>
        </w:rPr>
        <w:t xml:space="preserve"> 2016; </w:t>
      </w:r>
      <w:r w:rsidRPr="0032530F">
        <w:rPr>
          <w:rFonts w:ascii="Book Antiqua" w:eastAsia="等线" w:hAnsi="Book Antiqua"/>
          <w:b/>
          <w:sz w:val="24"/>
          <w:szCs w:val="24"/>
        </w:rPr>
        <w:t>88</w:t>
      </w:r>
      <w:r w:rsidRPr="0032530F">
        <w:rPr>
          <w:rFonts w:ascii="Book Antiqua" w:eastAsia="等线" w:hAnsi="Book Antiqua"/>
          <w:sz w:val="24"/>
          <w:szCs w:val="24"/>
        </w:rPr>
        <w:t>: 214-221 [PMID: 27676155 DOI: 10.1016/j.cyto.2016.09.010]</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2 </w:t>
      </w:r>
      <w:r w:rsidRPr="0032530F">
        <w:rPr>
          <w:rFonts w:ascii="Book Antiqua" w:eastAsia="等线" w:hAnsi="Book Antiqua"/>
          <w:b/>
          <w:sz w:val="24"/>
          <w:szCs w:val="24"/>
        </w:rPr>
        <w:t>Li J</w:t>
      </w:r>
      <w:r w:rsidRPr="0032530F">
        <w:rPr>
          <w:rFonts w:ascii="Book Antiqua" w:eastAsia="等线" w:hAnsi="Book Antiqua"/>
          <w:sz w:val="24"/>
          <w:szCs w:val="24"/>
        </w:rPr>
        <w:t xml:space="preserve">, Li M, Su L, Wang H, Xiao K, Deng J, Jia Y, Han G, Xie L. Alterations of T helper lymphocyte subpopulations in sepsis, severe sepsis, and septic shock: A prospective observational study. </w:t>
      </w:r>
      <w:r w:rsidRPr="0032530F">
        <w:rPr>
          <w:rFonts w:ascii="Book Antiqua" w:eastAsia="等线" w:hAnsi="Book Antiqua"/>
          <w:i/>
          <w:sz w:val="24"/>
          <w:szCs w:val="24"/>
        </w:rPr>
        <w:t>Inflammation</w:t>
      </w:r>
      <w:r w:rsidRPr="0032530F">
        <w:rPr>
          <w:rFonts w:ascii="Book Antiqua" w:eastAsia="等线" w:hAnsi="Book Antiqua"/>
          <w:sz w:val="24"/>
          <w:szCs w:val="24"/>
        </w:rPr>
        <w:t xml:space="preserve"> 2015; </w:t>
      </w:r>
      <w:r w:rsidRPr="0032530F">
        <w:rPr>
          <w:rFonts w:ascii="Book Antiqua" w:eastAsia="等线" w:hAnsi="Book Antiqua"/>
          <w:b/>
          <w:sz w:val="24"/>
          <w:szCs w:val="24"/>
        </w:rPr>
        <w:t>38</w:t>
      </w:r>
      <w:r w:rsidRPr="0032530F">
        <w:rPr>
          <w:rFonts w:ascii="Book Antiqua" w:eastAsia="等线" w:hAnsi="Book Antiqua"/>
          <w:sz w:val="24"/>
          <w:szCs w:val="24"/>
        </w:rPr>
        <w:t>: 995-1002 [PMID: 25403265 DOI: 10.1007/s10753-014-0063-3]</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3 </w:t>
      </w:r>
      <w:r w:rsidRPr="0032530F">
        <w:rPr>
          <w:rFonts w:ascii="Book Antiqua" w:eastAsia="等线" w:hAnsi="Book Antiqua"/>
          <w:b/>
          <w:sz w:val="24"/>
          <w:szCs w:val="24"/>
        </w:rPr>
        <w:t>Feng P</w:t>
      </w:r>
      <w:r w:rsidRPr="0032530F">
        <w:rPr>
          <w:rFonts w:ascii="Book Antiqua" w:eastAsia="等线" w:hAnsi="Book Antiqua"/>
          <w:sz w:val="24"/>
          <w:szCs w:val="24"/>
        </w:rPr>
        <w:t xml:space="preserve">, Yan R, Dai X, Xie X, Wen H, Yang S. The alteration and clinical significance of Th1/Th2/Th17/Treg cells in patients with multiple myeloma. </w:t>
      </w:r>
      <w:r w:rsidRPr="0032530F">
        <w:rPr>
          <w:rFonts w:ascii="Book Antiqua" w:eastAsia="等线" w:hAnsi="Book Antiqua"/>
          <w:i/>
          <w:sz w:val="24"/>
          <w:szCs w:val="24"/>
        </w:rPr>
        <w:t>Inflammation</w:t>
      </w:r>
      <w:r w:rsidRPr="0032530F">
        <w:rPr>
          <w:rFonts w:ascii="Book Antiqua" w:eastAsia="等线" w:hAnsi="Book Antiqua"/>
          <w:sz w:val="24"/>
          <w:szCs w:val="24"/>
        </w:rPr>
        <w:t xml:space="preserve"> 2015; </w:t>
      </w:r>
      <w:r w:rsidRPr="0032530F">
        <w:rPr>
          <w:rFonts w:ascii="Book Antiqua" w:eastAsia="等线" w:hAnsi="Book Antiqua"/>
          <w:b/>
          <w:sz w:val="24"/>
          <w:szCs w:val="24"/>
        </w:rPr>
        <w:t>38</w:t>
      </w:r>
      <w:r w:rsidRPr="0032530F">
        <w:rPr>
          <w:rFonts w:ascii="Book Antiqua" w:eastAsia="等线" w:hAnsi="Book Antiqua"/>
          <w:sz w:val="24"/>
          <w:szCs w:val="24"/>
        </w:rPr>
        <w:t>: 705-709 [PMID: 25034833 DOI: 10.1007/s10753-014-9980-4]</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4 </w:t>
      </w:r>
      <w:r w:rsidRPr="0032530F">
        <w:rPr>
          <w:rFonts w:ascii="Book Antiqua" w:eastAsia="等线" w:hAnsi="Book Antiqua"/>
          <w:b/>
          <w:sz w:val="24"/>
          <w:szCs w:val="24"/>
        </w:rPr>
        <w:t>Wu HP</w:t>
      </w:r>
      <w:r w:rsidRPr="0032530F">
        <w:rPr>
          <w:rFonts w:ascii="Book Antiqua" w:eastAsia="等线" w:hAnsi="Book Antiqua"/>
          <w:sz w:val="24"/>
          <w:szCs w:val="24"/>
        </w:rPr>
        <w:t xml:space="preserve">, Chung K, Lin CY, Jiang BY, Chuang DY, Liu YC. Associations of T helper 1, 2, 17 and regulatory T lymphocytes with mortality in severe sepsis. </w:t>
      </w:r>
      <w:r w:rsidRPr="0032530F">
        <w:rPr>
          <w:rFonts w:ascii="Book Antiqua" w:eastAsia="等线" w:hAnsi="Book Antiqua"/>
          <w:i/>
          <w:sz w:val="24"/>
          <w:szCs w:val="24"/>
        </w:rPr>
        <w:t>Inflamm Res</w:t>
      </w:r>
      <w:r w:rsidRPr="0032530F">
        <w:rPr>
          <w:rFonts w:ascii="Book Antiqua" w:eastAsia="等线" w:hAnsi="Book Antiqua"/>
          <w:sz w:val="24"/>
          <w:szCs w:val="24"/>
        </w:rPr>
        <w:t xml:space="preserve"> 2013; </w:t>
      </w:r>
      <w:r w:rsidRPr="0032530F">
        <w:rPr>
          <w:rFonts w:ascii="Book Antiqua" w:eastAsia="等线" w:hAnsi="Book Antiqua"/>
          <w:b/>
          <w:sz w:val="24"/>
          <w:szCs w:val="24"/>
        </w:rPr>
        <w:t>62</w:t>
      </w:r>
      <w:r w:rsidRPr="0032530F">
        <w:rPr>
          <w:rFonts w:ascii="Book Antiqua" w:eastAsia="等线" w:hAnsi="Book Antiqua"/>
          <w:sz w:val="24"/>
          <w:szCs w:val="24"/>
        </w:rPr>
        <w:t>: 751-763 [PMID: 23670410 DOI: 10.1007/s00011-013-0630-3]</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5 </w:t>
      </w:r>
      <w:r w:rsidRPr="0032530F">
        <w:rPr>
          <w:rFonts w:ascii="Book Antiqua" w:eastAsia="等线" w:hAnsi="Book Antiqua"/>
          <w:b/>
          <w:sz w:val="24"/>
          <w:szCs w:val="24"/>
        </w:rPr>
        <w:t>Chen X</w:t>
      </w:r>
      <w:r w:rsidRPr="0032530F">
        <w:rPr>
          <w:rFonts w:ascii="Book Antiqua" w:eastAsia="等线" w:hAnsi="Book Antiqua"/>
          <w:sz w:val="24"/>
          <w:szCs w:val="24"/>
        </w:rPr>
        <w:t xml:space="preserve">, Feng Y, Shen X, Pan G, Fan G, Gao X, Han J, Zhu Y. Anti-sepsis protection of Xuebijing injection is mediated by differential regulation of pro- and anti-inflammatory Th17 and T regulatory cells in a murine model of polymicrobial sepsis. </w:t>
      </w:r>
      <w:r w:rsidRPr="0032530F">
        <w:rPr>
          <w:rFonts w:ascii="Book Antiqua" w:eastAsia="等线" w:hAnsi="Book Antiqua"/>
          <w:i/>
          <w:sz w:val="24"/>
          <w:szCs w:val="24"/>
        </w:rPr>
        <w:t>J Ethnopharmacol</w:t>
      </w:r>
      <w:r w:rsidRPr="0032530F">
        <w:rPr>
          <w:rFonts w:ascii="Book Antiqua" w:eastAsia="等线" w:hAnsi="Book Antiqua"/>
          <w:sz w:val="24"/>
          <w:szCs w:val="24"/>
        </w:rPr>
        <w:t xml:space="preserve"> 2018; </w:t>
      </w:r>
      <w:r w:rsidRPr="0032530F">
        <w:rPr>
          <w:rFonts w:ascii="Book Antiqua" w:eastAsia="等线" w:hAnsi="Book Antiqua"/>
          <w:b/>
          <w:sz w:val="24"/>
          <w:szCs w:val="24"/>
        </w:rPr>
        <w:t>211</w:t>
      </w:r>
      <w:r w:rsidRPr="0032530F">
        <w:rPr>
          <w:rFonts w:ascii="Book Antiqua" w:eastAsia="等线" w:hAnsi="Book Antiqua"/>
          <w:sz w:val="24"/>
          <w:szCs w:val="24"/>
        </w:rPr>
        <w:t>: 358-365 [PMID: 28987599 DOI: 10.1016/j.jep.2017.10.001]</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6 </w:t>
      </w:r>
      <w:r w:rsidRPr="0032530F">
        <w:rPr>
          <w:rFonts w:ascii="Book Antiqua" w:eastAsia="等线" w:hAnsi="Book Antiqua"/>
          <w:b/>
          <w:sz w:val="24"/>
          <w:szCs w:val="24"/>
        </w:rPr>
        <w:t>Guo J</w:t>
      </w:r>
      <w:r w:rsidRPr="0032530F">
        <w:rPr>
          <w:rFonts w:ascii="Book Antiqua" w:eastAsia="等线" w:hAnsi="Book Antiqua"/>
          <w:sz w:val="24"/>
          <w:szCs w:val="24"/>
        </w:rPr>
        <w:t xml:space="preserve">, Tao W, Tang D, Zhang J. Th17/regulatory T cell imbalance in sepsis patients with multiple organ dysfunction syndrome: Attenuated by high-volume hemofiltration. </w:t>
      </w:r>
      <w:r w:rsidRPr="0032530F">
        <w:rPr>
          <w:rFonts w:ascii="Book Antiqua" w:eastAsia="等线" w:hAnsi="Book Antiqua"/>
          <w:i/>
          <w:sz w:val="24"/>
          <w:szCs w:val="24"/>
        </w:rPr>
        <w:t>Int J Artif Organs</w:t>
      </w:r>
      <w:r w:rsidRPr="0032530F">
        <w:rPr>
          <w:rFonts w:ascii="Book Antiqua" w:eastAsia="等线" w:hAnsi="Book Antiqua"/>
          <w:sz w:val="24"/>
          <w:szCs w:val="24"/>
        </w:rPr>
        <w:t xml:space="preserve"> 2017; </w:t>
      </w:r>
      <w:r w:rsidRPr="0032530F">
        <w:rPr>
          <w:rFonts w:ascii="Book Antiqua" w:eastAsia="等线" w:hAnsi="Book Antiqua"/>
          <w:b/>
          <w:sz w:val="24"/>
          <w:szCs w:val="24"/>
        </w:rPr>
        <w:t>40</w:t>
      </w:r>
      <w:r w:rsidRPr="0032530F">
        <w:rPr>
          <w:rFonts w:ascii="Book Antiqua" w:eastAsia="等线" w:hAnsi="Book Antiqua"/>
          <w:sz w:val="24"/>
          <w:szCs w:val="24"/>
        </w:rPr>
        <w:t>: 607-614 [PMID: 28731485 DOI: 10.5301/ijao.5000625]</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7 </w:t>
      </w:r>
      <w:r w:rsidRPr="0032530F">
        <w:rPr>
          <w:rFonts w:ascii="Book Antiqua" w:eastAsia="等线" w:hAnsi="Book Antiqua"/>
          <w:b/>
          <w:sz w:val="24"/>
          <w:szCs w:val="24"/>
        </w:rPr>
        <w:t>Cauvi DM</w:t>
      </w:r>
      <w:r w:rsidRPr="0032530F">
        <w:rPr>
          <w:rFonts w:ascii="Book Antiqua" w:eastAsia="等线" w:hAnsi="Book Antiqua"/>
          <w:sz w:val="24"/>
          <w:szCs w:val="24"/>
        </w:rPr>
        <w:t xml:space="preserve">, Williams MR, Bermudez JA, Armijo G, De Maio A. Elevated expression of IL-23/IL-17 pathway-related mediators correlates with exacerbation of pulmonary inflammation during polymicrobial sepsis. </w:t>
      </w:r>
      <w:r w:rsidRPr="0032530F">
        <w:rPr>
          <w:rFonts w:ascii="Book Antiqua" w:eastAsia="等线" w:hAnsi="Book Antiqua"/>
          <w:i/>
          <w:sz w:val="24"/>
          <w:szCs w:val="24"/>
        </w:rPr>
        <w:t>Shock</w:t>
      </w:r>
      <w:r w:rsidRPr="0032530F">
        <w:rPr>
          <w:rFonts w:ascii="Book Antiqua" w:eastAsia="等线" w:hAnsi="Book Antiqua"/>
          <w:sz w:val="24"/>
          <w:szCs w:val="24"/>
        </w:rPr>
        <w:t xml:space="preserve"> 2014; </w:t>
      </w:r>
      <w:r w:rsidRPr="0032530F">
        <w:rPr>
          <w:rFonts w:ascii="Book Antiqua" w:eastAsia="等线" w:hAnsi="Book Antiqua"/>
          <w:b/>
          <w:sz w:val="24"/>
          <w:szCs w:val="24"/>
        </w:rPr>
        <w:t>42</w:t>
      </w:r>
      <w:r w:rsidRPr="0032530F">
        <w:rPr>
          <w:rFonts w:ascii="Book Antiqua" w:eastAsia="等线" w:hAnsi="Book Antiqua"/>
          <w:sz w:val="24"/>
          <w:szCs w:val="24"/>
        </w:rPr>
        <w:t>: 246-255 [PMID: 24978886 DOI: 10.1097/SHK.0000000000000207]</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8 </w:t>
      </w:r>
      <w:r w:rsidRPr="0032530F">
        <w:rPr>
          <w:rFonts w:ascii="Book Antiqua" w:eastAsia="等线" w:hAnsi="Book Antiqua"/>
          <w:b/>
          <w:sz w:val="24"/>
          <w:szCs w:val="24"/>
        </w:rPr>
        <w:t>Tulic C</w:t>
      </w:r>
      <w:r w:rsidRPr="0032530F">
        <w:rPr>
          <w:rFonts w:ascii="Book Antiqua" w:eastAsia="等线" w:hAnsi="Book Antiqua"/>
          <w:sz w:val="24"/>
          <w:szCs w:val="24"/>
        </w:rPr>
        <w:t xml:space="preserve">, Lazic M, Savic E, Popadic D, Djukic J, Spasic D, Markovic M, Ramic Z, Mostarica-Stojkovic M, Trajkovic V. The preoperative activity of Th1 and Th17 cytokine axes in prediction of sepsis after radical cystectomy. </w:t>
      </w:r>
      <w:r w:rsidRPr="0032530F">
        <w:rPr>
          <w:rFonts w:ascii="Book Antiqua" w:eastAsia="等线" w:hAnsi="Book Antiqua"/>
          <w:i/>
          <w:sz w:val="24"/>
          <w:szCs w:val="24"/>
        </w:rPr>
        <w:t>Eur Cytokine Netw</w:t>
      </w:r>
      <w:r w:rsidRPr="0032530F">
        <w:rPr>
          <w:rFonts w:ascii="Book Antiqua" w:eastAsia="等线" w:hAnsi="Book Antiqua"/>
          <w:sz w:val="24"/>
          <w:szCs w:val="24"/>
        </w:rPr>
        <w:t xml:space="preserve"> 2011; </w:t>
      </w:r>
      <w:r w:rsidRPr="0032530F">
        <w:rPr>
          <w:rFonts w:ascii="Book Antiqua" w:eastAsia="等线" w:hAnsi="Book Antiqua"/>
          <w:b/>
          <w:sz w:val="24"/>
          <w:szCs w:val="24"/>
        </w:rPr>
        <w:t>22</w:t>
      </w:r>
      <w:r w:rsidRPr="0032530F">
        <w:rPr>
          <w:rFonts w:ascii="Book Antiqua" w:eastAsia="等线" w:hAnsi="Book Antiqua"/>
          <w:sz w:val="24"/>
          <w:szCs w:val="24"/>
        </w:rPr>
        <w:t>: 169-174 [PMID: 22236958 DOI: 10.1684/ecn.2011.0292]</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9 </w:t>
      </w:r>
      <w:r w:rsidRPr="0032530F">
        <w:rPr>
          <w:rFonts w:ascii="Book Antiqua" w:eastAsia="等线" w:hAnsi="Book Antiqua"/>
          <w:b/>
          <w:sz w:val="24"/>
          <w:szCs w:val="24"/>
        </w:rPr>
        <w:t>Reintam Blaser A</w:t>
      </w:r>
      <w:r w:rsidRPr="0032530F">
        <w:rPr>
          <w:rFonts w:ascii="Book Antiqua" w:eastAsia="等线" w:hAnsi="Book Antiqua"/>
          <w:sz w:val="24"/>
          <w:szCs w:val="24"/>
        </w:rPr>
        <w:t xml:space="preserve">, Starkopf J, Alhazzani W, Berger MM, Casaer MP, Deane AM, Fruhwald S, Hiesmayr M, Ichai C, Jakob SM, Loudet CI, Malbrain ML, Montejo González JC, Paugam-Burtz C, Poeze M, Preiser JC, Singer P, van Zanten AR, De Waele J, Wendon J, Wernerman J, Whitehouse T, Wilmer A, Oudemans-van Straaten HM; ESICM Working Group on Gastrointestinal Function. Early enteral nutrition in critically ill patients: ESICM clinical practice guidelines. </w:t>
      </w:r>
      <w:r w:rsidRPr="0032530F">
        <w:rPr>
          <w:rFonts w:ascii="Book Antiqua" w:eastAsia="等线" w:hAnsi="Book Antiqua"/>
          <w:i/>
          <w:sz w:val="24"/>
          <w:szCs w:val="24"/>
        </w:rPr>
        <w:t>Intensive Care Med</w:t>
      </w:r>
      <w:r w:rsidRPr="0032530F">
        <w:rPr>
          <w:rFonts w:ascii="Book Antiqua" w:eastAsia="等线" w:hAnsi="Book Antiqua"/>
          <w:sz w:val="24"/>
          <w:szCs w:val="24"/>
        </w:rPr>
        <w:t xml:space="preserve"> 2017; </w:t>
      </w:r>
      <w:r w:rsidRPr="0032530F">
        <w:rPr>
          <w:rFonts w:ascii="Book Antiqua" w:eastAsia="等线" w:hAnsi="Book Antiqua"/>
          <w:b/>
          <w:sz w:val="24"/>
          <w:szCs w:val="24"/>
        </w:rPr>
        <w:t>43</w:t>
      </w:r>
      <w:r w:rsidRPr="0032530F">
        <w:rPr>
          <w:rFonts w:ascii="Book Antiqua" w:eastAsia="等线" w:hAnsi="Book Antiqua"/>
          <w:sz w:val="24"/>
          <w:szCs w:val="24"/>
        </w:rPr>
        <w:t>: 380-398 [PMID: 28168570 DOI: 10.1007/s00134-016-4665-0]</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10 </w:t>
      </w:r>
      <w:r w:rsidRPr="0032530F">
        <w:rPr>
          <w:rFonts w:ascii="Book Antiqua" w:eastAsia="等线" w:hAnsi="Book Antiqua"/>
          <w:b/>
          <w:sz w:val="24"/>
          <w:szCs w:val="24"/>
        </w:rPr>
        <w:t>Taylor BE</w:t>
      </w:r>
      <w:r w:rsidRPr="0032530F">
        <w:rPr>
          <w:rFonts w:ascii="Book Antiqua" w:eastAsia="等线" w:hAnsi="Book Antiqua"/>
          <w:sz w:val="24"/>
          <w:szCs w:val="24"/>
        </w:rPr>
        <w:t xml:space="preserve">, McClave SA, Martindale RG, Warren MM, Johnson DR, Braunschweig C, McCarthy MS, Davanos E, Rice TW, Cresci GA, Gervasio JM, Sacks GS, Roberts PR, Compher C; Society of Critical Care Medicine; American Society of Parenteral and Enteral Nutrition. Guidelines for the Provision and Assessment of Nutrition Support Therapy in the Adult Critically Ill Patient: Society of Critical Care Medicine (SCCM) and American Society for Parenteral and Enteral Nutrition (A.S.P.E.N.). </w:t>
      </w:r>
      <w:r w:rsidRPr="0032530F">
        <w:rPr>
          <w:rFonts w:ascii="Book Antiqua" w:eastAsia="等线" w:hAnsi="Book Antiqua"/>
          <w:i/>
          <w:sz w:val="24"/>
          <w:szCs w:val="24"/>
        </w:rPr>
        <w:t>Crit Care Med</w:t>
      </w:r>
      <w:r w:rsidRPr="0032530F">
        <w:rPr>
          <w:rFonts w:ascii="Book Antiqua" w:eastAsia="等线" w:hAnsi="Book Antiqua"/>
          <w:sz w:val="24"/>
          <w:szCs w:val="24"/>
        </w:rPr>
        <w:t xml:space="preserve"> 2016; </w:t>
      </w:r>
      <w:r w:rsidRPr="0032530F">
        <w:rPr>
          <w:rFonts w:ascii="Book Antiqua" w:eastAsia="等线" w:hAnsi="Book Antiqua"/>
          <w:b/>
          <w:sz w:val="24"/>
          <w:szCs w:val="24"/>
        </w:rPr>
        <w:t>44</w:t>
      </w:r>
      <w:r w:rsidRPr="0032530F">
        <w:rPr>
          <w:rFonts w:ascii="Book Antiqua" w:eastAsia="等线" w:hAnsi="Book Antiqua"/>
          <w:sz w:val="24"/>
          <w:szCs w:val="24"/>
        </w:rPr>
        <w:t>: 390-438 [PMID: 26771786 DOI: 10.1097/CCM.0000000000001525]</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11 </w:t>
      </w:r>
      <w:r w:rsidRPr="0032530F">
        <w:rPr>
          <w:rFonts w:ascii="Book Antiqua" w:eastAsia="等线" w:hAnsi="Book Antiqua"/>
          <w:b/>
          <w:sz w:val="24"/>
          <w:szCs w:val="24"/>
        </w:rPr>
        <w:t>Sun JK</w:t>
      </w:r>
      <w:r w:rsidRPr="0032530F">
        <w:rPr>
          <w:rFonts w:ascii="Book Antiqua" w:eastAsia="等线" w:hAnsi="Book Antiqua"/>
          <w:sz w:val="24"/>
          <w:szCs w:val="24"/>
        </w:rPr>
        <w:t xml:space="preserve">, Mu XW, Li WQ, Tong ZH, Li J, Zheng SY. Effects of early enteral nutrition on immune function of severe acute pancreatitis patients. </w:t>
      </w:r>
      <w:r w:rsidRPr="0032530F">
        <w:rPr>
          <w:rFonts w:ascii="Book Antiqua" w:eastAsia="等线" w:hAnsi="Book Antiqua"/>
          <w:i/>
          <w:sz w:val="24"/>
          <w:szCs w:val="24"/>
        </w:rPr>
        <w:t>World J Gastroenterol</w:t>
      </w:r>
      <w:r w:rsidRPr="0032530F">
        <w:rPr>
          <w:rFonts w:ascii="Book Antiqua" w:eastAsia="等线" w:hAnsi="Book Antiqua"/>
          <w:sz w:val="24"/>
          <w:szCs w:val="24"/>
        </w:rPr>
        <w:t xml:space="preserve"> 2013; </w:t>
      </w:r>
      <w:r w:rsidRPr="0032530F">
        <w:rPr>
          <w:rFonts w:ascii="Book Antiqua" w:eastAsia="等线" w:hAnsi="Book Antiqua"/>
          <w:b/>
          <w:sz w:val="24"/>
          <w:szCs w:val="24"/>
        </w:rPr>
        <w:t>19</w:t>
      </w:r>
      <w:r w:rsidRPr="0032530F">
        <w:rPr>
          <w:rFonts w:ascii="Book Antiqua" w:eastAsia="等线" w:hAnsi="Book Antiqua"/>
          <w:sz w:val="24"/>
          <w:szCs w:val="24"/>
        </w:rPr>
        <w:t>: 917-922 [PMID: 23431120 DOI: 10.3748/wjg.v19.i6.917]</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12 </w:t>
      </w:r>
      <w:r w:rsidRPr="0032530F">
        <w:rPr>
          <w:rFonts w:ascii="Book Antiqua" w:eastAsia="等线" w:hAnsi="Book Antiqua"/>
          <w:b/>
          <w:sz w:val="24"/>
          <w:szCs w:val="24"/>
        </w:rPr>
        <w:t>Sun JK</w:t>
      </w:r>
      <w:r w:rsidRPr="0032530F">
        <w:rPr>
          <w:rFonts w:ascii="Book Antiqua" w:eastAsia="等线" w:hAnsi="Book Antiqua"/>
          <w:sz w:val="24"/>
          <w:szCs w:val="24"/>
        </w:rPr>
        <w:t xml:space="preserve">, Yuan ST, Mu XW, Zhang WH, Liu Y, Zou L, Wang X, Zheng SY. Effects of early enteral nutrition on T helper lymphocytes of surgical septic patients: A retrospective observational study. </w:t>
      </w:r>
      <w:r w:rsidRPr="0032530F">
        <w:rPr>
          <w:rFonts w:ascii="Book Antiqua" w:eastAsia="等线" w:hAnsi="Book Antiqua"/>
          <w:i/>
          <w:sz w:val="24"/>
          <w:szCs w:val="24"/>
        </w:rPr>
        <w:t>Medicine (Baltimore)</w:t>
      </w:r>
      <w:r w:rsidRPr="0032530F">
        <w:rPr>
          <w:rFonts w:ascii="Book Antiqua" w:eastAsia="等线" w:hAnsi="Book Antiqua"/>
          <w:sz w:val="24"/>
          <w:szCs w:val="24"/>
        </w:rPr>
        <w:t xml:space="preserve"> 2017; </w:t>
      </w:r>
      <w:r w:rsidRPr="0032530F">
        <w:rPr>
          <w:rFonts w:ascii="Book Antiqua" w:eastAsia="等线" w:hAnsi="Book Antiqua"/>
          <w:b/>
          <w:sz w:val="24"/>
          <w:szCs w:val="24"/>
        </w:rPr>
        <w:t>96</w:t>
      </w:r>
      <w:r w:rsidRPr="0032530F">
        <w:rPr>
          <w:rFonts w:ascii="Book Antiqua" w:eastAsia="等线" w:hAnsi="Book Antiqua"/>
          <w:sz w:val="24"/>
          <w:szCs w:val="24"/>
        </w:rPr>
        <w:t>: e7702 [PMID: 28796054 DOI: 10.1097/MD.0000000000007702]</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13 </w:t>
      </w:r>
      <w:r w:rsidRPr="0032530F">
        <w:rPr>
          <w:rFonts w:ascii="Book Antiqua" w:eastAsia="等线" w:hAnsi="Book Antiqua"/>
          <w:b/>
          <w:sz w:val="24"/>
          <w:szCs w:val="24"/>
        </w:rPr>
        <w:t>Rhodes A</w:t>
      </w:r>
      <w:r w:rsidRPr="0032530F">
        <w:rPr>
          <w:rFonts w:ascii="Book Antiqua" w:eastAsia="等线" w:hAnsi="Book Antiqua"/>
          <w:sz w:val="24"/>
          <w:szCs w:val="24"/>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32530F">
        <w:rPr>
          <w:rFonts w:ascii="Book Antiqua" w:eastAsia="等线" w:hAnsi="Book Antiqua"/>
          <w:i/>
          <w:sz w:val="24"/>
          <w:szCs w:val="24"/>
        </w:rPr>
        <w:t>Crit Care Med</w:t>
      </w:r>
      <w:r w:rsidRPr="0032530F">
        <w:rPr>
          <w:rFonts w:ascii="Book Antiqua" w:eastAsia="等线" w:hAnsi="Book Antiqua"/>
          <w:sz w:val="24"/>
          <w:szCs w:val="24"/>
        </w:rPr>
        <w:t xml:space="preserve"> 2017; </w:t>
      </w:r>
      <w:r w:rsidRPr="0032530F">
        <w:rPr>
          <w:rFonts w:ascii="Book Antiqua" w:eastAsia="等线" w:hAnsi="Book Antiqua"/>
          <w:b/>
          <w:sz w:val="24"/>
          <w:szCs w:val="24"/>
        </w:rPr>
        <w:t>45</w:t>
      </w:r>
      <w:r w:rsidRPr="0032530F">
        <w:rPr>
          <w:rFonts w:ascii="Book Antiqua" w:eastAsia="等线" w:hAnsi="Book Antiqua"/>
          <w:sz w:val="24"/>
          <w:szCs w:val="24"/>
        </w:rPr>
        <w:t>: 486-552 [PMID: 28098591 DOI: 10.1097/CCM.0000000000002255]</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14 </w:t>
      </w:r>
      <w:r w:rsidRPr="0032530F">
        <w:rPr>
          <w:rFonts w:ascii="Book Antiqua" w:eastAsia="等线" w:hAnsi="Book Antiqua"/>
          <w:b/>
          <w:sz w:val="24"/>
          <w:szCs w:val="24"/>
        </w:rPr>
        <w:t>Singer M</w:t>
      </w:r>
      <w:r w:rsidRPr="0032530F">
        <w:rPr>
          <w:rFonts w:ascii="Book Antiqua" w:eastAsia="等线" w:hAnsi="Book Antiqua"/>
          <w:sz w:val="24"/>
          <w:szCs w:val="24"/>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32530F">
        <w:rPr>
          <w:rFonts w:ascii="Book Antiqua" w:eastAsia="等线" w:hAnsi="Book Antiqua"/>
          <w:i/>
          <w:sz w:val="24"/>
          <w:szCs w:val="24"/>
        </w:rPr>
        <w:t>JAMA</w:t>
      </w:r>
      <w:r w:rsidRPr="0032530F">
        <w:rPr>
          <w:rFonts w:ascii="Book Antiqua" w:eastAsia="等线" w:hAnsi="Book Antiqua"/>
          <w:sz w:val="24"/>
          <w:szCs w:val="24"/>
        </w:rPr>
        <w:t xml:space="preserve"> 2016; </w:t>
      </w:r>
      <w:r w:rsidRPr="0032530F">
        <w:rPr>
          <w:rFonts w:ascii="Book Antiqua" w:eastAsia="等线" w:hAnsi="Book Antiqua"/>
          <w:b/>
          <w:sz w:val="24"/>
          <w:szCs w:val="24"/>
        </w:rPr>
        <w:t>315</w:t>
      </w:r>
      <w:r w:rsidRPr="0032530F">
        <w:rPr>
          <w:rFonts w:ascii="Book Antiqua" w:eastAsia="等线" w:hAnsi="Book Antiqua"/>
          <w:sz w:val="24"/>
          <w:szCs w:val="24"/>
        </w:rPr>
        <w:t>: 801-810 [PMID: 26903338 DOI: 10.1001/jama.2016.0287]</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15 </w:t>
      </w:r>
      <w:r w:rsidRPr="0032530F">
        <w:rPr>
          <w:rFonts w:ascii="Book Antiqua" w:eastAsia="等线" w:hAnsi="Book Antiqua"/>
          <w:b/>
          <w:sz w:val="24"/>
          <w:szCs w:val="24"/>
        </w:rPr>
        <w:t>Sun JK</w:t>
      </w:r>
      <w:r w:rsidRPr="0032530F">
        <w:rPr>
          <w:rFonts w:ascii="Book Antiqua" w:eastAsia="等线" w:hAnsi="Book Antiqua"/>
          <w:sz w:val="24"/>
          <w:szCs w:val="24"/>
        </w:rPr>
        <w:t xml:space="preserve">, Wang X, Yuan ST. A novel method of blind bedside placement of postpyloric tubes. </w:t>
      </w:r>
      <w:r w:rsidRPr="0032530F">
        <w:rPr>
          <w:rFonts w:ascii="Book Antiqua" w:eastAsia="等线" w:hAnsi="Book Antiqua"/>
          <w:i/>
          <w:sz w:val="24"/>
          <w:szCs w:val="24"/>
        </w:rPr>
        <w:t>Crit Care</w:t>
      </w:r>
      <w:r w:rsidRPr="0032530F">
        <w:rPr>
          <w:rFonts w:ascii="Book Antiqua" w:eastAsia="等线" w:hAnsi="Book Antiqua"/>
          <w:sz w:val="24"/>
          <w:szCs w:val="24"/>
        </w:rPr>
        <w:t xml:space="preserve"> 2018; </w:t>
      </w:r>
      <w:r w:rsidRPr="0032530F">
        <w:rPr>
          <w:rFonts w:ascii="Book Antiqua" w:eastAsia="等线" w:hAnsi="Book Antiqua"/>
          <w:b/>
          <w:sz w:val="24"/>
          <w:szCs w:val="24"/>
        </w:rPr>
        <w:t>22</w:t>
      </w:r>
      <w:r w:rsidRPr="0032530F">
        <w:rPr>
          <w:rFonts w:ascii="Book Antiqua" w:eastAsia="等线" w:hAnsi="Book Antiqua"/>
          <w:sz w:val="24"/>
          <w:szCs w:val="24"/>
        </w:rPr>
        <w:t>: 62 [PMID: 29519252 DOI: 10.1186/s13054-018-1986-0]</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16 </w:t>
      </w:r>
      <w:r w:rsidRPr="0032530F">
        <w:rPr>
          <w:rFonts w:ascii="Book Antiqua" w:eastAsia="等线" w:hAnsi="Book Antiqua"/>
          <w:b/>
          <w:sz w:val="24"/>
          <w:szCs w:val="24"/>
        </w:rPr>
        <w:t>Gaffen SL</w:t>
      </w:r>
      <w:r w:rsidRPr="0032530F">
        <w:rPr>
          <w:rFonts w:ascii="Book Antiqua" w:eastAsia="等线" w:hAnsi="Book Antiqua"/>
          <w:sz w:val="24"/>
          <w:szCs w:val="24"/>
        </w:rPr>
        <w:t xml:space="preserve">, Jain R, Garg AV, Cua DJ. The IL-23-IL-17 immune axis: From mechanisms to therapeutic testing. </w:t>
      </w:r>
      <w:r w:rsidRPr="0032530F">
        <w:rPr>
          <w:rFonts w:ascii="Book Antiqua" w:eastAsia="等线" w:hAnsi="Book Antiqua"/>
          <w:i/>
          <w:sz w:val="24"/>
          <w:szCs w:val="24"/>
        </w:rPr>
        <w:t>Nat Rev Immunol</w:t>
      </w:r>
      <w:r w:rsidRPr="0032530F">
        <w:rPr>
          <w:rFonts w:ascii="Book Antiqua" w:eastAsia="等线" w:hAnsi="Book Antiqua"/>
          <w:sz w:val="24"/>
          <w:szCs w:val="24"/>
        </w:rPr>
        <w:t xml:space="preserve"> 2014; </w:t>
      </w:r>
      <w:r w:rsidRPr="0032530F">
        <w:rPr>
          <w:rFonts w:ascii="Book Antiqua" w:eastAsia="等线" w:hAnsi="Book Antiqua"/>
          <w:b/>
          <w:sz w:val="24"/>
          <w:szCs w:val="24"/>
        </w:rPr>
        <w:t>14</w:t>
      </w:r>
      <w:r w:rsidRPr="0032530F">
        <w:rPr>
          <w:rFonts w:ascii="Book Antiqua" w:eastAsia="等线" w:hAnsi="Book Antiqua"/>
          <w:sz w:val="24"/>
          <w:szCs w:val="24"/>
        </w:rPr>
        <w:t>: 585-600 [PMID: 25145755 DOI: 10.1038/nri3707]</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17 </w:t>
      </w:r>
      <w:r w:rsidRPr="0032530F">
        <w:rPr>
          <w:rFonts w:ascii="Book Antiqua" w:eastAsia="等线" w:hAnsi="Book Antiqua"/>
          <w:b/>
          <w:sz w:val="24"/>
          <w:szCs w:val="24"/>
        </w:rPr>
        <w:t>Bosmann M</w:t>
      </w:r>
      <w:r w:rsidRPr="0032530F">
        <w:rPr>
          <w:rFonts w:ascii="Book Antiqua" w:eastAsia="等线" w:hAnsi="Book Antiqua"/>
          <w:sz w:val="24"/>
          <w:szCs w:val="24"/>
        </w:rPr>
        <w:t xml:space="preserve">, Ward PA. Therapeutic potential of targeting IL-17 and IL-23 in sepsis. </w:t>
      </w:r>
      <w:r w:rsidRPr="0032530F">
        <w:rPr>
          <w:rFonts w:ascii="Book Antiqua" w:eastAsia="等线" w:hAnsi="Book Antiqua"/>
          <w:i/>
          <w:sz w:val="24"/>
          <w:szCs w:val="24"/>
        </w:rPr>
        <w:t>Clin Transl Med</w:t>
      </w:r>
      <w:r w:rsidRPr="0032530F">
        <w:rPr>
          <w:rFonts w:ascii="Book Antiqua" w:eastAsia="等线" w:hAnsi="Book Antiqua"/>
          <w:sz w:val="24"/>
          <w:szCs w:val="24"/>
        </w:rPr>
        <w:t xml:space="preserve"> 2012; </w:t>
      </w:r>
      <w:r w:rsidRPr="0032530F">
        <w:rPr>
          <w:rFonts w:ascii="Book Antiqua" w:eastAsia="等线" w:hAnsi="Book Antiqua"/>
          <w:b/>
          <w:sz w:val="24"/>
          <w:szCs w:val="24"/>
        </w:rPr>
        <w:t>1</w:t>
      </w:r>
      <w:r w:rsidRPr="0032530F">
        <w:rPr>
          <w:rFonts w:ascii="Book Antiqua" w:eastAsia="等线" w:hAnsi="Book Antiqua"/>
          <w:sz w:val="24"/>
          <w:szCs w:val="24"/>
        </w:rPr>
        <w:t>: 4 [PMID: 23369364 DOI: 10.1186/2001-1326-1-4]</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18 </w:t>
      </w:r>
      <w:r w:rsidRPr="0032530F">
        <w:rPr>
          <w:rFonts w:ascii="Book Antiqua" w:eastAsia="等线" w:hAnsi="Book Antiqua"/>
          <w:b/>
          <w:sz w:val="24"/>
          <w:szCs w:val="24"/>
        </w:rPr>
        <w:t>Kamada N</w:t>
      </w:r>
      <w:r w:rsidRPr="0032530F">
        <w:rPr>
          <w:rFonts w:ascii="Book Antiqua" w:eastAsia="等线" w:hAnsi="Book Antiqua"/>
          <w:sz w:val="24"/>
          <w:szCs w:val="24"/>
        </w:rPr>
        <w:t xml:space="preserve">, Núñez G. Regulation of the immune system by the resident intestinal bacteria. </w:t>
      </w:r>
      <w:r w:rsidRPr="0032530F">
        <w:rPr>
          <w:rFonts w:ascii="Book Antiqua" w:eastAsia="等线" w:hAnsi="Book Antiqua"/>
          <w:i/>
          <w:sz w:val="24"/>
          <w:szCs w:val="24"/>
        </w:rPr>
        <w:t>Gastroenterology</w:t>
      </w:r>
      <w:r w:rsidRPr="0032530F">
        <w:rPr>
          <w:rFonts w:ascii="Book Antiqua" w:eastAsia="等线" w:hAnsi="Book Antiqua"/>
          <w:sz w:val="24"/>
          <w:szCs w:val="24"/>
        </w:rPr>
        <w:t xml:space="preserve"> 2014; </w:t>
      </w:r>
      <w:r w:rsidRPr="0032530F">
        <w:rPr>
          <w:rFonts w:ascii="Book Antiqua" w:eastAsia="等线" w:hAnsi="Book Antiqua"/>
          <w:b/>
          <w:sz w:val="24"/>
          <w:szCs w:val="24"/>
        </w:rPr>
        <w:t>146</w:t>
      </w:r>
      <w:r w:rsidRPr="0032530F">
        <w:rPr>
          <w:rFonts w:ascii="Book Antiqua" w:eastAsia="等线" w:hAnsi="Book Antiqua"/>
          <w:sz w:val="24"/>
          <w:szCs w:val="24"/>
        </w:rPr>
        <w:t>: 1477-1488 [PMID: 24503128 DOI: 10.1053/j.gastro.2014.01.060]</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19 </w:t>
      </w:r>
      <w:r w:rsidRPr="0032530F">
        <w:rPr>
          <w:rFonts w:ascii="Book Antiqua" w:eastAsia="等线" w:hAnsi="Book Antiqua"/>
          <w:b/>
          <w:sz w:val="24"/>
          <w:szCs w:val="24"/>
        </w:rPr>
        <w:t>Hegazi RA</w:t>
      </w:r>
      <w:r w:rsidRPr="0032530F">
        <w:rPr>
          <w:rFonts w:ascii="Book Antiqua" w:eastAsia="等线" w:hAnsi="Book Antiqua"/>
          <w:sz w:val="24"/>
          <w:szCs w:val="24"/>
        </w:rPr>
        <w:t xml:space="preserve">, DeWitt T. Enteral nutrition and immune modulation of acute pancreatitis. </w:t>
      </w:r>
      <w:r w:rsidRPr="0032530F">
        <w:rPr>
          <w:rFonts w:ascii="Book Antiqua" w:eastAsia="等线" w:hAnsi="Book Antiqua"/>
          <w:i/>
          <w:sz w:val="24"/>
          <w:szCs w:val="24"/>
        </w:rPr>
        <w:t>World J Gastroenterol</w:t>
      </w:r>
      <w:r w:rsidRPr="0032530F">
        <w:rPr>
          <w:rFonts w:ascii="Book Antiqua" w:eastAsia="等线" w:hAnsi="Book Antiqua"/>
          <w:sz w:val="24"/>
          <w:szCs w:val="24"/>
        </w:rPr>
        <w:t xml:space="preserve"> 2014; </w:t>
      </w:r>
      <w:r w:rsidRPr="0032530F">
        <w:rPr>
          <w:rFonts w:ascii="Book Antiqua" w:eastAsia="等线" w:hAnsi="Book Antiqua"/>
          <w:b/>
          <w:sz w:val="24"/>
          <w:szCs w:val="24"/>
        </w:rPr>
        <w:t>20</w:t>
      </w:r>
      <w:r w:rsidRPr="0032530F">
        <w:rPr>
          <w:rFonts w:ascii="Book Antiqua" w:eastAsia="等线" w:hAnsi="Book Antiqua"/>
          <w:sz w:val="24"/>
          <w:szCs w:val="24"/>
        </w:rPr>
        <w:t>: 16101-16105 [PMID: 25473161 DOI: 10.3748/wjg.v20.i43.16101]</w:t>
      </w:r>
    </w:p>
    <w:p w:rsidR="0032530F" w:rsidRPr="0032530F" w:rsidRDefault="0032530F" w:rsidP="0032530F">
      <w:pPr>
        <w:spacing w:line="360" w:lineRule="auto"/>
        <w:rPr>
          <w:rFonts w:ascii="Book Antiqua" w:eastAsia="等线" w:hAnsi="Book Antiqua"/>
          <w:sz w:val="24"/>
          <w:szCs w:val="24"/>
        </w:rPr>
      </w:pPr>
      <w:r w:rsidRPr="0032530F">
        <w:rPr>
          <w:rFonts w:ascii="Book Antiqua" w:eastAsia="等线" w:hAnsi="Book Antiqua"/>
          <w:sz w:val="24"/>
          <w:szCs w:val="24"/>
        </w:rPr>
        <w:t xml:space="preserve">20 </w:t>
      </w:r>
      <w:r w:rsidRPr="0032530F">
        <w:rPr>
          <w:rFonts w:ascii="Book Antiqua" w:eastAsia="等线" w:hAnsi="Book Antiqua"/>
          <w:b/>
          <w:sz w:val="24"/>
          <w:szCs w:val="24"/>
        </w:rPr>
        <w:t>Nguyen NQ</w:t>
      </w:r>
      <w:r w:rsidRPr="0032530F">
        <w:rPr>
          <w:rFonts w:ascii="Book Antiqua" w:eastAsia="等线" w:hAnsi="Book Antiqua"/>
          <w:sz w:val="24"/>
          <w:szCs w:val="24"/>
        </w:rPr>
        <w:t xml:space="preserve">, Besanko LK, Burgstad C, Bellon M, Holloway RH, Chapman M, Horowitz M, Fraser RJ. Delayed enteral feeding impairs intestinal carbohydrate absorption in critically ill patients. </w:t>
      </w:r>
      <w:r w:rsidRPr="0032530F">
        <w:rPr>
          <w:rFonts w:ascii="Book Antiqua" w:eastAsia="等线" w:hAnsi="Book Antiqua"/>
          <w:i/>
          <w:sz w:val="24"/>
          <w:szCs w:val="24"/>
        </w:rPr>
        <w:t>Crit Care Med</w:t>
      </w:r>
      <w:r w:rsidRPr="0032530F">
        <w:rPr>
          <w:rFonts w:ascii="Book Antiqua" w:eastAsia="等线" w:hAnsi="Book Antiqua"/>
          <w:sz w:val="24"/>
          <w:szCs w:val="24"/>
        </w:rPr>
        <w:t xml:space="preserve"> 2012; </w:t>
      </w:r>
      <w:r w:rsidRPr="0032530F">
        <w:rPr>
          <w:rFonts w:ascii="Book Antiqua" w:eastAsia="等线" w:hAnsi="Book Antiqua"/>
          <w:b/>
          <w:sz w:val="24"/>
          <w:szCs w:val="24"/>
        </w:rPr>
        <w:t>40</w:t>
      </w:r>
      <w:r w:rsidRPr="0032530F">
        <w:rPr>
          <w:rFonts w:ascii="Book Antiqua" w:eastAsia="等线" w:hAnsi="Book Antiqua"/>
          <w:sz w:val="24"/>
          <w:szCs w:val="24"/>
        </w:rPr>
        <w:t>: 50-54 [PMID: 21926614 DOI: 10.1097/CCM.0b013e31822d71a6]</w:t>
      </w:r>
    </w:p>
    <w:p w:rsidR="0032530F" w:rsidRPr="0032530F" w:rsidRDefault="0032530F" w:rsidP="0032530F">
      <w:pPr>
        <w:adjustRightInd w:val="0"/>
        <w:snapToGrid w:val="0"/>
        <w:spacing w:line="360" w:lineRule="auto"/>
        <w:jc w:val="right"/>
        <w:rPr>
          <w:rFonts w:ascii="Book Antiqua" w:hAnsi="Book Antiqua"/>
          <w:color w:val="000000"/>
          <w:sz w:val="24"/>
          <w:szCs w:val="24"/>
        </w:rPr>
      </w:pPr>
      <w:bookmarkStart w:id="34" w:name="OLE_LINK139"/>
      <w:bookmarkStart w:id="35" w:name="OLE_LINK140"/>
      <w:bookmarkStart w:id="36" w:name="OLE_LINK287"/>
      <w:bookmarkStart w:id="37" w:name="OLE_LINK288"/>
      <w:bookmarkStart w:id="38" w:name="OLE_LINK70"/>
      <w:bookmarkStart w:id="39" w:name="OLE_LINK110"/>
      <w:bookmarkStart w:id="40" w:name="OLE_LINK109"/>
      <w:bookmarkStart w:id="41" w:name="OLE_LINK138"/>
      <w:bookmarkStart w:id="42" w:name="OLE_LINK72"/>
      <w:bookmarkStart w:id="43" w:name="OLE_LINK116"/>
      <w:bookmarkStart w:id="44" w:name="OLE_LINK95"/>
      <w:bookmarkStart w:id="45" w:name="OLE_LINK118"/>
      <w:bookmarkStart w:id="46" w:name="OLE_LINK198"/>
      <w:bookmarkStart w:id="47" w:name="OLE_LINK154"/>
      <w:bookmarkStart w:id="48" w:name="OLE_LINK251"/>
      <w:bookmarkStart w:id="49" w:name="OLE_LINK167"/>
      <w:bookmarkStart w:id="50" w:name="OLE_LINK126"/>
      <w:bookmarkStart w:id="51" w:name="OLE_LINK234"/>
      <w:bookmarkStart w:id="52" w:name="OLE_LINK157"/>
      <w:bookmarkStart w:id="53" w:name="OLE_LINK187"/>
      <w:bookmarkStart w:id="54" w:name="OLE_LINK204"/>
      <w:bookmarkStart w:id="55" w:name="OLE_LINK255"/>
      <w:bookmarkStart w:id="56" w:name="OLE_LINK229"/>
      <w:bookmarkStart w:id="57" w:name="OLE_LINK268"/>
      <w:bookmarkStart w:id="58" w:name="OLE_LINK310"/>
      <w:bookmarkStart w:id="59" w:name="OLE_LINK338"/>
      <w:bookmarkStart w:id="60" w:name="OLE_LINK340"/>
      <w:bookmarkStart w:id="61" w:name="OLE_LINK264"/>
      <w:bookmarkStart w:id="62" w:name="OLE_LINK345"/>
      <w:bookmarkStart w:id="63" w:name="OLE_LINK256"/>
      <w:bookmarkStart w:id="64" w:name="OLE_LINK299"/>
      <w:bookmarkStart w:id="65" w:name="OLE_LINK265"/>
      <w:bookmarkStart w:id="66" w:name="OLE_LINK254"/>
      <w:bookmarkStart w:id="67" w:name="OLE_LINK357"/>
      <w:bookmarkStart w:id="68" w:name="OLE_LINK382"/>
      <w:bookmarkStart w:id="69" w:name="OLE_LINK333"/>
      <w:bookmarkStart w:id="70" w:name="OLE_LINK334"/>
      <w:bookmarkStart w:id="71" w:name="OLE_LINK400"/>
      <w:bookmarkStart w:id="72" w:name="OLE_LINK365"/>
      <w:bookmarkStart w:id="73" w:name="OLE_LINK467"/>
      <w:bookmarkStart w:id="74" w:name="OLE_LINK399"/>
      <w:bookmarkStart w:id="75" w:name="OLE_LINK443"/>
      <w:bookmarkStart w:id="76" w:name="OLE_LINK372"/>
      <w:bookmarkStart w:id="77" w:name="OLE_LINK425"/>
      <w:bookmarkStart w:id="78" w:name="OLE_LINK450"/>
      <w:bookmarkStart w:id="79" w:name="OLE_LINK402"/>
      <w:bookmarkStart w:id="80" w:name="OLE_LINK385"/>
      <w:bookmarkStart w:id="81" w:name="OLE_LINK396"/>
      <w:bookmarkStart w:id="82" w:name="OLE_LINK436"/>
      <w:bookmarkStart w:id="83" w:name="OLE_LINK421"/>
      <w:bookmarkStart w:id="84" w:name="OLE_LINK426"/>
      <w:bookmarkStart w:id="85" w:name="OLE_LINK456"/>
      <w:bookmarkStart w:id="86" w:name="OLE_LINK505"/>
      <w:bookmarkStart w:id="87" w:name="OLE_LINK490"/>
      <w:bookmarkStart w:id="88" w:name="OLE_LINK531"/>
      <w:bookmarkStart w:id="89" w:name="OLE_LINK460"/>
      <w:bookmarkStart w:id="90" w:name="OLE_LINK463"/>
      <w:bookmarkStart w:id="91" w:name="OLE_LINK487"/>
      <w:bookmarkStart w:id="92" w:name="OLE_LINK515"/>
      <w:bookmarkStart w:id="93" w:name="OLE_LINK509"/>
      <w:bookmarkStart w:id="94" w:name="OLE_LINK538"/>
      <w:bookmarkStart w:id="95" w:name="OLE_LINK606"/>
      <w:bookmarkStart w:id="96" w:name="OLE_LINK662"/>
      <w:bookmarkStart w:id="97" w:name="OLE_LINK663"/>
      <w:bookmarkStart w:id="98" w:name="OLE_LINK738"/>
      <w:bookmarkStart w:id="99" w:name="OLE_LINK666"/>
      <w:bookmarkStart w:id="100" w:name="OLE_LINK667"/>
      <w:bookmarkStart w:id="101" w:name="OLE_LINK672"/>
      <w:bookmarkStart w:id="102" w:name="OLE_LINK727"/>
      <w:bookmarkStart w:id="103" w:name="OLE_LINK703"/>
      <w:bookmarkStart w:id="104" w:name="OLE_LINK765"/>
      <w:bookmarkStart w:id="105" w:name="OLE_LINK724"/>
      <w:bookmarkStart w:id="106" w:name="OLE_LINK771"/>
      <w:r w:rsidRPr="0032530F">
        <w:rPr>
          <w:rFonts w:ascii="Book Antiqua" w:hAnsi="Book Antiqua"/>
          <w:b/>
          <w:bCs/>
          <w:color w:val="000000"/>
          <w:sz w:val="24"/>
          <w:szCs w:val="24"/>
        </w:rPr>
        <w:t>P-Reviewer:</w:t>
      </w:r>
      <w:r w:rsidRPr="0032530F">
        <w:rPr>
          <w:rFonts w:ascii="Book Antiqua" w:hAnsi="Book Antiqua"/>
          <w:bCs/>
          <w:color w:val="000000"/>
          <w:sz w:val="24"/>
          <w:szCs w:val="24"/>
        </w:rPr>
        <w:t xml:space="preserve"> Cheungpasitporn</w:t>
      </w:r>
      <w:r>
        <w:rPr>
          <w:rFonts w:ascii="Book Antiqua" w:hAnsi="Book Antiqua"/>
          <w:bCs/>
          <w:color w:val="000000"/>
          <w:sz w:val="24"/>
          <w:szCs w:val="24"/>
        </w:rPr>
        <w:t xml:space="preserve"> W, </w:t>
      </w:r>
      <w:r w:rsidRPr="0032530F">
        <w:rPr>
          <w:rFonts w:ascii="Book Antiqua" w:hAnsi="Book Antiqua"/>
          <w:bCs/>
          <w:color w:val="000000"/>
          <w:sz w:val="24"/>
          <w:szCs w:val="24"/>
        </w:rPr>
        <w:t>Cheungpasitporn</w:t>
      </w:r>
      <w:r>
        <w:rPr>
          <w:rFonts w:ascii="Book Antiqua" w:hAnsi="Book Antiqua"/>
          <w:bCs/>
          <w:color w:val="000000"/>
          <w:sz w:val="24"/>
          <w:szCs w:val="24"/>
        </w:rPr>
        <w:t xml:space="preserve"> T </w:t>
      </w:r>
      <w:r w:rsidRPr="0032530F">
        <w:rPr>
          <w:rFonts w:ascii="Book Antiqua" w:hAnsi="Book Antiqua"/>
          <w:b/>
          <w:bCs/>
          <w:color w:val="000000"/>
          <w:sz w:val="24"/>
          <w:szCs w:val="24"/>
        </w:rPr>
        <w:t>S-Editor:</w:t>
      </w:r>
      <w:r w:rsidRPr="0032530F">
        <w:rPr>
          <w:rFonts w:ascii="Book Antiqua" w:hAnsi="Book Antiqua"/>
          <w:color w:val="000000"/>
          <w:sz w:val="24"/>
          <w:szCs w:val="24"/>
        </w:rPr>
        <w:t xml:space="preserve"> Yan JP</w:t>
      </w:r>
    </w:p>
    <w:p w:rsidR="0032530F" w:rsidRPr="0032530F" w:rsidRDefault="0032530F" w:rsidP="00167B26">
      <w:pPr>
        <w:wordWrap w:val="0"/>
        <w:adjustRightInd w:val="0"/>
        <w:snapToGrid w:val="0"/>
        <w:spacing w:line="360" w:lineRule="auto"/>
        <w:jc w:val="right"/>
        <w:rPr>
          <w:rFonts w:ascii="Book Antiqua" w:hAnsi="Book Antiqua"/>
          <w:b/>
          <w:bCs/>
          <w:color w:val="000000"/>
          <w:sz w:val="24"/>
          <w:szCs w:val="24"/>
        </w:rPr>
      </w:pPr>
      <w:r w:rsidRPr="0032530F">
        <w:rPr>
          <w:rFonts w:ascii="Book Antiqua" w:hAnsi="Book Antiqua"/>
          <w:b/>
          <w:bCs/>
          <w:color w:val="000000"/>
          <w:sz w:val="24"/>
          <w:szCs w:val="24"/>
        </w:rPr>
        <w:t>L-Editor:</w:t>
      </w:r>
      <w:r w:rsidRPr="0032530F">
        <w:rPr>
          <w:rFonts w:ascii="Book Antiqua" w:hAnsi="Book Antiqua"/>
          <w:color w:val="000000"/>
          <w:sz w:val="24"/>
          <w:szCs w:val="24"/>
        </w:rPr>
        <w:t xml:space="preserve"> </w:t>
      </w:r>
      <w:r w:rsidR="009E3E12">
        <w:rPr>
          <w:rFonts w:ascii="Book Antiqua" w:hAnsi="Book Antiqua"/>
          <w:color w:val="000000"/>
          <w:sz w:val="24"/>
          <w:szCs w:val="24"/>
        </w:rPr>
        <w:t xml:space="preserve">Wang TQ </w:t>
      </w:r>
      <w:r w:rsidRPr="0032530F">
        <w:rPr>
          <w:rFonts w:ascii="Book Antiqua" w:hAnsi="Book Antiqua"/>
          <w:b/>
          <w:bCs/>
          <w:color w:val="000000"/>
          <w:sz w:val="24"/>
          <w:szCs w:val="24"/>
        </w:rPr>
        <w:t>E-Editor:</w:t>
      </w:r>
      <w:r w:rsidR="00015CD9">
        <w:rPr>
          <w:rFonts w:ascii="Book Antiqua" w:hAnsi="Book Antiqua" w:hint="eastAsia"/>
          <w:b/>
          <w:bCs/>
          <w:color w:val="000000"/>
          <w:sz w:val="24"/>
          <w:szCs w:val="24"/>
        </w:rPr>
        <w:t xml:space="preserve"> </w:t>
      </w:r>
      <w:r w:rsidR="00015CD9" w:rsidRPr="00015CD9">
        <w:rPr>
          <w:rFonts w:ascii="Book Antiqua" w:hAnsi="Book Antiqua"/>
          <w:bCs/>
          <w:color w:val="000000"/>
          <w:sz w:val="24"/>
          <w:szCs w:val="24"/>
        </w:rPr>
        <w:t>Zhang YL</w:t>
      </w:r>
    </w:p>
    <w:bookmarkEnd w:id="34"/>
    <w:bookmarkEnd w:id="35"/>
    <w:p w:rsidR="0032530F" w:rsidRPr="0032530F" w:rsidRDefault="0032530F" w:rsidP="0032530F">
      <w:pPr>
        <w:widowControl/>
        <w:spacing w:line="360" w:lineRule="auto"/>
        <w:rPr>
          <w:rFonts w:ascii="Book Antiqua" w:hAnsi="Book Antiqua" w:cs="宋体"/>
          <w:kern w:val="0"/>
          <w:sz w:val="24"/>
          <w:szCs w:val="24"/>
        </w:rPr>
      </w:pPr>
      <w:r w:rsidRPr="0032530F">
        <w:rPr>
          <w:rFonts w:ascii="Book Antiqua" w:hAnsi="Book Antiqua" w:cs="宋体"/>
          <w:b/>
          <w:kern w:val="0"/>
          <w:sz w:val="24"/>
          <w:szCs w:val="24"/>
        </w:rPr>
        <w:t xml:space="preserve">Specialty type: </w:t>
      </w:r>
      <w:r w:rsidRPr="0032530F">
        <w:rPr>
          <w:rFonts w:ascii="Book Antiqua" w:eastAsia="微软雅黑" w:hAnsi="Book Antiqua" w:cs="宋体"/>
          <w:kern w:val="0"/>
          <w:sz w:val="24"/>
          <w:szCs w:val="24"/>
        </w:rPr>
        <w:t>Gastroenterology and hepatology</w:t>
      </w:r>
      <w:r w:rsidRPr="0032530F">
        <w:rPr>
          <w:rFonts w:ascii="Book Antiqua" w:hAnsi="Book Antiqua" w:cs="宋体"/>
          <w:kern w:val="0"/>
          <w:sz w:val="24"/>
          <w:szCs w:val="24"/>
        </w:rPr>
        <w:t xml:space="preserve"> </w:t>
      </w:r>
      <w:r w:rsidRPr="0032530F">
        <w:rPr>
          <w:rFonts w:ascii="Book Antiqua" w:hAnsi="Book Antiqua" w:cs="宋体"/>
          <w:kern w:val="0"/>
          <w:sz w:val="24"/>
          <w:szCs w:val="24"/>
        </w:rPr>
        <w:br/>
      </w:r>
      <w:r w:rsidRPr="0032530F">
        <w:rPr>
          <w:rFonts w:ascii="Book Antiqua" w:hAnsi="Book Antiqua" w:cs="宋体"/>
          <w:b/>
          <w:kern w:val="0"/>
          <w:sz w:val="24"/>
          <w:szCs w:val="24"/>
        </w:rPr>
        <w:t xml:space="preserve">Country of origin: </w:t>
      </w:r>
      <w:r w:rsidRPr="0032530F">
        <w:rPr>
          <w:rFonts w:ascii="Book Antiqua" w:hAnsi="Book Antiqua" w:cs="宋体"/>
          <w:kern w:val="0"/>
          <w:sz w:val="24"/>
          <w:szCs w:val="24"/>
        </w:rPr>
        <w:t xml:space="preserve">China </w:t>
      </w:r>
      <w:r w:rsidRPr="0032530F">
        <w:rPr>
          <w:rFonts w:ascii="Book Antiqua" w:hAnsi="Book Antiqua" w:cs="宋体"/>
          <w:kern w:val="0"/>
          <w:sz w:val="24"/>
          <w:szCs w:val="24"/>
        </w:rPr>
        <w:br/>
      </w:r>
      <w:r w:rsidRPr="0032530F">
        <w:rPr>
          <w:rFonts w:ascii="Book Antiqua" w:hAnsi="Book Antiqua" w:cs="宋体"/>
          <w:b/>
          <w:kern w:val="0"/>
          <w:sz w:val="24"/>
          <w:szCs w:val="24"/>
        </w:rPr>
        <w:t>Peer-review report classification</w:t>
      </w:r>
      <w:r w:rsidRPr="0032530F">
        <w:rPr>
          <w:rFonts w:ascii="Book Antiqua" w:hAnsi="Book Antiqua" w:cs="宋体"/>
          <w:kern w:val="0"/>
          <w:sz w:val="24"/>
          <w:szCs w:val="24"/>
        </w:rPr>
        <w:br/>
      </w:r>
      <w:r w:rsidRPr="0032530F">
        <w:rPr>
          <w:rFonts w:ascii="Book Antiqua" w:hAnsi="Book Antiqua" w:cs="宋体"/>
          <w:b/>
          <w:kern w:val="0"/>
          <w:sz w:val="24"/>
          <w:szCs w:val="24"/>
        </w:rPr>
        <w:t xml:space="preserve">Grade A (Excellent): </w:t>
      </w:r>
      <w:r>
        <w:rPr>
          <w:rFonts w:ascii="Book Antiqua" w:hAnsi="Book Antiqua" w:cs="宋体"/>
          <w:kern w:val="0"/>
          <w:sz w:val="24"/>
          <w:szCs w:val="24"/>
        </w:rPr>
        <w:t>0</w:t>
      </w:r>
      <w:r w:rsidRPr="0032530F">
        <w:rPr>
          <w:rFonts w:ascii="Book Antiqua" w:hAnsi="Book Antiqua" w:cs="宋体"/>
          <w:kern w:val="0"/>
          <w:sz w:val="24"/>
          <w:szCs w:val="24"/>
        </w:rPr>
        <w:br/>
      </w:r>
      <w:r w:rsidRPr="0032530F">
        <w:rPr>
          <w:rFonts w:ascii="Book Antiqua" w:hAnsi="Book Antiqua" w:cs="宋体"/>
          <w:b/>
          <w:kern w:val="0"/>
          <w:sz w:val="24"/>
          <w:szCs w:val="24"/>
        </w:rPr>
        <w:t xml:space="preserve">Grade B (Very good): </w:t>
      </w:r>
      <w:r>
        <w:rPr>
          <w:rFonts w:ascii="Book Antiqua" w:hAnsi="Book Antiqua" w:cs="宋体"/>
          <w:kern w:val="0"/>
          <w:sz w:val="24"/>
          <w:szCs w:val="24"/>
        </w:rPr>
        <w:t>0</w:t>
      </w:r>
      <w:r w:rsidRPr="0032530F">
        <w:rPr>
          <w:rFonts w:ascii="Book Antiqua" w:hAnsi="Book Antiqua" w:cs="宋体"/>
          <w:kern w:val="0"/>
          <w:sz w:val="24"/>
          <w:szCs w:val="24"/>
        </w:rPr>
        <w:br/>
      </w:r>
      <w:r w:rsidRPr="0032530F">
        <w:rPr>
          <w:rFonts w:ascii="Book Antiqua" w:hAnsi="Book Antiqua" w:cs="宋体"/>
          <w:b/>
          <w:kern w:val="0"/>
          <w:sz w:val="24"/>
          <w:szCs w:val="24"/>
        </w:rPr>
        <w:t xml:space="preserve">Grade C (Good): </w:t>
      </w:r>
      <w:r>
        <w:rPr>
          <w:rFonts w:ascii="Book Antiqua" w:hAnsi="Book Antiqua" w:cs="宋体"/>
          <w:kern w:val="0"/>
          <w:sz w:val="24"/>
          <w:szCs w:val="24"/>
        </w:rPr>
        <w:t>C, C</w:t>
      </w:r>
      <w:r w:rsidRPr="0032530F">
        <w:rPr>
          <w:rFonts w:ascii="Book Antiqua" w:hAnsi="Book Antiqua" w:cs="宋体"/>
          <w:kern w:val="0"/>
          <w:sz w:val="24"/>
          <w:szCs w:val="24"/>
        </w:rPr>
        <w:br/>
      </w:r>
      <w:r w:rsidRPr="0032530F">
        <w:rPr>
          <w:rFonts w:ascii="Book Antiqua" w:hAnsi="Book Antiqua" w:cs="宋体"/>
          <w:b/>
          <w:kern w:val="0"/>
          <w:sz w:val="24"/>
          <w:szCs w:val="24"/>
        </w:rPr>
        <w:t xml:space="preserve">Grade D (Fair): </w:t>
      </w:r>
      <w:r w:rsidRPr="0032530F">
        <w:rPr>
          <w:rFonts w:ascii="Book Antiqua" w:hAnsi="Book Antiqua" w:cs="宋体"/>
          <w:kern w:val="0"/>
          <w:sz w:val="24"/>
          <w:szCs w:val="24"/>
        </w:rPr>
        <w:t>0</w:t>
      </w:r>
      <w:r w:rsidRPr="0032530F">
        <w:rPr>
          <w:rFonts w:ascii="Book Antiqua" w:hAnsi="Book Antiqua" w:cs="宋体"/>
          <w:b/>
          <w:kern w:val="0"/>
          <w:sz w:val="24"/>
          <w:szCs w:val="24"/>
        </w:rPr>
        <w:br/>
        <w:t xml:space="preserve">Grade E (Poor): </w:t>
      </w:r>
      <w:r w:rsidRPr="0032530F">
        <w:rPr>
          <w:rFonts w:ascii="Book Antiqua" w:hAnsi="Book Antiqua" w:cs="宋体"/>
          <w:kern w:val="0"/>
          <w:sz w:val="24"/>
          <w:szCs w:val="24"/>
        </w:rPr>
        <w:t>0</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32530F" w:rsidRPr="006A23C4" w:rsidRDefault="0032530F" w:rsidP="00135736">
      <w:pPr>
        <w:spacing w:line="360" w:lineRule="auto"/>
        <w:rPr>
          <w:rFonts w:ascii="Book Antiqua" w:hAnsi="Book Antiqua" w:hint="eastAsia"/>
          <w:color w:val="000000"/>
          <w:kern w:val="0"/>
          <w:sz w:val="24"/>
          <w:szCs w:val="24"/>
        </w:rPr>
      </w:pPr>
    </w:p>
    <w:p w:rsidR="00557A3B" w:rsidRPr="006A23C4" w:rsidRDefault="0032530F" w:rsidP="00135736">
      <w:pPr>
        <w:spacing w:line="360" w:lineRule="auto"/>
        <w:rPr>
          <w:rFonts w:ascii="Book Antiqua" w:hAnsi="Book Antiqua" w:hint="eastAsia"/>
          <w:b/>
          <w:color w:val="000000"/>
          <w:sz w:val="24"/>
          <w:szCs w:val="24"/>
        </w:rPr>
      </w:pPr>
      <w:r w:rsidRPr="006A23C4">
        <w:rPr>
          <w:rFonts w:ascii="Book Antiqua" w:hAnsi="Book Antiqua"/>
          <w:b/>
          <w:color w:val="000000"/>
          <w:sz w:val="24"/>
          <w:szCs w:val="24"/>
        </w:rPr>
        <w:br w:type="page"/>
      </w:r>
      <w:r w:rsidR="00B13E10">
        <w:rPr>
          <w:rFonts w:ascii="Book Antiqua" w:hAnsi="Book Antiqua"/>
          <w:b/>
          <w:noProof/>
          <w:color w:val="000000"/>
          <w:sz w:val="24"/>
          <w:szCs w:val="24"/>
        </w:rPr>
        <w:drawing>
          <wp:inline distT="0" distB="0" distL="0" distR="0">
            <wp:extent cx="4276725" cy="327977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279775"/>
                    </a:xfrm>
                    <a:prstGeom prst="rect">
                      <a:avLst/>
                    </a:prstGeom>
                    <a:noFill/>
                    <a:ln>
                      <a:noFill/>
                    </a:ln>
                  </pic:spPr>
                </pic:pic>
              </a:graphicData>
            </a:graphic>
          </wp:inline>
        </w:drawing>
      </w:r>
    </w:p>
    <w:p w:rsidR="007E0261" w:rsidRPr="006A23C4" w:rsidRDefault="007E0261" w:rsidP="00135736">
      <w:pPr>
        <w:spacing w:line="360" w:lineRule="auto"/>
        <w:rPr>
          <w:rFonts w:ascii="Book Antiqua" w:hAnsi="Book Antiqua"/>
          <w:b/>
          <w:color w:val="000000"/>
          <w:kern w:val="0"/>
          <w:sz w:val="24"/>
          <w:szCs w:val="24"/>
        </w:rPr>
      </w:pPr>
      <w:r w:rsidRPr="006A23C4">
        <w:rPr>
          <w:rFonts w:ascii="Book Antiqua" w:hAnsi="Book Antiqua"/>
          <w:b/>
          <w:color w:val="000000"/>
          <w:kern w:val="0"/>
          <w:sz w:val="24"/>
          <w:szCs w:val="24"/>
        </w:rPr>
        <w:t xml:space="preserve">Figure 1 </w:t>
      </w:r>
      <w:r w:rsidR="009E3E12">
        <w:rPr>
          <w:rFonts w:ascii="Book Antiqua" w:hAnsi="Book Antiqua"/>
          <w:b/>
          <w:color w:val="000000"/>
          <w:kern w:val="0"/>
          <w:sz w:val="24"/>
          <w:szCs w:val="24"/>
        </w:rPr>
        <w:t>F</w:t>
      </w:r>
      <w:r w:rsidRPr="006A23C4">
        <w:rPr>
          <w:rFonts w:ascii="Book Antiqua" w:hAnsi="Book Antiqua"/>
          <w:b/>
          <w:color w:val="000000"/>
          <w:kern w:val="0"/>
          <w:sz w:val="24"/>
          <w:szCs w:val="24"/>
        </w:rPr>
        <w:t xml:space="preserve">low diagram of the participants. </w:t>
      </w:r>
    </w:p>
    <w:p w:rsidR="007E0261" w:rsidRPr="006A23C4" w:rsidRDefault="007E0261" w:rsidP="00135736">
      <w:pPr>
        <w:spacing w:line="360" w:lineRule="auto"/>
        <w:rPr>
          <w:rFonts w:ascii="Book Antiqua" w:hAnsi="Book Antiqua"/>
          <w:color w:val="000000"/>
          <w:kern w:val="0"/>
          <w:sz w:val="24"/>
          <w:szCs w:val="24"/>
        </w:rPr>
      </w:pPr>
    </w:p>
    <w:p w:rsidR="0032530F" w:rsidRPr="006A23C4" w:rsidRDefault="0032530F" w:rsidP="00135736">
      <w:pPr>
        <w:spacing w:line="360" w:lineRule="auto"/>
        <w:rPr>
          <w:rFonts w:ascii="Book Antiqua" w:hAnsi="Book Antiqua" w:hint="eastAsia"/>
          <w:color w:val="000000"/>
          <w:kern w:val="0"/>
          <w:sz w:val="24"/>
          <w:szCs w:val="24"/>
        </w:rPr>
      </w:pPr>
      <w:r w:rsidRPr="006A23C4">
        <w:rPr>
          <w:rFonts w:ascii="Book Antiqua" w:hAnsi="Book Antiqua"/>
          <w:color w:val="000000"/>
          <w:kern w:val="0"/>
          <w:sz w:val="24"/>
          <w:szCs w:val="24"/>
        </w:rPr>
        <w:br w:type="page"/>
      </w:r>
      <w:r w:rsidR="00B13E10">
        <w:rPr>
          <w:rFonts w:ascii="Book Antiqua" w:hAnsi="Book Antiqua"/>
          <w:noProof/>
          <w:color w:val="000000"/>
          <w:kern w:val="0"/>
          <w:sz w:val="24"/>
          <w:szCs w:val="24"/>
        </w:rPr>
        <w:drawing>
          <wp:inline distT="0" distB="0" distL="0" distR="0">
            <wp:extent cx="5274310" cy="15576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57655"/>
                    </a:xfrm>
                    <a:prstGeom prst="rect">
                      <a:avLst/>
                    </a:prstGeom>
                    <a:noFill/>
                    <a:ln>
                      <a:noFill/>
                    </a:ln>
                  </pic:spPr>
                </pic:pic>
              </a:graphicData>
            </a:graphic>
          </wp:inline>
        </w:drawing>
      </w:r>
    </w:p>
    <w:p w:rsidR="00996A35" w:rsidRPr="009B4932" w:rsidRDefault="007E0261" w:rsidP="00135736">
      <w:pPr>
        <w:spacing w:line="360" w:lineRule="auto"/>
        <w:rPr>
          <w:rFonts w:ascii="Book Antiqua" w:hAnsi="Book Antiqua"/>
          <w:color w:val="000000"/>
          <w:kern w:val="0"/>
          <w:sz w:val="24"/>
          <w:szCs w:val="24"/>
        </w:rPr>
      </w:pPr>
      <w:r w:rsidRPr="006A23C4">
        <w:rPr>
          <w:rFonts w:ascii="Book Antiqua" w:hAnsi="Book Antiqua"/>
          <w:b/>
          <w:color w:val="000000"/>
          <w:kern w:val="0"/>
          <w:sz w:val="24"/>
          <w:szCs w:val="24"/>
        </w:rPr>
        <w:t xml:space="preserve">Figure 2 </w:t>
      </w:r>
      <w:r w:rsidR="009E3E12">
        <w:rPr>
          <w:rFonts w:ascii="Book Antiqua" w:hAnsi="Book Antiqua"/>
          <w:b/>
          <w:color w:val="000000"/>
          <w:kern w:val="0"/>
          <w:sz w:val="24"/>
          <w:szCs w:val="24"/>
        </w:rPr>
        <w:t>D</w:t>
      </w:r>
      <w:r w:rsidRPr="006A23C4">
        <w:rPr>
          <w:rFonts w:ascii="Book Antiqua" w:hAnsi="Book Antiqua"/>
          <w:b/>
          <w:color w:val="000000"/>
          <w:kern w:val="0"/>
          <w:sz w:val="24"/>
          <w:szCs w:val="24"/>
        </w:rPr>
        <w:t>ifference in the Th17</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and Treg lymphocyte percentages</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 xml:space="preserve">and the Th17/Treg </w:t>
      </w:r>
      <w:r w:rsidR="003A685C">
        <w:rPr>
          <w:rFonts w:ascii="Book Antiqua" w:hAnsi="Book Antiqua"/>
          <w:b/>
          <w:color w:val="000000"/>
          <w:kern w:val="0"/>
          <w:sz w:val="24"/>
          <w:szCs w:val="24"/>
        </w:rPr>
        <w:t xml:space="preserve">cell </w:t>
      </w:r>
      <w:r w:rsidRPr="006A23C4">
        <w:rPr>
          <w:rFonts w:ascii="Book Antiqua" w:hAnsi="Book Antiqua"/>
          <w:b/>
          <w:color w:val="000000"/>
          <w:kern w:val="0"/>
          <w:sz w:val="24"/>
          <w:szCs w:val="24"/>
        </w:rPr>
        <w:t>ratios</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 xml:space="preserve">between the </w:t>
      </w:r>
      <w:r w:rsidR="009B4932" w:rsidRPr="009B4932">
        <w:rPr>
          <w:rFonts w:ascii="Book Antiqua" w:hAnsi="Book Antiqua"/>
          <w:b/>
          <w:color w:val="000000"/>
          <w:kern w:val="0"/>
          <w:sz w:val="24"/>
          <w:szCs w:val="24"/>
        </w:rPr>
        <w:t>early enteral nutrition</w:t>
      </w:r>
      <w:r w:rsidRPr="006A23C4">
        <w:rPr>
          <w:rFonts w:ascii="Book Antiqua" w:hAnsi="Book Antiqua"/>
          <w:b/>
          <w:color w:val="000000"/>
          <w:kern w:val="0"/>
          <w:sz w:val="24"/>
          <w:szCs w:val="24"/>
        </w:rPr>
        <w:t xml:space="preserve"> and </w:t>
      </w:r>
      <w:r w:rsidR="009B4932" w:rsidRPr="009B4932">
        <w:rPr>
          <w:rFonts w:ascii="Book Antiqua" w:hAnsi="Book Antiqua"/>
          <w:b/>
          <w:color w:val="000000"/>
          <w:kern w:val="0"/>
          <w:sz w:val="24"/>
          <w:szCs w:val="24"/>
        </w:rPr>
        <w:t>delayed enteral nutrition</w:t>
      </w:r>
      <w:r w:rsidRPr="006A23C4">
        <w:rPr>
          <w:rFonts w:ascii="Book Antiqua" w:hAnsi="Book Antiqua"/>
          <w:b/>
          <w:color w:val="000000"/>
          <w:kern w:val="0"/>
          <w:sz w:val="24"/>
          <w:szCs w:val="24"/>
        </w:rPr>
        <w:t xml:space="preserve"> groups.</w:t>
      </w:r>
      <w:r w:rsidRPr="006A23C4">
        <w:rPr>
          <w:rFonts w:ascii="Book Antiqua" w:hAnsi="Book Antiqua"/>
          <w:color w:val="000000"/>
          <w:kern w:val="0"/>
          <w:sz w:val="24"/>
          <w:szCs w:val="24"/>
        </w:rPr>
        <w:t xml:space="preserve"> </w:t>
      </w:r>
      <w:r w:rsidR="00996A35" w:rsidRPr="006A23C4">
        <w:rPr>
          <w:rFonts w:ascii="Book Antiqua" w:hAnsi="Book Antiqua"/>
          <w:color w:val="000000"/>
          <w:kern w:val="0"/>
          <w:sz w:val="24"/>
          <w:szCs w:val="24"/>
        </w:rPr>
        <w:t xml:space="preserve">A: Difference in the Th17 lymphocyte percentages between the </w:t>
      </w:r>
      <w:r w:rsidR="009B4932" w:rsidRPr="009B4932">
        <w:rPr>
          <w:rFonts w:ascii="Book Antiqua" w:hAnsi="Book Antiqua"/>
          <w:color w:val="000000"/>
          <w:kern w:val="0"/>
          <w:sz w:val="24"/>
          <w:szCs w:val="24"/>
        </w:rPr>
        <w:t xml:space="preserve">early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and </w:t>
      </w:r>
      <w:r w:rsidR="009B4932" w:rsidRPr="009B4932">
        <w:rPr>
          <w:rFonts w:ascii="Book Antiqua" w:hAnsi="Book Antiqua"/>
          <w:color w:val="000000"/>
          <w:kern w:val="0"/>
          <w:sz w:val="24"/>
          <w:szCs w:val="24"/>
        </w:rPr>
        <w:t xml:space="preserve">delayed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DEN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groups; B: Difference in the Treg lymphocyte percentages between the EEN and DEN groups; C: Differences in the Th17/Treg </w:t>
      </w:r>
      <w:r w:rsidR="003A685C">
        <w:rPr>
          <w:rFonts w:ascii="Book Antiqua" w:hAnsi="Book Antiqua"/>
          <w:color w:val="000000"/>
          <w:kern w:val="0"/>
          <w:sz w:val="24"/>
          <w:szCs w:val="24"/>
        </w:rPr>
        <w:t xml:space="preserve">cell </w:t>
      </w:r>
      <w:r w:rsidR="00996A35" w:rsidRPr="006A23C4">
        <w:rPr>
          <w:rFonts w:ascii="Book Antiqua" w:hAnsi="Book Antiqua"/>
          <w:color w:val="000000"/>
          <w:kern w:val="0"/>
          <w:sz w:val="24"/>
          <w:szCs w:val="24"/>
        </w:rPr>
        <w:t>ratios between the EEN and DEN groups.</w:t>
      </w:r>
      <w:r w:rsidR="009B4932" w:rsidRPr="006A23C4">
        <w:rPr>
          <w:rFonts w:ascii="Book Antiqua" w:hAnsi="Book Antiqua"/>
          <w:color w:val="000000"/>
          <w:kern w:val="0"/>
          <w:sz w:val="24"/>
          <w:szCs w:val="24"/>
        </w:rPr>
        <w:t xml:space="preserve"> </w:t>
      </w:r>
      <w:r w:rsidR="009B4932" w:rsidRPr="009B4932">
        <w:rPr>
          <w:rFonts w:ascii="Book Antiqua" w:hAnsi="Book Antiqua"/>
          <w:color w:val="000000"/>
          <w:kern w:val="0"/>
          <w:sz w:val="24"/>
          <w:szCs w:val="24"/>
          <w:vertAlign w:val="superscript"/>
        </w:rPr>
        <w:t>a</w:t>
      </w:r>
      <w:r w:rsidR="009B4932" w:rsidRPr="009B4932">
        <w:rPr>
          <w:rFonts w:ascii="Book Antiqua" w:hAnsi="Book Antiqua"/>
          <w:i/>
          <w:color w:val="000000"/>
          <w:kern w:val="0"/>
          <w:sz w:val="24"/>
          <w:szCs w:val="24"/>
        </w:rPr>
        <w:t>P</w:t>
      </w:r>
      <w:r w:rsidR="009B4932" w:rsidRPr="009B4932">
        <w:rPr>
          <w:rFonts w:ascii="Book Antiqua" w:hAnsi="Book Antiqua"/>
          <w:color w:val="000000"/>
          <w:kern w:val="0"/>
          <w:sz w:val="24"/>
          <w:szCs w:val="24"/>
        </w:rPr>
        <w:t xml:space="preserve"> &lt; 0.05.</w:t>
      </w:r>
      <w:r w:rsidR="009B4932">
        <w:rPr>
          <w:rFonts w:ascii="Book Antiqua" w:hAnsi="Book Antiqua" w:hint="eastAsia"/>
          <w:color w:val="000000"/>
          <w:kern w:val="0"/>
          <w:sz w:val="24"/>
          <w:szCs w:val="24"/>
        </w:rPr>
        <w:t xml:space="preserve"> </w:t>
      </w:r>
      <w:r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E</w:t>
      </w:r>
      <w:r w:rsidRPr="006A23C4">
        <w:rPr>
          <w:rFonts w:ascii="Book Antiqua" w:hAnsi="Book Antiqua"/>
          <w:color w:val="000000"/>
          <w:kern w:val="0"/>
          <w:sz w:val="24"/>
          <w:szCs w:val="24"/>
        </w:rPr>
        <w:t>arly enteral nutrition; DEN</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D</w:t>
      </w:r>
      <w:r w:rsidRPr="006A23C4">
        <w:rPr>
          <w:rFonts w:ascii="Book Antiqua" w:hAnsi="Book Antiqua"/>
          <w:color w:val="000000"/>
          <w:kern w:val="0"/>
          <w:sz w:val="24"/>
          <w:szCs w:val="24"/>
        </w:rPr>
        <w:t xml:space="preserve">elayed enteral nutrition. </w:t>
      </w:r>
    </w:p>
    <w:p w:rsidR="00996A35" w:rsidRPr="006A23C4" w:rsidRDefault="0032530F" w:rsidP="00135736">
      <w:pPr>
        <w:spacing w:line="360" w:lineRule="auto"/>
        <w:rPr>
          <w:rFonts w:ascii="Book Antiqua" w:hAnsi="Book Antiqua"/>
          <w:color w:val="000000"/>
          <w:kern w:val="0"/>
          <w:sz w:val="24"/>
          <w:szCs w:val="24"/>
          <w:lang w:val="x-none"/>
        </w:rPr>
      </w:pPr>
      <w:r w:rsidRPr="006A23C4">
        <w:rPr>
          <w:rFonts w:ascii="Book Antiqua" w:hAnsi="Book Antiqua"/>
          <w:color w:val="000000"/>
          <w:kern w:val="0"/>
          <w:sz w:val="24"/>
          <w:szCs w:val="24"/>
          <w:lang w:val="x-none"/>
        </w:rPr>
        <w:br w:type="page"/>
      </w:r>
      <w:r w:rsidR="00B13E10">
        <w:rPr>
          <w:rFonts w:ascii="Book Antiqua" w:hAnsi="Book Antiqua"/>
          <w:noProof/>
          <w:color w:val="000000"/>
          <w:kern w:val="0"/>
          <w:sz w:val="24"/>
          <w:szCs w:val="24"/>
        </w:rPr>
        <w:drawing>
          <wp:inline distT="0" distB="0" distL="0" distR="0">
            <wp:extent cx="5267960" cy="1463040"/>
            <wp:effectExtent l="0" t="0" r="889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60" cy="1463040"/>
                    </a:xfrm>
                    <a:prstGeom prst="rect">
                      <a:avLst/>
                    </a:prstGeom>
                    <a:noFill/>
                    <a:ln>
                      <a:noFill/>
                    </a:ln>
                  </pic:spPr>
                </pic:pic>
              </a:graphicData>
            </a:graphic>
          </wp:inline>
        </w:drawing>
      </w:r>
    </w:p>
    <w:p w:rsidR="009B4932" w:rsidRPr="009B4932" w:rsidRDefault="007E0261" w:rsidP="009B4932">
      <w:pPr>
        <w:spacing w:line="360" w:lineRule="auto"/>
        <w:rPr>
          <w:rFonts w:ascii="Book Antiqua" w:hAnsi="Book Antiqua"/>
          <w:color w:val="000000"/>
          <w:kern w:val="0"/>
          <w:sz w:val="24"/>
          <w:szCs w:val="24"/>
        </w:rPr>
      </w:pPr>
      <w:r w:rsidRPr="006A23C4">
        <w:rPr>
          <w:rFonts w:ascii="Book Antiqua" w:hAnsi="Book Antiqua"/>
          <w:b/>
          <w:color w:val="000000"/>
          <w:kern w:val="0"/>
          <w:sz w:val="24"/>
          <w:szCs w:val="24"/>
        </w:rPr>
        <w:t xml:space="preserve">Figure 3 </w:t>
      </w:r>
      <w:r w:rsidR="009E3E12">
        <w:rPr>
          <w:rFonts w:ascii="Book Antiqua" w:hAnsi="Book Antiqua"/>
          <w:b/>
          <w:color w:val="000000"/>
          <w:kern w:val="0"/>
          <w:sz w:val="24"/>
          <w:szCs w:val="24"/>
        </w:rPr>
        <w:t>D</w:t>
      </w:r>
      <w:r w:rsidRPr="006A23C4">
        <w:rPr>
          <w:rFonts w:ascii="Book Antiqua" w:hAnsi="Book Antiqua"/>
          <w:b/>
          <w:color w:val="000000"/>
          <w:kern w:val="0"/>
          <w:sz w:val="24"/>
          <w:szCs w:val="24"/>
        </w:rPr>
        <w:t>ifference in the serum IL-17</w:t>
      </w:r>
      <w:r w:rsidR="00996A35" w:rsidRPr="006A23C4">
        <w:rPr>
          <w:rFonts w:ascii="Book Antiqua" w:hAnsi="Book Antiqua"/>
          <w:b/>
          <w:color w:val="000000"/>
          <w:kern w:val="0"/>
          <w:sz w:val="24"/>
          <w:szCs w:val="24"/>
        </w:rPr>
        <w:t xml:space="preserve"> and </w:t>
      </w:r>
      <w:r w:rsidRPr="006A23C4">
        <w:rPr>
          <w:rFonts w:ascii="Book Antiqua" w:hAnsi="Book Antiqua"/>
          <w:b/>
          <w:color w:val="000000"/>
          <w:kern w:val="0"/>
          <w:sz w:val="24"/>
          <w:szCs w:val="24"/>
        </w:rPr>
        <w:t>IL-23 levels</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and the IL-23/IL-17 ratios</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 xml:space="preserve">between the </w:t>
      </w:r>
      <w:r w:rsidR="009B4932" w:rsidRPr="009B4932">
        <w:rPr>
          <w:rFonts w:ascii="Book Antiqua" w:hAnsi="Book Antiqua"/>
          <w:b/>
          <w:color w:val="000000"/>
          <w:kern w:val="0"/>
          <w:sz w:val="24"/>
          <w:szCs w:val="24"/>
        </w:rPr>
        <w:t xml:space="preserve">early enteral nutrition </w:t>
      </w:r>
      <w:r w:rsidRPr="006A23C4">
        <w:rPr>
          <w:rFonts w:ascii="Book Antiqua" w:hAnsi="Book Antiqua"/>
          <w:b/>
          <w:color w:val="000000"/>
          <w:kern w:val="0"/>
          <w:sz w:val="24"/>
          <w:szCs w:val="24"/>
        </w:rPr>
        <w:t xml:space="preserve">and </w:t>
      </w:r>
      <w:r w:rsidR="009B4932" w:rsidRPr="009B4932">
        <w:rPr>
          <w:rFonts w:ascii="Book Antiqua" w:hAnsi="Book Antiqua"/>
          <w:b/>
          <w:color w:val="000000"/>
          <w:kern w:val="0"/>
          <w:sz w:val="24"/>
          <w:szCs w:val="24"/>
        </w:rPr>
        <w:t>delayed enteral nutrition</w:t>
      </w:r>
      <w:r w:rsidRPr="006A23C4">
        <w:rPr>
          <w:rFonts w:ascii="Book Antiqua" w:hAnsi="Book Antiqua"/>
          <w:b/>
          <w:color w:val="000000"/>
          <w:kern w:val="0"/>
          <w:sz w:val="24"/>
          <w:szCs w:val="24"/>
        </w:rPr>
        <w:t xml:space="preserve"> groups.</w:t>
      </w:r>
      <w:r w:rsidRPr="006A23C4">
        <w:rPr>
          <w:rFonts w:ascii="Book Antiqua" w:hAnsi="Book Antiqua"/>
          <w:color w:val="000000"/>
          <w:kern w:val="0"/>
          <w:sz w:val="24"/>
          <w:szCs w:val="24"/>
        </w:rPr>
        <w:t xml:space="preserve"> </w:t>
      </w:r>
      <w:r w:rsidR="00996A35" w:rsidRPr="006A23C4">
        <w:rPr>
          <w:rFonts w:ascii="Book Antiqua" w:hAnsi="Book Antiqua"/>
          <w:color w:val="000000"/>
          <w:kern w:val="0"/>
          <w:sz w:val="24"/>
          <w:szCs w:val="24"/>
        </w:rPr>
        <w:t xml:space="preserve">A: Difference in the serum IL-17 levels between the </w:t>
      </w:r>
      <w:r w:rsidR="009B4932" w:rsidRPr="009B4932">
        <w:rPr>
          <w:rFonts w:ascii="Book Antiqua" w:hAnsi="Book Antiqua"/>
          <w:color w:val="000000"/>
          <w:kern w:val="0"/>
          <w:sz w:val="24"/>
          <w:szCs w:val="24"/>
        </w:rPr>
        <w:t xml:space="preserve">early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and </w:t>
      </w:r>
      <w:r w:rsidR="009B4932" w:rsidRPr="009B4932">
        <w:rPr>
          <w:rFonts w:ascii="Book Antiqua" w:hAnsi="Book Antiqua"/>
          <w:color w:val="000000"/>
          <w:kern w:val="0"/>
          <w:sz w:val="24"/>
          <w:szCs w:val="24"/>
        </w:rPr>
        <w:t xml:space="preserve">delayed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DEN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groups; B: Difference in the serum IL-23 levels between the EEN and DEN groups; C: Difference in the IL-23/IL-17 ratios between the EEN and DEN groups. </w:t>
      </w:r>
      <w:r w:rsidR="009B4932" w:rsidRPr="009B4932">
        <w:rPr>
          <w:rFonts w:ascii="Book Antiqua" w:hAnsi="Book Antiqua"/>
          <w:color w:val="000000"/>
          <w:kern w:val="0"/>
          <w:sz w:val="24"/>
          <w:szCs w:val="24"/>
          <w:vertAlign w:val="superscript"/>
        </w:rPr>
        <w:t>a</w:t>
      </w:r>
      <w:r w:rsidR="009B4932" w:rsidRPr="009B4932">
        <w:rPr>
          <w:rFonts w:ascii="Book Antiqua" w:hAnsi="Book Antiqua"/>
          <w:i/>
          <w:color w:val="000000"/>
          <w:kern w:val="0"/>
          <w:sz w:val="24"/>
          <w:szCs w:val="24"/>
        </w:rPr>
        <w:t>P</w:t>
      </w:r>
      <w:r w:rsidR="009B4932" w:rsidRPr="009B4932">
        <w:rPr>
          <w:rFonts w:ascii="Book Antiqua" w:hAnsi="Book Antiqua"/>
          <w:color w:val="000000"/>
          <w:kern w:val="0"/>
          <w:sz w:val="24"/>
          <w:szCs w:val="24"/>
        </w:rPr>
        <w:t xml:space="preserve"> &lt; 0.05.</w:t>
      </w:r>
      <w:r w:rsidR="009B4932">
        <w:rPr>
          <w:rFonts w:ascii="Book Antiqua" w:hAnsi="Book Antiqua" w:hint="eastAsia"/>
          <w:color w:val="000000"/>
          <w:kern w:val="0"/>
          <w:sz w:val="24"/>
          <w:szCs w:val="24"/>
        </w:rPr>
        <w:t xml:space="preserve"> </w:t>
      </w:r>
      <w:r w:rsidR="009B4932" w:rsidRPr="009B4932">
        <w:rPr>
          <w:rFonts w:ascii="Book Antiqua" w:hAnsi="Book Antiqua"/>
          <w:color w:val="000000"/>
          <w:kern w:val="0"/>
          <w:sz w:val="24"/>
          <w:szCs w:val="24"/>
        </w:rPr>
        <w:t xml:space="preserve">EEN: Early enteral nutrition; DEN: Delayed enteral nutrition. </w:t>
      </w:r>
    </w:p>
    <w:p w:rsidR="00996A35" w:rsidRPr="006A23C4" w:rsidRDefault="0032530F"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br w:type="page"/>
      </w:r>
      <w:r w:rsidR="00B13E10">
        <w:rPr>
          <w:rFonts w:ascii="Book Antiqua" w:hAnsi="Book Antiqua"/>
          <w:noProof/>
          <w:color w:val="000000"/>
          <w:kern w:val="0"/>
          <w:sz w:val="24"/>
          <w:szCs w:val="24"/>
        </w:rPr>
        <w:drawing>
          <wp:inline distT="0" distB="0" distL="0" distR="0">
            <wp:extent cx="4525010" cy="1710690"/>
            <wp:effectExtent l="0" t="0" r="889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5010" cy="1710690"/>
                    </a:xfrm>
                    <a:prstGeom prst="rect">
                      <a:avLst/>
                    </a:prstGeom>
                    <a:noFill/>
                    <a:ln>
                      <a:noFill/>
                    </a:ln>
                  </pic:spPr>
                </pic:pic>
              </a:graphicData>
            </a:graphic>
          </wp:inline>
        </w:drawing>
      </w:r>
    </w:p>
    <w:p w:rsidR="009B4932" w:rsidRPr="009B4932" w:rsidRDefault="007E0261" w:rsidP="009B4932">
      <w:pPr>
        <w:spacing w:line="360" w:lineRule="auto"/>
        <w:rPr>
          <w:rFonts w:ascii="Book Antiqua" w:hAnsi="Book Antiqua"/>
          <w:color w:val="000000"/>
          <w:kern w:val="0"/>
          <w:sz w:val="24"/>
          <w:szCs w:val="24"/>
        </w:rPr>
      </w:pPr>
      <w:r w:rsidRPr="006A23C4">
        <w:rPr>
          <w:rFonts w:ascii="Book Antiqua" w:hAnsi="Book Antiqua"/>
          <w:b/>
          <w:color w:val="000000"/>
          <w:kern w:val="0"/>
          <w:sz w:val="24"/>
          <w:szCs w:val="24"/>
        </w:rPr>
        <w:t xml:space="preserve">Figure 4 </w:t>
      </w:r>
      <w:r w:rsidR="009E3E12">
        <w:rPr>
          <w:rFonts w:ascii="Book Antiqua" w:hAnsi="Book Antiqua"/>
          <w:b/>
          <w:color w:val="000000"/>
          <w:kern w:val="0"/>
          <w:sz w:val="24"/>
          <w:szCs w:val="24"/>
        </w:rPr>
        <w:t>D</w:t>
      </w:r>
      <w:r w:rsidRPr="006A23C4">
        <w:rPr>
          <w:rFonts w:ascii="Book Antiqua" w:hAnsi="Book Antiqua"/>
          <w:b/>
          <w:color w:val="000000"/>
          <w:kern w:val="0"/>
          <w:sz w:val="24"/>
          <w:szCs w:val="24"/>
        </w:rPr>
        <w:t xml:space="preserve">ifference in </w:t>
      </w:r>
      <w:r w:rsidR="00996A35" w:rsidRPr="006A23C4">
        <w:rPr>
          <w:rFonts w:ascii="Book Antiqua" w:hAnsi="Book Antiqua"/>
          <w:b/>
          <w:color w:val="000000"/>
          <w:kern w:val="0"/>
          <w:sz w:val="24"/>
          <w:szCs w:val="24"/>
        </w:rPr>
        <w:t xml:space="preserve">the </w:t>
      </w:r>
      <w:r w:rsidRPr="006A23C4">
        <w:rPr>
          <w:rFonts w:ascii="Book Antiqua" w:hAnsi="Book Antiqua"/>
          <w:b/>
          <w:color w:val="000000"/>
          <w:kern w:val="0"/>
          <w:sz w:val="24"/>
          <w:szCs w:val="24"/>
        </w:rPr>
        <w:t>serum IL-6</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and IL-10 levels</w:t>
      </w:r>
      <w:r w:rsidR="00996A35"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 xml:space="preserve">between the </w:t>
      </w:r>
      <w:r w:rsidR="009B4932" w:rsidRPr="009B4932">
        <w:rPr>
          <w:rFonts w:ascii="Book Antiqua" w:hAnsi="Book Antiqua"/>
          <w:b/>
          <w:color w:val="000000"/>
          <w:kern w:val="0"/>
          <w:sz w:val="24"/>
          <w:szCs w:val="24"/>
        </w:rPr>
        <w:t>early enteral nutrition</w:t>
      </w:r>
      <w:r w:rsidRPr="006A23C4">
        <w:rPr>
          <w:rFonts w:ascii="Book Antiqua" w:hAnsi="Book Antiqua"/>
          <w:b/>
          <w:color w:val="000000"/>
          <w:kern w:val="0"/>
          <w:sz w:val="24"/>
          <w:szCs w:val="24"/>
        </w:rPr>
        <w:t xml:space="preserve"> and </w:t>
      </w:r>
      <w:r w:rsidR="009B4932" w:rsidRPr="009B4932">
        <w:rPr>
          <w:rFonts w:ascii="Book Antiqua" w:hAnsi="Book Antiqua"/>
          <w:b/>
          <w:color w:val="000000"/>
          <w:kern w:val="0"/>
          <w:sz w:val="24"/>
          <w:szCs w:val="24"/>
        </w:rPr>
        <w:t>delayed enteral nutrition</w:t>
      </w:r>
      <w:r w:rsidRPr="006A23C4">
        <w:rPr>
          <w:rFonts w:ascii="Book Antiqua" w:hAnsi="Book Antiqua"/>
          <w:b/>
          <w:color w:val="000000"/>
          <w:kern w:val="0"/>
          <w:sz w:val="24"/>
          <w:szCs w:val="24"/>
        </w:rPr>
        <w:t xml:space="preserve"> groups.</w:t>
      </w:r>
      <w:r w:rsidRPr="006A23C4">
        <w:rPr>
          <w:rFonts w:ascii="Book Antiqua" w:hAnsi="Book Antiqua"/>
          <w:color w:val="000000"/>
          <w:kern w:val="0"/>
          <w:sz w:val="24"/>
          <w:szCs w:val="24"/>
        </w:rPr>
        <w:t xml:space="preserve"> </w:t>
      </w:r>
      <w:r w:rsidR="00996A35" w:rsidRPr="006A23C4">
        <w:rPr>
          <w:rFonts w:ascii="Book Antiqua" w:hAnsi="Book Antiqua"/>
          <w:color w:val="000000"/>
          <w:kern w:val="0"/>
          <w:sz w:val="24"/>
          <w:szCs w:val="24"/>
        </w:rPr>
        <w:t xml:space="preserve">A: Difference in the serum IL-6 levels between the </w:t>
      </w:r>
      <w:r w:rsidR="009B4932" w:rsidRPr="009B4932">
        <w:rPr>
          <w:rFonts w:ascii="Book Antiqua" w:hAnsi="Book Antiqua"/>
          <w:color w:val="000000"/>
          <w:kern w:val="0"/>
          <w:sz w:val="24"/>
          <w:szCs w:val="24"/>
        </w:rPr>
        <w:t xml:space="preserve">early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and </w:t>
      </w:r>
      <w:r w:rsidR="009B4932" w:rsidRPr="009B4932">
        <w:rPr>
          <w:rFonts w:ascii="Book Antiqua" w:hAnsi="Book Antiqua"/>
          <w:color w:val="000000"/>
          <w:kern w:val="0"/>
          <w:sz w:val="24"/>
          <w:szCs w:val="24"/>
        </w:rPr>
        <w:t xml:space="preserve">delayed enteral nutrition </w:t>
      </w:r>
      <w:r w:rsidR="009B4932">
        <w:rPr>
          <w:rFonts w:ascii="Book Antiqua" w:hAnsi="Book Antiqua"/>
          <w:color w:val="000000"/>
          <w:kern w:val="0"/>
          <w:sz w:val="24"/>
          <w:szCs w:val="24"/>
        </w:rPr>
        <w:t>(</w:t>
      </w:r>
      <w:r w:rsidR="00996A35" w:rsidRPr="006A23C4">
        <w:rPr>
          <w:rFonts w:ascii="Book Antiqua" w:hAnsi="Book Antiqua"/>
          <w:color w:val="000000"/>
          <w:kern w:val="0"/>
          <w:sz w:val="24"/>
          <w:szCs w:val="24"/>
        </w:rPr>
        <w:t>DEN</w:t>
      </w:r>
      <w:r w:rsidR="009B4932" w:rsidRPr="006A23C4">
        <w:rPr>
          <w:rFonts w:ascii="Book Antiqua" w:hAnsi="Book Antiqua"/>
          <w:color w:val="000000"/>
          <w:kern w:val="0"/>
          <w:sz w:val="24"/>
          <w:szCs w:val="24"/>
        </w:rPr>
        <w:t>)</w:t>
      </w:r>
      <w:r w:rsidR="00996A35" w:rsidRPr="006A23C4">
        <w:rPr>
          <w:rFonts w:ascii="Book Antiqua" w:hAnsi="Book Antiqua"/>
          <w:color w:val="000000"/>
          <w:kern w:val="0"/>
          <w:sz w:val="24"/>
          <w:szCs w:val="24"/>
        </w:rPr>
        <w:t xml:space="preserve"> groups; B: Difference in the serum IL-10 levels between the EEN and DEN groups. </w:t>
      </w:r>
      <w:r w:rsidR="009B4932" w:rsidRPr="009B4932">
        <w:rPr>
          <w:rFonts w:ascii="Book Antiqua" w:hAnsi="Book Antiqua"/>
          <w:color w:val="000000"/>
          <w:kern w:val="0"/>
          <w:sz w:val="24"/>
          <w:szCs w:val="24"/>
          <w:vertAlign w:val="superscript"/>
        </w:rPr>
        <w:t>a</w:t>
      </w:r>
      <w:r w:rsidR="009B4932" w:rsidRPr="009B4932">
        <w:rPr>
          <w:rFonts w:ascii="Book Antiqua" w:hAnsi="Book Antiqua"/>
          <w:i/>
          <w:color w:val="000000"/>
          <w:kern w:val="0"/>
          <w:sz w:val="24"/>
          <w:szCs w:val="24"/>
        </w:rPr>
        <w:t>P</w:t>
      </w:r>
      <w:r w:rsidR="009B4932" w:rsidRPr="009B4932">
        <w:rPr>
          <w:rFonts w:ascii="Book Antiqua" w:hAnsi="Book Antiqua"/>
          <w:color w:val="000000"/>
          <w:kern w:val="0"/>
          <w:sz w:val="24"/>
          <w:szCs w:val="24"/>
        </w:rPr>
        <w:t xml:space="preserve"> &lt; 0.05.</w:t>
      </w:r>
      <w:r w:rsidR="009B4932">
        <w:rPr>
          <w:rFonts w:ascii="Book Antiqua" w:hAnsi="Book Antiqua" w:hint="eastAsia"/>
          <w:color w:val="000000"/>
          <w:kern w:val="0"/>
          <w:sz w:val="24"/>
          <w:szCs w:val="24"/>
        </w:rPr>
        <w:t xml:space="preserve"> </w:t>
      </w:r>
      <w:r w:rsidR="009B4932" w:rsidRPr="009B4932">
        <w:rPr>
          <w:rFonts w:ascii="Book Antiqua" w:hAnsi="Book Antiqua"/>
          <w:color w:val="000000"/>
          <w:kern w:val="0"/>
          <w:sz w:val="24"/>
          <w:szCs w:val="24"/>
        </w:rPr>
        <w:t xml:space="preserve">EEN: Early enteral nutrition; DEN: Delayed enteral nutrition. </w:t>
      </w:r>
    </w:p>
    <w:p w:rsidR="00996A35" w:rsidRPr="006A23C4" w:rsidRDefault="0032530F" w:rsidP="00135736">
      <w:pPr>
        <w:spacing w:line="360" w:lineRule="auto"/>
        <w:rPr>
          <w:rFonts w:ascii="Book Antiqua" w:hAnsi="Book Antiqua"/>
          <w:color w:val="000000"/>
          <w:kern w:val="0"/>
          <w:sz w:val="24"/>
          <w:szCs w:val="24"/>
        </w:rPr>
      </w:pPr>
      <w:r w:rsidRPr="006A23C4">
        <w:rPr>
          <w:rFonts w:ascii="Book Antiqua" w:hAnsi="Book Antiqua"/>
          <w:color w:val="000000"/>
          <w:kern w:val="0"/>
          <w:sz w:val="24"/>
          <w:szCs w:val="24"/>
        </w:rPr>
        <w:br w:type="page"/>
      </w:r>
      <w:r w:rsidR="00B13E10">
        <w:rPr>
          <w:rFonts w:ascii="Book Antiqua" w:hAnsi="Book Antiqua"/>
          <w:noProof/>
          <w:color w:val="000000"/>
          <w:kern w:val="0"/>
          <w:sz w:val="24"/>
          <w:szCs w:val="24"/>
        </w:rPr>
        <w:drawing>
          <wp:inline distT="0" distB="0" distL="0" distR="0">
            <wp:extent cx="4141470" cy="40290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1470" cy="4029075"/>
                    </a:xfrm>
                    <a:prstGeom prst="rect">
                      <a:avLst/>
                    </a:prstGeom>
                    <a:noFill/>
                    <a:ln>
                      <a:noFill/>
                    </a:ln>
                  </pic:spPr>
                </pic:pic>
              </a:graphicData>
            </a:graphic>
          </wp:inline>
        </w:drawing>
      </w:r>
    </w:p>
    <w:p w:rsidR="00557A3B" w:rsidRPr="009B4932" w:rsidRDefault="007E0261" w:rsidP="00135736">
      <w:pPr>
        <w:spacing w:line="360" w:lineRule="auto"/>
        <w:rPr>
          <w:rFonts w:ascii="Book Antiqua" w:hAnsi="Book Antiqua" w:hint="eastAsia"/>
          <w:color w:val="000000"/>
          <w:kern w:val="0"/>
          <w:sz w:val="24"/>
          <w:szCs w:val="24"/>
        </w:rPr>
      </w:pPr>
      <w:r w:rsidRPr="006A23C4">
        <w:rPr>
          <w:rFonts w:ascii="Book Antiqua" w:hAnsi="Book Antiqua"/>
          <w:b/>
          <w:color w:val="000000"/>
          <w:kern w:val="0"/>
          <w:sz w:val="24"/>
          <w:szCs w:val="24"/>
        </w:rPr>
        <w:t xml:space="preserve">Figure 5 </w:t>
      </w:r>
      <w:r w:rsidR="009E3E12">
        <w:rPr>
          <w:rFonts w:ascii="Book Antiqua" w:hAnsi="Book Antiqua"/>
          <w:b/>
          <w:color w:val="000000"/>
          <w:kern w:val="0"/>
          <w:sz w:val="24"/>
          <w:szCs w:val="24"/>
        </w:rPr>
        <w:t>S</w:t>
      </w:r>
      <w:r w:rsidRPr="006A23C4">
        <w:rPr>
          <w:rFonts w:ascii="Book Antiqua" w:hAnsi="Book Antiqua"/>
          <w:b/>
          <w:color w:val="000000"/>
          <w:kern w:val="0"/>
          <w:sz w:val="24"/>
          <w:szCs w:val="24"/>
        </w:rPr>
        <w:t xml:space="preserve">urvival curves </w:t>
      </w:r>
      <w:r w:rsidR="009E3E12">
        <w:rPr>
          <w:rFonts w:ascii="Book Antiqua" w:hAnsi="Book Antiqua"/>
          <w:b/>
          <w:color w:val="000000"/>
          <w:kern w:val="0"/>
          <w:sz w:val="24"/>
          <w:szCs w:val="24"/>
        </w:rPr>
        <w:t>for up to</w:t>
      </w:r>
      <w:r w:rsidR="009E3E12" w:rsidRPr="006A23C4">
        <w:rPr>
          <w:rFonts w:ascii="Book Antiqua" w:hAnsi="Book Antiqua"/>
          <w:b/>
          <w:color w:val="000000"/>
          <w:kern w:val="0"/>
          <w:sz w:val="24"/>
          <w:szCs w:val="24"/>
        </w:rPr>
        <w:t xml:space="preserve"> </w:t>
      </w:r>
      <w:r w:rsidRPr="006A23C4">
        <w:rPr>
          <w:rFonts w:ascii="Book Antiqua" w:hAnsi="Book Antiqua"/>
          <w:b/>
          <w:color w:val="000000"/>
          <w:kern w:val="0"/>
          <w:sz w:val="24"/>
          <w:szCs w:val="24"/>
        </w:rPr>
        <w:t xml:space="preserve">28 days after admission between the </w:t>
      </w:r>
      <w:r w:rsidR="009B4932" w:rsidRPr="009B4932">
        <w:rPr>
          <w:rFonts w:ascii="Book Antiqua" w:hAnsi="Book Antiqua"/>
          <w:b/>
          <w:color w:val="000000"/>
          <w:kern w:val="0"/>
          <w:sz w:val="24"/>
          <w:szCs w:val="24"/>
        </w:rPr>
        <w:t>early enteral nutrition and delayed enteral nutrition groups</w:t>
      </w:r>
      <w:r w:rsidRPr="006A23C4">
        <w:rPr>
          <w:rFonts w:ascii="Book Antiqua" w:hAnsi="Book Antiqua"/>
          <w:b/>
          <w:color w:val="000000"/>
          <w:kern w:val="0"/>
          <w:sz w:val="24"/>
          <w:szCs w:val="24"/>
        </w:rPr>
        <w:t xml:space="preserve"> (</w:t>
      </w:r>
      <w:r w:rsidRPr="006A23C4">
        <w:rPr>
          <w:rFonts w:ascii="Book Antiqua" w:hAnsi="Book Antiqua"/>
          <w:b/>
          <w:i/>
          <w:color w:val="000000"/>
          <w:kern w:val="0"/>
          <w:sz w:val="24"/>
          <w:szCs w:val="24"/>
        </w:rPr>
        <w:t>P</w:t>
      </w:r>
      <w:r w:rsidRPr="006A23C4">
        <w:rPr>
          <w:rFonts w:ascii="Book Antiqua" w:hAnsi="Book Antiqua"/>
          <w:b/>
          <w:color w:val="000000"/>
          <w:kern w:val="0"/>
          <w:sz w:val="24"/>
          <w:szCs w:val="24"/>
        </w:rPr>
        <w:t xml:space="preserve"> = 0.728).</w:t>
      </w:r>
      <w:r w:rsidRPr="006A23C4">
        <w:rPr>
          <w:rFonts w:ascii="Book Antiqua" w:hAnsi="Book Antiqua"/>
          <w:color w:val="000000"/>
          <w:kern w:val="0"/>
          <w:sz w:val="24"/>
          <w:szCs w:val="24"/>
        </w:rPr>
        <w:t xml:space="preserve"> </w:t>
      </w:r>
      <w:r w:rsidR="009B4932" w:rsidRPr="009B4932">
        <w:rPr>
          <w:rFonts w:ascii="Book Antiqua" w:hAnsi="Book Antiqua"/>
          <w:color w:val="000000"/>
          <w:kern w:val="0"/>
          <w:sz w:val="24"/>
          <w:szCs w:val="24"/>
        </w:rPr>
        <w:t xml:space="preserve">EEN: Early enteral nutrition; DEN: Delayed enteral nutrition. </w:t>
      </w:r>
    </w:p>
    <w:p w:rsidR="007E0261" w:rsidRPr="006A23C4" w:rsidRDefault="0032530F" w:rsidP="009B4932">
      <w:pPr>
        <w:spacing w:line="360" w:lineRule="auto"/>
        <w:rPr>
          <w:rFonts w:ascii="Book Antiqua" w:hAnsi="Book Antiqua"/>
          <w:b/>
          <w:color w:val="000000"/>
          <w:kern w:val="0"/>
          <w:sz w:val="24"/>
          <w:szCs w:val="24"/>
        </w:rPr>
      </w:pPr>
      <w:r w:rsidRPr="006A23C4">
        <w:rPr>
          <w:rFonts w:ascii="Book Antiqua" w:hAnsi="Book Antiqua"/>
          <w:b/>
          <w:color w:val="000000"/>
          <w:sz w:val="24"/>
          <w:szCs w:val="24"/>
        </w:rPr>
        <w:br w:type="page"/>
      </w:r>
      <w:r w:rsidR="007E0261" w:rsidRPr="006A23C4">
        <w:rPr>
          <w:rFonts w:ascii="Book Antiqua" w:hAnsi="Book Antiqua"/>
          <w:b/>
          <w:color w:val="000000"/>
          <w:kern w:val="0"/>
          <w:sz w:val="24"/>
          <w:szCs w:val="24"/>
        </w:rPr>
        <w:t>Table 1 Demographic data and clinical parameters</w:t>
      </w:r>
      <w:r w:rsidR="007E0261" w:rsidRPr="006A23C4">
        <w:rPr>
          <w:rFonts w:ascii="Book Antiqua" w:hAnsi="Book Antiqua"/>
          <w:b/>
          <w:bCs/>
          <w:color w:val="000000"/>
          <w:kern w:val="0"/>
          <w:sz w:val="24"/>
          <w:szCs w:val="24"/>
        </w:rPr>
        <w:t xml:space="preserve"> on admission</w:t>
      </w:r>
    </w:p>
    <w:tbl>
      <w:tblPr>
        <w:tblW w:w="0" w:type="auto"/>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802"/>
        <w:gridCol w:w="2126"/>
        <w:gridCol w:w="2126"/>
        <w:gridCol w:w="1418"/>
      </w:tblGrid>
      <w:tr w:rsidR="007E0261" w:rsidRPr="006A23C4" w:rsidTr="00C40EB0">
        <w:tc>
          <w:tcPr>
            <w:tcW w:w="2802" w:type="dxa"/>
            <w:tcBorders>
              <w:top w:val="single" w:sz="8" w:space="0" w:color="000000"/>
              <w:left w:val="nil"/>
              <w:bottom w:val="single" w:sz="8" w:space="0" w:color="000000"/>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2126" w:type="dxa"/>
            <w:tcBorders>
              <w:top w:val="single" w:sz="8" w:space="0" w:color="000000"/>
              <w:left w:val="nil"/>
              <w:bottom w:val="single" w:sz="8" w:space="0" w:color="000000"/>
              <w:right w:val="nil"/>
            </w:tcBorders>
            <w:shd w:val="clear" w:color="auto" w:fill="FFFFFF"/>
          </w:tcPr>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 xml:space="preserve">EEN </w:t>
            </w:r>
            <w:r w:rsidR="009B4932" w:rsidRPr="00B6334E">
              <w:rPr>
                <w:rFonts w:ascii="Book Antiqua" w:hAnsi="Book Antiqua"/>
                <w:b/>
                <w:bCs/>
                <w:color w:val="000000"/>
                <w:kern w:val="0"/>
                <w:sz w:val="24"/>
                <w:szCs w:val="24"/>
              </w:rPr>
              <w:t>g</w:t>
            </w:r>
            <w:r w:rsidRPr="00B6334E">
              <w:rPr>
                <w:rFonts w:ascii="Book Antiqua" w:hAnsi="Book Antiqua"/>
                <w:b/>
                <w:bCs/>
                <w:color w:val="000000"/>
                <w:kern w:val="0"/>
                <w:sz w:val="24"/>
                <w:szCs w:val="24"/>
              </w:rPr>
              <w:t>roup</w:t>
            </w:r>
          </w:p>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w:t>
            </w:r>
            <w:r w:rsidRPr="00B6334E">
              <w:rPr>
                <w:rFonts w:ascii="Book Antiqua" w:hAnsi="Book Antiqua"/>
                <w:b/>
                <w:bCs/>
                <w:i/>
                <w:color w:val="000000"/>
                <w:kern w:val="0"/>
                <w:sz w:val="24"/>
                <w:szCs w:val="24"/>
              </w:rPr>
              <w:t>n</w:t>
            </w:r>
            <w:r w:rsidR="009B4932" w:rsidRPr="00B6334E">
              <w:rPr>
                <w:rFonts w:ascii="Book Antiqua" w:hAnsi="Book Antiqua"/>
                <w:b/>
                <w:bCs/>
                <w:i/>
                <w:color w:val="000000"/>
                <w:kern w:val="0"/>
                <w:sz w:val="24"/>
                <w:szCs w:val="24"/>
              </w:rPr>
              <w:t xml:space="preserve"> </w:t>
            </w:r>
            <w:r w:rsidRPr="00B6334E">
              <w:rPr>
                <w:rFonts w:ascii="Book Antiqua" w:hAnsi="Book Antiqua"/>
                <w:b/>
                <w:bCs/>
                <w:color w:val="000000"/>
                <w:kern w:val="0"/>
                <w:sz w:val="24"/>
                <w:szCs w:val="24"/>
              </w:rPr>
              <w:t>=</w:t>
            </w:r>
            <w:r w:rsidR="009B4932" w:rsidRPr="00B6334E">
              <w:rPr>
                <w:rFonts w:ascii="Book Antiqua" w:hAnsi="Book Antiqua"/>
                <w:b/>
                <w:bCs/>
                <w:color w:val="000000"/>
                <w:kern w:val="0"/>
                <w:sz w:val="24"/>
                <w:szCs w:val="24"/>
              </w:rPr>
              <w:t xml:space="preserve"> </w:t>
            </w:r>
            <w:r w:rsidRPr="00B6334E">
              <w:rPr>
                <w:rFonts w:ascii="Book Antiqua" w:hAnsi="Book Antiqua"/>
                <w:b/>
                <w:bCs/>
                <w:color w:val="000000"/>
                <w:kern w:val="0"/>
                <w:sz w:val="24"/>
                <w:szCs w:val="24"/>
              </w:rPr>
              <w:t>26)</w:t>
            </w:r>
          </w:p>
        </w:tc>
        <w:tc>
          <w:tcPr>
            <w:tcW w:w="2126" w:type="dxa"/>
            <w:tcBorders>
              <w:top w:val="single" w:sz="8" w:space="0" w:color="000000"/>
              <w:left w:val="nil"/>
              <w:bottom w:val="single" w:sz="8" w:space="0" w:color="000000"/>
              <w:right w:val="nil"/>
            </w:tcBorders>
            <w:shd w:val="clear" w:color="auto" w:fill="FFFFFF"/>
          </w:tcPr>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 xml:space="preserve">DEN </w:t>
            </w:r>
            <w:r w:rsidR="009B4932" w:rsidRPr="00B6334E">
              <w:rPr>
                <w:rFonts w:ascii="Book Antiqua" w:hAnsi="Book Antiqua"/>
                <w:b/>
                <w:bCs/>
                <w:color w:val="000000"/>
                <w:kern w:val="0"/>
                <w:sz w:val="24"/>
                <w:szCs w:val="24"/>
              </w:rPr>
              <w:t>g</w:t>
            </w:r>
            <w:r w:rsidRPr="00B6334E">
              <w:rPr>
                <w:rFonts w:ascii="Book Antiqua" w:hAnsi="Book Antiqua"/>
                <w:b/>
                <w:bCs/>
                <w:color w:val="000000"/>
                <w:kern w:val="0"/>
                <w:sz w:val="24"/>
                <w:szCs w:val="24"/>
              </w:rPr>
              <w:t>roup</w:t>
            </w:r>
          </w:p>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w:t>
            </w:r>
            <w:r w:rsidRPr="00B6334E">
              <w:rPr>
                <w:rFonts w:ascii="Book Antiqua" w:hAnsi="Book Antiqua"/>
                <w:b/>
                <w:bCs/>
                <w:i/>
                <w:color w:val="000000"/>
                <w:kern w:val="0"/>
                <w:sz w:val="24"/>
                <w:szCs w:val="24"/>
              </w:rPr>
              <w:t>n</w:t>
            </w:r>
            <w:r w:rsidR="009B4932" w:rsidRPr="00B6334E">
              <w:rPr>
                <w:rFonts w:ascii="Book Antiqua" w:hAnsi="Book Antiqua"/>
                <w:b/>
                <w:bCs/>
                <w:i/>
                <w:color w:val="000000"/>
                <w:kern w:val="0"/>
                <w:sz w:val="24"/>
                <w:szCs w:val="24"/>
              </w:rPr>
              <w:t xml:space="preserve"> </w:t>
            </w:r>
            <w:r w:rsidRPr="00B6334E">
              <w:rPr>
                <w:rFonts w:ascii="Book Antiqua" w:hAnsi="Book Antiqua"/>
                <w:b/>
                <w:bCs/>
                <w:color w:val="000000"/>
                <w:kern w:val="0"/>
                <w:sz w:val="24"/>
                <w:szCs w:val="24"/>
              </w:rPr>
              <w:t>=</w:t>
            </w:r>
            <w:r w:rsidR="009B4932" w:rsidRPr="00B6334E">
              <w:rPr>
                <w:rFonts w:ascii="Book Antiqua" w:hAnsi="Book Antiqua"/>
                <w:b/>
                <w:bCs/>
                <w:color w:val="000000"/>
                <w:kern w:val="0"/>
                <w:sz w:val="24"/>
                <w:szCs w:val="24"/>
              </w:rPr>
              <w:t xml:space="preserve"> </w:t>
            </w:r>
            <w:r w:rsidRPr="00B6334E">
              <w:rPr>
                <w:rFonts w:ascii="Book Antiqua" w:hAnsi="Book Antiqua"/>
                <w:b/>
                <w:bCs/>
                <w:color w:val="000000"/>
                <w:kern w:val="0"/>
                <w:sz w:val="24"/>
                <w:szCs w:val="24"/>
              </w:rPr>
              <w:t>27)</w:t>
            </w:r>
          </w:p>
        </w:tc>
        <w:tc>
          <w:tcPr>
            <w:tcW w:w="1418" w:type="dxa"/>
            <w:tcBorders>
              <w:top w:val="single" w:sz="8" w:space="0" w:color="000000"/>
              <w:left w:val="nil"/>
              <w:bottom w:val="single" w:sz="8" w:space="0" w:color="000000"/>
              <w:right w:val="nil"/>
            </w:tcBorders>
            <w:shd w:val="clear" w:color="auto" w:fill="FFFFFF"/>
          </w:tcPr>
          <w:p w:rsidR="007E0261" w:rsidRPr="00B6334E" w:rsidRDefault="009E3E12" w:rsidP="009E3E12">
            <w:pPr>
              <w:autoSpaceDE w:val="0"/>
              <w:autoSpaceDN w:val="0"/>
              <w:adjustRightInd w:val="0"/>
              <w:spacing w:line="360" w:lineRule="auto"/>
              <w:rPr>
                <w:rFonts w:ascii="Book Antiqua" w:hAnsi="Book Antiqua"/>
                <w:b/>
                <w:bCs/>
                <w:i/>
                <w:color w:val="000000"/>
                <w:kern w:val="0"/>
                <w:sz w:val="24"/>
                <w:szCs w:val="24"/>
              </w:rPr>
            </w:pPr>
            <w:r w:rsidRPr="00B6334E">
              <w:rPr>
                <w:rFonts w:ascii="Book Antiqua" w:hAnsi="Book Antiqua"/>
                <w:b/>
                <w:bCs/>
                <w:i/>
                <w:color w:val="000000"/>
                <w:kern w:val="0"/>
                <w:sz w:val="24"/>
                <w:szCs w:val="24"/>
              </w:rPr>
              <w:t>P</w:t>
            </w:r>
            <w:r>
              <w:rPr>
                <w:rFonts w:ascii="Book Antiqua" w:hAnsi="Book Antiqua"/>
                <w:b/>
                <w:bCs/>
                <w:color w:val="000000"/>
                <w:kern w:val="0"/>
                <w:sz w:val="24"/>
                <w:szCs w:val="24"/>
              </w:rPr>
              <w:t>-</w:t>
            </w:r>
            <w:r w:rsidR="007E0261" w:rsidRPr="00B6334E">
              <w:rPr>
                <w:rFonts w:ascii="Book Antiqua" w:hAnsi="Book Antiqua"/>
                <w:b/>
                <w:bCs/>
                <w:color w:val="000000"/>
                <w:kern w:val="0"/>
                <w:sz w:val="24"/>
                <w:szCs w:val="24"/>
              </w:rPr>
              <w:t>value</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Age (yr)</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58.85</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10.48</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57.30</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14.82</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0.663</w:t>
            </w:r>
          </w:p>
        </w:tc>
      </w:tr>
      <w:tr w:rsidR="007E0261" w:rsidRPr="006A23C4" w:rsidTr="00C40EB0">
        <w:tc>
          <w:tcPr>
            <w:tcW w:w="2802"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Sex (Male:Female)</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18:8</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18:9</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0.842</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Etiology (</w:t>
            </w:r>
            <w:r w:rsidRPr="006A23C4">
              <w:rPr>
                <w:rFonts w:ascii="Book Antiqua" w:hAnsi="Book Antiqua"/>
                <w:bCs/>
                <w:i/>
                <w:color w:val="000000"/>
                <w:kern w:val="0"/>
                <w:sz w:val="24"/>
                <w:szCs w:val="24"/>
              </w:rPr>
              <w:t>n</w:t>
            </w:r>
            <w:r w:rsidRPr="006A23C4">
              <w:rPr>
                <w:rFonts w:ascii="Book Antiqua" w:hAnsi="Book Antiqua"/>
                <w:bCs/>
                <w:color w:val="000000"/>
                <w:kern w:val="0"/>
                <w:sz w:val="24"/>
                <w:szCs w:val="24"/>
              </w:rPr>
              <w:t>, %)</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ind w:firstLineChars="100" w:firstLine="240"/>
              <w:rPr>
                <w:rFonts w:ascii="Book Antiqua" w:hAnsi="Book Antiqua"/>
                <w:bCs/>
                <w:color w:val="000000"/>
                <w:kern w:val="0"/>
                <w:sz w:val="24"/>
                <w:szCs w:val="24"/>
              </w:rPr>
            </w:pPr>
            <w:r w:rsidRPr="006A23C4">
              <w:rPr>
                <w:rFonts w:ascii="Book Antiqua" w:hAnsi="Book Antiqua"/>
                <w:bCs/>
                <w:color w:val="000000"/>
                <w:kern w:val="0"/>
                <w:sz w:val="24"/>
                <w:szCs w:val="24"/>
              </w:rPr>
              <w:t>Abdominal infection</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11 (42.3%)</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14 (51.9%)</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0.487</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ind w:firstLineChars="100" w:firstLine="240"/>
              <w:rPr>
                <w:rFonts w:ascii="Book Antiqua" w:hAnsi="Book Antiqua"/>
                <w:bCs/>
                <w:color w:val="000000"/>
                <w:kern w:val="0"/>
                <w:sz w:val="24"/>
                <w:szCs w:val="24"/>
              </w:rPr>
            </w:pPr>
            <w:r w:rsidRPr="006A23C4">
              <w:rPr>
                <w:rFonts w:ascii="Book Antiqua" w:hAnsi="Book Antiqua"/>
                <w:bCs/>
                <w:color w:val="000000"/>
                <w:kern w:val="0"/>
                <w:sz w:val="24"/>
                <w:szCs w:val="24"/>
              </w:rPr>
              <w:t>Thoracic/Pulmonary infection</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10 (38.5%)</w:t>
            </w:r>
          </w:p>
        </w:tc>
        <w:tc>
          <w:tcPr>
            <w:tcW w:w="2126" w:type="dxa"/>
            <w:tcBorders>
              <w:left w:val="nil"/>
              <w:right w:val="nil"/>
            </w:tcBorders>
            <w:shd w:val="clear" w:color="auto" w:fill="FFFFFF"/>
          </w:tcPr>
          <w:p w:rsidR="007E0261" w:rsidRPr="006A23C4" w:rsidRDefault="007E0261" w:rsidP="00135736">
            <w:pPr>
              <w:tabs>
                <w:tab w:val="center" w:pos="835"/>
              </w:tabs>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9 (33.3%)</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0.697</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ind w:firstLineChars="100" w:firstLine="240"/>
              <w:rPr>
                <w:rFonts w:ascii="Book Antiqua" w:hAnsi="Book Antiqua"/>
                <w:bCs/>
                <w:color w:val="000000"/>
                <w:kern w:val="0"/>
                <w:sz w:val="24"/>
                <w:szCs w:val="24"/>
              </w:rPr>
            </w:pPr>
            <w:r w:rsidRPr="006A23C4">
              <w:rPr>
                <w:rFonts w:ascii="Book Antiqua" w:hAnsi="Book Antiqua"/>
                <w:bCs/>
                <w:color w:val="000000"/>
                <w:kern w:val="0"/>
                <w:sz w:val="24"/>
                <w:szCs w:val="24"/>
              </w:rPr>
              <w:t>Urinary infection</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3 (11.5%)</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 (7.4%)</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0.669</w:t>
            </w:r>
          </w:p>
        </w:tc>
      </w:tr>
      <w:tr w:rsidR="007E0261" w:rsidRPr="006A23C4" w:rsidTr="00C40EB0">
        <w:tc>
          <w:tcPr>
            <w:tcW w:w="2802" w:type="dxa"/>
            <w:shd w:val="clear" w:color="auto" w:fill="FFFFFF"/>
          </w:tcPr>
          <w:p w:rsidR="007E0261" w:rsidRPr="006A23C4" w:rsidRDefault="007E0261" w:rsidP="00135736">
            <w:pPr>
              <w:autoSpaceDE w:val="0"/>
              <w:autoSpaceDN w:val="0"/>
              <w:adjustRightInd w:val="0"/>
              <w:spacing w:line="360" w:lineRule="auto"/>
              <w:ind w:firstLineChars="100" w:firstLine="240"/>
              <w:rPr>
                <w:rFonts w:ascii="Book Antiqua" w:hAnsi="Book Antiqua"/>
                <w:bCs/>
                <w:color w:val="000000"/>
                <w:kern w:val="0"/>
                <w:sz w:val="24"/>
                <w:szCs w:val="24"/>
              </w:rPr>
            </w:pPr>
            <w:r w:rsidRPr="006A23C4">
              <w:rPr>
                <w:rFonts w:ascii="Book Antiqua" w:hAnsi="Book Antiqua"/>
                <w:bCs/>
                <w:color w:val="000000"/>
                <w:kern w:val="0"/>
                <w:sz w:val="24"/>
                <w:szCs w:val="24"/>
              </w:rPr>
              <w:t>Mucocutaneous infection</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 (7.7%)</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 (7.4%)</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1.000</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BMI</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25.25</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5.97</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24.24</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4.15</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0.476</w:t>
            </w:r>
          </w:p>
        </w:tc>
      </w:tr>
      <w:tr w:rsidR="007E0261" w:rsidRPr="006A23C4" w:rsidTr="00C40EB0">
        <w:tc>
          <w:tcPr>
            <w:tcW w:w="2802"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APACHE II</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21.69</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6.24</w:t>
            </w:r>
          </w:p>
        </w:tc>
        <w:tc>
          <w:tcPr>
            <w:tcW w:w="2126"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22.19</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5.69</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0.765</w:t>
            </w:r>
          </w:p>
        </w:tc>
      </w:tr>
      <w:tr w:rsidR="007E0261" w:rsidRPr="006A23C4" w:rsidTr="00C40EB0">
        <w:tc>
          <w:tcPr>
            <w:tcW w:w="2802"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SOFA</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9.08</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1.94</w:t>
            </w:r>
          </w:p>
        </w:tc>
        <w:tc>
          <w:tcPr>
            <w:tcW w:w="2126"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9.44</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3.82</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0.659</w:t>
            </w:r>
          </w:p>
        </w:tc>
      </w:tr>
    </w:tbl>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E</w:t>
      </w:r>
      <w:r w:rsidRPr="006A23C4">
        <w:rPr>
          <w:rFonts w:ascii="Book Antiqua" w:hAnsi="Book Antiqua"/>
          <w:color w:val="000000"/>
          <w:kern w:val="0"/>
          <w:sz w:val="24"/>
          <w:szCs w:val="24"/>
        </w:rPr>
        <w:t xml:space="preserve">arly enteral nutrition; </w:t>
      </w:r>
      <w:r w:rsidRPr="006A23C4">
        <w:rPr>
          <w:rFonts w:ascii="Book Antiqua" w:hAnsi="Book Antiqua"/>
          <w:bCs/>
          <w:color w:val="000000"/>
          <w:kern w:val="0"/>
          <w:sz w:val="24"/>
          <w:szCs w:val="24"/>
        </w:rPr>
        <w:t>DEN</w:t>
      </w:r>
      <w:r w:rsidR="009B4932" w:rsidRPr="006A23C4">
        <w:rPr>
          <w:rFonts w:ascii="Book Antiqua" w:hAnsi="Book Antiqua"/>
          <w:bCs/>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D</w:t>
      </w:r>
      <w:r w:rsidRPr="006A23C4">
        <w:rPr>
          <w:rFonts w:ascii="Book Antiqua" w:hAnsi="Book Antiqua"/>
          <w:color w:val="000000"/>
          <w:kern w:val="0"/>
          <w:sz w:val="24"/>
          <w:szCs w:val="24"/>
        </w:rPr>
        <w:t xml:space="preserve">elayed enteral nutrition; </w:t>
      </w:r>
      <w:r w:rsidRPr="006A23C4">
        <w:rPr>
          <w:rFonts w:ascii="Book Antiqua" w:hAnsi="Book Antiqua"/>
          <w:bCs/>
          <w:color w:val="000000"/>
          <w:kern w:val="0"/>
          <w:sz w:val="24"/>
          <w:szCs w:val="24"/>
        </w:rPr>
        <w:t>BMI</w:t>
      </w:r>
      <w:r w:rsidR="009B4932" w:rsidRPr="006A23C4">
        <w:rPr>
          <w:rFonts w:ascii="Book Antiqua" w:hAnsi="Book Antiqua"/>
          <w:bCs/>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B</w:t>
      </w:r>
      <w:r w:rsidRPr="006A23C4">
        <w:rPr>
          <w:rFonts w:ascii="Book Antiqua" w:hAnsi="Book Antiqua"/>
          <w:color w:val="000000"/>
          <w:kern w:val="0"/>
          <w:sz w:val="24"/>
          <w:szCs w:val="24"/>
        </w:rPr>
        <w:t>ody</w:t>
      </w:r>
      <w:r w:rsidR="009E3E12">
        <w:rPr>
          <w:rFonts w:ascii="Book Antiqua" w:hAnsi="Book Antiqua"/>
          <w:color w:val="000000"/>
          <w:kern w:val="0"/>
          <w:sz w:val="24"/>
          <w:szCs w:val="24"/>
        </w:rPr>
        <w:t xml:space="preserve"> </w:t>
      </w:r>
      <w:r w:rsidRPr="006A23C4">
        <w:rPr>
          <w:rFonts w:ascii="Book Antiqua" w:hAnsi="Book Antiqua"/>
          <w:color w:val="000000"/>
          <w:kern w:val="0"/>
          <w:sz w:val="24"/>
          <w:szCs w:val="24"/>
        </w:rPr>
        <w:t>mass index;</w:t>
      </w:r>
      <w:r w:rsidRPr="006A23C4">
        <w:rPr>
          <w:rFonts w:ascii="Book Antiqua" w:hAnsi="Book Antiqua"/>
          <w:bCs/>
          <w:color w:val="000000"/>
          <w:kern w:val="0"/>
          <w:sz w:val="24"/>
          <w:szCs w:val="24"/>
        </w:rPr>
        <w:t xml:space="preserve"> APACHE II</w:t>
      </w:r>
      <w:r w:rsidR="009B4932" w:rsidRPr="006A23C4">
        <w:rPr>
          <w:rFonts w:ascii="Book Antiqua" w:hAnsi="Book Antiqua"/>
          <w:bCs/>
          <w:color w:val="000000"/>
          <w:kern w:val="0"/>
          <w:sz w:val="24"/>
          <w:szCs w:val="24"/>
        </w:rPr>
        <w:t>:</w:t>
      </w:r>
      <w:r w:rsidRPr="006A23C4">
        <w:rPr>
          <w:rFonts w:ascii="Book Antiqua" w:hAnsi="Book Antiqua"/>
          <w:bCs/>
          <w:color w:val="000000"/>
          <w:kern w:val="0"/>
          <w:sz w:val="24"/>
          <w:szCs w:val="24"/>
        </w:rPr>
        <w:t xml:space="preserve"> </w:t>
      </w:r>
      <w:r w:rsidR="009B4932" w:rsidRPr="006A23C4">
        <w:rPr>
          <w:rFonts w:ascii="Book Antiqua" w:hAnsi="Book Antiqua"/>
          <w:color w:val="000000"/>
          <w:kern w:val="0"/>
          <w:sz w:val="24"/>
          <w:szCs w:val="24"/>
        </w:rPr>
        <w:t>A</w:t>
      </w:r>
      <w:r w:rsidRPr="006A23C4">
        <w:rPr>
          <w:rFonts w:ascii="Book Antiqua" w:hAnsi="Book Antiqua"/>
          <w:color w:val="000000"/>
          <w:kern w:val="0"/>
          <w:sz w:val="24"/>
          <w:szCs w:val="24"/>
        </w:rPr>
        <w:t>cute physiology and chronic health evaluation II;</w:t>
      </w:r>
      <w:r w:rsidRPr="006A23C4">
        <w:rPr>
          <w:rFonts w:ascii="Book Antiqua" w:hAnsi="Book Antiqua"/>
          <w:bCs/>
          <w:color w:val="000000"/>
          <w:kern w:val="0"/>
          <w:sz w:val="24"/>
          <w:szCs w:val="24"/>
        </w:rPr>
        <w:t xml:space="preserve"> SOFA</w:t>
      </w:r>
      <w:r w:rsidR="009B4932" w:rsidRPr="006A23C4">
        <w:rPr>
          <w:rFonts w:ascii="Book Antiqua" w:hAnsi="Book Antiqua"/>
          <w:bCs/>
          <w:color w:val="000000"/>
          <w:kern w:val="0"/>
          <w:sz w:val="24"/>
          <w:szCs w:val="24"/>
        </w:rPr>
        <w:t>:</w:t>
      </w:r>
      <w:r w:rsidRPr="006A23C4">
        <w:rPr>
          <w:rFonts w:ascii="Book Antiqua" w:hAnsi="Book Antiqua"/>
          <w:bCs/>
          <w:color w:val="000000"/>
          <w:kern w:val="0"/>
          <w:sz w:val="24"/>
          <w:szCs w:val="24"/>
        </w:rPr>
        <w:t xml:space="preserve"> </w:t>
      </w:r>
      <w:r w:rsidR="009B4932" w:rsidRPr="006A23C4">
        <w:rPr>
          <w:rFonts w:ascii="Book Antiqua" w:hAnsi="Book Antiqua"/>
          <w:color w:val="000000"/>
          <w:kern w:val="0"/>
          <w:sz w:val="24"/>
          <w:szCs w:val="24"/>
        </w:rPr>
        <w:t>S</w:t>
      </w:r>
      <w:r w:rsidRPr="006A23C4">
        <w:rPr>
          <w:rFonts w:ascii="Book Antiqua" w:hAnsi="Book Antiqua"/>
          <w:color w:val="000000"/>
          <w:kern w:val="0"/>
          <w:sz w:val="24"/>
          <w:szCs w:val="24"/>
        </w:rPr>
        <w:t>equential organ failure assessment.</w:t>
      </w:r>
    </w:p>
    <w:p w:rsidR="007E0261" w:rsidRPr="006A23C4" w:rsidRDefault="0032530F" w:rsidP="00135736">
      <w:pPr>
        <w:autoSpaceDE w:val="0"/>
        <w:autoSpaceDN w:val="0"/>
        <w:adjustRightInd w:val="0"/>
        <w:spacing w:line="360" w:lineRule="auto"/>
        <w:rPr>
          <w:rFonts w:ascii="Book Antiqua" w:hAnsi="Book Antiqua"/>
          <w:b/>
          <w:color w:val="000000"/>
          <w:kern w:val="0"/>
          <w:sz w:val="24"/>
          <w:szCs w:val="24"/>
        </w:rPr>
      </w:pPr>
      <w:r w:rsidRPr="006A23C4">
        <w:rPr>
          <w:rFonts w:ascii="Book Antiqua" w:hAnsi="Book Antiqua"/>
          <w:color w:val="000000"/>
          <w:kern w:val="0"/>
          <w:sz w:val="24"/>
          <w:szCs w:val="24"/>
        </w:rPr>
        <w:br w:type="page"/>
      </w:r>
      <w:r w:rsidR="007E0261" w:rsidRPr="006A23C4">
        <w:rPr>
          <w:rFonts w:ascii="Book Antiqua" w:hAnsi="Book Antiqua"/>
          <w:b/>
          <w:color w:val="000000"/>
          <w:kern w:val="0"/>
          <w:sz w:val="24"/>
          <w:szCs w:val="24"/>
        </w:rPr>
        <w:t xml:space="preserve">Table 2 Clinical severity </w:t>
      </w:r>
      <w:r w:rsidR="007E0261" w:rsidRPr="006A23C4">
        <w:rPr>
          <w:rFonts w:ascii="Book Antiqua" w:hAnsi="Book Antiqua"/>
          <w:b/>
          <w:bCs/>
          <w:color w:val="000000"/>
          <w:kern w:val="0"/>
          <w:sz w:val="24"/>
          <w:szCs w:val="24"/>
        </w:rPr>
        <w:t>variables</w:t>
      </w:r>
    </w:p>
    <w:tbl>
      <w:tblPr>
        <w:tblW w:w="8506"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1843"/>
        <w:gridCol w:w="1100"/>
        <w:gridCol w:w="2161"/>
        <w:gridCol w:w="1984"/>
        <w:gridCol w:w="1418"/>
      </w:tblGrid>
      <w:tr w:rsidR="007E0261" w:rsidRPr="006A23C4" w:rsidTr="00C40EB0">
        <w:tc>
          <w:tcPr>
            <w:tcW w:w="1843" w:type="dxa"/>
            <w:tcBorders>
              <w:top w:val="single" w:sz="8" w:space="0" w:color="000000"/>
              <w:left w:val="nil"/>
              <w:bottom w:val="single" w:sz="8" w:space="0" w:color="000000"/>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100" w:type="dxa"/>
            <w:tcBorders>
              <w:top w:val="single" w:sz="8" w:space="0" w:color="000000"/>
              <w:left w:val="nil"/>
              <w:bottom w:val="single" w:sz="8" w:space="0" w:color="000000"/>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2161" w:type="dxa"/>
            <w:tcBorders>
              <w:top w:val="single" w:sz="8" w:space="0" w:color="000000"/>
              <w:left w:val="nil"/>
              <w:bottom w:val="single" w:sz="8" w:space="0" w:color="000000"/>
              <w:right w:val="nil"/>
            </w:tcBorders>
            <w:shd w:val="clear" w:color="auto" w:fill="FFFFFF"/>
          </w:tcPr>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 xml:space="preserve">EEN </w:t>
            </w:r>
            <w:r w:rsidR="009B4932" w:rsidRPr="00B6334E">
              <w:rPr>
                <w:rFonts w:ascii="Book Antiqua" w:hAnsi="Book Antiqua"/>
                <w:b/>
                <w:bCs/>
                <w:color w:val="000000"/>
                <w:kern w:val="0"/>
                <w:sz w:val="24"/>
                <w:szCs w:val="24"/>
              </w:rPr>
              <w:t>g</w:t>
            </w:r>
            <w:r w:rsidRPr="00B6334E">
              <w:rPr>
                <w:rFonts w:ascii="Book Antiqua" w:hAnsi="Book Antiqua"/>
                <w:b/>
                <w:bCs/>
                <w:color w:val="000000"/>
                <w:kern w:val="0"/>
                <w:sz w:val="24"/>
                <w:szCs w:val="24"/>
              </w:rPr>
              <w:t>roup</w:t>
            </w:r>
          </w:p>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w:t>
            </w:r>
            <w:r w:rsidRPr="00B6334E">
              <w:rPr>
                <w:rFonts w:ascii="Book Antiqua" w:hAnsi="Book Antiqua"/>
                <w:b/>
                <w:bCs/>
                <w:i/>
                <w:color w:val="000000"/>
                <w:kern w:val="0"/>
                <w:sz w:val="24"/>
                <w:szCs w:val="24"/>
              </w:rPr>
              <w:t>n</w:t>
            </w:r>
            <w:r w:rsidR="009B4932" w:rsidRPr="00B6334E">
              <w:rPr>
                <w:rFonts w:ascii="Book Antiqua" w:hAnsi="Book Antiqua"/>
                <w:b/>
                <w:bCs/>
                <w:i/>
                <w:color w:val="000000"/>
                <w:kern w:val="0"/>
                <w:sz w:val="24"/>
                <w:szCs w:val="24"/>
              </w:rPr>
              <w:t xml:space="preserve"> </w:t>
            </w:r>
            <w:r w:rsidRPr="00B6334E">
              <w:rPr>
                <w:rFonts w:ascii="Book Antiqua" w:hAnsi="Book Antiqua"/>
                <w:b/>
                <w:bCs/>
                <w:color w:val="000000"/>
                <w:kern w:val="0"/>
                <w:sz w:val="24"/>
                <w:szCs w:val="24"/>
              </w:rPr>
              <w:t>=</w:t>
            </w:r>
            <w:r w:rsidR="009B4932" w:rsidRPr="00B6334E">
              <w:rPr>
                <w:rFonts w:ascii="Book Antiqua" w:hAnsi="Book Antiqua"/>
                <w:b/>
                <w:bCs/>
                <w:color w:val="000000"/>
                <w:kern w:val="0"/>
                <w:sz w:val="24"/>
                <w:szCs w:val="24"/>
              </w:rPr>
              <w:t xml:space="preserve"> </w:t>
            </w:r>
            <w:r w:rsidRPr="00B6334E">
              <w:rPr>
                <w:rFonts w:ascii="Book Antiqua" w:hAnsi="Book Antiqua"/>
                <w:b/>
                <w:bCs/>
                <w:color w:val="000000"/>
                <w:kern w:val="0"/>
                <w:sz w:val="24"/>
                <w:szCs w:val="24"/>
              </w:rPr>
              <w:t>26)</w:t>
            </w:r>
          </w:p>
        </w:tc>
        <w:tc>
          <w:tcPr>
            <w:tcW w:w="1984" w:type="dxa"/>
            <w:tcBorders>
              <w:top w:val="single" w:sz="8" w:space="0" w:color="000000"/>
              <w:left w:val="nil"/>
              <w:bottom w:val="single" w:sz="8" w:space="0" w:color="000000"/>
              <w:right w:val="nil"/>
            </w:tcBorders>
            <w:shd w:val="clear" w:color="auto" w:fill="FFFFFF"/>
          </w:tcPr>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 xml:space="preserve">DEN </w:t>
            </w:r>
            <w:r w:rsidR="009B4932" w:rsidRPr="00B6334E">
              <w:rPr>
                <w:rFonts w:ascii="Book Antiqua" w:hAnsi="Book Antiqua"/>
                <w:b/>
                <w:bCs/>
                <w:color w:val="000000"/>
                <w:kern w:val="0"/>
                <w:sz w:val="24"/>
                <w:szCs w:val="24"/>
              </w:rPr>
              <w:t>g</w:t>
            </w:r>
            <w:r w:rsidRPr="00B6334E">
              <w:rPr>
                <w:rFonts w:ascii="Book Antiqua" w:hAnsi="Book Antiqua"/>
                <w:b/>
                <w:bCs/>
                <w:color w:val="000000"/>
                <w:kern w:val="0"/>
                <w:sz w:val="24"/>
                <w:szCs w:val="24"/>
              </w:rPr>
              <w:t>roup</w:t>
            </w:r>
          </w:p>
          <w:p w:rsidR="007E0261" w:rsidRPr="00B6334E" w:rsidRDefault="007E0261" w:rsidP="00135736">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color w:val="000000"/>
                <w:kern w:val="0"/>
                <w:sz w:val="24"/>
                <w:szCs w:val="24"/>
              </w:rPr>
              <w:t>(</w:t>
            </w:r>
            <w:r w:rsidRPr="00B6334E">
              <w:rPr>
                <w:rFonts w:ascii="Book Antiqua" w:hAnsi="Book Antiqua"/>
                <w:b/>
                <w:bCs/>
                <w:i/>
                <w:color w:val="000000"/>
                <w:kern w:val="0"/>
                <w:sz w:val="24"/>
                <w:szCs w:val="24"/>
              </w:rPr>
              <w:t>n</w:t>
            </w:r>
            <w:r w:rsidR="009B4932" w:rsidRPr="00B6334E">
              <w:rPr>
                <w:rFonts w:ascii="Book Antiqua" w:hAnsi="Book Antiqua"/>
                <w:b/>
                <w:bCs/>
                <w:i/>
                <w:color w:val="000000"/>
                <w:kern w:val="0"/>
                <w:sz w:val="24"/>
                <w:szCs w:val="24"/>
              </w:rPr>
              <w:t xml:space="preserve"> </w:t>
            </w:r>
            <w:r w:rsidRPr="00B6334E">
              <w:rPr>
                <w:rFonts w:ascii="Book Antiqua" w:hAnsi="Book Antiqua"/>
                <w:b/>
                <w:bCs/>
                <w:color w:val="000000"/>
                <w:kern w:val="0"/>
                <w:sz w:val="24"/>
                <w:szCs w:val="24"/>
              </w:rPr>
              <w:t>=</w:t>
            </w:r>
            <w:r w:rsidR="009B4932" w:rsidRPr="00B6334E">
              <w:rPr>
                <w:rFonts w:ascii="Book Antiqua" w:hAnsi="Book Antiqua"/>
                <w:b/>
                <w:bCs/>
                <w:color w:val="000000"/>
                <w:kern w:val="0"/>
                <w:sz w:val="24"/>
                <w:szCs w:val="24"/>
              </w:rPr>
              <w:t xml:space="preserve"> </w:t>
            </w:r>
            <w:r w:rsidRPr="00B6334E">
              <w:rPr>
                <w:rFonts w:ascii="Book Antiqua" w:hAnsi="Book Antiqua"/>
                <w:b/>
                <w:bCs/>
                <w:color w:val="000000"/>
                <w:kern w:val="0"/>
                <w:sz w:val="24"/>
                <w:szCs w:val="24"/>
              </w:rPr>
              <w:t>27)</w:t>
            </w:r>
          </w:p>
        </w:tc>
        <w:tc>
          <w:tcPr>
            <w:tcW w:w="1418" w:type="dxa"/>
            <w:tcBorders>
              <w:top w:val="single" w:sz="8" w:space="0" w:color="000000"/>
              <w:left w:val="nil"/>
              <w:bottom w:val="single" w:sz="8" w:space="0" w:color="000000"/>
              <w:right w:val="nil"/>
            </w:tcBorders>
            <w:shd w:val="clear" w:color="auto" w:fill="FFFFFF"/>
          </w:tcPr>
          <w:p w:rsidR="007E0261" w:rsidRPr="00B6334E" w:rsidRDefault="009E3E12" w:rsidP="009E3E12">
            <w:pPr>
              <w:autoSpaceDE w:val="0"/>
              <w:autoSpaceDN w:val="0"/>
              <w:adjustRightInd w:val="0"/>
              <w:spacing w:line="360" w:lineRule="auto"/>
              <w:rPr>
                <w:rFonts w:ascii="Book Antiqua" w:hAnsi="Book Antiqua"/>
                <w:b/>
                <w:bCs/>
                <w:color w:val="000000"/>
                <w:kern w:val="0"/>
                <w:sz w:val="24"/>
                <w:szCs w:val="24"/>
              </w:rPr>
            </w:pPr>
            <w:r w:rsidRPr="00B6334E">
              <w:rPr>
                <w:rFonts w:ascii="Book Antiqua" w:hAnsi="Book Antiqua"/>
                <w:b/>
                <w:bCs/>
                <w:i/>
                <w:color w:val="000000"/>
                <w:kern w:val="0"/>
                <w:sz w:val="24"/>
                <w:szCs w:val="24"/>
              </w:rPr>
              <w:t>P</w:t>
            </w:r>
            <w:r>
              <w:rPr>
                <w:rFonts w:ascii="Book Antiqua" w:hAnsi="Book Antiqua"/>
                <w:b/>
                <w:bCs/>
                <w:i/>
                <w:color w:val="000000"/>
                <w:kern w:val="0"/>
                <w:sz w:val="24"/>
                <w:szCs w:val="24"/>
              </w:rPr>
              <w:t>-</w:t>
            </w:r>
            <w:r w:rsidR="007E0261" w:rsidRPr="00B6334E">
              <w:rPr>
                <w:rFonts w:ascii="Book Antiqua" w:hAnsi="Book Antiqua"/>
                <w:b/>
                <w:bCs/>
                <w:color w:val="000000"/>
                <w:kern w:val="0"/>
                <w:sz w:val="24"/>
                <w:szCs w:val="24"/>
              </w:rPr>
              <w:t>value</w:t>
            </w:r>
          </w:p>
        </w:tc>
      </w:tr>
      <w:tr w:rsidR="007E0261" w:rsidRPr="006A23C4" w:rsidTr="00C40EB0">
        <w:tc>
          <w:tcPr>
            <w:tcW w:w="1843" w:type="dxa"/>
            <w:vMerge w:val="restart"/>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APACHE II</w:t>
            </w:r>
          </w:p>
        </w:tc>
        <w:tc>
          <w:tcPr>
            <w:tcW w:w="1100"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1</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21.69</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6.24</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22.19</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5.69</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0.765</w:t>
            </w:r>
          </w:p>
        </w:tc>
      </w:tr>
      <w:tr w:rsidR="007E0261" w:rsidRPr="006A23C4" w:rsidTr="00C40EB0">
        <w:tc>
          <w:tcPr>
            <w:tcW w:w="1843" w:type="dxa"/>
            <w:vMerge/>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100"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3</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17.54</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26</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19.04</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4.92</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0.199</w:t>
            </w:r>
          </w:p>
        </w:tc>
      </w:tr>
      <w:tr w:rsidR="007E0261" w:rsidRPr="006A23C4" w:rsidTr="00C40EB0">
        <w:tc>
          <w:tcPr>
            <w:tcW w:w="1843" w:type="dxa"/>
            <w:vMerge/>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100"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7</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11.73</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4.82</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15.11</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3.90</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color w:val="000000"/>
                <w:kern w:val="0"/>
                <w:sz w:val="24"/>
                <w:szCs w:val="24"/>
              </w:rPr>
              <w:t>&lt;0.001</w:t>
            </w:r>
          </w:p>
        </w:tc>
      </w:tr>
      <w:tr w:rsidR="007E0261" w:rsidRPr="006A23C4" w:rsidTr="00C40EB0">
        <w:tc>
          <w:tcPr>
            <w:tcW w:w="1843" w:type="dxa"/>
            <w:vMerge w:val="restart"/>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SOFA</w:t>
            </w:r>
          </w:p>
        </w:tc>
        <w:tc>
          <w:tcPr>
            <w:tcW w:w="1100"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1</w:t>
            </w:r>
          </w:p>
        </w:tc>
        <w:tc>
          <w:tcPr>
            <w:tcW w:w="2161"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9.08</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1.94</w:t>
            </w:r>
          </w:p>
        </w:tc>
        <w:tc>
          <w:tcPr>
            <w:tcW w:w="1984"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9.44</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3.82</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0.659</w:t>
            </w:r>
          </w:p>
        </w:tc>
      </w:tr>
      <w:tr w:rsidR="007E0261" w:rsidRPr="006A23C4" w:rsidTr="00C40EB0">
        <w:tc>
          <w:tcPr>
            <w:tcW w:w="1843" w:type="dxa"/>
            <w:vMerge/>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100"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3</w:t>
            </w:r>
          </w:p>
        </w:tc>
        <w:tc>
          <w:tcPr>
            <w:tcW w:w="2161"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6.31</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1.52</w:t>
            </w:r>
          </w:p>
        </w:tc>
        <w:tc>
          <w:tcPr>
            <w:tcW w:w="1984"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7.30</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3.30</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0.132</w:t>
            </w:r>
          </w:p>
        </w:tc>
      </w:tr>
      <w:tr w:rsidR="007E0261" w:rsidRPr="006A23C4" w:rsidTr="00C40EB0">
        <w:tc>
          <w:tcPr>
            <w:tcW w:w="1843" w:type="dxa"/>
            <w:vMerge/>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p>
        </w:tc>
        <w:tc>
          <w:tcPr>
            <w:tcW w:w="1100"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Day 7</w:t>
            </w:r>
          </w:p>
        </w:tc>
        <w:tc>
          <w:tcPr>
            <w:tcW w:w="2161"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3.58</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0.99</w:t>
            </w:r>
          </w:p>
        </w:tc>
        <w:tc>
          <w:tcPr>
            <w:tcW w:w="1984" w:type="dxa"/>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5.22</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2.33</w:t>
            </w:r>
          </w:p>
        </w:tc>
        <w:tc>
          <w:tcPr>
            <w:tcW w:w="1418" w:type="dxa"/>
            <w:shd w:val="clear" w:color="auto" w:fill="FFFFFF"/>
          </w:tcPr>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&lt;0.001</w:t>
            </w:r>
          </w:p>
        </w:tc>
      </w:tr>
      <w:tr w:rsidR="007E0261" w:rsidRPr="006A23C4" w:rsidTr="00C40EB0">
        <w:tc>
          <w:tcPr>
            <w:tcW w:w="2943" w:type="dxa"/>
            <w:gridSpan w:val="2"/>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MV days</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4.50</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2.58</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7.15</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3.95</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0.006</w:t>
            </w:r>
          </w:p>
        </w:tc>
      </w:tr>
      <w:tr w:rsidR="007E0261" w:rsidRPr="006A23C4" w:rsidTr="00C40EB0">
        <w:tc>
          <w:tcPr>
            <w:tcW w:w="2943" w:type="dxa"/>
            <w:gridSpan w:val="2"/>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Number of CRRT (</w:t>
            </w:r>
            <w:r w:rsidRPr="006A23C4">
              <w:rPr>
                <w:rFonts w:ascii="Book Antiqua" w:hAnsi="Book Antiqua"/>
                <w:bCs/>
                <w:i/>
                <w:color w:val="000000"/>
                <w:kern w:val="0"/>
                <w:sz w:val="24"/>
                <w:szCs w:val="24"/>
              </w:rPr>
              <w:t>n</w:t>
            </w:r>
            <w:r w:rsidRPr="006A23C4">
              <w:rPr>
                <w:rFonts w:ascii="Book Antiqua" w:hAnsi="Book Antiqua"/>
                <w:bCs/>
                <w:color w:val="000000"/>
                <w:kern w:val="0"/>
                <w:sz w:val="24"/>
                <w:szCs w:val="24"/>
              </w:rPr>
              <w:t>, %)</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4 (15.4%)</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3 (11.1%)</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0.704</w:t>
            </w:r>
          </w:p>
        </w:tc>
      </w:tr>
      <w:tr w:rsidR="007E0261" w:rsidRPr="006A23C4" w:rsidTr="00C40EB0">
        <w:tc>
          <w:tcPr>
            <w:tcW w:w="2943" w:type="dxa"/>
            <w:gridSpan w:val="2"/>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ICU days</w:t>
            </w:r>
          </w:p>
        </w:tc>
        <w:tc>
          <w:tcPr>
            <w:tcW w:w="2161"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8.31</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4.26</w:t>
            </w:r>
          </w:p>
        </w:tc>
        <w:tc>
          <w:tcPr>
            <w:tcW w:w="1984"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11.22</w:t>
            </w:r>
            <w:r w:rsidR="009B4932" w:rsidRPr="006A23C4">
              <w:rPr>
                <w:rFonts w:ascii="Book Antiqua" w:hAnsi="Book Antiqua"/>
                <w:bCs/>
                <w:color w:val="000000"/>
                <w:kern w:val="0"/>
                <w:sz w:val="24"/>
                <w:szCs w:val="24"/>
              </w:rPr>
              <w:t xml:space="preserve"> </w:t>
            </w:r>
            <w:r w:rsidRPr="006A23C4">
              <w:rPr>
                <w:rFonts w:ascii="Book Antiqua" w:hAnsi="Book Antiqua"/>
                <w:color w:val="000000"/>
                <w:kern w:val="0"/>
                <w:sz w:val="24"/>
                <w:szCs w:val="24"/>
              </w:rPr>
              <w:t>±</w:t>
            </w:r>
            <w:r w:rsidR="009B4932" w:rsidRPr="006A23C4">
              <w:rPr>
                <w:rFonts w:ascii="Book Antiqua" w:hAnsi="Book Antiqua"/>
                <w:color w:val="000000"/>
                <w:kern w:val="0"/>
                <w:sz w:val="24"/>
                <w:szCs w:val="24"/>
              </w:rPr>
              <w:t xml:space="preserve"> </w:t>
            </w:r>
            <w:r w:rsidRPr="006A23C4">
              <w:rPr>
                <w:rFonts w:ascii="Book Antiqua" w:hAnsi="Book Antiqua"/>
                <w:color w:val="000000"/>
                <w:kern w:val="0"/>
                <w:sz w:val="24"/>
                <w:szCs w:val="24"/>
              </w:rPr>
              <w:t>5.43</w:t>
            </w:r>
          </w:p>
        </w:tc>
        <w:tc>
          <w:tcPr>
            <w:tcW w:w="1418" w:type="dxa"/>
            <w:tcBorders>
              <w:left w:val="nil"/>
              <w:right w:val="nil"/>
            </w:tcBorders>
            <w:shd w:val="clear" w:color="auto" w:fill="FFFFFF"/>
          </w:tcPr>
          <w:p w:rsidR="007E0261" w:rsidRPr="006A23C4" w:rsidRDefault="007E0261" w:rsidP="00135736">
            <w:pPr>
              <w:autoSpaceDE w:val="0"/>
              <w:autoSpaceDN w:val="0"/>
              <w:adjustRightInd w:val="0"/>
              <w:spacing w:line="360" w:lineRule="auto"/>
              <w:rPr>
                <w:rFonts w:ascii="Book Antiqua" w:hAnsi="Book Antiqua"/>
                <w:bCs/>
                <w:color w:val="000000"/>
                <w:kern w:val="0"/>
                <w:sz w:val="24"/>
                <w:szCs w:val="24"/>
              </w:rPr>
            </w:pPr>
            <w:r w:rsidRPr="006A23C4">
              <w:rPr>
                <w:rFonts w:ascii="Book Antiqua" w:hAnsi="Book Antiqua"/>
                <w:bCs/>
                <w:color w:val="000000"/>
                <w:kern w:val="0"/>
                <w:sz w:val="24"/>
                <w:szCs w:val="24"/>
              </w:rPr>
              <w:t>0.035</w:t>
            </w:r>
          </w:p>
        </w:tc>
      </w:tr>
    </w:tbl>
    <w:p w:rsidR="007E0261" w:rsidRPr="006A23C4" w:rsidRDefault="007E0261" w:rsidP="00135736">
      <w:pPr>
        <w:autoSpaceDE w:val="0"/>
        <w:autoSpaceDN w:val="0"/>
        <w:adjustRightInd w:val="0"/>
        <w:spacing w:line="360" w:lineRule="auto"/>
        <w:rPr>
          <w:rFonts w:ascii="Book Antiqua" w:hAnsi="Book Antiqua"/>
          <w:color w:val="000000"/>
          <w:kern w:val="0"/>
          <w:sz w:val="24"/>
          <w:szCs w:val="24"/>
        </w:rPr>
      </w:pPr>
      <w:r w:rsidRPr="006A23C4">
        <w:rPr>
          <w:rFonts w:ascii="Book Antiqua" w:hAnsi="Book Antiqua"/>
          <w:color w:val="000000"/>
          <w:kern w:val="0"/>
          <w:sz w:val="24"/>
          <w:szCs w:val="24"/>
        </w:rPr>
        <w:t>EEN</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E</w:t>
      </w:r>
      <w:r w:rsidRPr="006A23C4">
        <w:rPr>
          <w:rFonts w:ascii="Book Antiqua" w:hAnsi="Book Antiqua"/>
          <w:color w:val="000000"/>
          <w:kern w:val="0"/>
          <w:sz w:val="24"/>
          <w:szCs w:val="24"/>
        </w:rPr>
        <w:t xml:space="preserve">arly enteral nutrition; </w:t>
      </w:r>
      <w:r w:rsidRPr="006A23C4">
        <w:rPr>
          <w:rFonts w:ascii="Book Antiqua" w:hAnsi="Book Antiqua"/>
          <w:bCs/>
          <w:color w:val="000000"/>
          <w:kern w:val="0"/>
          <w:sz w:val="24"/>
          <w:szCs w:val="24"/>
        </w:rPr>
        <w:t>DEN</w:t>
      </w:r>
      <w:r w:rsidR="009B4932" w:rsidRPr="006A23C4">
        <w:rPr>
          <w:rFonts w:ascii="Book Antiqua" w:hAnsi="Book Antiqua"/>
          <w:bCs/>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D</w:t>
      </w:r>
      <w:r w:rsidRPr="006A23C4">
        <w:rPr>
          <w:rFonts w:ascii="Book Antiqua" w:hAnsi="Book Antiqua"/>
          <w:color w:val="000000"/>
          <w:kern w:val="0"/>
          <w:sz w:val="24"/>
          <w:szCs w:val="24"/>
        </w:rPr>
        <w:t xml:space="preserve">elayed enteral nutrition; </w:t>
      </w:r>
      <w:r w:rsidRPr="006A23C4">
        <w:rPr>
          <w:rFonts w:ascii="Book Antiqua" w:hAnsi="Book Antiqua"/>
          <w:bCs/>
          <w:color w:val="000000"/>
          <w:kern w:val="0"/>
          <w:sz w:val="24"/>
          <w:szCs w:val="24"/>
        </w:rPr>
        <w:t>APACHE II</w:t>
      </w:r>
      <w:r w:rsidR="009B4932" w:rsidRPr="006A23C4">
        <w:rPr>
          <w:rFonts w:ascii="Book Antiqua" w:hAnsi="Book Antiqua"/>
          <w:bCs/>
          <w:color w:val="000000"/>
          <w:kern w:val="0"/>
          <w:sz w:val="24"/>
          <w:szCs w:val="24"/>
        </w:rPr>
        <w:t>:</w:t>
      </w:r>
      <w:r w:rsidRPr="006A23C4">
        <w:rPr>
          <w:rFonts w:ascii="Book Antiqua" w:hAnsi="Book Antiqua"/>
          <w:bCs/>
          <w:color w:val="000000"/>
          <w:kern w:val="0"/>
          <w:sz w:val="24"/>
          <w:szCs w:val="24"/>
        </w:rPr>
        <w:t xml:space="preserve"> </w:t>
      </w:r>
      <w:r w:rsidR="009B4932" w:rsidRPr="006A23C4">
        <w:rPr>
          <w:rFonts w:ascii="Book Antiqua" w:hAnsi="Book Antiqua"/>
          <w:color w:val="000000"/>
          <w:kern w:val="0"/>
          <w:sz w:val="24"/>
          <w:szCs w:val="24"/>
        </w:rPr>
        <w:t>A</w:t>
      </w:r>
      <w:r w:rsidRPr="006A23C4">
        <w:rPr>
          <w:rFonts w:ascii="Book Antiqua" w:hAnsi="Book Antiqua"/>
          <w:color w:val="000000"/>
          <w:kern w:val="0"/>
          <w:sz w:val="24"/>
          <w:szCs w:val="24"/>
        </w:rPr>
        <w:t>cute physiology and chronic health evaluation II;</w:t>
      </w:r>
      <w:r w:rsidRPr="006A23C4">
        <w:rPr>
          <w:rFonts w:ascii="Book Antiqua" w:hAnsi="Book Antiqua"/>
          <w:bCs/>
          <w:color w:val="000000"/>
          <w:kern w:val="0"/>
          <w:sz w:val="24"/>
          <w:szCs w:val="24"/>
        </w:rPr>
        <w:t xml:space="preserve"> SOFA</w:t>
      </w:r>
      <w:r w:rsidR="009B4932" w:rsidRPr="006A23C4">
        <w:rPr>
          <w:rFonts w:ascii="Book Antiqua" w:hAnsi="Book Antiqua"/>
          <w:bCs/>
          <w:color w:val="000000"/>
          <w:kern w:val="0"/>
          <w:sz w:val="24"/>
          <w:szCs w:val="24"/>
        </w:rPr>
        <w:t>:</w:t>
      </w:r>
      <w:r w:rsidRPr="006A23C4">
        <w:rPr>
          <w:rFonts w:ascii="Book Antiqua" w:hAnsi="Book Antiqua"/>
          <w:bCs/>
          <w:color w:val="000000"/>
          <w:kern w:val="0"/>
          <w:sz w:val="24"/>
          <w:szCs w:val="24"/>
        </w:rPr>
        <w:t xml:space="preserve"> </w:t>
      </w:r>
      <w:r w:rsidR="009B4932" w:rsidRPr="006A23C4">
        <w:rPr>
          <w:rFonts w:ascii="Book Antiqua" w:hAnsi="Book Antiqua"/>
          <w:color w:val="000000"/>
          <w:kern w:val="0"/>
          <w:sz w:val="24"/>
          <w:szCs w:val="24"/>
        </w:rPr>
        <w:t>S</w:t>
      </w:r>
      <w:r w:rsidRPr="006A23C4">
        <w:rPr>
          <w:rFonts w:ascii="Book Antiqua" w:hAnsi="Book Antiqua"/>
          <w:color w:val="000000"/>
          <w:kern w:val="0"/>
          <w:sz w:val="24"/>
          <w:szCs w:val="24"/>
        </w:rPr>
        <w:t>equential organ failure assessment; MV</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M</w:t>
      </w:r>
      <w:r w:rsidRPr="006A23C4">
        <w:rPr>
          <w:rFonts w:ascii="Book Antiqua" w:hAnsi="Book Antiqua"/>
          <w:color w:val="000000"/>
          <w:kern w:val="0"/>
          <w:sz w:val="24"/>
          <w:szCs w:val="24"/>
        </w:rPr>
        <w:t xml:space="preserve">echanical ventilation; </w:t>
      </w:r>
      <w:r w:rsidRPr="006A23C4">
        <w:rPr>
          <w:rFonts w:ascii="Book Antiqua" w:hAnsi="Book Antiqua"/>
          <w:bCs/>
          <w:color w:val="000000"/>
          <w:kern w:val="0"/>
          <w:sz w:val="24"/>
          <w:szCs w:val="24"/>
        </w:rPr>
        <w:t>CRRT</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C</w:t>
      </w:r>
      <w:r w:rsidRPr="006A23C4">
        <w:rPr>
          <w:rFonts w:ascii="Book Antiqua" w:hAnsi="Book Antiqua"/>
          <w:color w:val="000000"/>
          <w:kern w:val="0"/>
          <w:sz w:val="24"/>
          <w:szCs w:val="24"/>
        </w:rPr>
        <w:t>ontinuous renal replacement therapy; ICU</w:t>
      </w:r>
      <w:r w:rsidR="009B4932" w:rsidRPr="006A23C4">
        <w:rPr>
          <w:rFonts w:ascii="Book Antiqua" w:hAnsi="Book Antiqua"/>
          <w:color w:val="000000"/>
          <w:kern w:val="0"/>
          <w:sz w:val="24"/>
          <w:szCs w:val="24"/>
        </w:rPr>
        <w:t>:</w:t>
      </w:r>
      <w:r w:rsidRPr="006A23C4">
        <w:rPr>
          <w:rFonts w:ascii="Book Antiqua" w:hAnsi="Book Antiqua"/>
          <w:color w:val="000000"/>
          <w:kern w:val="0"/>
          <w:sz w:val="24"/>
          <w:szCs w:val="24"/>
        </w:rPr>
        <w:t xml:space="preserve"> </w:t>
      </w:r>
      <w:r w:rsidR="009B4932" w:rsidRPr="006A23C4">
        <w:rPr>
          <w:rFonts w:ascii="Book Antiqua" w:hAnsi="Book Antiqua"/>
          <w:color w:val="000000"/>
          <w:kern w:val="0"/>
          <w:sz w:val="24"/>
          <w:szCs w:val="24"/>
        </w:rPr>
        <w:t>I</w:t>
      </w:r>
      <w:r w:rsidRPr="006A23C4">
        <w:rPr>
          <w:rFonts w:ascii="Book Antiqua" w:hAnsi="Book Antiqua"/>
          <w:color w:val="000000"/>
          <w:kern w:val="0"/>
          <w:sz w:val="24"/>
          <w:szCs w:val="24"/>
        </w:rPr>
        <w:t>ntensive care unit.</w:t>
      </w:r>
    </w:p>
    <w:p w:rsidR="00544BDB" w:rsidRPr="006A23C4" w:rsidRDefault="00544BDB" w:rsidP="00135736">
      <w:pPr>
        <w:spacing w:line="360" w:lineRule="auto"/>
        <w:rPr>
          <w:rFonts w:ascii="Book Antiqua" w:hAnsi="Book Antiqua"/>
          <w:color w:val="000000"/>
          <w:sz w:val="24"/>
          <w:szCs w:val="24"/>
        </w:rPr>
      </w:pPr>
    </w:p>
    <w:sectPr w:rsidR="00544BDB" w:rsidRPr="006A23C4" w:rsidSect="00544B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64" w:rsidRDefault="00E45E64" w:rsidP="007E0261">
      <w:r>
        <w:separator/>
      </w:r>
    </w:p>
  </w:endnote>
  <w:endnote w:type="continuationSeparator" w:id="0">
    <w:p w:rsidR="00E45E64" w:rsidRDefault="00E45E64" w:rsidP="007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TimesNewRomanPS-BoldMT">
    <w:altName w:val="Segoe Print"/>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64" w:rsidRDefault="00E45E64" w:rsidP="007E0261">
      <w:r>
        <w:separator/>
      </w:r>
    </w:p>
  </w:footnote>
  <w:footnote w:type="continuationSeparator" w:id="0">
    <w:p w:rsidR="00E45E64" w:rsidRDefault="00E45E64" w:rsidP="007E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61"/>
    <w:rsid w:val="00015CD9"/>
    <w:rsid w:val="00020FCA"/>
    <w:rsid w:val="00085B89"/>
    <w:rsid w:val="000E68F3"/>
    <w:rsid w:val="000F7226"/>
    <w:rsid w:val="00135736"/>
    <w:rsid w:val="001373E0"/>
    <w:rsid w:val="00137B16"/>
    <w:rsid w:val="00167B26"/>
    <w:rsid w:val="001E5EE5"/>
    <w:rsid w:val="00242F4A"/>
    <w:rsid w:val="00243E1C"/>
    <w:rsid w:val="002A3F3A"/>
    <w:rsid w:val="002B133E"/>
    <w:rsid w:val="002C7D3B"/>
    <w:rsid w:val="0032530F"/>
    <w:rsid w:val="0032575C"/>
    <w:rsid w:val="003566D1"/>
    <w:rsid w:val="003947EA"/>
    <w:rsid w:val="003A685C"/>
    <w:rsid w:val="003B5ED1"/>
    <w:rsid w:val="003C6442"/>
    <w:rsid w:val="003F6906"/>
    <w:rsid w:val="003F7487"/>
    <w:rsid w:val="0042416F"/>
    <w:rsid w:val="00490F6A"/>
    <w:rsid w:val="004B33B4"/>
    <w:rsid w:val="004D70B9"/>
    <w:rsid w:val="00544BDB"/>
    <w:rsid w:val="00557A3B"/>
    <w:rsid w:val="00574A61"/>
    <w:rsid w:val="005A6458"/>
    <w:rsid w:val="005F2ABD"/>
    <w:rsid w:val="006221E2"/>
    <w:rsid w:val="006372EB"/>
    <w:rsid w:val="006A230B"/>
    <w:rsid w:val="006A23C4"/>
    <w:rsid w:val="006D31F2"/>
    <w:rsid w:val="006E6EFA"/>
    <w:rsid w:val="0071157B"/>
    <w:rsid w:val="00772353"/>
    <w:rsid w:val="00781688"/>
    <w:rsid w:val="007D3E6E"/>
    <w:rsid w:val="007E0261"/>
    <w:rsid w:val="008413C5"/>
    <w:rsid w:val="008601F5"/>
    <w:rsid w:val="008D3F50"/>
    <w:rsid w:val="008E546A"/>
    <w:rsid w:val="00910D2E"/>
    <w:rsid w:val="009520CE"/>
    <w:rsid w:val="00987482"/>
    <w:rsid w:val="00996A35"/>
    <w:rsid w:val="009B35A5"/>
    <w:rsid w:val="009B4932"/>
    <w:rsid w:val="009E3E12"/>
    <w:rsid w:val="009F4B66"/>
    <w:rsid w:val="00A167B3"/>
    <w:rsid w:val="00AA157E"/>
    <w:rsid w:val="00AB3698"/>
    <w:rsid w:val="00AB5A8D"/>
    <w:rsid w:val="00B13E10"/>
    <w:rsid w:val="00B34D3D"/>
    <w:rsid w:val="00B6334E"/>
    <w:rsid w:val="00B81049"/>
    <w:rsid w:val="00BC4097"/>
    <w:rsid w:val="00BD651B"/>
    <w:rsid w:val="00BE622E"/>
    <w:rsid w:val="00BF58D4"/>
    <w:rsid w:val="00C40EB0"/>
    <w:rsid w:val="00C67F38"/>
    <w:rsid w:val="00C728B9"/>
    <w:rsid w:val="00C826BA"/>
    <w:rsid w:val="00C87AC2"/>
    <w:rsid w:val="00CA63BF"/>
    <w:rsid w:val="00CE1BF2"/>
    <w:rsid w:val="00CF2E5C"/>
    <w:rsid w:val="00D36A1E"/>
    <w:rsid w:val="00D9387B"/>
    <w:rsid w:val="00DB4BFE"/>
    <w:rsid w:val="00DC2AEC"/>
    <w:rsid w:val="00DE5759"/>
    <w:rsid w:val="00DE6972"/>
    <w:rsid w:val="00E45E64"/>
    <w:rsid w:val="00E73406"/>
    <w:rsid w:val="00EE1356"/>
    <w:rsid w:val="00F10078"/>
    <w:rsid w:val="00F10718"/>
    <w:rsid w:val="00F2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6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2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E0261"/>
    <w:rPr>
      <w:sz w:val="18"/>
      <w:szCs w:val="18"/>
    </w:rPr>
  </w:style>
  <w:style w:type="paragraph" w:styleId="a4">
    <w:name w:val="footer"/>
    <w:basedOn w:val="a"/>
    <w:link w:val="Char0"/>
    <w:uiPriority w:val="99"/>
    <w:unhideWhenUsed/>
    <w:rsid w:val="007E0261"/>
    <w:pPr>
      <w:tabs>
        <w:tab w:val="center" w:pos="4153"/>
        <w:tab w:val="right" w:pos="8306"/>
      </w:tabs>
      <w:snapToGrid w:val="0"/>
      <w:jc w:val="left"/>
    </w:pPr>
    <w:rPr>
      <w:sz w:val="18"/>
      <w:szCs w:val="18"/>
    </w:rPr>
  </w:style>
  <w:style w:type="character" w:customStyle="1" w:styleId="Char0">
    <w:name w:val="页脚 Char"/>
    <w:link w:val="a4"/>
    <w:uiPriority w:val="99"/>
    <w:rsid w:val="007E0261"/>
    <w:rPr>
      <w:sz w:val="18"/>
      <w:szCs w:val="18"/>
    </w:rPr>
  </w:style>
  <w:style w:type="character" w:styleId="a5">
    <w:name w:val="Hyperlink"/>
    <w:rsid w:val="007E0261"/>
    <w:rPr>
      <w:color w:val="0000FF"/>
      <w:u w:val="single"/>
    </w:rPr>
  </w:style>
  <w:style w:type="paragraph" w:styleId="a6">
    <w:name w:val="annotation text"/>
    <w:basedOn w:val="a"/>
    <w:link w:val="Char1"/>
    <w:uiPriority w:val="99"/>
    <w:qFormat/>
    <w:rsid w:val="007E0261"/>
    <w:rPr>
      <w:rFonts w:ascii="Tahoma" w:hAnsi="Tahoma"/>
      <w:sz w:val="16"/>
      <w:szCs w:val="20"/>
      <w:lang w:val="x-none"/>
    </w:rPr>
  </w:style>
  <w:style w:type="character" w:customStyle="1" w:styleId="Char1">
    <w:name w:val="批注文字 Char"/>
    <w:link w:val="a6"/>
    <w:uiPriority w:val="99"/>
    <w:qFormat/>
    <w:rsid w:val="007E0261"/>
    <w:rPr>
      <w:rFonts w:ascii="Tahoma" w:eastAsia="宋体" w:hAnsi="Tahoma" w:cs="Times New Roman"/>
      <w:sz w:val="16"/>
      <w:szCs w:val="20"/>
      <w:lang w:val="x-none"/>
    </w:rPr>
  </w:style>
  <w:style w:type="character" w:styleId="a7">
    <w:name w:val="annotation reference"/>
    <w:uiPriority w:val="99"/>
    <w:qFormat/>
    <w:rsid w:val="007E0261"/>
    <w:rPr>
      <w:rFonts w:ascii="Tahoma" w:hAnsi="Tahoma" w:cs="Tahoma"/>
      <w:b w:val="0"/>
      <w:i w:val="0"/>
      <w:caps w:val="0"/>
      <w:strike w:val="0"/>
      <w:sz w:val="16"/>
      <w:szCs w:val="16"/>
      <w:u w:val="none"/>
    </w:rPr>
  </w:style>
  <w:style w:type="character" w:styleId="a8">
    <w:name w:val="Strong"/>
    <w:uiPriority w:val="22"/>
    <w:qFormat/>
    <w:rsid w:val="007E0261"/>
    <w:rPr>
      <w:rFonts w:cs="Times New Roman"/>
      <w:b/>
    </w:rPr>
  </w:style>
  <w:style w:type="paragraph" w:styleId="a9">
    <w:name w:val="Normal (Web)"/>
    <w:basedOn w:val="a"/>
    <w:unhideWhenUsed/>
    <w:rsid w:val="007E0261"/>
    <w:pPr>
      <w:widowControl/>
      <w:spacing w:before="100" w:beforeAutospacing="1" w:after="100" w:afterAutospacing="1"/>
      <w:jc w:val="left"/>
    </w:pPr>
    <w:rPr>
      <w:rFonts w:ascii="Times New Roman" w:eastAsia="Times New Roman" w:hAnsi="Times New Roman"/>
      <w:kern w:val="0"/>
      <w:sz w:val="24"/>
      <w:szCs w:val="24"/>
    </w:rPr>
  </w:style>
  <w:style w:type="paragraph" w:styleId="aa">
    <w:name w:val="Balloon Text"/>
    <w:basedOn w:val="a"/>
    <w:link w:val="Char2"/>
    <w:uiPriority w:val="99"/>
    <w:semiHidden/>
    <w:unhideWhenUsed/>
    <w:rsid w:val="007E0261"/>
    <w:rPr>
      <w:sz w:val="18"/>
      <w:szCs w:val="18"/>
    </w:rPr>
  </w:style>
  <w:style w:type="character" w:customStyle="1" w:styleId="Char2">
    <w:name w:val="批注框文本 Char"/>
    <w:link w:val="aa"/>
    <w:uiPriority w:val="99"/>
    <w:semiHidden/>
    <w:rsid w:val="007E026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6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2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E0261"/>
    <w:rPr>
      <w:sz w:val="18"/>
      <w:szCs w:val="18"/>
    </w:rPr>
  </w:style>
  <w:style w:type="paragraph" w:styleId="a4">
    <w:name w:val="footer"/>
    <w:basedOn w:val="a"/>
    <w:link w:val="Char0"/>
    <w:uiPriority w:val="99"/>
    <w:unhideWhenUsed/>
    <w:rsid w:val="007E0261"/>
    <w:pPr>
      <w:tabs>
        <w:tab w:val="center" w:pos="4153"/>
        <w:tab w:val="right" w:pos="8306"/>
      </w:tabs>
      <w:snapToGrid w:val="0"/>
      <w:jc w:val="left"/>
    </w:pPr>
    <w:rPr>
      <w:sz w:val="18"/>
      <w:szCs w:val="18"/>
    </w:rPr>
  </w:style>
  <w:style w:type="character" w:customStyle="1" w:styleId="Char0">
    <w:name w:val="页脚 Char"/>
    <w:link w:val="a4"/>
    <w:uiPriority w:val="99"/>
    <w:rsid w:val="007E0261"/>
    <w:rPr>
      <w:sz w:val="18"/>
      <w:szCs w:val="18"/>
    </w:rPr>
  </w:style>
  <w:style w:type="character" w:styleId="a5">
    <w:name w:val="Hyperlink"/>
    <w:rsid w:val="007E0261"/>
    <w:rPr>
      <w:color w:val="0000FF"/>
      <w:u w:val="single"/>
    </w:rPr>
  </w:style>
  <w:style w:type="paragraph" w:styleId="a6">
    <w:name w:val="annotation text"/>
    <w:basedOn w:val="a"/>
    <w:link w:val="Char1"/>
    <w:uiPriority w:val="99"/>
    <w:qFormat/>
    <w:rsid w:val="007E0261"/>
    <w:rPr>
      <w:rFonts w:ascii="Tahoma" w:hAnsi="Tahoma"/>
      <w:sz w:val="16"/>
      <w:szCs w:val="20"/>
      <w:lang w:val="x-none"/>
    </w:rPr>
  </w:style>
  <w:style w:type="character" w:customStyle="1" w:styleId="Char1">
    <w:name w:val="批注文字 Char"/>
    <w:link w:val="a6"/>
    <w:uiPriority w:val="99"/>
    <w:qFormat/>
    <w:rsid w:val="007E0261"/>
    <w:rPr>
      <w:rFonts w:ascii="Tahoma" w:eastAsia="宋体" w:hAnsi="Tahoma" w:cs="Times New Roman"/>
      <w:sz w:val="16"/>
      <w:szCs w:val="20"/>
      <w:lang w:val="x-none"/>
    </w:rPr>
  </w:style>
  <w:style w:type="character" w:styleId="a7">
    <w:name w:val="annotation reference"/>
    <w:uiPriority w:val="99"/>
    <w:qFormat/>
    <w:rsid w:val="007E0261"/>
    <w:rPr>
      <w:rFonts w:ascii="Tahoma" w:hAnsi="Tahoma" w:cs="Tahoma"/>
      <w:b w:val="0"/>
      <w:i w:val="0"/>
      <w:caps w:val="0"/>
      <w:strike w:val="0"/>
      <w:sz w:val="16"/>
      <w:szCs w:val="16"/>
      <w:u w:val="none"/>
    </w:rPr>
  </w:style>
  <w:style w:type="character" w:styleId="a8">
    <w:name w:val="Strong"/>
    <w:uiPriority w:val="22"/>
    <w:qFormat/>
    <w:rsid w:val="007E0261"/>
    <w:rPr>
      <w:rFonts w:cs="Times New Roman"/>
      <w:b/>
    </w:rPr>
  </w:style>
  <w:style w:type="paragraph" w:styleId="a9">
    <w:name w:val="Normal (Web)"/>
    <w:basedOn w:val="a"/>
    <w:unhideWhenUsed/>
    <w:rsid w:val="007E0261"/>
    <w:pPr>
      <w:widowControl/>
      <w:spacing w:before="100" w:beforeAutospacing="1" w:after="100" w:afterAutospacing="1"/>
      <w:jc w:val="left"/>
    </w:pPr>
    <w:rPr>
      <w:rFonts w:ascii="Times New Roman" w:eastAsia="Times New Roman" w:hAnsi="Times New Roman"/>
      <w:kern w:val="0"/>
      <w:sz w:val="24"/>
      <w:szCs w:val="24"/>
    </w:rPr>
  </w:style>
  <w:style w:type="paragraph" w:styleId="aa">
    <w:name w:val="Balloon Text"/>
    <w:basedOn w:val="a"/>
    <w:link w:val="Char2"/>
    <w:uiPriority w:val="99"/>
    <w:semiHidden/>
    <w:unhideWhenUsed/>
    <w:rsid w:val="007E0261"/>
    <w:rPr>
      <w:sz w:val="18"/>
      <w:szCs w:val="18"/>
    </w:rPr>
  </w:style>
  <w:style w:type="character" w:customStyle="1" w:styleId="Char2">
    <w:name w:val="批注框文本 Char"/>
    <w:link w:val="aa"/>
    <w:uiPriority w:val="99"/>
    <w:semiHidden/>
    <w:rsid w:val="007E026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336">
      <w:bodyDiv w:val="1"/>
      <w:marLeft w:val="0"/>
      <w:marRight w:val="0"/>
      <w:marTop w:val="0"/>
      <w:marBottom w:val="0"/>
      <w:divBdr>
        <w:top w:val="none" w:sz="0" w:space="0" w:color="auto"/>
        <w:left w:val="none" w:sz="0" w:space="0" w:color="auto"/>
        <w:bottom w:val="none" w:sz="0" w:space="0" w:color="auto"/>
        <w:right w:val="none" w:sz="0" w:space="0" w:color="auto"/>
      </w:divBdr>
      <w:divsChild>
        <w:div w:id="26637274">
          <w:marLeft w:val="0"/>
          <w:marRight w:val="0"/>
          <w:marTop w:val="0"/>
          <w:marBottom w:val="0"/>
          <w:divBdr>
            <w:top w:val="none" w:sz="0" w:space="0" w:color="auto"/>
            <w:left w:val="none" w:sz="0" w:space="0" w:color="auto"/>
            <w:bottom w:val="none" w:sz="0" w:space="0" w:color="auto"/>
            <w:right w:val="none" w:sz="0" w:space="0" w:color="auto"/>
          </w:divBdr>
          <w:divsChild>
            <w:div w:id="158346557">
              <w:marLeft w:val="0"/>
              <w:marRight w:val="0"/>
              <w:marTop w:val="0"/>
              <w:marBottom w:val="0"/>
              <w:divBdr>
                <w:top w:val="single" w:sz="6" w:space="0" w:color="DEDEDE"/>
                <w:left w:val="single" w:sz="6" w:space="0" w:color="DEDEDE"/>
                <w:bottom w:val="single" w:sz="6" w:space="0" w:color="DEDEDE"/>
                <w:right w:val="single" w:sz="6" w:space="0" w:color="DEDEDE"/>
              </w:divBdr>
              <w:divsChild>
                <w:div w:id="1307323051">
                  <w:marLeft w:val="0"/>
                  <w:marRight w:val="0"/>
                  <w:marTop w:val="0"/>
                  <w:marBottom w:val="0"/>
                  <w:divBdr>
                    <w:top w:val="none" w:sz="0" w:space="0" w:color="auto"/>
                    <w:left w:val="none" w:sz="0" w:space="0" w:color="auto"/>
                    <w:bottom w:val="none" w:sz="0" w:space="0" w:color="auto"/>
                    <w:right w:val="none" w:sz="0" w:space="0" w:color="auto"/>
                  </w:divBdr>
                  <w:divsChild>
                    <w:div w:id="207627772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16999497">
          <w:marLeft w:val="0"/>
          <w:marRight w:val="0"/>
          <w:marTop w:val="0"/>
          <w:marBottom w:val="0"/>
          <w:divBdr>
            <w:top w:val="none" w:sz="0" w:space="0" w:color="auto"/>
            <w:left w:val="none" w:sz="0" w:space="0" w:color="auto"/>
            <w:bottom w:val="none" w:sz="0" w:space="0" w:color="auto"/>
            <w:right w:val="none" w:sz="0" w:space="0" w:color="auto"/>
          </w:divBdr>
          <w:divsChild>
            <w:div w:id="1723098463">
              <w:marLeft w:val="0"/>
              <w:marRight w:val="0"/>
              <w:marTop w:val="0"/>
              <w:marBottom w:val="0"/>
              <w:divBdr>
                <w:top w:val="none" w:sz="0" w:space="0" w:color="auto"/>
                <w:left w:val="none" w:sz="0" w:space="0" w:color="auto"/>
                <w:bottom w:val="none" w:sz="0" w:space="0" w:color="auto"/>
                <w:right w:val="none" w:sz="0" w:space="0" w:color="auto"/>
              </w:divBdr>
              <w:divsChild>
                <w:div w:id="828642461">
                  <w:marLeft w:val="0"/>
                  <w:marRight w:val="0"/>
                  <w:marTop w:val="0"/>
                  <w:marBottom w:val="0"/>
                  <w:divBdr>
                    <w:top w:val="single" w:sz="6" w:space="8" w:color="EEEEEE"/>
                    <w:left w:val="none" w:sz="0" w:space="8" w:color="auto"/>
                    <w:bottom w:val="single" w:sz="6" w:space="8" w:color="EEEEEE"/>
                    <w:right w:val="single" w:sz="6" w:space="8" w:color="EEEEEE"/>
                  </w:divBdr>
                  <w:divsChild>
                    <w:div w:id="797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708-2221"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1248-7974"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2-1916-6567"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orcid.org/0000-0002-0228-0152" TargetMode="External"/><Relationship Id="rId4" Type="http://schemas.openxmlformats.org/officeDocument/2006/relationships/webSettings" Target="webSettings.xml"/><Relationship Id="rId9" Type="http://schemas.openxmlformats.org/officeDocument/2006/relationships/hyperlink" Target="http://orcid.org/0000-0002-4692-487X"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5722</Words>
  <Characters>32622</Characters>
  <Application>Microsoft Office Word</Application>
  <DocSecurity>0</DocSecurity>
  <PresentationFormat/>
  <Lines>271</Lines>
  <Paragraphs>76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38268</CharactersWithSpaces>
  <SharedDoc>false</SharedDoc>
  <HLinks>
    <vt:vector size="30" baseType="variant">
      <vt:variant>
        <vt:i4>4915267</vt:i4>
      </vt:variant>
      <vt:variant>
        <vt:i4>12</vt:i4>
      </vt:variant>
      <vt:variant>
        <vt:i4>0</vt:i4>
      </vt:variant>
      <vt:variant>
        <vt:i4>5</vt:i4>
      </vt:variant>
      <vt:variant>
        <vt:lpwstr>http://orcid.org/0000-0002-1916-6567</vt:lpwstr>
      </vt:variant>
      <vt:variant>
        <vt:lpwstr/>
      </vt:variant>
      <vt:variant>
        <vt:i4>4718659</vt:i4>
      </vt:variant>
      <vt:variant>
        <vt:i4>9</vt:i4>
      </vt:variant>
      <vt:variant>
        <vt:i4>0</vt:i4>
      </vt:variant>
      <vt:variant>
        <vt:i4>5</vt:i4>
      </vt:variant>
      <vt:variant>
        <vt:lpwstr>http://orcid.org/0000-0002-0228-0152</vt:lpwstr>
      </vt:variant>
      <vt:variant>
        <vt:lpwstr/>
      </vt:variant>
      <vt:variant>
        <vt:i4>262219</vt:i4>
      </vt:variant>
      <vt:variant>
        <vt:i4>6</vt:i4>
      </vt:variant>
      <vt:variant>
        <vt:i4>0</vt:i4>
      </vt:variant>
      <vt:variant>
        <vt:i4>5</vt:i4>
      </vt:variant>
      <vt:variant>
        <vt:lpwstr>http://orcid.org/0000-0002-4692-487X</vt:lpwstr>
      </vt:variant>
      <vt:variant>
        <vt:lpwstr/>
      </vt:variant>
      <vt:variant>
        <vt:i4>4784195</vt:i4>
      </vt:variant>
      <vt:variant>
        <vt:i4>3</vt:i4>
      </vt:variant>
      <vt:variant>
        <vt:i4>0</vt:i4>
      </vt:variant>
      <vt:variant>
        <vt:i4>5</vt:i4>
      </vt:variant>
      <vt:variant>
        <vt:lpwstr>http://orcid.org/0000-0003-2708-2221</vt:lpwstr>
      </vt:variant>
      <vt:variant>
        <vt:lpwstr/>
      </vt:variant>
      <vt:variant>
        <vt:i4>4259910</vt:i4>
      </vt:variant>
      <vt:variant>
        <vt:i4>0</vt:i4>
      </vt:variant>
      <vt:variant>
        <vt:i4>0</vt:i4>
      </vt:variant>
      <vt:variant>
        <vt:i4>5</vt:i4>
      </vt:variant>
      <vt:variant>
        <vt:lpwstr>http://orcid.org/0000-0002-1248-7974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sjk</dc:creator>
  <cp:lastModifiedBy>User</cp:lastModifiedBy>
  <cp:revision>2</cp:revision>
  <dcterms:created xsi:type="dcterms:W3CDTF">2019-06-14T07:07:00Z</dcterms:created>
  <dcterms:modified xsi:type="dcterms:W3CDTF">2019-06-14T07:07:00Z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