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1C1D2" w14:textId="765221DA" w:rsidR="00816D6D" w:rsidRPr="006B4444" w:rsidRDefault="00816D6D" w:rsidP="002F5696">
      <w:pPr>
        <w:pStyle w:val="Default"/>
        <w:spacing w:line="360" w:lineRule="auto"/>
        <w:jc w:val="both"/>
        <w:rPr>
          <w:rFonts w:cs="Times New Roman"/>
          <w:b/>
          <w:color w:val="auto"/>
          <w:lang w:val="en-US"/>
        </w:rPr>
      </w:pPr>
      <w:r w:rsidRPr="006B4444">
        <w:rPr>
          <w:rFonts w:cs="Times New Roman"/>
          <w:b/>
          <w:bCs/>
          <w:color w:val="auto"/>
          <w:lang w:val="en-US"/>
        </w:rPr>
        <w:t xml:space="preserve">Name of Journal: </w:t>
      </w:r>
      <w:r w:rsidRPr="006B4444">
        <w:rPr>
          <w:rFonts w:cs="Times New Roman"/>
          <w:b/>
          <w:i/>
          <w:iCs/>
          <w:color w:val="auto"/>
          <w:lang w:val="en-US"/>
        </w:rPr>
        <w:t>World Journal of Gastroenterology</w:t>
      </w:r>
    </w:p>
    <w:p w14:paraId="11D53C7B" w14:textId="77777777" w:rsidR="00816D6D" w:rsidRPr="006B4444" w:rsidRDefault="00D301E2" w:rsidP="002F5696">
      <w:pPr>
        <w:adjustRightInd w:val="0"/>
        <w:snapToGrid w:val="0"/>
        <w:spacing w:line="360" w:lineRule="auto"/>
        <w:jc w:val="both"/>
        <w:rPr>
          <w:rFonts w:ascii="Book Antiqua" w:hAnsi="Book Antiqua" w:cs="Arial"/>
          <w:b/>
          <w:lang w:val="en" w:eastAsia="zh-CN"/>
        </w:rPr>
      </w:pPr>
      <w:bookmarkStart w:id="0" w:name="_Hlk5632321"/>
      <w:r w:rsidRPr="006B4444">
        <w:rPr>
          <w:rFonts w:ascii="Book Antiqua" w:eastAsia="Times New Roman" w:hAnsi="Book Antiqua"/>
          <w:b/>
          <w:bCs/>
          <w:lang w:val="en-GB"/>
        </w:rPr>
        <w:t>Manuscript NO</w:t>
      </w:r>
      <w:r w:rsidRPr="006B4444">
        <w:rPr>
          <w:rFonts w:ascii="Book Antiqua" w:hAnsi="Book Antiqua" w:cs="Arial"/>
          <w:b/>
          <w:lang w:val="en"/>
        </w:rPr>
        <w:t xml:space="preserve">: </w:t>
      </w:r>
      <w:bookmarkEnd w:id="0"/>
      <w:r w:rsidRPr="006B4444">
        <w:rPr>
          <w:rFonts w:ascii="Book Antiqua" w:hAnsi="Book Antiqua" w:cs="Arial"/>
          <w:b/>
          <w:lang w:val="en" w:eastAsia="zh-CN"/>
        </w:rPr>
        <w:t>47509</w:t>
      </w:r>
    </w:p>
    <w:p w14:paraId="3C7DEE16" w14:textId="47E99477" w:rsidR="00816D6D" w:rsidRPr="006B4444" w:rsidRDefault="00816D6D" w:rsidP="002F5696">
      <w:pPr>
        <w:spacing w:line="360" w:lineRule="auto"/>
        <w:jc w:val="both"/>
        <w:rPr>
          <w:rFonts w:ascii="Book Antiqua" w:hAnsi="Book Antiqua"/>
          <w:b/>
          <w:lang w:val="en-US"/>
        </w:rPr>
      </w:pPr>
      <w:r w:rsidRPr="006B4444">
        <w:rPr>
          <w:rFonts w:ascii="Book Antiqua" w:hAnsi="Book Antiqua"/>
          <w:b/>
          <w:bCs/>
          <w:lang w:val="en-US"/>
        </w:rPr>
        <w:t xml:space="preserve">Manuscript Type: </w:t>
      </w:r>
      <w:r w:rsidRPr="006B4444">
        <w:rPr>
          <w:rFonts w:ascii="Book Antiqua" w:hAnsi="Book Antiqua"/>
          <w:b/>
          <w:lang w:val="en-US"/>
        </w:rPr>
        <w:t>REVIEW</w:t>
      </w:r>
    </w:p>
    <w:p w14:paraId="46238CB2" w14:textId="77777777" w:rsidR="00816D6D" w:rsidRPr="006B4444" w:rsidRDefault="00816D6D" w:rsidP="002F5696">
      <w:pPr>
        <w:spacing w:line="360" w:lineRule="auto"/>
        <w:jc w:val="both"/>
        <w:rPr>
          <w:rFonts w:ascii="Book Antiqua" w:hAnsi="Book Antiqua"/>
          <w:b/>
          <w:lang w:val="en-US"/>
        </w:rPr>
      </w:pPr>
    </w:p>
    <w:p w14:paraId="5CD9662C" w14:textId="60DD8A61" w:rsidR="00816D6D" w:rsidRPr="006B4444" w:rsidRDefault="00816D6D" w:rsidP="002F5696">
      <w:pPr>
        <w:spacing w:line="360" w:lineRule="auto"/>
        <w:jc w:val="both"/>
        <w:rPr>
          <w:rFonts w:ascii="Book Antiqua" w:hAnsi="Book Antiqua"/>
          <w:b/>
          <w:lang w:val="en-US"/>
        </w:rPr>
      </w:pPr>
      <w:bookmarkStart w:id="1" w:name="OLE_LINK26"/>
      <w:r w:rsidRPr="006B4444">
        <w:rPr>
          <w:rFonts w:ascii="Book Antiqua" w:hAnsi="Book Antiqua"/>
          <w:b/>
          <w:lang w:val="en-US"/>
        </w:rPr>
        <w:t xml:space="preserve">Reactivation of </w:t>
      </w:r>
      <w:r w:rsidR="002F5696" w:rsidRPr="006B4444">
        <w:rPr>
          <w:rFonts w:ascii="Book Antiqua" w:hAnsi="Book Antiqua"/>
          <w:b/>
          <w:lang w:val="en-GB"/>
        </w:rPr>
        <w:t>hepatitis B virus</w:t>
      </w:r>
      <w:r w:rsidRPr="006B4444">
        <w:rPr>
          <w:rFonts w:ascii="Book Antiqua" w:hAnsi="Book Antiqua"/>
          <w:b/>
          <w:lang w:val="en-US"/>
        </w:rPr>
        <w:t xml:space="preserve"> infection in patients with hemo-lymphoproliferative diseases, and its prevention</w:t>
      </w:r>
    </w:p>
    <w:bookmarkEnd w:id="1"/>
    <w:p w14:paraId="1B319A33" w14:textId="2E12A346" w:rsidR="00816D6D" w:rsidRPr="006B4444" w:rsidRDefault="00816D6D" w:rsidP="002F5696">
      <w:pPr>
        <w:spacing w:line="360" w:lineRule="auto"/>
        <w:jc w:val="both"/>
        <w:rPr>
          <w:rFonts w:ascii="Book Antiqua" w:hAnsi="Book Antiqua"/>
          <w:b/>
          <w:lang w:val="en-US"/>
        </w:rPr>
      </w:pPr>
    </w:p>
    <w:p w14:paraId="1C0E8DD2" w14:textId="26C43215" w:rsidR="002F5696" w:rsidRPr="006B4444" w:rsidRDefault="002F5696" w:rsidP="002F5696">
      <w:pPr>
        <w:spacing w:line="360" w:lineRule="auto"/>
        <w:jc w:val="both"/>
        <w:rPr>
          <w:rFonts w:ascii="Book Antiqua" w:hAnsi="Book Antiqua"/>
        </w:rPr>
      </w:pPr>
      <w:r w:rsidRPr="006B4444">
        <w:rPr>
          <w:rFonts w:ascii="Book Antiqua" w:hAnsi="Book Antiqua"/>
        </w:rPr>
        <w:t xml:space="preserve">Sagnelli C </w:t>
      </w:r>
      <w:r w:rsidRPr="006B4444">
        <w:rPr>
          <w:rFonts w:ascii="Book Antiqua" w:hAnsi="Book Antiqua"/>
          <w:i/>
        </w:rPr>
        <w:t>et al</w:t>
      </w:r>
      <w:r w:rsidRPr="006B4444">
        <w:rPr>
          <w:rFonts w:ascii="Book Antiqua" w:hAnsi="Book Antiqua"/>
        </w:rPr>
        <w:t xml:space="preserve">. </w:t>
      </w:r>
      <w:bookmarkStart w:id="2" w:name="OLE_LINK27"/>
      <w:r w:rsidRPr="006B4444">
        <w:rPr>
          <w:rFonts w:ascii="Book Antiqua" w:hAnsi="Book Antiqua"/>
        </w:rPr>
        <w:t xml:space="preserve">HBV </w:t>
      </w:r>
      <w:r w:rsidR="001116D1" w:rsidRPr="006B4444">
        <w:rPr>
          <w:rFonts w:ascii="Book Antiqua" w:hAnsi="Book Antiqua"/>
        </w:rPr>
        <w:t>r</w:t>
      </w:r>
      <w:r w:rsidRPr="006B4444">
        <w:rPr>
          <w:rFonts w:ascii="Book Antiqua" w:hAnsi="Book Antiqua"/>
        </w:rPr>
        <w:t>eactivation in hemo-lymphoproliferative diseases</w:t>
      </w:r>
      <w:bookmarkEnd w:id="2"/>
    </w:p>
    <w:p w14:paraId="5AEA28F2" w14:textId="77777777" w:rsidR="002F5696" w:rsidRPr="006B4444" w:rsidRDefault="002F5696" w:rsidP="002F5696">
      <w:pPr>
        <w:spacing w:line="360" w:lineRule="auto"/>
        <w:jc w:val="both"/>
        <w:rPr>
          <w:rFonts w:ascii="Book Antiqua" w:hAnsi="Book Antiqua"/>
          <w:b/>
        </w:rPr>
      </w:pPr>
    </w:p>
    <w:p w14:paraId="58F565CD" w14:textId="584E3F1E" w:rsidR="00816D6D" w:rsidRPr="006B4444" w:rsidRDefault="00816D6D" w:rsidP="002F5696">
      <w:pPr>
        <w:spacing w:line="360" w:lineRule="auto"/>
        <w:jc w:val="both"/>
        <w:rPr>
          <w:rFonts w:ascii="Book Antiqua" w:hAnsi="Book Antiqua"/>
        </w:rPr>
      </w:pPr>
      <w:bookmarkStart w:id="3" w:name="_Hlk8634391"/>
      <w:r w:rsidRPr="006B4444">
        <w:rPr>
          <w:rFonts w:ascii="Book Antiqua" w:hAnsi="Book Antiqua"/>
        </w:rPr>
        <w:t>Caterina Sagnelli, Mar</w:t>
      </w:r>
      <w:r w:rsidR="00153FB2" w:rsidRPr="006B4444">
        <w:rPr>
          <w:rFonts w:ascii="Book Antiqua" w:hAnsi="Book Antiqua"/>
        </w:rPr>
        <w:t xml:space="preserve">iantonietta </w:t>
      </w:r>
      <w:r w:rsidRPr="006B4444">
        <w:rPr>
          <w:rFonts w:ascii="Book Antiqua" w:hAnsi="Book Antiqua"/>
        </w:rPr>
        <w:t xml:space="preserve">Pisaturo, </w:t>
      </w:r>
      <w:r w:rsidR="00F822BD" w:rsidRPr="006B4444">
        <w:rPr>
          <w:rFonts w:ascii="Book Antiqua" w:hAnsi="Book Antiqua"/>
        </w:rPr>
        <w:t>Federica Calò</w:t>
      </w:r>
      <w:r w:rsidRPr="006B4444">
        <w:rPr>
          <w:rFonts w:ascii="Book Antiqua" w:hAnsi="Book Antiqua"/>
        </w:rPr>
        <w:t xml:space="preserve">, </w:t>
      </w:r>
      <w:r w:rsidR="00F822BD" w:rsidRPr="006B4444">
        <w:rPr>
          <w:rFonts w:ascii="Book Antiqua" w:hAnsi="Book Antiqua"/>
        </w:rPr>
        <w:t>Salvatore Martini</w:t>
      </w:r>
      <w:r w:rsidRPr="006B4444">
        <w:rPr>
          <w:rFonts w:ascii="Book Antiqua" w:hAnsi="Book Antiqua"/>
        </w:rPr>
        <w:t>, Evangelista Sagnelli, Nicola Coppola</w:t>
      </w:r>
    </w:p>
    <w:bookmarkEnd w:id="3"/>
    <w:p w14:paraId="594F4A0E" w14:textId="77777777" w:rsidR="00816D6D" w:rsidRPr="006B4444" w:rsidRDefault="00816D6D" w:rsidP="002F5696">
      <w:pPr>
        <w:spacing w:line="360" w:lineRule="auto"/>
        <w:jc w:val="both"/>
        <w:rPr>
          <w:rFonts w:ascii="Book Antiqua" w:hAnsi="Book Antiqua"/>
          <w:b/>
        </w:rPr>
      </w:pPr>
    </w:p>
    <w:p w14:paraId="51D8DA18" w14:textId="16586D16" w:rsidR="00816D6D" w:rsidRPr="006B4444" w:rsidRDefault="00F822BD" w:rsidP="002F5696">
      <w:pPr>
        <w:spacing w:line="360" w:lineRule="auto"/>
        <w:jc w:val="both"/>
        <w:rPr>
          <w:rFonts w:ascii="Book Antiqua" w:hAnsi="Book Antiqua"/>
        </w:rPr>
      </w:pPr>
      <w:r w:rsidRPr="006B4444">
        <w:rPr>
          <w:rFonts w:ascii="Book Antiqua" w:hAnsi="Book Antiqua"/>
          <w:b/>
        </w:rPr>
        <w:t>Caterina Sagnelli, Mariantonietta Pisaturo, Federica Calò, Salvatore Martini, Evangelista Sagnelli, Nicola Coppola</w:t>
      </w:r>
      <w:r w:rsidRPr="006B4444">
        <w:rPr>
          <w:rFonts w:ascii="Book Antiqua" w:hAnsi="Book Antiqua"/>
          <w:b/>
          <w:lang w:eastAsia="zh-CN"/>
        </w:rPr>
        <w:t>,</w:t>
      </w:r>
      <w:r w:rsidRPr="006B4444">
        <w:rPr>
          <w:rFonts w:ascii="Book Antiqua" w:hAnsi="Book Antiqua"/>
          <w:lang w:eastAsia="zh-CN"/>
        </w:rPr>
        <w:t xml:space="preserve"> </w:t>
      </w:r>
      <w:bookmarkStart w:id="4" w:name="OLE_LINK2"/>
      <w:bookmarkStart w:id="5" w:name="OLE_LINK3"/>
      <w:r w:rsidR="00816D6D" w:rsidRPr="006B4444">
        <w:rPr>
          <w:rFonts w:ascii="Book Antiqua" w:hAnsi="Book Antiqua"/>
        </w:rPr>
        <w:t xml:space="preserve">Department of Mental Health and Public Medicine, Section of Infectious Diseases, University of Campania Luigi Vanvitelli, </w:t>
      </w:r>
      <w:r w:rsidR="002F5696" w:rsidRPr="006B4444">
        <w:rPr>
          <w:rFonts w:ascii="Book Antiqua" w:hAnsi="Book Antiqua"/>
        </w:rPr>
        <w:t xml:space="preserve">Naples </w:t>
      </w:r>
      <w:r w:rsidR="00841A1D" w:rsidRPr="006B4444">
        <w:rPr>
          <w:rFonts w:ascii="Book Antiqua" w:hAnsi="Book Antiqua"/>
        </w:rPr>
        <w:t>80127</w:t>
      </w:r>
      <w:r w:rsidR="001D47C8" w:rsidRPr="006B4444">
        <w:rPr>
          <w:rFonts w:ascii="Book Antiqua" w:hAnsi="Book Antiqua"/>
        </w:rPr>
        <w:t xml:space="preserve">, </w:t>
      </w:r>
      <w:r w:rsidR="00816D6D" w:rsidRPr="006B4444">
        <w:rPr>
          <w:rFonts w:ascii="Book Antiqua" w:hAnsi="Book Antiqua"/>
        </w:rPr>
        <w:t>Italy</w:t>
      </w:r>
      <w:bookmarkEnd w:id="4"/>
      <w:bookmarkEnd w:id="5"/>
    </w:p>
    <w:p w14:paraId="54AB2A38" w14:textId="77777777" w:rsidR="00153E63" w:rsidRPr="006B4444" w:rsidRDefault="00153E63" w:rsidP="002F5696">
      <w:pPr>
        <w:spacing w:line="360" w:lineRule="auto"/>
        <w:jc w:val="both"/>
        <w:rPr>
          <w:rFonts w:ascii="Book Antiqua" w:hAnsi="Book Antiqua"/>
          <w:b/>
          <w:bCs/>
        </w:rPr>
      </w:pPr>
    </w:p>
    <w:p w14:paraId="457F8BA6" w14:textId="595DB337" w:rsidR="00816D6D" w:rsidRPr="006B4444" w:rsidRDefault="00F822BD" w:rsidP="002F5696">
      <w:pPr>
        <w:spacing w:line="360" w:lineRule="auto"/>
        <w:jc w:val="both"/>
        <w:rPr>
          <w:rFonts w:ascii="Book Antiqua" w:hAnsi="Book Antiqua"/>
        </w:rPr>
      </w:pPr>
      <w:r w:rsidRPr="006B4444">
        <w:rPr>
          <w:rFonts w:ascii="Book Antiqua" w:eastAsia="MS Mincho" w:hAnsi="Book Antiqua"/>
          <w:b/>
          <w:bCs/>
          <w:shd w:val="clear" w:color="auto" w:fill="FFFFFF"/>
          <w:lang w:val="es-ES_tradnl" w:eastAsia="ja-JP"/>
        </w:rPr>
        <w:t>ORCID number</w:t>
      </w:r>
      <w:r w:rsidRPr="006B4444">
        <w:rPr>
          <w:rFonts w:ascii="Book Antiqua" w:eastAsia="MS Mincho" w:hAnsi="Book Antiqua"/>
          <w:b/>
          <w:lang w:eastAsia="ja-JP"/>
        </w:rPr>
        <w:t>:</w:t>
      </w:r>
      <w:r w:rsidRPr="006B4444">
        <w:rPr>
          <w:rFonts w:ascii="Book Antiqua" w:hAnsi="Book Antiqua"/>
          <w:b/>
          <w:lang w:eastAsia="zh-CN"/>
        </w:rPr>
        <w:t xml:space="preserve"> </w:t>
      </w:r>
      <w:r w:rsidR="00816D6D" w:rsidRPr="006B4444">
        <w:rPr>
          <w:rFonts w:ascii="Book Antiqua" w:hAnsi="Book Antiqua"/>
        </w:rPr>
        <w:t>Caterina Sagnelli (</w:t>
      </w:r>
      <w:r w:rsidR="001F76EC" w:rsidRPr="006B4444">
        <w:rPr>
          <w:rFonts w:ascii="Book Antiqua" w:hAnsi="Book Antiqua"/>
          <w:shd w:val="clear" w:color="auto" w:fill="FFFFFF"/>
        </w:rPr>
        <w:t>0000-0002-6413-7810</w:t>
      </w:r>
      <w:r w:rsidR="00816D6D" w:rsidRPr="006B4444">
        <w:rPr>
          <w:rFonts w:ascii="Book Antiqua" w:hAnsi="Book Antiqua"/>
        </w:rPr>
        <w:t>); Mar</w:t>
      </w:r>
      <w:r w:rsidR="00240C30" w:rsidRPr="006B4444">
        <w:rPr>
          <w:rFonts w:ascii="Book Antiqua" w:hAnsi="Book Antiqua"/>
        </w:rPr>
        <w:t xml:space="preserve">iantonietta </w:t>
      </w:r>
      <w:r w:rsidR="00816D6D" w:rsidRPr="006B4444">
        <w:rPr>
          <w:rFonts w:ascii="Book Antiqua" w:hAnsi="Book Antiqua"/>
        </w:rPr>
        <w:t>Pisaturo (</w:t>
      </w:r>
      <w:bookmarkStart w:id="6" w:name="OLE_LINK36"/>
      <w:bookmarkStart w:id="7" w:name="OLE_LINK37"/>
      <w:r w:rsidR="001F76EC" w:rsidRPr="006B4444">
        <w:rPr>
          <w:rFonts w:ascii="Book Antiqua" w:hAnsi="Book Antiqua"/>
          <w:shd w:val="clear" w:color="auto" w:fill="FFFFFF"/>
        </w:rPr>
        <w:t>0000-0001-5870-0956</w:t>
      </w:r>
      <w:bookmarkEnd w:id="6"/>
      <w:bookmarkEnd w:id="7"/>
      <w:r w:rsidR="00816D6D" w:rsidRPr="006B4444">
        <w:rPr>
          <w:rFonts w:ascii="Book Antiqua" w:hAnsi="Book Antiqua"/>
        </w:rPr>
        <w:t xml:space="preserve">); </w:t>
      </w:r>
      <w:r w:rsidR="001F76EC" w:rsidRPr="006B4444">
        <w:rPr>
          <w:rFonts w:ascii="Book Antiqua" w:hAnsi="Book Antiqua"/>
        </w:rPr>
        <w:t xml:space="preserve">Federica </w:t>
      </w:r>
      <w:r w:rsidR="00816D6D" w:rsidRPr="006B4444">
        <w:rPr>
          <w:rFonts w:ascii="Book Antiqua" w:hAnsi="Book Antiqua"/>
        </w:rPr>
        <w:t>Calò (</w:t>
      </w:r>
      <w:r w:rsidR="001F76EC" w:rsidRPr="006B4444">
        <w:rPr>
          <w:rFonts w:ascii="Book Antiqua" w:hAnsi="Book Antiqua"/>
        </w:rPr>
        <w:t>0000-0002-8817-3429</w:t>
      </w:r>
      <w:r w:rsidR="00816D6D" w:rsidRPr="006B4444">
        <w:rPr>
          <w:rFonts w:ascii="Book Antiqua" w:hAnsi="Book Antiqua"/>
        </w:rPr>
        <w:t>);</w:t>
      </w:r>
      <w:r w:rsidR="005C4450" w:rsidRPr="006B4444">
        <w:rPr>
          <w:rFonts w:ascii="Book Antiqua" w:hAnsi="Book Antiqua"/>
        </w:rPr>
        <w:t xml:space="preserve"> </w:t>
      </w:r>
      <w:r w:rsidR="00816D6D" w:rsidRPr="006B4444">
        <w:rPr>
          <w:rFonts w:ascii="Book Antiqua" w:hAnsi="Book Antiqua"/>
        </w:rPr>
        <w:t xml:space="preserve">Salvatore </w:t>
      </w:r>
      <w:r w:rsidR="001F76EC" w:rsidRPr="006B4444">
        <w:rPr>
          <w:rFonts w:ascii="Book Antiqua" w:hAnsi="Book Antiqua"/>
        </w:rPr>
        <w:t xml:space="preserve">Martini </w:t>
      </w:r>
      <w:r w:rsidR="00816D6D" w:rsidRPr="006B4444">
        <w:rPr>
          <w:rFonts w:ascii="Book Antiqua" w:hAnsi="Book Antiqua"/>
        </w:rPr>
        <w:t>(</w:t>
      </w:r>
      <w:hyperlink r:id="rId9" w:tgtFrame="_blank" w:history="1">
        <w:r w:rsidR="001F76EC" w:rsidRPr="006B4444">
          <w:rPr>
            <w:rStyle w:val="a8"/>
            <w:rFonts w:ascii="Book Antiqua" w:hAnsi="Book Antiqua"/>
            <w:color w:val="auto"/>
            <w:u w:val="none"/>
          </w:rPr>
          <w:t>0000-0001-5214-1268</w:t>
        </w:r>
      </w:hyperlink>
      <w:r w:rsidR="00816D6D" w:rsidRPr="006B4444">
        <w:rPr>
          <w:rFonts w:ascii="Book Antiqua" w:hAnsi="Book Antiqua"/>
        </w:rPr>
        <w:t>); Evangelista Sagnelli</w:t>
      </w:r>
      <w:r w:rsidR="002C58A0" w:rsidRPr="006B4444">
        <w:rPr>
          <w:rFonts w:ascii="Book Antiqua" w:hAnsi="Book Antiqua"/>
        </w:rPr>
        <w:t xml:space="preserve"> </w:t>
      </w:r>
      <w:r w:rsidR="00816D6D" w:rsidRPr="006B4444">
        <w:rPr>
          <w:rFonts w:ascii="Book Antiqua" w:hAnsi="Book Antiqua"/>
        </w:rPr>
        <w:t>(</w:t>
      </w:r>
      <w:r w:rsidR="001F76EC" w:rsidRPr="006B4444">
        <w:rPr>
          <w:rFonts w:ascii="Book Antiqua" w:hAnsi="Book Antiqua"/>
          <w:shd w:val="clear" w:color="auto" w:fill="FFFFFF"/>
        </w:rPr>
        <w:t>0000-0003-2817-8436</w:t>
      </w:r>
      <w:r w:rsidR="00816D6D" w:rsidRPr="006B4444">
        <w:rPr>
          <w:rFonts w:ascii="Book Antiqua" w:hAnsi="Book Antiqua"/>
        </w:rPr>
        <w:t>); Nicola Coppola</w:t>
      </w:r>
      <w:r w:rsidR="001F76EC" w:rsidRPr="006B4444">
        <w:rPr>
          <w:rFonts w:ascii="Book Antiqua" w:hAnsi="Book Antiqua"/>
        </w:rPr>
        <w:t xml:space="preserve"> </w:t>
      </w:r>
      <w:r w:rsidR="00816D6D" w:rsidRPr="006B4444">
        <w:rPr>
          <w:rFonts w:ascii="Book Antiqua" w:hAnsi="Book Antiqua"/>
        </w:rPr>
        <w:t>(</w:t>
      </w:r>
      <w:r w:rsidR="001F76EC" w:rsidRPr="006B4444">
        <w:rPr>
          <w:rFonts w:ascii="Book Antiqua" w:hAnsi="Book Antiqua"/>
          <w:shd w:val="clear" w:color="auto" w:fill="FFFFFF"/>
        </w:rPr>
        <w:t>0000-0001-5897-4949</w:t>
      </w:r>
      <w:r w:rsidR="00816D6D" w:rsidRPr="006B4444">
        <w:rPr>
          <w:rFonts w:ascii="Book Antiqua" w:hAnsi="Book Antiqua"/>
        </w:rPr>
        <w:t>)</w:t>
      </w:r>
      <w:r w:rsidRPr="006B4444">
        <w:rPr>
          <w:rFonts w:ascii="Book Antiqua" w:hAnsi="Book Antiqua"/>
        </w:rPr>
        <w:t>.</w:t>
      </w:r>
    </w:p>
    <w:p w14:paraId="491D28F5" w14:textId="77777777" w:rsidR="00816D6D" w:rsidRPr="006B4444" w:rsidRDefault="00816D6D" w:rsidP="002F5696">
      <w:pPr>
        <w:spacing w:line="360" w:lineRule="auto"/>
        <w:jc w:val="both"/>
        <w:rPr>
          <w:rFonts w:ascii="Book Antiqua" w:hAnsi="Book Antiqua"/>
          <w:bCs/>
        </w:rPr>
      </w:pPr>
    </w:p>
    <w:p w14:paraId="7EB92E0B" w14:textId="1872CE7C" w:rsidR="00816D6D" w:rsidRPr="006B4444" w:rsidRDefault="00F822BD" w:rsidP="002F5696">
      <w:pPr>
        <w:pStyle w:val="a4"/>
        <w:spacing w:before="0" w:beforeAutospacing="0" w:after="0" w:afterAutospacing="0" w:line="360" w:lineRule="auto"/>
        <w:jc w:val="both"/>
        <w:rPr>
          <w:rFonts w:ascii="Book Antiqua" w:hAnsi="Book Antiqua"/>
          <w:sz w:val="24"/>
          <w:szCs w:val="24"/>
          <w:lang w:val="en-US"/>
        </w:rPr>
      </w:pPr>
      <w:r w:rsidRPr="006B4444">
        <w:rPr>
          <w:rFonts w:ascii="Book Antiqua" w:eastAsia="MS Mincho" w:hAnsi="Book Antiqua"/>
          <w:b/>
          <w:sz w:val="24"/>
          <w:szCs w:val="24"/>
          <w:lang w:val="es-ES_tradnl" w:eastAsia="ja-JP"/>
        </w:rPr>
        <w:t>Author contributions:</w:t>
      </w:r>
      <w:r w:rsidRPr="006B4444">
        <w:rPr>
          <w:rFonts w:ascii="Book Antiqua" w:hAnsi="Book Antiqua"/>
          <w:b/>
          <w:sz w:val="24"/>
          <w:szCs w:val="24"/>
          <w:lang w:val="es-ES_tradnl" w:eastAsia="zh-CN"/>
        </w:rPr>
        <w:t xml:space="preserve"> </w:t>
      </w:r>
      <w:r w:rsidR="00816D6D" w:rsidRPr="006B4444">
        <w:rPr>
          <w:rFonts w:ascii="Book Antiqua" w:hAnsi="Book Antiqua"/>
          <w:sz w:val="24"/>
          <w:szCs w:val="24"/>
          <w:lang w:val="en-US"/>
        </w:rPr>
        <w:t>All authors equally contributed to this paper with conception and design of the study, literature review and analysis, drafting and critical revision and editing, and final approval of the final version.</w:t>
      </w:r>
    </w:p>
    <w:p w14:paraId="2128638B" w14:textId="77777777" w:rsidR="00816D6D" w:rsidRPr="006B4444" w:rsidRDefault="00816D6D" w:rsidP="002F5696">
      <w:pPr>
        <w:pStyle w:val="a4"/>
        <w:spacing w:before="0" w:beforeAutospacing="0" w:after="0" w:afterAutospacing="0" w:line="360" w:lineRule="auto"/>
        <w:jc w:val="both"/>
        <w:rPr>
          <w:rFonts w:ascii="Book Antiqua" w:hAnsi="Book Antiqua"/>
          <w:sz w:val="24"/>
          <w:szCs w:val="24"/>
          <w:lang w:val="en-US"/>
        </w:rPr>
      </w:pPr>
    </w:p>
    <w:p w14:paraId="257F959A" w14:textId="50F5273F" w:rsidR="00816D6D" w:rsidRPr="006B4444" w:rsidRDefault="00F822BD" w:rsidP="002F5696">
      <w:pPr>
        <w:autoSpaceDE w:val="0"/>
        <w:autoSpaceDN w:val="0"/>
        <w:adjustRightInd w:val="0"/>
        <w:spacing w:line="360" w:lineRule="auto"/>
        <w:jc w:val="both"/>
        <w:rPr>
          <w:rFonts w:ascii="Book Antiqua" w:hAnsi="Book Antiqua"/>
          <w:lang w:val="en-GB"/>
        </w:rPr>
      </w:pPr>
      <w:r w:rsidRPr="006B4444">
        <w:rPr>
          <w:rFonts w:ascii="Book Antiqua" w:eastAsia="MS Mincho" w:hAnsi="Book Antiqua"/>
          <w:b/>
          <w:lang w:val="es-ES_tradnl" w:eastAsia="ja-JP"/>
        </w:rPr>
        <w:t>Conflict-of-interest statement:</w:t>
      </w:r>
      <w:r w:rsidRPr="006B4444">
        <w:rPr>
          <w:rFonts w:ascii="Book Antiqua" w:hAnsi="Book Antiqua" w:cs="TimesNewRomanPS-BoldItalicMT"/>
          <w:b/>
          <w:bCs/>
          <w:iCs/>
          <w:lang w:val="es-ES_tradnl" w:eastAsia="zh-CN"/>
        </w:rPr>
        <w:t xml:space="preserve"> </w:t>
      </w:r>
      <w:r w:rsidR="00816D6D" w:rsidRPr="006B4444">
        <w:rPr>
          <w:rFonts w:ascii="Book Antiqua" w:hAnsi="Book Antiqua"/>
          <w:lang w:val="en-GB"/>
        </w:rPr>
        <w:t>All the authors of the manuscript declare that they have no conflict of interest regarding this paper.</w:t>
      </w:r>
    </w:p>
    <w:p w14:paraId="67EF7340" w14:textId="68255682" w:rsidR="00F822BD" w:rsidRPr="006B4444" w:rsidRDefault="00F822BD" w:rsidP="002F5696">
      <w:pPr>
        <w:autoSpaceDE w:val="0"/>
        <w:autoSpaceDN w:val="0"/>
        <w:adjustRightInd w:val="0"/>
        <w:spacing w:line="360" w:lineRule="auto"/>
        <w:jc w:val="both"/>
        <w:rPr>
          <w:rFonts w:ascii="Book Antiqua" w:hAnsi="Book Antiqua"/>
          <w:lang w:val="en-GB"/>
        </w:rPr>
      </w:pPr>
    </w:p>
    <w:p w14:paraId="59C0CA28" w14:textId="77777777" w:rsidR="00F822BD" w:rsidRPr="006B4444" w:rsidRDefault="00F822BD" w:rsidP="00F822BD">
      <w:pPr>
        <w:spacing w:line="360" w:lineRule="auto"/>
        <w:jc w:val="both"/>
        <w:rPr>
          <w:rFonts w:ascii="Book Antiqua" w:eastAsia="MS Mincho" w:hAnsi="Book Antiqua"/>
          <w:lang w:val="es-ES_tradnl" w:eastAsia="ja-JP"/>
        </w:rPr>
      </w:pPr>
      <w:bookmarkStart w:id="8" w:name="OLE_LINK507"/>
      <w:bookmarkStart w:id="9" w:name="OLE_LINK506"/>
      <w:bookmarkStart w:id="10" w:name="OLE_LINK496"/>
      <w:bookmarkStart w:id="11" w:name="OLE_LINK479"/>
      <w:r w:rsidRPr="006B4444">
        <w:rPr>
          <w:rFonts w:ascii="Book Antiqua" w:eastAsia="MS Mincho" w:hAnsi="Book Antiqua"/>
          <w:b/>
          <w:lang w:val="es-ES_tradnl" w:eastAsia="ja-JP"/>
        </w:rPr>
        <w:t xml:space="preserve">Open-Access: </w:t>
      </w:r>
      <w:r w:rsidRPr="006B4444">
        <w:rPr>
          <w:rFonts w:ascii="Book Antiqua" w:eastAsia="MS Mincho" w:hAnsi="Book Antiqua"/>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14:paraId="7B74A785" w14:textId="09D6CA3A" w:rsidR="00F822BD" w:rsidRPr="006B4444" w:rsidRDefault="00F822BD" w:rsidP="002F5696">
      <w:pPr>
        <w:autoSpaceDE w:val="0"/>
        <w:autoSpaceDN w:val="0"/>
        <w:adjustRightInd w:val="0"/>
        <w:spacing w:line="360" w:lineRule="auto"/>
        <w:jc w:val="both"/>
        <w:rPr>
          <w:rFonts w:ascii="Book Antiqua" w:hAnsi="Book Antiqua"/>
          <w:lang w:val="en-GB"/>
        </w:rPr>
      </w:pPr>
    </w:p>
    <w:p w14:paraId="1018C81F" w14:textId="57694DEA" w:rsidR="00F822BD" w:rsidRPr="006B4444" w:rsidRDefault="00F822BD" w:rsidP="002F5696">
      <w:pPr>
        <w:autoSpaceDE w:val="0"/>
        <w:autoSpaceDN w:val="0"/>
        <w:adjustRightInd w:val="0"/>
        <w:spacing w:line="360" w:lineRule="auto"/>
        <w:jc w:val="both"/>
        <w:rPr>
          <w:rFonts w:ascii="Book Antiqua" w:hAnsi="Book Antiqua"/>
          <w:lang w:val="en-GB" w:eastAsia="zh-CN"/>
        </w:rPr>
      </w:pPr>
      <w:r w:rsidRPr="006B4444">
        <w:rPr>
          <w:rFonts w:ascii="Book Antiqua" w:hAnsi="Book Antiqua"/>
          <w:b/>
          <w:lang w:val="en-GB" w:eastAsia="zh-CN"/>
        </w:rPr>
        <w:lastRenderedPageBreak/>
        <w:t>Manuscript source:</w:t>
      </w:r>
      <w:r w:rsidRPr="006B4444">
        <w:rPr>
          <w:rFonts w:ascii="Book Antiqua" w:hAnsi="Book Antiqua"/>
          <w:lang w:val="en-GB" w:eastAsia="zh-CN"/>
        </w:rPr>
        <w:t xml:space="preserve"> Invited manuscript</w:t>
      </w:r>
    </w:p>
    <w:p w14:paraId="2A9B0113" w14:textId="77777777" w:rsidR="00816D6D" w:rsidRPr="006B4444" w:rsidRDefault="00816D6D" w:rsidP="002F5696">
      <w:pPr>
        <w:autoSpaceDE w:val="0"/>
        <w:autoSpaceDN w:val="0"/>
        <w:adjustRightInd w:val="0"/>
        <w:spacing w:line="360" w:lineRule="auto"/>
        <w:jc w:val="both"/>
        <w:rPr>
          <w:rFonts w:ascii="Book Antiqua" w:hAnsi="Book Antiqua"/>
          <w:lang w:val="en-GB"/>
        </w:rPr>
      </w:pPr>
    </w:p>
    <w:p w14:paraId="3F133CF9" w14:textId="4B563DD3" w:rsidR="00B71E61" w:rsidRPr="006B4444" w:rsidRDefault="00F822BD" w:rsidP="002F5696">
      <w:pPr>
        <w:spacing w:line="360" w:lineRule="auto"/>
        <w:jc w:val="both"/>
        <w:rPr>
          <w:rFonts w:ascii="Book Antiqua" w:hAnsi="Book Antiqua"/>
          <w:lang w:val="en-GB"/>
        </w:rPr>
      </w:pPr>
      <w:r w:rsidRPr="006B4444">
        <w:rPr>
          <w:rFonts w:ascii="Book Antiqua" w:eastAsia="MS Mincho" w:hAnsi="Book Antiqua"/>
          <w:b/>
          <w:lang w:val="es-ES_tradnl" w:eastAsia="ja-JP"/>
        </w:rPr>
        <w:t>Corresponding author:</w:t>
      </w:r>
      <w:r w:rsidRPr="006B4444">
        <w:rPr>
          <w:rFonts w:ascii="Book Antiqua" w:hAnsi="Book Antiqua" w:cs="Arial"/>
          <w:b/>
          <w:bCs/>
          <w:lang w:val="es-ES_tradnl" w:eastAsia="zh-CN"/>
        </w:rPr>
        <w:t xml:space="preserve"> </w:t>
      </w:r>
      <w:r w:rsidR="00816D6D" w:rsidRPr="006B4444">
        <w:rPr>
          <w:rFonts w:ascii="Book Antiqua" w:hAnsi="Book Antiqua"/>
          <w:b/>
          <w:lang w:val="en-US"/>
        </w:rPr>
        <w:t>Caterina Sagnelli</w:t>
      </w:r>
      <w:r w:rsidR="00816D6D" w:rsidRPr="006B4444">
        <w:rPr>
          <w:rFonts w:ascii="Book Antiqua" w:hAnsi="Book Antiqua"/>
          <w:b/>
          <w:lang w:val="en-GB"/>
        </w:rPr>
        <w:t>,</w:t>
      </w:r>
      <w:r w:rsidR="00816D6D" w:rsidRPr="006B4444">
        <w:rPr>
          <w:rFonts w:ascii="Book Antiqua" w:hAnsi="Book Antiqua"/>
          <w:lang w:val="en-GB"/>
        </w:rPr>
        <w:t xml:space="preserve"> </w:t>
      </w:r>
      <w:r w:rsidR="00B71E61" w:rsidRPr="006B4444">
        <w:rPr>
          <w:rFonts w:ascii="Book Antiqua" w:hAnsi="Book Antiqua"/>
          <w:b/>
          <w:lang w:val="en-GB"/>
        </w:rPr>
        <w:t xml:space="preserve">MD, PhD, Associate Professor, Chief Doctor, Reader (Associate Professor), </w:t>
      </w:r>
      <w:bookmarkStart w:id="12" w:name="OLE_LINK31"/>
      <w:bookmarkStart w:id="13" w:name="OLE_LINK32"/>
      <w:r w:rsidRPr="006B4444">
        <w:rPr>
          <w:rFonts w:ascii="Book Antiqua" w:hAnsi="Book Antiqua"/>
          <w:lang w:val="en-GB"/>
        </w:rPr>
        <w:t>Department of Mental Health and Public Medicine</w:t>
      </w:r>
      <w:bookmarkEnd w:id="12"/>
      <w:bookmarkEnd w:id="13"/>
      <w:r w:rsidRPr="006B4444">
        <w:rPr>
          <w:rFonts w:ascii="Book Antiqua" w:hAnsi="Book Antiqua"/>
          <w:lang w:val="en-GB"/>
        </w:rPr>
        <w:t xml:space="preserve">, </w:t>
      </w:r>
      <w:bookmarkStart w:id="14" w:name="OLE_LINK33"/>
      <w:r w:rsidRPr="006B4444">
        <w:rPr>
          <w:rFonts w:ascii="Book Antiqua" w:hAnsi="Book Antiqua"/>
          <w:lang w:val="en-GB"/>
        </w:rPr>
        <w:t>Section of Infectious Diseases, University of Campania Luigi Vanvitelli</w:t>
      </w:r>
      <w:bookmarkEnd w:id="14"/>
      <w:r w:rsidRPr="006B4444">
        <w:rPr>
          <w:rFonts w:ascii="Book Antiqua" w:hAnsi="Book Antiqua"/>
          <w:lang w:val="en-GB"/>
        </w:rPr>
        <w:t xml:space="preserve">, </w:t>
      </w:r>
      <w:bookmarkStart w:id="15" w:name="OLE_LINK34"/>
      <w:r w:rsidR="00816D6D" w:rsidRPr="006B4444">
        <w:rPr>
          <w:rFonts w:ascii="Book Antiqua" w:hAnsi="Book Antiqua"/>
          <w:lang w:val="en-GB"/>
        </w:rPr>
        <w:t xml:space="preserve">Via L. </w:t>
      </w:r>
      <w:proofErr w:type="gramStart"/>
      <w:r w:rsidR="00816D6D" w:rsidRPr="006B4444">
        <w:rPr>
          <w:rFonts w:ascii="Book Antiqua" w:hAnsi="Book Antiqua"/>
          <w:lang w:val="en-GB"/>
        </w:rPr>
        <w:t>Armanni 5</w:t>
      </w:r>
      <w:bookmarkEnd w:id="15"/>
      <w:r w:rsidR="00816D6D" w:rsidRPr="006B4444">
        <w:rPr>
          <w:rFonts w:ascii="Book Antiqua" w:hAnsi="Book Antiqua"/>
          <w:lang w:val="en-GB"/>
        </w:rPr>
        <w:t xml:space="preserve">, </w:t>
      </w:r>
      <w:r w:rsidR="00B71E61" w:rsidRPr="006B4444">
        <w:rPr>
          <w:rFonts w:ascii="Book Antiqua" w:hAnsi="Book Antiqua"/>
          <w:lang w:val="en-GB"/>
        </w:rPr>
        <w:t xml:space="preserve">Naples </w:t>
      </w:r>
      <w:r w:rsidR="00816D6D" w:rsidRPr="006B4444">
        <w:rPr>
          <w:rFonts w:ascii="Book Antiqua" w:hAnsi="Book Antiqua"/>
          <w:lang w:val="en-GB"/>
        </w:rPr>
        <w:t>801</w:t>
      </w:r>
      <w:r w:rsidR="00B71E61" w:rsidRPr="006B4444">
        <w:rPr>
          <w:rFonts w:ascii="Book Antiqua" w:hAnsi="Book Antiqua"/>
          <w:lang w:val="en-GB"/>
        </w:rPr>
        <w:t>27</w:t>
      </w:r>
      <w:r w:rsidR="00816D6D" w:rsidRPr="006B4444">
        <w:rPr>
          <w:rFonts w:ascii="Book Antiqua" w:hAnsi="Book Antiqua"/>
          <w:lang w:val="en-GB"/>
        </w:rPr>
        <w:t>, Italy</w:t>
      </w:r>
      <w:r w:rsidR="00B71E61" w:rsidRPr="006B4444">
        <w:rPr>
          <w:rFonts w:ascii="Book Antiqua" w:hAnsi="Book Antiqua"/>
          <w:lang w:val="en-GB"/>
        </w:rPr>
        <w:t>.</w:t>
      </w:r>
      <w:proofErr w:type="gramEnd"/>
      <w:r w:rsidR="00B71E61" w:rsidRPr="006B4444">
        <w:rPr>
          <w:rFonts w:ascii="Book Antiqua" w:hAnsi="Book Antiqua"/>
          <w:lang w:val="en-GB"/>
        </w:rPr>
        <w:t xml:space="preserve"> cateina.sagnelli@unicampania.it; </w:t>
      </w:r>
      <w:hyperlink r:id="rId10" w:history="1">
        <w:r w:rsidR="00B71E61" w:rsidRPr="006B4444">
          <w:rPr>
            <w:rStyle w:val="a8"/>
            <w:rFonts w:ascii="Book Antiqua" w:hAnsi="Book Antiqua"/>
            <w:color w:val="auto"/>
            <w:u w:val="none"/>
            <w:lang w:val="en-GB"/>
          </w:rPr>
          <w:t>sagnelli.caterina@libero.it</w:t>
        </w:r>
      </w:hyperlink>
    </w:p>
    <w:p w14:paraId="00E54806" w14:textId="6667A133" w:rsidR="00B71E61" w:rsidRPr="006B4444" w:rsidRDefault="00B71E61" w:rsidP="002F5696">
      <w:pPr>
        <w:spacing w:line="360" w:lineRule="auto"/>
        <w:jc w:val="both"/>
        <w:rPr>
          <w:rFonts w:ascii="Book Antiqua" w:hAnsi="Book Antiqua"/>
          <w:lang w:val="en-GB"/>
        </w:rPr>
      </w:pPr>
      <w:r w:rsidRPr="006B4444">
        <w:rPr>
          <w:rFonts w:ascii="Book Antiqua" w:hAnsi="Book Antiqua"/>
          <w:b/>
          <w:bCs/>
          <w:lang w:val="en-GB"/>
        </w:rPr>
        <w:t>Telephone:</w:t>
      </w:r>
      <w:r w:rsidRPr="006B4444">
        <w:rPr>
          <w:rFonts w:ascii="Book Antiqua" w:hAnsi="Book Antiqua"/>
          <w:b/>
          <w:bCs/>
          <w:lang w:val="en-GB" w:eastAsia="zh-CN"/>
        </w:rPr>
        <w:t xml:space="preserve"> </w:t>
      </w:r>
      <w:bookmarkStart w:id="16" w:name="OLE_LINK35"/>
      <w:r w:rsidRPr="006B4444">
        <w:rPr>
          <w:rFonts w:ascii="Book Antiqua" w:hAnsi="Book Antiqua"/>
          <w:lang w:val="en-GB"/>
        </w:rPr>
        <w:t>+</w:t>
      </w:r>
      <w:r w:rsidR="00BE4A4A" w:rsidRPr="006B4444">
        <w:rPr>
          <w:rFonts w:ascii="Book Antiqua" w:hAnsi="Book Antiqua"/>
          <w:lang w:val="en-GB"/>
        </w:rPr>
        <w:t>39-</w:t>
      </w:r>
      <w:r w:rsidR="00816D6D" w:rsidRPr="006B4444">
        <w:rPr>
          <w:rFonts w:ascii="Book Antiqua" w:hAnsi="Book Antiqua"/>
          <w:lang w:val="en-GB"/>
        </w:rPr>
        <w:t>81</w:t>
      </w:r>
      <w:r w:rsidRPr="006B4444">
        <w:rPr>
          <w:rFonts w:ascii="Book Antiqua" w:hAnsi="Book Antiqua"/>
          <w:lang w:val="en-GB"/>
        </w:rPr>
        <w:t>-</w:t>
      </w:r>
      <w:r w:rsidR="00816D6D" w:rsidRPr="006B4444">
        <w:rPr>
          <w:rFonts w:ascii="Book Antiqua" w:hAnsi="Book Antiqua"/>
          <w:lang w:val="en-GB"/>
        </w:rPr>
        <w:t>5666719</w:t>
      </w:r>
      <w:bookmarkEnd w:id="16"/>
    </w:p>
    <w:p w14:paraId="1784FE5C" w14:textId="309FFC0B" w:rsidR="00816D6D" w:rsidRPr="006B4444" w:rsidRDefault="00816D6D" w:rsidP="002F5696">
      <w:pPr>
        <w:spacing w:line="360" w:lineRule="auto"/>
        <w:jc w:val="both"/>
        <w:rPr>
          <w:rFonts w:ascii="Book Antiqua" w:hAnsi="Book Antiqua"/>
          <w:lang w:val="en-GB"/>
        </w:rPr>
      </w:pPr>
      <w:r w:rsidRPr="006B4444">
        <w:rPr>
          <w:rFonts w:ascii="Book Antiqua" w:hAnsi="Book Antiqua"/>
          <w:b/>
          <w:lang w:val="en-GB"/>
        </w:rPr>
        <w:t>Fax:</w:t>
      </w:r>
      <w:r w:rsidRPr="006B4444">
        <w:rPr>
          <w:rFonts w:ascii="Book Antiqua" w:hAnsi="Book Antiqua"/>
          <w:lang w:val="en-GB"/>
        </w:rPr>
        <w:t xml:space="preserve"> </w:t>
      </w:r>
      <w:r w:rsidR="00B71E61" w:rsidRPr="006B4444">
        <w:rPr>
          <w:rFonts w:ascii="Book Antiqua" w:hAnsi="Book Antiqua"/>
          <w:lang w:val="en-GB"/>
        </w:rPr>
        <w:t>+</w:t>
      </w:r>
      <w:r w:rsidR="00BE4A4A" w:rsidRPr="006B4444">
        <w:rPr>
          <w:rFonts w:ascii="Book Antiqua" w:hAnsi="Book Antiqua"/>
          <w:lang w:val="en-GB"/>
        </w:rPr>
        <w:t>39-</w:t>
      </w:r>
      <w:r w:rsidRPr="006B4444">
        <w:rPr>
          <w:rFonts w:ascii="Book Antiqua" w:hAnsi="Book Antiqua"/>
          <w:lang w:val="en-GB"/>
        </w:rPr>
        <w:t>81</w:t>
      </w:r>
      <w:r w:rsidR="00B71E61" w:rsidRPr="006B4444">
        <w:rPr>
          <w:rFonts w:ascii="Book Antiqua" w:hAnsi="Book Antiqua"/>
          <w:lang w:val="en-GB"/>
        </w:rPr>
        <w:t>-</w:t>
      </w:r>
      <w:r w:rsidRPr="006B4444">
        <w:rPr>
          <w:rFonts w:ascii="Book Antiqua" w:hAnsi="Book Antiqua"/>
          <w:lang w:val="en-GB"/>
        </w:rPr>
        <w:t>5666207</w:t>
      </w:r>
    </w:p>
    <w:p w14:paraId="102A5429" w14:textId="77777777" w:rsidR="00B71E61" w:rsidRPr="006B4444" w:rsidRDefault="00B71E61" w:rsidP="002F5696">
      <w:pPr>
        <w:spacing w:line="360" w:lineRule="auto"/>
        <w:jc w:val="both"/>
        <w:rPr>
          <w:rFonts w:ascii="Book Antiqua" w:hAnsi="Book Antiqua"/>
          <w:lang w:val="en-GB"/>
        </w:rPr>
      </w:pPr>
    </w:p>
    <w:p w14:paraId="0E3162B1" w14:textId="66B2EF9F" w:rsidR="00B71E61" w:rsidRPr="006B4444" w:rsidRDefault="00B71E61" w:rsidP="00B71E61">
      <w:pPr>
        <w:widowControl w:val="0"/>
        <w:spacing w:line="360" w:lineRule="auto"/>
        <w:jc w:val="both"/>
        <w:rPr>
          <w:rFonts w:ascii="Book Antiqua" w:hAnsi="Book Antiqua"/>
          <w:b/>
          <w:kern w:val="2"/>
          <w:lang w:val="en-US" w:eastAsia="zh-CN"/>
        </w:rPr>
      </w:pPr>
      <w:bookmarkStart w:id="17" w:name="OLE_LINK75"/>
      <w:bookmarkStart w:id="18" w:name="OLE_LINK76"/>
      <w:bookmarkStart w:id="19" w:name="OLE_LINK269"/>
      <w:bookmarkStart w:id="20" w:name="OLE_LINK239"/>
      <w:r w:rsidRPr="006B4444">
        <w:rPr>
          <w:rFonts w:ascii="Book Antiqua" w:hAnsi="Book Antiqua"/>
          <w:b/>
          <w:kern w:val="2"/>
          <w:lang w:val="en-US" w:eastAsia="zh-CN"/>
        </w:rPr>
        <w:t xml:space="preserve">Received: </w:t>
      </w:r>
      <w:r w:rsidRPr="006B4444">
        <w:rPr>
          <w:rFonts w:ascii="Book Antiqua" w:hAnsi="Book Antiqua"/>
          <w:kern w:val="2"/>
          <w:lang w:val="en-US" w:eastAsia="zh-CN"/>
        </w:rPr>
        <w:t>March 17, 2019</w:t>
      </w:r>
    </w:p>
    <w:p w14:paraId="17A3E78F" w14:textId="062A8CE7" w:rsidR="00B71E61" w:rsidRPr="006B4444" w:rsidRDefault="00B71E61" w:rsidP="00B71E61">
      <w:pPr>
        <w:widowControl w:val="0"/>
        <w:spacing w:line="360" w:lineRule="auto"/>
        <w:jc w:val="both"/>
        <w:rPr>
          <w:rFonts w:ascii="Book Antiqua" w:hAnsi="Book Antiqua"/>
          <w:b/>
          <w:kern w:val="2"/>
          <w:lang w:val="en-US" w:eastAsia="zh-CN"/>
        </w:rPr>
      </w:pPr>
      <w:r w:rsidRPr="006B4444">
        <w:rPr>
          <w:rFonts w:ascii="Book Antiqua" w:hAnsi="Book Antiqua"/>
          <w:b/>
          <w:kern w:val="2"/>
          <w:lang w:val="en-US" w:eastAsia="zh-CN"/>
        </w:rPr>
        <w:t xml:space="preserve">Peer-review started: </w:t>
      </w:r>
      <w:r w:rsidRPr="006B4444">
        <w:rPr>
          <w:rFonts w:ascii="Book Antiqua" w:hAnsi="Book Antiqua"/>
          <w:kern w:val="2"/>
          <w:lang w:val="en-US" w:eastAsia="zh-CN"/>
        </w:rPr>
        <w:t>March 18, 2019</w:t>
      </w:r>
    </w:p>
    <w:p w14:paraId="05F728D4" w14:textId="31B8D463" w:rsidR="00B71E61" w:rsidRPr="006B4444" w:rsidRDefault="00B71E61" w:rsidP="00B71E61">
      <w:pPr>
        <w:widowControl w:val="0"/>
        <w:spacing w:line="360" w:lineRule="auto"/>
        <w:jc w:val="both"/>
        <w:rPr>
          <w:rFonts w:ascii="Book Antiqua" w:hAnsi="Book Antiqua"/>
          <w:b/>
          <w:kern w:val="2"/>
          <w:lang w:val="en-US" w:eastAsia="zh-CN"/>
        </w:rPr>
      </w:pPr>
      <w:r w:rsidRPr="006B4444">
        <w:rPr>
          <w:rFonts w:ascii="Book Antiqua" w:hAnsi="Book Antiqua"/>
          <w:b/>
          <w:kern w:val="2"/>
          <w:lang w:val="en-US" w:eastAsia="zh-CN"/>
        </w:rPr>
        <w:t xml:space="preserve">First decision: </w:t>
      </w:r>
      <w:r w:rsidRPr="006B4444">
        <w:rPr>
          <w:rFonts w:ascii="Book Antiqua" w:hAnsi="Book Antiqua"/>
          <w:kern w:val="2"/>
          <w:lang w:val="en-US" w:eastAsia="zh-CN"/>
        </w:rPr>
        <w:t>April 16, 2019</w:t>
      </w:r>
    </w:p>
    <w:p w14:paraId="75E5F241" w14:textId="13160244" w:rsidR="00B71E61" w:rsidRPr="006B4444" w:rsidRDefault="00B71E61" w:rsidP="00B71E61">
      <w:pPr>
        <w:widowControl w:val="0"/>
        <w:spacing w:line="360" w:lineRule="auto"/>
        <w:jc w:val="both"/>
        <w:rPr>
          <w:rFonts w:ascii="Book Antiqua" w:hAnsi="Book Antiqua"/>
          <w:b/>
          <w:kern w:val="2"/>
          <w:lang w:val="en-US" w:eastAsia="zh-CN"/>
        </w:rPr>
      </w:pPr>
      <w:r w:rsidRPr="006B4444">
        <w:rPr>
          <w:rFonts w:ascii="Book Antiqua" w:hAnsi="Book Antiqua"/>
          <w:b/>
          <w:kern w:val="2"/>
          <w:lang w:val="en-US" w:eastAsia="zh-CN"/>
        </w:rPr>
        <w:t xml:space="preserve">Revised: </w:t>
      </w:r>
      <w:r w:rsidR="00075644" w:rsidRPr="006B4444">
        <w:rPr>
          <w:rFonts w:ascii="Book Antiqua" w:hAnsi="Book Antiqua"/>
          <w:kern w:val="2"/>
          <w:lang w:val="en-US" w:eastAsia="zh-CN"/>
        </w:rPr>
        <w:t>May</w:t>
      </w:r>
      <w:r w:rsidRPr="006B4444">
        <w:rPr>
          <w:rFonts w:ascii="Book Antiqua" w:hAnsi="Book Antiqua"/>
          <w:kern w:val="2"/>
          <w:lang w:val="en-US" w:eastAsia="zh-CN"/>
        </w:rPr>
        <w:t xml:space="preserve"> </w:t>
      </w:r>
      <w:r w:rsidR="00075644" w:rsidRPr="006B4444">
        <w:rPr>
          <w:rFonts w:ascii="Book Antiqua" w:hAnsi="Book Antiqua"/>
          <w:kern w:val="2"/>
          <w:lang w:val="en-US" w:eastAsia="zh-CN"/>
        </w:rPr>
        <w:t>10</w:t>
      </w:r>
      <w:r w:rsidRPr="006B4444">
        <w:rPr>
          <w:rFonts w:ascii="Book Antiqua" w:hAnsi="Book Antiqua"/>
          <w:kern w:val="2"/>
          <w:lang w:val="en-US" w:eastAsia="zh-CN"/>
        </w:rPr>
        <w:t>, 2019</w:t>
      </w:r>
    </w:p>
    <w:p w14:paraId="118B8C05" w14:textId="1A0D04CC" w:rsidR="00B71E61" w:rsidRPr="006B4444" w:rsidRDefault="00B71E61" w:rsidP="00B71E61">
      <w:pPr>
        <w:widowControl w:val="0"/>
        <w:spacing w:line="360" w:lineRule="auto"/>
        <w:jc w:val="both"/>
        <w:rPr>
          <w:rFonts w:ascii="Book Antiqua" w:hAnsi="Book Antiqua"/>
          <w:kern w:val="2"/>
          <w:lang w:val="en-US" w:eastAsia="zh-CN"/>
        </w:rPr>
      </w:pPr>
      <w:r w:rsidRPr="006B4444">
        <w:rPr>
          <w:rFonts w:ascii="Book Antiqua" w:hAnsi="Book Antiqua"/>
          <w:b/>
          <w:kern w:val="2"/>
          <w:lang w:val="en-US" w:eastAsia="zh-CN"/>
        </w:rPr>
        <w:t>Accepted:</w:t>
      </w:r>
      <w:r w:rsidR="00B32826" w:rsidRPr="006B4444">
        <w:t xml:space="preserve"> </w:t>
      </w:r>
      <w:r w:rsidR="00B32826" w:rsidRPr="006B4444">
        <w:rPr>
          <w:rFonts w:ascii="Book Antiqua" w:hAnsi="Book Antiqua"/>
          <w:kern w:val="2"/>
          <w:lang w:val="en-US" w:eastAsia="zh-CN"/>
        </w:rPr>
        <w:t>May 18, 2019</w:t>
      </w:r>
      <w:r w:rsidRPr="006B4444">
        <w:rPr>
          <w:rFonts w:ascii="Book Antiqua" w:hAnsi="Book Antiqua"/>
          <w:b/>
          <w:kern w:val="2"/>
          <w:lang w:val="en-US" w:eastAsia="zh-CN"/>
        </w:rPr>
        <w:t xml:space="preserve"> </w:t>
      </w:r>
    </w:p>
    <w:p w14:paraId="31875E94" w14:textId="1F9E21A3" w:rsidR="00B71E61" w:rsidRPr="006B4444" w:rsidRDefault="00B71E61" w:rsidP="00B71E61">
      <w:pPr>
        <w:widowControl w:val="0"/>
        <w:spacing w:line="360" w:lineRule="auto"/>
        <w:jc w:val="both"/>
        <w:rPr>
          <w:rFonts w:ascii="Book Antiqua" w:hAnsi="Book Antiqua"/>
          <w:kern w:val="2"/>
          <w:lang w:val="en-US" w:eastAsia="zh-CN"/>
        </w:rPr>
      </w:pPr>
      <w:r w:rsidRPr="006B4444">
        <w:rPr>
          <w:rFonts w:ascii="Book Antiqua" w:hAnsi="Book Antiqua"/>
          <w:b/>
          <w:kern w:val="2"/>
          <w:lang w:val="en-US" w:eastAsia="zh-CN"/>
        </w:rPr>
        <w:t>Article in press:</w:t>
      </w:r>
      <w:r w:rsidR="006B4444" w:rsidRPr="006B4444">
        <w:rPr>
          <w:rFonts w:ascii="Book Antiqua" w:hAnsi="Book Antiqua" w:hint="eastAsia"/>
          <w:b/>
          <w:kern w:val="2"/>
          <w:lang w:val="en-US" w:eastAsia="zh-CN"/>
        </w:rPr>
        <w:t xml:space="preserve"> </w:t>
      </w:r>
      <w:r w:rsidR="006B4444" w:rsidRPr="006B4444">
        <w:rPr>
          <w:rFonts w:ascii="Book Antiqua" w:hAnsi="Book Antiqua"/>
          <w:kern w:val="2"/>
          <w:lang w:val="en-US" w:eastAsia="zh-CN"/>
        </w:rPr>
        <w:t>May 18, 2019</w:t>
      </w:r>
    </w:p>
    <w:p w14:paraId="31442789" w14:textId="2F09BF07" w:rsidR="00B71E61" w:rsidRPr="006B4444" w:rsidRDefault="00B71E61" w:rsidP="00B71E61">
      <w:pPr>
        <w:widowControl w:val="0"/>
        <w:spacing w:line="360" w:lineRule="auto"/>
        <w:jc w:val="both"/>
        <w:rPr>
          <w:rFonts w:ascii="Book Antiqua" w:hAnsi="Book Antiqua"/>
          <w:b/>
          <w:kern w:val="2"/>
          <w:lang w:val="en-US" w:eastAsia="zh-CN"/>
        </w:rPr>
      </w:pPr>
      <w:r w:rsidRPr="006B4444">
        <w:rPr>
          <w:rFonts w:ascii="Book Antiqua" w:hAnsi="Book Antiqua"/>
          <w:b/>
          <w:kern w:val="2"/>
          <w:lang w:val="en-US" w:eastAsia="zh-CN"/>
        </w:rPr>
        <w:t>Published online:</w:t>
      </w:r>
      <w:r w:rsidR="006B4444" w:rsidRPr="006B4444">
        <w:rPr>
          <w:rFonts w:ascii="Book Antiqua" w:hAnsi="Book Antiqua" w:hint="eastAsia"/>
          <w:kern w:val="2"/>
          <w:lang w:val="en-US" w:eastAsia="zh-CN"/>
        </w:rPr>
        <w:t xml:space="preserve"> </w:t>
      </w:r>
      <w:r w:rsidR="006B4444" w:rsidRPr="006B4444">
        <w:rPr>
          <w:rFonts w:ascii="Book Antiqua" w:hAnsi="Book Antiqua"/>
          <w:kern w:val="2"/>
          <w:lang w:val="en-US" w:eastAsia="zh-CN"/>
        </w:rPr>
        <w:t>July 14, 2019</w:t>
      </w:r>
    </w:p>
    <w:bookmarkEnd w:id="17"/>
    <w:bookmarkEnd w:id="18"/>
    <w:bookmarkEnd w:id="19"/>
    <w:bookmarkEnd w:id="20"/>
    <w:p w14:paraId="59634445" w14:textId="77777777" w:rsidR="00B71E61" w:rsidRPr="006B4444" w:rsidRDefault="00B71E61" w:rsidP="002F5696">
      <w:pPr>
        <w:spacing w:line="360" w:lineRule="auto"/>
        <w:jc w:val="both"/>
        <w:rPr>
          <w:rFonts w:ascii="Book Antiqua" w:hAnsi="Book Antiqua"/>
          <w:lang w:val="en-US"/>
        </w:rPr>
      </w:pPr>
    </w:p>
    <w:p w14:paraId="0EDF386C" w14:textId="718D556A" w:rsidR="00816D6D" w:rsidRPr="006B4444" w:rsidRDefault="00816D6D" w:rsidP="002F5696">
      <w:pPr>
        <w:spacing w:line="360" w:lineRule="auto"/>
        <w:jc w:val="both"/>
        <w:rPr>
          <w:rFonts w:ascii="Book Antiqua" w:hAnsi="Book Antiqua"/>
          <w:b/>
          <w:lang w:val="en-US"/>
        </w:rPr>
      </w:pPr>
      <w:r w:rsidRPr="006B4444">
        <w:rPr>
          <w:rFonts w:ascii="Book Antiqua" w:hAnsi="Book Antiqua"/>
          <w:lang w:val="en-GB"/>
        </w:rPr>
        <w:br w:type="page"/>
      </w:r>
      <w:r w:rsidRPr="006B4444">
        <w:rPr>
          <w:rFonts w:ascii="Book Antiqua" w:hAnsi="Book Antiqua"/>
          <w:b/>
          <w:lang w:val="en-US"/>
        </w:rPr>
        <w:lastRenderedPageBreak/>
        <w:t>Abstract</w:t>
      </w:r>
    </w:p>
    <w:p w14:paraId="1F83CDF9" w14:textId="55A9ABEA" w:rsidR="00816D6D" w:rsidRPr="006B4444" w:rsidRDefault="00816D6D" w:rsidP="002F5696">
      <w:pPr>
        <w:pStyle w:val="p"/>
        <w:spacing w:before="0" w:beforeAutospacing="0" w:after="0" w:afterAutospacing="0" w:line="360" w:lineRule="auto"/>
        <w:jc w:val="both"/>
        <w:rPr>
          <w:rFonts w:ascii="Book Antiqua" w:hAnsi="Book Antiqua"/>
          <w:lang w:val="en-GB"/>
        </w:rPr>
      </w:pPr>
      <w:r w:rsidRPr="006B4444">
        <w:rPr>
          <w:rFonts w:ascii="Book Antiqua" w:hAnsi="Book Antiqua"/>
          <w:lang w:val="en-US"/>
        </w:rPr>
        <w:t>Re</w:t>
      </w:r>
      <w:r w:rsidRPr="006B4444">
        <w:rPr>
          <w:rFonts w:ascii="Book Antiqua" w:hAnsi="Book Antiqua"/>
          <w:lang w:val="en-GB"/>
        </w:rPr>
        <w:t xml:space="preserve">activation of </w:t>
      </w:r>
      <w:r w:rsidR="00D445C2" w:rsidRPr="006B4444">
        <w:rPr>
          <w:rFonts w:ascii="Book Antiqua" w:hAnsi="Book Antiqua"/>
          <w:lang w:val="en-GB"/>
        </w:rPr>
        <w:t>h</w:t>
      </w:r>
      <w:r w:rsidRPr="006B4444">
        <w:rPr>
          <w:rFonts w:ascii="Book Antiqua" w:hAnsi="Book Antiqua"/>
          <w:lang w:val="en-GB"/>
        </w:rPr>
        <w:t xml:space="preserve">epatitis B virus (HBV) replication </w:t>
      </w:r>
      <w:r w:rsidRPr="006B4444">
        <w:rPr>
          <w:rFonts w:ascii="Book Antiqua" w:hAnsi="Book Antiqua"/>
          <w:lang w:val="en-US"/>
        </w:rPr>
        <w:t>is characterized by increased HBV-DNA serum values of about 1 log or by HBV DNA turning positive if previously undetectable in serum, possibly associated with liver damage and seldom life-threatening</w:t>
      </w:r>
      <w:r w:rsidRPr="006B4444">
        <w:rPr>
          <w:rFonts w:ascii="Book Antiqua" w:hAnsi="Book Antiqua"/>
          <w:shd w:val="clear" w:color="auto" w:fill="FFFFFF"/>
          <w:lang w:val="en-US"/>
        </w:rPr>
        <w:t>. D</w:t>
      </w:r>
      <w:r w:rsidRPr="006B4444">
        <w:rPr>
          <w:rFonts w:ascii="Book Antiqua" w:hAnsi="Book Antiqua"/>
          <w:lang w:val="en-US"/>
        </w:rPr>
        <w:t xml:space="preserve">ue to HBV reactivation, </w:t>
      </w:r>
      <w:bookmarkStart w:id="21" w:name="_Hlk2163080"/>
      <w:r w:rsidR="00342541" w:rsidRPr="006B4444">
        <w:rPr>
          <w:rFonts w:ascii="Book Antiqua" w:hAnsi="Book Antiqua"/>
        </w:rPr>
        <w:t>hepatitis B surface antigen</w:t>
      </w:r>
      <w:r w:rsidR="00342541" w:rsidRPr="006B4444">
        <w:rPr>
          <w:rFonts w:ascii="Book Antiqua" w:hAnsi="Book Antiqua"/>
          <w:lang w:val="en-US"/>
        </w:rPr>
        <w:t xml:space="preserve"> </w:t>
      </w:r>
      <w:r w:rsidR="004C17F7" w:rsidRPr="006B4444">
        <w:rPr>
          <w:rFonts w:ascii="Book Antiqua" w:hAnsi="Book Antiqua"/>
          <w:lang w:val="en-US"/>
        </w:rPr>
        <w:t>(</w:t>
      </w:r>
      <w:r w:rsidRPr="006B4444">
        <w:rPr>
          <w:rFonts w:ascii="Book Antiqua" w:hAnsi="Book Antiqua"/>
          <w:lang w:val="en-US"/>
        </w:rPr>
        <w:t>HBsAg</w:t>
      </w:r>
      <w:r w:rsidR="004C17F7" w:rsidRPr="006B4444">
        <w:rPr>
          <w:rFonts w:ascii="Book Antiqua" w:hAnsi="Book Antiqua"/>
          <w:lang w:val="en-US"/>
        </w:rPr>
        <w:t>)</w:t>
      </w:r>
      <w:r w:rsidRPr="006B4444">
        <w:rPr>
          <w:rFonts w:ascii="Book Antiqua" w:hAnsi="Book Antiqua"/>
          <w:lang w:val="en-US"/>
        </w:rPr>
        <w:t xml:space="preserve">-negative/anti-HBc-positive </w:t>
      </w:r>
      <w:bookmarkEnd w:id="21"/>
      <w:r w:rsidRPr="006B4444">
        <w:rPr>
          <w:rFonts w:ascii="Book Antiqua" w:hAnsi="Book Antiqua"/>
          <w:lang w:val="en-US"/>
        </w:rPr>
        <w:t>subjects may revert to HBsAg-positive.</w:t>
      </w:r>
      <w:r w:rsidRPr="006B4444">
        <w:rPr>
          <w:rFonts w:ascii="Book Antiqua" w:hAnsi="Book Antiqua"/>
          <w:lang w:val="en-GB"/>
        </w:rPr>
        <w:t xml:space="preserve"> </w:t>
      </w:r>
      <w:r w:rsidRPr="006B4444">
        <w:rPr>
          <w:rFonts w:ascii="Book Antiqua" w:hAnsi="Book Antiqua"/>
          <w:shd w:val="clear" w:color="auto" w:fill="FFFFFF"/>
          <w:lang w:val="en-GB"/>
        </w:rPr>
        <w:t xml:space="preserve">In patients with hemo-lymphoproliferative disease, the frequency of HBV reactivation depends on the type of lymphoproliferative disorder, the individual's </w:t>
      </w:r>
      <w:r w:rsidRPr="006B4444">
        <w:rPr>
          <w:rStyle w:val="highlight"/>
          <w:rFonts w:ascii="Book Antiqua" w:hAnsi="Book Antiqua"/>
          <w:shd w:val="clear" w:color="auto" w:fill="FFFFFF"/>
          <w:lang w:val="en-GB"/>
        </w:rPr>
        <w:t>HBV</w:t>
      </w:r>
      <w:r w:rsidRPr="006B4444">
        <w:rPr>
          <w:rFonts w:ascii="Book Antiqua" w:hAnsi="Book Antiqua"/>
          <w:shd w:val="clear" w:color="auto" w:fill="FFFFFF"/>
          <w:lang w:val="en-GB"/>
        </w:rPr>
        <w:t xml:space="preserve"> serological status and the potency and duration of immunosuppression. In particular, it occurs in </w:t>
      </w:r>
      <w:r w:rsidRPr="006B4444">
        <w:rPr>
          <w:rFonts w:ascii="Book Antiqua" w:hAnsi="Book Antiqua"/>
          <w:lang w:val="en-US"/>
        </w:rPr>
        <w:t>10</w:t>
      </w:r>
      <w:r w:rsidR="00D445C2" w:rsidRPr="006B4444">
        <w:rPr>
          <w:rFonts w:ascii="Book Antiqua" w:hAnsi="Book Antiqua"/>
          <w:lang w:val="en-US"/>
        </w:rPr>
        <w:t>%</w:t>
      </w:r>
      <w:r w:rsidRPr="006B4444">
        <w:rPr>
          <w:rFonts w:ascii="Book Antiqua" w:hAnsi="Book Antiqua"/>
          <w:lang w:val="en-US"/>
        </w:rPr>
        <w:t>-50% of the HBsAg-positive</w:t>
      </w:r>
      <w:r w:rsidRPr="006B4444">
        <w:rPr>
          <w:rFonts w:ascii="Book Antiqua" w:hAnsi="Book Antiqua"/>
          <w:lang w:val="en-GB"/>
        </w:rPr>
        <w:t xml:space="preserve"> and in 2</w:t>
      </w:r>
      <w:r w:rsidR="00D445C2" w:rsidRPr="006B4444">
        <w:rPr>
          <w:rFonts w:ascii="Book Antiqua" w:hAnsi="Book Antiqua"/>
          <w:lang w:val="en-GB"/>
        </w:rPr>
        <w:t>%</w:t>
      </w:r>
      <w:r w:rsidRPr="006B4444">
        <w:rPr>
          <w:rFonts w:ascii="Book Antiqua" w:hAnsi="Book Antiqua"/>
          <w:lang w:val="en-GB"/>
        </w:rPr>
        <w:t>-25% of the</w:t>
      </w:r>
      <w:r w:rsidRPr="006B4444">
        <w:rPr>
          <w:rFonts w:ascii="Book Antiqua" w:hAnsi="Book Antiqua"/>
          <w:lang w:val="en-US"/>
        </w:rPr>
        <w:t xml:space="preserve"> HBsAg- negative/anti-HBc-positive,</w:t>
      </w:r>
      <w:r w:rsidRPr="006B4444">
        <w:rPr>
          <w:rFonts w:ascii="Book Antiqua" w:hAnsi="Book Antiqua"/>
          <w:lang w:val="en-GB"/>
        </w:rPr>
        <w:t xml:space="preserve"> the highest incidences being registered in patients receiving rituximab-based therapy.</w:t>
      </w:r>
      <w:r w:rsidRPr="006B4444">
        <w:rPr>
          <w:rFonts w:ascii="Book Antiqua" w:hAnsi="Book Antiqua"/>
          <w:shd w:val="clear" w:color="auto" w:fill="FFFFFF"/>
          <w:lang w:val="en-GB"/>
        </w:rPr>
        <w:t xml:space="preserve"> </w:t>
      </w:r>
      <w:r w:rsidRPr="006B4444">
        <w:rPr>
          <w:rStyle w:val="highlight"/>
          <w:rFonts w:ascii="Book Antiqua" w:hAnsi="Book Antiqua"/>
          <w:shd w:val="clear" w:color="auto" w:fill="FFFFFF"/>
          <w:lang w:val="en-GB"/>
        </w:rPr>
        <w:t>HBV reactivation</w:t>
      </w:r>
      <w:r w:rsidRPr="006B4444">
        <w:rPr>
          <w:rFonts w:ascii="Book Antiqua" w:hAnsi="Book Antiqua"/>
          <w:shd w:val="clear" w:color="auto" w:fill="FFFFFF"/>
          <w:lang w:val="en-GB"/>
        </w:rPr>
        <w:t xml:space="preserve"> can be prevented by accurate screening of patients at risk and by a pharmacological prophylaxis with anti-HBV nucleo(t)sides starting 2-3 wk before the beginning of immunosuppressive treatment and covering the entire period of administration of immunosuppressive drugs and a long subsequent period, the duration of which depends substantially on the degree of immunodepression achieved. Patients with significant HBV replication before immunosuppressive therapy should receive anti-HBV </w:t>
      </w:r>
      <w:proofErr w:type="gramStart"/>
      <w:r w:rsidRPr="006B4444">
        <w:rPr>
          <w:rFonts w:ascii="Book Antiqua" w:hAnsi="Book Antiqua"/>
          <w:shd w:val="clear" w:color="auto" w:fill="FFFFFF"/>
          <w:lang w:val="en-GB"/>
        </w:rPr>
        <w:t>nucleo(</w:t>
      </w:r>
      <w:proofErr w:type="gramEnd"/>
      <w:r w:rsidRPr="006B4444">
        <w:rPr>
          <w:rFonts w:ascii="Book Antiqua" w:hAnsi="Book Antiqua"/>
          <w:shd w:val="clear" w:color="auto" w:fill="FFFFFF"/>
          <w:lang w:val="en-GB"/>
        </w:rPr>
        <w:t>t)sides as a long-term (may be life-long) treatment.</w:t>
      </w:r>
      <w:r w:rsidR="00D445C2" w:rsidRPr="006B4444">
        <w:rPr>
          <w:rFonts w:ascii="Book Antiqua" w:hAnsi="Book Antiqua"/>
          <w:lang w:val="en-GB" w:eastAsia="zh-CN"/>
        </w:rPr>
        <w:t xml:space="preserve"> </w:t>
      </w:r>
      <w:r w:rsidRPr="006B4444">
        <w:rPr>
          <w:rFonts w:ascii="Book Antiqua" w:hAnsi="Book Antiqua"/>
          <w:shd w:val="clear" w:color="auto" w:fill="FFFFFF"/>
          <w:lang w:val="en-GB"/>
        </w:rPr>
        <w:t xml:space="preserve">This review article is mainly directed to doctors engaged every day in the treatment of patients with onco-lymphoproliferative diseases, so that they can broaden their knowledge on HBV infection and on its reactivation induced by the drugs with high immunosuppressive potential that they use in the care of their patients. </w:t>
      </w:r>
    </w:p>
    <w:p w14:paraId="1E817AD6" w14:textId="77777777" w:rsidR="00D17554" w:rsidRPr="006B4444" w:rsidRDefault="00D17554" w:rsidP="002F5696">
      <w:pPr>
        <w:pStyle w:val="p"/>
        <w:spacing w:before="0" w:beforeAutospacing="0" w:after="0" w:afterAutospacing="0" w:line="360" w:lineRule="auto"/>
        <w:jc w:val="both"/>
        <w:rPr>
          <w:rFonts w:ascii="Book Antiqua" w:hAnsi="Book Antiqua"/>
          <w:shd w:val="clear" w:color="auto" w:fill="FFFFFF"/>
          <w:lang w:val="en-GB"/>
        </w:rPr>
      </w:pPr>
    </w:p>
    <w:p w14:paraId="6852321D" w14:textId="04376D49" w:rsidR="00816D6D" w:rsidRPr="006B4444" w:rsidRDefault="00947BC2" w:rsidP="002F5696">
      <w:pPr>
        <w:pStyle w:val="a4"/>
        <w:spacing w:before="0" w:beforeAutospacing="0" w:after="0" w:afterAutospacing="0" w:line="360" w:lineRule="auto"/>
        <w:jc w:val="both"/>
        <w:rPr>
          <w:rFonts w:ascii="Book Antiqua" w:hAnsi="Book Antiqua"/>
          <w:sz w:val="24"/>
          <w:szCs w:val="24"/>
          <w:shd w:val="clear" w:color="auto" w:fill="FFFFFF"/>
          <w:lang w:val="en-GB"/>
        </w:rPr>
      </w:pPr>
      <w:r w:rsidRPr="006B4444">
        <w:rPr>
          <w:rFonts w:ascii="Book Antiqua" w:eastAsia="MS Mincho" w:hAnsi="Book Antiqua"/>
          <w:b/>
          <w:iCs/>
          <w:sz w:val="24"/>
          <w:szCs w:val="24"/>
          <w:lang w:val="es-ES_tradnl" w:eastAsia="es-ES_tradnl"/>
        </w:rPr>
        <w:t>Key words:</w:t>
      </w:r>
      <w:r w:rsidRPr="006B4444">
        <w:rPr>
          <w:rFonts w:ascii="Book Antiqua" w:eastAsia="MS Mincho" w:hAnsi="Book Antiqua"/>
          <w:i/>
          <w:iCs/>
          <w:sz w:val="24"/>
          <w:szCs w:val="24"/>
          <w:lang w:val="es-ES_tradnl" w:eastAsia="es-ES_tradnl"/>
        </w:rPr>
        <w:t xml:space="preserve"> </w:t>
      </w:r>
      <w:bookmarkStart w:id="22" w:name="OLE_LINK28"/>
      <w:bookmarkStart w:id="23" w:name="OLE_LINK29"/>
      <w:r w:rsidRPr="006B4444">
        <w:rPr>
          <w:rFonts w:ascii="Book Antiqua" w:hAnsi="Book Antiqua"/>
          <w:sz w:val="24"/>
          <w:szCs w:val="24"/>
          <w:lang w:val="en-GB"/>
        </w:rPr>
        <w:t>Hepatitis B virus</w:t>
      </w:r>
      <w:r w:rsidRPr="006B4444">
        <w:rPr>
          <w:rFonts w:ascii="Book Antiqua" w:hAnsi="Book Antiqua"/>
          <w:lang w:val="en-GB"/>
        </w:rPr>
        <w:t xml:space="preserve"> </w:t>
      </w:r>
      <w:r w:rsidR="00816D6D" w:rsidRPr="006B4444">
        <w:rPr>
          <w:rStyle w:val="highlight"/>
          <w:rFonts w:ascii="Book Antiqua" w:hAnsi="Book Antiqua"/>
          <w:sz w:val="24"/>
          <w:szCs w:val="24"/>
          <w:shd w:val="clear" w:color="auto" w:fill="FFFFFF"/>
          <w:lang w:val="en-GB"/>
        </w:rPr>
        <w:t>reactivation</w:t>
      </w:r>
      <w:r w:rsidRPr="006B4444">
        <w:rPr>
          <w:rFonts w:ascii="Book Antiqua" w:hAnsi="Book Antiqua"/>
          <w:sz w:val="24"/>
          <w:szCs w:val="24"/>
          <w:lang w:val="en-US"/>
        </w:rPr>
        <w:t>;</w:t>
      </w:r>
      <w:r w:rsidR="00816D6D" w:rsidRPr="006B4444">
        <w:rPr>
          <w:rFonts w:ascii="Book Antiqua" w:hAnsi="Book Antiqua"/>
          <w:sz w:val="24"/>
          <w:szCs w:val="24"/>
          <w:lang w:val="en-US"/>
        </w:rPr>
        <w:t xml:space="preserve"> </w:t>
      </w:r>
      <w:r w:rsidRPr="006B4444">
        <w:rPr>
          <w:rFonts w:ascii="Book Antiqua" w:hAnsi="Book Antiqua"/>
          <w:sz w:val="24"/>
          <w:szCs w:val="24"/>
          <w:lang w:val="en-GB"/>
        </w:rPr>
        <w:t xml:space="preserve">Hepatitis B virus </w:t>
      </w:r>
      <w:r w:rsidR="00816D6D" w:rsidRPr="006B4444">
        <w:rPr>
          <w:rFonts w:ascii="Book Antiqua" w:hAnsi="Book Antiqua"/>
          <w:sz w:val="24"/>
          <w:szCs w:val="24"/>
          <w:lang w:val="en-US"/>
        </w:rPr>
        <w:t>infection</w:t>
      </w:r>
      <w:r w:rsidRPr="006B4444">
        <w:rPr>
          <w:rFonts w:ascii="Book Antiqua" w:hAnsi="Book Antiqua"/>
          <w:sz w:val="24"/>
          <w:szCs w:val="24"/>
          <w:lang w:val="en-US"/>
        </w:rPr>
        <w:t>;</w:t>
      </w:r>
      <w:r w:rsidR="00816D6D" w:rsidRPr="006B4444">
        <w:rPr>
          <w:rFonts w:ascii="Book Antiqua" w:hAnsi="Book Antiqua"/>
          <w:sz w:val="24"/>
          <w:szCs w:val="24"/>
          <w:lang w:val="en-US"/>
        </w:rPr>
        <w:t xml:space="preserve"> </w:t>
      </w:r>
      <w:r w:rsidRPr="006B4444">
        <w:rPr>
          <w:rFonts w:ascii="Book Antiqua" w:hAnsi="Book Antiqua"/>
          <w:sz w:val="24"/>
          <w:szCs w:val="24"/>
          <w:lang w:val="en-US"/>
        </w:rPr>
        <w:t>H</w:t>
      </w:r>
      <w:r w:rsidR="00816D6D" w:rsidRPr="006B4444">
        <w:rPr>
          <w:rFonts w:ascii="Book Antiqua" w:hAnsi="Book Antiqua"/>
          <w:sz w:val="24"/>
          <w:szCs w:val="24"/>
          <w:lang w:val="en-US"/>
        </w:rPr>
        <w:t>emo-lymphoproliferative diseases</w:t>
      </w:r>
      <w:r w:rsidRPr="006B4444">
        <w:rPr>
          <w:rFonts w:ascii="Book Antiqua" w:hAnsi="Book Antiqua"/>
          <w:sz w:val="24"/>
          <w:szCs w:val="24"/>
          <w:lang w:val="en-US"/>
        </w:rPr>
        <w:t>;</w:t>
      </w:r>
      <w:r w:rsidR="00816D6D" w:rsidRPr="006B4444">
        <w:rPr>
          <w:rFonts w:ascii="Book Antiqua" w:hAnsi="Book Antiqua"/>
          <w:sz w:val="24"/>
          <w:szCs w:val="24"/>
          <w:shd w:val="clear" w:color="auto" w:fill="FFFFFF"/>
          <w:lang w:val="en-GB"/>
        </w:rPr>
        <w:t xml:space="preserve"> </w:t>
      </w:r>
      <w:r w:rsidRPr="006B4444">
        <w:rPr>
          <w:rFonts w:ascii="Book Antiqua" w:hAnsi="Book Antiqua"/>
          <w:sz w:val="24"/>
          <w:szCs w:val="24"/>
          <w:shd w:val="clear" w:color="auto" w:fill="FFFFFF"/>
          <w:lang w:val="en-GB"/>
        </w:rPr>
        <w:t>I</w:t>
      </w:r>
      <w:r w:rsidR="00816D6D" w:rsidRPr="006B4444">
        <w:rPr>
          <w:rFonts w:ascii="Book Antiqua" w:hAnsi="Book Antiqua"/>
          <w:sz w:val="24"/>
          <w:szCs w:val="24"/>
          <w:shd w:val="clear" w:color="auto" w:fill="FFFFFF"/>
          <w:lang w:val="en-GB"/>
        </w:rPr>
        <w:t>mmunosuppressive therapy</w:t>
      </w:r>
      <w:r w:rsidRPr="006B4444">
        <w:rPr>
          <w:rFonts w:ascii="Book Antiqua" w:hAnsi="Book Antiqua"/>
          <w:sz w:val="24"/>
          <w:szCs w:val="24"/>
          <w:shd w:val="clear" w:color="auto" w:fill="FFFFFF"/>
          <w:lang w:val="en-GB"/>
        </w:rPr>
        <w:t>;</w:t>
      </w:r>
      <w:r w:rsidR="00176FE8" w:rsidRPr="006B4444">
        <w:rPr>
          <w:rFonts w:ascii="Book Antiqua" w:hAnsi="Book Antiqua"/>
          <w:sz w:val="24"/>
          <w:szCs w:val="24"/>
          <w:shd w:val="clear" w:color="auto" w:fill="FFFFFF"/>
          <w:lang w:val="en-GB"/>
        </w:rPr>
        <w:t xml:space="preserve"> </w:t>
      </w:r>
      <w:r w:rsidRPr="006B4444">
        <w:rPr>
          <w:rFonts w:ascii="Book Antiqua" w:hAnsi="Book Antiqua"/>
          <w:sz w:val="24"/>
          <w:szCs w:val="24"/>
          <w:shd w:val="clear" w:color="auto" w:fill="FFFFFF"/>
          <w:lang w:val="en-GB"/>
        </w:rPr>
        <w:t>Hepatitis B virus t</w:t>
      </w:r>
      <w:r w:rsidR="00176FE8" w:rsidRPr="006B4444">
        <w:rPr>
          <w:rFonts w:ascii="Book Antiqua" w:hAnsi="Book Antiqua"/>
          <w:sz w:val="24"/>
          <w:szCs w:val="24"/>
          <w:shd w:val="clear" w:color="auto" w:fill="FFFFFF"/>
          <w:lang w:val="en-GB"/>
        </w:rPr>
        <w:t>herapy</w:t>
      </w:r>
      <w:r w:rsidRPr="006B4444">
        <w:rPr>
          <w:rFonts w:ascii="Book Antiqua" w:hAnsi="Book Antiqua"/>
          <w:sz w:val="24"/>
          <w:szCs w:val="24"/>
          <w:shd w:val="clear" w:color="auto" w:fill="FFFFFF"/>
          <w:lang w:val="en-GB"/>
        </w:rPr>
        <w:t>;</w:t>
      </w:r>
      <w:r w:rsidR="00176FE8" w:rsidRPr="006B4444">
        <w:rPr>
          <w:rFonts w:ascii="Book Antiqua" w:hAnsi="Book Antiqua"/>
          <w:sz w:val="24"/>
          <w:szCs w:val="24"/>
          <w:shd w:val="clear" w:color="auto" w:fill="FFFFFF"/>
          <w:lang w:val="en-GB"/>
        </w:rPr>
        <w:t xml:space="preserve"> </w:t>
      </w:r>
      <w:r w:rsidRPr="006B4444">
        <w:rPr>
          <w:rFonts w:ascii="Book Antiqua" w:hAnsi="Book Antiqua"/>
          <w:sz w:val="24"/>
          <w:szCs w:val="24"/>
          <w:shd w:val="clear" w:color="auto" w:fill="FFFFFF"/>
          <w:lang w:val="en-GB"/>
        </w:rPr>
        <w:t xml:space="preserve">Hepatitis B virus </w:t>
      </w:r>
      <w:bookmarkStart w:id="24" w:name="OLE_LINK4"/>
      <w:bookmarkStart w:id="25" w:name="OLE_LINK5"/>
      <w:r w:rsidR="00176FE8" w:rsidRPr="006B4444">
        <w:rPr>
          <w:rFonts w:ascii="Book Antiqua" w:hAnsi="Book Antiqua"/>
          <w:sz w:val="24"/>
          <w:szCs w:val="24"/>
          <w:shd w:val="clear" w:color="auto" w:fill="FFFFFF"/>
          <w:lang w:val="en-GB"/>
        </w:rPr>
        <w:t>prophylasis</w:t>
      </w:r>
      <w:bookmarkEnd w:id="22"/>
      <w:bookmarkEnd w:id="23"/>
      <w:bookmarkEnd w:id="24"/>
      <w:bookmarkEnd w:id="25"/>
    </w:p>
    <w:p w14:paraId="5D684C0E" w14:textId="053A9A51" w:rsidR="00947BC2" w:rsidRPr="006B4444" w:rsidRDefault="00947BC2" w:rsidP="002F5696">
      <w:pPr>
        <w:pStyle w:val="a4"/>
        <w:spacing w:before="0" w:beforeAutospacing="0" w:after="0" w:afterAutospacing="0" w:line="360" w:lineRule="auto"/>
        <w:jc w:val="both"/>
        <w:rPr>
          <w:rFonts w:ascii="Book Antiqua" w:hAnsi="Book Antiqua"/>
          <w:sz w:val="24"/>
          <w:szCs w:val="24"/>
          <w:shd w:val="clear" w:color="auto" w:fill="FFFFFF"/>
          <w:lang w:val="en-GB"/>
        </w:rPr>
      </w:pPr>
    </w:p>
    <w:p w14:paraId="70443945" w14:textId="5790E4AD" w:rsidR="00947BC2" w:rsidRPr="006B4444" w:rsidRDefault="00947BC2" w:rsidP="00947BC2">
      <w:pPr>
        <w:snapToGrid w:val="0"/>
        <w:spacing w:line="360" w:lineRule="auto"/>
        <w:jc w:val="both"/>
        <w:rPr>
          <w:rFonts w:ascii="Book Antiqua" w:eastAsia="MS Mincho" w:hAnsi="Book Antiqua"/>
          <w:lang w:val="es-ES_tradnl" w:eastAsia="ja-JP"/>
        </w:rPr>
      </w:pPr>
      <w:bookmarkStart w:id="26" w:name="OLE_LINK13"/>
      <w:bookmarkStart w:id="27" w:name="OLE_LINK14"/>
      <w:r w:rsidRPr="006B4444">
        <w:rPr>
          <w:rFonts w:ascii="Book Antiqua" w:eastAsia="MS Mincho" w:hAnsi="Book Antiqua"/>
          <w:lang w:val="es-ES_tradnl" w:eastAsia="ja-JP"/>
        </w:rPr>
        <w:t xml:space="preserve">© </w:t>
      </w:r>
      <w:bookmarkStart w:id="28" w:name="OLE_LINK6"/>
      <w:bookmarkStart w:id="29" w:name="OLE_LINK7"/>
      <w:bookmarkStart w:id="30" w:name="OLE_LINK8"/>
      <w:r w:rsidRPr="006B4444">
        <w:rPr>
          <w:rFonts w:ascii="Book Antiqua" w:eastAsia="MS Mincho" w:hAnsi="Book Antiqua"/>
          <w:b/>
          <w:lang w:val="es-ES_tradnl" w:eastAsia="ja-JP"/>
        </w:rPr>
        <w:t xml:space="preserve">The Author(s) </w:t>
      </w:r>
      <w:r w:rsidRPr="006B4444">
        <w:rPr>
          <w:rFonts w:ascii="Book Antiqua" w:hAnsi="Book Antiqua"/>
          <w:b/>
          <w:lang w:val="es-ES_tradnl" w:eastAsia="zh-CN"/>
        </w:rPr>
        <w:t>2019</w:t>
      </w:r>
      <w:r w:rsidRPr="006B4444">
        <w:rPr>
          <w:rFonts w:ascii="Book Antiqua" w:eastAsia="MS Mincho" w:hAnsi="Book Antiqua"/>
          <w:lang w:val="es-ES_tradnl" w:eastAsia="ja-JP"/>
        </w:rPr>
        <w:t>. Published by Baishideng Publishing Group Inc. All rights reserved.</w:t>
      </w:r>
    </w:p>
    <w:bookmarkEnd w:id="26"/>
    <w:bookmarkEnd w:id="27"/>
    <w:bookmarkEnd w:id="28"/>
    <w:bookmarkEnd w:id="29"/>
    <w:bookmarkEnd w:id="30"/>
    <w:p w14:paraId="4D16BBA7" w14:textId="77777777" w:rsidR="001D47C8" w:rsidRPr="006B4444" w:rsidRDefault="001D47C8" w:rsidP="002F5696">
      <w:pPr>
        <w:autoSpaceDE w:val="0"/>
        <w:autoSpaceDN w:val="0"/>
        <w:adjustRightInd w:val="0"/>
        <w:spacing w:line="360" w:lineRule="auto"/>
        <w:jc w:val="both"/>
        <w:rPr>
          <w:rFonts w:ascii="Book Antiqua" w:hAnsi="Book Antiqua"/>
          <w:b/>
          <w:lang w:val="en-US"/>
        </w:rPr>
      </w:pPr>
    </w:p>
    <w:p w14:paraId="36006B99" w14:textId="1CDE5057" w:rsidR="001D47C8" w:rsidRPr="006B4444" w:rsidRDefault="001D47C8" w:rsidP="002F5696">
      <w:pPr>
        <w:autoSpaceDE w:val="0"/>
        <w:autoSpaceDN w:val="0"/>
        <w:adjustRightInd w:val="0"/>
        <w:spacing w:line="360" w:lineRule="auto"/>
        <w:jc w:val="both"/>
        <w:rPr>
          <w:rFonts w:ascii="Book Antiqua" w:hAnsi="Book Antiqua"/>
          <w:lang w:val="en-GB"/>
        </w:rPr>
      </w:pPr>
      <w:r w:rsidRPr="006B4444">
        <w:rPr>
          <w:rFonts w:ascii="Book Antiqua" w:hAnsi="Book Antiqua"/>
          <w:b/>
          <w:lang w:val="en-US"/>
        </w:rPr>
        <w:t>Core tip</w:t>
      </w:r>
      <w:r w:rsidR="00947BC2" w:rsidRPr="006B4444">
        <w:rPr>
          <w:rFonts w:ascii="Book Antiqua" w:hAnsi="Book Antiqua"/>
          <w:b/>
          <w:lang w:val="en-US"/>
        </w:rPr>
        <w:t>:</w:t>
      </w:r>
      <w:r w:rsidRPr="006B4444">
        <w:rPr>
          <w:rFonts w:ascii="Book Antiqua" w:hAnsi="Book Antiqua"/>
          <w:b/>
          <w:lang w:val="en-US"/>
        </w:rPr>
        <w:t xml:space="preserve"> </w:t>
      </w:r>
      <w:bookmarkStart w:id="31" w:name="OLE_LINK30"/>
      <w:r w:rsidR="00947BC2" w:rsidRPr="006B4444">
        <w:rPr>
          <w:rFonts w:ascii="Book Antiqua" w:hAnsi="Book Antiqua"/>
          <w:lang w:val="en-GB"/>
        </w:rPr>
        <w:t>Hepatitis B virus</w:t>
      </w:r>
      <w:r w:rsidR="00947BC2" w:rsidRPr="006B4444">
        <w:rPr>
          <w:rFonts w:ascii="Book Antiqua" w:hAnsi="Book Antiqua"/>
          <w:b/>
          <w:lang w:val="en-GB"/>
        </w:rPr>
        <w:t xml:space="preserve"> (</w:t>
      </w:r>
      <w:r w:rsidRPr="006B4444">
        <w:rPr>
          <w:rFonts w:ascii="Book Antiqua" w:hAnsi="Book Antiqua"/>
          <w:lang w:val="en-GB"/>
        </w:rPr>
        <w:t>HBV</w:t>
      </w:r>
      <w:r w:rsidR="00947BC2" w:rsidRPr="006B4444">
        <w:rPr>
          <w:rFonts w:ascii="Book Antiqua" w:hAnsi="Book Antiqua"/>
          <w:lang w:val="en-GB"/>
        </w:rPr>
        <w:t>)</w:t>
      </w:r>
      <w:r w:rsidRPr="006B4444">
        <w:rPr>
          <w:rFonts w:ascii="Book Antiqua" w:hAnsi="Book Antiqua"/>
          <w:lang w:val="en-US"/>
        </w:rPr>
        <w:t xml:space="preserve"> </w:t>
      </w:r>
      <w:r w:rsidRPr="006B4444">
        <w:rPr>
          <w:rFonts w:ascii="Book Antiqua" w:hAnsi="Book Antiqua"/>
          <w:lang w:val="en-GB"/>
        </w:rPr>
        <w:t xml:space="preserve">reactivation </w:t>
      </w:r>
      <w:r w:rsidRPr="006B4444">
        <w:rPr>
          <w:rFonts w:ascii="Book Antiqua" w:hAnsi="Book Antiqua"/>
          <w:lang w:val="en-US"/>
        </w:rPr>
        <w:t xml:space="preserve">frequently exerts a negative impact on the outcome of patients with hemo-lymphoproliferative disorders both by liver injury, at times severe, and </w:t>
      </w:r>
      <w:r w:rsidRPr="006B4444">
        <w:rPr>
          <w:rFonts w:ascii="Book Antiqua" w:hAnsi="Book Antiqua"/>
          <w:lang w:val="en-GB"/>
        </w:rPr>
        <w:t>a premature delay or termination of immunosuppressive treatments. Patients at risk should be identified by screening of HBV serum markers before immunosuppressive therapy is started.</w:t>
      </w:r>
      <w:r w:rsidRPr="006B4444">
        <w:rPr>
          <w:rFonts w:ascii="Book Antiqua" w:hAnsi="Book Antiqua"/>
          <w:lang w:val="en-US"/>
        </w:rPr>
        <w:t xml:space="preserve"> The use of</w:t>
      </w:r>
      <w:r w:rsidRPr="006B4444">
        <w:rPr>
          <w:rFonts w:ascii="Book Antiqua" w:hAnsi="Book Antiqua"/>
          <w:lang w:val="en-GB"/>
        </w:rPr>
        <w:t xml:space="preserve"> HBV </w:t>
      </w:r>
      <w:proofErr w:type="gramStart"/>
      <w:r w:rsidRPr="006B4444">
        <w:rPr>
          <w:rFonts w:ascii="Book Antiqua" w:hAnsi="Book Antiqua"/>
          <w:lang w:val="en-GB"/>
        </w:rPr>
        <w:t>nucle(</w:t>
      </w:r>
      <w:proofErr w:type="gramEnd"/>
      <w:r w:rsidRPr="006B4444">
        <w:rPr>
          <w:rFonts w:ascii="Book Antiqua" w:hAnsi="Book Antiqua"/>
          <w:lang w:val="en-GB"/>
        </w:rPr>
        <w:t xml:space="preserve">t)side analogues, as treatment or prophylaxis, is effective in limiting the frequency and intensity of the damage caused. Antivirals should be administered 2-3 wk before starting immunosuppressive treatment, for the entire immunosuppressive period and during </w:t>
      </w:r>
      <w:r w:rsidRPr="006B4444">
        <w:rPr>
          <w:rFonts w:ascii="Book Antiqua" w:hAnsi="Book Antiqua"/>
          <w:lang w:val="en-GB"/>
        </w:rPr>
        <w:lastRenderedPageBreak/>
        <w:t>post-treatment follow-up, the length of which depends on the intensity of immunosuppression reached.</w:t>
      </w:r>
    </w:p>
    <w:bookmarkEnd w:id="31"/>
    <w:p w14:paraId="2F49F4DA" w14:textId="77777777" w:rsidR="00947BC2" w:rsidRPr="006B4444" w:rsidRDefault="00947BC2" w:rsidP="00947BC2">
      <w:pPr>
        <w:spacing w:line="360" w:lineRule="auto"/>
        <w:jc w:val="both"/>
        <w:rPr>
          <w:rFonts w:ascii="Book Antiqua" w:hAnsi="Book Antiqua"/>
          <w:b/>
          <w:lang w:val="en-US"/>
        </w:rPr>
      </w:pPr>
    </w:p>
    <w:p w14:paraId="7FB37A7E" w14:textId="3E52AFAE" w:rsidR="006B4444" w:rsidRPr="006B4444" w:rsidRDefault="00947BC2" w:rsidP="006B4444">
      <w:pPr>
        <w:snapToGrid w:val="0"/>
        <w:spacing w:line="360" w:lineRule="auto"/>
        <w:jc w:val="both"/>
        <w:rPr>
          <w:rFonts w:ascii="Book Antiqua" w:hAnsi="Book Antiqua" w:cs="宋体" w:hint="eastAsia"/>
          <w:color w:val="000000"/>
          <w:lang w:val="en-US" w:eastAsia="zh-CN"/>
        </w:rPr>
      </w:pPr>
      <w:r w:rsidRPr="006B4444">
        <w:rPr>
          <w:rFonts w:ascii="Book Antiqua" w:hAnsi="Book Antiqua"/>
          <w:lang w:val="en-GB"/>
        </w:rPr>
        <w:t>Sagnelli C, Pisaturo</w:t>
      </w:r>
      <w:r w:rsidRPr="006B4444">
        <w:rPr>
          <w:rFonts w:ascii="Book Antiqua" w:hAnsi="Book Antiqua"/>
          <w:lang w:val="en-US"/>
        </w:rPr>
        <w:t xml:space="preserve"> M, </w:t>
      </w:r>
      <w:r w:rsidRPr="006B4444">
        <w:rPr>
          <w:rFonts w:ascii="Book Antiqua" w:hAnsi="Book Antiqua"/>
          <w:lang w:val="en-GB"/>
        </w:rPr>
        <w:t>Calò F, Martini</w:t>
      </w:r>
      <w:r w:rsidRPr="006B4444">
        <w:rPr>
          <w:rFonts w:ascii="Book Antiqua" w:hAnsi="Book Antiqua"/>
          <w:lang w:val="en-US"/>
        </w:rPr>
        <w:t xml:space="preserve"> S, </w:t>
      </w:r>
      <w:r w:rsidRPr="006B4444">
        <w:rPr>
          <w:rFonts w:ascii="Book Antiqua" w:hAnsi="Book Antiqua"/>
          <w:lang w:val="en-GB"/>
        </w:rPr>
        <w:t>Sagnelli</w:t>
      </w:r>
      <w:r w:rsidRPr="006B4444">
        <w:rPr>
          <w:rFonts w:ascii="Book Antiqua" w:hAnsi="Book Antiqua"/>
          <w:lang w:val="en-US"/>
        </w:rPr>
        <w:t xml:space="preserve"> E, </w:t>
      </w:r>
      <w:r w:rsidRPr="006B4444">
        <w:rPr>
          <w:rFonts w:ascii="Book Antiqua" w:hAnsi="Book Antiqua"/>
          <w:lang w:val="en-GB"/>
        </w:rPr>
        <w:t>Coppola</w:t>
      </w:r>
      <w:r w:rsidRPr="006B4444">
        <w:rPr>
          <w:rFonts w:ascii="Book Antiqua" w:hAnsi="Book Antiqua"/>
          <w:lang w:val="en-US"/>
        </w:rPr>
        <w:t xml:space="preserve"> N. Reactivation of </w:t>
      </w:r>
      <w:r w:rsidRPr="006B4444">
        <w:rPr>
          <w:rFonts w:ascii="Book Antiqua" w:hAnsi="Book Antiqua"/>
          <w:lang w:val="en-GB"/>
        </w:rPr>
        <w:t>hepatitis B virus</w:t>
      </w:r>
      <w:r w:rsidRPr="006B4444">
        <w:rPr>
          <w:rFonts w:ascii="Book Antiqua" w:hAnsi="Book Antiqua"/>
          <w:lang w:val="en-US"/>
        </w:rPr>
        <w:t xml:space="preserve"> infection in patients with hemo-lymphoproliferative diseases, and its prevention. </w:t>
      </w:r>
      <w:r w:rsidRPr="006B4444">
        <w:rPr>
          <w:rFonts w:ascii="Book Antiqua" w:hAnsi="Book Antiqua"/>
          <w:i/>
          <w:iCs/>
          <w:lang w:val="en-US"/>
        </w:rPr>
        <w:t xml:space="preserve">World J Gastroenterol </w:t>
      </w:r>
      <w:r w:rsidR="006B4444" w:rsidRPr="006B4444">
        <w:rPr>
          <w:rFonts w:ascii="Book Antiqua" w:eastAsia="Times New Roman" w:hAnsi="Book Antiqua" w:cs="宋体"/>
          <w:color w:val="000000"/>
          <w:lang w:val="en-US"/>
        </w:rPr>
        <w:t xml:space="preserve">2019; 25(26): </w:t>
      </w:r>
      <w:r w:rsidR="006B4444" w:rsidRPr="006B4444">
        <w:rPr>
          <w:rFonts w:ascii="Book Antiqua" w:hAnsi="Book Antiqua" w:cs="宋体" w:hint="eastAsia"/>
          <w:color w:val="000000"/>
          <w:lang w:val="en-US" w:eastAsia="zh-CN"/>
        </w:rPr>
        <w:t>32</w:t>
      </w:r>
      <w:r w:rsidR="006B4444" w:rsidRPr="006B4444">
        <w:rPr>
          <w:rFonts w:ascii="Book Antiqua" w:hAnsi="Book Antiqua" w:cs="宋体" w:hint="eastAsia"/>
          <w:color w:val="000000"/>
          <w:lang w:val="en-US" w:eastAsia="zh-CN"/>
        </w:rPr>
        <w:t>99</w:t>
      </w:r>
      <w:r w:rsidR="006B4444" w:rsidRPr="006B4444">
        <w:rPr>
          <w:rFonts w:ascii="Book Antiqua" w:eastAsia="Times New Roman" w:hAnsi="Book Antiqua" w:cs="宋体"/>
          <w:color w:val="000000"/>
          <w:lang w:val="en-US"/>
        </w:rPr>
        <w:t>-</w:t>
      </w:r>
      <w:r w:rsidR="006B4444" w:rsidRPr="006B4444">
        <w:rPr>
          <w:rFonts w:ascii="Book Antiqua" w:hAnsi="Book Antiqua" w:cs="宋体" w:hint="eastAsia"/>
          <w:color w:val="000000"/>
          <w:lang w:val="en-US" w:eastAsia="zh-CN"/>
        </w:rPr>
        <w:t>3</w:t>
      </w:r>
      <w:r w:rsidR="006B4444" w:rsidRPr="006B4444">
        <w:rPr>
          <w:rFonts w:ascii="Book Antiqua" w:hAnsi="Book Antiqua" w:cs="宋体" w:hint="eastAsia"/>
          <w:color w:val="000000"/>
          <w:lang w:val="en-US" w:eastAsia="zh-CN"/>
        </w:rPr>
        <w:t>312</w:t>
      </w:r>
    </w:p>
    <w:p w14:paraId="236F2B96" w14:textId="036AC62B" w:rsidR="006B4444" w:rsidRPr="006B4444" w:rsidRDefault="006B4444" w:rsidP="006B4444">
      <w:pPr>
        <w:snapToGrid w:val="0"/>
        <w:spacing w:line="360" w:lineRule="auto"/>
        <w:jc w:val="both"/>
        <w:rPr>
          <w:rFonts w:ascii="Book Antiqua" w:hAnsi="Book Antiqua" w:cs="宋体" w:hint="eastAsia"/>
          <w:color w:val="000000"/>
          <w:lang w:val="en-US" w:eastAsia="zh-CN"/>
        </w:rPr>
      </w:pPr>
      <w:r w:rsidRPr="006B4444">
        <w:rPr>
          <w:rFonts w:ascii="Book Antiqua" w:eastAsia="Times New Roman" w:hAnsi="Book Antiqua" w:cs="宋体"/>
          <w:b/>
          <w:color w:val="000000"/>
          <w:lang w:val="en-US"/>
        </w:rPr>
        <w:t>URL:</w:t>
      </w:r>
      <w:r w:rsidRPr="006B4444">
        <w:rPr>
          <w:rFonts w:ascii="Book Antiqua" w:eastAsia="Times New Roman" w:hAnsi="Book Antiqua" w:cs="宋体"/>
          <w:color w:val="000000"/>
          <w:lang w:val="en-US"/>
        </w:rPr>
        <w:t xml:space="preserve"> https://www.wjgnet.com/1007-9327/full/v25/i26/</w:t>
      </w:r>
      <w:r w:rsidRPr="006B4444">
        <w:rPr>
          <w:rFonts w:ascii="Book Antiqua" w:hAnsi="Book Antiqua" w:cs="宋体" w:hint="eastAsia"/>
          <w:color w:val="000000"/>
          <w:lang w:val="en-US" w:eastAsia="zh-CN"/>
        </w:rPr>
        <w:t>32</w:t>
      </w:r>
      <w:r w:rsidRPr="006B4444">
        <w:rPr>
          <w:rFonts w:ascii="Book Antiqua" w:hAnsi="Book Antiqua" w:cs="宋体" w:hint="eastAsia"/>
          <w:color w:val="000000"/>
          <w:lang w:val="en-US" w:eastAsia="zh-CN"/>
        </w:rPr>
        <w:t>99</w:t>
      </w:r>
      <w:r w:rsidRPr="006B4444">
        <w:rPr>
          <w:rFonts w:ascii="Book Antiqua" w:eastAsia="Times New Roman" w:hAnsi="Book Antiqua" w:cs="宋体"/>
          <w:color w:val="000000"/>
          <w:lang w:val="en-US"/>
        </w:rPr>
        <w:t>.htm</w:t>
      </w:r>
    </w:p>
    <w:p w14:paraId="43432271" w14:textId="051E89D9" w:rsidR="00947BC2" w:rsidRPr="006B4444" w:rsidRDefault="006B4444" w:rsidP="006B4444">
      <w:pPr>
        <w:spacing w:line="360" w:lineRule="auto"/>
        <w:jc w:val="both"/>
        <w:rPr>
          <w:rFonts w:ascii="Book Antiqua" w:hAnsi="Book Antiqua"/>
          <w:lang w:val="en-US"/>
        </w:rPr>
      </w:pPr>
      <w:r w:rsidRPr="006B4444">
        <w:rPr>
          <w:rFonts w:ascii="Book Antiqua" w:eastAsia="Times New Roman" w:hAnsi="Book Antiqua" w:cs="宋体"/>
          <w:b/>
          <w:color w:val="000000"/>
          <w:lang w:val="en-US"/>
        </w:rPr>
        <w:t>DOI:</w:t>
      </w:r>
      <w:r w:rsidRPr="006B4444">
        <w:rPr>
          <w:rFonts w:ascii="Book Antiqua" w:eastAsia="Times New Roman" w:hAnsi="Book Antiqua" w:cs="宋体"/>
          <w:color w:val="000000"/>
          <w:lang w:val="en-US"/>
        </w:rPr>
        <w:t xml:space="preserve"> https://dx.doi.org/10.3748/wjg.v25.i26.</w:t>
      </w:r>
      <w:r w:rsidRPr="006B4444">
        <w:rPr>
          <w:rFonts w:ascii="Book Antiqua" w:hAnsi="Book Antiqua" w:cs="宋体" w:hint="eastAsia"/>
          <w:color w:val="000000"/>
          <w:lang w:val="en-US" w:eastAsia="zh-CN"/>
        </w:rPr>
        <w:t>32</w:t>
      </w:r>
      <w:r w:rsidRPr="006B4444">
        <w:rPr>
          <w:rFonts w:ascii="Book Antiqua" w:hAnsi="Book Antiqua" w:cs="宋体" w:hint="eastAsia"/>
          <w:color w:val="000000"/>
          <w:lang w:val="en-US" w:eastAsia="zh-CN"/>
        </w:rPr>
        <w:t>99</w:t>
      </w:r>
    </w:p>
    <w:p w14:paraId="503F947E" w14:textId="77777777" w:rsidR="001D47C8" w:rsidRPr="006B4444" w:rsidRDefault="001D47C8" w:rsidP="002F5696">
      <w:pPr>
        <w:pStyle w:val="a4"/>
        <w:spacing w:before="0" w:beforeAutospacing="0" w:after="0" w:afterAutospacing="0" w:line="360" w:lineRule="auto"/>
        <w:jc w:val="both"/>
        <w:rPr>
          <w:rFonts w:ascii="Book Antiqua" w:hAnsi="Book Antiqua"/>
          <w:b/>
          <w:bCs/>
          <w:sz w:val="24"/>
          <w:szCs w:val="24"/>
          <w:lang w:val="en-US"/>
        </w:rPr>
      </w:pPr>
    </w:p>
    <w:p w14:paraId="6517E87C" w14:textId="71BFFBB7" w:rsidR="00816D6D" w:rsidRPr="006B4444" w:rsidRDefault="00D17554" w:rsidP="008D5C61">
      <w:pPr>
        <w:autoSpaceDE w:val="0"/>
        <w:autoSpaceDN w:val="0"/>
        <w:adjustRightInd w:val="0"/>
        <w:spacing w:line="360" w:lineRule="auto"/>
        <w:jc w:val="both"/>
        <w:rPr>
          <w:rFonts w:ascii="Book Antiqua" w:hAnsi="Book Antiqua"/>
          <w:b/>
          <w:lang w:val="en-US"/>
        </w:rPr>
      </w:pPr>
      <w:r w:rsidRPr="006B4444">
        <w:rPr>
          <w:rFonts w:ascii="Book Antiqua" w:hAnsi="Book Antiqua"/>
          <w:b/>
          <w:lang w:val="en-US"/>
        </w:rPr>
        <w:br w:type="page"/>
      </w:r>
      <w:r w:rsidR="008D5C61" w:rsidRPr="006B4444">
        <w:rPr>
          <w:rFonts w:ascii="Book Antiqua" w:hAnsi="Book Antiqua"/>
          <w:b/>
          <w:lang w:val="en-US"/>
        </w:rPr>
        <w:lastRenderedPageBreak/>
        <w:t>INTRODUCTION</w:t>
      </w:r>
    </w:p>
    <w:p w14:paraId="613ED0E2" w14:textId="4F324E65" w:rsidR="00816D6D" w:rsidRPr="006B4444" w:rsidRDefault="00816D6D" w:rsidP="002F5696">
      <w:pPr>
        <w:shd w:val="clear" w:color="auto" w:fill="FFFFFF"/>
        <w:spacing w:line="360" w:lineRule="auto"/>
        <w:jc w:val="both"/>
        <w:rPr>
          <w:rFonts w:ascii="Book Antiqua" w:hAnsi="Book Antiqua"/>
          <w:lang w:val="en-US"/>
        </w:rPr>
      </w:pPr>
      <w:r w:rsidRPr="006B4444">
        <w:rPr>
          <w:rFonts w:ascii="Book Antiqua" w:hAnsi="Book Antiqua"/>
          <w:lang w:val="en-US"/>
        </w:rPr>
        <w:t xml:space="preserve">Although universal </w:t>
      </w:r>
      <w:r w:rsidR="008D5C61" w:rsidRPr="006B4444">
        <w:rPr>
          <w:rFonts w:ascii="Book Antiqua" w:hAnsi="Book Antiqua"/>
          <w:lang w:val="en-US"/>
        </w:rPr>
        <w:t>h</w:t>
      </w:r>
      <w:r w:rsidR="00B64520" w:rsidRPr="006B4444">
        <w:rPr>
          <w:rFonts w:ascii="Book Antiqua" w:hAnsi="Book Antiqua"/>
          <w:lang w:val="en-US"/>
        </w:rPr>
        <w:t xml:space="preserve">epatitis B virus (HBV) </w:t>
      </w:r>
      <w:r w:rsidRPr="006B4444">
        <w:rPr>
          <w:rFonts w:ascii="Book Antiqua" w:hAnsi="Book Antiqua"/>
          <w:lang w:val="en-US"/>
        </w:rPr>
        <w:t xml:space="preserve">vaccination has been successfully applied worldwide and effective drugs for a long-term suppression of </w:t>
      </w:r>
      <w:r w:rsidR="00B64520" w:rsidRPr="006B4444">
        <w:rPr>
          <w:rFonts w:ascii="Book Antiqua" w:hAnsi="Book Antiqua"/>
          <w:lang w:val="en-US"/>
        </w:rPr>
        <w:t>HBV</w:t>
      </w:r>
      <w:r w:rsidRPr="006B4444">
        <w:rPr>
          <w:rFonts w:ascii="Book Antiqua" w:hAnsi="Book Antiqua"/>
          <w:lang w:val="en-US"/>
        </w:rPr>
        <w:t xml:space="preserve"> have been extensively applied, chronic HBV infection remains a serious health problem in most countries because of the large number of subjects with chronic HBV infection living in most of the nations.</w:t>
      </w:r>
      <w:r w:rsidRPr="006B4444">
        <w:rPr>
          <w:rFonts w:ascii="Book Antiqua" w:hAnsi="Book Antiqua"/>
          <w:lang w:val="en-GB"/>
        </w:rPr>
        <w:t xml:space="preserve"> </w:t>
      </w:r>
      <w:r w:rsidR="00B22D52" w:rsidRPr="006B4444">
        <w:rPr>
          <w:rFonts w:ascii="Book Antiqua" w:hAnsi="Book Antiqua"/>
          <w:lang w:val="en-US"/>
        </w:rPr>
        <w:t xml:space="preserve">Two billion people worldwide had contact with HBV (overt or occult HBV infection), and nearly 240 million people had chronically HBV </w:t>
      </w:r>
      <w:proofErr w:type="gramStart"/>
      <w:r w:rsidR="00B22D52" w:rsidRPr="006B4444">
        <w:rPr>
          <w:rFonts w:ascii="Book Antiqua" w:hAnsi="Book Antiqua"/>
          <w:lang w:val="en-US"/>
        </w:rPr>
        <w:t>infected</w:t>
      </w:r>
      <w:r w:rsidRPr="006B4444">
        <w:rPr>
          <w:rFonts w:ascii="Book Antiqua" w:hAnsi="Book Antiqua"/>
          <w:vertAlign w:val="superscript"/>
          <w:lang w:val="en-US"/>
        </w:rPr>
        <w:t>[</w:t>
      </w:r>
      <w:proofErr w:type="gramEnd"/>
      <w:r w:rsidRPr="006B4444">
        <w:rPr>
          <w:rFonts w:ascii="Book Antiqua" w:hAnsi="Book Antiqua"/>
          <w:vertAlign w:val="superscript"/>
          <w:lang w:val="en-US"/>
        </w:rPr>
        <w:t>1]</w:t>
      </w:r>
      <w:r w:rsidRPr="006B4444">
        <w:rPr>
          <w:rFonts w:ascii="Book Antiqua" w:hAnsi="Book Antiqua"/>
          <w:lang w:val="en-US"/>
        </w:rPr>
        <w:t xml:space="preserve">. While for individuals with overt HBV infection </w:t>
      </w:r>
      <w:r w:rsidR="004C17F7" w:rsidRPr="006B4444">
        <w:rPr>
          <w:rFonts w:ascii="Book Antiqua" w:hAnsi="Book Antiqua"/>
          <w:lang w:val="en-US"/>
        </w:rPr>
        <w:t>[</w:t>
      </w:r>
      <w:r w:rsidR="004C17F7" w:rsidRPr="006B4444">
        <w:rPr>
          <w:rFonts w:ascii="Book Antiqua" w:hAnsi="Book Antiqua"/>
        </w:rPr>
        <w:t>hepatitis B surface antigen</w:t>
      </w:r>
      <w:r w:rsidR="004C17F7" w:rsidRPr="006B4444">
        <w:rPr>
          <w:rFonts w:ascii="Book Antiqua" w:hAnsi="Book Antiqua"/>
          <w:lang w:val="en-US"/>
        </w:rPr>
        <w:t xml:space="preserve"> (</w:t>
      </w:r>
      <w:r w:rsidRPr="006B4444">
        <w:rPr>
          <w:rFonts w:ascii="Book Antiqua" w:hAnsi="Book Antiqua"/>
          <w:lang w:val="en-US"/>
        </w:rPr>
        <w:t>HBsAg</w:t>
      </w:r>
      <w:r w:rsidR="004C17F7" w:rsidRPr="006B4444">
        <w:rPr>
          <w:rFonts w:ascii="Book Antiqua" w:hAnsi="Book Antiqua"/>
          <w:lang w:val="en-US"/>
        </w:rPr>
        <w:t>)</w:t>
      </w:r>
      <w:r w:rsidRPr="006B4444">
        <w:rPr>
          <w:rFonts w:ascii="Book Antiqua" w:hAnsi="Book Antiqua"/>
          <w:lang w:val="en-US"/>
        </w:rPr>
        <w:t>-positive</w:t>
      </w:r>
      <w:r w:rsidR="004C17F7" w:rsidRPr="006B4444">
        <w:rPr>
          <w:rFonts w:ascii="Book Antiqua" w:hAnsi="Book Antiqua"/>
          <w:lang w:val="en-US"/>
        </w:rPr>
        <w:t>]</w:t>
      </w:r>
      <w:r w:rsidRPr="006B4444">
        <w:rPr>
          <w:rFonts w:ascii="Book Antiqua" w:hAnsi="Book Antiqua"/>
          <w:lang w:val="en-US"/>
        </w:rPr>
        <w:t xml:space="preserve"> there are well-standardized clinical and therapeutic strategies. </w:t>
      </w:r>
      <w:r w:rsidR="00B22D52" w:rsidRPr="006B4444">
        <w:rPr>
          <w:rFonts w:ascii="Book Antiqua" w:hAnsi="Book Antiqua"/>
          <w:lang w:val="en-US"/>
        </w:rPr>
        <w:t xml:space="preserve">In occult HBV infection patients (HBsAg-negative, anti-HBc negative and HBV-DNA positive) </w:t>
      </w:r>
      <w:r w:rsidRPr="006B4444">
        <w:rPr>
          <w:rFonts w:ascii="Book Antiqua" w:hAnsi="Book Antiqua"/>
          <w:lang w:val="en-US"/>
        </w:rPr>
        <w:t xml:space="preserve">these strategies are not so well </w:t>
      </w:r>
      <w:proofErr w:type="gramStart"/>
      <w:r w:rsidRPr="006B4444">
        <w:rPr>
          <w:rFonts w:ascii="Book Antiqua" w:hAnsi="Book Antiqua"/>
          <w:lang w:val="en-US"/>
        </w:rPr>
        <w:t>defined</w:t>
      </w:r>
      <w:r w:rsidRPr="006B4444">
        <w:rPr>
          <w:rFonts w:ascii="Book Antiqua" w:hAnsi="Book Antiqua"/>
          <w:vertAlign w:val="superscript"/>
          <w:lang w:val="en-US"/>
        </w:rPr>
        <w:t>[</w:t>
      </w:r>
      <w:proofErr w:type="gramEnd"/>
      <w:r w:rsidRPr="006B4444">
        <w:rPr>
          <w:rFonts w:ascii="Book Antiqua" w:hAnsi="Book Antiqua"/>
          <w:vertAlign w:val="superscript"/>
          <w:lang w:val="en-US"/>
        </w:rPr>
        <w:t>2-10]</w:t>
      </w:r>
      <w:r w:rsidRPr="006B4444">
        <w:rPr>
          <w:rFonts w:ascii="Book Antiqua" w:hAnsi="Book Antiqua"/>
          <w:lang w:val="en-US"/>
        </w:rPr>
        <w:t>.</w:t>
      </w:r>
    </w:p>
    <w:p w14:paraId="41E06743" w14:textId="50327A7D" w:rsidR="00816D6D" w:rsidRPr="006B4444" w:rsidRDefault="00816D6D" w:rsidP="008D5C61">
      <w:pPr>
        <w:shd w:val="clear" w:color="auto" w:fill="FFFFFF"/>
        <w:spacing w:line="360" w:lineRule="auto"/>
        <w:ind w:firstLineChars="100" w:firstLine="240"/>
        <w:jc w:val="both"/>
        <w:rPr>
          <w:rFonts w:ascii="Book Antiqua" w:hAnsi="Book Antiqua"/>
          <w:lang w:val="en-US"/>
        </w:rPr>
      </w:pPr>
      <w:bookmarkStart w:id="32" w:name="_Hlk2159007"/>
      <w:r w:rsidRPr="006B4444">
        <w:rPr>
          <w:rFonts w:ascii="Book Antiqua" w:hAnsi="Book Antiqua"/>
          <w:lang w:val="en-US"/>
        </w:rPr>
        <w:t xml:space="preserve">HBV reactivation, a phenomenon characterized by increased HBV-DNA serum values of about 1 log or by HBV DNA turning positive if previously undetectable in serum, mostly occurs in a context of temporary or permanent immunosuppression. HBV reactivation in patients with occult HBV infection may also determine a reappearance of HBsAg in serum, possibly associated with an acute hepatic exacerbation characterized by an elevation in liver enzymes above the normal values and seldom by increased bilirubin </w:t>
      </w:r>
      <w:proofErr w:type="gramStart"/>
      <w:r w:rsidRPr="006B4444">
        <w:rPr>
          <w:rFonts w:ascii="Book Antiqua" w:hAnsi="Book Antiqua"/>
          <w:lang w:val="en-US"/>
        </w:rPr>
        <w:t>levels</w:t>
      </w:r>
      <w:bookmarkEnd w:id="32"/>
      <w:r w:rsidRPr="006B4444">
        <w:rPr>
          <w:rFonts w:ascii="Book Antiqua" w:hAnsi="Book Antiqua"/>
          <w:vertAlign w:val="superscript"/>
          <w:lang w:val="en-US"/>
        </w:rPr>
        <w:t>[</w:t>
      </w:r>
      <w:proofErr w:type="gramEnd"/>
      <w:r w:rsidRPr="006B4444">
        <w:rPr>
          <w:rFonts w:ascii="Book Antiqua" w:hAnsi="Book Antiqua"/>
          <w:vertAlign w:val="superscript"/>
          <w:lang w:val="en-US"/>
        </w:rPr>
        <w:t>11]</w:t>
      </w:r>
      <w:r w:rsidRPr="006B4444">
        <w:rPr>
          <w:rFonts w:ascii="Book Antiqua" w:hAnsi="Book Antiqua"/>
          <w:lang w:val="en-US"/>
        </w:rPr>
        <w:t>.</w:t>
      </w:r>
    </w:p>
    <w:p w14:paraId="14D1DC66" w14:textId="71B26D21" w:rsidR="00816D6D" w:rsidRPr="006B4444" w:rsidRDefault="00816D6D" w:rsidP="008D5C61">
      <w:pPr>
        <w:shd w:val="clear" w:color="auto" w:fill="FFFFFF"/>
        <w:spacing w:line="360" w:lineRule="auto"/>
        <w:ind w:firstLineChars="100" w:firstLine="240"/>
        <w:jc w:val="both"/>
        <w:rPr>
          <w:rFonts w:ascii="Book Antiqua" w:hAnsi="Book Antiqua"/>
          <w:lang w:val="en-US"/>
        </w:rPr>
      </w:pPr>
      <w:r w:rsidRPr="006B4444">
        <w:rPr>
          <w:rFonts w:ascii="Book Antiqua" w:hAnsi="Book Antiqua"/>
          <w:lang w:val="en-US"/>
        </w:rPr>
        <w:t xml:space="preserve">Clinical conditions leading to HBV reactivation are human immunodeficiency virus infection and the immunosuppression induced by drugs used for autoimmune diseases, neoplastic diseases and organ </w:t>
      </w:r>
      <w:proofErr w:type="gramStart"/>
      <w:r w:rsidRPr="006B4444">
        <w:rPr>
          <w:rFonts w:ascii="Book Antiqua" w:hAnsi="Book Antiqua"/>
          <w:lang w:val="en-US"/>
        </w:rPr>
        <w:t>transplants</w:t>
      </w:r>
      <w:r w:rsidRPr="006B4444">
        <w:rPr>
          <w:rFonts w:ascii="Book Antiqua" w:hAnsi="Book Antiqua"/>
          <w:vertAlign w:val="superscript"/>
          <w:lang w:val="en-US"/>
        </w:rPr>
        <w:t>[</w:t>
      </w:r>
      <w:proofErr w:type="gramEnd"/>
      <w:r w:rsidRPr="006B4444">
        <w:rPr>
          <w:rFonts w:ascii="Book Antiqua" w:hAnsi="Book Antiqua"/>
          <w:vertAlign w:val="superscript"/>
          <w:lang w:val="en-US"/>
        </w:rPr>
        <w:t>12]</w:t>
      </w:r>
      <w:r w:rsidRPr="006B4444">
        <w:rPr>
          <w:rFonts w:ascii="Book Antiqua" w:hAnsi="Book Antiqua"/>
          <w:lang w:val="en-US"/>
        </w:rPr>
        <w:t xml:space="preserve">. Noteworthy, HBV reactivation most frequently develops in patients with serious hematologic disorders characterized by a worse </w:t>
      </w:r>
      <w:proofErr w:type="gramStart"/>
      <w:r w:rsidRPr="006B4444">
        <w:rPr>
          <w:rFonts w:ascii="Book Antiqua" w:hAnsi="Book Antiqua"/>
          <w:lang w:val="en-US"/>
        </w:rPr>
        <w:t>prognosis</w:t>
      </w:r>
      <w:r w:rsidRPr="006B4444">
        <w:rPr>
          <w:rFonts w:ascii="Book Antiqua" w:hAnsi="Book Antiqua"/>
          <w:vertAlign w:val="superscript"/>
          <w:lang w:val="en-US"/>
        </w:rPr>
        <w:t>[</w:t>
      </w:r>
      <w:proofErr w:type="gramEnd"/>
      <w:r w:rsidRPr="006B4444">
        <w:rPr>
          <w:rFonts w:ascii="Book Antiqua" w:hAnsi="Book Antiqua"/>
          <w:vertAlign w:val="superscript"/>
          <w:lang w:val="en-US"/>
        </w:rPr>
        <w:t>13]</w:t>
      </w:r>
      <w:r w:rsidRPr="006B4444">
        <w:rPr>
          <w:rFonts w:ascii="Book Antiqua" w:hAnsi="Book Antiqua"/>
          <w:lang w:val="en-US"/>
        </w:rPr>
        <w:t>.</w:t>
      </w:r>
      <w:r w:rsidR="008D5C61" w:rsidRPr="006B4444">
        <w:rPr>
          <w:rFonts w:ascii="Book Antiqua" w:hAnsi="Book Antiqua"/>
          <w:lang w:val="en-US" w:eastAsia="zh-CN"/>
        </w:rPr>
        <w:t xml:space="preserve"> </w:t>
      </w:r>
      <w:r w:rsidRPr="006B4444">
        <w:rPr>
          <w:rFonts w:ascii="Book Antiqua" w:hAnsi="Book Antiqua"/>
          <w:lang w:val="en-US"/>
        </w:rPr>
        <w:t xml:space="preserve">The reported percentage of subjects with HBV reactivation ranges between 2% in Europe to over 10% in eastern Asia, estimates, however, are approximate, depending on the frequency of the different clinical situations in which the phenomenon </w:t>
      </w:r>
      <w:proofErr w:type="gramStart"/>
      <w:r w:rsidRPr="006B4444">
        <w:rPr>
          <w:rFonts w:ascii="Book Antiqua" w:hAnsi="Book Antiqua"/>
          <w:lang w:val="en-US"/>
        </w:rPr>
        <w:t>occurs</w:t>
      </w:r>
      <w:r w:rsidRPr="006B4444">
        <w:rPr>
          <w:rFonts w:ascii="Book Antiqua" w:hAnsi="Book Antiqua"/>
          <w:vertAlign w:val="superscript"/>
          <w:lang w:val="en-US"/>
        </w:rPr>
        <w:t>[</w:t>
      </w:r>
      <w:proofErr w:type="gramEnd"/>
      <w:r w:rsidRPr="006B4444">
        <w:rPr>
          <w:rFonts w:ascii="Book Antiqua" w:hAnsi="Book Antiqua"/>
          <w:vertAlign w:val="superscript"/>
          <w:lang w:val="en-US"/>
        </w:rPr>
        <w:t>14]</w:t>
      </w:r>
      <w:r w:rsidRPr="006B4444">
        <w:rPr>
          <w:rFonts w:ascii="Book Antiqua" w:hAnsi="Book Antiqua"/>
          <w:lang w:val="en-US"/>
        </w:rPr>
        <w:t xml:space="preserve">. </w:t>
      </w:r>
    </w:p>
    <w:p w14:paraId="5200E010" w14:textId="77777777" w:rsidR="00816D6D" w:rsidRPr="006B4444" w:rsidRDefault="00816D6D" w:rsidP="002F5696">
      <w:pPr>
        <w:spacing w:line="360" w:lineRule="auto"/>
        <w:jc w:val="both"/>
        <w:rPr>
          <w:rFonts w:ascii="Book Antiqua" w:hAnsi="Book Antiqua"/>
          <w:b/>
          <w:lang w:val="en-GB"/>
        </w:rPr>
      </w:pPr>
    </w:p>
    <w:p w14:paraId="06A0A9B2" w14:textId="75D22B3F" w:rsidR="00816D6D" w:rsidRPr="006B4444" w:rsidRDefault="008D5C61" w:rsidP="002F5696">
      <w:pPr>
        <w:spacing w:line="360" w:lineRule="auto"/>
        <w:jc w:val="both"/>
        <w:rPr>
          <w:rFonts w:ascii="Book Antiqua" w:hAnsi="Book Antiqua"/>
          <w:b/>
          <w:lang w:val="en-GB"/>
        </w:rPr>
      </w:pPr>
      <w:r w:rsidRPr="006B4444">
        <w:rPr>
          <w:rFonts w:ascii="Book Antiqua" w:hAnsi="Book Antiqua"/>
          <w:b/>
          <w:lang w:val="en-GB"/>
        </w:rPr>
        <w:t>HBV INFECTION: PIVOTAL CONCEPTS</w:t>
      </w:r>
    </w:p>
    <w:p w14:paraId="79DF8325" w14:textId="1D1D4D3A" w:rsidR="00616C67" w:rsidRPr="006B4444" w:rsidRDefault="00816D6D" w:rsidP="00616C67">
      <w:pPr>
        <w:shd w:val="clear" w:color="auto" w:fill="FFFFFF"/>
        <w:spacing w:line="360" w:lineRule="auto"/>
        <w:jc w:val="both"/>
        <w:rPr>
          <w:rFonts w:ascii="Book Antiqua" w:hAnsi="Book Antiqua"/>
          <w:color w:val="FF0000"/>
          <w:lang w:val="en-GB"/>
        </w:rPr>
      </w:pPr>
      <w:r w:rsidRPr="006B4444">
        <w:rPr>
          <w:rFonts w:ascii="Book Antiqua" w:hAnsi="Book Antiqua"/>
          <w:lang w:val="en-GB"/>
        </w:rPr>
        <w:t>HBV infection is responsible for a variety of clinical forms. It begins as acute hepatitis that evolves in healing in most cases, but in a minority of cases it progresses to chronic forms, such as an inactive carrier state, chronic hepatitis and liver cirrhosis, the last one potentially leading to hepatocellular carcinoma (HCC</w:t>
      </w:r>
      <w:proofErr w:type="gramStart"/>
      <w:r w:rsidRPr="006B4444">
        <w:rPr>
          <w:rFonts w:ascii="Book Antiqua" w:hAnsi="Book Antiqua"/>
          <w:lang w:val="en-GB"/>
        </w:rPr>
        <w:t>)</w:t>
      </w:r>
      <w:r w:rsidRPr="006B4444">
        <w:rPr>
          <w:rFonts w:ascii="Book Antiqua" w:hAnsi="Book Antiqua"/>
          <w:vertAlign w:val="superscript"/>
          <w:lang w:val="en-GB"/>
        </w:rPr>
        <w:t>[</w:t>
      </w:r>
      <w:proofErr w:type="gramEnd"/>
      <w:r w:rsidRPr="006B4444">
        <w:rPr>
          <w:rFonts w:ascii="Book Antiqua" w:hAnsi="Book Antiqua"/>
          <w:vertAlign w:val="superscript"/>
          <w:lang w:val="en-GB"/>
        </w:rPr>
        <w:t>15]</w:t>
      </w:r>
      <w:r w:rsidRPr="006B4444">
        <w:rPr>
          <w:rFonts w:ascii="Book Antiqua" w:hAnsi="Book Antiqua"/>
          <w:lang w:val="en-GB"/>
        </w:rPr>
        <w:t>.</w:t>
      </w:r>
      <w:r w:rsidR="008D5C61" w:rsidRPr="006B4444">
        <w:rPr>
          <w:rFonts w:ascii="Book Antiqua" w:hAnsi="Book Antiqua"/>
          <w:lang w:val="en-GB" w:eastAsia="zh-CN"/>
        </w:rPr>
        <w:t xml:space="preserve"> </w:t>
      </w:r>
      <w:r w:rsidR="00B22D52" w:rsidRPr="006B4444">
        <w:rPr>
          <w:rFonts w:ascii="Book Antiqua" w:hAnsi="Book Antiqua"/>
          <w:lang w:val="en-GB"/>
        </w:rPr>
        <w:t xml:space="preserve">HBV is a DNA virus enveloped double-stranded virus </w:t>
      </w:r>
      <w:r w:rsidRPr="006B4444">
        <w:rPr>
          <w:rFonts w:ascii="Book Antiqua" w:hAnsi="Book Antiqua"/>
          <w:lang w:val="en-GB"/>
        </w:rPr>
        <w:t xml:space="preserve">belonging to the </w:t>
      </w:r>
      <w:r w:rsidR="008D5C61" w:rsidRPr="006B4444">
        <w:rPr>
          <w:rFonts w:ascii="Book Antiqua" w:hAnsi="Book Antiqua"/>
          <w:lang w:val="en-GB"/>
        </w:rPr>
        <w:t>h</w:t>
      </w:r>
      <w:r w:rsidRPr="006B4444">
        <w:rPr>
          <w:rFonts w:ascii="Book Antiqua" w:hAnsi="Book Antiqua"/>
          <w:lang w:val="en-GB"/>
        </w:rPr>
        <w:t xml:space="preserve">epadnaviridae family that infects hepatocytes, </w:t>
      </w:r>
      <w:r w:rsidR="00B22D52" w:rsidRPr="006B4444">
        <w:rPr>
          <w:rFonts w:ascii="Book Antiqua" w:hAnsi="Book Antiqua"/>
          <w:lang w:val="en-GB"/>
        </w:rPr>
        <w:t xml:space="preserve">and </w:t>
      </w:r>
      <w:r w:rsidRPr="006B4444">
        <w:rPr>
          <w:rFonts w:ascii="Book Antiqua" w:hAnsi="Book Antiqua"/>
          <w:lang w:val="en-GB"/>
        </w:rPr>
        <w:t xml:space="preserve">its DNA may be detected also in mononuclear </w:t>
      </w:r>
      <w:proofErr w:type="gramStart"/>
      <w:r w:rsidRPr="006B4444">
        <w:rPr>
          <w:rFonts w:ascii="Book Antiqua" w:hAnsi="Book Antiqua"/>
          <w:lang w:val="en-GB"/>
        </w:rPr>
        <w:t>cells</w:t>
      </w:r>
      <w:r w:rsidR="00176FE8" w:rsidRPr="006B4444">
        <w:rPr>
          <w:rFonts w:ascii="Book Antiqua" w:hAnsi="Book Antiqua"/>
          <w:vertAlign w:val="superscript"/>
          <w:lang w:val="en-GB"/>
        </w:rPr>
        <w:t>[</w:t>
      </w:r>
      <w:proofErr w:type="gramEnd"/>
      <w:r w:rsidRPr="006B4444">
        <w:rPr>
          <w:rFonts w:ascii="Book Antiqua" w:hAnsi="Book Antiqua"/>
          <w:vertAlign w:val="superscript"/>
          <w:lang w:val="en-GB"/>
        </w:rPr>
        <w:t>16]</w:t>
      </w:r>
      <w:r w:rsidRPr="006B4444">
        <w:rPr>
          <w:rFonts w:ascii="Book Antiqua" w:hAnsi="Book Antiqua"/>
          <w:lang w:val="en-GB"/>
        </w:rPr>
        <w:t>.</w:t>
      </w:r>
      <w:r w:rsidR="0050626B" w:rsidRPr="006B4444">
        <w:rPr>
          <w:rFonts w:ascii="Book Antiqua" w:hAnsi="Book Antiqua"/>
          <w:lang w:val="en-GB"/>
        </w:rPr>
        <w:t xml:space="preserve"> </w:t>
      </w:r>
      <w:r w:rsidR="00616C67" w:rsidRPr="006B4444">
        <w:rPr>
          <w:rFonts w:ascii="Book Antiqua" w:hAnsi="Book Antiqua"/>
          <w:lang w:val="en-GB"/>
        </w:rPr>
        <w:t xml:space="preserve">HBV has no direct cytotoxic activity, but </w:t>
      </w:r>
      <w:r w:rsidR="00F71B6A" w:rsidRPr="006B4444">
        <w:rPr>
          <w:rFonts w:ascii="Book Antiqua" w:hAnsi="Book Antiqua"/>
          <w:lang w:val="en-GB"/>
        </w:rPr>
        <w:t xml:space="preserve">it </w:t>
      </w:r>
      <w:r w:rsidR="00616C67" w:rsidRPr="006B4444">
        <w:rPr>
          <w:rFonts w:ascii="Book Antiqua" w:hAnsi="Book Antiqua"/>
          <w:lang w:val="en-GB"/>
        </w:rPr>
        <w:t xml:space="preserve">induces hepatocyte necrosis through an immune-pathogenetic mechanism that includes the cytolytic action of cytotoxic T cells pre-sensitized to viral </w:t>
      </w:r>
      <w:proofErr w:type="gramStart"/>
      <w:r w:rsidR="00616C67" w:rsidRPr="006B4444">
        <w:rPr>
          <w:rFonts w:ascii="Book Antiqua" w:hAnsi="Book Antiqua"/>
          <w:lang w:val="en-GB"/>
        </w:rPr>
        <w:t>antigens</w:t>
      </w:r>
      <w:r w:rsidR="00616C67" w:rsidRPr="006B4444">
        <w:rPr>
          <w:rFonts w:ascii="Book Antiqua" w:hAnsi="Book Antiqua"/>
          <w:vertAlign w:val="superscript"/>
          <w:lang w:val="en-GB"/>
        </w:rPr>
        <w:t>[</w:t>
      </w:r>
      <w:proofErr w:type="gramEnd"/>
      <w:r w:rsidR="00616C67" w:rsidRPr="006B4444">
        <w:rPr>
          <w:rFonts w:ascii="Book Antiqua" w:hAnsi="Book Antiqua"/>
          <w:vertAlign w:val="superscript"/>
          <w:lang w:val="en-GB"/>
        </w:rPr>
        <w:t>17</w:t>
      </w:r>
      <w:r w:rsidR="00400C3E" w:rsidRPr="006B4444">
        <w:rPr>
          <w:rFonts w:ascii="Book Antiqua" w:hAnsi="Book Antiqua"/>
          <w:vertAlign w:val="superscript"/>
          <w:lang w:val="en-GB"/>
        </w:rPr>
        <w:t>,18</w:t>
      </w:r>
      <w:r w:rsidR="00616C67" w:rsidRPr="006B4444">
        <w:rPr>
          <w:rFonts w:ascii="Book Antiqua" w:hAnsi="Book Antiqua"/>
          <w:vertAlign w:val="superscript"/>
          <w:lang w:val="en-GB"/>
        </w:rPr>
        <w:t>]</w:t>
      </w:r>
      <w:r w:rsidR="00400C3E" w:rsidRPr="006B4444">
        <w:rPr>
          <w:rFonts w:ascii="Book Antiqua" w:hAnsi="Book Antiqua"/>
          <w:lang w:val="en-GB"/>
        </w:rPr>
        <w:t>.</w:t>
      </w:r>
    </w:p>
    <w:p w14:paraId="18A1CD09" w14:textId="08286378" w:rsidR="00816D6D" w:rsidRPr="006B4444" w:rsidRDefault="00816D6D" w:rsidP="00616C67">
      <w:pPr>
        <w:shd w:val="clear" w:color="auto" w:fill="FFFFFF"/>
        <w:spacing w:line="360" w:lineRule="auto"/>
        <w:jc w:val="both"/>
        <w:rPr>
          <w:rFonts w:ascii="Book Antiqua" w:hAnsi="Book Antiqua"/>
          <w:lang w:val="en-GB"/>
        </w:rPr>
      </w:pPr>
      <w:r w:rsidRPr="006B4444">
        <w:rPr>
          <w:rFonts w:ascii="Book Antiqua" w:hAnsi="Book Antiqua"/>
          <w:lang w:val="en-GB"/>
        </w:rPr>
        <w:lastRenderedPageBreak/>
        <w:t xml:space="preserve">Ten HBV genotypes (A-J) have so far been identified, some of which further sub-classified in sub-genotypes. These genotypes have epidemiological value since differently distributed </w:t>
      </w:r>
      <w:proofErr w:type="gramStart"/>
      <w:r w:rsidRPr="006B4444">
        <w:rPr>
          <w:rFonts w:ascii="Book Antiqua" w:hAnsi="Book Antiqua"/>
          <w:lang w:val="en-GB"/>
        </w:rPr>
        <w:t>worldwide</w:t>
      </w:r>
      <w:r w:rsidRPr="006B4444">
        <w:rPr>
          <w:rFonts w:ascii="Book Antiqua" w:hAnsi="Book Antiqua"/>
          <w:vertAlign w:val="superscript"/>
          <w:lang w:val="en-GB"/>
        </w:rPr>
        <w:t>[</w:t>
      </w:r>
      <w:proofErr w:type="gramEnd"/>
      <w:r w:rsidRPr="006B4444">
        <w:rPr>
          <w:rFonts w:ascii="Book Antiqua" w:hAnsi="Book Antiqua"/>
          <w:vertAlign w:val="superscript"/>
          <w:lang w:val="en-GB"/>
        </w:rPr>
        <w:t>19-43]</w:t>
      </w:r>
      <w:r w:rsidRPr="006B4444">
        <w:rPr>
          <w:rFonts w:ascii="Book Antiqua" w:hAnsi="Book Antiqua"/>
          <w:lang w:val="en-GB"/>
        </w:rPr>
        <w:t>, but their clinical impact has not been fully elucidated.</w:t>
      </w:r>
    </w:p>
    <w:p w14:paraId="1243927C" w14:textId="31B2041D" w:rsidR="00816D6D" w:rsidRPr="006B4444" w:rsidRDefault="00816D6D" w:rsidP="008D5C61">
      <w:pPr>
        <w:spacing w:line="360" w:lineRule="auto"/>
        <w:ind w:firstLineChars="100" w:firstLine="240"/>
        <w:jc w:val="both"/>
        <w:rPr>
          <w:rFonts w:ascii="Book Antiqua" w:hAnsi="Book Antiqua"/>
          <w:lang w:val="en-GB"/>
        </w:rPr>
      </w:pPr>
      <w:r w:rsidRPr="006B4444">
        <w:rPr>
          <w:rFonts w:ascii="Book Antiqua" w:hAnsi="Book Antiqua"/>
          <w:lang w:val="en-GB"/>
        </w:rPr>
        <w:t xml:space="preserve">In 2015, the World Health Organization estimated 257 million people, are living with chronic HBV infection worldwide. HBV endemicity is usually represented by the prevalence of HBsAg chronic carriers in the general population in a defined geographical area. Three levels of endemicity have been defined: </w:t>
      </w:r>
      <w:r w:rsidR="008D5C61" w:rsidRPr="006B4444">
        <w:rPr>
          <w:rFonts w:ascii="Book Antiqua" w:hAnsi="Book Antiqua"/>
          <w:lang w:val="en-GB"/>
        </w:rPr>
        <w:t>(</w:t>
      </w:r>
      <w:r w:rsidRPr="006B4444">
        <w:rPr>
          <w:rFonts w:ascii="Book Antiqua" w:hAnsi="Book Antiqua"/>
          <w:lang w:val="en-GB"/>
        </w:rPr>
        <w:t xml:space="preserve">1) </w:t>
      </w:r>
      <w:r w:rsidR="008D5C61" w:rsidRPr="006B4444">
        <w:rPr>
          <w:rFonts w:ascii="Book Antiqua" w:hAnsi="Book Antiqua"/>
          <w:lang w:val="en-GB"/>
        </w:rPr>
        <w:t>H</w:t>
      </w:r>
      <w:r w:rsidRPr="006B4444">
        <w:rPr>
          <w:rFonts w:ascii="Book Antiqua" w:hAnsi="Book Antiqua"/>
          <w:lang w:val="en-GB"/>
        </w:rPr>
        <w:t xml:space="preserve">igh endemicity with an HBsAg prevalence over 8%, observed in some countries in sub-Saharan Africa and eastern Asia; </w:t>
      </w:r>
      <w:r w:rsidR="008D5C61" w:rsidRPr="006B4444">
        <w:rPr>
          <w:rFonts w:ascii="Book Antiqua" w:hAnsi="Book Antiqua"/>
          <w:lang w:val="en-GB"/>
        </w:rPr>
        <w:t>(</w:t>
      </w:r>
      <w:r w:rsidRPr="006B4444">
        <w:rPr>
          <w:rFonts w:ascii="Book Antiqua" w:hAnsi="Book Antiqua"/>
          <w:lang w:val="en-GB"/>
        </w:rPr>
        <w:t>2) intermediate endemicity with HBsAg levels between 2</w:t>
      </w:r>
      <w:r w:rsidR="008D5C61" w:rsidRPr="006B4444">
        <w:rPr>
          <w:rFonts w:ascii="Book Antiqua" w:hAnsi="Book Antiqua"/>
          <w:lang w:val="en-GB"/>
        </w:rPr>
        <w:t>%-</w:t>
      </w:r>
      <w:r w:rsidRPr="006B4444">
        <w:rPr>
          <w:rFonts w:ascii="Book Antiqua" w:hAnsi="Book Antiqua"/>
          <w:lang w:val="en-GB"/>
        </w:rPr>
        <w:t xml:space="preserve">8% observed in most Mediterranean countries, in several countries in the Middle East and in some countries in South America; </w:t>
      </w:r>
      <w:r w:rsidR="008D5C61" w:rsidRPr="006B4444">
        <w:rPr>
          <w:rFonts w:ascii="Book Antiqua" w:hAnsi="Book Antiqua"/>
          <w:lang w:val="en-GB"/>
        </w:rPr>
        <w:t>(</w:t>
      </w:r>
      <w:r w:rsidRPr="006B4444">
        <w:rPr>
          <w:rFonts w:ascii="Book Antiqua" w:hAnsi="Book Antiqua"/>
          <w:lang w:val="en-GB"/>
        </w:rPr>
        <w:t xml:space="preserve">3) low endemicity with an HBsAg prevalence lower than 2% observed in the United States of America, Canada and western </w:t>
      </w:r>
      <w:proofErr w:type="gramStart"/>
      <w:r w:rsidRPr="006B4444">
        <w:rPr>
          <w:rFonts w:ascii="Book Antiqua" w:hAnsi="Book Antiqua"/>
          <w:lang w:val="en-GB"/>
        </w:rPr>
        <w:t>Europe</w:t>
      </w:r>
      <w:r w:rsidRPr="006B4444">
        <w:rPr>
          <w:rFonts w:ascii="Book Antiqua" w:hAnsi="Book Antiqua"/>
          <w:vertAlign w:val="superscript"/>
          <w:lang w:val="en-GB"/>
        </w:rPr>
        <w:t>[</w:t>
      </w:r>
      <w:proofErr w:type="gramEnd"/>
      <w:r w:rsidR="005B1417" w:rsidRPr="006B4444">
        <w:rPr>
          <w:rFonts w:ascii="Book Antiqua" w:hAnsi="Book Antiqua"/>
          <w:vertAlign w:val="superscript"/>
          <w:lang w:val="en-GB"/>
        </w:rPr>
        <w:t>31,24</w:t>
      </w:r>
      <w:r w:rsidRPr="006B4444">
        <w:rPr>
          <w:rFonts w:ascii="Book Antiqua" w:hAnsi="Book Antiqua"/>
          <w:vertAlign w:val="superscript"/>
          <w:lang w:val="en-GB"/>
        </w:rPr>
        <w:t>]</w:t>
      </w:r>
      <w:r w:rsidRPr="006B4444">
        <w:rPr>
          <w:rFonts w:ascii="Book Antiqua" w:hAnsi="Book Antiqua"/>
          <w:lang w:val="en-GB"/>
        </w:rPr>
        <w:t>.</w:t>
      </w:r>
    </w:p>
    <w:p w14:paraId="45576C13" w14:textId="2A78526B" w:rsidR="00816D6D" w:rsidRPr="006B4444" w:rsidRDefault="00816D6D" w:rsidP="008D5C61">
      <w:pPr>
        <w:spacing w:line="360" w:lineRule="auto"/>
        <w:ind w:firstLineChars="100" w:firstLine="240"/>
        <w:jc w:val="both"/>
        <w:rPr>
          <w:rFonts w:ascii="Book Antiqua" w:hAnsi="Book Antiqua"/>
          <w:lang w:val="en-GB"/>
        </w:rPr>
      </w:pPr>
      <w:r w:rsidRPr="006B4444">
        <w:rPr>
          <w:rFonts w:ascii="Book Antiqua" w:hAnsi="Book Antiqua"/>
          <w:lang w:val="en-GB"/>
        </w:rPr>
        <w:t>In geographical areas with high endemicity, HBV infection is prevalently spread from mother to child at birth and between siblings in early childhood</w:t>
      </w:r>
      <w:r w:rsidRPr="006B4444">
        <w:rPr>
          <w:rFonts w:ascii="Book Antiqua" w:hAnsi="Book Antiqua"/>
          <w:vertAlign w:val="superscript"/>
          <w:lang w:val="en-GB"/>
        </w:rPr>
        <w:t>[4</w:t>
      </w:r>
      <w:r w:rsidR="005B1417" w:rsidRPr="006B4444">
        <w:rPr>
          <w:rFonts w:ascii="Book Antiqua" w:hAnsi="Book Antiqua"/>
          <w:vertAlign w:val="superscript"/>
          <w:lang w:val="en-GB"/>
        </w:rPr>
        <w:t>4</w:t>
      </w:r>
      <w:r w:rsidRPr="006B4444">
        <w:rPr>
          <w:rFonts w:ascii="Book Antiqua" w:hAnsi="Book Antiqua"/>
          <w:vertAlign w:val="superscript"/>
          <w:lang w:val="en-GB"/>
        </w:rPr>
        <w:t>,4</w:t>
      </w:r>
      <w:r w:rsidR="005B1417" w:rsidRPr="006B4444">
        <w:rPr>
          <w:rFonts w:ascii="Book Antiqua" w:hAnsi="Book Antiqua"/>
          <w:vertAlign w:val="superscript"/>
          <w:lang w:val="en-GB"/>
        </w:rPr>
        <w:t>5</w:t>
      </w:r>
      <w:r w:rsidRPr="006B4444">
        <w:rPr>
          <w:rFonts w:ascii="Book Antiqua" w:hAnsi="Book Antiqua"/>
          <w:vertAlign w:val="superscript"/>
          <w:lang w:val="en-GB"/>
        </w:rPr>
        <w:t>]</w:t>
      </w:r>
      <w:r w:rsidRPr="006B4444">
        <w:rPr>
          <w:rFonts w:ascii="Book Antiqua" w:hAnsi="Book Antiqua"/>
          <w:lang w:val="en-GB"/>
        </w:rPr>
        <w:t>, whereas in areas at low endemicity, unsafe sexual habits and sharing of contaminated needles, especially among injection drug users, are the major routes of transmission</w:t>
      </w:r>
      <w:r w:rsidRPr="006B4444">
        <w:rPr>
          <w:rFonts w:ascii="Book Antiqua" w:hAnsi="Book Antiqua"/>
          <w:vertAlign w:val="superscript"/>
          <w:lang w:val="en-GB"/>
        </w:rPr>
        <w:t>[4</w:t>
      </w:r>
      <w:r w:rsidR="005B1417" w:rsidRPr="006B4444">
        <w:rPr>
          <w:rFonts w:ascii="Book Antiqua" w:hAnsi="Book Antiqua"/>
          <w:vertAlign w:val="superscript"/>
          <w:lang w:val="en-GB"/>
        </w:rPr>
        <w:t>6</w:t>
      </w:r>
      <w:r w:rsidRPr="006B4444">
        <w:rPr>
          <w:rFonts w:ascii="Book Antiqua" w:hAnsi="Book Antiqua"/>
          <w:vertAlign w:val="superscript"/>
          <w:lang w:val="en-GB"/>
        </w:rPr>
        <w:t>]</w:t>
      </w:r>
      <w:r w:rsidRPr="006B4444">
        <w:rPr>
          <w:rFonts w:ascii="Book Antiqua" w:hAnsi="Book Antiqua"/>
          <w:lang w:val="en-GB"/>
        </w:rPr>
        <w:t xml:space="preserve">. Universal HBV vaccination of new born babies have resulted in a dramatic, progressive reduction in HBV transmission in all countries where this prophylactic procedure has been </w:t>
      </w:r>
      <w:proofErr w:type="gramStart"/>
      <w:r w:rsidRPr="006B4444">
        <w:rPr>
          <w:rFonts w:ascii="Book Antiqua" w:hAnsi="Book Antiqua"/>
          <w:lang w:val="en-GB"/>
        </w:rPr>
        <w:t>applied</w:t>
      </w:r>
      <w:r w:rsidRPr="006B4444">
        <w:rPr>
          <w:rFonts w:ascii="Book Antiqua" w:hAnsi="Book Antiqua"/>
          <w:vertAlign w:val="superscript"/>
          <w:lang w:val="en-GB"/>
        </w:rPr>
        <w:t>[</w:t>
      </w:r>
      <w:proofErr w:type="gramEnd"/>
      <w:r w:rsidRPr="006B4444">
        <w:rPr>
          <w:rFonts w:ascii="Book Antiqua" w:hAnsi="Book Antiqua"/>
          <w:vertAlign w:val="superscript"/>
          <w:lang w:val="en-GB"/>
        </w:rPr>
        <w:t>28]</w:t>
      </w:r>
      <w:r w:rsidRPr="006B4444">
        <w:rPr>
          <w:rFonts w:ascii="Book Antiqua" w:hAnsi="Book Antiqua"/>
          <w:lang w:val="en-GB"/>
        </w:rPr>
        <w:t>.</w:t>
      </w:r>
      <w:r w:rsidRPr="006B4444">
        <w:rPr>
          <w:rFonts w:ascii="Book Antiqua" w:hAnsi="Book Antiqua"/>
          <w:strike/>
          <w:lang w:val="en-GB"/>
        </w:rPr>
        <w:t xml:space="preserve"> </w:t>
      </w:r>
    </w:p>
    <w:p w14:paraId="734A6779" w14:textId="4D354F1D" w:rsidR="00764B42" w:rsidRPr="006B4444" w:rsidRDefault="00816D6D" w:rsidP="00764B42">
      <w:pPr>
        <w:spacing w:line="360" w:lineRule="auto"/>
        <w:ind w:firstLineChars="100" w:firstLine="240"/>
        <w:jc w:val="both"/>
        <w:rPr>
          <w:rFonts w:ascii="Book Antiqua" w:hAnsi="Book Antiqua"/>
          <w:lang w:val="en-US"/>
        </w:rPr>
      </w:pPr>
      <w:r w:rsidRPr="006B4444">
        <w:rPr>
          <w:rFonts w:ascii="Book Antiqua" w:hAnsi="Book Antiqua"/>
          <w:lang w:val="en-GB"/>
        </w:rPr>
        <w:t>The outcome of HBV infection is age-dependent. Once acquired, HBV infection causes symptomatic acute hepatitis in approximately 1% of perinatal infections, in 10% of infections in early childhood (1</w:t>
      </w:r>
      <w:r w:rsidR="008D5C61" w:rsidRPr="006B4444">
        <w:rPr>
          <w:rFonts w:ascii="Book Antiqua" w:hAnsi="Book Antiqua"/>
          <w:lang w:val="en-GB"/>
        </w:rPr>
        <w:t>-</w:t>
      </w:r>
      <w:r w:rsidRPr="006B4444">
        <w:rPr>
          <w:rFonts w:ascii="Book Antiqua" w:hAnsi="Book Antiqua"/>
          <w:lang w:val="en-GB"/>
        </w:rPr>
        <w:t>5 years), in 30% of children aged more than 5 years and in most infected adults. Fulminant hepatitis develops in 0.1</w:t>
      </w:r>
      <w:r w:rsidR="008D5C61" w:rsidRPr="006B4444">
        <w:rPr>
          <w:rFonts w:ascii="Book Antiqua" w:hAnsi="Book Antiqua"/>
          <w:lang w:val="en-GB"/>
        </w:rPr>
        <w:t>%-</w:t>
      </w:r>
      <w:r w:rsidRPr="006B4444">
        <w:rPr>
          <w:rFonts w:ascii="Book Antiqua" w:hAnsi="Book Antiqua"/>
          <w:lang w:val="en-GB"/>
        </w:rPr>
        <w:t>0.6% of acute hepatitis cases and is more frequent in young adults; mortality from fulminant hepatitis B is approximately 70%. HBV infection progresses to chronicity with a frequency inversely related to the age at HBV acquisition, approximately 80</w:t>
      </w:r>
      <w:r w:rsidR="008D5C61" w:rsidRPr="006B4444">
        <w:rPr>
          <w:rFonts w:ascii="Book Antiqua" w:hAnsi="Book Antiqua"/>
          <w:lang w:val="en-GB"/>
        </w:rPr>
        <w:t>%-</w:t>
      </w:r>
      <w:r w:rsidRPr="006B4444">
        <w:rPr>
          <w:rFonts w:ascii="Book Antiqua" w:hAnsi="Book Antiqua"/>
          <w:lang w:val="en-GB"/>
        </w:rPr>
        <w:t xml:space="preserve">90% in babies infected perinatally, in about 30% in children aged less than 6 and in less than 5% in </w:t>
      </w:r>
      <w:proofErr w:type="gramStart"/>
      <w:r w:rsidRPr="006B4444">
        <w:rPr>
          <w:rFonts w:ascii="Book Antiqua" w:hAnsi="Book Antiqua"/>
          <w:lang w:val="en-GB"/>
        </w:rPr>
        <w:t>adults</w:t>
      </w:r>
      <w:r w:rsidRPr="006B4444">
        <w:rPr>
          <w:rFonts w:ascii="Book Antiqua" w:hAnsi="Book Antiqua"/>
          <w:vertAlign w:val="superscript"/>
          <w:lang w:val="en-GB"/>
        </w:rPr>
        <w:t>[</w:t>
      </w:r>
      <w:proofErr w:type="gramEnd"/>
      <w:r w:rsidRPr="006B4444">
        <w:rPr>
          <w:rFonts w:ascii="Book Antiqua" w:hAnsi="Book Antiqua"/>
          <w:vertAlign w:val="superscript"/>
          <w:lang w:val="en-GB"/>
        </w:rPr>
        <w:t>4</w:t>
      </w:r>
      <w:r w:rsidR="005B1417" w:rsidRPr="006B4444">
        <w:rPr>
          <w:rFonts w:ascii="Book Antiqua" w:hAnsi="Book Antiqua"/>
          <w:vertAlign w:val="superscript"/>
          <w:lang w:val="en-GB"/>
        </w:rPr>
        <w:t>7</w:t>
      </w:r>
      <w:r w:rsidRPr="006B4444">
        <w:rPr>
          <w:rFonts w:ascii="Book Antiqua" w:hAnsi="Book Antiqua"/>
          <w:vertAlign w:val="superscript"/>
          <w:lang w:val="en-GB"/>
        </w:rPr>
        <w:t>]</w:t>
      </w:r>
      <w:r w:rsidR="00176FE8" w:rsidRPr="006B4444">
        <w:rPr>
          <w:rFonts w:ascii="Book Antiqua" w:hAnsi="Book Antiqua"/>
          <w:lang w:val="en-GB"/>
        </w:rPr>
        <w:t>.</w:t>
      </w:r>
    </w:p>
    <w:p w14:paraId="6C07AB81" w14:textId="0BD13C0F" w:rsidR="00602403" w:rsidRPr="006B4444" w:rsidRDefault="00764B42" w:rsidP="00075644">
      <w:pPr>
        <w:spacing w:line="360" w:lineRule="auto"/>
        <w:ind w:firstLineChars="100" w:firstLine="240"/>
        <w:jc w:val="both"/>
        <w:rPr>
          <w:rFonts w:ascii="Book Antiqua" w:hAnsi="Book Antiqua"/>
          <w:lang w:val="en-GB"/>
        </w:rPr>
      </w:pPr>
      <w:r w:rsidRPr="006B4444">
        <w:rPr>
          <w:rFonts w:ascii="Book Antiqua" w:hAnsi="Book Antiqua"/>
          <w:lang w:val="en-GB"/>
        </w:rPr>
        <w:t>Patients recovering from acute hepatitis B become HBsAg</w:t>
      </w:r>
      <w:r w:rsidR="006A2F14" w:rsidRPr="006B4444">
        <w:rPr>
          <w:rFonts w:ascii="Book Antiqua" w:hAnsi="Book Antiqua"/>
          <w:lang w:val="en-GB"/>
        </w:rPr>
        <w:t xml:space="preserve"> negative but</w:t>
      </w:r>
      <w:r w:rsidR="00EE3B9B" w:rsidRPr="006B4444">
        <w:rPr>
          <w:rFonts w:ascii="Book Antiqua" w:hAnsi="Book Antiqua"/>
          <w:lang w:val="en-GB"/>
        </w:rPr>
        <w:t xml:space="preserve"> </w:t>
      </w:r>
      <w:r w:rsidR="009B5E30" w:rsidRPr="006B4444">
        <w:rPr>
          <w:rFonts w:ascii="Book Antiqua" w:hAnsi="Book Antiqua"/>
          <w:lang w:val="en-GB"/>
        </w:rPr>
        <w:t>a</w:t>
      </w:r>
      <w:r w:rsidR="00EE3B9B" w:rsidRPr="006B4444">
        <w:rPr>
          <w:rFonts w:ascii="Book Antiqua" w:hAnsi="Book Antiqua"/>
          <w:lang w:val="en-GB"/>
        </w:rPr>
        <w:t xml:space="preserve"> covalently closed circular DNA (cccDNA) persists in the hepatocytes and </w:t>
      </w:r>
      <w:r w:rsidRPr="006B4444">
        <w:rPr>
          <w:rFonts w:ascii="Book Antiqua" w:hAnsi="Book Antiqua"/>
          <w:lang w:val="en-GB"/>
        </w:rPr>
        <w:t xml:space="preserve">anti-HBc </w:t>
      </w:r>
      <w:r w:rsidR="00EE3B9B" w:rsidRPr="006B4444">
        <w:rPr>
          <w:rFonts w:ascii="Book Antiqua" w:hAnsi="Book Antiqua"/>
          <w:lang w:val="en-GB"/>
        </w:rPr>
        <w:t>in serum</w:t>
      </w:r>
      <w:r w:rsidRPr="006B4444">
        <w:rPr>
          <w:rFonts w:ascii="Book Antiqua" w:hAnsi="Book Antiqua"/>
          <w:lang w:val="en-GB"/>
        </w:rPr>
        <w:t>; many of them become anti-HBs positive and are protected from eventual HBV reinfection.</w:t>
      </w:r>
      <w:r w:rsidR="00816D6D" w:rsidRPr="006B4444">
        <w:rPr>
          <w:rFonts w:ascii="Book Antiqua" w:hAnsi="Book Antiqua"/>
          <w:lang w:val="en-GB"/>
        </w:rPr>
        <w:t xml:space="preserve"> </w:t>
      </w:r>
      <w:r w:rsidR="00580782" w:rsidRPr="006B4444">
        <w:rPr>
          <w:rFonts w:ascii="Book Antiqua" w:hAnsi="Book Antiqua"/>
          <w:lang w:val="en-GB"/>
        </w:rPr>
        <w:t xml:space="preserve">For most patients with chronic HBV infection, the clinical presentation progressively varies from a chronic </w:t>
      </w:r>
      <w:r w:rsidR="00E962B5" w:rsidRPr="006B4444">
        <w:rPr>
          <w:rFonts w:ascii="Book Antiqua" w:hAnsi="Book Antiqua"/>
          <w:lang w:val="en-GB"/>
        </w:rPr>
        <w:t xml:space="preserve">HBsAg </w:t>
      </w:r>
      <w:r w:rsidR="00580782" w:rsidRPr="006B4444">
        <w:rPr>
          <w:rFonts w:ascii="Book Antiqua" w:hAnsi="Book Antiqua"/>
          <w:lang w:val="en-GB"/>
        </w:rPr>
        <w:t xml:space="preserve">carrier state with no </w:t>
      </w:r>
      <w:r w:rsidR="00E962B5" w:rsidRPr="006B4444">
        <w:rPr>
          <w:rFonts w:ascii="Book Antiqua" w:hAnsi="Book Antiqua"/>
          <w:lang w:val="en-GB"/>
        </w:rPr>
        <w:t>evidence of</w:t>
      </w:r>
      <w:r w:rsidR="00580782" w:rsidRPr="006B4444">
        <w:rPr>
          <w:rFonts w:ascii="Book Antiqua" w:hAnsi="Book Antiqua"/>
          <w:lang w:val="en-GB"/>
        </w:rPr>
        <w:t xml:space="preserve"> liver disease, to chronic hepatitis (</w:t>
      </w:r>
      <w:r w:rsidR="00E962B5" w:rsidRPr="006B4444">
        <w:rPr>
          <w:rFonts w:ascii="Book Antiqua" w:hAnsi="Book Antiqua"/>
          <w:lang w:val="en-GB"/>
        </w:rPr>
        <w:t xml:space="preserve">first </w:t>
      </w:r>
      <w:r w:rsidR="00580782" w:rsidRPr="006B4444">
        <w:rPr>
          <w:rFonts w:ascii="Book Antiqua" w:hAnsi="Book Antiqua"/>
          <w:lang w:val="en-GB"/>
        </w:rPr>
        <w:t xml:space="preserve">HBeAg-positive </w:t>
      </w:r>
      <w:r w:rsidR="00E962B5" w:rsidRPr="006B4444">
        <w:rPr>
          <w:rFonts w:ascii="Book Antiqua" w:hAnsi="Book Antiqua"/>
          <w:lang w:val="en-GB"/>
        </w:rPr>
        <w:t xml:space="preserve">and then </w:t>
      </w:r>
      <w:r w:rsidR="00580782" w:rsidRPr="006B4444">
        <w:rPr>
          <w:rFonts w:ascii="Book Antiqua" w:hAnsi="Book Antiqua"/>
          <w:lang w:val="en-GB"/>
        </w:rPr>
        <w:t>HBeAg-negative)</w:t>
      </w:r>
      <w:r w:rsidR="00E962B5" w:rsidRPr="006B4444">
        <w:rPr>
          <w:rFonts w:ascii="Book Antiqua" w:hAnsi="Book Antiqua"/>
          <w:lang w:val="en-GB"/>
        </w:rPr>
        <w:t>,</w:t>
      </w:r>
      <w:r w:rsidR="00580782" w:rsidRPr="006B4444">
        <w:rPr>
          <w:rFonts w:ascii="Book Antiqua" w:hAnsi="Book Antiqua"/>
          <w:lang w:val="en-GB"/>
        </w:rPr>
        <w:t xml:space="preserve"> and finally to liver cirrhosis (compensated in a first phase and therefore decompensated), with or without</w:t>
      </w:r>
      <w:r w:rsidR="00400C3E" w:rsidRPr="006B4444">
        <w:rPr>
          <w:rFonts w:ascii="Book Antiqua" w:hAnsi="Book Antiqua"/>
          <w:lang w:val="en-GB"/>
        </w:rPr>
        <w:t xml:space="preserve"> </w:t>
      </w:r>
      <w:proofErr w:type="gramStart"/>
      <w:r w:rsidR="00400C3E" w:rsidRPr="006B4444">
        <w:rPr>
          <w:rFonts w:ascii="Book Antiqua" w:hAnsi="Book Antiqua"/>
          <w:lang w:val="en-GB"/>
        </w:rPr>
        <w:t>HCC</w:t>
      </w:r>
      <w:r w:rsidR="00816D6D" w:rsidRPr="006B4444">
        <w:rPr>
          <w:rFonts w:ascii="Book Antiqua" w:hAnsi="Book Antiqua"/>
          <w:vertAlign w:val="superscript"/>
          <w:lang w:val="en-GB"/>
        </w:rPr>
        <w:t>[</w:t>
      </w:r>
      <w:proofErr w:type="gramEnd"/>
      <w:r w:rsidR="005B1417" w:rsidRPr="006B4444">
        <w:rPr>
          <w:rFonts w:ascii="Book Antiqua" w:hAnsi="Book Antiqua"/>
          <w:vertAlign w:val="superscript"/>
          <w:lang w:val="en-GB"/>
        </w:rPr>
        <w:t>48,49</w:t>
      </w:r>
      <w:r w:rsidR="00816D6D" w:rsidRPr="006B4444">
        <w:rPr>
          <w:rFonts w:ascii="Book Antiqua" w:hAnsi="Book Antiqua"/>
          <w:vertAlign w:val="superscript"/>
          <w:lang w:val="en-GB"/>
        </w:rPr>
        <w:t>]</w:t>
      </w:r>
      <w:r w:rsidR="00816D6D" w:rsidRPr="006B4444">
        <w:rPr>
          <w:rFonts w:ascii="Book Antiqua" w:hAnsi="Book Antiqua"/>
          <w:lang w:val="en-GB"/>
        </w:rPr>
        <w:t xml:space="preserve">. </w:t>
      </w:r>
      <w:r w:rsidR="00576E2D" w:rsidRPr="006B4444">
        <w:rPr>
          <w:rFonts w:ascii="Book Antiqua" w:hAnsi="Book Antiqua"/>
          <w:lang w:val="en-GB"/>
        </w:rPr>
        <w:t>R</w:t>
      </w:r>
      <w:r w:rsidR="00816D6D" w:rsidRPr="006B4444">
        <w:rPr>
          <w:rFonts w:ascii="Book Antiqua" w:hAnsi="Book Antiqua"/>
          <w:lang w:val="en-GB"/>
        </w:rPr>
        <w:t xml:space="preserve">ecently, the guidelines of the European Association of Study of the Liver have simplified this classification by identifying 4 phases: </w:t>
      </w:r>
      <w:r w:rsidR="00377B0F" w:rsidRPr="006B4444">
        <w:rPr>
          <w:rFonts w:ascii="Book Antiqua" w:hAnsi="Book Antiqua"/>
          <w:lang w:val="en-GB"/>
        </w:rPr>
        <w:t>(</w:t>
      </w:r>
      <w:r w:rsidR="00816D6D" w:rsidRPr="006B4444">
        <w:rPr>
          <w:rFonts w:ascii="Book Antiqua" w:hAnsi="Book Antiqua"/>
          <w:lang w:val="en-GB"/>
        </w:rPr>
        <w:t xml:space="preserve">1) HBeAg-positive </w:t>
      </w:r>
      <w:r w:rsidR="00816D6D" w:rsidRPr="006B4444">
        <w:rPr>
          <w:rFonts w:ascii="Book Antiqua" w:hAnsi="Book Antiqua"/>
          <w:lang w:val="en-GB"/>
        </w:rPr>
        <w:lastRenderedPageBreak/>
        <w:t xml:space="preserve">infection (the old “immune-tolerant phase”); </w:t>
      </w:r>
      <w:r w:rsidR="00377B0F" w:rsidRPr="006B4444">
        <w:rPr>
          <w:rFonts w:ascii="Book Antiqua" w:hAnsi="Book Antiqua"/>
          <w:lang w:val="en-GB"/>
        </w:rPr>
        <w:t>(</w:t>
      </w:r>
      <w:r w:rsidR="00816D6D" w:rsidRPr="006B4444">
        <w:rPr>
          <w:rFonts w:ascii="Book Antiqua" w:hAnsi="Book Antiqua"/>
          <w:lang w:val="en-GB"/>
        </w:rPr>
        <w:t xml:space="preserve">2) HBeAg-positive chronic hepatitis (the old “immune-reactive phase”); </w:t>
      </w:r>
      <w:r w:rsidR="00377B0F" w:rsidRPr="006B4444">
        <w:rPr>
          <w:rFonts w:ascii="Book Antiqua" w:hAnsi="Book Antiqua"/>
          <w:lang w:val="en-GB"/>
        </w:rPr>
        <w:t>(</w:t>
      </w:r>
      <w:r w:rsidR="00816D6D" w:rsidRPr="006B4444">
        <w:rPr>
          <w:rFonts w:ascii="Book Antiqua" w:hAnsi="Book Antiqua"/>
          <w:lang w:val="en-GB"/>
        </w:rPr>
        <w:t xml:space="preserve">3) HBeAg-negative infection (the old “immune-control phase”); </w:t>
      </w:r>
      <w:r w:rsidR="00377B0F" w:rsidRPr="006B4444">
        <w:rPr>
          <w:rFonts w:ascii="Book Antiqua" w:hAnsi="Book Antiqua"/>
          <w:lang w:val="en-GB"/>
        </w:rPr>
        <w:t>(</w:t>
      </w:r>
      <w:r w:rsidR="00816D6D" w:rsidRPr="006B4444">
        <w:rPr>
          <w:rFonts w:ascii="Book Antiqua" w:hAnsi="Book Antiqua"/>
          <w:lang w:val="en-GB"/>
        </w:rPr>
        <w:t xml:space="preserve">4) HBeAg-negative </w:t>
      </w:r>
      <w:r w:rsidR="00F42CD0" w:rsidRPr="006B4444">
        <w:rPr>
          <w:rFonts w:ascii="Book Antiqua" w:hAnsi="Book Antiqua"/>
          <w:lang w:val="en-GB"/>
        </w:rPr>
        <w:t>chronic</w:t>
      </w:r>
      <w:r w:rsidR="00816D6D" w:rsidRPr="006B4444">
        <w:rPr>
          <w:rFonts w:ascii="Book Antiqua" w:hAnsi="Book Antiqua"/>
          <w:lang w:val="en-GB"/>
        </w:rPr>
        <w:t xml:space="preserve"> hepatitis </w:t>
      </w:r>
      <w:bookmarkStart w:id="33" w:name="_Hlk1900617"/>
      <w:r w:rsidR="00816D6D" w:rsidRPr="006B4444">
        <w:rPr>
          <w:rFonts w:ascii="Book Antiqua" w:hAnsi="Book Antiqua"/>
          <w:lang w:val="en-GB"/>
        </w:rPr>
        <w:t>(the old “immune-escape phase”)</w:t>
      </w:r>
      <w:bookmarkEnd w:id="33"/>
      <w:r w:rsidR="00816D6D" w:rsidRPr="006B4444">
        <w:rPr>
          <w:rFonts w:ascii="Book Antiqua" w:hAnsi="Book Antiqua"/>
          <w:vertAlign w:val="superscript"/>
          <w:lang w:val="en-GB"/>
        </w:rPr>
        <w:t>[5</w:t>
      </w:r>
      <w:r w:rsidR="005B1417" w:rsidRPr="006B4444">
        <w:rPr>
          <w:rFonts w:ascii="Book Antiqua" w:hAnsi="Book Antiqua"/>
          <w:vertAlign w:val="superscript"/>
          <w:lang w:val="en-GB"/>
        </w:rPr>
        <w:t>0</w:t>
      </w:r>
      <w:r w:rsidR="00816D6D" w:rsidRPr="006B4444">
        <w:rPr>
          <w:rFonts w:ascii="Book Antiqua" w:hAnsi="Book Antiqua"/>
          <w:vertAlign w:val="superscript"/>
          <w:lang w:val="en-GB"/>
        </w:rPr>
        <w:t>]</w:t>
      </w:r>
      <w:r w:rsidR="00816D6D" w:rsidRPr="006B4444">
        <w:rPr>
          <w:rFonts w:ascii="Book Antiqua" w:hAnsi="Book Antiqua"/>
          <w:lang w:val="en-GB"/>
        </w:rPr>
        <w:t>. A</w:t>
      </w:r>
      <w:r w:rsidR="00816D6D" w:rsidRPr="006B4444">
        <w:rPr>
          <w:rFonts w:ascii="Book Antiqua" w:hAnsi="Book Antiqua"/>
          <w:bCs/>
          <w:lang w:val="en-US"/>
        </w:rPr>
        <w:t xml:space="preserve"> virological condition called “resolved HBV infection” has also been identified, </w:t>
      </w:r>
      <w:r w:rsidR="00816D6D" w:rsidRPr="006B4444">
        <w:rPr>
          <w:rFonts w:ascii="Book Antiqua" w:hAnsi="Book Antiqua"/>
          <w:lang w:val="en-US"/>
        </w:rPr>
        <w:t xml:space="preserve">characterized by a low HBV-DNA level in liver tissue and possibly in serum in HBsAg-negative subjects, conceptually overlapping the definition of occult HBV </w:t>
      </w:r>
      <w:proofErr w:type="gramStart"/>
      <w:r w:rsidR="00816D6D" w:rsidRPr="006B4444">
        <w:rPr>
          <w:rFonts w:ascii="Book Antiqua" w:hAnsi="Book Antiqua"/>
          <w:lang w:val="en-US"/>
        </w:rPr>
        <w:t>infection</w:t>
      </w:r>
      <w:r w:rsidR="00816D6D" w:rsidRPr="006B4444">
        <w:rPr>
          <w:rFonts w:ascii="Book Antiqua" w:hAnsi="Book Antiqua"/>
          <w:vertAlign w:val="superscript"/>
          <w:lang w:val="en-US"/>
        </w:rPr>
        <w:t>[</w:t>
      </w:r>
      <w:proofErr w:type="gramEnd"/>
      <w:r w:rsidR="00816D6D" w:rsidRPr="006B4444">
        <w:rPr>
          <w:rFonts w:ascii="Book Antiqua" w:hAnsi="Book Antiqua"/>
          <w:vertAlign w:val="superscript"/>
          <w:lang w:val="en-US"/>
        </w:rPr>
        <w:t>5</w:t>
      </w:r>
      <w:r w:rsidR="005B1417" w:rsidRPr="006B4444">
        <w:rPr>
          <w:rFonts w:ascii="Book Antiqua" w:hAnsi="Book Antiqua"/>
          <w:vertAlign w:val="superscript"/>
          <w:lang w:val="en-US"/>
        </w:rPr>
        <w:t>1</w:t>
      </w:r>
      <w:r w:rsidR="00816D6D" w:rsidRPr="006B4444">
        <w:rPr>
          <w:rFonts w:ascii="Book Antiqua" w:hAnsi="Book Antiqua"/>
          <w:vertAlign w:val="superscript"/>
          <w:lang w:val="en-US"/>
        </w:rPr>
        <w:t>-5</w:t>
      </w:r>
      <w:r w:rsidR="005B1417" w:rsidRPr="006B4444">
        <w:rPr>
          <w:rFonts w:ascii="Book Antiqua" w:hAnsi="Book Antiqua"/>
          <w:vertAlign w:val="superscript"/>
          <w:lang w:val="en-US"/>
        </w:rPr>
        <w:t>6</w:t>
      </w:r>
      <w:r w:rsidR="00816D6D" w:rsidRPr="006B4444">
        <w:rPr>
          <w:rFonts w:ascii="Book Antiqua" w:hAnsi="Book Antiqua"/>
          <w:vertAlign w:val="superscript"/>
          <w:lang w:val="en-US"/>
        </w:rPr>
        <w:t>]</w:t>
      </w:r>
      <w:r w:rsidR="00816D6D" w:rsidRPr="006B4444">
        <w:rPr>
          <w:rFonts w:ascii="Book Antiqua" w:hAnsi="Book Antiqua"/>
          <w:lang w:val="en-US"/>
        </w:rPr>
        <w:t>.</w:t>
      </w:r>
      <w:r w:rsidR="007C164F" w:rsidRPr="006B4444">
        <w:rPr>
          <w:rFonts w:ascii="Book Antiqua" w:hAnsi="Book Antiqua"/>
          <w:lang w:val="en-GB"/>
        </w:rPr>
        <w:t xml:space="preserve"> </w:t>
      </w:r>
      <w:r w:rsidR="007C164F" w:rsidRPr="006B4444">
        <w:rPr>
          <w:rFonts w:ascii="Book Antiqua" w:hAnsi="Book Antiqua"/>
          <w:lang w:val="en-US"/>
        </w:rPr>
        <w:t xml:space="preserve">For epidemiological studies and in clinical practice, the presence of anti-HBc in serum has been used by several researchers as a surrogate marker of </w:t>
      </w:r>
      <w:r w:rsidR="009B5E30" w:rsidRPr="006B4444">
        <w:rPr>
          <w:rFonts w:ascii="Book Antiqua" w:hAnsi="Book Antiqua"/>
          <w:lang w:val="en-US"/>
        </w:rPr>
        <w:t xml:space="preserve">hepatocytic integrated </w:t>
      </w:r>
      <w:r w:rsidR="005225B2" w:rsidRPr="006B4444">
        <w:rPr>
          <w:rFonts w:ascii="Book Antiqua" w:hAnsi="Book Antiqua"/>
          <w:lang w:val="en-US"/>
        </w:rPr>
        <w:t xml:space="preserve">HBV </w:t>
      </w:r>
      <w:r w:rsidR="009B5E30" w:rsidRPr="006B4444">
        <w:rPr>
          <w:rFonts w:ascii="Book Antiqua" w:hAnsi="Book Antiqua"/>
          <w:lang w:val="en-US"/>
        </w:rPr>
        <w:t xml:space="preserve">DNA and </w:t>
      </w:r>
      <w:r w:rsidR="00EE3B9B" w:rsidRPr="006B4444">
        <w:rPr>
          <w:rFonts w:ascii="Book Antiqua" w:hAnsi="Book Antiqua"/>
          <w:lang w:val="en-US"/>
        </w:rPr>
        <w:t>ccc</w:t>
      </w:r>
      <w:r w:rsidR="007C164F" w:rsidRPr="006B4444">
        <w:rPr>
          <w:rFonts w:ascii="Book Antiqua" w:hAnsi="Book Antiqua"/>
          <w:lang w:val="en-US"/>
        </w:rPr>
        <w:t>DNA, given the objective difficulty of obtaining a liver biopsy in HBsAg negative/anti-HBc positive subjects in good clinical conditions</w:t>
      </w:r>
      <w:r w:rsidR="00602403" w:rsidRPr="006B4444">
        <w:rPr>
          <w:rFonts w:ascii="Book Antiqua" w:hAnsi="Book Antiqua"/>
          <w:lang w:val="en-GB"/>
        </w:rPr>
        <w:t xml:space="preserve"> </w:t>
      </w:r>
    </w:p>
    <w:p w14:paraId="3D18E228" w14:textId="2ADC6A41" w:rsidR="00816D6D" w:rsidRPr="006B4444" w:rsidRDefault="00602403" w:rsidP="00075644">
      <w:pPr>
        <w:spacing w:line="360" w:lineRule="auto"/>
        <w:ind w:firstLineChars="100" w:firstLine="240"/>
        <w:jc w:val="both"/>
        <w:rPr>
          <w:rFonts w:ascii="Book Antiqua" w:hAnsi="Book Antiqua"/>
          <w:lang w:val="en-GB"/>
        </w:rPr>
      </w:pPr>
      <w:r w:rsidRPr="006B4444">
        <w:rPr>
          <w:rFonts w:ascii="Book Antiqua" w:hAnsi="Book Antiqua"/>
          <w:lang w:val="en-US"/>
        </w:rPr>
        <w:t xml:space="preserve">HBV is considered an oncogenic virus, but its carcinogenic action is the result of </w:t>
      </w:r>
      <w:r w:rsidR="005225B2" w:rsidRPr="006B4444">
        <w:rPr>
          <w:rFonts w:ascii="Book Antiqua" w:hAnsi="Book Antiqua"/>
          <w:lang w:val="en-US"/>
        </w:rPr>
        <w:t xml:space="preserve">its </w:t>
      </w:r>
      <w:r w:rsidRPr="006B4444">
        <w:rPr>
          <w:rFonts w:ascii="Book Antiqua" w:hAnsi="Book Antiqua"/>
          <w:lang w:val="en-US"/>
        </w:rPr>
        <w:t xml:space="preserve">interaction </w:t>
      </w:r>
      <w:r w:rsidR="005225B2" w:rsidRPr="006B4444">
        <w:rPr>
          <w:rFonts w:ascii="Book Antiqua" w:hAnsi="Book Antiqua"/>
          <w:lang w:val="en-US"/>
        </w:rPr>
        <w:t xml:space="preserve">with the </w:t>
      </w:r>
      <w:r w:rsidRPr="006B4444">
        <w:rPr>
          <w:rFonts w:ascii="Book Antiqua" w:hAnsi="Book Antiqua"/>
          <w:lang w:val="en-US"/>
        </w:rPr>
        <w:t>presence of cirrhosis</w:t>
      </w:r>
      <w:r w:rsidR="005225B2" w:rsidRPr="006B4444">
        <w:rPr>
          <w:rFonts w:ascii="Book Antiqua" w:hAnsi="Book Antiqua"/>
          <w:lang w:val="en-US"/>
        </w:rPr>
        <w:t xml:space="preserve"> and with the </w:t>
      </w:r>
      <w:r w:rsidRPr="006B4444">
        <w:rPr>
          <w:rFonts w:ascii="Book Antiqua" w:hAnsi="Book Antiqua"/>
          <w:lang w:val="en-US"/>
        </w:rPr>
        <w:t xml:space="preserve">host immune </w:t>
      </w:r>
      <w:proofErr w:type="gramStart"/>
      <w:r w:rsidRPr="006B4444">
        <w:rPr>
          <w:rFonts w:ascii="Book Antiqua" w:hAnsi="Book Antiqua"/>
          <w:lang w:val="en-US"/>
        </w:rPr>
        <w:t>system</w:t>
      </w:r>
      <w:r w:rsidR="002B1FDC" w:rsidRPr="006B4444">
        <w:rPr>
          <w:rFonts w:ascii="Book Antiqua" w:hAnsi="Book Antiqua"/>
          <w:vertAlign w:val="superscript"/>
          <w:lang w:val="en-US"/>
        </w:rPr>
        <w:t>[</w:t>
      </w:r>
      <w:proofErr w:type="gramEnd"/>
      <w:r w:rsidR="002B1FDC" w:rsidRPr="006B4444">
        <w:rPr>
          <w:rFonts w:ascii="Book Antiqua" w:hAnsi="Book Antiqua"/>
          <w:vertAlign w:val="superscript"/>
          <w:lang w:val="en-US"/>
        </w:rPr>
        <w:t>7,9,</w:t>
      </w:r>
      <w:r w:rsidRPr="006B4444">
        <w:rPr>
          <w:rFonts w:ascii="Book Antiqua" w:hAnsi="Book Antiqua"/>
          <w:vertAlign w:val="superscript"/>
          <w:lang w:val="en-US"/>
        </w:rPr>
        <w:t>10,57-6</w:t>
      </w:r>
      <w:r w:rsidR="002B1FDC" w:rsidRPr="006B4444">
        <w:rPr>
          <w:rFonts w:ascii="Book Antiqua" w:hAnsi="Book Antiqua"/>
          <w:vertAlign w:val="superscript"/>
          <w:lang w:val="en-US"/>
        </w:rPr>
        <w:t>4</w:t>
      </w:r>
      <w:r w:rsidRPr="006B4444">
        <w:rPr>
          <w:rFonts w:ascii="Book Antiqua" w:hAnsi="Book Antiqua"/>
          <w:vertAlign w:val="superscript"/>
          <w:lang w:val="en-US"/>
        </w:rPr>
        <w:t>]</w:t>
      </w:r>
      <w:r w:rsidRPr="006B4444">
        <w:rPr>
          <w:rFonts w:ascii="Book Antiqua" w:hAnsi="Book Antiqua"/>
          <w:lang w:val="en-US"/>
        </w:rPr>
        <w:t xml:space="preserve">. In the absence of specific treatments, HBsAg positive </w:t>
      </w:r>
      <w:r w:rsidR="00360116" w:rsidRPr="006B4444">
        <w:rPr>
          <w:rFonts w:ascii="Book Antiqua" w:hAnsi="Book Antiqua"/>
          <w:lang w:val="en-US"/>
        </w:rPr>
        <w:t xml:space="preserve">cirrhotic </w:t>
      </w:r>
      <w:r w:rsidRPr="006B4444">
        <w:rPr>
          <w:rFonts w:ascii="Book Antiqua" w:hAnsi="Book Antiqua"/>
          <w:lang w:val="en-US"/>
        </w:rPr>
        <w:t>patients develop HCC</w:t>
      </w:r>
      <w:r w:rsidR="00455109" w:rsidRPr="006B4444">
        <w:rPr>
          <w:rFonts w:ascii="Book Antiqua" w:hAnsi="Book Antiqua"/>
          <w:lang w:val="en-US"/>
        </w:rPr>
        <w:t xml:space="preserve"> at a rate of</w:t>
      </w:r>
      <w:r w:rsidRPr="006B4444">
        <w:rPr>
          <w:rFonts w:ascii="Book Antiqua" w:hAnsi="Book Antiqua"/>
          <w:lang w:val="en-US"/>
        </w:rPr>
        <w:t xml:space="preserve"> about 2% per year in western countries and</w:t>
      </w:r>
      <w:r w:rsidR="005225B2" w:rsidRPr="006B4444">
        <w:rPr>
          <w:rFonts w:ascii="Book Antiqua" w:hAnsi="Book Antiqua"/>
          <w:lang w:val="en-US"/>
        </w:rPr>
        <w:t xml:space="preserve"> 3</w:t>
      </w:r>
      <w:r w:rsidRPr="006B4444">
        <w:rPr>
          <w:rFonts w:ascii="Book Antiqua" w:hAnsi="Book Antiqua"/>
          <w:lang w:val="en-US"/>
        </w:rPr>
        <w:t xml:space="preserve">% in eastern </w:t>
      </w:r>
      <w:proofErr w:type="gramStart"/>
      <w:r w:rsidRPr="006B4444">
        <w:rPr>
          <w:rFonts w:ascii="Book Antiqua" w:hAnsi="Book Antiqua"/>
          <w:lang w:val="en-US"/>
        </w:rPr>
        <w:t>countries</w:t>
      </w:r>
      <w:r w:rsidRPr="006B4444">
        <w:rPr>
          <w:rFonts w:ascii="Book Antiqua" w:hAnsi="Book Antiqua"/>
          <w:vertAlign w:val="superscript"/>
          <w:lang w:val="en-US"/>
        </w:rPr>
        <w:t>[</w:t>
      </w:r>
      <w:proofErr w:type="gramEnd"/>
      <w:r w:rsidRPr="006B4444">
        <w:rPr>
          <w:rFonts w:ascii="Book Antiqua" w:hAnsi="Book Antiqua"/>
          <w:vertAlign w:val="superscript"/>
          <w:lang w:val="en-US"/>
        </w:rPr>
        <w:t>49</w:t>
      </w:r>
      <w:r w:rsidR="00360116" w:rsidRPr="006B4444">
        <w:rPr>
          <w:rFonts w:ascii="Book Antiqua" w:hAnsi="Book Antiqua"/>
          <w:vertAlign w:val="superscript"/>
          <w:lang w:val="en-US"/>
        </w:rPr>
        <w:t>]</w:t>
      </w:r>
      <w:r w:rsidR="00360116" w:rsidRPr="006B4444">
        <w:rPr>
          <w:rFonts w:ascii="Book Antiqua" w:hAnsi="Book Antiqua"/>
          <w:lang w:val="en-US"/>
        </w:rPr>
        <w:t>.</w:t>
      </w:r>
      <w:r w:rsidR="00075644" w:rsidRPr="006B4444">
        <w:rPr>
          <w:rFonts w:ascii="Book Antiqua" w:hAnsi="Book Antiqua" w:hint="eastAsia"/>
          <w:lang w:val="en-GB" w:eastAsia="zh-CN"/>
        </w:rPr>
        <w:t xml:space="preserve"> </w:t>
      </w:r>
      <w:r w:rsidR="00816D6D" w:rsidRPr="006B4444">
        <w:rPr>
          <w:rFonts w:ascii="Book Antiqua" w:hAnsi="Book Antiqua"/>
          <w:lang w:val="en-GB"/>
        </w:rPr>
        <w:t xml:space="preserve">Antiviral therapy has dramatically changed the outcome of HBV </w:t>
      </w:r>
      <w:proofErr w:type="gramStart"/>
      <w:r w:rsidR="00816D6D" w:rsidRPr="006B4444">
        <w:rPr>
          <w:rFonts w:ascii="Book Antiqua" w:hAnsi="Book Antiqua"/>
          <w:lang w:val="en-GB"/>
        </w:rPr>
        <w:t>patients</w:t>
      </w:r>
      <w:r w:rsidR="00816D6D" w:rsidRPr="006B4444">
        <w:rPr>
          <w:rFonts w:ascii="Book Antiqua" w:hAnsi="Book Antiqua"/>
          <w:vertAlign w:val="superscript"/>
          <w:lang w:val="en-GB"/>
        </w:rPr>
        <w:t>[</w:t>
      </w:r>
      <w:proofErr w:type="gramEnd"/>
      <w:r w:rsidR="00816D6D" w:rsidRPr="006B4444">
        <w:rPr>
          <w:rFonts w:ascii="Book Antiqua" w:hAnsi="Book Antiqua"/>
          <w:vertAlign w:val="superscript"/>
          <w:lang w:val="en-GB"/>
        </w:rPr>
        <w:t>6</w:t>
      </w:r>
      <w:r w:rsidR="005B1417" w:rsidRPr="006B4444">
        <w:rPr>
          <w:rFonts w:ascii="Book Antiqua" w:hAnsi="Book Antiqua"/>
          <w:vertAlign w:val="superscript"/>
          <w:lang w:val="en-GB"/>
        </w:rPr>
        <w:t>2</w:t>
      </w:r>
      <w:r w:rsidR="00816D6D" w:rsidRPr="006B4444">
        <w:rPr>
          <w:rFonts w:ascii="Book Antiqua" w:hAnsi="Book Antiqua"/>
          <w:vertAlign w:val="superscript"/>
          <w:lang w:val="en-GB"/>
        </w:rPr>
        <w:t>]</w:t>
      </w:r>
      <w:r w:rsidR="00816D6D" w:rsidRPr="006B4444">
        <w:rPr>
          <w:rFonts w:ascii="Book Antiqua" w:hAnsi="Book Antiqua"/>
          <w:lang w:val="en-GB"/>
        </w:rPr>
        <w:t xml:space="preserve"> since it may prevent the progression of chronic hepatitis B to the advanced stages of liver fibrosis, cirrhosis and, in nearly half of cirrhotic patients to HCC</w:t>
      </w:r>
      <w:r w:rsidR="00816D6D" w:rsidRPr="006B4444">
        <w:rPr>
          <w:rFonts w:ascii="Book Antiqua" w:hAnsi="Book Antiqua"/>
          <w:vertAlign w:val="superscript"/>
          <w:lang w:val="en-GB"/>
        </w:rPr>
        <w:t>[5</w:t>
      </w:r>
      <w:r w:rsidR="005B1417" w:rsidRPr="006B4444">
        <w:rPr>
          <w:rFonts w:ascii="Book Antiqua" w:hAnsi="Book Antiqua"/>
          <w:vertAlign w:val="superscript"/>
          <w:lang w:val="en-GB"/>
        </w:rPr>
        <w:t>0</w:t>
      </w:r>
      <w:r w:rsidR="00816D6D" w:rsidRPr="006B4444">
        <w:rPr>
          <w:rFonts w:ascii="Book Antiqua" w:hAnsi="Book Antiqua"/>
          <w:vertAlign w:val="superscript"/>
          <w:lang w:val="en-GB"/>
        </w:rPr>
        <w:t>]</w:t>
      </w:r>
      <w:r w:rsidR="00816D6D" w:rsidRPr="006B4444">
        <w:rPr>
          <w:rFonts w:ascii="Book Antiqua" w:hAnsi="Book Antiqua"/>
          <w:lang w:val="en-GB"/>
        </w:rPr>
        <w:t>.</w:t>
      </w:r>
    </w:p>
    <w:p w14:paraId="7EA8EBFF" w14:textId="59A63E2E" w:rsidR="00816D6D" w:rsidRPr="006B4444" w:rsidRDefault="00C3684C" w:rsidP="00377B0F">
      <w:pPr>
        <w:autoSpaceDE w:val="0"/>
        <w:autoSpaceDN w:val="0"/>
        <w:adjustRightInd w:val="0"/>
        <w:spacing w:line="360" w:lineRule="auto"/>
        <w:ind w:firstLineChars="100" w:firstLine="240"/>
        <w:jc w:val="both"/>
        <w:rPr>
          <w:rFonts w:ascii="Book Antiqua" w:hAnsi="Book Antiqua"/>
          <w:lang w:val="en-GB"/>
        </w:rPr>
      </w:pPr>
      <w:r w:rsidRPr="006B4444">
        <w:rPr>
          <w:rFonts w:ascii="Book Antiqua" w:hAnsi="Book Antiqua"/>
          <w:lang w:val="en-GB"/>
        </w:rPr>
        <w:t xml:space="preserve">Interferons (IFNs) and </w:t>
      </w:r>
      <w:proofErr w:type="gramStart"/>
      <w:r w:rsidRPr="006B4444">
        <w:rPr>
          <w:rFonts w:ascii="Book Antiqua" w:hAnsi="Book Antiqua"/>
          <w:lang w:val="en-GB"/>
        </w:rPr>
        <w:t>nucleos(</w:t>
      </w:r>
      <w:proofErr w:type="gramEnd"/>
      <w:r w:rsidRPr="006B4444">
        <w:rPr>
          <w:rFonts w:ascii="Book Antiqua" w:hAnsi="Book Antiqua"/>
          <w:lang w:val="en-GB"/>
        </w:rPr>
        <w:t xml:space="preserve">t)ide analogues (NAs) are used </w:t>
      </w:r>
      <w:r w:rsidR="00816D6D" w:rsidRPr="006B4444">
        <w:rPr>
          <w:rFonts w:ascii="Book Antiqua" w:hAnsi="Book Antiqua"/>
          <w:lang w:val="en-GB"/>
        </w:rPr>
        <w:t xml:space="preserve">to treat chronic HBV infection. Among IFNs, pegylated IFN has a more convenient dosing schedule and improved efficacy, but the </w:t>
      </w:r>
      <w:proofErr w:type="gramStart"/>
      <w:r w:rsidR="00816D6D" w:rsidRPr="006B4444">
        <w:rPr>
          <w:rFonts w:ascii="Book Antiqua" w:hAnsi="Book Antiqua"/>
          <w:lang w:val="en-GB"/>
        </w:rPr>
        <w:t>nucleo(</w:t>
      </w:r>
      <w:proofErr w:type="gramEnd"/>
      <w:r w:rsidR="00816D6D" w:rsidRPr="006B4444">
        <w:rPr>
          <w:rFonts w:ascii="Book Antiqua" w:hAnsi="Book Antiqua"/>
          <w:lang w:val="en-GB"/>
        </w:rPr>
        <w:t>t)side analogues entecavir (ETV), tenofovir disoproxil fumarate (TDF), and tenofovir alafenamide (TAF) are commonly preferred because less frequently induce severe adverse reactions, have a high barrier to antiviral resistance and almost always provide a steady suppression of viral replication</w:t>
      </w:r>
      <w:r w:rsidR="00816D6D" w:rsidRPr="006B4444">
        <w:rPr>
          <w:rFonts w:ascii="Book Antiqua" w:hAnsi="Book Antiqua"/>
          <w:vertAlign w:val="superscript"/>
          <w:lang w:val="en-GB"/>
        </w:rPr>
        <w:t>[5</w:t>
      </w:r>
      <w:r w:rsidR="005B1417" w:rsidRPr="006B4444">
        <w:rPr>
          <w:rFonts w:ascii="Book Antiqua" w:hAnsi="Book Antiqua"/>
          <w:vertAlign w:val="superscript"/>
          <w:lang w:val="en-GB"/>
        </w:rPr>
        <w:t>0</w:t>
      </w:r>
      <w:r w:rsidR="00816D6D" w:rsidRPr="006B4444">
        <w:rPr>
          <w:rFonts w:ascii="Book Antiqua" w:hAnsi="Book Antiqua"/>
          <w:vertAlign w:val="superscript"/>
          <w:lang w:val="en-GB"/>
        </w:rPr>
        <w:t>]</w:t>
      </w:r>
      <w:r w:rsidR="00816D6D" w:rsidRPr="006B4444">
        <w:rPr>
          <w:rFonts w:ascii="Book Antiqua" w:hAnsi="Book Antiqua"/>
          <w:lang w:val="en-GB"/>
        </w:rPr>
        <w:t xml:space="preserve">. At present, the treatment endpoint is the reduction of the disease to an inactive stage, with HBeAg loss if previously detectable, HBV DNA undetectable or at a low level in serum and normal liver enzymes, a clinical condition associated with a remarkable improvement even in cirrhotic patients that may prevent the development of HCC in nearly half of the </w:t>
      </w:r>
      <w:proofErr w:type="gramStart"/>
      <w:r w:rsidR="00816D6D" w:rsidRPr="006B4444">
        <w:rPr>
          <w:rFonts w:ascii="Book Antiqua" w:hAnsi="Book Antiqua"/>
          <w:lang w:val="en-GB"/>
        </w:rPr>
        <w:t>cases</w:t>
      </w:r>
      <w:r w:rsidR="00816D6D" w:rsidRPr="006B4444">
        <w:rPr>
          <w:rFonts w:ascii="Book Antiqua" w:hAnsi="Book Antiqua"/>
          <w:vertAlign w:val="superscript"/>
          <w:lang w:val="en-GB"/>
        </w:rPr>
        <w:t>[</w:t>
      </w:r>
      <w:proofErr w:type="gramEnd"/>
      <w:r w:rsidR="002B1FDC" w:rsidRPr="006B4444">
        <w:rPr>
          <w:rFonts w:ascii="Book Antiqua" w:hAnsi="Book Antiqua"/>
          <w:vertAlign w:val="superscript"/>
          <w:lang w:val="en-GB"/>
        </w:rPr>
        <w:t>27,</w:t>
      </w:r>
      <w:r w:rsidR="00816D6D" w:rsidRPr="006B4444">
        <w:rPr>
          <w:rFonts w:ascii="Book Antiqua" w:hAnsi="Book Antiqua"/>
          <w:vertAlign w:val="superscript"/>
          <w:lang w:val="en-GB"/>
        </w:rPr>
        <w:t>6</w:t>
      </w:r>
      <w:r w:rsidR="005B1417" w:rsidRPr="006B4444">
        <w:rPr>
          <w:rFonts w:ascii="Book Antiqua" w:hAnsi="Book Antiqua"/>
          <w:vertAlign w:val="superscript"/>
          <w:lang w:val="en-GB"/>
        </w:rPr>
        <w:t>3</w:t>
      </w:r>
      <w:r w:rsidR="00816D6D" w:rsidRPr="006B4444">
        <w:rPr>
          <w:rFonts w:ascii="Book Antiqua" w:hAnsi="Book Antiqua"/>
          <w:vertAlign w:val="superscript"/>
          <w:lang w:val="en-GB"/>
        </w:rPr>
        <w:t>]</w:t>
      </w:r>
      <w:r w:rsidR="00816D6D" w:rsidRPr="006B4444">
        <w:rPr>
          <w:rFonts w:ascii="Book Antiqua" w:hAnsi="Book Antiqua"/>
          <w:lang w:val="en-GB"/>
        </w:rPr>
        <w:t xml:space="preserve">. However, both IFN and nucleo(t)side treatments do not eradicate HBV infection because HBV DNA persists in hepatocytes in an integrated form and as cccDNA and a reactivation of viral replication may occur once treatment has been discontinued. Future treatments, already under study, consider the combined use of antivirals directed against new targets and possibly immunomodulatory </w:t>
      </w:r>
      <w:proofErr w:type="gramStart"/>
      <w:r w:rsidR="00816D6D" w:rsidRPr="006B4444">
        <w:rPr>
          <w:rFonts w:ascii="Book Antiqua" w:hAnsi="Book Antiqua"/>
          <w:lang w:val="en-GB"/>
        </w:rPr>
        <w:t>drugs</w:t>
      </w:r>
      <w:r w:rsidR="00816D6D" w:rsidRPr="006B4444">
        <w:rPr>
          <w:rFonts w:ascii="Book Antiqua" w:hAnsi="Book Antiqua"/>
          <w:vertAlign w:val="superscript"/>
          <w:lang w:val="en-GB"/>
        </w:rPr>
        <w:t>[</w:t>
      </w:r>
      <w:proofErr w:type="gramEnd"/>
      <w:r w:rsidR="00816D6D" w:rsidRPr="006B4444">
        <w:rPr>
          <w:rFonts w:ascii="Book Antiqua" w:hAnsi="Book Antiqua"/>
          <w:vertAlign w:val="superscript"/>
          <w:lang w:val="en-GB"/>
        </w:rPr>
        <w:t>6</w:t>
      </w:r>
      <w:r w:rsidR="005B1417" w:rsidRPr="006B4444">
        <w:rPr>
          <w:rFonts w:ascii="Book Antiqua" w:hAnsi="Book Antiqua"/>
          <w:vertAlign w:val="superscript"/>
          <w:lang w:val="en-GB"/>
        </w:rPr>
        <w:t>5</w:t>
      </w:r>
      <w:r w:rsidR="00816D6D" w:rsidRPr="006B4444">
        <w:rPr>
          <w:rFonts w:ascii="Book Antiqua" w:hAnsi="Book Antiqua"/>
          <w:vertAlign w:val="superscript"/>
          <w:lang w:val="en-GB"/>
        </w:rPr>
        <w:t>]</w:t>
      </w:r>
      <w:r w:rsidR="00816D6D" w:rsidRPr="006B4444">
        <w:rPr>
          <w:rFonts w:ascii="Book Antiqua" w:hAnsi="Book Antiqua"/>
          <w:lang w:val="en-GB"/>
        </w:rPr>
        <w:t>.</w:t>
      </w:r>
    </w:p>
    <w:p w14:paraId="3172A32D" w14:textId="77777777" w:rsidR="00816D6D" w:rsidRPr="006B4444" w:rsidRDefault="00816D6D" w:rsidP="002F5696">
      <w:pPr>
        <w:widowControl w:val="0"/>
        <w:autoSpaceDE w:val="0"/>
        <w:autoSpaceDN w:val="0"/>
        <w:adjustRightInd w:val="0"/>
        <w:spacing w:line="360" w:lineRule="auto"/>
        <w:jc w:val="both"/>
        <w:rPr>
          <w:rFonts w:ascii="Book Antiqua" w:hAnsi="Book Antiqua"/>
          <w:b/>
          <w:lang w:val="en-US"/>
        </w:rPr>
      </w:pPr>
    </w:p>
    <w:p w14:paraId="15EAD3D6" w14:textId="521B83FF" w:rsidR="00816D6D" w:rsidRPr="006B4444" w:rsidRDefault="00377B0F" w:rsidP="002F5696">
      <w:pPr>
        <w:shd w:val="clear" w:color="auto" w:fill="FFFFFF"/>
        <w:spacing w:line="360" w:lineRule="auto"/>
        <w:jc w:val="both"/>
        <w:rPr>
          <w:rFonts w:ascii="Book Antiqua" w:hAnsi="Book Antiqua"/>
          <w:b/>
          <w:lang w:val="en-US"/>
        </w:rPr>
      </w:pPr>
      <w:r w:rsidRPr="006B4444">
        <w:rPr>
          <w:rFonts w:ascii="Book Antiqua" w:hAnsi="Book Antiqua"/>
          <w:b/>
          <w:lang w:val="en-US"/>
        </w:rPr>
        <w:t>VIROLOGIC AND CLINICAL CHARACTERISTICS OF OCCULT HBV INFECTION</w:t>
      </w:r>
    </w:p>
    <w:p w14:paraId="6CCD6E17" w14:textId="44F73BF8" w:rsidR="00816D6D" w:rsidRPr="006B4444" w:rsidRDefault="00816D6D" w:rsidP="002F5696">
      <w:pPr>
        <w:shd w:val="clear" w:color="auto" w:fill="FFFFFF"/>
        <w:spacing w:line="360" w:lineRule="auto"/>
        <w:jc w:val="both"/>
        <w:rPr>
          <w:rFonts w:ascii="Book Antiqua" w:hAnsi="Book Antiqua"/>
          <w:lang w:val="en-US"/>
        </w:rPr>
      </w:pPr>
      <w:r w:rsidRPr="006B4444">
        <w:rPr>
          <w:rFonts w:ascii="Book Antiqua" w:hAnsi="Book Antiqua"/>
          <w:lang w:val="en-US"/>
        </w:rPr>
        <w:t xml:space="preserve">Patients with occult HBV infection </w:t>
      </w:r>
      <w:r w:rsidR="00445EA1" w:rsidRPr="006B4444">
        <w:rPr>
          <w:rFonts w:ascii="Book Antiqua" w:hAnsi="Book Antiqua"/>
          <w:lang w:val="en-US"/>
        </w:rPr>
        <w:t xml:space="preserve">showed HBsAg negativity and </w:t>
      </w:r>
      <w:r w:rsidRPr="006B4444">
        <w:rPr>
          <w:rFonts w:ascii="Book Antiqua" w:hAnsi="Book Antiqua"/>
          <w:lang w:val="en-US"/>
        </w:rPr>
        <w:t>anti-HBc</w:t>
      </w:r>
      <w:r w:rsidR="00C3684C" w:rsidRPr="006B4444">
        <w:rPr>
          <w:rFonts w:ascii="Book Antiqua" w:hAnsi="Book Antiqua"/>
          <w:lang w:val="en-US"/>
        </w:rPr>
        <w:t xml:space="preserve"> positive,</w:t>
      </w:r>
      <w:r w:rsidRPr="006B4444">
        <w:rPr>
          <w:rFonts w:ascii="Book Antiqua" w:hAnsi="Book Antiqua"/>
          <w:lang w:val="en-US"/>
        </w:rPr>
        <w:t xml:space="preserve"> at times associated with the antibody to surface antigen (anti-HBs), HBV DNA undetectable or detectable at very low levels in serum and normal liver enzymes; HBV DNA, however</w:t>
      </w:r>
      <w:proofErr w:type="gramStart"/>
      <w:r w:rsidRPr="006B4444">
        <w:rPr>
          <w:rFonts w:ascii="Book Antiqua" w:hAnsi="Book Antiqua"/>
          <w:lang w:val="en-US"/>
        </w:rPr>
        <w:t xml:space="preserve">,  </w:t>
      </w:r>
      <w:bookmarkStart w:id="34" w:name="_Hlk8376287"/>
      <w:r w:rsidRPr="006B4444">
        <w:rPr>
          <w:rFonts w:ascii="Book Antiqua" w:hAnsi="Book Antiqua"/>
          <w:lang w:val="en-US"/>
        </w:rPr>
        <w:t>persists</w:t>
      </w:r>
      <w:proofErr w:type="gramEnd"/>
      <w:r w:rsidRPr="006B4444">
        <w:rPr>
          <w:rFonts w:ascii="Book Antiqua" w:hAnsi="Book Antiqua"/>
          <w:lang w:val="en-US"/>
        </w:rPr>
        <w:t xml:space="preserve"> within the </w:t>
      </w:r>
      <w:r w:rsidRPr="006B4444">
        <w:rPr>
          <w:rFonts w:ascii="Book Antiqua" w:hAnsi="Book Antiqua"/>
          <w:lang w:val="en-US"/>
        </w:rPr>
        <w:lastRenderedPageBreak/>
        <w:t>hepatocytes as cccDNA and integrated DNA</w:t>
      </w:r>
      <w:bookmarkEnd w:id="34"/>
      <w:r w:rsidRPr="006B4444">
        <w:rPr>
          <w:rFonts w:ascii="Book Antiqua" w:hAnsi="Book Antiqua"/>
          <w:vertAlign w:val="superscript"/>
          <w:lang w:val="en-US"/>
        </w:rPr>
        <w:t>[6</w:t>
      </w:r>
      <w:r w:rsidR="005B1417" w:rsidRPr="006B4444">
        <w:rPr>
          <w:rFonts w:ascii="Book Antiqua" w:hAnsi="Book Antiqua"/>
          <w:vertAlign w:val="superscript"/>
          <w:lang w:val="en-US"/>
        </w:rPr>
        <w:t>6</w:t>
      </w:r>
      <w:r w:rsidRPr="006B4444">
        <w:rPr>
          <w:rFonts w:ascii="Book Antiqua" w:hAnsi="Book Antiqua"/>
          <w:vertAlign w:val="superscript"/>
          <w:lang w:val="en-US"/>
        </w:rPr>
        <w:t>]</w:t>
      </w:r>
      <w:r w:rsidRPr="006B4444">
        <w:rPr>
          <w:rFonts w:ascii="Book Antiqua" w:hAnsi="Book Antiqua"/>
          <w:lang w:val="en-US"/>
        </w:rPr>
        <w:t>, whose active replication is inhibited by innate and adaptive immune responses</w:t>
      </w:r>
      <w:r w:rsidR="00C3684C" w:rsidRPr="006B4444">
        <w:rPr>
          <w:rFonts w:ascii="Book Antiqua" w:hAnsi="Book Antiqua"/>
          <w:lang w:val="en-US"/>
        </w:rPr>
        <w:t xml:space="preserve"> (</w:t>
      </w:r>
      <w:r w:rsidRPr="006B4444">
        <w:rPr>
          <w:rFonts w:ascii="Book Antiqua" w:hAnsi="Book Antiqua"/>
          <w:lang w:val="en-US"/>
        </w:rPr>
        <w:t>HBV-specific T-cell and neutralizing antibodies</w:t>
      </w:r>
      <w:r w:rsidR="00C3684C" w:rsidRPr="006B4444">
        <w:rPr>
          <w:rFonts w:ascii="Book Antiqua" w:hAnsi="Book Antiqua"/>
          <w:lang w:val="en-US"/>
        </w:rPr>
        <w:t>)</w:t>
      </w:r>
      <w:r w:rsidR="00A72E4F" w:rsidRPr="006B4444">
        <w:rPr>
          <w:rFonts w:ascii="Book Antiqua" w:hAnsi="Book Antiqua"/>
          <w:lang w:val="en-US"/>
        </w:rPr>
        <w:t xml:space="preserve">. </w:t>
      </w:r>
      <w:r w:rsidRPr="006B4444">
        <w:rPr>
          <w:rFonts w:ascii="Book Antiqua" w:hAnsi="Book Antiqua"/>
          <w:lang w:val="en-US"/>
        </w:rPr>
        <w:t>Such inhibition</w:t>
      </w:r>
      <w:r w:rsidR="000859FD" w:rsidRPr="006B4444">
        <w:rPr>
          <w:rFonts w:ascii="Book Antiqua" w:hAnsi="Book Antiqua"/>
          <w:lang w:val="en-US"/>
        </w:rPr>
        <w:t xml:space="preserve"> </w:t>
      </w:r>
      <w:r w:rsidRPr="006B4444">
        <w:rPr>
          <w:rFonts w:ascii="Book Antiqua" w:hAnsi="Book Antiqua"/>
          <w:lang w:val="en-US"/>
        </w:rPr>
        <w:t>is unable to eradicate all forms of HBV DNA and an HBV reservoir persists in the liver tissue.</w:t>
      </w:r>
    </w:p>
    <w:p w14:paraId="20054EC9" w14:textId="5044F433" w:rsidR="00816D6D" w:rsidRPr="006B4444" w:rsidRDefault="00816D6D" w:rsidP="00377B0F">
      <w:pPr>
        <w:shd w:val="clear" w:color="auto" w:fill="FFFFFF"/>
        <w:spacing w:line="360" w:lineRule="auto"/>
        <w:ind w:firstLineChars="100" w:firstLine="240"/>
        <w:jc w:val="both"/>
        <w:rPr>
          <w:rFonts w:ascii="Book Antiqua" w:hAnsi="Book Antiqua"/>
          <w:lang w:val="en-US"/>
        </w:rPr>
      </w:pPr>
      <w:r w:rsidRPr="006B4444">
        <w:rPr>
          <w:rFonts w:ascii="Book Antiqua" w:hAnsi="Book Antiqua"/>
          <w:lang w:val="en-US"/>
        </w:rPr>
        <w:t xml:space="preserve">A reduction in the immune-mediated control of HBV replication in these reservoirs, due to any cause, may favor the reactivation of HBV </w:t>
      </w:r>
      <w:proofErr w:type="gramStart"/>
      <w:r w:rsidRPr="006B4444">
        <w:rPr>
          <w:rFonts w:ascii="Book Antiqua" w:hAnsi="Book Antiqua"/>
          <w:lang w:val="en-US"/>
        </w:rPr>
        <w:t>replication</w:t>
      </w:r>
      <w:r w:rsidRPr="006B4444">
        <w:rPr>
          <w:rFonts w:ascii="Book Antiqua" w:hAnsi="Book Antiqua"/>
          <w:vertAlign w:val="superscript"/>
          <w:lang w:val="en-US"/>
        </w:rPr>
        <w:t>[</w:t>
      </w:r>
      <w:proofErr w:type="gramEnd"/>
      <w:r w:rsidRPr="006B4444">
        <w:rPr>
          <w:rFonts w:ascii="Book Antiqua" w:hAnsi="Book Antiqua"/>
          <w:vertAlign w:val="superscript"/>
          <w:lang w:val="en-US"/>
        </w:rPr>
        <w:t>6</w:t>
      </w:r>
      <w:r w:rsidR="005B1417" w:rsidRPr="006B4444">
        <w:rPr>
          <w:rFonts w:ascii="Book Antiqua" w:hAnsi="Book Antiqua"/>
          <w:vertAlign w:val="superscript"/>
          <w:lang w:val="en-US"/>
        </w:rPr>
        <w:t>7</w:t>
      </w:r>
      <w:r w:rsidR="00441853" w:rsidRPr="006B4444">
        <w:rPr>
          <w:rFonts w:ascii="Book Antiqua" w:hAnsi="Book Antiqua"/>
          <w:vertAlign w:val="superscript"/>
          <w:lang w:val="en-US"/>
        </w:rPr>
        <w:t>,68</w:t>
      </w:r>
      <w:r w:rsidRPr="006B4444">
        <w:rPr>
          <w:rFonts w:ascii="Book Antiqua" w:hAnsi="Book Antiqua"/>
          <w:vertAlign w:val="superscript"/>
          <w:lang w:val="en-US"/>
        </w:rPr>
        <w:t>]</w:t>
      </w:r>
      <w:r w:rsidRPr="006B4444">
        <w:rPr>
          <w:rFonts w:ascii="Book Antiqua" w:hAnsi="Book Antiqua"/>
          <w:lang w:val="en-US"/>
        </w:rPr>
        <w:t xml:space="preserve">, which may induce an acute exacerbation of chronic </w:t>
      </w:r>
      <w:r w:rsidR="00664E56" w:rsidRPr="006B4444">
        <w:rPr>
          <w:rFonts w:ascii="Book Antiqua" w:hAnsi="Book Antiqua"/>
          <w:lang w:val="en-US"/>
        </w:rPr>
        <w:t xml:space="preserve">HBV </w:t>
      </w:r>
      <w:r w:rsidRPr="006B4444">
        <w:rPr>
          <w:rFonts w:ascii="Book Antiqua" w:hAnsi="Book Antiqua"/>
          <w:lang w:val="en-US"/>
        </w:rPr>
        <w:t xml:space="preserve">infection both in </w:t>
      </w:r>
      <w:r w:rsidR="00664E56" w:rsidRPr="006B4444">
        <w:rPr>
          <w:rFonts w:ascii="Book Antiqua" w:hAnsi="Book Antiqua"/>
          <w:lang w:val="en-US"/>
        </w:rPr>
        <w:t>patients with HBsAg positivit</w:t>
      </w:r>
      <w:r w:rsidR="00E36FAB" w:rsidRPr="006B4444">
        <w:rPr>
          <w:rFonts w:ascii="Book Antiqua" w:hAnsi="Book Antiqua"/>
          <w:lang w:val="en-US"/>
        </w:rPr>
        <w:t xml:space="preserve">y </w:t>
      </w:r>
      <w:r w:rsidRPr="006B4444">
        <w:rPr>
          <w:rFonts w:ascii="Book Antiqua" w:hAnsi="Book Antiqua"/>
          <w:lang w:val="en-US"/>
        </w:rPr>
        <w:t>(≥</w:t>
      </w:r>
      <w:r w:rsidR="00377B0F" w:rsidRPr="006B4444">
        <w:rPr>
          <w:rFonts w:ascii="Book Antiqua" w:hAnsi="Book Antiqua"/>
          <w:lang w:val="en-US"/>
        </w:rPr>
        <w:t xml:space="preserve"> </w:t>
      </w:r>
      <w:r w:rsidRPr="006B4444">
        <w:rPr>
          <w:rFonts w:ascii="Book Antiqua" w:hAnsi="Book Antiqua"/>
          <w:lang w:val="en-US"/>
        </w:rPr>
        <w:t xml:space="preserve">2 log10 rise in the HBV-DNA level) and in those with occult HBV infection who, in this case may revert to HBsAg-positive. This acute exacerbation is characterized by an increase in liver damage highlighted by an increase in ALT or </w:t>
      </w:r>
      <w:bookmarkStart w:id="35" w:name="_Hlk5194913"/>
      <w:r w:rsidR="00377B0F" w:rsidRPr="006B4444">
        <w:rPr>
          <w:rFonts w:ascii="Book Antiqua" w:hAnsi="Book Antiqua"/>
          <w:lang w:val="en-US"/>
        </w:rPr>
        <w:t>aspartate aminotransferase</w:t>
      </w:r>
      <w:bookmarkEnd w:id="35"/>
      <w:r w:rsidR="00377B0F" w:rsidRPr="006B4444">
        <w:rPr>
          <w:rFonts w:ascii="Book Antiqua" w:hAnsi="Book Antiqua"/>
          <w:lang w:val="en-US"/>
        </w:rPr>
        <w:t xml:space="preserve"> (</w:t>
      </w:r>
      <w:r w:rsidRPr="006B4444">
        <w:rPr>
          <w:rFonts w:ascii="Book Antiqua" w:hAnsi="Book Antiqua"/>
          <w:lang w:val="en-US"/>
        </w:rPr>
        <w:t>AST</w:t>
      </w:r>
      <w:r w:rsidR="00377B0F" w:rsidRPr="006B4444">
        <w:rPr>
          <w:rFonts w:ascii="Book Antiqua" w:hAnsi="Book Antiqua"/>
          <w:lang w:val="en-US"/>
        </w:rPr>
        <w:t>)</w:t>
      </w:r>
      <w:r w:rsidRPr="006B4444">
        <w:rPr>
          <w:rFonts w:ascii="Book Antiqua" w:hAnsi="Book Antiqua"/>
          <w:lang w:val="en-US"/>
        </w:rPr>
        <w:t xml:space="preserve"> ≥</w:t>
      </w:r>
      <w:r w:rsidR="00377B0F" w:rsidRPr="006B4444">
        <w:rPr>
          <w:rFonts w:ascii="Book Antiqua" w:hAnsi="Book Antiqua"/>
          <w:lang w:val="en-US"/>
        </w:rPr>
        <w:t xml:space="preserve"> </w:t>
      </w:r>
      <w:r w:rsidRPr="006B4444">
        <w:rPr>
          <w:rFonts w:ascii="Book Antiqua" w:hAnsi="Book Antiqua"/>
          <w:lang w:val="en-US"/>
        </w:rPr>
        <w:t xml:space="preserve">3-times the baseline serum values, which in its severe forms is accompanied by jaundice and may progress to severe hepatic failure if effective treatment is delayed. This event may lead to rapid life-threatening liver decompensation requiring urgent liver transplantation to prevent a fatal outcome. This critical clinical condition could simply be prevented by adopting a therapeutic prophylaxis with an effective </w:t>
      </w:r>
      <w:proofErr w:type="gramStart"/>
      <w:r w:rsidRPr="006B4444">
        <w:rPr>
          <w:rFonts w:ascii="Book Antiqua" w:hAnsi="Book Antiqua"/>
          <w:lang w:val="en-US"/>
        </w:rPr>
        <w:t>nucleo(</w:t>
      </w:r>
      <w:proofErr w:type="gramEnd"/>
      <w:r w:rsidRPr="006B4444">
        <w:rPr>
          <w:rFonts w:ascii="Book Antiqua" w:hAnsi="Book Antiqua"/>
          <w:lang w:val="en-US"/>
        </w:rPr>
        <w:t>t)side against HBV, in which case the use of effective immunosuppressive drugs for neoplastic or hematological diseases is foreseen.</w:t>
      </w:r>
    </w:p>
    <w:p w14:paraId="175ACDA3" w14:textId="209030D1" w:rsidR="00816D6D" w:rsidRPr="006B4444" w:rsidRDefault="00816D6D" w:rsidP="00377B0F">
      <w:pPr>
        <w:autoSpaceDE w:val="0"/>
        <w:autoSpaceDN w:val="0"/>
        <w:adjustRightInd w:val="0"/>
        <w:spacing w:line="360" w:lineRule="auto"/>
        <w:ind w:firstLineChars="100" w:firstLine="240"/>
        <w:jc w:val="both"/>
        <w:rPr>
          <w:rFonts w:ascii="Book Antiqua" w:hAnsi="Book Antiqua"/>
          <w:lang w:val="en-US"/>
        </w:rPr>
      </w:pPr>
      <w:r w:rsidRPr="006B4444">
        <w:rPr>
          <w:rFonts w:ascii="Book Antiqua" w:hAnsi="Book Antiqua"/>
          <w:lang w:val="en-US"/>
        </w:rPr>
        <w:t xml:space="preserve">If HBV reactivation for some reason is not prevented, effective antiviral therapy should immediately be administered to reduce, if still in time, the entity of the associated clinical events through a pharmacologic control of HBV replication; this can lead, in cases with a favorable prognosis, to a gradual reduction in the levels of serum HBV-DNA, a progressive return of liver enzymes to the baseline values and a gradual recovery of the liver </w:t>
      </w:r>
      <w:proofErr w:type="gramStart"/>
      <w:r w:rsidRPr="006B4444">
        <w:rPr>
          <w:rFonts w:ascii="Book Antiqua" w:hAnsi="Book Antiqua"/>
          <w:lang w:val="en-US"/>
        </w:rPr>
        <w:t>lesions</w:t>
      </w:r>
      <w:r w:rsidRPr="006B4444">
        <w:rPr>
          <w:rFonts w:ascii="Book Antiqua" w:hAnsi="Book Antiqua"/>
          <w:vertAlign w:val="superscript"/>
          <w:lang w:val="en-US"/>
        </w:rPr>
        <w:t>[</w:t>
      </w:r>
      <w:proofErr w:type="gramEnd"/>
      <w:r w:rsidRPr="006B4444">
        <w:rPr>
          <w:rFonts w:ascii="Book Antiqua" w:hAnsi="Book Antiqua"/>
          <w:vertAlign w:val="superscript"/>
          <w:lang w:val="en-US"/>
        </w:rPr>
        <w:t>11]</w:t>
      </w:r>
      <w:r w:rsidRPr="006B4444">
        <w:rPr>
          <w:rFonts w:ascii="Book Antiqua" w:hAnsi="Book Antiqua"/>
          <w:lang w:val="en-US"/>
        </w:rPr>
        <w:t xml:space="preserve">. </w:t>
      </w:r>
      <w:bookmarkStart w:id="36" w:name="_Hlk1642339"/>
      <w:r w:rsidR="00BF2303" w:rsidRPr="006B4444">
        <w:rPr>
          <w:rFonts w:ascii="Book Antiqua" w:hAnsi="Book Antiqua"/>
          <w:lang w:val="en-US"/>
        </w:rPr>
        <w:t xml:space="preserve">Accordingly, HBV reactivation may occur years after hematopoietic stem cell transplantation (HSCT) due to low immune </w:t>
      </w:r>
      <w:proofErr w:type="gramStart"/>
      <w:r w:rsidR="00BF2303" w:rsidRPr="006B4444">
        <w:rPr>
          <w:rFonts w:ascii="Book Antiqua" w:hAnsi="Book Antiqua"/>
          <w:lang w:val="en-US"/>
        </w:rPr>
        <w:t>reconstitution</w:t>
      </w:r>
      <w:r w:rsidR="00BF2303" w:rsidRPr="006B4444">
        <w:rPr>
          <w:rFonts w:ascii="Book Antiqua" w:hAnsi="Book Antiqua"/>
          <w:vertAlign w:val="superscript"/>
          <w:lang w:val="en-US"/>
        </w:rPr>
        <w:t>[</w:t>
      </w:r>
      <w:proofErr w:type="gramEnd"/>
      <w:r w:rsidR="00BF2303" w:rsidRPr="006B4444">
        <w:rPr>
          <w:rFonts w:ascii="Book Antiqua" w:hAnsi="Book Antiqua"/>
          <w:vertAlign w:val="superscript"/>
          <w:lang w:val="en-US"/>
        </w:rPr>
        <w:t>69]</w:t>
      </w:r>
      <w:r w:rsidR="00BF2303" w:rsidRPr="006B4444">
        <w:rPr>
          <w:rFonts w:ascii="Book Antiqua" w:hAnsi="Book Antiqua"/>
          <w:lang w:val="en-US"/>
        </w:rPr>
        <w:t xml:space="preserve">. </w:t>
      </w:r>
      <w:r w:rsidRPr="006B4444">
        <w:rPr>
          <w:rFonts w:ascii="Book Antiqua" w:hAnsi="Book Antiqua"/>
          <w:lang w:val="en-US"/>
        </w:rPr>
        <w:t>Therefore, pharmacological prevention of HBV-reactivation</w:t>
      </w:r>
      <w:r w:rsidRPr="006B4444">
        <w:rPr>
          <w:rFonts w:ascii="Book Antiqua" w:hAnsi="Book Antiqua"/>
          <w:lang w:val="en-GB"/>
        </w:rPr>
        <w:t xml:space="preserve"> </w:t>
      </w:r>
      <w:r w:rsidRPr="006B4444">
        <w:rPr>
          <w:rFonts w:ascii="Book Antiqua" w:hAnsi="Book Antiqua"/>
          <w:lang w:val="en-US"/>
        </w:rPr>
        <w:t>prophylaxis must start within the recommended times, can be very long-lasting and require an accurate long-term surveillance.</w:t>
      </w:r>
      <w:bookmarkEnd w:id="36"/>
    </w:p>
    <w:p w14:paraId="118FA289" w14:textId="77777777" w:rsidR="00816D6D" w:rsidRPr="006B4444" w:rsidRDefault="00816D6D" w:rsidP="002F5696">
      <w:pPr>
        <w:shd w:val="clear" w:color="auto" w:fill="FFFFFF"/>
        <w:spacing w:line="360" w:lineRule="auto"/>
        <w:jc w:val="both"/>
        <w:rPr>
          <w:rFonts w:ascii="Book Antiqua" w:hAnsi="Book Antiqua"/>
          <w:lang w:val="en-US"/>
        </w:rPr>
      </w:pPr>
    </w:p>
    <w:p w14:paraId="4E5B1DB6" w14:textId="38C81E9F" w:rsidR="00816D6D" w:rsidRPr="006B4444" w:rsidRDefault="00377B0F" w:rsidP="002F5696">
      <w:pPr>
        <w:shd w:val="clear" w:color="auto" w:fill="FFFFFF"/>
        <w:spacing w:line="360" w:lineRule="auto"/>
        <w:jc w:val="both"/>
        <w:rPr>
          <w:rFonts w:ascii="Book Antiqua" w:hAnsi="Book Antiqua"/>
          <w:b/>
          <w:lang w:val="en-US"/>
        </w:rPr>
      </w:pPr>
      <w:r w:rsidRPr="006B4444">
        <w:rPr>
          <w:rFonts w:ascii="Book Antiqua" w:hAnsi="Book Antiqua"/>
          <w:b/>
          <w:lang w:val="en-US"/>
        </w:rPr>
        <w:t>RISK FACTORS</w:t>
      </w:r>
    </w:p>
    <w:p w14:paraId="188FB4F3" w14:textId="704B8E0E" w:rsidR="00816D6D" w:rsidRPr="006B4444" w:rsidRDefault="00816D6D" w:rsidP="002F5696">
      <w:pPr>
        <w:shd w:val="clear" w:color="auto" w:fill="FFFFFF"/>
        <w:spacing w:line="360" w:lineRule="auto"/>
        <w:jc w:val="both"/>
        <w:rPr>
          <w:rFonts w:ascii="Book Antiqua" w:hAnsi="Book Antiqua"/>
          <w:lang w:val="en-US"/>
        </w:rPr>
      </w:pPr>
      <w:r w:rsidRPr="006B4444">
        <w:rPr>
          <w:rFonts w:ascii="Book Antiqua" w:hAnsi="Book Antiqua"/>
          <w:lang w:val="en-US"/>
        </w:rPr>
        <w:t xml:space="preserve">The risk factors of HBV reactivation concern </w:t>
      </w:r>
      <w:proofErr w:type="gramStart"/>
      <w:r w:rsidRPr="006B4444">
        <w:rPr>
          <w:rFonts w:ascii="Book Antiqua" w:hAnsi="Book Antiqua"/>
          <w:lang w:val="en-US"/>
        </w:rPr>
        <w:t>either the</w:t>
      </w:r>
      <w:proofErr w:type="gramEnd"/>
      <w:r w:rsidRPr="006B4444">
        <w:rPr>
          <w:rFonts w:ascii="Book Antiqua" w:hAnsi="Book Antiqua"/>
          <w:lang w:val="en-US"/>
        </w:rPr>
        <w:t xml:space="preserve"> patients, HBV, the underlying disease or the immunosuppressive regimen. </w:t>
      </w:r>
    </w:p>
    <w:p w14:paraId="1D959631" w14:textId="77777777" w:rsidR="00377B0F" w:rsidRPr="006B4444" w:rsidRDefault="00377B0F" w:rsidP="002F5696">
      <w:pPr>
        <w:shd w:val="clear" w:color="auto" w:fill="FFFFFF"/>
        <w:spacing w:line="360" w:lineRule="auto"/>
        <w:jc w:val="both"/>
        <w:rPr>
          <w:rFonts w:ascii="Book Antiqua" w:hAnsi="Book Antiqua"/>
          <w:lang w:val="en-US"/>
        </w:rPr>
      </w:pPr>
    </w:p>
    <w:p w14:paraId="5C1D7BFB" w14:textId="77777777" w:rsidR="00816D6D" w:rsidRPr="006B4444" w:rsidRDefault="00816D6D" w:rsidP="002F5696">
      <w:pPr>
        <w:shd w:val="clear" w:color="auto" w:fill="FFFFFF"/>
        <w:spacing w:line="360" w:lineRule="auto"/>
        <w:jc w:val="both"/>
        <w:rPr>
          <w:rFonts w:ascii="Book Antiqua" w:hAnsi="Book Antiqua"/>
          <w:b/>
          <w:i/>
          <w:lang w:val="en-US"/>
        </w:rPr>
      </w:pPr>
      <w:r w:rsidRPr="006B4444">
        <w:rPr>
          <w:rFonts w:ascii="Book Antiqua" w:hAnsi="Book Antiqua"/>
          <w:b/>
          <w:i/>
          <w:lang w:val="en-US"/>
        </w:rPr>
        <w:t xml:space="preserve">Patient </w:t>
      </w:r>
    </w:p>
    <w:p w14:paraId="722A44BE" w14:textId="7C2C841E" w:rsidR="00816D6D" w:rsidRPr="006B4444" w:rsidRDefault="005D03A7" w:rsidP="002F5696">
      <w:pPr>
        <w:shd w:val="clear" w:color="auto" w:fill="FFFFFF"/>
        <w:spacing w:line="360" w:lineRule="auto"/>
        <w:jc w:val="both"/>
        <w:rPr>
          <w:rFonts w:ascii="Book Antiqua" w:hAnsi="Book Antiqua"/>
          <w:lang w:val="en-US"/>
        </w:rPr>
      </w:pPr>
      <w:r w:rsidRPr="006B4444">
        <w:rPr>
          <w:rFonts w:ascii="Book Antiqua" w:hAnsi="Book Antiqua"/>
          <w:lang w:val="en-US"/>
        </w:rPr>
        <w:t xml:space="preserve">Male sex and more than 50 years old are risk factor for </w:t>
      </w:r>
      <w:r w:rsidR="00816D6D" w:rsidRPr="006B4444">
        <w:rPr>
          <w:rFonts w:ascii="Book Antiqua" w:hAnsi="Book Antiqua"/>
          <w:lang w:val="en-US"/>
        </w:rPr>
        <w:t xml:space="preserve">HBV reactivation. </w:t>
      </w:r>
      <w:r w:rsidRPr="006B4444">
        <w:rPr>
          <w:rFonts w:ascii="Book Antiqua" w:hAnsi="Book Antiqua"/>
          <w:lang w:val="en-US"/>
        </w:rPr>
        <w:t xml:space="preserve">Yeo </w:t>
      </w:r>
      <w:r w:rsidRPr="006B4444">
        <w:rPr>
          <w:rFonts w:ascii="Book Antiqua" w:hAnsi="Book Antiqua"/>
          <w:i/>
          <w:lang w:val="en-US"/>
        </w:rPr>
        <w:t xml:space="preserve">et </w:t>
      </w:r>
      <w:proofErr w:type="gramStart"/>
      <w:r w:rsidRPr="006B4444">
        <w:rPr>
          <w:rFonts w:ascii="Book Antiqua" w:hAnsi="Book Antiqua"/>
          <w:i/>
          <w:lang w:val="en-US"/>
        </w:rPr>
        <w:t>al</w:t>
      </w:r>
      <w:r w:rsidRPr="006B4444">
        <w:rPr>
          <w:rFonts w:ascii="Book Antiqua" w:hAnsi="Book Antiqua"/>
          <w:vertAlign w:val="superscript"/>
          <w:lang w:val="en-US"/>
        </w:rPr>
        <w:t>[</w:t>
      </w:r>
      <w:proofErr w:type="gramEnd"/>
      <w:r w:rsidRPr="006B4444">
        <w:rPr>
          <w:rFonts w:ascii="Book Antiqua" w:hAnsi="Book Antiqua"/>
          <w:vertAlign w:val="superscript"/>
          <w:lang w:val="en-US"/>
        </w:rPr>
        <w:t xml:space="preserve">70] </w:t>
      </w:r>
      <w:r w:rsidRPr="006B4444">
        <w:rPr>
          <w:rFonts w:ascii="Book Antiqua" w:hAnsi="Book Antiqua"/>
          <w:lang w:val="en-US"/>
        </w:rPr>
        <w:t>i</w:t>
      </w:r>
      <w:r w:rsidR="00816D6D" w:rsidRPr="006B4444">
        <w:rPr>
          <w:rFonts w:ascii="Book Antiqua" w:hAnsi="Book Antiqua"/>
          <w:lang w:val="en-US"/>
        </w:rPr>
        <w:t>n 600</w:t>
      </w:r>
      <w:r w:rsidRPr="006B4444">
        <w:rPr>
          <w:rFonts w:ascii="Book Antiqua" w:hAnsi="Book Antiqua"/>
          <w:lang w:val="en-US"/>
        </w:rPr>
        <w:t xml:space="preserve"> cancer</w:t>
      </w:r>
      <w:r w:rsidR="00816D6D" w:rsidRPr="006B4444">
        <w:rPr>
          <w:rFonts w:ascii="Book Antiqua" w:hAnsi="Book Antiqua"/>
          <w:lang w:val="en-US"/>
        </w:rPr>
        <w:t xml:space="preserve"> positive HBsAg patients who underwent chemotherapy, found an incidence almost 3-times higher in men than in women</w:t>
      </w:r>
      <w:r w:rsidRPr="006B4444">
        <w:rPr>
          <w:rFonts w:ascii="Book Antiqua" w:hAnsi="Book Antiqua"/>
          <w:lang w:val="en-US"/>
        </w:rPr>
        <w:t xml:space="preserve">. </w:t>
      </w:r>
      <w:r w:rsidR="00816D6D" w:rsidRPr="006B4444">
        <w:rPr>
          <w:rFonts w:ascii="Book Antiqua" w:hAnsi="Book Antiqua"/>
          <w:lang w:val="en-US"/>
        </w:rPr>
        <w:t xml:space="preserve">It has also been observed that older patients are more likely to have </w:t>
      </w:r>
      <w:r w:rsidR="00816D6D" w:rsidRPr="006B4444">
        <w:rPr>
          <w:rFonts w:ascii="Book Antiqua" w:hAnsi="Book Antiqua"/>
          <w:lang w:val="en-US"/>
        </w:rPr>
        <w:lastRenderedPageBreak/>
        <w:t xml:space="preserve">HBsAg positivity, persistent levels of HBV-DNA in serum and cccDNA in the liver, a virological condition increasing the risk of HBV </w:t>
      </w:r>
      <w:proofErr w:type="gramStart"/>
      <w:r w:rsidR="00816D6D" w:rsidRPr="006B4444">
        <w:rPr>
          <w:rFonts w:ascii="Book Antiqua" w:hAnsi="Book Antiqua"/>
          <w:lang w:val="en-US"/>
        </w:rPr>
        <w:t>reactivation</w:t>
      </w:r>
      <w:r w:rsidR="00816D6D" w:rsidRPr="006B4444">
        <w:rPr>
          <w:rFonts w:ascii="Book Antiqua" w:hAnsi="Book Antiqua"/>
          <w:vertAlign w:val="superscript"/>
          <w:lang w:val="en-US"/>
        </w:rPr>
        <w:t>[</w:t>
      </w:r>
      <w:proofErr w:type="gramEnd"/>
      <w:r w:rsidR="00816D6D" w:rsidRPr="006B4444">
        <w:rPr>
          <w:rFonts w:ascii="Book Antiqua" w:hAnsi="Book Antiqua"/>
          <w:vertAlign w:val="superscript"/>
          <w:lang w:val="en-US"/>
        </w:rPr>
        <w:t>7</w:t>
      </w:r>
      <w:r w:rsidR="005B1417" w:rsidRPr="006B4444">
        <w:rPr>
          <w:rFonts w:ascii="Book Antiqua" w:hAnsi="Book Antiqua"/>
          <w:vertAlign w:val="superscript"/>
          <w:lang w:val="en-US"/>
        </w:rPr>
        <w:t>1</w:t>
      </w:r>
      <w:r w:rsidR="00816D6D" w:rsidRPr="006B4444">
        <w:rPr>
          <w:rFonts w:ascii="Book Antiqua" w:hAnsi="Book Antiqua"/>
          <w:vertAlign w:val="superscript"/>
          <w:lang w:val="en-US"/>
        </w:rPr>
        <w:t>]</w:t>
      </w:r>
      <w:r w:rsidR="00816D6D" w:rsidRPr="006B4444">
        <w:rPr>
          <w:rFonts w:ascii="Book Antiqua" w:hAnsi="Book Antiqua"/>
          <w:lang w:val="en-US"/>
        </w:rPr>
        <w:t>.</w:t>
      </w:r>
    </w:p>
    <w:p w14:paraId="52D55B93" w14:textId="77777777" w:rsidR="00377B0F" w:rsidRPr="006B4444" w:rsidRDefault="00377B0F" w:rsidP="002F5696">
      <w:pPr>
        <w:shd w:val="clear" w:color="auto" w:fill="FFFFFF"/>
        <w:spacing w:line="360" w:lineRule="auto"/>
        <w:jc w:val="both"/>
        <w:rPr>
          <w:rFonts w:ascii="Book Antiqua" w:hAnsi="Book Antiqua"/>
          <w:lang w:val="en-US"/>
        </w:rPr>
      </w:pPr>
    </w:p>
    <w:p w14:paraId="5A9C10D4" w14:textId="77777777" w:rsidR="00816D6D" w:rsidRPr="006B4444" w:rsidRDefault="00816D6D" w:rsidP="002F5696">
      <w:pPr>
        <w:shd w:val="clear" w:color="auto" w:fill="FFFFFF"/>
        <w:spacing w:line="360" w:lineRule="auto"/>
        <w:jc w:val="both"/>
        <w:rPr>
          <w:rFonts w:ascii="Book Antiqua" w:hAnsi="Book Antiqua"/>
          <w:b/>
          <w:i/>
          <w:lang w:val="en-US"/>
        </w:rPr>
      </w:pPr>
      <w:r w:rsidRPr="006B4444">
        <w:rPr>
          <w:rFonts w:ascii="Book Antiqua" w:hAnsi="Book Antiqua"/>
          <w:b/>
          <w:i/>
          <w:lang w:val="en-US"/>
        </w:rPr>
        <w:t>Virus</w:t>
      </w:r>
    </w:p>
    <w:p w14:paraId="303E6CC2" w14:textId="328DE82F" w:rsidR="00816D6D" w:rsidRPr="006B4444" w:rsidRDefault="00816D6D" w:rsidP="002F5696">
      <w:pPr>
        <w:shd w:val="clear" w:color="auto" w:fill="FFFFFF"/>
        <w:spacing w:line="360" w:lineRule="auto"/>
        <w:jc w:val="both"/>
        <w:rPr>
          <w:rFonts w:ascii="Book Antiqua" w:hAnsi="Book Antiqua"/>
          <w:lang w:val="en-US"/>
        </w:rPr>
      </w:pPr>
      <w:r w:rsidRPr="006B4444">
        <w:rPr>
          <w:rFonts w:ascii="Book Antiqua" w:hAnsi="Book Antiqua"/>
          <w:lang w:val="en-US"/>
        </w:rPr>
        <w:t>As mentioned above, factors associated with HBV reactivation include HBsAg positivity, HBeAg positivity and high levels of HBV DNA before the onset of pharmacological immuno</w:t>
      </w:r>
      <w:r w:rsidR="00377B0F" w:rsidRPr="006B4444">
        <w:rPr>
          <w:rFonts w:ascii="Book Antiqua" w:hAnsi="Book Antiqua"/>
          <w:lang w:val="en-US"/>
        </w:rPr>
        <w:t>-</w:t>
      </w:r>
      <w:proofErr w:type="gramStart"/>
      <w:r w:rsidRPr="006B4444">
        <w:rPr>
          <w:rFonts w:ascii="Book Antiqua" w:hAnsi="Book Antiqua"/>
          <w:lang w:val="en-US"/>
        </w:rPr>
        <w:t>suppression</w:t>
      </w:r>
      <w:r w:rsidRPr="006B4444">
        <w:rPr>
          <w:rFonts w:ascii="Book Antiqua" w:hAnsi="Book Antiqua"/>
          <w:vertAlign w:val="superscript"/>
          <w:lang w:val="en-US"/>
        </w:rPr>
        <w:t>[</w:t>
      </w:r>
      <w:proofErr w:type="gramEnd"/>
      <w:r w:rsidRPr="006B4444">
        <w:rPr>
          <w:rFonts w:ascii="Book Antiqua" w:hAnsi="Book Antiqua"/>
          <w:vertAlign w:val="superscript"/>
          <w:lang w:val="en-US"/>
        </w:rPr>
        <w:t>7</w:t>
      </w:r>
      <w:r w:rsidR="005B1417" w:rsidRPr="006B4444">
        <w:rPr>
          <w:rFonts w:ascii="Book Antiqua" w:hAnsi="Book Antiqua"/>
          <w:vertAlign w:val="superscript"/>
          <w:lang w:val="en-US"/>
        </w:rPr>
        <w:t>2</w:t>
      </w:r>
      <w:r w:rsidRPr="006B4444">
        <w:rPr>
          <w:rFonts w:ascii="Book Antiqua" w:hAnsi="Book Antiqua"/>
          <w:vertAlign w:val="superscript"/>
          <w:lang w:val="en-US"/>
        </w:rPr>
        <w:t>]</w:t>
      </w:r>
      <w:r w:rsidRPr="006B4444">
        <w:rPr>
          <w:rFonts w:ascii="Book Antiqua" w:hAnsi="Book Antiqua"/>
          <w:lang w:val="en-US"/>
        </w:rPr>
        <w:t xml:space="preserve">. In contrast, the presence of anti-HBs antibodies has been shown to protect against reactivation, although the antibody titer necessary to achieve this effect is </w:t>
      </w:r>
      <w:proofErr w:type="gramStart"/>
      <w:r w:rsidRPr="006B4444">
        <w:rPr>
          <w:rFonts w:ascii="Book Antiqua" w:hAnsi="Book Antiqua"/>
          <w:lang w:val="en-US"/>
        </w:rPr>
        <w:t>unknown</w:t>
      </w:r>
      <w:r w:rsidRPr="006B4444">
        <w:rPr>
          <w:rFonts w:ascii="Book Antiqua" w:hAnsi="Book Antiqua"/>
          <w:vertAlign w:val="superscript"/>
          <w:lang w:val="en-US"/>
        </w:rPr>
        <w:t>[</w:t>
      </w:r>
      <w:proofErr w:type="gramEnd"/>
      <w:r w:rsidRPr="006B4444">
        <w:rPr>
          <w:rFonts w:ascii="Book Antiqua" w:hAnsi="Book Antiqua"/>
          <w:vertAlign w:val="superscript"/>
          <w:lang w:val="en-US"/>
        </w:rPr>
        <w:t>7</w:t>
      </w:r>
      <w:r w:rsidR="005B1417" w:rsidRPr="006B4444">
        <w:rPr>
          <w:rFonts w:ascii="Book Antiqua" w:hAnsi="Book Antiqua"/>
          <w:vertAlign w:val="superscript"/>
          <w:lang w:val="en-US"/>
        </w:rPr>
        <w:t>3</w:t>
      </w:r>
      <w:r w:rsidRPr="006B4444">
        <w:rPr>
          <w:rFonts w:ascii="Book Antiqua" w:hAnsi="Book Antiqua"/>
          <w:vertAlign w:val="superscript"/>
          <w:lang w:val="en-US"/>
        </w:rPr>
        <w:t>]</w:t>
      </w:r>
      <w:r w:rsidRPr="006B4444">
        <w:rPr>
          <w:rFonts w:ascii="Book Antiqua" w:hAnsi="Book Antiqua"/>
          <w:lang w:val="en-US"/>
        </w:rPr>
        <w:t xml:space="preserve">. </w:t>
      </w:r>
    </w:p>
    <w:p w14:paraId="05A4F832" w14:textId="77777777" w:rsidR="00377B0F" w:rsidRPr="006B4444" w:rsidRDefault="00377B0F" w:rsidP="002F5696">
      <w:pPr>
        <w:shd w:val="clear" w:color="auto" w:fill="FFFFFF"/>
        <w:spacing w:line="360" w:lineRule="auto"/>
        <w:jc w:val="both"/>
        <w:rPr>
          <w:rFonts w:ascii="Book Antiqua" w:hAnsi="Book Antiqua"/>
          <w:lang w:val="en-US"/>
        </w:rPr>
      </w:pPr>
    </w:p>
    <w:p w14:paraId="65DF1CD9" w14:textId="77777777" w:rsidR="00816D6D" w:rsidRPr="006B4444" w:rsidRDefault="00816D6D" w:rsidP="002F5696">
      <w:pPr>
        <w:autoSpaceDE w:val="0"/>
        <w:autoSpaceDN w:val="0"/>
        <w:adjustRightInd w:val="0"/>
        <w:spacing w:line="360" w:lineRule="auto"/>
        <w:jc w:val="both"/>
        <w:rPr>
          <w:rFonts w:ascii="Book Antiqua" w:hAnsi="Book Antiqua"/>
          <w:b/>
          <w:i/>
          <w:lang w:val="en-US"/>
        </w:rPr>
      </w:pPr>
      <w:r w:rsidRPr="006B4444">
        <w:rPr>
          <w:rFonts w:ascii="Book Antiqua" w:hAnsi="Book Antiqua"/>
          <w:b/>
          <w:i/>
          <w:lang w:val="en-US"/>
        </w:rPr>
        <w:t xml:space="preserve">Underlying </w:t>
      </w:r>
      <w:r w:rsidR="00153FB2" w:rsidRPr="006B4444">
        <w:rPr>
          <w:rFonts w:ascii="Book Antiqua" w:hAnsi="Book Antiqua"/>
          <w:b/>
          <w:i/>
          <w:lang w:val="en-US"/>
        </w:rPr>
        <w:t>diseases</w:t>
      </w:r>
    </w:p>
    <w:p w14:paraId="3B62B0E3" w14:textId="31EF48BB" w:rsidR="00816D6D" w:rsidRPr="006B4444" w:rsidRDefault="00816D6D" w:rsidP="002F5696">
      <w:pPr>
        <w:shd w:val="clear" w:color="auto" w:fill="FFFFFF"/>
        <w:spacing w:line="360" w:lineRule="auto"/>
        <w:jc w:val="both"/>
        <w:rPr>
          <w:rFonts w:ascii="Book Antiqua" w:hAnsi="Book Antiqua"/>
          <w:i/>
          <w:lang w:val="en-US"/>
        </w:rPr>
      </w:pPr>
      <w:r w:rsidRPr="006B4444">
        <w:rPr>
          <w:rFonts w:ascii="Book Antiqua" w:hAnsi="Book Antiqua"/>
          <w:lang w:val="en-US"/>
        </w:rPr>
        <w:t xml:space="preserve">As regards the magnitude of risk factors for HBV reactivation associated with the underlying disease, the data are not so clear because it is difficult to distinguish the contribution of the individual disease from that of the treatment used. In a recent study of 1962 patients with hematological malignancies in Taiwan, the authors noted similar incidences of HBV reactivation among patients with various types of hematological </w:t>
      </w:r>
      <w:proofErr w:type="gramStart"/>
      <w:r w:rsidRPr="006B4444">
        <w:rPr>
          <w:rFonts w:ascii="Book Antiqua" w:hAnsi="Book Antiqua"/>
          <w:lang w:val="en-US"/>
        </w:rPr>
        <w:t>cancer</w:t>
      </w:r>
      <w:r w:rsidRPr="006B4444">
        <w:rPr>
          <w:rFonts w:ascii="Book Antiqua" w:hAnsi="Book Antiqua"/>
          <w:vertAlign w:val="superscript"/>
          <w:lang w:val="en-US"/>
        </w:rPr>
        <w:t>[</w:t>
      </w:r>
      <w:proofErr w:type="gramEnd"/>
      <w:r w:rsidRPr="006B4444">
        <w:rPr>
          <w:rFonts w:ascii="Book Antiqua" w:hAnsi="Book Antiqua"/>
          <w:vertAlign w:val="superscript"/>
          <w:lang w:val="en-US"/>
        </w:rPr>
        <w:t>7</w:t>
      </w:r>
      <w:r w:rsidR="005B1417" w:rsidRPr="006B4444">
        <w:rPr>
          <w:rFonts w:ascii="Book Antiqua" w:hAnsi="Book Antiqua"/>
          <w:vertAlign w:val="superscript"/>
          <w:lang w:val="en-US"/>
        </w:rPr>
        <w:t>4</w:t>
      </w:r>
      <w:r w:rsidRPr="006B4444">
        <w:rPr>
          <w:rFonts w:ascii="Book Antiqua" w:hAnsi="Book Antiqua"/>
          <w:vertAlign w:val="superscript"/>
          <w:lang w:val="en-US"/>
        </w:rPr>
        <w:t>]</w:t>
      </w:r>
      <w:r w:rsidRPr="006B4444">
        <w:rPr>
          <w:rFonts w:ascii="Book Antiqua" w:hAnsi="Book Antiqua"/>
          <w:lang w:val="en-US"/>
        </w:rPr>
        <w:t xml:space="preserve">. </w:t>
      </w:r>
    </w:p>
    <w:p w14:paraId="392F5E29" w14:textId="43C5FE1B" w:rsidR="00CD340A" w:rsidRPr="006B4444" w:rsidRDefault="00816D6D" w:rsidP="00377B0F">
      <w:pPr>
        <w:autoSpaceDE w:val="0"/>
        <w:autoSpaceDN w:val="0"/>
        <w:adjustRightInd w:val="0"/>
        <w:spacing w:line="360" w:lineRule="auto"/>
        <w:ind w:firstLineChars="100" w:firstLine="240"/>
        <w:jc w:val="both"/>
        <w:rPr>
          <w:rFonts w:ascii="Book Antiqua" w:hAnsi="Book Antiqua"/>
          <w:lang w:val="en-US"/>
        </w:rPr>
      </w:pPr>
      <w:r w:rsidRPr="006B4444">
        <w:rPr>
          <w:rFonts w:ascii="Book Antiqua" w:hAnsi="Book Antiqua"/>
          <w:lang w:val="en-US"/>
        </w:rPr>
        <w:t xml:space="preserve">Lymphoma is the most common underlying disease favoring HBV </w:t>
      </w:r>
      <w:proofErr w:type="gramStart"/>
      <w:r w:rsidRPr="006B4444">
        <w:rPr>
          <w:rFonts w:ascii="Book Antiqua" w:hAnsi="Book Antiqua"/>
          <w:lang w:val="en-US"/>
        </w:rPr>
        <w:t>reactivation</w:t>
      </w:r>
      <w:r w:rsidRPr="006B4444">
        <w:rPr>
          <w:rFonts w:ascii="Book Antiqua" w:hAnsi="Book Antiqua"/>
          <w:vertAlign w:val="superscript"/>
          <w:lang w:val="en-US"/>
        </w:rPr>
        <w:t>[</w:t>
      </w:r>
      <w:proofErr w:type="gramEnd"/>
      <w:r w:rsidRPr="006B4444">
        <w:rPr>
          <w:rFonts w:ascii="Book Antiqua" w:hAnsi="Book Antiqua"/>
          <w:vertAlign w:val="superscript"/>
          <w:lang w:val="en-US"/>
        </w:rPr>
        <w:t>7</w:t>
      </w:r>
      <w:r w:rsidR="00FD2332" w:rsidRPr="006B4444">
        <w:rPr>
          <w:rFonts w:ascii="Book Antiqua" w:hAnsi="Book Antiqua"/>
          <w:vertAlign w:val="superscript"/>
          <w:lang w:val="en-US"/>
        </w:rPr>
        <w:t>5</w:t>
      </w:r>
      <w:r w:rsidRPr="006B4444">
        <w:rPr>
          <w:rFonts w:ascii="Book Antiqua" w:hAnsi="Book Antiqua"/>
          <w:vertAlign w:val="superscript"/>
          <w:lang w:val="en-US"/>
        </w:rPr>
        <w:t>]</w:t>
      </w:r>
      <w:r w:rsidRPr="006B4444">
        <w:rPr>
          <w:rFonts w:ascii="Book Antiqua" w:hAnsi="Book Antiqua"/>
          <w:lang w:val="en-US"/>
        </w:rPr>
        <w:t xml:space="preserve">, possibly because HBsAg-negative patients with non-Hodgkin lymphoma (NHL) frequently present a direct HBV infection of lymphocytes, chronic antigenic stimulation and associated B-cell proliferation. </w:t>
      </w:r>
      <w:r w:rsidR="00CD340A" w:rsidRPr="006B4444">
        <w:rPr>
          <w:rFonts w:ascii="Book Antiqua" w:hAnsi="Book Antiqua"/>
          <w:lang w:val="en-US"/>
        </w:rPr>
        <w:t xml:space="preserve">Onco-hematological patients undergoing immunosuppression with aggressive chemotherapy or HBV </w:t>
      </w:r>
      <w:proofErr w:type="gramStart"/>
      <w:r w:rsidR="00CD340A" w:rsidRPr="006B4444">
        <w:rPr>
          <w:rFonts w:ascii="Book Antiqua" w:hAnsi="Book Antiqua"/>
          <w:lang w:val="en-US"/>
        </w:rPr>
        <w:t>reactivation</w:t>
      </w:r>
      <w:r w:rsidR="00CD340A" w:rsidRPr="006B4444">
        <w:rPr>
          <w:rFonts w:ascii="Book Antiqua" w:hAnsi="Book Antiqua"/>
          <w:vertAlign w:val="superscript"/>
          <w:lang w:val="en-US"/>
        </w:rPr>
        <w:t>[</w:t>
      </w:r>
      <w:proofErr w:type="gramEnd"/>
      <w:r w:rsidR="00CD340A" w:rsidRPr="006B4444">
        <w:rPr>
          <w:rFonts w:ascii="Book Antiqua" w:hAnsi="Book Antiqua"/>
          <w:vertAlign w:val="superscript"/>
          <w:lang w:val="en-US"/>
        </w:rPr>
        <w:t>51]</w:t>
      </w:r>
      <w:r w:rsidR="00CD340A" w:rsidRPr="006B4444">
        <w:rPr>
          <w:rFonts w:ascii="Book Antiqua" w:hAnsi="Book Antiqua"/>
          <w:lang w:val="en-US"/>
        </w:rPr>
        <w:t xml:space="preserve">. </w:t>
      </w:r>
    </w:p>
    <w:p w14:paraId="693C185E" w14:textId="594C7970" w:rsidR="00CD340A" w:rsidRPr="006B4444" w:rsidRDefault="00CD340A" w:rsidP="00377B0F">
      <w:pPr>
        <w:widowControl w:val="0"/>
        <w:autoSpaceDE w:val="0"/>
        <w:autoSpaceDN w:val="0"/>
        <w:adjustRightInd w:val="0"/>
        <w:spacing w:line="360" w:lineRule="auto"/>
        <w:ind w:firstLineChars="100" w:firstLine="240"/>
        <w:jc w:val="both"/>
        <w:rPr>
          <w:rFonts w:ascii="Book Antiqua" w:hAnsi="Book Antiqua"/>
          <w:lang w:val="en-US"/>
        </w:rPr>
      </w:pPr>
      <w:r w:rsidRPr="006B4444">
        <w:rPr>
          <w:rFonts w:ascii="Book Antiqua" w:hAnsi="Book Antiqua"/>
          <w:lang w:val="en-US"/>
        </w:rPr>
        <w:t>In fact, the risk of reactivation is estimated at around 10</w:t>
      </w:r>
      <w:r w:rsidR="00377B0F" w:rsidRPr="006B4444">
        <w:rPr>
          <w:rFonts w:ascii="Book Antiqua" w:hAnsi="Book Antiqua"/>
          <w:lang w:val="en-US"/>
        </w:rPr>
        <w:t>%</w:t>
      </w:r>
      <w:r w:rsidRPr="006B4444">
        <w:rPr>
          <w:rFonts w:ascii="Book Antiqua" w:hAnsi="Book Antiqua"/>
          <w:lang w:val="en-US"/>
        </w:rPr>
        <w:t xml:space="preserve">-50% for HBsAg-positive patients undergoing </w:t>
      </w:r>
      <w:proofErr w:type="gramStart"/>
      <w:r w:rsidRPr="006B4444">
        <w:rPr>
          <w:rFonts w:ascii="Book Antiqua" w:hAnsi="Book Antiqua"/>
          <w:lang w:val="en-US"/>
        </w:rPr>
        <w:t>chemotherapy</w:t>
      </w:r>
      <w:r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76,77</w:t>
      </w:r>
      <w:r w:rsidRPr="006B4444">
        <w:rPr>
          <w:rFonts w:ascii="Book Antiqua" w:hAnsi="Book Antiqua"/>
          <w:vertAlign w:val="superscript"/>
          <w:lang w:val="en-US"/>
        </w:rPr>
        <w:t>]</w:t>
      </w:r>
      <w:r w:rsidRPr="006B4444">
        <w:rPr>
          <w:rFonts w:ascii="Book Antiqua" w:hAnsi="Book Antiqua"/>
          <w:lang w:val="en-US"/>
        </w:rPr>
        <w:t>, while different percentages have been reported in HBsAg negative/anti-HBc positive patients and in inactive HBV carriers, from 2</w:t>
      </w:r>
      <w:r w:rsidR="00377B0F" w:rsidRPr="006B4444">
        <w:rPr>
          <w:rFonts w:ascii="Book Antiqua" w:hAnsi="Book Antiqua"/>
          <w:lang w:val="en-US"/>
        </w:rPr>
        <w:t>%</w:t>
      </w:r>
      <w:r w:rsidRPr="006B4444">
        <w:rPr>
          <w:rFonts w:ascii="Book Antiqua" w:hAnsi="Book Antiqua"/>
          <w:lang w:val="en-US"/>
        </w:rPr>
        <w:t xml:space="preserve"> to 41.5%</w:t>
      </w:r>
      <w:r w:rsidRPr="006B4444">
        <w:rPr>
          <w:rFonts w:ascii="Book Antiqua" w:hAnsi="Book Antiqua"/>
          <w:vertAlign w:val="superscript"/>
          <w:lang w:val="en-US"/>
        </w:rPr>
        <w:t>[68,</w:t>
      </w:r>
      <w:r w:rsidR="00FD2332" w:rsidRPr="006B4444">
        <w:rPr>
          <w:rFonts w:ascii="Book Antiqua" w:hAnsi="Book Antiqua"/>
          <w:vertAlign w:val="superscript"/>
          <w:lang w:val="en-US"/>
        </w:rPr>
        <w:t>78-82</w:t>
      </w:r>
      <w:r w:rsidRPr="006B4444">
        <w:rPr>
          <w:rFonts w:ascii="Book Antiqua" w:hAnsi="Book Antiqua"/>
          <w:vertAlign w:val="superscript"/>
          <w:lang w:val="en-US"/>
        </w:rPr>
        <w:t>]</w:t>
      </w:r>
      <w:r w:rsidRPr="006B4444">
        <w:rPr>
          <w:rFonts w:ascii="Book Antiqua" w:hAnsi="Book Antiqua"/>
          <w:lang w:val="en-US"/>
        </w:rPr>
        <w:t>, Consequently, it is mandatory to identify the hemato-oncological patients at risk of reactivation who need antiviral treatment, either in prophylaxis or as pre-emptive therapy. In fact, various guidelines</w:t>
      </w:r>
      <w:r w:rsidRPr="006B4444">
        <w:rPr>
          <w:rFonts w:ascii="Book Antiqua" w:hAnsi="Book Antiqua"/>
          <w:vertAlign w:val="superscript"/>
          <w:lang w:val="en-US"/>
        </w:rPr>
        <w:t>[51,</w:t>
      </w:r>
      <w:r w:rsidR="00FD2332" w:rsidRPr="006B4444">
        <w:rPr>
          <w:rFonts w:ascii="Book Antiqua" w:hAnsi="Book Antiqua"/>
          <w:vertAlign w:val="superscript"/>
          <w:lang w:val="en-US"/>
        </w:rPr>
        <w:t>76,83</w:t>
      </w:r>
      <w:r w:rsidRPr="006B4444">
        <w:rPr>
          <w:rFonts w:ascii="Book Antiqua" w:hAnsi="Book Antiqua"/>
          <w:vertAlign w:val="superscript"/>
          <w:lang w:val="en-US"/>
        </w:rPr>
        <w:t>]</w:t>
      </w:r>
      <w:r w:rsidRPr="006B4444">
        <w:rPr>
          <w:rFonts w:ascii="Book Antiqua" w:hAnsi="Book Antiqua"/>
          <w:lang w:val="en-US"/>
        </w:rPr>
        <w:t>, controlled clinical trials</w:t>
      </w:r>
      <w:r w:rsidRPr="006B4444">
        <w:rPr>
          <w:rFonts w:ascii="Book Antiqua" w:hAnsi="Book Antiqua"/>
          <w:vertAlign w:val="superscript"/>
          <w:lang w:val="en-US"/>
        </w:rPr>
        <w:t>[</w:t>
      </w:r>
      <w:r w:rsidR="00FD2332" w:rsidRPr="006B4444">
        <w:rPr>
          <w:rFonts w:ascii="Book Antiqua" w:hAnsi="Book Antiqua"/>
          <w:vertAlign w:val="superscript"/>
          <w:lang w:val="en-US"/>
        </w:rPr>
        <w:t>84,85</w:t>
      </w:r>
      <w:r w:rsidRPr="006B4444">
        <w:rPr>
          <w:rFonts w:ascii="Book Antiqua" w:hAnsi="Book Antiqua"/>
          <w:vertAlign w:val="superscript"/>
          <w:lang w:val="en-US"/>
        </w:rPr>
        <w:t>]</w:t>
      </w:r>
      <w:r w:rsidRPr="006B4444">
        <w:rPr>
          <w:rFonts w:ascii="Book Antiqua" w:hAnsi="Book Antiqua"/>
          <w:lang w:val="en-US"/>
        </w:rPr>
        <w:t xml:space="preserve"> and meta-analyses</w:t>
      </w:r>
      <w:r w:rsidRPr="006B4444">
        <w:rPr>
          <w:rFonts w:ascii="Book Antiqua" w:hAnsi="Book Antiqua"/>
          <w:vertAlign w:val="superscript"/>
          <w:lang w:val="en-US"/>
        </w:rPr>
        <w:t>[</w:t>
      </w:r>
      <w:r w:rsidR="00FD2332" w:rsidRPr="006B4444">
        <w:rPr>
          <w:rFonts w:ascii="Book Antiqua" w:hAnsi="Book Antiqua"/>
          <w:vertAlign w:val="superscript"/>
          <w:lang w:val="en-US"/>
        </w:rPr>
        <w:t>86,87</w:t>
      </w:r>
      <w:r w:rsidRPr="006B4444">
        <w:rPr>
          <w:rFonts w:ascii="Book Antiqua" w:hAnsi="Book Antiqua"/>
          <w:vertAlign w:val="superscript"/>
          <w:lang w:val="en-US"/>
        </w:rPr>
        <w:t>]</w:t>
      </w:r>
      <w:r w:rsidRPr="006B4444">
        <w:rPr>
          <w:rFonts w:ascii="Book Antiqua" w:hAnsi="Book Antiqua"/>
          <w:lang w:val="en-US"/>
        </w:rPr>
        <w:t xml:space="preserve"> have shown that in patients undergoing cancer chemotherapy, nucleo(t)side analogs reduce the incidence of HBV reactivation and the frequency of associated hepatitis and death for liver failure</w:t>
      </w:r>
      <w:r w:rsidRPr="006B4444">
        <w:rPr>
          <w:rFonts w:ascii="Book Antiqua" w:hAnsi="Book Antiqua"/>
          <w:vertAlign w:val="superscript"/>
          <w:lang w:val="en-US"/>
        </w:rPr>
        <w:t>[</w:t>
      </w:r>
      <w:r w:rsidR="00FD2332" w:rsidRPr="006B4444">
        <w:rPr>
          <w:rFonts w:ascii="Book Antiqua" w:hAnsi="Book Antiqua"/>
          <w:vertAlign w:val="superscript"/>
          <w:lang w:val="en-US"/>
        </w:rPr>
        <w:t>88</w:t>
      </w:r>
      <w:r w:rsidRPr="006B4444">
        <w:rPr>
          <w:rFonts w:ascii="Book Antiqua" w:hAnsi="Book Antiqua"/>
          <w:vertAlign w:val="superscript"/>
          <w:lang w:val="en-US"/>
        </w:rPr>
        <w:t>]</w:t>
      </w:r>
      <w:r w:rsidRPr="006B4444">
        <w:rPr>
          <w:rFonts w:ascii="Book Antiqua" w:hAnsi="Book Antiqua"/>
          <w:lang w:val="en-US"/>
        </w:rPr>
        <w:t xml:space="preserve">. </w:t>
      </w:r>
    </w:p>
    <w:p w14:paraId="5E0DF086" w14:textId="4E738479" w:rsidR="00947F74" w:rsidRPr="006B4444" w:rsidRDefault="00C630E4" w:rsidP="00377B0F">
      <w:pPr>
        <w:autoSpaceDE w:val="0"/>
        <w:autoSpaceDN w:val="0"/>
        <w:adjustRightInd w:val="0"/>
        <w:spacing w:line="360" w:lineRule="auto"/>
        <w:ind w:firstLineChars="100" w:firstLine="240"/>
        <w:jc w:val="both"/>
        <w:rPr>
          <w:rFonts w:ascii="Book Antiqua" w:hAnsi="Book Antiqua"/>
          <w:lang w:val="en-US"/>
        </w:rPr>
      </w:pPr>
      <w:r w:rsidRPr="006B4444">
        <w:rPr>
          <w:rFonts w:ascii="Book Antiqua" w:hAnsi="Book Antiqua"/>
          <w:lang w:val="en-US"/>
        </w:rPr>
        <w:t xml:space="preserve">Allogeneic autologous HSCT is another eventuality characterized by a high risk for HBV reactivation. Published data are still limited, but a study on 32 HBsAg-positive patients with NHL undergoing high-dose chemotherapy and autologous HSCT reported a symptomatic acute exacerbation in 50% of </w:t>
      </w:r>
      <w:proofErr w:type="gramStart"/>
      <w:r w:rsidRPr="006B4444">
        <w:rPr>
          <w:rFonts w:ascii="Book Antiqua" w:hAnsi="Book Antiqua"/>
          <w:lang w:val="en-US"/>
        </w:rPr>
        <w:t>cases</w:t>
      </w:r>
      <w:r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89</w:t>
      </w:r>
      <w:r w:rsidRPr="006B4444">
        <w:rPr>
          <w:rFonts w:ascii="Book Antiqua" w:hAnsi="Book Antiqua"/>
          <w:vertAlign w:val="superscript"/>
          <w:lang w:val="en-US"/>
        </w:rPr>
        <w:t>]</w:t>
      </w:r>
      <w:r w:rsidRPr="006B4444">
        <w:rPr>
          <w:rFonts w:ascii="Book Antiqua" w:hAnsi="Book Antiqua"/>
          <w:lang w:val="en-US"/>
        </w:rPr>
        <w:t xml:space="preserve">. In patients with occult HBV infection the risk could be lower, because in allogeneic HSCT, donor vaccination including that against HBV can result in the transfer of immunity against infectious antigens, thus reducing the risk of HBV </w:t>
      </w:r>
      <w:proofErr w:type="gramStart"/>
      <w:r w:rsidRPr="006B4444">
        <w:rPr>
          <w:rFonts w:ascii="Book Antiqua" w:hAnsi="Book Antiqua"/>
          <w:lang w:val="en-US"/>
        </w:rPr>
        <w:t>reactivation</w:t>
      </w:r>
      <w:r w:rsidRPr="006B4444">
        <w:rPr>
          <w:rFonts w:ascii="Book Antiqua" w:hAnsi="Book Antiqua"/>
          <w:vertAlign w:val="superscript"/>
          <w:lang w:val="en-US"/>
        </w:rPr>
        <w:t>[</w:t>
      </w:r>
      <w:proofErr w:type="gramEnd"/>
      <w:r w:rsidRPr="006B4444">
        <w:rPr>
          <w:rFonts w:ascii="Book Antiqua" w:hAnsi="Book Antiqua"/>
          <w:vertAlign w:val="superscript"/>
          <w:lang w:val="en-US"/>
        </w:rPr>
        <w:t>9</w:t>
      </w:r>
      <w:r w:rsidR="00FD2332" w:rsidRPr="006B4444">
        <w:rPr>
          <w:rFonts w:ascii="Book Antiqua" w:hAnsi="Book Antiqua"/>
          <w:vertAlign w:val="superscript"/>
          <w:lang w:val="en-US"/>
        </w:rPr>
        <w:t>0</w:t>
      </w:r>
      <w:r w:rsidRPr="006B4444">
        <w:rPr>
          <w:rFonts w:ascii="Book Antiqua" w:hAnsi="Book Antiqua"/>
          <w:vertAlign w:val="superscript"/>
          <w:lang w:val="en-US"/>
        </w:rPr>
        <w:t>]</w:t>
      </w:r>
      <w:r w:rsidRPr="006B4444">
        <w:rPr>
          <w:rFonts w:ascii="Book Antiqua" w:hAnsi="Book Antiqua"/>
          <w:lang w:val="en-US"/>
        </w:rPr>
        <w:t>.</w:t>
      </w:r>
      <w:r w:rsidR="00377B0F" w:rsidRPr="006B4444">
        <w:rPr>
          <w:rFonts w:ascii="Book Antiqua" w:hAnsi="Book Antiqua"/>
          <w:lang w:val="en-US" w:eastAsia="zh-CN"/>
        </w:rPr>
        <w:t xml:space="preserve"> </w:t>
      </w:r>
      <w:r w:rsidRPr="006B4444">
        <w:rPr>
          <w:rFonts w:ascii="Book Antiqua" w:hAnsi="Book Antiqua"/>
          <w:lang w:val="en-US"/>
        </w:rPr>
        <w:lastRenderedPageBreak/>
        <w:t>Finally, the development of graft-</w:t>
      </w:r>
      <w:r w:rsidRPr="006B4444">
        <w:rPr>
          <w:rFonts w:ascii="Book Antiqua" w:hAnsi="Book Antiqua"/>
          <w:i/>
          <w:iCs/>
          <w:lang w:val="en-US"/>
        </w:rPr>
        <w:t>vs</w:t>
      </w:r>
      <w:r w:rsidRPr="006B4444">
        <w:rPr>
          <w:rFonts w:ascii="Book Antiqua" w:hAnsi="Book Antiqua"/>
          <w:lang w:val="en-US"/>
        </w:rPr>
        <w:t xml:space="preserve">-host disease significantly increases the risk of HBV reactivation due to the immunosuppression therapy administered and to the delay in the reconstitution of the immune </w:t>
      </w:r>
      <w:proofErr w:type="gramStart"/>
      <w:r w:rsidRPr="006B4444">
        <w:rPr>
          <w:rFonts w:ascii="Book Antiqua" w:hAnsi="Book Antiqua"/>
          <w:lang w:val="en-US"/>
        </w:rPr>
        <w:t>system</w:t>
      </w:r>
      <w:r w:rsidRPr="006B4444">
        <w:rPr>
          <w:rFonts w:ascii="Book Antiqua" w:hAnsi="Book Antiqua"/>
          <w:vertAlign w:val="superscript"/>
          <w:lang w:val="en-US"/>
        </w:rPr>
        <w:t>[</w:t>
      </w:r>
      <w:proofErr w:type="gramEnd"/>
      <w:r w:rsidRPr="006B4444">
        <w:rPr>
          <w:rFonts w:ascii="Book Antiqua" w:hAnsi="Book Antiqua"/>
          <w:vertAlign w:val="superscript"/>
          <w:lang w:val="en-US"/>
        </w:rPr>
        <w:t>9</w:t>
      </w:r>
      <w:r w:rsidR="00FD2332" w:rsidRPr="006B4444">
        <w:rPr>
          <w:rFonts w:ascii="Book Antiqua" w:hAnsi="Book Antiqua"/>
          <w:vertAlign w:val="superscript"/>
          <w:lang w:val="en-US"/>
        </w:rPr>
        <w:t>1</w:t>
      </w:r>
      <w:r w:rsidRPr="006B4444">
        <w:rPr>
          <w:rFonts w:ascii="Book Antiqua" w:hAnsi="Book Antiqua"/>
          <w:vertAlign w:val="superscript"/>
          <w:lang w:val="en-US"/>
        </w:rPr>
        <w:t>]</w:t>
      </w:r>
      <w:r w:rsidRPr="006B4444">
        <w:rPr>
          <w:rFonts w:ascii="Book Antiqua" w:hAnsi="Book Antiqua"/>
          <w:lang w:val="en-US"/>
        </w:rPr>
        <w:t>.</w:t>
      </w:r>
    </w:p>
    <w:p w14:paraId="40AE0800" w14:textId="77777777" w:rsidR="00377B0F" w:rsidRPr="006B4444" w:rsidRDefault="00377B0F" w:rsidP="00377B0F">
      <w:pPr>
        <w:autoSpaceDE w:val="0"/>
        <w:autoSpaceDN w:val="0"/>
        <w:adjustRightInd w:val="0"/>
        <w:spacing w:line="360" w:lineRule="auto"/>
        <w:jc w:val="both"/>
        <w:rPr>
          <w:rFonts w:ascii="Book Antiqua" w:hAnsi="Book Antiqua"/>
          <w:lang w:val="en-US"/>
        </w:rPr>
      </w:pPr>
    </w:p>
    <w:p w14:paraId="57D121D0" w14:textId="77777777" w:rsidR="00816D6D" w:rsidRPr="006B4444" w:rsidRDefault="00816D6D" w:rsidP="002F5696">
      <w:pPr>
        <w:autoSpaceDE w:val="0"/>
        <w:autoSpaceDN w:val="0"/>
        <w:adjustRightInd w:val="0"/>
        <w:spacing w:line="360" w:lineRule="auto"/>
        <w:jc w:val="both"/>
        <w:rPr>
          <w:rFonts w:ascii="Book Antiqua" w:hAnsi="Book Antiqua"/>
          <w:b/>
          <w:i/>
          <w:lang w:val="en-US"/>
        </w:rPr>
      </w:pPr>
      <w:r w:rsidRPr="006B4444">
        <w:rPr>
          <w:rFonts w:ascii="Book Antiqua" w:hAnsi="Book Antiqua"/>
          <w:b/>
          <w:i/>
          <w:lang w:val="en-US"/>
        </w:rPr>
        <w:t>Immunosuppressive regimens</w:t>
      </w:r>
    </w:p>
    <w:p w14:paraId="241AC085" w14:textId="0FFD30DE" w:rsidR="00816D6D" w:rsidRPr="006B4444" w:rsidRDefault="00816D6D" w:rsidP="00695786">
      <w:pPr>
        <w:autoSpaceDE w:val="0"/>
        <w:autoSpaceDN w:val="0"/>
        <w:adjustRightInd w:val="0"/>
        <w:spacing w:line="360" w:lineRule="auto"/>
        <w:jc w:val="both"/>
        <w:rPr>
          <w:rFonts w:ascii="Book Antiqua" w:hAnsi="Book Antiqua"/>
          <w:lang w:val="en-US"/>
        </w:rPr>
      </w:pPr>
      <w:r w:rsidRPr="006B4444">
        <w:rPr>
          <w:rFonts w:ascii="Book Antiqua" w:hAnsi="Book Antiqua"/>
          <w:lang w:val="en-US"/>
        </w:rPr>
        <w:t>The risk of HBV reactivation has been graded in relation to the different immunosuppressive treatments as follows:</w:t>
      </w:r>
      <w:r w:rsidR="00377B0F" w:rsidRPr="006B4444">
        <w:rPr>
          <w:rFonts w:ascii="Book Antiqua" w:hAnsi="Book Antiqua"/>
          <w:lang w:val="en-US" w:eastAsia="zh-CN"/>
        </w:rPr>
        <w:t xml:space="preserve"> (1) </w:t>
      </w:r>
      <w:r w:rsidR="00377B0F" w:rsidRPr="006B4444">
        <w:rPr>
          <w:rFonts w:ascii="Book Antiqua" w:hAnsi="Book Antiqua"/>
          <w:lang w:val="en-US"/>
        </w:rPr>
        <w:t>H</w:t>
      </w:r>
      <w:r w:rsidRPr="006B4444">
        <w:rPr>
          <w:rFonts w:ascii="Book Antiqua" w:hAnsi="Book Antiqua"/>
          <w:lang w:val="en-US"/>
        </w:rPr>
        <w:t>igh risk:</w:t>
      </w:r>
      <w:r w:rsidR="00377B0F" w:rsidRPr="006B4444">
        <w:rPr>
          <w:rFonts w:ascii="Book Antiqua" w:hAnsi="Book Antiqua"/>
          <w:lang w:val="en-US"/>
        </w:rPr>
        <w:t xml:space="preserve"> Greater </w:t>
      </w:r>
      <w:r w:rsidRPr="006B4444">
        <w:rPr>
          <w:rFonts w:ascii="Book Antiqua" w:hAnsi="Book Antiqua"/>
          <w:lang w:val="en-US"/>
        </w:rPr>
        <w:t>than 10% reactivation (rituximab and other anti-CD20-directed monoclonal antibodies; doxorubicin and other drugs of systemic cancer chemotherapy)</w:t>
      </w:r>
      <w:r w:rsidR="00695786" w:rsidRPr="006B4444">
        <w:rPr>
          <w:rFonts w:ascii="Book Antiqua" w:hAnsi="Book Antiqua"/>
          <w:lang w:val="en-US"/>
        </w:rPr>
        <w:t>; (2)</w:t>
      </w:r>
      <w:r w:rsidR="00695786" w:rsidRPr="006B4444">
        <w:rPr>
          <w:rFonts w:ascii="Book Antiqua" w:hAnsi="Book Antiqua"/>
          <w:lang w:val="en-US" w:eastAsia="zh-CN"/>
        </w:rPr>
        <w:t xml:space="preserve"> </w:t>
      </w:r>
      <w:r w:rsidRPr="006B4444">
        <w:rPr>
          <w:rFonts w:ascii="Book Antiqua" w:hAnsi="Book Antiqua"/>
          <w:lang w:val="en-US"/>
        </w:rPr>
        <w:t xml:space="preserve">moderate risk: </w:t>
      </w:r>
      <w:r w:rsidR="00695786" w:rsidRPr="006B4444">
        <w:rPr>
          <w:rFonts w:ascii="Book Antiqua" w:hAnsi="Book Antiqua"/>
          <w:lang w:val="en-US"/>
        </w:rPr>
        <w:t>B</w:t>
      </w:r>
      <w:r w:rsidRPr="006B4444">
        <w:rPr>
          <w:rFonts w:ascii="Book Antiqua" w:hAnsi="Book Antiqua"/>
          <w:lang w:val="en-US"/>
        </w:rPr>
        <w:t>etween 1</w:t>
      </w:r>
      <w:r w:rsidR="00695786" w:rsidRPr="006B4444">
        <w:rPr>
          <w:rFonts w:ascii="Book Antiqua" w:hAnsi="Book Antiqua"/>
          <w:lang w:val="en-US"/>
        </w:rPr>
        <w:t>%</w:t>
      </w:r>
      <w:r w:rsidRPr="006B4444">
        <w:rPr>
          <w:rFonts w:ascii="Book Antiqua" w:hAnsi="Book Antiqua"/>
          <w:lang w:val="en-US"/>
        </w:rPr>
        <w:t>-10% (imatinib, ibrutinib and other tyrosine kinase inhibitors; corticosteroids at a daily dose of ≥ 20 mg for ≥ 4 wk)</w:t>
      </w:r>
      <w:r w:rsidR="00695786" w:rsidRPr="006B4444">
        <w:rPr>
          <w:rFonts w:ascii="Book Antiqua" w:hAnsi="Book Antiqua"/>
          <w:lang w:val="en-US"/>
        </w:rPr>
        <w:t>; (3)</w:t>
      </w:r>
      <w:r w:rsidR="00695786" w:rsidRPr="006B4444">
        <w:rPr>
          <w:rFonts w:ascii="Book Antiqua" w:hAnsi="Book Antiqua"/>
          <w:lang w:val="en-US" w:eastAsia="zh-CN"/>
        </w:rPr>
        <w:t xml:space="preserve"> </w:t>
      </w:r>
      <w:r w:rsidRPr="006B4444">
        <w:rPr>
          <w:rFonts w:ascii="Book Antiqua" w:hAnsi="Book Antiqua"/>
          <w:lang w:val="en-US"/>
        </w:rPr>
        <w:t xml:space="preserve">low risk: </w:t>
      </w:r>
      <w:r w:rsidR="00695786" w:rsidRPr="006B4444">
        <w:rPr>
          <w:rFonts w:ascii="Book Antiqua" w:hAnsi="Book Antiqua"/>
          <w:lang w:val="en-US"/>
        </w:rPr>
        <w:t>L</w:t>
      </w:r>
      <w:r w:rsidRPr="006B4444">
        <w:rPr>
          <w:rFonts w:ascii="Book Antiqua" w:hAnsi="Book Antiqua"/>
          <w:lang w:val="en-US"/>
        </w:rPr>
        <w:t xml:space="preserve">ess than 1% (azathioprine, methotrexate and other traditional immunosuppressive agents; corticosteroids for ≤ 4 wk). </w:t>
      </w:r>
    </w:p>
    <w:p w14:paraId="31586205" w14:textId="77777777" w:rsidR="00816D6D" w:rsidRPr="006B4444" w:rsidRDefault="00816D6D" w:rsidP="002F5696">
      <w:pPr>
        <w:autoSpaceDE w:val="0"/>
        <w:autoSpaceDN w:val="0"/>
        <w:adjustRightInd w:val="0"/>
        <w:spacing w:line="360" w:lineRule="auto"/>
        <w:jc w:val="both"/>
        <w:rPr>
          <w:rFonts w:ascii="Book Antiqua" w:hAnsi="Book Antiqua"/>
          <w:lang w:val="en-US"/>
        </w:rPr>
      </w:pPr>
    </w:p>
    <w:p w14:paraId="26B51A08" w14:textId="1D5F2AD3" w:rsidR="00816D6D" w:rsidRPr="006B4444" w:rsidRDefault="00695786" w:rsidP="002F5696">
      <w:pPr>
        <w:shd w:val="clear" w:color="auto" w:fill="FFFFFF"/>
        <w:spacing w:line="360" w:lineRule="auto"/>
        <w:jc w:val="both"/>
        <w:rPr>
          <w:rFonts w:ascii="Book Antiqua" w:hAnsi="Book Antiqua"/>
          <w:b/>
          <w:lang w:val="en-US"/>
        </w:rPr>
      </w:pPr>
      <w:r w:rsidRPr="006B4444">
        <w:rPr>
          <w:rFonts w:ascii="Book Antiqua" w:hAnsi="Book Antiqua"/>
          <w:b/>
          <w:lang w:val="en-US"/>
        </w:rPr>
        <w:t>RISK FACTORS FOR HBV REACTIVATION IN DIFFERENT IMMUNOSUPPRESSIVE REGIMENS</w:t>
      </w:r>
    </w:p>
    <w:p w14:paraId="0CB471F0" w14:textId="77777777" w:rsidR="00816D6D" w:rsidRPr="006B4444" w:rsidRDefault="00816D6D" w:rsidP="002F5696">
      <w:pPr>
        <w:shd w:val="clear" w:color="auto" w:fill="FFFFFF"/>
        <w:spacing w:line="360" w:lineRule="auto"/>
        <w:jc w:val="both"/>
        <w:rPr>
          <w:rFonts w:ascii="Book Antiqua" w:hAnsi="Book Antiqua"/>
          <w:b/>
          <w:i/>
          <w:lang w:val="en-US"/>
        </w:rPr>
      </w:pPr>
      <w:r w:rsidRPr="006B4444">
        <w:rPr>
          <w:rFonts w:ascii="Book Antiqua" w:hAnsi="Book Antiqua"/>
          <w:b/>
          <w:i/>
          <w:lang w:val="en-US"/>
        </w:rPr>
        <w:t>Cancer chemotherapy</w:t>
      </w:r>
    </w:p>
    <w:p w14:paraId="0183AD2D" w14:textId="5F4BCB73" w:rsidR="00816D6D" w:rsidRPr="006B4444" w:rsidRDefault="00816D6D" w:rsidP="002F5696">
      <w:pPr>
        <w:shd w:val="clear" w:color="auto" w:fill="FFFFFF"/>
        <w:spacing w:line="360" w:lineRule="auto"/>
        <w:jc w:val="both"/>
        <w:rPr>
          <w:rFonts w:ascii="Book Antiqua" w:hAnsi="Book Antiqua"/>
          <w:lang w:val="en-US"/>
        </w:rPr>
      </w:pPr>
      <w:r w:rsidRPr="006B4444">
        <w:rPr>
          <w:rFonts w:ascii="Book Antiqua" w:hAnsi="Book Antiqua"/>
          <w:lang w:val="en-US"/>
        </w:rPr>
        <w:t>A study on patients with lymphoma treated with different chemotherapy regimens reported HBV reactivation in 48% of 27 HBsAg-positive patients and in 4% of 51 HBsAg-negative/anti-HBc-</w:t>
      </w:r>
      <w:proofErr w:type="gramStart"/>
      <w:r w:rsidRPr="006B4444">
        <w:rPr>
          <w:rFonts w:ascii="Book Antiqua" w:hAnsi="Book Antiqua"/>
          <w:lang w:val="en-US"/>
        </w:rPr>
        <w:t>positive</w:t>
      </w:r>
      <w:r w:rsidRPr="006B4444">
        <w:rPr>
          <w:rFonts w:ascii="Book Antiqua" w:hAnsi="Book Antiqua"/>
          <w:vertAlign w:val="superscript"/>
          <w:lang w:val="en-US"/>
        </w:rPr>
        <w:t>[</w:t>
      </w:r>
      <w:proofErr w:type="gramEnd"/>
      <w:r w:rsidRPr="006B4444">
        <w:rPr>
          <w:rFonts w:ascii="Book Antiqua" w:hAnsi="Book Antiqua"/>
          <w:vertAlign w:val="superscript"/>
          <w:lang w:val="en-US"/>
        </w:rPr>
        <w:t>8</w:t>
      </w:r>
      <w:r w:rsidR="00BC6B2F" w:rsidRPr="006B4444">
        <w:rPr>
          <w:rFonts w:ascii="Book Antiqua" w:hAnsi="Book Antiqua"/>
          <w:vertAlign w:val="superscript"/>
          <w:lang w:val="en-US"/>
        </w:rPr>
        <w:t>2</w:t>
      </w:r>
      <w:r w:rsidRPr="006B4444">
        <w:rPr>
          <w:rFonts w:ascii="Book Antiqua" w:hAnsi="Book Antiqua"/>
          <w:vertAlign w:val="superscript"/>
          <w:lang w:val="en-US"/>
        </w:rPr>
        <w:t>]</w:t>
      </w:r>
      <w:r w:rsidRPr="006B4444">
        <w:rPr>
          <w:rFonts w:ascii="Book Antiqua" w:hAnsi="Book Antiqua"/>
          <w:lang w:val="en-US"/>
        </w:rPr>
        <w:t xml:space="preserve">. It has also been reported that this reactivation occurred more frequently in patients receiving anthracycline-derived </w:t>
      </w:r>
      <w:r w:rsidRPr="006B4444">
        <w:rPr>
          <w:rFonts w:ascii="Book Antiqua" w:hAnsi="Book Antiqua"/>
          <w:lang w:val="en-GB"/>
        </w:rPr>
        <w:t xml:space="preserve">chemotherapeutic </w:t>
      </w:r>
      <w:r w:rsidRPr="006B4444">
        <w:rPr>
          <w:rFonts w:ascii="Book Antiqua" w:hAnsi="Book Antiqua"/>
          <w:lang w:val="en-US"/>
        </w:rPr>
        <w:t>drugs, such as doxorubicin and epirubicin, than in those treated wit</w:t>
      </w:r>
      <w:r w:rsidR="00FD2332" w:rsidRPr="006B4444">
        <w:rPr>
          <w:rFonts w:ascii="Book Antiqua" w:hAnsi="Book Antiqua"/>
          <w:lang w:val="en-US"/>
        </w:rPr>
        <w:t xml:space="preserve">h other chemotherapy </w:t>
      </w:r>
      <w:proofErr w:type="gramStart"/>
      <w:r w:rsidR="00FD2332" w:rsidRPr="006B4444">
        <w:rPr>
          <w:rFonts w:ascii="Book Antiqua" w:hAnsi="Book Antiqua"/>
          <w:lang w:val="en-US"/>
        </w:rPr>
        <w:t>regimens</w:t>
      </w:r>
      <w:r w:rsidR="00FD2332"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92</w:t>
      </w:r>
      <w:r w:rsidRPr="006B4444">
        <w:rPr>
          <w:rFonts w:ascii="Book Antiqua" w:hAnsi="Book Antiqua"/>
          <w:vertAlign w:val="superscript"/>
          <w:lang w:val="en-US"/>
        </w:rPr>
        <w:t>]</w:t>
      </w:r>
      <w:r w:rsidRPr="006B4444">
        <w:rPr>
          <w:rFonts w:ascii="Book Antiqua" w:hAnsi="Book Antiqua"/>
          <w:lang w:val="en-US"/>
        </w:rPr>
        <w:t xml:space="preserve">. </w:t>
      </w:r>
    </w:p>
    <w:p w14:paraId="79C8F0DC" w14:textId="77777777" w:rsidR="004235DB" w:rsidRPr="006B4444" w:rsidRDefault="004235DB" w:rsidP="002F5696">
      <w:pPr>
        <w:shd w:val="clear" w:color="auto" w:fill="FFFFFF"/>
        <w:spacing w:line="360" w:lineRule="auto"/>
        <w:jc w:val="both"/>
        <w:rPr>
          <w:rFonts w:ascii="Book Antiqua" w:hAnsi="Book Antiqua"/>
          <w:lang w:val="en-US"/>
        </w:rPr>
      </w:pPr>
    </w:p>
    <w:p w14:paraId="33975889" w14:textId="77777777" w:rsidR="00816D6D" w:rsidRPr="006B4444" w:rsidRDefault="00816D6D" w:rsidP="002F5696">
      <w:pPr>
        <w:autoSpaceDE w:val="0"/>
        <w:autoSpaceDN w:val="0"/>
        <w:adjustRightInd w:val="0"/>
        <w:spacing w:line="360" w:lineRule="auto"/>
        <w:jc w:val="both"/>
        <w:rPr>
          <w:rFonts w:ascii="Book Antiqua" w:hAnsi="Book Antiqua"/>
          <w:b/>
          <w:i/>
          <w:lang w:val="en-US"/>
        </w:rPr>
      </w:pPr>
      <w:r w:rsidRPr="006B4444">
        <w:rPr>
          <w:rFonts w:ascii="Book Antiqua" w:hAnsi="Book Antiqua"/>
          <w:b/>
          <w:i/>
          <w:lang w:val="en-US"/>
        </w:rPr>
        <w:t>Corticosteroids</w:t>
      </w:r>
    </w:p>
    <w:p w14:paraId="502C5AA8" w14:textId="618EF5BA" w:rsidR="00816D6D" w:rsidRPr="006B4444" w:rsidRDefault="00816D6D" w:rsidP="002F5696">
      <w:pPr>
        <w:autoSpaceDE w:val="0"/>
        <w:autoSpaceDN w:val="0"/>
        <w:adjustRightInd w:val="0"/>
        <w:spacing w:line="360" w:lineRule="auto"/>
        <w:jc w:val="both"/>
        <w:rPr>
          <w:rFonts w:ascii="Book Antiqua" w:hAnsi="Book Antiqua"/>
          <w:lang w:val="en-US"/>
        </w:rPr>
      </w:pPr>
      <w:r w:rsidRPr="006B4444">
        <w:rPr>
          <w:rFonts w:ascii="Book Antiqua" w:hAnsi="Book Antiqua"/>
          <w:lang w:val="en-US"/>
        </w:rPr>
        <w:t xml:space="preserve">The evidence that corticosteroids may enhance HBV replication was first reported by Sagnelli </w:t>
      </w:r>
      <w:r w:rsidRPr="006B4444">
        <w:rPr>
          <w:rFonts w:ascii="Book Antiqua" w:hAnsi="Book Antiqua"/>
          <w:i/>
          <w:lang w:val="en-US"/>
        </w:rPr>
        <w:t xml:space="preserve">et </w:t>
      </w:r>
      <w:proofErr w:type="gramStart"/>
      <w:r w:rsidRPr="006B4444">
        <w:rPr>
          <w:rFonts w:ascii="Book Antiqua" w:hAnsi="Book Antiqua"/>
          <w:i/>
          <w:lang w:val="en-US"/>
        </w:rPr>
        <w:t>al</w:t>
      </w:r>
      <w:r w:rsidRPr="006B4444">
        <w:rPr>
          <w:rFonts w:ascii="Book Antiqua" w:hAnsi="Book Antiqua"/>
          <w:vertAlign w:val="superscript"/>
          <w:lang w:val="en-US"/>
        </w:rPr>
        <w:t>[</w:t>
      </w:r>
      <w:bookmarkStart w:id="37" w:name="_Hlk8380043"/>
      <w:proofErr w:type="gramEnd"/>
      <w:r w:rsidR="00FD2332" w:rsidRPr="006B4444">
        <w:rPr>
          <w:rFonts w:ascii="Book Antiqua" w:hAnsi="Book Antiqua"/>
          <w:vertAlign w:val="superscript"/>
          <w:lang w:val="en-US"/>
        </w:rPr>
        <w:t>93</w:t>
      </w:r>
      <w:bookmarkEnd w:id="37"/>
      <w:r w:rsidRPr="006B4444">
        <w:rPr>
          <w:rFonts w:ascii="Book Antiqua" w:hAnsi="Book Antiqua"/>
          <w:vertAlign w:val="superscript"/>
          <w:lang w:val="en-US"/>
        </w:rPr>
        <w:t>]</w:t>
      </w:r>
      <w:r w:rsidRPr="006B4444">
        <w:rPr>
          <w:rFonts w:ascii="Book Antiqua" w:hAnsi="Book Antiqua"/>
          <w:lang w:val="en-US"/>
        </w:rPr>
        <w:t xml:space="preserve"> in 1980 and subsequently confirmed in several other investigations. More recently a glucocorticoid-responsive-transcription regulatory element has been identified in HBV genome which, up-regulated by corticosteroids, may induce increased viral replication and a direct suppressive effect on cytotoxic T cells involved in HBV </w:t>
      </w:r>
      <w:proofErr w:type="gramStart"/>
      <w:r w:rsidRPr="006B4444">
        <w:rPr>
          <w:rFonts w:ascii="Book Antiqua" w:hAnsi="Book Antiqua"/>
          <w:lang w:val="en-US"/>
        </w:rPr>
        <w:t>control</w:t>
      </w:r>
      <w:r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94</w:t>
      </w:r>
      <w:r w:rsidRPr="006B4444">
        <w:rPr>
          <w:rFonts w:ascii="Book Antiqua" w:hAnsi="Book Antiqua"/>
          <w:vertAlign w:val="superscript"/>
          <w:lang w:val="en-US"/>
        </w:rPr>
        <w:t>]</w:t>
      </w:r>
      <w:r w:rsidRPr="006B4444">
        <w:rPr>
          <w:rFonts w:ascii="Book Antiqua" w:hAnsi="Book Antiqua"/>
          <w:lang w:val="en-US"/>
        </w:rPr>
        <w:t xml:space="preserve">. Corticosteroids are often associated with other chemotherapy agents in patients with hemato-oncologic disorders, with an additive deleterious effect. To better understand the role of corticosteroids in such associations, </w:t>
      </w:r>
      <w:r w:rsidR="0026490F" w:rsidRPr="006B4444">
        <w:rPr>
          <w:rFonts w:ascii="Book Antiqua" w:hAnsi="Book Antiqua"/>
          <w:lang w:val="en-US"/>
        </w:rPr>
        <w:t xml:space="preserve">50 </w:t>
      </w:r>
      <w:r w:rsidR="004235DB" w:rsidRPr="006B4444">
        <w:rPr>
          <w:rFonts w:ascii="Book Antiqua" w:hAnsi="Book Antiqua"/>
          <w:lang w:val="en-US"/>
        </w:rPr>
        <w:t>NHL</w:t>
      </w:r>
      <w:r w:rsidR="0026490F" w:rsidRPr="006B4444">
        <w:rPr>
          <w:rFonts w:ascii="Book Antiqua" w:hAnsi="Book Antiqua"/>
          <w:lang w:val="en-US"/>
        </w:rPr>
        <w:t xml:space="preserve"> patients with HBsAg-positive underwent chemotherapy regimens had an higher incidence of HBV acute exacerbation than patients treed with </w:t>
      </w:r>
      <w:r w:rsidR="0026490F" w:rsidRPr="006B4444">
        <w:rPr>
          <w:rFonts w:ascii="Book Antiqua" w:hAnsi="Book Antiqua"/>
          <w:strike/>
          <w:lang w:val="en-US"/>
        </w:rPr>
        <w:t>with</w:t>
      </w:r>
      <w:r w:rsidR="0026490F" w:rsidRPr="006B4444">
        <w:rPr>
          <w:rFonts w:ascii="Book Antiqua" w:hAnsi="Book Antiqua"/>
          <w:lang w:val="en-US"/>
        </w:rPr>
        <w:t xml:space="preserve"> </w:t>
      </w:r>
      <w:proofErr w:type="gramStart"/>
      <w:r w:rsidRPr="006B4444">
        <w:rPr>
          <w:rFonts w:ascii="Book Antiqua" w:hAnsi="Book Antiqua"/>
          <w:lang w:val="en-US"/>
        </w:rPr>
        <w:t>corticosteroid</w:t>
      </w:r>
      <w:r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95</w:t>
      </w:r>
      <w:r w:rsidRPr="006B4444">
        <w:rPr>
          <w:rFonts w:ascii="Book Antiqua" w:hAnsi="Book Antiqua"/>
          <w:vertAlign w:val="superscript"/>
          <w:lang w:val="en-US"/>
        </w:rPr>
        <w:t>]</w:t>
      </w:r>
      <w:r w:rsidRPr="006B4444">
        <w:rPr>
          <w:rFonts w:ascii="Book Antiqua" w:hAnsi="Book Antiqua"/>
          <w:lang w:val="en-US"/>
        </w:rPr>
        <w:t xml:space="preserve">. </w:t>
      </w:r>
    </w:p>
    <w:p w14:paraId="3EB909B1" w14:textId="77777777" w:rsidR="004235DB" w:rsidRPr="006B4444" w:rsidRDefault="004235DB" w:rsidP="002F5696">
      <w:pPr>
        <w:autoSpaceDE w:val="0"/>
        <w:autoSpaceDN w:val="0"/>
        <w:adjustRightInd w:val="0"/>
        <w:spacing w:line="360" w:lineRule="auto"/>
        <w:jc w:val="both"/>
        <w:rPr>
          <w:rFonts w:ascii="Book Antiqua" w:hAnsi="Book Antiqua"/>
          <w:lang w:val="en-US"/>
        </w:rPr>
      </w:pPr>
    </w:p>
    <w:p w14:paraId="509ED109" w14:textId="77777777" w:rsidR="00816D6D" w:rsidRPr="006B4444" w:rsidRDefault="00816D6D" w:rsidP="002F5696">
      <w:pPr>
        <w:autoSpaceDE w:val="0"/>
        <w:autoSpaceDN w:val="0"/>
        <w:adjustRightInd w:val="0"/>
        <w:spacing w:line="360" w:lineRule="auto"/>
        <w:jc w:val="both"/>
        <w:rPr>
          <w:rFonts w:ascii="Book Antiqua" w:hAnsi="Book Antiqua"/>
          <w:b/>
          <w:i/>
          <w:lang w:val="en-US"/>
        </w:rPr>
      </w:pPr>
      <w:r w:rsidRPr="006B4444">
        <w:rPr>
          <w:rFonts w:ascii="Book Antiqua" w:hAnsi="Book Antiqua"/>
          <w:b/>
          <w:i/>
          <w:lang w:val="en-US"/>
        </w:rPr>
        <w:t>Monoclonal antibodies</w:t>
      </w:r>
    </w:p>
    <w:p w14:paraId="1A84DF3A" w14:textId="6D551827" w:rsidR="00356F4E" w:rsidRPr="006B4444" w:rsidRDefault="00816D6D" w:rsidP="004235DB">
      <w:pPr>
        <w:autoSpaceDE w:val="0"/>
        <w:autoSpaceDN w:val="0"/>
        <w:adjustRightInd w:val="0"/>
        <w:spacing w:line="360" w:lineRule="auto"/>
        <w:jc w:val="both"/>
        <w:rPr>
          <w:rFonts w:ascii="Book Antiqua" w:hAnsi="Book Antiqua"/>
          <w:strike/>
          <w:lang w:val="en-US"/>
        </w:rPr>
      </w:pPr>
      <w:r w:rsidRPr="006B4444">
        <w:rPr>
          <w:rFonts w:ascii="Book Antiqua" w:hAnsi="Book Antiqua"/>
          <w:lang w:val="en-US"/>
        </w:rPr>
        <w:lastRenderedPageBreak/>
        <w:t xml:space="preserve">Treatment of onco-hematologic diseases with monoclonal antibodies in patients with overt or occult HBV infection is associated with the risk of viral reactivation, which may induce severe or fatal hepatic </w:t>
      </w:r>
      <w:proofErr w:type="gramStart"/>
      <w:r w:rsidRPr="006B4444">
        <w:rPr>
          <w:rFonts w:ascii="Book Antiqua" w:hAnsi="Book Antiqua"/>
          <w:lang w:val="en-US"/>
        </w:rPr>
        <w:t>failure</w:t>
      </w:r>
      <w:bookmarkStart w:id="38" w:name="_Hlk8380069"/>
      <w:r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96</w:t>
      </w:r>
      <w:r w:rsidRPr="006B4444">
        <w:rPr>
          <w:rFonts w:ascii="Book Antiqua" w:hAnsi="Book Antiqua"/>
          <w:vertAlign w:val="superscript"/>
          <w:lang w:val="en-US"/>
        </w:rPr>
        <w:t>]</w:t>
      </w:r>
      <w:r w:rsidRPr="006B4444">
        <w:rPr>
          <w:rFonts w:ascii="Book Antiqua" w:hAnsi="Book Antiqua"/>
          <w:lang w:val="en-US"/>
        </w:rPr>
        <w:t xml:space="preserve">. </w:t>
      </w:r>
      <w:bookmarkEnd w:id="38"/>
      <w:r w:rsidRPr="006B4444">
        <w:rPr>
          <w:rFonts w:ascii="Book Antiqua" w:hAnsi="Book Antiqua"/>
          <w:lang w:val="en-US"/>
        </w:rPr>
        <w:t xml:space="preserve">This risk is particularly high when HBsAg-positive patients are treated with anti CD20 antibodies, such as rituximab, ofatumumab and </w:t>
      </w:r>
      <w:bookmarkStart w:id="39" w:name="OLE_LINK860"/>
      <w:r w:rsidRPr="006B4444">
        <w:rPr>
          <w:rFonts w:ascii="Book Antiqua" w:hAnsi="Book Antiqua"/>
          <w:lang w:val="en-US"/>
        </w:rPr>
        <w:t>obinutuzumab</w:t>
      </w:r>
      <w:bookmarkEnd w:id="39"/>
      <w:r w:rsidRPr="006B4444">
        <w:rPr>
          <w:rFonts w:ascii="Book Antiqua" w:hAnsi="Book Antiqua"/>
          <w:lang w:val="en-US"/>
        </w:rPr>
        <w:t>, commonly used to treat B-cell malignancies</w:t>
      </w:r>
      <w:r w:rsidR="00330DD6" w:rsidRPr="006B4444">
        <w:rPr>
          <w:rFonts w:ascii="Book Antiqua" w:hAnsi="Book Antiqua"/>
          <w:lang w:val="en-US"/>
        </w:rPr>
        <w:t xml:space="preserve"> </w:t>
      </w:r>
      <w:r w:rsidR="00E962B5" w:rsidRPr="006B4444">
        <w:rPr>
          <w:rFonts w:ascii="Book Antiqua" w:hAnsi="Book Antiqua"/>
          <w:lang w:val="en-US"/>
        </w:rPr>
        <w:t>due to the effective elimination of B cells from blood, lymphatic system and bone marrow,</w:t>
      </w:r>
      <w:r w:rsidRPr="006B4444">
        <w:rPr>
          <w:rFonts w:ascii="Book Antiqua" w:hAnsi="Book Antiqua"/>
          <w:lang w:val="en-US"/>
        </w:rPr>
        <w:t xml:space="preserve"> </w:t>
      </w:r>
      <w:r w:rsidR="005225B2" w:rsidRPr="006B4444">
        <w:rPr>
          <w:rFonts w:ascii="Book Antiqua" w:hAnsi="Book Antiqua"/>
          <w:lang w:val="en-US"/>
        </w:rPr>
        <w:t xml:space="preserve">which </w:t>
      </w:r>
      <w:r w:rsidRPr="006B4444">
        <w:rPr>
          <w:rFonts w:ascii="Book Antiqua" w:hAnsi="Book Antiqua"/>
          <w:lang w:val="en-US"/>
        </w:rPr>
        <w:t>may induce</w:t>
      </w:r>
      <w:r w:rsidR="005225B2" w:rsidRPr="006B4444">
        <w:rPr>
          <w:rFonts w:ascii="Book Antiqua" w:hAnsi="Book Antiqua"/>
          <w:lang w:val="en-US"/>
        </w:rPr>
        <w:t xml:space="preserve"> HBV</w:t>
      </w:r>
      <w:r w:rsidRPr="006B4444">
        <w:rPr>
          <w:rFonts w:ascii="Book Antiqua" w:hAnsi="Book Antiqua"/>
          <w:color w:val="FF0000"/>
          <w:lang w:val="en-US"/>
        </w:rPr>
        <w:t xml:space="preserve"> </w:t>
      </w:r>
      <w:r w:rsidRPr="006B4444">
        <w:rPr>
          <w:rFonts w:ascii="Book Antiqua" w:hAnsi="Book Antiqua"/>
          <w:lang w:val="en-US"/>
        </w:rPr>
        <w:t xml:space="preserve">reactivation in </w:t>
      </w:r>
      <w:r w:rsidR="00606798" w:rsidRPr="006B4444">
        <w:rPr>
          <w:rFonts w:ascii="Book Antiqua" w:hAnsi="Book Antiqua"/>
          <w:lang w:val="en-US"/>
        </w:rPr>
        <w:t>16.9</w:t>
      </w:r>
      <w:r w:rsidRPr="006B4444">
        <w:rPr>
          <w:rFonts w:ascii="Book Antiqua" w:hAnsi="Book Antiqua"/>
          <w:lang w:val="en-US"/>
        </w:rPr>
        <w:t>% of treated cases</w:t>
      </w:r>
      <w:r w:rsidR="00C70155" w:rsidRPr="006B4444">
        <w:rPr>
          <w:rFonts w:ascii="Book Antiqua" w:hAnsi="Book Antiqua"/>
          <w:lang w:val="en-US"/>
        </w:rPr>
        <w:t xml:space="preserve"> with </w:t>
      </w:r>
      <w:proofErr w:type="gramStart"/>
      <w:r w:rsidR="00C70155" w:rsidRPr="006B4444">
        <w:rPr>
          <w:rFonts w:ascii="Book Antiqua" w:hAnsi="Book Antiqua"/>
          <w:lang w:val="en-US"/>
        </w:rPr>
        <w:t>rituximab</w:t>
      </w:r>
      <w:r w:rsidR="00E962B5" w:rsidRPr="006B4444">
        <w:rPr>
          <w:rFonts w:ascii="Book Antiqua" w:hAnsi="Book Antiqua"/>
          <w:vertAlign w:val="superscript"/>
          <w:lang w:val="en-US"/>
        </w:rPr>
        <w:t>[</w:t>
      </w:r>
      <w:proofErr w:type="gramEnd"/>
      <w:r w:rsidR="00E962B5" w:rsidRPr="006B4444">
        <w:rPr>
          <w:rFonts w:ascii="Book Antiqua" w:hAnsi="Book Antiqua"/>
          <w:vertAlign w:val="superscript"/>
          <w:lang w:val="en-US"/>
        </w:rPr>
        <w:t>97]</w:t>
      </w:r>
      <w:r w:rsidR="00E962B5" w:rsidRPr="006B4444">
        <w:rPr>
          <w:rFonts w:ascii="Book Antiqua" w:hAnsi="Book Antiqua"/>
          <w:lang w:val="en-US"/>
        </w:rPr>
        <w:t xml:space="preserve">. </w:t>
      </w:r>
      <w:r w:rsidRPr="006B4444">
        <w:rPr>
          <w:rFonts w:ascii="Book Antiqua" w:hAnsi="Book Antiqua"/>
          <w:lang w:val="en-US"/>
        </w:rPr>
        <w:t xml:space="preserve">Patients with occult HBV infection have a lesser risk of HBV reactivation, which occurs in about 8% of </w:t>
      </w:r>
      <w:proofErr w:type="gramStart"/>
      <w:r w:rsidRPr="006B4444">
        <w:rPr>
          <w:rFonts w:ascii="Book Antiqua" w:hAnsi="Book Antiqua"/>
          <w:lang w:val="en-US"/>
        </w:rPr>
        <w:t>cases</w:t>
      </w:r>
      <w:r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98</w:t>
      </w:r>
      <w:r w:rsidRPr="006B4444">
        <w:rPr>
          <w:rFonts w:ascii="Book Antiqua" w:hAnsi="Book Antiqua"/>
          <w:vertAlign w:val="superscript"/>
          <w:lang w:val="en-US"/>
        </w:rPr>
        <w:t>]</w:t>
      </w:r>
      <w:r w:rsidRPr="006B4444">
        <w:rPr>
          <w:rFonts w:ascii="Book Antiqua" w:hAnsi="Book Antiqua"/>
          <w:lang w:val="en-US"/>
        </w:rPr>
        <w:t>.</w:t>
      </w:r>
      <w:r w:rsidR="00F80B02" w:rsidRPr="006B4444">
        <w:rPr>
          <w:rFonts w:ascii="Book Antiqua" w:hAnsi="Book Antiqua"/>
          <w:lang w:val="en-US"/>
        </w:rPr>
        <w:t xml:space="preserve"> </w:t>
      </w:r>
      <w:r w:rsidR="00356F4E" w:rsidRPr="006B4444">
        <w:rPr>
          <w:rFonts w:ascii="Book Antiqua" w:hAnsi="Book Antiqua"/>
          <w:lang w:val="en-US"/>
        </w:rPr>
        <w:t xml:space="preserve">In this context, subjects with occult HBV infection positive </w:t>
      </w:r>
      <w:r w:rsidR="000D13A6" w:rsidRPr="006B4444">
        <w:rPr>
          <w:rFonts w:ascii="Book Antiqua" w:hAnsi="Book Antiqua"/>
          <w:lang w:val="en-US"/>
        </w:rPr>
        <w:t xml:space="preserve">with </w:t>
      </w:r>
      <w:r w:rsidR="00356F4E" w:rsidRPr="006B4444">
        <w:rPr>
          <w:rFonts w:ascii="Book Antiqua" w:hAnsi="Book Antiqua"/>
          <w:lang w:val="en-US"/>
        </w:rPr>
        <w:t>anti-HBc and anti-HBs show a reduced risk of HBV reactivation, due to a protective role of anti-</w:t>
      </w:r>
      <w:proofErr w:type="gramStart"/>
      <w:r w:rsidR="00356F4E" w:rsidRPr="006B4444">
        <w:rPr>
          <w:rFonts w:ascii="Book Antiqua" w:hAnsi="Book Antiqua"/>
          <w:lang w:val="en-US"/>
        </w:rPr>
        <w:t>HBs</w:t>
      </w:r>
      <w:r w:rsidR="00356F4E" w:rsidRPr="006B4444">
        <w:rPr>
          <w:rFonts w:ascii="Book Antiqua" w:hAnsi="Book Antiqua"/>
          <w:vertAlign w:val="superscript"/>
          <w:lang w:val="en-US"/>
        </w:rPr>
        <w:t>[</w:t>
      </w:r>
      <w:proofErr w:type="gramEnd"/>
      <w:r w:rsidR="00356F4E" w:rsidRPr="006B4444">
        <w:rPr>
          <w:rFonts w:ascii="Book Antiqua" w:hAnsi="Book Antiqua"/>
          <w:vertAlign w:val="superscript"/>
          <w:lang w:val="en-US"/>
        </w:rPr>
        <w:t>99]</w:t>
      </w:r>
      <w:r w:rsidR="00356F4E" w:rsidRPr="006B4444">
        <w:rPr>
          <w:rFonts w:ascii="Book Antiqua" w:hAnsi="Book Antiqua"/>
          <w:lang w:val="en-US"/>
        </w:rPr>
        <w:t xml:space="preserve">. </w:t>
      </w:r>
      <w:proofErr w:type="gramStart"/>
      <w:r w:rsidR="00356F4E" w:rsidRPr="006B4444">
        <w:rPr>
          <w:rFonts w:ascii="Book Antiqua" w:hAnsi="Book Antiqua"/>
          <w:lang w:val="en-US"/>
        </w:rPr>
        <w:t>HBV-reactivation occurring more than two years after the use of rituximab.</w:t>
      </w:r>
      <w:proofErr w:type="gramEnd"/>
      <w:r w:rsidR="00356F4E" w:rsidRPr="006B4444">
        <w:rPr>
          <w:rFonts w:ascii="Book Antiqua" w:hAnsi="Book Antiqua"/>
          <w:lang w:val="en-US"/>
        </w:rPr>
        <w:t xml:space="preserve"> </w:t>
      </w:r>
    </w:p>
    <w:p w14:paraId="6866ED77" w14:textId="77777777" w:rsidR="004235DB" w:rsidRPr="006B4444" w:rsidRDefault="00816D6D" w:rsidP="004235DB">
      <w:pPr>
        <w:autoSpaceDE w:val="0"/>
        <w:autoSpaceDN w:val="0"/>
        <w:adjustRightInd w:val="0"/>
        <w:spacing w:line="360" w:lineRule="auto"/>
        <w:ind w:firstLineChars="100" w:firstLine="240"/>
        <w:jc w:val="both"/>
        <w:rPr>
          <w:rFonts w:ascii="Book Antiqua" w:hAnsi="Book Antiqua"/>
          <w:lang w:val="en-US"/>
        </w:rPr>
      </w:pPr>
      <w:r w:rsidRPr="006B4444">
        <w:rPr>
          <w:rFonts w:ascii="Book Antiqua" w:hAnsi="Book Antiqua"/>
          <w:lang w:val="en-US"/>
        </w:rPr>
        <w:t xml:space="preserve">Alemtuzumab, a monoclonal antibody against CD52 used for refractory chronic lymphocytic leukemia (CLL) caused reverse HBsAg seroconversion and symptomatic reactivation in patients with occult HBV </w:t>
      </w:r>
      <w:proofErr w:type="gramStart"/>
      <w:r w:rsidRPr="006B4444">
        <w:rPr>
          <w:rFonts w:ascii="Book Antiqua" w:hAnsi="Book Antiqua"/>
          <w:lang w:val="en-US"/>
        </w:rPr>
        <w:t>infection</w:t>
      </w:r>
      <w:r w:rsidR="00BA18BC"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100</w:t>
      </w:r>
      <w:r w:rsidR="00BA18BC" w:rsidRPr="006B4444">
        <w:rPr>
          <w:rFonts w:ascii="Book Antiqua" w:hAnsi="Book Antiqua"/>
          <w:vertAlign w:val="superscript"/>
          <w:lang w:val="en-US"/>
        </w:rPr>
        <w:t>]</w:t>
      </w:r>
      <w:r w:rsidRPr="006B4444">
        <w:rPr>
          <w:rFonts w:ascii="Book Antiqua" w:hAnsi="Book Antiqua"/>
          <w:lang w:val="en-US"/>
        </w:rPr>
        <w:t xml:space="preserve">. This event was observed even for newer monoclonal antibodies, namely mogamulizumab, a treatment for T-cell lymphoma, and brentuximab </w:t>
      </w:r>
      <w:bookmarkStart w:id="40" w:name="OLE_LINK861"/>
      <w:r w:rsidRPr="006B4444">
        <w:rPr>
          <w:rFonts w:ascii="Book Antiqua" w:hAnsi="Book Antiqua"/>
          <w:lang w:val="en-US"/>
        </w:rPr>
        <w:t>vedotin</w:t>
      </w:r>
      <w:bookmarkEnd w:id="40"/>
      <w:r w:rsidRPr="006B4444">
        <w:rPr>
          <w:rFonts w:ascii="Book Antiqua" w:hAnsi="Book Antiqua"/>
          <w:lang w:val="en-US"/>
        </w:rPr>
        <w:t xml:space="preserve">, used to treat Hodgkin’s </w:t>
      </w:r>
      <w:proofErr w:type="gramStart"/>
      <w:r w:rsidRPr="006B4444">
        <w:rPr>
          <w:rFonts w:ascii="Book Antiqua" w:hAnsi="Book Antiqua"/>
          <w:lang w:val="en-US"/>
        </w:rPr>
        <w:t>lymphoma</w:t>
      </w:r>
      <w:r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101,102</w:t>
      </w:r>
      <w:r w:rsidRPr="006B4444">
        <w:rPr>
          <w:rFonts w:ascii="Book Antiqua" w:hAnsi="Book Antiqua"/>
          <w:vertAlign w:val="superscript"/>
          <w:lang w:val="en-US"/>
        </w:rPr>
        <w:t>]</w:t>
      </w:r>
      <w:r w:rsidRPr="006B4444">
        <w:rPr>
          <w:rFonts w:ascii="Book Antiqua" w:hAnsi="Book Antiqua"/>
          <w:lang w:val="en-US"/>
        </w:rPr>
        <w:t>. Also Daratumumab, a monoclonal antibody against CD38, over-expressed in B-cell hematologic malignancies, may have the same potential effect, but no reports have emerged to date to this regard</w:t>
      </w:r>
    </w:p>
    <w:p w14:paraId="06044CC5" w14:textId="5AF9429B" w:rsidR="00816D6D" w:rsidRPr="006B4444" w:rsidRDefault="00816D6D" w:rsidP="004235DB">
      <w:pPr>
        <w:autoSpaceDE w:val="0"/>
        <w:autoSpaceDN w:val="0"/>
        <w:adjustRightInd w:val="0"/>
        <w:spacing w:line="360" w:lineRule="auto"/>
        <w:jc w:val="both"/>
        <w:rPr>
          <w:rFonts w:ascii="Book Antiqua" w:hAnsi="Book Antiqua"/>
          <w:lang w:val="en-US"/>
        </w:rPr>
      </w:pPr>
    </w:p>
    <w:p w14:paraId="6E01E47A" w14:textId="33AEFBA9" w:rsidR="00816D6D" w:rsidRPr="006B4444" w:rsidRDefault="004235DB" w:rsidP="002F5696">
      <w:pPr>
        <w:shd w:val="clear" w:color="auto" w:fill="FFFFFF"/>
        <w:spacing w:line="360" w:lineRule="auto"/>
        <w:jc w:val="both"/>
        <w:rPr>
          <w:rFonts w:ascii="Book Antiqua" w:hAnsi="Book Antiqua"/>
          <w:b/>
          <w:i/>
          <w:lang w:val="en-US"/>
        </w:rPr>
      </w:pPr>
      <w:r w:rsidRPr="006B4444">
        <w:rPr>
          <w:rFonts w:ascii="Book Antiqua" w:hAnsi="Book Antiqua"/>
          <w:b/>
          <w:i/>
          <w:lang w:val="en-US"/>
        </w:rPr>
        <w:t>New drugs</w:t>
      </w:r>
    </w:p>
    <w:p w14:paraId="59A6FE07" w14:textId="5A2D20EF" w:rsidR="00816D6D" w:rsidRPr="006B4444" w:rsidRDefault="00816D6D" w:rsidP="002F5696">
      <w:pPr>
        <w:shd w:val="clear" w:color="auto" w:fill="FFFFFF"/>
        <w:spacing w:line="360" w:lineRule="auto"/>
        <w:jc w:val="both"/>
        <w:rPr>
          <w:rFonts w:ascii="Book Antiqua" w:hAnsi="Book Antiqua"/>
          <w:lang w:val="en-US"/>
        </w:rPr>
      </w:pPr>
      <w:r w:rsidRPr="006B4444">
        <w:rPr>
          <w:rFonts w:ascii="Book Antiqua" w:hAnsi="Book Antiqua"/>
          <w:lang w:val="en-US"/>
        </w:rPr>
        <w:t xml:space="preserve">Attention should be paid to the risk of HBV reactivation in the new treatment regimens for multiple myeloma and CLL, since published data on the topic are scanty. Tyrosine kinase inhibitors such as imatinib and nilotinib are used for effective immunosuppressive action, which, however, implies the possibility of HBV </w:t>
      </w:r>
      <w:proofErr w:type="gramStart"/>
      <w:r w:rsidRPr="006B4444">
        <w:rPr>
          <w:rFonts w:ascii="Book Antiqua" w:hAnsi="Book Antiqua"/>
          <w:lang w:val="en-US"/>
        </w:rPr>
        <w:t>reactivation</w:t>
      </w:r>
      <w:r w:rsidR="00176FE8"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103</w:t>
      </w:r>
      <w:r w:rsidRPr="006B4444">
        <w:rPr>
          <w:rFonts w:ascii="Book Antiqua" w:hAnsi="Book Antiqua"/>
          <w:vertAlign w:val="superscript"/>
          <w:lang w:val="en-US"/>
        </w:rPr>
        <w:t>]</w:t>
      </w:r>
      <w:r w:rsidRPr="006B4444">
        <w:rPr>
          <w:rFonts w:ascii="Book Antiqua" w:hAnsi="Book Antiqua"/>
          <w:lang w:val="en-US"/>
        </w:rPr>
        <w:t xml:space="preserve">. </w:t>
      </w:r>
    </w:p>
    <w:p w14:paraId="1F1B622D" w14:textId="748C71DF" w:rsidR="007E7725" w:rsidRPr="006B4444" w:rsidRDefault="007E7725" w:rsidP="004235DB">
      <w:pPr>
        <w:shd w:val="clear" w:color="auto" w:fill="FFFFFF"/>
        <w:spacing w:line="360" w:lineRule="auto"/>
        <w:ind w:firstLineChars="100" w:firstLine="240"/>
        <w:jc w:val="both"/>
        <w:rPr>
          <w:rFonts w:ascii="Book Antiqua" w:hAnsi="Book Antiqua"/>
          <w:strike/>
          <w:lang w:val="en-US"/>
        </w:rPr>
      </w:pPr>
      <w:r w:rsidRPr="006B4444">
        <w:rPr>
          <w:rFonts w:ascii="Book Antiqua" w:hAnsi="Book Antiqua"/>
          <w:lang w:val="en-US"/>
        </w:rPr>
        <w:t xml:space="preserve">Idelalisib (PI3K tyrosine kinase inhibitor), brutinib (bruton tyrosine kinase inhibitor) used to treat CLL and certain NHLs, have been found to be responsible for cases of HBV reactivation. Similar observations have been made for ruxolitinib (inhibitor of Janus-activated kinases-JAK) used to treat myelofibrosism, and for bortezomib (proteasome inhibitor) in multiple </w:t>
      </w:r>
      <w:proofErr w:type="gramStart"/>
      <w:r w:rsidRPr="006B4444">
        <w:rPr>
          <w:rFonts w:ascii="Book Antiqua" w:hAnsi="Book Antiqua"/>
          <w:lang w:val="en-US"/>
        </w:rPr>
        <w:t>myeloma</w:t>
      </w:r>
      <w:r w:rsidRPr="006B4444">
        <w:rPr>
          <w:rFonts w:ascii="Book Antiqua" w:hAnsi="Book Antiqua"/>
          <w:vertAlign w:val="superscript"/>
          <w:lang w:val="en-US"/>
        </w:rPr>
        <w:t>[</w:t>
      </w:r>
      <w:proofErr w:type="gramEnd"/>
      <w:r w:rsidRPr="006B4444">
        <w:rPr>
          <w:rFonts w:ascii="Book Antiqua" w:hAnsi="Book Antiqua"/>
          <w:vertAlign w:val="superscript"/>
          <w:lang w:val="en-US"/>
        </w:rPr>
        <w:t>104,105]</w:t>
      </w:r>
      <w:r w:rsidRPr="006B4444">
        <w:rPr>
          <w:rFonts w:ascii="Book Antiqua" w:hAnsi="Book Antiqua"/>
          <w:lang w:val="en-US"/>
        </w:rPr>
        <w:t xml:space="preserve">. </w:t>
      </w:r>
    </w:p>
    <w:p w14:paraId="2E208696" w14:textId="050AFF21" w:rsidR="00816D6D" w:rsidRPr="006B4444" w:rsidRDefault="00816D6D" w:rsidP="004235DB">
      <w:pPr>
        <w:shd w:val="clear" w:color="auto" w:fill="FFFFFF"/>
        <w:spacing w:line="360" w:lineRule="auto"/>
        <w:ind w:firstLineChars="100" w:firstLine="240"/>
        <w:jc w:val="both"/>
        <w:rPr>
          <w:rFonts w:ascii="Book Antiqua" w:hAnsi="Book Antiqua"/>
          <w:lang w:val="en-US"/>
        </w:rPr>
      </w:pPr>
      <w:r w:rsidRPr="006B4444">
        <w:rPr>
          <w:rFonts w:ascii="Book Antiqua" w:hAnsi="Book Antiqua"/>
          <w:lang w:val="en-US"/>
        </w:rPr>
        <w:t xml:space="preserve">Venetoclax, a small molecule inhibitor of BCL-2 used in refractory cases of CLL may have a potential risk of HBV reactivation, but no case has been signaled to date. The same consideration also applies to azacitidine and decitabine, hypomethylating agents used to treat acute myeloid leukemia. </w:t>
      </w:r>
    </w:p>
    <w:p w14:paraId="56F04E75" w14:textId="5B2557EB" w:rsidR="0099370C" w:rsidRPr="006B4444" w:rsidRDefault="0099370C" w:rsidP="004235DB">
      <w:pPr>
        <w:autoSpaceDE w:val="0"/>
        <w:autoSpaceDN w:val="0"/>
        <w:adjustRightInd w:val="0"/>
        <w:spacing w:line="360" w:lineRule="auto"/>
        <w:ind w:firstLineChars="100" w:firstLine="240"/>
        <w:jc w:val="both"/>
        <w:rPr>
          <w:rFonts w:ascii="Book Antiqua" w:hAnsi="Book Antiqua"/>
          <w:lang w:val="en-GB"/>
        </w:rPr>
      </w:pPr>
      <w:r w:rsidRPr="006B4444">
        <w:rPr>
          <w:rFonts w:ascii="Book Antiqua" w:hAnsi="Book Antiqua"/>
          <w:lang w:val="en-US"/>
        </w:rPr>
        <w:t>It has also been suggested that treatment of cancer with</w:t>
      </w:r>
      <w:r w:rsidRPr="006B4444">
        <w:rPr>
          <w:rFonts w:ascii="Book Antiqua" w:hAnsi="Book Antiqua"/>
          <w:lang w:val="en-GB"/>
        </w:rPr>
        <w:t xml:space="preserve"> antibody</w:t>
      </w:r>
      <w:r w:rsidRPr="006B4444">
        <w:rPr>
          <w:rFonts w:ascii="Book Antiqua" w:hAnsi="Book Antiqua"/>
          <w:lang w:val="en-US"/>
        </w:rPr>
        <w:t xml:space="preserve"> i</w:t>
      </w:r>
      <w:r w:rsidRPr="006B4444">
        <w:rPr>
          <w:rFonts w:ascii="Book Antiqua" w:hAnsi="Book Antiqua"/>
          <w:lang w:val="en-GB"/>
        </w:rPr>
        <w:t>mmun</w:t>
      </w:r>
      <w:r w:rsidR="004235DB" w:rsidRPr="006B4444">
        <w:rPr>
          <w:rFonts w:ascii="Book Antiqua" w:hAnsi="Book Antiqua"/>
          <w:lang w:val="en-GB"/>
        </w:rPr>
        <w:t>e</w:t>
      </w:r>
      <w:r w:rsidRPr="006B4444">
        <w:rPr>
          <w:rFonts w:ascii="Book Antiqua" w:hAnsi="Book Antiqua"/>
          <w:lang w:val="en-GB"/>
        </w:rPr>
        <w:t xml:space="preserve"> checkpoint inhibitors (anti-CTLA4 </w:t>
      </w:r>
      <w:r w:rsidR="00C9183A" w:rsidRPr="006B4444">
        <w:rPr>
          <w:rFonts w:ascii="Book Antiqua" w:hAnsi="Book Antiqua"/>
          <w:lang w:val="en-GB"/>
        </w:rPr>
        <w:t xml:space="preserve">tremelumab and </w:t>
      </w:r>
      <w:r w:rsidRPr="006B4444">
        <w:rPr>
          <w:rFonts w:ascii="Book Antiqua" w:hAnsi="Book Antiqua"/>
          <w:lang w:val="en-GB"/>
        </w:rPr>
        <w:t>ipilimumab</w:t>
      </w:r>
      <w:r w:rsidR="00C9183A" w:rsidRPr="006B4444">
        <w:rPr>
          <w:rFonts w:ascii="Book Antiqua" w:hAnsi="Book Antiqua"/>
          <w:lang w:val="en-GB"/>
        </w:rPr>
        <w:t>;</w:t>
      </w:r>
      <w:r w:rsidRPr="006B4444">
        <w:rPr>
          <w:rFonts w:ascii="Book Antiqua" w:hAnsi="Book Antiqua"/>
          <w:lang w:val="en-GB"/>
        </w:rPr>
        <w:t xml:space="preserve"> anti-PD-L1: </w:t>
      </w:r>
      <w:r w:rsidR="004235DB" w:rsidRPr="006B4444">
        <w:rPr>
          <w:rFonts w:ascii="Book Antiqua" w:hAnsi="Book Antiqua"/>
          <w:lang w:val="en-GB"/>
        </w:rPr>
        <w:t>N</w:t>
      </w:r>
      <w:r w:rsidRPr="006B4444">
        <w:rPr>
          <w:rFonts w:ascii="Book Antiqua" w:hAnsi="Book Antiqua"/>
          <w:lang w:val="en-GB"/>
        </w:rPr>
        <w:t xml:space="preserve">ivolumab and pembrolizumab; PD-L1: </w:t>
      </w:r>
      <w:r w:rsidRPr="006B4444">
        <w:rPr>
          <w:rFonts w:ascii="Book Antiqua" w:hAnsi="Book Antiqua"/>
          <w:lang w:val="en-GB"/>
        </w:rPr>
        <w:lastRenderedPageBreak/>
        <w:t xml:space="preserve">durvalumab, atezolizumab and avelumab) </w:t>
      </w:r>
      <w:r w:rsidRPr="006B4444">
        <w:rPr>
          <w:rFonts w:ascii="Book Antiqua" w:hAnsi="Book Antiqua"/>
          <w:lang w:val="en-US"/>
        </w:rPr>
        <w:t xml:space="preserve">is a risk factor for </w:t>
      </w:r>
      <w:r w:rsidRPr="006B4444">
        <w:rPr>
          <w:rFonts w:ascii="Book Antiqua" w:hAnsi="Book Antiqua"/>
          <w:lang w:val="en-GB"/>
        </w:rPr>
        <w:t xml:space="preserve">HBV reactivation, to be prevented by anti-HBV </w:t>
      </w:r>
      <w:proofErr w:type="gramStart"/>
      <w:r w:rsidRPr="006B4444">
        <w:rPr>
          <w:rFonts w:ascii="Book Antiqua" w:hAnsi="Book Antiqua"/>
          <w:lang w:val="en-GB"/>
        </w:rPr>
        <w:t>prophylaxis</w:t>
      </w:r>
      <w:r w:rsidRPr="006B4444">
        <w:rPr>
          <w:rFonts w:ascii="Book Antiqua" w:hAnsi="Book Antiqua"/>
          <w:vertAlign w:val="superscript"/>
          <w:lang w:val="en-GB"/>
        </w:rPr>
        <w:t>[</w:t>
      </w:r>
      <w:proofErr w:type="gramEnd"/>
      <w:r w:rsidR="005D48F0" w:rsidRPr="006B4444">
        <w:rPr>
          <w:rFonts w:ascii="Book Antiqua" w:hAnsi="Book Antiqua"/>
          <w:vertAlign w:val="superscript"/>
          <w:lang w:val="en-GB"/>
        </w:rPr>
        <w:t>67,</w:t>
      </w:r>
      <w:r w:rsidRPr="006B4444">
        <w:rPr>
          <w:rFonts w:ascii="Book Antiqua" w:hAnsi="Book Antiqua"/>
          <w:vertAlign w:val="superscript"/>
          <w:lang w:val="en-GB"/>
        </w:rPr>
        <w:t>106-109]</w:t>
      </w:r>
      <w:r w:rsidRPr="006B4444">
        <w:rPr>
          <w:rFonts w:ascii="Book Antiqua" w:hAnsi="Book Antiqua"/>
          <w:lang w:val="en-GB"/>
        </w:rPr>
        <w:t>.</w:t>
      </w:r>
    </w:p>
    <w:p w14:paraId="2735D31A" w14:textId="77777777" w:rsidR="0099370C" w:rsidRPr="006B4444" w:rsidRDefault="0099370C" w:rsidP="002F5696">
      <w:pPr>
        <w:shd w:val="clear" w:color="auto" w:fill="FFFFFF"/>
        <w:spacing w:line="360" w:lineRule="auto"/>
        <w:jc w:val="both"/>
        <w:rPr>
          <w:rFonts w:ascii="Book Antiqua" w:hAnsi="Book Antiqua"/>
          <w:lang w:val="en-GB"/>
        </w:rPr>
      </w:pPr>
    </w:p>
    <w:p w14:paraId="684BDAA7" w14:textId="14B9500D" w:rsidR="00C630E4" w:rsidRPr="006B4444" w:rsidRDefault="004235DB" w:rsidP="002F5696">
      <w:pPr>
        <w:widowControl w:val="0"/>
        <w:autoSpaceDE w:val="0"/>
        <w:autoSpaceDN w:val="0"/>
        <w:adjustRightInd w:val="0"/>
        <w:spacing w:line="360" w:lineRule="auto"/>
        <w:jc w:val="both"/>
        <w:rPr>
          <w:rFonts w:ascii="Book Antiqua" w:hAnsi="Book Antiqua"/>
          <w:b/>
          <w:lang w:val="en-US"/>
        </w:rPr>
      </w:pPr>
      <w:r w:rsidRPr="006B4444">
        <w:rPr>
          <w:rFonts w:ascii="Book Antiqua" w:hAnsi="Book Antiqua"/>
          <w:b/>
          <w:lang w:val="en-US"/>
        </w:rPr>
        <w:t>MANAGEMENT OF HBV REACTIVATION IN AN ONCO-HEMATOLOGICAL SETTING</w:t>
      </w:r>
    </w:p>
    <w:p w14:paraId="421A7B7B" w14:textId="069F6786" w:rsidR="004A3597" w:rsidRPr="006B4444" w:rsidRDefault="00816D6D" w:rsidP="004235DB">
      <w:pPr>
        <w:widowControl w:val="0"/>
        <w:autoSpaceDE w:val="0"/>
        <w:autoSpaceDN w:val="0"/>
        <w:adjustRightInd w:val="0"/>
        <w:spacing w:line="360" w:lineRule="auto"/>
        <w:jc w:val="both"/>
        <w:rPr>
          <w:rFonts w:ascii="Book Antiqua" w:hAnsi="Book Antiqua"/>
          <w:b/>
          <w:lang w:val="en-US"/>
        </w:rPr>
      </w:pPr>
      <w:r w:rsidRPr="006B4444">
        <w:rPr>
          <w:rFonts w:ascii="Book Antiqua" w:hAnsi="Book Antiqua"/>
          <w:lang w:val="en-US"/>
        </w:rPr>
        <w:t xml:space="preserve">Nucleo(t)side analogues should be administered to all patients with a high/moderate risk of HBV reactivation undergoing immunosuppressive therapy, as therapy to the HBsAg-positive (regardless of HBV DNA levels) and as prophylaxis to </w:t>
      </w:r>
      <w:r w:rsidR="00681BA6" w:rsidRPr="006B4444">
        <w:rPr>
          <w:rFonts w:ascii="Book Antiqua" w:hAnsi="Book Antiqua"/>
          <w:lang w:val="en-US"/>
        </w:rPr>
        <w:t xml:space="preserve">HBsAg-negative and anti-HBc-positive </w:t>
      </w:r>
      <w:r w:rsidRPr="006B4444">
        <w:rPr>
          <w:rFonts w:ascii="Book Antiqua" w:hAnsi="Book Antiqua"/>
          <w:lang w:val="en-US"/>
        </w:rPr>
        <w:t>cases</w:t>
      </w:r>
      <w:r w:rsidRPr="006B4444">
        <w:rPr>
          <w:rFonts w:ascii="Book Antiqua" w:hAnsi="Book Antiqua"/>
          <w:vertAlign w:val="superscript"/>
          <w:lang w:val="en-US"/>
        </w:rPr>
        <w:t>[51,</w:t>
      </w:r>
      <w:r w:rsidR="00FD2332" w:rsidRPr="006B4444">
        <w:rPr>
          <w:rFonts w:ascii="Book Antiqua" w:hAnsi="Book Antiqua"/>
          <w:vertAlign w:val="superscript"/>
          <w:lang w:val="en-US"/>
        </w:rPr>
        <w:t>88</w:t>
      </w:r>
      <w:r w:rsidRPr="006B4444">
        <w:rPr>
          <w:rFonts w:ascii="Book Antiqua" w:hAnsi="Book Antiqua"/>
          <w:vertAlign w:val="superscript"/>
          <w:lang w:val="en-US"/>
        </w:rPr>
        <w:t>]</w:t>
      </w:r>
      <w:r w:rsidRPr="006B4444">
        <w:rPr>
          <w:rFonts w:ascii="Book Antiqua" w:hAnsi="Book Antiqua"/>
          <w:lang w:val="en-US"/>
        </w:rPr>
        <w:t>.</w:t>
      </w:r>
      <w:r w:rsidR="004235DB" w:rsidRPr="006B4444">
        <w:rPr>
          <w:rFonts w:ascii="Book Antiqua" w:hAnsi="Book Antiqua"/>
          <w:b/>
          <w:lang w:val="en-US" w:eastAsia="zh-CN"/>
        </w:rPr>
        <w:t xml:space="preserve"> </w:t>
      </w:r>
      <w:r w:rsidR="004A3597" w:rsidRPr="006B4444">
        <w:rPr>
          <w:rFonts w:ascii="Book Antiqua" w:hAnsi="Book Antiqua"/>
          <w:lang w:val="en-US"/>
        </w:rPr>
        <w:t xml:space="preserve">The risk of HBV reactivation </w:t>
      </w:r>
      <w:r w:rsidR="0072359B" w:rsidRPr="006B4444">
        <w:rPr>
          <w:rFonts w:ascii="Book Antiqua" w:hAnsi="Book Antiqua"/>
          <w:lang w:val="en-US"/>
        </w:rPr>
        <w:t xml:space="preserve">is associated with HBV </w:t>
      </w:r>
      <w:r w:rsidR="004A3597" w:rsidRPr="006B4444">
        <w:rPr>
          <w:rFonts w:ascii="Book Antiqua" w:hAnsi="Book Antiqua"/>
          <w:lang w:val="en-US"/>
        </w:rPr>
        <w:t>serological status (HBsAg positivity or HBsAg negativity</w:t>
      </w:r>
      <w:r w:rsidR="0072359B" w:rsidRPr="006B4444">
        <w:rPr>
          <w:rFonts w:ascii="Book Antiqua" w:hAnsi="Book Antiqua"/>
          <w:lang w:val="en-US"/>
        </w:rPr>
        <w:t xml:space="preserve"> and </w:t>
      </w:r>
      <w:r w:rsidR="004A3597" w:rsidRPr="006B4444">
        <w:rPr>
          <w:rFonts w:ascii="Book Antiqua" w:hAnsi="Book Antiqua"/>
          <w:lang w:val="en-US"/>
        </w:rPr>
        <w:t>anti-HBc positivity with</w:t>
      </w:r>
      <w:r w:rsidR="0072359B" w:rsidRPr="006B4444">
        <w:rPr>
          <w:rFonts w:ascii="Book Antiqua" w:hAnsi="Book Antiqua"/>
          <w:lang w:val="en-US"/>
        </w:rPr>
        <w:t>/</w:t>
      </w:r>
      <w:r w:rsidR="004A3597" w:rsidRPr="006B4444">
        <w:rPr>
          <w:rFonts w:ascii="Book Antiqua" w:hAnsi="Book Antiqua"/>
          <w:lang w:val="en-US"/>
        </w:rPr>
        <w:t xml:space="preserve">without anti-HBs positivity) and </w:t>
      </w:r>
      <w:r w:rsidR="0072359B" w:rsidRPr="006B4444">
        <w:rPr>
          <w:rFonts w:ascii="Book Antiqua" w:hAnsi="Book Antiqua"/>
          <w:lang w:val="en-US"/>
        </w:rPr>
        <w:t>with</w:t>
      </w:r>
      <w:r w:rsidR="004A3597" w:rsidRPr="006B4444">
        <w:rPr>
          <w:rFonts w:ascii="Book Antiqua" w:hAnsi="Book Antiqua"/>
          <w:lang w:val="en-US"/>
        </w:rPr>
        <w:t xml:space="preserve"> </w:t>
      </w:r>
      <w:r w:rsidR="0072359B" w:rsidRPr="006B4444">
        <w:rPr>
          <w:rFonts w:ascii="Book Antiqua" w:hAnsi="Book Antiqua"/>
          <w:lang w:val="en-US"/>
        </w:rPr>
        <w:t>the</w:t>
      </w:r>
      <w:r w:rsidR="004A3597" w:rsidRPr="006B4444">
        <w:rPr>
          <w:rFonts w:ascii="Book Antiqua" w:hAnsi="Book Antiqua"/>
          <w:lang w:val="en-US"/>
        </w:rPr>
        <w:t xml:space="preserve"> immunosuppression </w:t>
      </w:r>
      <w:r w:rsidR="0072359B" w:rsidRPr="006B4444">
        <w:rPr>
          <w:rFonts w:ascii="Book Antiqua" w:hAnsi="Book Antiqua"/>
          <w:lang w:val="en-US"/>
        </w:rPr>
        <w:t xml:space="preserve">level </w:t>
      </w:r>
      <w:r w:rsidR="004A3597" w:rsidRPr="006B4444">
        <w:rPr>
          <w:rFonts w:ascii="Book Antiqua" w:hAnsi="Book Antiqua"/>
          <w:lang w:val="en-US"/>
        </w:rPr>
        <w:t>obtained with the drug administered (Table 1).</w:t>
      </w:r>
    </w:p>
    <w:p w14:paraId="36C8A16F" w14:textId="56668FC4" w:rsidR="00816D6D" w:rsidRPr="006B4444" w:rsidRDefault="00816D6D" w:rsidP="004235DB">
      <w:pPr>
        <w:widowControl w:val="0"/>
        <w:autoSpaceDE w:val="0"/>
        <w:autoSpaceDN w:val="0"/>
        <w:adjustRightInd w:val="0"/>
        <w:spacing w:line="360" w:lineRule="auto"/>
        <w:ind w:firstLineChars="100" w:firstLine="240"/>
        <w:jc w:val="both"/>
        <w:rPr>
          <w:rFonts w:ascii="Book Antiqua" w:hAnsi="Book Antiqua"/>
          <w:strike/>
          <w:lang w:val="en-US"/>
        </w:rPr>
      </w:pPr>
      <w:r w:rsidRPr="006B4444">
        <w:rPr>
          <w:rFonts w:ascii="Book Antiqua" w:hAnsi="Book Antiqua"/>
          <w:lang w:val="en-US"/>
        </w:rPr>
        <w:t xml:space="preserve">As in clinical practice, </w:t>
      </w:r>
      <w:r w:rsidR="000E3E26" w:rsidRPr="006B4444">
        <w:rPr>
          <w:rFonts w:ascii="Book Antiqua" w:hAnsi="Book Antiqua"/>
          <w:lang w:val="en-US"/>
        </w:rPr>
        <w:t xml:space="preserve">patients with HBsAg-positivity and serum HBV DNA ≥ 2000 IU/ml and increased ALT </w:t>
      </w:r>
      <w:r w:rsidRPr="006B4444">
        <w:rPr>
          <w:rFonts w:ascii="Book Antiqua" w:hAnsi="Book Antiqua"/>
          <w:lang w:val="en-US"/>
        </w:rPr>
        <w:t>serum values (active carriers) should start long-term antiviral therapy with NAs, namely ETV, TDF or TAF, according to international guidelines</w:t>
      </w:r>
      <w:r w:rsidRPr="006B4444">
        <w:rPr>
          <w:rFonts w:ascii="Book Antiqua" w:hAnsi="Book Antiqua"/>
          <w:vertAlign w:val="superscript"/>
          <w:lang w:val="en-US"/>
        </w:rPr>
        <w:t>[</w:t>
      </w:r>
      <w:r w:rsidR="005D48F0" w:rsidRPr="006B4444">
        <w:rPr>
          <w:rFonts w:ascii="Book Antiqua" w:hAnsi="Book Antiqua"/>
          <w:vertAlign w:val="superscript"/>
          <w:lang w:val="en-US"/>
        </w:rPr>
        <w:t>67</w:t>
      </w:r>
      <w:r w:rsidR="00FD2332" w:rsidRPr="006B4444">
        <w:rPr>
          <w:rFonts w:ascii="Book Antiqua" w:hAnsi="Book Antiqua"/>
          <w:vertAlign w:val="superscript"/>
          <w:lang w:val="en-US"/>
        </w:rPr>
        <w:t>,107</w:t>
      </w:r>
      <w:r w:rsidRPr="006B4444">
        <w:rPr>
          <w:rFonts w:ascii="Book Antiqua" w:hAnsi="Book Antiqua"/>
          <w:vertAlign w:val="superscript"/>
          <w:lang w:val="en-US"/>
        </w:rPr>
        <w:t>]</w:t>
      </w:r>
      <w:r w:rsidRPr="006B4444">
        <w:rPr>
          <w:rFonts w:ascii="Book Antiqua" w:hAnsi="Book Antiqua"/>
          <w:lang w:val="en-US"/>
        </w:rPr>
        <w:t>. Inactive HBsAg carriers with HBV DNA &lt;</w:t>
      </w:r>
      <w:r w:rsidR="004235DB" w:rsidRPr="006B4444">
        <w:rPr>
          <w:rFonts w:ascii="Book Antiqua" w:hAnsi="Book Antiqua"/>
          <w:lang w:val="en-US"/>
        </w:rPr>
        <w:t xml:space="preserve"> </w:t>
      </w:r>
      <w:r w:rsidRPr="006B4444">
        <w:rPr>
          <w:rFonts w:ascii="Book Antiqua" w:hAnsi="Book Antiqua"/>
          <w:lang w:val="en-US"/>
        </w:rPr>
        <w:t>2000 IU/m</w:t>
      </w:r>
      <w:r w:rsidR="004235DB" w:rsidRPr="006B4444">
        <w:rPr>
          <w:rFonts w:ascii="Book Antiqua" w:hAnsi="Book Antiqua"/>
          <w:lang w:val="en-US"/>
        </w:rPr>
        <w:t>L</w:t>
      </w:r>
      <w:r w:rsidRPr="006B4444">
        <w:rPr>
          <w:rFonts w:ascii="Book Antiqua" w:hAnsi="Book Antiqua"/>
          <w:lang w:val="en-US"/>
        </w:rPr>
        <w:t xml:space="preserve">, normal ALT and AST and no sign of liver cirrhosis are at risk of HBV reactivation under immunosuppressive therapy and should receive a prophylaxis </w:t>
      </w:r>
      <w:bookmarkStart w:id="41" w:name="_Hlk1926550"/>
      <w:r w:rsidRPr="006B4444">
        <w:rPr>
          <w:rFonts w:ascii="Book Antiqua" w:hAnsi="Book Antiqua"/>
          <w:lang w:val="en-US"/>
        </w:rPr>
        <w:t xml:space="preserve">with ETV, TDF or TAF, </w:t>
      </w:r>
      <w:bookmarkEnd w:id="41"/>
      <w:r w:rsidRPr="006B4444">
        <w:rPr>
          <w:rFonts w:ascii="Book Antiqua" w:hAnsi="Book Antiqua"/>
          <w:lang w:val="en-US"/>
        </w:rPr>
        <w:t xml:space="preserve">drugs with a high genetic barrier to resistance. Although effective for the prevention of HBV reactivation, lamivudine is not indicated in the last two settings mentioned because of its low genetic barrier to viral resistance and to a residual risk of HBV reactivation in approximately 10% of cases </w:t>
      </w:r>
      <w:proofErr w:type="gramStart"/>
      <w:r w:rsidRPr="006B4444">
        <w:rPr>
          <w:rFonts w:ascii="Book Antiqua" w:hAnsi="Book Antiqua"/>
          <w:lang w:val="en-US"/>
        </w:rPr>
        <w:t>treated</w:t>
      </w:r>
      <w:r w:rsidRPr="006B4444">
        <w:rPr>
          <w:rFonts w:ascii="Book Antiqua" w:hAnsi="Book Antiqua"/>
          <w:vertAlign w:val="superscript"/>
          <w:lang w:val="en-US"/>
        </w:rPr>
        <w:t>[</w:t>
      </w:r>
      <w:proofErr w:type="gramEnd"/>
      <w:r w:rsidRPr="006B4444">
        <w:rPr>
          <w:rFonts w:ascii="Book Antiqua" w:hAnsi="Book Antiqua"/>
          <w:vertAlign w:val="superscript"/>
          <w:lang w:val="en-US"/>
        </w:rPr>
        <w:t>51]</w:t>
      </w:r>
      <w:r w:rsidRPr="006B4444">
        <w:rPr>
          <w:rFonts w:ascii="Book Antiqua" w:hAnsi="Book Antiqua"/>
          <w:lang w:val="en-US"/>
        </w:rPr>
        <w:t>.</w:t>
      </w:r>
      <w:r w:rsidRPr="006B4444">
        <w:rPr>
          <w:rFonts w:ascii="Book Antiqua" w:hAnsi="Book Antiqua"/>
          <w:strike/>
          <w:lang w:val="en-US"/>
        </w:rPr>
        <w:t xml:space="preserve"> </w:t>
      </w:r>
    </w:p>
    <w:p w14:paraId="23E84C2E" w14:textId="53B33E26" w:rsidR="00C0485A" w:rsidRPr="006B4444" w:rsidRDefault="00C0485A" w:rsidP="004235DB">
      <w:pPr>
        <w:widowControl w:val="0"/>
        <w:autoSpaceDE w:val="0"/>
        <w:autoSpaceDN w:val="0"/>
        <w:adjustRightInd w:val="0"/>
        <w:spacing w:line="360" w:lineRule="auto"/>
        <w:ind w:firstLineChars="100" w:firstLine="240"/>
        <w:jc w:val="both"/>
        <w:rPr>
          <w:rFonts w:ascii="Book Antiqua" w:hAnsi="Book Antiqua"/>
          <w:lang w:val="en-US"/>
        </w:rPr>
      </w:pPr>
      <w:r w:rsidRPr="006B4444">
        <w:rPr>
          <w:rFonts w:ascii="Book Antiqua" w:hAnsi="Book Antiqua"/>
          <w:lang w:val="en-US"/>
        </w:rPr>
        <w:t xml:space="preserve">In fact, Huang </w:t>
      </w:r>
      <w:r w:rsidRPr="006B4444">
        <w:rPr>
          <w:rFonts w:ascii="Book Antiqua" w:hAnsi="Book Antiqua"/>
          <w:i/>
          <w:lang w:val="en-US"/>
        </w:rPr>
        <w:t>et al</w:t>
      </w:r>
      <w:r w:rsidRPr="006B4444">
        <w:rPr>
          <w:rFonts w:ascii="Book Antiqua" w:hAnsi="Book Antiqua"/>
          <w:vertAlign w:val="superscript"/>
          <w:lang w:val="en-US"/>
        </w:rPr>
        <w:t>[108]</w:t>
      </w:r>
      <w:r w:rsidRPr="006B4444">
        <w:rPr>
          <w:rFonts w:ascii="Book Antiqua" w:hAnsi="Book Antiqua"/>
          <w:lang w:val="en-US"/>
        </w:rPr>
        <w:t>,</w:t>
      </w:r>
      <w:r w:rsidR="003F6798" w:rsidRPr="006B4444">
        <w:rPr>
          <w:rFonts w:ascii="Book Antiqua" w:hAnsi="Book Antiqua"/>
          <w:lang w:val="en-US"/>
        </w:rPr>
        <w:t xml:space="preserve"> in a randomized controlled trial, </w:t>
      </w:r>
      <w:r w:rsidRPr="006B4444">
        <w:rPr>
          <w:rFonts w:ascii="Book Antiqua" w:hAnsi="Book Antiqua"/>
          <w:lang w:val="en-US"/>
        </w:rPr>
        <w:t xml:space="preserve">comparing the efficacy of ETV versus LAM in </w:t>
      </w:r>
      <w:r w:rsidR="003F54F7" w:rsidRPr="006B4444">
        <w:rPr>
          <w:rFonts w:ascii="Book Antiqua" w:hAnsi="Book Antiqua"/>
          <w:lang w:val="en-US"/>
        </w:rPr>
        <w:t>prophylaxis</w:t>
      </w:r>
      <w:r w:rsidRPr="006B4444">
        <w:rPr>
          <w:rFonts w:ascii="Book Antiqua" w:hAnsi="Book Antiqua"/>
          <w:lang w:val="en-US"/>
        </w:rPr>
        <w:t xml:space="preserve"> </w:t>
      </w:r>
      <w:r w:rsidR="003F54F7" w:rsidRPr="006B4444">
        <w:rPr>
          <w:rFonts w:ascii="Book Antiqua" w:hAnsi="Book Antiqua"/>
          <w:lang w:val="en-US"/>
        </w:rPr>
        <w:t xml:space="preserve">the </w:t>
      </w:r>
      <w:r w:rsidRPr="006B4444">
        <w:rPr>
          <w:rFonts w:ascii="Book Antiqua" w:hAnsi="Book Antiqua"/>
          <w:lang w:val="en-US"/>
        </w:rPr>
        <w:t xml:space="preserve">reactivation </w:t>
      </w:r>
      <w:r w:rsidR="003F54F7" w:rsidRPr="006B4444">
        <w:rPr>
          <w:rFonts w:ascii="Book Antiqua" w:hAnsi="Book Antiqua"/>
          <w:lang w:val="en-US"/>
        </w:rPr>
        <w:t xml:space="preserve">of HBV infection </w:t>
      </w:r>
      <w:r w:rsidRPr="006B4444">
        <w:rPr>
          <w:rFonts w:ascii="Book Antiqua" w:hAnsi="Book Antiqua"/>
          <w:lang w:val="en-US"/>
        </w:rPr>
        <w:t xml:space="preserve">in diffuse large B-cell lymphoma patients with HBsAg-positivity undergone R-CHOP chemotherapy (rituximab, cyclophosphamide, doxorubicin, vincristine, prednisone) observed that ETV </w:t>
      </w:r>
      <w:r w:rsidR="003F6798" w:rsidRPr="006B4444">
        <w:rPr>
          <w:rFonts w:ascii="Book Antiqua" w:hAnsi="Book Antiqua"/>
          <w:lang w:val="en-US"/>
        </w:rPr>
        <w:t>i</w:t>
      </w:r>
      <w:r w:rsidR="00065D2E" w:rsidRPr="006B4444">
        <w:rPr>
          <w:rFonts w:ascii="Book Antiqua" w:hAnsi="Book Antiqua"/>
          <w:lang w:val="en-US"/>
        </w:rPr>
        <w:t>s</w:t>
      </w:r>
      <w:r w:rsidR="003F6798" w:rsidRPr="006B4444">
        <w:rPr>
          <w:rFonts w:ascii="Book Antiqua" w:hAnsi="Book Antiqua"/>
          <w:lang w:val="en-US"/>
        </w:rPr>
        <w:t xml:space="preserve"> more effective </w:t>
      </w:r>
      <w:r w:rsidRPr="006B4444">
        <w:rPr>
          <w:rFonts w:ascii="Book Antiqua" w:hAnsi="Book Antiqua"/>
          <w:lang w:val="en-US"/>
        </w:rPr>
        <w:t>than LAM</w:t>
      </w:r>
      <w:r w:rsidR="00065D2E" w:rsidRPr="006B4444">
        <w:rPr>
          <w:rFonts w:ascii="Book Antiqua" w:hAnsi="Book Antiqua"/>
          <w:lang w:val="en-US"/>
        </w:rPr>
        <w:t xml:space="preserve">, </w:t>
      </w:r>
      <w:r w:rsidRPr="006B4444">
        <w:rPr>
          <w:rFonts w:ascii="Book Antiqua" w:hAnsi="Book Antiqua"/>
          <w:lang w:val="en-US"/>
        </w:rPr>
        <w:t xml:space="preserve">reducing the risk of </w:t>
      </w:r>
      <w:r w:rsidR="003F6798" w:rsidRPr="006B4444">
        <w:rPr>
          <w:rFonts w:ascii="Book Antiqua" w:hAnsi="Book Antiqua"/>
          <w:lang w:val="en-US"/>
        </w:rPr>
        <w:t xml:space="preserve">HBV reactivation (6.6% </w:t>
      </w:r>
      <w:r w:rsidR="003F6798" w:rsidRPr="006B4444">
        <w:rPr>
          <w:rFonts w:ascii="Book Antiqua" w:hAnsi="Book Antiqua"/>
          <w:i/>
          <w:lang w:val="en-US"/>
        </w:rPr>
        <w:t>vs</w:t>
      </w:r>
      <w:r w:rsidR="003F6798" w:rsidRPr="006B4444">
        <w:rPr>
          <w:rFonts w:ascii="Book Antiqua" w:hAnsi="Book Antiqua"/>
          <w:lang w:val="en-US"/>
        </w:rPr>
        <w:t xml:space="preserve"> 30%), </w:t>
      </w:r>
      <w:r w:rsidRPr="006B4444">
        <w:rPr>
          <w:rFonts w:ascii="Book Antiqua" w:hAnsi="Book Antiqua"/>
          <w:lang w:val="en-US"/>
        </w:rPr>
        <w:t xml:space="preserve">HBV-related hepatitis (0% </w:t>
      </w:r>
      <w:r w:rsidRPr="006B4444">
        <w:rPr>
          <w:rFonts w:ascii="Book Antiqua" w:hAnsi="Book Antiqua"/>
          <w:i/>
          <w:lang w:val="en-US"/>
        </w:rPr>
        <w:t>vs</w:t>
      </w:r>
      <w:r w:rsidRPr="006B4444">
        <w:rPr>
          <w:rFonts w:ascii="Book Antiqua" w:hAnsi="Book Antiqua"/>
          <w:lang w:val="en-US"/>
        </w:rPr>
        <w:t xml:space="preserve"> 13.3%), and chemotherapy discontinuation (1.6% </w:t>
      </w:r>
      <w:r w:rsidR="004235DB" w:rsidRPr="006B4444">
        <w:rPr>
          <w:rFonts w:ascii="Book Antiqua" w:hAnsi="Book Antiqua"/>
          <w:i/>
          <w:lang w:val="en-US"/>
        </w:rPr>
        <w:t>vs</w:t>
      </w:r>
      <w:r w:rsidRPr="006B4444">
        <w:rPr>
          <w:rFonts w:ascii="Book Antiqua" w:hAnsi="Book Antiqua"/>
          <w:lang w:val="en-US"/>
        </w:rPr>
        <w:t xml:space="preserve"> 18.3%).</w:t>
      </w:r>
    </w:p>
    <w:p w14:paraId="49E5F2CB" w14:textId="28B41083" w:rsidR="00816D6D" w:rsidRPr="006B4444" w:rsidRDefault="00816D6D" w:rsidP="004235DB">
      <w:pPr>
        <w:widowControl w:val="0"/>
        <w:autoSpaceDE w:val="0"/>
        <w:autoSpaceDN w:val="0"/>
        <w:adjustRightInd w:val="0"/>
        <w:spacing w:line="360" w:lineRule="auto"/>
        <w:ind w:firstLineChars="100" w:firstLine="240"/>
        <w:jc w:val="both"/>
        <w:rPr>
          <w:rFonts w:ascii="Book Antiqua" w:hAnsi="Book Antiqua"/>
          <w:lang w:val="en-US"/>
        </w:rPr>
      </w:pPr>
      <w:bookmarkStart w:id="42" w:name="OLE_LINK25"/>
      <w:r w:rsidRPr="006B4444">
        <w:rPr>
          <w:rFonts w:ascii="Book Antiqua" w:hAnsi="Book Antiqua"/>
          <w:lang w:val="en-US"/>
        </w:rPr>
        <w:t xml:space="preserve">While there is agreement in the literature on the fact that all HBsAg-positive patients undergoing immunosuppressive therapy should be assigned to pharmacologic therapy or prophylaxis, in the case of </w:t>
      </w:r>
      <w:bookmarkStart w:id="43" w:name="OLE_LINK23"/>
      <w:r w:rsidRPr="006B4444">
        <w:rPr>
          <w:rFonts w:ascii="Book Antiqua" w:hAnsi="Book Antiqua"/>
          <w:lang w:val="en-US"/>
        </w:rPr>
        <w:t>HBsAg</w:t>
      </w:r>
      <w:bookmarkEnd w:id="43"/>
      <w:r w:rsidRPr="006B4444">
        <w:rPr>
          <w:rFonts w:ascii="Book Antiqua" w:hAnsi="Book Antiqua"/>
          <w:lang w:val="en-US"/>
        </w:rPr>
        <w:t>-negative/</w:t>
      </w:r>
      <w:r w:rsidR="004C17F7" w:rsidRPr="006B4444">
        <w:rPr>
          <w:rFonts w:ascii="Book Antiqua" w:hAnsi="Book Antiqua"/>
        </w:rPr>
        <w:t>hepatitis B core</w:t>
      </w:r>
      <w:r w:rsidR="004C17F7" w:rsidRPr="006B4444">
        <w:rPr>
          <w:rFonts w:ascii="Book Antiqua" w:hAnsi="Book Antiqua"/>
          <w:lang w:val="en-US"/>
        </w:rPr>
        <w:t xml:space="preserve"> antibodies</w:t>
      </w:r>
      <w:r w:rsidRPr="006B4444">
        <w:rPr>
          <w:rFonts w:ascii="Book Antiqua" w:hAnsi="Book Antiqua"/>
          <w:lang w:val="en-US"/>
        </w:rPr>
        <w:t>-positive patients two strategies have been adopted to prevent HBV reactivation: prophylaxis or pre-emptive antiviral therapy. Also, the international guidelines are divided on the type of management for these latter patients</w:t>
      </w:r>
      <w:r w:rsidR="00565A10" w:rsidRPr="006B4444">
        <w:rPr>
          <w:rFonts w:ascii="Book Antiqua" w:hAnsi="Book Antiqua"/>
          <w:lang w:val="en-US"/>
        </w:rPr>
        <w:t xml:space="preserve"> (Figure 1)</w:t>
      </w:r>
      <w:bookmarkEnd w:id="42"/>
      <w:r w:rsidR="00565A10" w:rsidRPr="006B4444">
        <w:rPr>
          <w:rFonts w:ascii="Book Antiqua" w:hAnsi="Book Antiqua"/>
          <w:lang w:val="en-US"/>
        </w:rPr>
        <w:t xml:space="preserve">. </w:t>
      </w:r>
      <w:r w:rsidRPr="006B4444">
        <w:rPr>
          <w:rFonts w:ascii="Book Antiqua" w:hAnsi="Book Antiqua"/>
          <w:lang w:val="en-US"/>
        </w:rPr>
        <w:t>For example, for rituximab-based therapy, routine prophylactic antiviral therapy is recommended by</w:t>
      </w:r>
      <w:r w:rsidR="0026490F" w:rsidRPr="006B4444">
        <w:rPr>
          <w:rFonts w:ascii="Book Antiqua" w:hAnsi="Book Antiqua"/>
          <w:lang w:val="en-US"/>
        </w:rPr>
        <w:t xml:space="preserve"> several </w:t>
      </w:r>
      <w:proofErr w:type="gramStart"/>
      <w:r w:rsidR="00681BA6" w:rsidRPr="006B4444">
        <w:rPr>
          <w:rFonts w:ascii="Book Antiqua" w:hAnsi="Book Antiqua"/>
          <w:lang w:val="en-US"/>
        </w:rPr>
        <w:t>guidelines</w:t>
      </w:r>
      <w:r w:rsidR="004235DB" w:rsidRPr="006B4444">
        <w:rPr>
          <w:rFonts w:ascii="Book Antiqua" w:hAnsi="Book Antiqua"/>
          <w:vertAlign w:val="superscript"/>
          <w:lang w:val="en-US"/>
        </w:rPr>
        <w:t>[</w:t>
      </w:r>
      <w:proofErr w:type="gramEnd"/>
      <w:r w:rsidRPr="006B4444">
        <w:rPr>
          <w:rFonts w:ascii="Book Antiqua" w:hAnsi="Book Antiqua"/>
          <w:vertAlign w:val="superscript"/>
          <w:lang w:val="en-US"/>
        </w:rPr>
        <w:t>51,</w:t>
      </w:r>
      <w:r w:rsidR="00FD2332" w:rsidRPr="006B4444">
        <w:rPr>
          <w:rFonts w:ascii="Book Antiqua" w:hAnsi="Book Antiqua"/>
          <w:vertAlign w:val="superscript"/>
          <w:lang w:val="en-US"/>
        </w:rPr>
        <w:t>107,109,110</w:t>
      </w:r>
      <w:r w:rsidRPr="006B4444">
        <w:rPr>
          <w:rFonts w:ascii="Book Antiqua" w:hAnsi="Book Antiqua"/>
          <w:vertAlign w:val="superscript"/>
          <w:lang w:val="en-US"/>
        </w:rPr>
        <w:t>]</w:t>
      </w:r>
      <w:r w:rsidRPr="006B4444">
        <w:rPr>
          <w:rFonts w:ascii="Book Antiqua" w:hAnsi="Book Antiqua"/>
          <w:lang w:val="en-US"/>
        </w:rPr>
        <w:t xml:space="preserve">. However, it is advisable for HBsAg-negative/anti-HBc-positive patients with HBV-DNA levels detectable before starting immunosuppressive therapy to use the same prophylactic regimen (with ETV, TDF or TAF) </w:t>
      </w:r>
      <w:r w:rsidRPr="006B4444">
        <w:rPr>
          <w:rFonts w:ascii="Book Antiqua" w:hAnsi="Book Antiqua"/>
          <w:lang w:val="en-US"/>
        </w:rPr>
        <w:lastRenderedPageBreak/>
        <w:t xml:space="preserve">adopted for HBsAg-positive </w:t>
      </w:r>
      <w:proofErr w:type="gramStart"/>
      <w:r w:rsidRPr="006B4444">
        <w:rPr>
          <w:rFonts w:ascii="Book Antiqua" w:hAnsi="Book Antiqua"/>
          <w:lang w:val="en-US"/>
        </w:rPr>
        <w:t>patients</w:t>
      </w:r>
      <w:r w:rsidRPr="006B4444">
        <w:rPr>
          <w:rFonts w:ascii="Book Antiqua" w:hAnsi="Book Antiqua"/>
          <w:vertAlign w:val="superscript"/>
          <w:lang w:val="en-US"/>
        </w:rPr>
        <w:t>[</w:t>
      </w:r>
      <w:proofErr w:type="gramEnd"/>
      <w:r w:rsidRPr="006B4444">
        <w:rPr>
          <w:rFonts w:ascii="Book Antiqua" w:hAnsi="Book Antiqua"/>
          <w:vertAlign w:val="superscript"/>
          <w:lang w:val="en-US"/>
        </w:rPr>
        <w:t>1</w:t>
      </w:r>
      <w:r w:rsidR="00FD2332" w:rsidRPr="006B4444">
        <w:rPr>
          <w:rFonts w:ascii="Book Antiqua" w:hAnsi="Book Antiqua"/>
          <w:vertAlign w:val="superscript"/>
          <w:lang w:val="en-US"/>
        </w:rPr>
        <w:t>11</w:t>
      </w:r>
      <w:r w:rsidRPr="006B4444">
        <w:rPr>
          <w:rFonts w:ascii="Book Antiqua" w:hAnsi="Book Antiqua"/>
          <w:vertAlign w:val="superscript"/>
          <w:lang w:val="en-US"/>
        </w:rPr>
        <w:t>]</w:t>
      </w:r>
      <w:r w:rsidRPr="006B4444">
        <w:rPr>
          <w:rFonts w:ascii="Book Antiqua" w:hAnsi="Book Antiqua"/>
          <w:lang w:val="en-US"/>
        </w:rPr>
        <w:t xml:space="preserve">. Lamivudine may be used only for antiviral prophylaxis in non-viremic patients with resolved HBV </w:t>
      </w:r>
      <w:proofErr w:type="gramStart"/>
      <w:r w:rsidRPr="006B4444">
        <w:rPr>
          <w:rFonts w:ascii="Book Antiqua" w:hAnsi="Book Antiqua"/>
          <w:lang w:val="en-US"/>
        </w:rPr>
        <w:t>infection</w:t>
      </w:r>
      <w:r w:rsidRPr="006B4444">
        <w:rPr>
          <w:rFonts w:ascii="Book Antiqua" w:hAnsi="Book Antiqua"/>
          <w:vertAlign w:val="superscript"/>
          <w:lang w:val="en-US"/>
        </w:rPr>
        <w:t>[</w:t>
      </w:r>
      <w:proofErr w:type="gramEnd"/>
      <w:r w:rsidRPr="006B4444">
        <w:rPr>
          <w:rFonts w:ascii="Book Antiqua" w:hAnsi="Book Antiqua"/>
          <w:vertAlign w:val="superscript"/>
          <w:lang w:val="en-US"/>
        </w:rPr>
        <w:t>1</w:t>
      </w:r>
      <w:r w:rsidR="00BC6B2F" w:rsidRPr="006B4444">
        <w:rPr>
          <w:rFonts w:ascii="Book Antiqua" w:hAnsi="Book Antiqua"/>
          <w:vertAlign w:val="superscript"/>
          <w:lang w:val="en-US"/>
        </w:rPr>
        <w:t>1</w:t>
      </w:r>
      <w:r w:rsidR="00FD2332" w:rsidRPr="006B4444">
        <w:rPr>
          <w:rFonts w:ascii="Book Antiqua" w:hAnsi="Book Antiqua"/>
          <w:vertAlign w:val="superscript"/>
          <w:lang w:val="en-US"/>
        </w:rPr>
        <w:t>2</w:t>
      </w:r>
      <w:r w:rsidRPr="006B4444">
        <w:rPr>
          <w:rFonts w:ascii="Book Antiqua" w:hAnsi="Book Antiqua"/>
          <w:vertAlign w:val="superscript"/>
          <w:lang w:val="en-US"/>
        </w:rPr>
        <w:t>]</w:t>
      </w:r>
      <w:r w:rsidRPr="006B4444">
        <w:rPr>
          <w:rFonts w:ascii="Book Antiqua" w:hAnsi="Book Antiqua"/>
          <w:lang w:val="en-US"/>
        </w:rPr>
        <w:t>. In fact, a meta-analysis of five randomized controlled trials comparing lamivudine prophylaxis to the pre-emptive strategy (treatment at the beginning of viral reactivation</w:t>
      </w:r>
      <w:proofErr w:type="gramStart"/>
      <w:r w:rsidRPr="006B4444">
        <w:rPr>
          <w:rFonts w:ascii="Book Antiqua" w:hAnsi="Book Antiqua"/>
          <w:lang w:val="en-US"/>
        </w:rPr>
        <w:t>)</w:t>
      </w:r>
      <w:r w:rsidRPr="006B4444">
        <w:rPr>
          <w:rFonts w:ascii="Book Antiqua" w:hAnsi="Book Antiqua"/>
          <w:vertAlign w:val="superscript"/>
          <w:lang w:val="en-US"/>
        </w:rPr>
        <w:t>[</w:t>
      </w:r>
      <w:proofErr w:type="gramEnd"/>
      <w:r w:rsidR="00FD2332" w:rsidRPr="006B4444">
        <w:rPr>
          <w:rFonts w:ascii="Book Antiqua" w:hAnsi="Book Antiqua"/>
          <w:vertAlign w:val="superscript"/>
          <w:lang w:val="en-US"/>
        </w:rPr>
        <w:t>80,84,85.97,113-115</w:t>
      </w:r>
      <w:r w:rsidRPr="006B4444">
        <w:rPr>
          <w:rFonts w:ascii="Book Antiqua" w:hAnsi="Book Antiqua"/>
          <w:vertAlign w:val="superscript"/>
          <w:lang w:val="en-US"/>
        </w:rPr>
        <w:t>]</w:t>
      </w:r>
      <w:r w:rsidRPr="006B4444">
        <w:rPr>
          <w:rFonts w:ascii="Book Antiqua" w:hAnsi="Book Antiqua"/>
          <w:lang w:val="en-US"/>
        </w:rPr>
        <w:t xml:space="preserve"> showed that antiviral prophylaxis is more effective. Thus, the pre-emptive strategy could be used only in cases at a very low risk of HBV reactivation, and, consequently, it should not be used in an onco-hematologic setting, where patients are treated with combination chemotherapies conferring a high risk of HBV reactivation.</w:t>
      </w:r>
    </w:p>
    <w:p w14:paraId="15A03CED" w14:textId="2F98169C" w:rsidR="00816D6D" w:rsidRPr="006B4444" w:rsidRDefault="00816D6D" w:rsidP="004235DB">
      <w:pPr>
        <w:widowControl w:val="0"/>
        <w:autoSpaceDE w:val="0"/>
        <w:autoSpaceDN w:val="0"/>
        <w:adjustRightInd w:val="0"/>
        <w:spacing w:line="360" w:lineRule="auto"/>
        <w:ind w:firstLineChars="100" w:firstLine="240"/>
        <w:jc w:val="both"/>
        <w:rPr>
          <w:rFonts w:ascii="Book Antiqua" w:hAnsi="Book Antiqua"/>
          <w:lang w:val="en-US"/>
        </w:rPr>
      </w:pPr>
      <w:r w:rsidRPr="006B4444">
        <w:rPr>
          <w:rFonts w:ascii="Book Antiqua" w:hAnsi="Book Antiqua"/>
          <w:lang w:val="en-US"/>
        </w:rPr>
        <w:t>It is commonly accepted that an antiviral regimen should be started 2-3 wk before immunosuppressive treatment and that it should last throughout the whole immunosuppressive treatment and, thereafter, throughout the whole prophylaxis; periodical controls including physical examination, serum liver enzymes, HBsAg and HBV DNA should be perfor</w:t>
      </w:r>
      <w:r w:rsidR="00BC6B2F" w:rsidRPr="006B4444">
        <w:rPr>
          <w:rFonts w:ascii="Book Antiqua" w:hAnsi="Book Antiqua"/>
          <w:lang w:val="en-US"/>
        </w:rPr>
        <w:t>med at a 3-monthly interval</w:t>
      </w:r>
      <w:r w:rsidR="00BC6B2F" w:rsidRPr="006B4444">
        <w:rPr>
          <w:rFonts w:ascii="Book Antiqua" w:hAnsi="Book Antiqua"/>
          <w:vertAlign w:val="superscript"/>
          <w:lang w:val="en-US"/>
        </w:rPr>
        <w:t>[1</w:t>
      </w:r>
      <w:r w:rsidR="00FD2332" w:rsidRPr="006B4444">
        <w:rPr>
          <w:rFonts w:ascii="Book Antiqua" w:hAnsi="Book Antiqua"/>
          <w:vertAlign w:val="superscript"/>
          <w:lang w:val="en-US"/>
        </w:rPr>
        <w:t>16</w:t>
      </w:r>
      <w:r w:rsidRPr="006B4444">
        <w:rPr>
          <w:rFonts w:ascii="Book Antiqua" w:hAnsi="Book Antiqua"/>
          <w:vertAlign w:val="superscript"/>
          <w:lang w:val="en-US"/>
        </w:rPr>
        <w:t>]</w:t>
      </w:r>
      <w:r w:rsidRPr="006B4444">
        <w:rPr>
          <w:rFonts w:ascii="Book Antiqua" w:hAnsi="Book Antiqua"/>
          <w:lang w:val="en-US"/>
        </w:rPr>
        <w:t xml:space="preserve">. </w:t>
      </w:r>
    </w:p>
    <w:p w14:paraId="3F4E0825" w14:textId="6756593A" w:rsidR="00816D6D" w:rsidRPr="006B4444" w:rsidRDefault="00816D6D" w:rsidP="004235DB">
      <w:pPr>
        <w:widowControl w:val="0"/>
        <w:autoSpaceDE w:val="0"/>
        <w:autoSpaceDN w:val="0"/>
        <w:adjustRightInd w:val="0"/>
        <w:spacing w:line="360" w:lineRule="auto"/>
        <w:ind w:firstLineChars="100" w:firstLine="240"/>
        <w:jc w:val="both"/>
        <w:rPr>
          <w:rFonts w:ascii="Book Antiqua" w:hAnsi="Book Antiqua"/>
          <w:lang w:val="en-US"/>
        </w:rPr>
      </w:pPr>
      <w:r w:rsidRPr="006B4444">
        <w:rPr>
          <w:rFonts w:ascii="Book Antiqua" w:hAnsi="Book Antiqua"/>
          <w:lang w:val="en-US"/>
        </w:rPr>
        <w:t xml:space="preserve">The correct duration of pharmacological prophylaxis remains controversial. Of course, antiviral therapy should not be discontinued in patients with chronic hepatitis B or cirrhosis, regardless of the duration of chemotherapy. In inactive carriers, antiviral prophylaxis should cover the entire period of immunosuppressive treatment and an additional period of 12-18 mo after the discontinuation of the immunosuppressive regimen, to be extended to 24 mo if chemotherapy had included rituximab or other anti-CD20 </w:t>
      </w:r>
      <w:proofErr w:type="gramStart"/>
      <w:r w:rsidRPr="006B4444">
        <w:rPr>
          <w:rFonts w:ascii="Book Antiqua" w:hAnsi="Book Antiqua"/>
          <w:lang w:val="en-US"/>
        </w:rPr>
        <w:t>antibodies</w:t>
      </w:r>
      <w:r w:rsidRPr="006B4444">
        <w:rPr>
          <w:rFonts w:ascii="Book Antiqua" w:hAnsi="Book Antiqua"/>
          <w:vertAlign w:val="superscript"/>
          <w:lang w:val="en-US"/>
        </w:rPr>
        <w:t>[</w:t>
      </w:r>
      <w:proofErr w:type="gramEnd"/>
      <w:r w:rsidRPr="006B4444">
        <w:rPr>
          <w:rFonts w:ascii="Book Antiqua" w:hAnsi="Book Antiqua"/>
          <w:vertAlign w:val="superscript"/>
          <w:lang w:val="en-US"/>
        </w:rPr>
        <w:t>51]</w:t>
      </w:r>
      <w:r w:rsidRPr="006B4444">
        <w:rPr>
          <w:rFonts w:ascii="Book Antiqua" w:hAnsi="Book Antiqua"/>
          <w:lang w:val="en-US"/>
        </w:rPr>
        <w:t xml:space="preserve">. The rationale for this extension is that immune recovery may be delayed due to deep immunodepression exerted by rituximab or its </w:t>
      </w:r>
      <w:proofErr w:type="gramStart"/>
      <w:r w:rsidRPr="006B4444">
        <w:rPr>
          <w:rFonts w:ascii="Book Antiqua" w:hAnsi="Book Antiqua"/>
          <w:lang w:val="en-US"/>
        </w:rPr>
        <w:t>analogues</w:t>
      </w:r>
      <w:r w:rsidRPr="006B4444">
        <w:rPr>
          <w:rFonts w:ascii="Book Antiqua" w:hAnsi="Book Antiqua"/>
          <w:vertAlign w:val="superscript"/>
          <w:lang w:val="en-US"/>
        </w:rPr>
        <w:t>[</w:t>
      </w:r>
      <w:proofErr w:type="gramEnd"/>
      <w:r w:rsidRPr="006B4444">
        <w:rPr>
          <w:rFonts w:ascii="Book Antiqua" w:hAnsi="Book Antiqua"/>
          <w:vertAlign w:val="superscript"/>
          <w:lang w:val="en-US"/>
        </w:rPr>
        <w:t>6</w:t>
      </w:r>
      <w:r w:rsidR="00BC6B2F" w:rsidRPr="006B4444">
        <w:rPr>
          <w:rFonts w:ascii="Book Antiqua" w:hAnsi="Book Antiqua"/>
          <w:vertAlign w:val="superscript"/>
          <w:lang w:val="en-US"/>
        </w:rPr>
        <w:t>7</w:t>
      </w:r>
      <w:r w:rsidRPr="006B4444">
        <w:rPr>
          <w:rFonts w:ascii="Book Antiqua" w:hAnsi="Book Antiqua"/>
          <w:vertAlign w:val="superscript"/>
          <w:lang w:val="en-US"/>
        </w:rPr>
        <w:t>,</w:t>
      </w:r>
      <w:r w:rsidR="00FD2332" w:rsidRPr="006B4444">
        <w:rPr>
          <w:rFonts w:ascii="Book Antiqua" w:hAnsi="Book Antiqua"/>
          <w:vertAlign w:val="superscript"/>
          <w:lang w:val="en-US"/>
        </w:rPr>
        <w:t>117</w:t>
      </w:r>
      <w:r w:rsidRPr="006B4444">
        <w:rPr>
          <w:rFonts w:ascii="Book Antiqua" w:hAnsi="Book Antiqua"/>
          <w:vertAlign w:val="superscript"/>
          <w:lang w:val="en-US"/>
        </w:rPr>
        <w:t>]</w:t>
      </w:r>
      <w:r w:rsidRPr="006B4444">
        <w:rPr>
          <w:rFonts w:ascii="Book Antiqua" w:hAnsi="Book Antiqua"/>
          <w:lang w:val="en-US"/>
        </w:rPr>
        <w:t xml:space="preserve">. In fact, Yamada </w:t>
      </w:r>
      <w:r w:rsidRPr="006B4444">
        <w:rPr>
          <w:rFonts w:ascii="Book Antiqua" w:hAnsi="Book Antiqua"/>
          <w:i/>
          <w:lang w:val="en-US"/>
        </w:rPr>
        <w:t xml:space="preserve">et </w:t>
      </w:r>
      <w:proofErr w:type="gramStart"/>
      <w:r w:rsidRPr="006B4444">
        <w:rPr>
          <w:rFonts w:ascii="Book Antiqua" w:hAnsi="Book Antiqua"/>
          <w:i/>
          <w:lang w:val="en-US"/>
        </w:rPr>
        <w:t>al</w:t>
      </w:r>
      <w:r w:rsidRPr="006B4444">
        <w:rPr>
          <w:rFonts w:ascii="Book Antiqua" w:hAnsi="Book Antiqua"/>
          <w:vertAlign w:val="superscript"/>
          <w:lang w:val="en-US"/>
        </w:rPr>
        <w:t>[</w:t>
      </w:r>
      <w:proofErr w:type="gramEnd"/>
      <w:r w:rsidRPr="006B4444">
        <w:rPr>
          <w:rFonts w:ascii="Book Antiqua" w:hAnsi="Book Antiqua"/>
          <w:vertAlign w:val="superscript"/>
          <w:lang w:val="en-US"/>
        </w:rPr>
        <w:t>1</w:t>
      </w:r>
      <w:r w:rsidR="00FD2332" w:rsidRPr="006B4444">
        <w:rPr>
          <w:rFonts w:ascii="Book Antiqua" w:hAnsi="Book Antiqua"/>
          <w:vertAlign w:val="superscript"/>
          <w:lang w:val="en-US"/>
        </w:rPr>
        <w:t>18</w:t>
      </w:r>
      <w:r w:rsidRPr="006B4444">
        <w:rPr>
          <w:rFonts w:ascii="Book Antiqua" w:hAnsi="Book Antiqua"/>
          <w:vertAlign w:val="superscript"/>
          <w:lang w:val="en-US"/>
        </w:rPr>
        <w:t>]</w:t>
      </w:r>
      <w:r w:rsidRPr="006B4444">
        <w:rPr>
          <w:rFonts w:ascii="Book Antiqua" w:hAnsi="Book Antiqua"/>
          <w:lang w:val="en-US"/>
        </w:rPr>
        <w:t xml:space="preserve"> described a case of HBV reactivation emerging over the third year after the discontinuation of R-CHOP therapy; in this case HBV-DNA monitoring had been stopped 18 months after chemotherapy was discontinued. The same authors also reviewed the literature data on the topic and concluded that an advanced age, lymphoid malignancies, multiple courses of rituximab-containing therapies were all common features in cases of late reactivation.</w:t>
      </w:r>
    </w:p>
    <w:p w14:paraId="2F9B4830" w14:textId="4AF972D2" w:rsidR="00816D6D" w:rsidRPr="006B4444" w:rsidRDefault="00816D6D" w:rsidP="004235DB">
      <w:pPr>
        <w:widowControl w:val="0"/>
        <w:autoSpaceDE w:val="0"/>
        <w:autoSpaceDN w:val="0"/>
        <w:adjustRightInd w:val="0"/>
        <w:spacing w:line="360" w:lineRule="auto"/>
        <w:ind w:firstLineChars="100" w:firstLine="240"/>
        <w:jc w:val="both"/>
        <w:rPr>
          <w:rFonts w:ascii="Book Antiqua" w:hAnsi="Book Antiqua"/>
          <w:lang w:val="en-GB"/>
        </w:rPr>
      </w:pPr>
      <w:r w:rsidRPr="006B4444">
        <w:rPr>
          <w:rFonts w:ascii="Book Antiqua" w:hAnsi="Book Antiqua"/>
          <w:lang w:val="en-US"/>
        </w:rPr>
        <w:t>In patients with resolved HBV infection, lamivudine prophylaxis should cover the entire period of immunosuppressive treatment and, thereafter, an additional period of 18-24 mo as delayed episodes of HBV reactivation have been reporte</w:t>
      </w:r>
      <w:r w:rsidR="004B092F" w:rsidRPr="006B4444">
        <w:rPr>
          <w:rFonts w:ascii="Book Antiqua" w:hAnsi="Book Antiqua"/>
          <w:lang w:val="en-US"/>
        </w:rPr>
        <w:t>d</w:t>
      </w:r>
      <w:r w:rsidRPr="006B4444">
        <w:rPr>
          <w:rFonts w:ascii="Book Antiqua" w:hAnsi="Book Antiqua"/>
          <w:vertAlign w:val="superscript"/>
          <w:lang w:val="en-US"/>
        </w:rPr>
        <w:t>[51,</w:t>
      </w:r>
      <w:r w:rsidR="00FD2332" w:rsidRPr="006B4444">
        <w:rPr>
          <w:rFonts w:ascii="Book Antiqua" w:hAnsi="Book Antiqua"/>
          <w:vertAlign w:val="superscript"/>
          <w:lang w:val="en-US"/>
        </w:rPr>
        <w:t>76,119</w:t>
      </w:r>
      <w:r w:rsidRPr="006B4444">
        <w:rPr>
          <w:rFonts w:ascii="Book Antiqua" w:hAnsi="Book Antiqua"/>
          <w:vertAlign w:val="superscript"/>
          <w:lang w:val="en-US"/>
        </w:rPr>
        <w:t>]</w:t>
      </w:r>
      <w:r w:rsidRPr="006B4444">
        <w:rPr>
          <w:rFonts w:ascii="Book Antiqua" w:hAnsi="Book Antiqua"/>
          <w:lang w:val="en-US"/>
        </w:rPr>
        <w:t xml:space="preserve">. In fact, Marrone </w:t>
      </w:r>
      <w:r w:rsidRPr="006B4444">
        <w:rPr>
          <w:rFonts w:ascii="Book Antiqua" w:hAnsi="Book Antiqua"/>
          <w:i/>
          <w:lang w:val="en-US"/>
        </w:rPr>
        <w:t>et a</w:t>
      </w:r>
      <w:r w:rsidR="004B092F" w:rsidRPr="006B4444">
        <w:rPr>
          <w:rFonts w:ascii="Book Antiqua" w:hAnsi="Book Antiqua"/>
          <w:i/>
          <w:lang w:val="en-US"/>
        </w:rPr>
        <w:t>l</w:t>
      </w:r>
      <w:r w:rsidRPr="006B4444">
        <w:rPr>
          <w:rFonts w:ascii="Book Antiqua" w:hAnsi="Book Antiqua"/>
          <w:vertAlign w:val="superscript"/>
          <w:lang w:val="en-US"/>
        </w:rPr>
        <w:t>[1</w:t>
      </w:r>
      <w:r w:rsidR="00FD2332" w:rsidRPr="006B4444">
        <w:rPr>
          <w:rFonts w:ascii="Book Antiqua" w:hAnsi="Book Antiqua"/>
          <w:vertAlign w:val="superscript"/>
          <w:lang w:val="en-US"/>
        </w:rPr>
        <w:t>19</w:t>
      </w:r>
      <w:r w:rsidRPr="006B4444">
        <w:rPr>
          <w:rFonts w:ascii="Book Antiqua" w:hAnsi="Book Antiqua"/>
          <w:vertAlign w:val="superscript"/>
          <w:lang w:val="en-US"/>
        </w:rPr>
        <w:t>]</w:t>
      </w:r>
      <w:r w:rsidRPr="006B4444">
        <w:rPr>
          <w:rFonts w:ascii="Book Antiqua" w:hAnsi="Book Antiqua"/>
          <w:lang w:val="en-US"/>
        </w:rPr>
        <w:t xml:space="preserve"> described HBV reactivation in 3 (4%) of 68 patients</w:t>
      </w:r>
      <w:r w:rsidRPr="006B4444">
        <w:rPr>
          <w:rFonts w:ascii="Book Antiqua" w:hAnsi="Book Antiqua"/>
          <w:lang w:val="en-GB"/>
        </w:rPr>
        <w:t xml:space="preserve"> with onco-hematological disease </w:t>
      </w:r>
      <w:r w:rsidRPr="006B4444">
        <w:rPr>
          <w:rFonts w:ascii="Book Antiqua" w:hAnsi="Book Antiqua"/>
          <w:lang w:val="en-US"/>
        </w:rPr>
        <w:t xml:space="preserve">(two with </w:t>
      </w:r>
      <w:r w:rsidR="004235DB" w:rsidRPr="006B4444">
        <w:rPr>
          <w:rFonts w:ascii="Book Antiqua" w:hAnsi="Book Antiqua"/>
          <w:lang w:val="en-US"/>
        </w:rPr>
        <w:t>CLL</w:t>
      </w:r>
      <w:r w:rsidRPr="006B4444">
        <w:rPr>
          <w:rFonts w:ascii="Book Antiqua" w:hAnsi="Book Antiqua"/>
          <w:lang w:val="en-US"/>
        </w:rPr>
        <w:t xml:space="preserve"> and one with Waldenstrom’s disease) occurring 1-7 mo after discontinuation of lamivudine prophylaxis that had covered the whole period of immunosuppressive treatment and a subsequent </w:t>
      </w:r>
      <w:r w:rsidRPr="006B4444">
        <w:rPr>
          <w:rFonts w:ascii="Book Antiqua" w:hAnsi="Book Antiqua"/>
          <w:lang w:val="en-GB"/>
        </w:rPr>
        <w:t>18 mo after.</w:t>
      </w:r>
    </w:p>
    <w:p w14:paraId="732D1D9F" w14:textId="39D6ABA9" w:rsidR="00816D6D" w:rsidRPr="006B4444" w:rsidRDefault="00816D6D" w:rsidP="004235DB">
      <w:pPr>
        <w:widowControl w:val="0"/>
        <w:autoSpaceDE w:val="0"/>
        <w:autoSpaceDN w:val="0"/>
        <w:adjustRightInd w:val="0"/>
        <w:spacing w:line="360" w:lineRule="auto"/>
        <w:ind w:firstLineChars="100" w:firstLine="240"/>
        <w:jc w:val="both"/>
        <w:rPr>
          <w:rFonts w:ascii="Book Antiqua" w:hAnsi="Book Antiqua"/>
          <w:lang w:val="en-US"/>
        </w:rPr>
      </w:pPr>
      <w:r w:rsidRPr="006B4444">
        <w:rPr>
          <w:rFonts w:ascii="Book Antiqua" w:hAnsi="Book Antiqua"/>
          <w:lang w:val="en-US"/>
        </w:rPr>
        <w:t xml:space="preserve">Particular attention should be paid to the recipients of HSCT, a condition involving much deeper immunological suppression, for whom the duration of antiviral therapy has not yet been established. In these cases, HBV reactivation occurred years after the transplant, as in the </w:t>
      </w:r>
      <w:r w:rsidRPr="006B4444">
        <w:rPr>
          <w:rFonts w:ascii="Book Antiqua" w:hAnsi="Book Antiqua"/>
          <w:lang w:val="en-US"/>
        </w:rPr>
        <w:lastRenderedPageBreak/>
        <w:t xml:space="preserve">anecdotal case of a patient who was anti-HBs-positive at baseline and had HBV reactivation 4 years after </w:t>
      </w:r>
      <w:proofErr w:type="gramStart"/>
      <w:r w:rsidRPr="006B4444">
        <w:rPr>
          <w:rFonts w:ascii="Book Antiqua" w:hAnsi="Book Antiqua"/>
          <w:lang w:val="en-US"/>
        </w:rPr>
        <w:t>transplantation</w:t>
      </w:r>
      <w:r w:rsidRPr="006B4444">
        <w:rPr>
          <w:rFonts w:ascii="Book Antiqua" w:hAnsi="Book Antiqua"/>
          <w:vertAlign w:val="superscript"/>
          <w:lang w:val="en-US"/>
        </w:rPr>
        <w:t>[</w:t>
      </w:r>
      <w:proofErr w:type="gramEnd"/>
      <w:r w:rsidRPr="006B4444">
        <w:rPr>
          <w:rFonts w:ascii="Book Antiqua" w:hAnsi="Book Antiqua"/>
          <w:vertAlign w:val="superscript"/>
          <w:lang w:val="en-US"/>
        </w:rPr>
        <w:t>1</w:t>
      </w:r>
      <w:r w:rsidR="00BC6B2F" w:rsidRPr="006B4444">
        <w:rPr>
          <w:rFonts w:ascii="Book Antiqua" w:hAnsi="Book Antiqua"/>
          <w:vertAlign w:val="superscript"/>
          <w:lang w:val="en-US"/>
        </w:rPr>
        <w:t>2</w:t>
      </w:r>
      <w:r w:rsidR="00FD2332" w:rsidRPr="006B4444">
        <w:rPr>
          <w:rFonts w:ascii="Book Antiqua" w:hAnsi="Book Antiqua"/>
          <w:vertAlign w:val="superscript"/>
          <w:lang w:val="en-US"/>
        </w:rPr>
        <w:t>0</w:t>
      </w:r>
      <w:r w:rsidRPr="006B4444">
        <w:rPr>
          <w:rFonts w:ascii="Book Antiqua" w:hAnsi="Book Antiqua"/>
          <w:vertAlign w:val="superscript"/>
          <w:lang w:val="en-US"/>
        </w:rPr>
        <w:t>]</w:t>
      </w:r>
      <w:r w:rsidRPr="006B4444">
        <w:rPr>
          <w:rFonts w:ascii="Book Antiqua" w:hAnsi="Book Antiqua"/>
          <w:lang w:val="en-US"/>
        </w:rPr>
        <w:t xml:space="preserve">. For this special population the duration of a long-term antiviral therapy has not yet been established by the international guidelines and, in the meantime, </w:t>
      </w:r>
      <w:bookmarkStart w:id="44" w:name="_Hlk1991114"/>
      <w:r w:rsidR="00BC6B2F" w:rsidRPr="006B4444">
        <w:rPr>
          <w:rFonts w:ascii="Book Antiqua" w:hAnsi="Book Antiqua"/>
          <w:lang w:val="en-US"/>
        </w:rPr>
        <w:t xml:space="preserve">lifelong treatment may be </w:t>
      </w:r>
      <w:proofErr w:type="gramStart"/>
      <w:r w:rsidR="00BC6B2F" w:rsidRPr="006B4444">
        <w:rPr>
          <w:rFonts w:ascii="Book Antiqua" w:hAnsi="Book Antiqua"/>
          <w:lang w:val="en-US"/>
        </w:rPr>
        <w:t>wiser</w:t>
      </w:r>
      <w:r w:rsidRPr="006B4444">
        <w:rPr>
          <w:rFonts w:ascii="Book Antiqua" w:hAnsi="Book Antiqua"/>
          <w:vertAlign w:val="superscript"/>
          <w:lang w:val="en-US"/>
        </w:rPr>
        <w:t>[</w:t>
      </w:r>
      <w:proofErr w:type="gramEnd"/>
      <w:r w:rsidRPr="006B4444">
        <w:rPr>
          <w:rFonts w:ascii="Book Antiqua" w:hAnsi="Book Antiqua"/>
          <w:vertAlign w:val="superscript"/>
          <w:lang w:val="en-US"/>
        </w:rPr>
        <w:t>1</w:t>
      </w:r>
      <w:r w:rsidR="00FD2332" w:rsidRPr="006B4444">
        <w:rPr>
          <w:rFonts w:ascii="Book Antiqua" w:hAnsi="Book Antiqua"/>
          <w:vertAlign w:val="superscript"/>
          <w:lang w:val="en-US"/>
        </w:rPr>
        <w:t>16</w:t>
      </w:r>
      <w:r w:rsidRPr="006B4444">
        <w:rPr>
          <w:rFonts w:ascii="Book Antiqua" w:hAnsi="Book Antiqua"/>
          <w:vertAlign w:val="superscript"/>
          <w:lang w:val="en-US"/>
        </w:rPr>
        <w:t>]</w:t>
      </w:r>
      <w:r w:rsidRPr="006B4444">
        <w:rPr>
          <w:rFonts w:ascii="Book Antiqua" w:hAnsi="Book Antiqua"/>
          <w:lang w:val="en-US"/>
        </w:rPr>
        <w:t xml:space="preserve">. </w:t>
      </w:r>
    </w:p>
    <w:bookmarkEnd w:id="44"/>
    <w:p w14:paraId="24D641D8" w14:textId="77777777" w:rsidR="00816D6D" w:rsidRPr="006B4444" w:rsidRDefault="00816D6D" w:rsidP="004235DB">
      <w:pPr>
        <w:spacing w:line="360" w:lineRule="auto"/>
        <w:ind w:firstLineChars="100" w:firstLine="240"/>
        <w:jc w:val="both"/>
        <w:rPr>
          <w:rFonts w:ascii="Book Antiqua" w:hAnsi="Book Antiqua"/>
          <w:lang w:val="en-US"/>
        </w:rPr>
      </w:pPr>
      <w:r w:rsidRPr="006B4444">
        <w:rPr>
          <w:rFonts w:ascii="Book Antiqua" w:hAnsi="Book Antiqua"/>
          <w:lang w:val="en-US"/>
        </w:rPr>
        <w:t>Overall, the most suitable duration of monitoring for early identification of HBV reactivation after antiviral withdrawal remains partially undefined, depending on several factors, among which the degree of immunosuppression that predominates. Therefore, it is prudent that this decision be reserved for</w:t>
      </w:r>
      <w:r w:rsidRPr="006B4444">
        <w:rPr>
          <w:rFonts w:ascii="Book Antiqua" w:hAnsi="Book Antiqua"/>
          <w:lang w:val="en-GB"/>
        </w:rPr>
        <w:t xml:space="preserve"> skilled clinicians who will use international guidelines, results from specialized literature and clinical and laboratory data obtained during the entire period of observation.</w:t>
      </w:r>
      <w:r w:rsidRPr="006B4444">
        <w:rPr>
          <w:rFonts w:ascii="Book Antiqua" w:hAnsi="Book Antiqua"/>
          <w:lang w:val="en-US"/>
        </w:rPr>
        <w:t xml:space="preserve"> </w:t>
      </w:r>
    </w:p>
    <w:p w14:paraId="4AA8B04B" w14:textId="77777777" w:rsidR="00816D6D" w:rsidRPr="006B4444" w:rsidRDefault="00816D6D" w:rsidP="002F5696">
      <w:pPr>
        <w:spacing w:line="360" w:lineRule="auto"/>
        <w:jc w:val="both"/>
        <w:rPr>
          <w:rFonts w:ascii="Book Antiqua" w:hAnsi="Book Antiqua"/>
          <w:b/>
          <w:lang w:val="en-US"/>
        </w:rPr>
      </w:pPr>
    </w:p>
    <w:p w14:paraId="44800942" w14:textId="5F4A4ED2" w:rsidR="00816D6D" w:rsidRPr="006B4444" w:rsidRDefault="004235DB" w:rsidP="002F5696">
      <w:pPr>
        <w:autoSpaceDE w:val="0"/>
        <w:autoSpaceDN w:val="0"/>
        <w:adjustRightInd w:val="0"/>
        <w:spacing w:line="360" w:lineRule="auto"/>
        <w:jc w:val="both"/>
        <w:rPr>
          <w:rFonts w:ascii="Book Antiqua" w:hAnsi="Book Antiqua"/>
          <w:b/>
          <w:lang w:val="en-US"/>
        </w:rPr>
      </w:pPr>
      <w:r w:rsidRPr="006B4444">
        <w:rPr>
          <w:rFonts w:ascii="Book Antiqua" w:hAnsi="Book Antiqua"/>
          <w:b/>
          <w:lang w:val="en-US"/>
        </w:rPr>
        <w:t>CONCLUSION</w:t>
      </w:r>
    </w:p>
    <w:p w14:paraId="7EF004E9" w14:textId="40BEB970" w:rsidR="00816D6D" w:rsidRPr="006B4444" w:rsidRDefault="00816D6D" w:rsidP="002F5696">
      <w:pPr>
        <w:autoSpaceDE w:val="0"/>
        <w:autoSpaceDN w:val="0"/>
        <w:adjustRightInd w:val="0"/>
        <w:spacing w:line="360" w:lineRule="auto"/>
        <w:jc w:val="both"/>
        <w:rPr>
          <w:rFonts w:ascii="Book Antiqua" w:hAnsi="Book Antiqua"/>
          <w:lang w:val="en-GB"/>
        </w:rPr>
      </w:pPr>
      <w:r w:rsidRPr="006B4444">
        <w:rPr>
          <w:rFonts w:ascii="Book Antiqua" w:hAnsi="Book Antiqua"/>
          <w:lang w:val="en-US"/>
        </w:rPr>
        <w:t xml:space="preserve">Reactivation of HBV replication has a negative impact on the clinical course of patients with hemo-lymphoproliferative malignancies, because of its significant morbidity and its potential to induce a worse prognosis, or even a fatality. However, </w:t>
      </w:r>
      <w:r w:rsidRPr="006B4444">
        <w:rPr>
          <w:rFonts w:ascii="Book Antiqua" w:hAnsi="Book Antiqua"/>
          <w:lang w:val="en-GB"/>
        </w:rPr>
        <w:t>no shared effective solution has been decided worldwide to date, nor has a uniform standard of screening, treatment or prevention been established</w:t>
      </w:r>
      <w:r w:rsidRPr="006B4444">
        <w:rPr>
          <w:rFonts w:ascii="Book Antiqua" w:hAnsi="Book Antiqua"/>
          <w:lang w:val="en-US"/>
        </w:rPr>
        <w:t xml:space="preserve">. </w:t>
      </w:r>
      <w:r w:rsidRPr="006B4444">
        <w:rPr>
          <w:rFonts w:ascii="Book Antiqua" w:hAnsi="Book Antiqua"/>
          <w:lang w:val="en-GB"/>
        </w:rPr>
        <w:t xml:space="preserve">Given the efficacy of </w:t>
      </w:r>
      <w:proofErr w:type="gramStart"/>
      <w:r w:rsidRPr="006B4444">
        <w:rPr>
          <w:rFonts w:ascii="Book Antiqua" w:hAnsi="Book Antiqua"/>
          <w:lang w:val="en-GB"/>
        </w:rPr>
        <w:t>nucle(</w:t>
      </w:r>
      <w:proofErr w:type="gramEnd"/>
      <w:r w:rsidRPr="006B4444">
        <w:rPr>
          <w:rFonts w:ascii="Book Antiqua" w:hAnsi="Book Antiqua"/>
          <w:lang w:val="en-GB"/>
        </w:rPr>
        <w:t xml:space="preserve">t)side analogues against HBV, administered as treatment or prophylaxis </w:t>
      </w:r>
      <w:r w:rsidR="00681BA6" w:rsidRPr="006B4444">
        <w:rPr>
          <w:rFonts w:ascii="Book Antiqua" w:hAnsi="Book Antiqua"/>
          <w:lang w:val="en-GB"/>
        </w:rPr>
        <w:t xml:space="preserve">is reported for </w:t>
      </w:r>
      <w:r w:rsidRPr="006B4444">
        <w:rPr>
          <w:rFonts w:ascii="Book Antiqua" w:hAnsi="Book Antiqua"/>
          <w:lang w:val="en-GB"/>
        </w:rPr>
        <w:t xml:space="preserve">the patients at risk. All patients should be </w:t>
      </w:r>
      <w:r w:rsidR="00681BA6" w:rsidRPr="006B4444">
        <w:rPr>
          <w:rFonts w:ascii="Book Antiqua" w:hAnsi="Book Antiqua"/>
          <w:lang w:val="en-GB"/>
        </w:rPr>
        <w:t xml:space="preserve">evaueted </w:t>
      </w:r>
      <w:r w:rsidRPr="006B4444">
        <w:rPr>
          <w:rFonts w:ascii="Book Antiqua" w:hAnsi="Book Antiqua"/>
          <w:lang w:val="en-GB"/>
        </w:rPr>
        <w:t xml:space="preserve">for serum HBsAg, anti-HBc antibody, HBV DNA and </w:t>
      </w:r>
      <w:proofErr w:type="gramStart"/>
      <w:r w:rsidRPr="006B4444">
        <w:rPr>
          <w:rFonts w:ascii="Book Antiqua" w:hAnsi="Book Antiqua"/>
          <w:lang w:val="en-GB"/>
        </w:rPr>
        <w:t>liver enzymes before any immunosuppressive therapy is</w:t>
      </w:r>
      <w:proofErr w:type="gramEnd"/>
      <w:r w:rsidRPr="006B4444">
        <w:rPr>
          <w:rFonts w:ascii="Book Antiqua" w:hAnsi="Book Antiqua"/>
          <w:lang w:val="en-GB"/>
        </w:rPr>
        <w:t xml:space="preserve"> initiated. In recent years, national and international guidelines have recommended HBV screening before starting chemotherapy. The risk posed by individual treatment regimens should be carefully assessed to establish the need for antiviral prophylaxis or treatment and the duration of antiviral drug administration. For the patients identified as requiring antiviral treatment or prophylaxis, anti HBV nucleoside/nucleotide analogues with a high genetic barrier to viral resistance is recommended, especially for those at a high risk of HBV reactivation and when long-term immunosuppressive treatment is planned.</w:t>
      </w:r>
    </w:p>
    <w:p w14:paraId="6FDCCDC9" w14:textId="184F8A01" w:rsidR="004235DB" w:rsidRPr="006B4444" w:rsidRDefault="004235DB" w:rsidP="002F5696">
      <w:pPr>
        <w:autoSpaceDE w:val="0"/>
        <w:autoSpaceDN w:val="0"/>
        <w:adjustRightInd w:val="0"/>
        <w:spacing w:line="360" w:lineRule="auto"/>
        <w:jc w:val="both"/>
        <w:rPr>
          <w:rFonts w:ascii="Book Antiqua" w:hAnsi="Book Antiqua"/>
          <w:lang w:val="en-US"/>
        </w:rPr>
      </w:pPr>
    </w:p>
    <w:p w14:paraId="3E6DFB9D" w14:textId="1C5A992B" w:rsidR="00D173F2" w:rsidRPr="006B4444" w:rsidRDefault="00D173F2" w:rsidP="002F5696">
      <w:pPr>
        <w:autoSpaceDE w:val="0"/>
        <w:autoSpaceDN w:val="0"/>
        <w:adjustRightInd w:val="0"/>
        <w:spacing w:line="360" w:lineRule="auto"/>
        <w:jc w:val="both"/>
        <w:rPr>
          <w:rFonts w:ascii="Book Antiqua" w:hAnsi="Book Antiqua"/>
          <w:lang w:val="en-US"/>
        </w:rPr>
      </w:pPr>
    </w:p>
    <w:p w14:paraId="5AB2C602" w14:textId="29934F3D" w:rsidR="00D173F2" w:rsidRPr="006B4444" w:rsidRDefault="00D173F2" w:rsidP="002F5696">
      <w:pPr>
        <w:autoSpaceDE w:val="0"/>
        <w:autoSpaceDN w:val="0"/>
        <w:adjustRightInd w:val="0"/>
        <w:spacing w:line="360" w:lineRule="auto"/>
        <w:jc w:val="both"/>
        <w:rPr>
          <w:rFonts w:ascii="Book Antiqua" w:hAnsi="Book Antiqua"/>
          <w:b/>
          <w:lang w:val="de-DE"/>
        </w:rPr>
      </w:pPr>
      <w:r w:rsidRPr="006B4444">
        <w:rPr>
          <w:rFonts w:ascii="Book Antiqua" w:hAnsi="Book Antiqua"/>
          <w:lang w:val="de-DE"/>
        </w:rPr>
        <w:br w:type="page"/>
      </w:r>
      <w:r w:rsidR="000F4A0B" w:rsidRPr="006B4444">
        <w:rPr>
          <w:rFonts w:ascii="Book Antiqua" w:hAnsi="Book Antiqua"/>
          <w:b/>
          <w:lang w:val="de-DE"/>
        </w:rPr>
        <w:lastRenderedPageBreak/>
        <w:t xml:space="preserve">REFERENCES </w:t>
      </w:r>
    </w:p>
    <w:p w14:paraId="7C8E3215"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 </w:t>
      </w:r>
      <w:r w:rsidRPr="006B4444">
        <w:rPr>
          <w:rFonts w:ascii="Book Antiqua" w:eastAsia="DengXian" w:hAnsi="Book Antiqua"/>
          <w:b/>
          <w:kern w:val="2"/>
          <w:lang w:val="en-US" w:eastAsia="zh-CN"/>
        </w:rPr>
        <w:t>Schweitzer A</w:t>
      </w:r>
      <w:r w:rsidRPr="006B4444">
        <w:rPr>
          <w:rFonts w:ascii="Book Antiqua" w:eastAsia="DengXian" w:hAnsi="Book Antiqua"/>
          <w:kern w:val="2"/>
          <w:lang w:val="en-US" w:eastAsia="zh-CN"/>
        </w:rPr>
        <w:t xml:space="preserve">, Horn J, Mikolajczyk RT, Krause G, Ott JJ. Estimations of worldwide prevalence of chronic hepatitis B virus infection: A systematic review of data published between 1965 and 2013. </w:t>
      </w:r>
      <w:r w:rsidRPr="006B4444">
        <w:rPr>
          <w:rFonts w:ascii="Book Antiqua" w:eastAsia="DengXian" w:hAnsi="Book Antiqua"/>
          <w:i/>
          <w:kern w:val="2"/>
          <w:lang w:val="en-US" w:eastAsia="zh-CN"/>
        </w:rPr>
        <w:t>Lancet</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386</w:t>
      </w:r>
      <w:r w:rsidRPr="006B4444">
        <w:rPr>
          <w:rFonts w:ascii="Book Antiqua" w:eastAsia="DengXian" w:hAnsi="Book Antiqua"/>
          <w:kern w:val="2"/>
          <w:lang w:val="en-US" w:eastAsia="zh-CN"/>
        </w:rPr>
        <w:t>: 1546-1555 [PMID: 26231459 DOI: 10.1016/S0140-6736(15)61412-X]</w:t>
      </w:r>
    </w:p>
    <w:p w14:paraId="76245958"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2 </w:t>
      </w:r>
      <w:r w:rsidRPr="006B4444">
        <w:rPr>
          <w:rFonts w:ascii="Book Antiqua" w:eastAsia="DengXian" w:hAnsi="Book Antiqua"/>
          <w:b/>
          <w:kern w:val="2"/>
          <w:lang w:val="en-US" w:eastAsia="zh-CN"/>
        </w:rPr>
        <w:t>Sagnelli C</w:t>
      </w:r>
      <w:r w:rsidRPr="006B4444">
        <w:rPr>
          <w:rFonts w:ascii="Book Antiqua" w:eastAsia="DengXian" w:hAnsi="Book Antiqua"/>
          <w:kern w:val="2"/>
          <w:lang w:val="en-US" w:eastAsia="zh-CN"/>
        </w:rPr>
        <w:t xml:space="preserve">, Macera M, Pisaturo M, Zampino R, Coppola M, Sagnelli E. Occult HBV infection in the oncohematological setting. </w:t>
      </w:r>
      <w:r w:rsidRPr="006B4444">
        <w:rPr>
          <w:rFonts w:ascii="Book Antiqua" w:eastAsia="DengXian" w:hAnsi="Book Antiqua"/>
          <w:i/>
          <w:kern w:val="2"/>
          <w:lang w:val="en-US" w:eastAsia="zh-CN"/>
        </w:rPr>
        <w:t>Infection</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44</w:t>
      </w:r>
      <w:r w:rsidRPr="006B4444">
        <w:rPr>
          <w:rFonts w:ascii="Book Antiqua" w:eastAsia="DengXian" w:hAnsi="Book Antiqua"/>
          <w:kern w:val="2"/>
          <w:lang w:val="en-US" w:eastAsia="zh-CN"/>
        </w:rPr>
        <w:t>: 575-582 [PMID: 27076347 DOI: 10.1007/s15010-016-0891-1]</w:t>
      </w:r>
    </w:p>
    <w:p w14:paraId="6B847FC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3 </w:t>
      </w:r>
      <w:r w:rsidRPr="006B4444">
        <w:rPr>
          <w:rFonts w:ascii="Book Antiqua" w:eastAsia="DengXian" w:hAnsi="Book Antiqua"/>
          <w:b/>
          <w:kern w:val="2"/>
          <w:lang w:val="en-US" w:eastAsia="zh-CN"/>
        </w:rPr>
        <w:t>Coppola N</w:t>
      </w:r>
      <w:r w:rsidRPr="006B4444">
        <w:rPr>
          <w:rFonts w:ascii="Book Antiqua" w:eastAsia="DengXian" w:hAnsi="Book Antiqua"/>
          <w:kern w:val="2"/>
          <w:lang w:val="en-US" w:eastAsia="zh-CN"/>
        </w:rPr>
        <w:t xml:space="preserve">, Onorato L, Pisaturo M, Macera M, Sagnelli C, Martini S, Sagnelli E. Role of occult hepatitis B virus infection in chronic hepatitis C. </w:t>
      </w:r>
      <w:r w:rsidRPr="006B4444">
        <w:rPr>
          <w:rFonts w:ascii="Book Antiqua" w:eastAsia="DengXian" w:hAnsi="Book Antiqua"/>
          <w:i/>
          <w:kern w:val="2"/>
          <w:lang w:val="en-US" w:eastAsia="zh-CN"/>
        </w:rPr>
        <w:t>World J Gastroenterol</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21</w:t>
      </w:r>
      <w:r w:rsidRPr="006B4444">
        <w:rPr>
          <w:rFonts w:ascii="Book Antiqua" w:eastAsia="DengXian" w:hAnsi="Book Antiqua"/>
          <w:kern w:val="2"/>
          <w:lang w:val="en-US" w:eastAsia="zh-CN"/>
        </w:rPr>
        <w:t>: 11931-11940 [PMID: 26576082 DOI: 10.3748/wjg.v21.i42.11931]</w:t>
      </w:r>
    </w:p>
    <w:p w14:paraId="5526C40B"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4 </w:t>
      </w:r>
      <w:r w:rsidRPr="006B4444">
        <w:rPr>
          <w:rFonts w:ascii="Book Antiqua" w:eastAsia="DengXian" w:hAnsi="Book Antiqua"/>
          <w:b/>
          <w:kern w:val="2"/>
          <w:lang w:val="en-US" w:eastAsia="zh-CN"/>
        </w:rPr>
        <w:t>Sagnelli E</w:t>
      </w:r>
      <w:r w:rsidRPr="006B4444">
        <w:rPr>
          <w:rFonts w:ascii="Book Antiqua" w:eastAsia="DengXian" w:hAnsi="Book Antiqua"/>
          <w:kern w:val="2"/>
          <w:lang w:val="en-US" w:eastAsia="zh-CN"/>
        </w:rPr>
        <w:t xml:space="preserve">, Pisaturo M, Sagnelli C, Coppola N. Rituximab-based treatment, HCV replication, and hepatic flares. </w:t>
      </w:r>
      <w:r w:rsidRPr="006B4444">
        <w:rPr>
          <w:rFonts w:ascii="Book Antiqua" w:eastAsia="DengXian" w:hAnsi="Book Antiqua"/>
          <w:i/>
          <w:kern w:val="2"/>
          <w:lang w:val="en-US" w:eastAsia="zh-CN"/>
        </w:rPr>
        <w:t>Clin Dev Immunol</w:t>
      </w:r>
      <w:r w:rsidRPr="006B4444">
        <w:rPr>
          <w:rFonts w:ascii="Book Antiqua" w:eastAsia="DengXian" w:hAnsi="Book Antiqua"/>
          <w:kern w:val="2"/>
          <w:lang w:val="en-US" w:eastAsia="zh-CN"/>
        </w:rPr>
        <w:t xml:space="preserve"> 2012; </w:t>
      </w:r>
      <w:r w:rsidRPr="006B4444">
        <w:rPr>
          <w:rFonts w:ascii="Book Antiqua" w:eastAsia="DengXian" w:hAnsi="Book Antiqua"/>
          <w:b/>
          <w:kern w:val="2"/>
          <w:lang w:val="en-US" w:eastAsia="zh-CN"/>
        </w:rPr>
        <w:t>2012</w:t>
      </w:r>
      <w:r w:rsidRPr="006B4444">
        <w:rPr>
          <w:rFonts w:ascii="Book Antiqua" w:eastAsia="DengXian" w:hAnsi="Book Antiqua"/>
          <w:kern w:val="2"/>
          <w:lang w:val="en-US" w:eastAsia="zh-CN"/>
        </w:rPr>
        <w:t>: 945950 [PMID: 22919406 DOI: 10.1155/2012/945950]</w:t>
      </w:r>
    </w:p>
    <w:p w14:paraId="4B3BB03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5 </w:t>
      </w:r>
      <w:r w:rsidRPr="006B4444">
        <w:rPr>
          <w:rFonts w:ascii="Book Antiqua" w:eastAsia="DengXian" w:hAnsi="Book Antiqua"/>
          <w:b/>
          <w:kern w:val="2"/>
          <w:lang w:val="en-US" w:eastAsia="zh-CN"/>
        </w:rPr>
        <w:t>Tonziello G</w:t>
      </w:r>
      <w:r w:rsidRPr="006B4444">
        <w:rPr>
          <w:rFonts w:ascii="Book Antiqua" w:eastAsia="DengXian" w:hAnsi="Book Antiqua"/>
          <w:kern w:val="2"/>
          <w:lang w:val="en-US" w:eastAsia="zh-CN"/>
        </w:rPr>
        <w:t xml:space="preserve">, Pisaturo M, Sica A, Ferrara MG, Sagnelli C, Pasquale G, Sagnelli E, Guastafierro S, Coppola N. Transient reactivation of occult hepatitis B virus infection despite lamivudine prophylaxis in a patient treated for non-Hodgkin lymphoma. </w:t>
      </w:r>
      <w:r w:rsidRPr="006B4444">
        <w:rPr>
          <w:rFonts w:ascii="Book Antiqua" w:eastAsia="DengXian" w:hAnsi="Book Antiqua"/>
          <w:i/>
          <w:kern w:val="2"/>
          <w:lang w:val="en-US" w:eastAsia="zh-CN"/>
        </w:rPr>
        <w:t>Infection</w:t>
      </w:r>
      <w:r w:rsidRPr="006B4444">
        <w:rPr>
          <w:rFonts w:ascii="Book Antiqua" w:eastAsia="DengXian" w:hAnsi="Book Antiqua"/>
          <w:kern w:val="2"/>
          <w:lang w:val="en-US" w:eastAsia="zh-CN"/>
        </w:rPr>
        <w:t xml:space="preserve"> 2013; </w:t>
      </w:r>
      <w:r w:rsidRPr="006B4444">
        <w:rPr>
          <w:rFonts w:ascii="Book Antiqua" w:eastAsia="DengXian" w:hAnsi="Book Antiqua"/>
          <w:b/>
          <w:kern w:val="2"/>
          <w:lang w:val="en-US" w:eastAsia="zh-CN"/>
        </w:rPr>
        <w:t>41</w:t>
      </w:r>
      <w:r w:rsidRPr="006B4444">
        <w:rPr>
          <w:rFonts w:ascii="Book Antiqua" w:eastAsia="DengXian" w:hAnsi="Book Antiqua"/>
          <w:kern w:val="2"/>
          <w:lang w:val="en-US" w:eastAsia="zh-CN"/>
        </w:rPr>
        <w:t>: 225-229 [PMID: 22855434 DOI: 10.1007/s15010-012-0305-y]</w:t>
      </w:r>
    </w:p>
    <w:p w14:paraId="4BE4F09F"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 </w:t>
      </w:r>
      <w:r w:rsidRPr="006B4444">
        <w:rPr>
          <w:rFonts w:ascii="Book Antiqua" w:eastAsia="DengXian" w:hAnsi="Book Antiqua"/>
          <w:b/>
          <w:kern w:val="2"/>
          <w:lang w:val="en-US" w:eastAsia="zh-CN"/>
        </w:rPr>
        <w:t>Musolino C</w:t>
      </w:r>
      <w:r w:rsidRPr="006B4444">
        <w:rPr>
          <w:rFonts w:ascii="Book Antiqua" w:eastAsia="DengXian" w:hAnsi="Book Antiqua"/>
          <w:kern w:val="2"/>
          <w:lang w:val="en-US" w:eastAsia="zh-CN"/>
        </w:rPr>
        <w:t xml:space="preserve">, Cacciola I, Tripodi G, Lombardo D, Raffa G, Alibrandi A, Squadrito G, Raimondo G, Pollicino T. Behaviour of occult HBV infection in HCV-infected patients under treatment with direct-acting antivirals. </w:t>
      </w:r>
      <w:r w:rsidRPr="006B4444">
        <w:rPr>
          <w:rFonts w:ascii="Book Antiqua" w:eastAsia="DengXian" w:hAnsi="Book Antiqua"/>
          <w:i/>
          <w:kern w:val="2"/>
          <w:lang w:val="en-US" w:eastAsia="zh-CN"/>
        </w:rPr>
        <w:t>Antivir Ther</w:t>
      </w:r>
      <w:r w:rsidRPr="006B4444">
        <w:rPr>
          <w:rFonts w:ascii="Book Antiqua" w:eastAsia="DengXian" w:hAnsi="Book Antiqua"/>
          <w:kern w:val="2"/>
          <w:lang w:val="en-US" w:eastAsia="zh-CN"/>
        </w:rPr>
        <w:t xml:space="preserve"> 2019 [PMID: 30628893 DOI: 10.3851/IMP3288]</w:t>
      </w:r>
    </w:p>
    <w:p w14:paraId="28EFE32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7 </w:t>
      </w:r>
      <w:r w:rsidRPr="006B4444">
        <w:rPr>
          <w:rFonts w:ascii="Book Antiqua" w:eastAsia="DengXian" w:hAnsi="Book Antiqua"/>
          <w:b/>
          <w:kern w:val="2"/>
          <w:lang w:val="en-US" w:eastAsia="zh-CN"/>
        </w:rPr>
        <w:t>Merli M</w:t>
      </w:r>
      <w:r w:rsidRPr="006B4444">
        <w:rPr>
          <w:rFonts w:ascii="Book Antiqua" w:eastAsia="DengXian" w:hAnsi="Book Antiqua"/>
          <w:kern w:val="2"/>
          <w:lang w:val="en-US" w:eastAsia="zh-CN"/>
        </w:rPr>
        <w:t xml:space="preserve">, Frigeni M, Alric L, Visco C, Besson C, Mannelli L, Di Rocco A, Ferrari A, Farina L, Pirisi M, Piazza F, Loustaud-Ratti V, Arcari A, Marino D, Sica A, Goldaniga M, Rusconi C, Gentile M, Cencini E, Benanti F, Rumi MG, Ferretti VV, Grossi P, Gotti M, Sciarra R, Tisi MC, Cano I, Zuccaro V, Passamonti F, Arcaini L. Direct-Acting Antivirals in Hepatitis C Virus-Associated Diffuse Large B-cell Lymphomas. </w:t>
      </w:r>
      <w:r w:rsidRPr="006B4444">
        <w:rPr>
          <w:rFonts w:ascii="Book Antiqua" w:eastAsia="DengXian" w:hAnsi="Book Antiqua"/>
          <w:i/>
          <w:kern w:val="2"/>
          <w:lang w:val="en-US" w:eastAsia="zh-CN"/>
        </w:rPr>
        <w:t>Oncologist</w:t>
      </w:r>
      <w:r w:rsidRPr="006B4444">
        <w:rPr>
          <w:rFonts w:ascii="Book Antiqua" w:eastAsia="DengXian" w:hAnsi="Book Antiqua"/>
          <w:kern w:val="2"/>
          <w:lang w:val="en-US" w:eastAsia="zh-CN"/>
        </w:rPr>
        <w:t xml:space="preserve"> 2018; pii: theoncologist.2018-0331 [PMID: </w:t>
      </w:r>
      <w:bookmarkStart w:id="45" w:name="OLE_LINK20"/>
      <w:bookmarkStart w:id="46" w:name="OLE_LINK21"/>
      <w:r w:rsidRPr="006B4444">
        <w:rPr>
          <w:rFonts w:ascii="Book Antiqua" w:eastAsia="DengXian" w:hAnsi="Book Antiqua"/>
          <w:kern w:val="2"/>
          <w:lang w:val="en-US" w:eastAsia="zh-CN"/>
        </w:rPr>
        <w:t>30552159</w:t>
      </w:r>
      <w:bookmarkEnd w:id="45"/>
      <w:bookmarkEnd w:id="46"/>
      <w:r w:rsidRPr="006B4444">
        <w:rPr>
          <w:rFonts w:ascii="Book Antiqua" w:eastAsia="DengXian" w:hAnsi="Book Antiqua"/>
          <w:kern w:val="2"/>
          <w:lang w:val="en-US" w:eastAsia="zh-CN"/>
        </w:rPr>
        <w:t xml:space="preserve"> DOI: 10.1634/theoncologist.2018-0331]</w:t>
      </w:r>
    </w:p>
    <w:p w14:paraId="15E9E50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8 </w:t>
      </w:r>
      <w:r w:rsidRPr="006B4444">
        <w:rPr>
          <w:rFonts w:ascii="Book Antiqua" w:eastAsia="DengXian" w:hAnsi="Book Antiqua"/>
          <w:b/>
          <w:kern w:val="2"/>
          <w:lang w:val="en-US" w:eastAsia="zh-CN"/>
        </w:rPr>
        <w:t>Coppola N</w:t>
      </w:r>
      <w:r w:rsidRPr="006B4444">
        <w:rPr>
          <w:rFonts w:ascii="Book Antiqua" w:eastAsia="DengXian" w:hAnsi="Book Antiqua"/>
          <w:kern w:val="2"/>
          <w:lang w:val="en-US" w:eastAsia="zh-CN"/>
        </w:rPr>
        <w:t xml:space="preserve">, Onorato L, Minichini C, Di Caprio G, Starace M, Sagnelli C, Sagnelli E. Clinical significance of hepatitis B surface antigen mutants. </w:t>
      </w:r>
      <w:r w:rsidRPr="006B4444">
        <w:rPr>
          <w:rFonts w:ascii="Book Antiqua" w:eastAsia="DengXian" w:hAnsi="Book Antiqua"/>
          <w:i/>
          <w:kern w:val="2"/>
          <w:lang w:val="en-US" w:eastAsia="zh-CN"/>
        </w:rPr>
        <w:t>World J Hepatol</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7</w:t>
      </w:r>
      <w:r w:rsidRPr="006B4444">
        <w:rPr>
          <w:rFonts w:ascii="Book Antiqua" w:eastAsia="DengXian" w:hAnsi="Book Antiqua"/>
          <w:kern w:val="2"/>
          <w:lang w:val="en-US" w:eastAsia="zh-CN"/>
        </w:rPr>
        <w:t>: 2729-2739 [PMID: 26644816 DOI: 10.4254/wjh.v7.i27.2729]</w:t>
      </w:r>
    </w:p>
    <w:p w14:paraId="4904D8B2"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9 </w:t>
      </w:r>
      <w:r w:rsidRPr="006B4444">
        <w:rPr>
          <w:rFonts w:ascii="Book Antiqua" w:eastAsia="DengXian" w:hAnsi="Book Antiqua"/>
          <w:b/>
          <w:kern w:val="2"/>
          <w:lang w:val="en-US" w:eastAsia="zh-CN"/>
        </w:rPr>
        <w:t>Coppola N</w:t>
      </w:r>
      <w:r w:rsidRPr="006B4444">
        <w:rPr>
          <w:rFonts w:ascii="Book Antiqua" w:eastAsia="DengXian" w:hAnsi="Book Antiqua"/>
          <w:kern w:val="2"/>
          <w:lang w:val="en-US" w:eastAsia="zh-CN"/>
        </w:rPr>
        <w:t xml:space="preserve">, Potenza N, Pisaturo M, Mosca N, Tonziello G, Signoriello G, Messina V, Sagnelli C, Russo A, Sagnelli E. Liver microRNA hsa-miR-125a-5p in HBV chronic infection: Correlation with HBV replication and disease progression. </w:t>
      </w:r>
      <w:r w:rsidRPr="006B4444">
        <w:rPr>
          <w:rFonts w:ascii="Book Antiqua" w:eastAsia="DengXian" w:hAnsi="Book Antiqua"/>
          <w:i/>
          <w:kern w:val="2"/>
          <w:lang w:val="en-US" w:eastAsia="zh-CN"/>
        </w:rPr>
        <w:t>PLoS One</w:t>
      </w:r>
      <w:r w:rsidRPr="006B4444">
        <w:rPr>
          <w:rFonts w:ascii="Book Antiqua" w:eastAsia="DengXian" w:hAnsi="Book Antiqua"/>
          <w:kern w:val="2"/>
          <w:lang w:val="en-US" w:eastAsia="zh-CN"/>
        </w:rPr>
        <w:t xml:space="preserve"> 2013; </w:t>
      </w:r>
      <w:r w:rsidRPr="006B4444">
        <w:rPr>
          <w:rFonts w:ascii="Book Antiqua" w:eastAsia="DengXian" w:hAnsi="Book Antiqua"/>
          <w:b/>
          <w:kern w:val="2"/>
          <w:lang w:val="en-US" w:eastAsia="zh-CN"/>
        </w:rPr>
        <w:t>8</w:t>
      </w:r>
      <w:r w:rsidRPr="006B4444">
        <w:rPr>
          <w:rFonts w:ascii="Book Antiqua" w:eastAsia="DengXian" w:hAnsi="Book Antiqua"/>
          <w:kern w:val="2"/>
          <w:lang w:val="en-US" w:eastAsia="zh-CN"/>
        </w:rPr>
        <w:t>: e65336 [PMID: 23843939 DOI: 10.1371/journal.pone.0065336]</w:t>
      </w:r>
    </w:p>
    <w:p w14:paraId="59FA0E9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10 </w:t>
      </w:r>
      <w:r w:rsidRPr="006B4444">
        <w:rPr>
          <w:rFonts w:ascii="Book Antiqua" w:eastAsia="DengXian" w:hAnsi="Book Antiqua"/>
          <w:b/>
          <w:kern w:val="2"/>
          <w:lang w:val="en-US" w:eastAsia="zh-CN"/>
        </w:rPr>
        <w:t>Mosca N</w:t>
      </w:r>
      <w:r w:rsidRPr="006B4444">
        <w:rPr>
          <w:rFonts w:ascii="Book Antiqua" w:eastAsia="DengXian" w:hAnsi="Book Antiqua"/>
          <w:kern w:val="2"/>
          <w:lang w:val="en-US" w:eastAsia="zh-CN"/>
        </w:rPr>
        <w:t xml:space="preserve">, Castiello F, Coppola N, Trotta MC, Sagnelli C, Pisaturo M, Sagnelli E, Russo A, </w:t>
      </w:r>
      <w:r w:rsidRPr="006B4444">
        <w:rPr>
          <w:rFonts w:ascii="Book Antiqua" w:eastAsia="DengXian" w:hAnsi="Book Antiqua"/>
          <w:kern w:val="2"/>
          <w:lang w:val="en-US" w:eastAsia="zh-CN"/>
        </w:rPr>
        <w:lastRenderedPageBreak/>
        <w:t xml:space="preserve">Potenza N. Functional interplay between hepatitis B virus X protein and human miR-125a in HBV infection. </w:t>
      </w:r>
      <w:r w:rsidRPr="006B4444">
        <w:rPr>
          <w:rFonts w:ascii="Book Antiqua" w:eastAsia="DengXian" w:hAnsi="Book Antiqua"/>
          <w:i/>
          <w:kern w:val="2"/>
          <w:lang w:val="en-US" w:eastAsia="zh-CN"/>
        </w:rPr>
        <w:t>Biochem Biophys Res Commun</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449</w:t>
      </w:r>
      <w:r w:rsidRPr="006B4444">
        <w:rPr>
          <w:rFonts w:ascii="Book Antiqua" w:eastAsia="DengXian" w:hAnsi="Book Antiqua"/>
          <w:kern w:val="2"/>
          <w:lang w:val="en-US" w:eastAsia="zh-CN"/>
        </w:rPr>
        <w:t>: 141-145 [PMID: 24824183 DOI: 10.1016/j.bbrc.2014.05.009]</w:t>
      </w:r>
    </w:p>
    <w:p w14:paraId="690F70BA"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11 </w:t>
      </w:r>
      <w:r w:rsidRPr="006B4444">
        <w:rPr>
          <w:rFonts w:ascii="Book Antiqua" w:eastAsia="DengXian" w:hAnsi="Book Antiqua"/>
          <w:b/>
          <w:kern w:val="2"/>
          <w:lang w:val="en-US" w:eastAsia="zh-CN"/>
        </w:rPr>
        <w:t>Hoofnagle JH</w:t>
      </w:r>
      <w:r w:rsidRPr="006B4444">
        <w:rPr>
          <w:rFonts w:ascii="Book Antiqua" w:eastAsia="DengXian" w:hAnsi="Book Antiqua"/>
          <w:kern w:val="2"/>
          <w:lang w:val="en-US" w:eastAsia="zh-CN"/>
        </w:rPr>
        <w:t>.</w:t>
      </w:r>
      <w:proofErr w:type="gramEnd"/>
      <w:r w:rsidRPr="006B4444">
        <w:rPr>
          <w:rFonts w:ascii="Book Antiqua" w:eastAsia="DengXian" w:hAnsi="Book Antiqua"/>
          <w:kern w:val="2"/>
          <w:lang w:val="en-US" w:eastAsia="zh-CN"/>
        </w:rPr>
        <w:t xml:space="preserve"> Reactivation of hepatitis B.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2009; </w:t>
      </w:r>
      <w:r w:rsidRPr="006B4444">
        <w:rPr>
          <w:rFonts w:ascii="Book Antiqua" w:eastAsia="DengXian" w:hAnsi="Book Antiqua"/>
          <w:b/>
          <w:kern w:val="2"/>
          <w:lang w:val="en-US" w:eastAsia="zh-CN"/>
        </w:rPr>
        <w:t>49</w:t>
      </w:r>
      <w:r w:rsidRPr="006B4444">
        <w:rPr>
          <w:rFonts w:ascii="Book Antiqua" w:eastAsia="DengXian" w:hAnsi="Book Antiqua"/>
          <w:kern w:val="2"/>
          <w:lang w:val="en-US" w:eastAsia="zh-CN"/>
        </w:rPr>
        <w:t>: S156-S165 [PMID: 19399803 DOI: 10.1002/hep.22945]</w:t>
      </w:r>
    </w:p>
    <w:p w14:paraId="10648BA8"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12 </w:t>
      </w:r>
      <w:r w:rsidRPr="006B4444">
        <w:rPr>
          <w:rFonts w:ascii="Book Antiqua" w:eastAsia="DengXian" w:hAnsi="Book Antiqua"/>
          <w:b/>
          <w:kern w:val="2"/>
          <w:lang w:val="en-US" w:eastAsia="zh-CN"/>
        </w:rPr>
        <w:t>Lok AS</w:t>
      </w:r>
      <w:r w:rsidRPr="006B4444">
        <w:rPr>
          <w:rFonts w:ascii="Book Antiqua" w:eastAsia="DengXian" w:hAnsi="Book Antiqua"/>
          <w:kern w:val="2"/>
          <w:lang w:val="en-US" w:eastAsia="zh-CN"/>
        </w:rPr>
        <w:t>, Ward JW, Perrillo RP, McMahon BJ, Liang TJ.</w:t>
      </w:r>
      <w:proofErr w:type="gramEnd"/>
      <w:r w:rsidRPr="006B4444">
        <w:rPr>
          <w:rFonts w:ascii="Book Antiqua" w:eastAsia="DengXian" w:hAnsi="Book Antiqua"/>
          <w:kern w:val="2"/>
          <w:lang w:val="en-US" w:eastAsia="zh-CN"/>
        </w:rPr>
        <w:t xml:space="preserve"> Reactivation of hepatitis B during immunosuppressive therapy: Potentially fatal yet preventable. </w:t>
      </w:r>
      <w:r w:rsidRPr="006B4444">
        <w:rPr>
          <w:rFonts w:ascii="Book Antiqua" w:eastAsia="DengXian" w:hAnsi="Book Antiqua"/>
          <w:i/>
          <w:kern w:val="2"/>
          <w:lang w:val="en-US" w:eastAsia="zh-CN"/>
        </w:rPr>
        <w:t>Ann Intern Med</w:t>
      </w:r>
      <w:r w:rsidRPr="006B4444">
        <w:rPr>
          <w:rFonts w:ascii="Book Antiqua" w:eastAsia="DengXian" w:hAnsi="Book Antiqua"/>
          <w:kern w:val="2"/>
          <w:lang w:val="en-US" w:eastAsia="zh-CN"/>
        </w:rPr>
        <w:t xml:space="preserve"> 2012; </w:t>
      </w:r>
      <w:r w:rsidRPr="006B4444">
        <w:rPr>
          <w:rFonts w:ascii="Book Antiqua" w:eastAsia="DengXian" w:hAnsi="Book Antiqua"/>
          <w:b/>
          <w:kern w:val="2"/>
          <w:lang w:val="en-US" w:eastAsia="zh-CN"/>
        </w:rPr>
        <w:t>156</w:t>
      </w:r>
      <w:r w:rsidRPr="006B4444">
        <w:rPr>
          <w:rFonts w:ascii="Book Antiqua" w:eastAsia="DengXian" w:hAnsi="Book Antiqua"/>
          <w:kern w:val="2"/>
          <w:lang w:val="en-US" w:eastAsia="zh-CN"/>
        </w:rPr>
        <w:t>: 743-745 [PMID: 22586011 DOI: 10.7326/0003-4819-156-10-201205150-00013]</w:t>
      </w:r>
    </w:p>
    <w:p w14:paraId="7C4E57B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13 </w:t>
      </w:r>
      <w:r w:rsidRPr="006B4444">
        <w:rPr>
          <w:rFonts w:ascii="Book Antiqua" w:eastAsia="DengXian" w:hAnsi="Book Antiqua"/>
          <w:b/>
          <w:kern w:val="2"/>
          <w:lang w:val="en-US" w:eastAsia="zh-CN"/>
        </w:rPr>
        <w:t>Wang B</w:t>
      </w:r>
      <w:r w:rsidRPr="006B4444">
        <w:rPr>
          <w:rFonts w:ascii="Book Antiqua" w:eastAsia="DengXian" w:hAnsi="Book Antiqua"/>
          <w:kern w:val="2"/>
          <w:lang w:val="en-US" w:eastAsia="zh-CN"/>
        </w:rPr>
        <w:t xml:space="preserve">, Mufti G, Agarwal K. Reactivation of hepatitis B virus infection in patients with hematologic disorders. </w:t>
      </w:r>
      <w:r w:rsidRPr="006B4444">
        <w:rPr>
          <w:rFonts w:ascii="Book Antiqua" w:eastAsia="DengXian" w:hAnsi="Book Antiqua"/>
          <w:i/>
          <w:kern w:val="2"/>
          <w:lang w:val="en-US" w:eastAsia="zh-CN"/>
        </w:rPr>
        <w:t>Haematologica</w:t>
      </w:r>
      <w:r w:rsidRPr="006B4444">
        <w:rPr>
          <w:rFonts w:ascii="Book Antiqua" w:eastAsia="DengXian" w:hAnsi="Book Antiqua"/>
          <w:kern w:val="2"/>
          <w:lang w:val="en-US" w:eastAsia="zh-CN"/>
        </w:rPr>
        <w:t xml:space="preserve"> 2019; </w:t>
      </w:r>
      <w:r w:rsidRPr="006B4444">
        <w:rPr>
          <w:rFonts w:ascii="Book Antiqua" w:eastAsia="DengXian" w:hAnsi="Book Antiqua"/>
          <w:b/>
          <w:kern w:val="2"/>
          <w:lang w:val="en-US" w:eastAsia="zh-CN"/>
        </w:rPr>
        <w:t>104</w:t>
      </w:r>
      <w:r w:rsidRPr="006B4444">
        <w:rPr>
          <w:rFonts w:ascii="Book Antiqua" w:eastAsia="DengXian" w:hAnsi="Book Antiqua"/>
          <w:kern w:val="2"/>
          <w:lang w:val="en-US" w:eastAsia="zh-CN"/>
        </w:rPr>
        <w:t>: 435-443 [PMID: 30733266 DOI: 10.3324/haematol.2018.210252]</w:t>
      </w:r>
    </w:p>
    <w:p w14:paraId="6487DD59"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14 </w:t>
      </w:r>
      <w:r w:rsidRPr="006B4444">
        <w:rPr>
          <w:rFonts w:ascii="Book Antiqua" w:eastAsia="DengXian" w:hAnsi="Book Antiqua"/>
          <w:b/>
          <w:kern w:val="2"/>
          <w:lang w:val="en-US" w:eastAsia="zh-CN"/>
        </w:rPr>
        <w:t>Guo L</w:t>
      </w:r>
      <w:r w:rsidRPr="006B4444">
        <w:rPr>
          <w:rFonts w:ascii="Book Antiqua" w:eastAsia="DengXian" w:hAnsi="Book Antiqua"/>
          <w:kern w:val="2"/>
          <w:lang w:val="en-US" w:eastAsia="zh-CN"/>
        </w:rPr>
        <w:t xml:space="preserve">, Wang D, Ouyang X, Tang N, Chen X, Zhang Y, Zhu H, Li X. </w:t>
      </w:r>
      <w:proofErr w:type="gramStart"/>
      <w:r w:rsidRPr="006B4444">
        <w:rPr>
          <w:rFonts w:ascii="Book Antiqua" w:eastAsia="DengXian" w:hAnsi="Book Antiqua"/>
          <w:kern w:val="2"/>
          <w:lang w:val="en-US" w:eastAsia="zh-CN"/>
        </w:rPr>
        <w:t>Recent Advances in HBV Reactivation Research.</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Biomed Res Int</w:t>
      </w:r>
      <w:r w:rsidRPr="006B4444">
        <w:rPr>
          <w:rFonts w:ascii="Book Antiqua" w:eastAsia="DengXian" w:hAnsi="Book Antiqua"/>
          <w:kern w:val="2"/>
          <w:lang w:val="en-US" w:eastAsia="zh-CN"/>
        </w:rPr>
        <w:t xml:space="preserve"> 2018; </w:t>
      </w:r>
      <w:r w:rsidRPr="006B4444">
        <w:rPr>
          <w:rFonts w:ascii="Book Antiqua" w:eastAsia="DengXian" w:hAnsi="Book Antiqua"/>
          <w:b/>
          <w:kern w:val="2"/>
          <w:lang w:val="en-US" w:eastAsia="zh-CN"/>
        </w:rPr>
        <w:t>2018</w:t>
      </w:r>
      <w:r w:rsidRPr="006B4444">
        <w:rPr>
          <w:rFonts w:ascii="Book Antiqua" w:eastAsia="DengXian" w:hAnsi="Book Antiqua"/>
          <w:kern w:val="2"/>
          <w:lang w:val="en-US" w:eastAsia="zh-CN"/>
        </w:rPr>
        <w:t>: 2931402 [PMID: 30687740 DOI: 10.1155/2018/2931402]</w:t>
      </w:r>
    </w:p>
    <w:p w14:paraId="4B437F77"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15 </w:t>
      </w:r>
      <w:r w:rsidRPr="006B4444">
        <w:rPr>
          <w:rFonts w:ascii="Book Antiqua" w:eastAsia="DengXian" w:hAnsi="Book Antiqua"/>
          <w:b/>
          <w:kern w:val="2"/>
          <w:lang w:val="en-US" w:eastAsia="zh-CN"/>
        </w:rPr>
        <w:t>Fattovich G</w:t>
      </w:r>
      <w:r w:rsidRPr="006B4444">
        <w:rPr>
          <w:rFonts w:ascii="Book Antiqua" w:eastAsia="DengXian" w:hAnsi="Book Antiqua"/>
          <w:kern w:val="2"/>
          <w:lang w:val="en-US" w:eastAsia="zh-CN"/>
        </w:rPr>
        <w:t xml:space="preserve">. Natural history and prognosis of hepatitis B. </w:t>
      </w:r>
      <w:r w:rsidRPr="006B4444">
        <w:rPr>
          <w:rFonts w:ascii="Book Antiqua" w:eastAsia="DengXian" w:hAnsi="Book Antiqua"/>
          <w:i/>
          <w:kern w:val="2"/>
          <w:lang w:val="en-US" w:eastAsia="zh-CN"/>
        </w:rPr>
        <w:t>Semin Liver Dis</w:t>
      </w:r>
      <w:r w:rsidRPr="006B4444">
        <w:rPr>
          <w:rFonts w:ascii="Book Antiqua" w:eastAsia="DengXian" w:hAnsi="Book Antiqua"/>
          <w:kern w:val="2"/>
          <w:lang w:val="en-US" w:eastAsia="zh-CN"/>
        </w:rPr>
        <w:t xml:space="preserve"> 2003; </w:t>
      </w:r>
      <w:r w:rsidRPr="006B4444">
        <w:rPr>
          <w:rFonts w:ascii="Book Antiqua" w:eastAsia="DengXian" w:hAnsi="Book Antiqua"/>
          <w:b/>
          <w:kern w:val="2"/>
          <w:lang w:val="en-US" w:eastAsia="zh-CN"/>
        </w:rPr>
        <w:t>23</w:t>
      </w:r>
      <w:r w:rsidRPr="006B4444">
        <w:rPr>
          <w:rFonts w:ascii="Book Antiqua" w:eastAsia="DengXian" w:hAnsi="Book Antiqua"/>
          <w:kern w:val="2"/>
          <w:lang w:val="en-US" w:eastAsia="zh-CN"/>
        </w:rPr>
        <w:t>: 47-58 [PMID: 12616450 DOI: 10.1055/s-2003-37590]</w:t>
      </w:r>
    </w:p>
    <w:p w14:paraId="777DD3CA"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16 </w:t>
      </w:r>
      <w:r w:rsidRPr="006B4444">
        <w:rPr>
          <w:rFonts w:ascii="Book Antiqua" w:eastAsia="DengXian" w:hAnsi="Book Antiqua"/>
          <w:b/>
          <w:kern w:val="2"/>
          <w:lang w:val="en-US" w:eastAsia="zh-CN"/>
        </w:rPr>
        <w:t>Terrault NA</w:t>
      </w:r>
      <w:r w:rsidRPr="006B4444">
        <w:rPr>
          <w:rFonts w:ascii="Book Antiqua" w:eastAsia="DengXian" w:hAnsi="Book Antiqua"/>
          <w:kern w:val="2"/>
          <w:lang w:val="en-US" w:eastAsia="zh-CN"/>
        </w:rPr>
        <w:t xml:space="preserve">, Lok ASF, McMahon BJ, Chang KM, Hwang JP, Jonas MM, Brown RS Jr, Bzowej NH, Wong JB. Update on prevention, diagnosis, and treatment of chronic hepatitis B: AASLD 2018 hepatitis B guidance.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2018; </w:t>
      </w:r>
      <w:r w:rsidRPr="006B4444">
        <w:rPr>
          <w:rFonts w:ascii="Book Antiqua" w:eastAsia="DengXian" w:hAnsi="Book Antiqua"/>
          <w:b/>
          <w:kern w:val="2"/>
          <w:lang w:val="en-US" w:eastAsia="zh-CN"/>
        </w:rPr>
        <w:t>67</w:t>
      </w:r>
      <w:r w:rsidRPr="006B4444">
        <w:rPr>
          <w:rFonts w:ascii="Book Antiqua" w:eastAsia="DengXian" w:hAnsi="Book Antiqua"/>
          <w:kern w:val="2"/>
          <w:lang w:val="en-US" w:eastAsia="zh-CN"/>
        </w:rPr>
        <w:t>: 1560-1599 [PMID: 29405329 DOI: 10.1002/hep.29800]</w:t>
      </w:r>
    </w:p>
    <w:p w14:paraId="3132EB3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17 </w:t>
      </w:r>
      <w:r w:rsidRPr="006B4444">
        <w:rPr>
          <w:rFonts w:ascii="Book Antiqua" w:eastAsia="DengXian" w:hAnsi="Book Antiqua"/>
          <w:b/>
          <w:kern w:val="2"/>
          <w:lang w:val="en-US" w:eastAsia="zh-CN"/>
        </w:rPr>
        <w:t>Rehermann B</w:t>
      </w:r>
      <w:r w:rsidRPr="006B4444">
        <w:rPr>
          <w:rFonts w:ascii="Book Antiqua" w:eastAsia="DengXian" w:hAnsi="Book Antiqua"/>
          <w:kern w:val="2"/>
          <w:lang w:val="en-US" w:eastAsia="zh-CN"/>
        </w:rPr>
        <w:t>, Nascimbeni M. Immunology of hepatitis B virus and hepatitis C virus infection.</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Nat Rev Immunol</w:t>
      </w:r>
      <w:r w:rsidRPr="006B4444">
        <w:rPr>
          <w:rFonts w:ascii="Book Antiqua" w:eastAsia="DengXian" w:hAnsi="Book Antiqua"/>
          <w:kern w:val="2"/>
          <w:lang w:val="en-US" w:eastAsia="zh-CN"/>
        </w:rPr>
        <w:t xml:space="preserve"> 2005; </w:t>
      </w:r>
      <w:r w:rsidRPr="006B4444">
        <w:rPr>
          <w:rFonts w:ascii="Book Antiqua" w:eastAsia="DengXian" w:hAnsi="Book Antiqua"/>
          <w:b/>
          <w:kern w:val="2"/>
          <w:lang w:val="en-US" w:eastAsia="zh-CN"/>
        </w:rPr>
        <w:t>5</w:t>
      </w:r>
      <w:r w:rsidRPr="006B4444">
        <w:rPr>
          <w:rFonts w:ascii="Book Antiqua" w:eastAsia="DengXian" w:hAnsi="Book Antiqua"/>
          <w:kern w:val="2"/>
          <w:lang w:val="en-US" w:eastAsia="zh-CN"/>
        </w:rPr>
        <w:t>: 215-229 [PMID: 15738952 DOI: 10.1038/nri1573]</w:t>
      </w:r>
    </w:p>
    <w:p w14:paraId="09774A92"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18 </w:t>
      </w:r>
      <w:r w:rsidRPr="006B4444">
        <w:rPr>
          <w:rFonts w:ascii="Book Antiqua" w:eastAsia="DengXian" w:hAnsi="Book Antiqua"/>
          <w:b/>
          <w:kern w:val="2"/>
          <w:lang w:val="en-US" w:eastAsia="zh-CN"/>
        </w:rPr>
        <w:t>Lok AS</w:t>
      </w:r>
      <w:r w:rsidRPr="006B4444">
        <w:rPr>
          <w:rFonts w:ascii="Book Antiqua" w:eastAsia="DengXian" w:hAnsi="Book Antiqua"/>
          <w:kern w:val="2"/>
          <w:lang w:val="en-US" w:eastAsia="zh-CN"/>
        </w:rPr>
        <w:t xml:space="preserve">, Zoulim F, Dusheiko G, Ghany MG. Hepatitis B cure: From discovery to regulatory approval.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66</w:t>
      </w:r>
      <w:r w:rsidRPr="006B4444">
        <w:rPr>
          <w:rFonts w:ascii="Book Antiqua" w:eastAsia="DengXian" w:hAnsi="Book Antiqua"/>
          <w:kern w:val="2"/>
          <w:lang w:val="en-US" w:eastAsia="zh-CN"/>
        </w:rPr>
        <w:t>: 1296-1313 [PMID: 28762522 DOI: 10.1002/hep.29323]</w:t>
      </w:r>
    </w:p>
    <w:p w14:paraId="40747A7C"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19 </w:t>
      </w:r>
      <w:r w:rsidRPr="006B4444">
        <w:rPr>
          <w:rFonts w:ascii="Book Antiqua" w:eastAsia="DengXian" w:hAnsi="Book Antiqua"/>
          <w:b/>
          <w:kern w:val="2"/>
          <w:lang w:val="en-US" w:eastAsia="zh-CN"/>
        </w:rPr>
        <w:t>Liu CJ</w:t>
      </w:r>
      <w:r w:rsidRPr="006B4444">
        <w:rPr>
          <w:rFonts w:ascii="Book Antiqua" w:eastAsia="DengXian" w:hAnsi="Book Antiqua"/>
          <w:kern w:val="2"/>
          <w:lang w:val="en-US" w:eastAsia="zh-CN"/>
        </w:rPr>
        <w:t xml:space="preserve">, Kao JH. Global perspective on the natural history of chronic hepatitis B: Role of hepatitis B virus genotypes A to J. </w:t>
      </w:r>
      <w:r w:rsidRPr="006B4444">
        <w:rPr>
          <w:rFonts w:ascii="Book Antiqua" w:eastAsia="DengXian" w:hAnsi="Book Antiqua"/>
          <w:i/>
          <w:kern w:val="2"/>
          <w:lang w:val="en-US" w:eastAsia="zh-CN"/>
        </w:rPr>
        <w:t>Semin Liver Dis</w:t>
      </w:r>
      <w:r w:rsidRPr="006B4444">
        <w:rPr>
          <w:rFonts w:ascii="Book Antiqua" w:eastAsia="DengXian" w:hAnsi="Book Antiqua"/>
          <w:kern w:val="2"/>
          <w:lang w:val="en-US" w:eastAsia="zh-CN"/>
        </w:rPr>
        <w:t xml:space="preserve"> 2013; </w:t>
      </w:r>
      <w:r w:rsidRPr="006B4444">
        <w:rPr>
          <w:rFonts w:ascii="Book Antiqua" w:eastAsia="DengXian" w:hAnsi="Book Antiqua"/>
          <w:b/>
          <w:kern w:val="2"/>
          <w:lang w:val="en-US" w:eastAsia="zh-CN"/>
        </w:rPr>
        <w:t>33</w:t>
      </w:r>
      <w:r w:rsidRPr="006B4444">
        <w:rPr>
          <w:rFonts w:ascii="Book Antiqua" w:eastAsia="DengXian" w:hAnsi="Book Antiqua"/>
          <w:kern w:val="2"/>
          <w:lang w:val="en-US" w:eastAsia="zh-CN"/>
        </w:rPr>
        <w:t>: 97-102 [PMID: 23749665 DOI: 10.1055/s-0033-1345716]</w:t>
      </w:r>
    </w:p>
    <w:p w14:paraId="4F8BD0C5"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20 </w:t>
      </w:r>
      <w:r w:rsidRPr="006B4444">
        <w:rPr>
          <w:rFonts w:ascii="Book Antiqua" w:eastAsia="DengXian" w:hAnsi="Book Antiqua"/>
          <w:b/>
          <w:kern w:val="2"/>
          <w:lang w:val="en-US" w:eastAsia="zh-CN"/>
        </w:rPr>
        <w:t>Sakamoto T</w:t>
      </w:r>
      <w:r w:rsidRPr="006B4444">
        <w:rPr>
          <w:rFonts w:ascii="Book Antiqua" w:eastAsia="DengXian" w:hAnsi="Book Antiqua"/>
          <w:kern w:val="2"/>
          <w:lang w:val="en-US" w:eastAsia="zh-CN"/>
        </w:rPr>
        <w:t xml:space="preserve">, Tanaka Y, Orito E, Co J, Clavio J, Sugauchi F, Ito K, Ozasa A, Quino A, Ueda R, Sollano J, Mizokami M. Novel subtypes (subgenotypes) of hepatitis B virus genotypes B and C among chronic liver disease patients in the Philippines. </w:t>
      </w:r>
      <w:r w:rsidRPr="006B4444">
        <w:rPr>
          <w:rFonts w:ascii="Book Antiqua" w:eastAsia="DengXian" w:hAnsi="Book Antiqua"/>
          <w:i/>
          <w:kern w:val="2"/>
          <w:lang w:val="en-US" w:eastAsia="zh-CN"/>
        </w:rPr>
        <w:t>J Gen Virol</w:t>
      </w:r>
      <w:r w:rsidRPr="006B4444">
        <w:rPr>
          <w:rFonts w:ascii="Book Antiqua" w:eastAsia="DengXian" w:hAnsi="Book Antiqua"/>
          <w:kern w:val="2"/>
          <w:lang w:val="en-US" w:eastAsia="zh-CN"/>
        </w:rPr>
        <w:t xml:space="preserve"> 2006; </w:t>
      </w:r>
      <w:r w:rsidRPr="006B4444">
        <w:rPr>
          <w:rFonts w:ascii="Book Antiqua" w:eastAsia="DengXian" w:hAnsi="Book Antiqua"/>
          <w:b/>
          <w:kern w:val="2"/>
          <w:lang w:val="en-US" w:eastAsia="zh-CN"/>
        </w:rPr>
        <w:t>87</w:t>
      </w:r>
      <w:r w:rsidRPr="006B4444">
        <w:rPr>
          <w:rFonts w:ascii="Book Antiqua" w:eastAsia="DengXian" w:hAnsi="Book Antiqua"/>
          <w:kern w:val="2"/>
          <w:lang w:val="en-US" w:eastAsia="zh-CN"/>
        </w:rPr>
        <w:t>: 1873-1882 [PMID: 16760389 DOI: 10.1099/vir.0.81714-0]</w:t>
      </w:r>
    </w:p>
    <w:p w14:paraId="41D4FAB8"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21 </w:t>
      </w:r>
      <w:r w:rsidRPr="006B4444">
        <w:rPr>
          <w:rFonts w:ascii="Book Antiqua" w:eastAsia="DengXian" w:hAnsi="Book Antiqua"/>
          <w:b/>
          <w:kern w:val="2"/>
          <w:lang w:val="en-US" w:eastAsia="zh-CN"/>
        </w:rPr>
        <w:t>Schaefer S</w:t>
      </w:r>
      <w:r w:rsidRPr="006B4444">
        <w:rPr>
          <w:rFonts w:ascii="Book Antiqua" w:eastAsia="DengXian" w:hAnsi="Book Antiqua"/>
          <w:kern w:val="2"/>
          <w:lang w:val="en-US" w:eastAsia="zh-CN"/>
        </w:rPr>
        <w:t>. Hepatitis B virus taxonomy and hepatitis B virus genotypes.</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World J Gastroenterol</w:t>
      </w:r>
      <w:r w:rsidRPr="006B4444">
        <w:rPr>
          <w:rFonts w:ascii="Book Antiqua" w:eastAsia="DengXian" w:hAnsi="Book Antiqua"/>
          <w:kern w:val="2"/>
          <w:lang w:val="en-US" w:eastAsia="zh-CN"/>
        </w:rPr>
        <w:t xml:space="preserve"> 2007; </w:t>
      </w:r>
      <w:r w:rsidRPr="006B4444">
        <w:rPr>
          <w:rFonts w:ascii="Book Antiqua" w:eastAsia="DengXian" w:hAnsi="Book Antiqua"/>
          <w:b/>
          <w:kern w:val="2"/>
          <w:lang w:val="en-US" w:eastAsia="zh-CN"/>
        </w:rPr>
        <w:t>13</w:t>
      </w:r>
      <w:r w:rsidRPr="006B4444">
        <w:rPr>
          <w:rFonts w:ascii="Book Antiqua" w:eastAsia="DengXian" w:hAnsi="Book Antiqua"/>
          <w:kern w:val="2"/>
          <w:lang w:val="en-US" w:eastAsia="zh-CN"/>
        </w:rPr>
        <w:t>: 14-21 [PMID: 17206751 DOI: 10.3748/wjg.v13.i1.14]</w:t>
      </w:r>
    </w:p>
    <w:p w14:paraId="22A346E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22 </w:t>
      </w:r>
      <w:r w:rsidRPr="006B4444">
        <w:rPr>
          <w:rFonts w:ascii="Book Antiqua" w:eastAsia="DengXian" w:hAnsi="Book Antiqua"/>
          <w:b/>
          <w:kern w:val="2"/>
          <w:lang w:val="en-US" w:eastAsia="zh-CN"/>
        </w:rPr>
        <w:t>Shi W</w:t>
      </w:r>
      <w:r w:rsidRPr="006B4444">
        <w:rPr>
          <w:rFonts w:ascii="Book Antiqua" w:eastAsia="DengXian" w:hAnsi="Book Antiqua"/>
          <w:kern w:val="2"/>
          <w:lang w:val="en-US" w:eastAsia="zh-CN"/>
        </w:rPr>
        <w:t xml:space="preserve">, Zhang Z, Ling C, Zheng W, Zhu C, Carr MJ, Higgins DG. Hepatitis B virus subgenotyping: History, effects of recombination, misclassifications, and corrections. </w:t>
      </w:r>
      <w:r w:rsidRPr="006B4444">
        <w:rPr>
          <w:rFonts w:ascii="Book Antiqua" w:eastAsia="DengXian" w:hAnsi="Book Antiqua"/>
          <w:i/>
          <w:kern w:val="2"/>
          <w:lang w:val="en-US" w:eastAsia="zh-CN"/>
        </w:rPr>
        <w:t xml:space="preserve">Infect Genet </w:t>
      </w:r>
      <w:r w:rsidRPr="006B4444">
        <w:rPr>
          <w:rFonts w:ascii="Book Antiqua" w:eastAsia="DengXian" w:hAnsi="Book Antiqua"/>
          <w:i/>
          <w:kern w:val="2"/>
          <w:lang w:val="en-US" w:eastAsia="zh-CN"/>
        </w:rPr>
        <w:lastRenderedPageBreak/>
        <w:t>Evol</w:t>
      </w:r>
      <w:r w:rsidRPr="006B4444">
        <w:rPr>
          <w:rFonts w:ascii="Book Antiqua" w:eastAsia="DengXian" w:hAnsi="Book Antiqua"/>
          <w:kern w:val="2"/>
          <w:lang w:val="en-US" w:eastAsia="zh-CN"/>
        </w:rPr>
        <w:t xml:space="preserve"> 2013; </w:t>
      </w:r>
      <w:r w:rsidRPr="006B4444">
        <w:rPr>
          <w:rFonts w:ascii="Book Antiqua" w:eastAsia="DengXian" w:hAnsi="Book Antiqua"/>
          <w:b/>
          <w:kern w:val="2"/>
          <w:lang w:val="en-US" w:eastAsia="zh-CN"/>
        </w:rPr>
        <w:t>16</w:t>
      </w:r>
      <w:r w:rsidRPr="006B4444">
        <w:rPr>
          <w:rFonts w:ascii="Book Antiqua" w:eastAsia="DengXian" w:hAnsi="Book Antiqua"/>
          <w:kern w:val="2"/>
          <w:lang w:val="en-US" w:eastAsia="zh-CN"/>
        </w:rPr>
        <w:t>: 355-361 [PMID: 23538336 DOI: 10.1016/j.meegid.2013.03.021]</w:t>
      </w:r>
    </w:p>
    <w:p w14:paraId="6CE4C305"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23 </w:t>
      </w:r>
      <w:r w:rsidRPr="006B4444">
        <w:rPr>
          <w:rFonts w:ascii="Book Antiqua" w:eastAsia="DengXian" w:hAnsi="Book Antiqua"/>
          <w:b/>
          <w:kern w:val="2"/>
          <w:lang w:val="en-US" w:eastAsia="zh-CN"/>
        </w:rPr>
        <w:t>Trepo C,</w:t>
      </w:r>
      <w:r w:rsidRPr="006B4444">
        <w:rPr>
          <w:rFonts w:ascii="Book Antiqua" w:eastAsia="DengXian" w:hAnsi="Book Antiqua"/>
          <w:kern w:val="2"/>
          <w:lang w:val="en-US" w:eastAsia="zh-CN"/>
        </w:rPr>
        <w:t xml:space="preserve"> Chan HL, Lok A. Hepatitis B virus infection.</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 xml:space="preserve">Lancet </w:t>
      </w:r>
      <w:r w:rsidRPr="006B4444">
        <w:rPr>
          <w:rFonts w:ascii="Book Antiqua" w:eastAsia="DengXian" w:hAnsi="Book Antiqua"/>
          <w:kern w:val="2"/>
          <w:lang w:val="en-US" w:eastAsia="zh-CN"/>
        </w:rPr>
        <w:t xml:space="preserve">2014; </w:t>
      </w:r>
      <w:r w:rsidRPr="006B4444">
        <w:rPr>
          <w:rFonts w:ascii="Book Antiqua" w:eastAsia="DengXian" w:hAnsi="Book Antiqua"/>
          <w:b/>
          <w:kern w:val="2"/>
          <w:lang w:val="en-US" w:eastAsia="zh-CN"/>
        </w:rPr>
        <w:t>384</w:t>
      </w:r>
      <w:r w:rsidRPr="006B4444">
        <w:rPr>
          <w:rFonts w:ascii="Book Antiqua" w:eastAsia="DengXian" w:hAnsi="Book Antiqua"/>
          <w:kern w:val="2"/>
          <w:lang w:val="en-US" w:eastAsia="zh-CN"/>
        </w:rPr>
        <w:t>: 2053-2063 [DOI: 10.1016/S0140-6736(14)60220-8]</w:t>
      </w:r>
    </w:p>
    <w:p w14:paraId="1F1A7740"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24 </w:t>
      </w:r>
      <w:r w:rsidRPr="006B4444">
        <w:rPr>
          <w:rFonts w:ascii="Book Antiqua" w:eastAsia="DengXian" w:hAnsi="Book Antiqua"/>
          <w:b/>
          <w:kern w:val="2"/>
          <w:lang w:val="en-US" w:eastAsia="zh-CN"/>
        </w:rPr>
        <w:t xml:space="preserve">World Health </w:t>
      </w:r>
      <w:proofErr w:type="gramStart"/>
      <w:r w:rsidRPr="006B4444">
        <w:rPr>
          <w:rFonts w:ascii="Book Antiqua" w:eastAsia="DengXian" w:hAnsi="Book Antiqua"/>
          <w:b/>
          <w:kern w:val="2"/>
          <w:lang w:val="en-US" w:eastAsia="zh-CN"/>
        </w:rPr>
        <w:t>Organization</w:t>
      </w:r>
      <w:proofErr w:type="gramEnd"/>
      <w:r w:rsidRPr="006B4444">
        <w:rPr>
          <w:rFonts w:ascii="Book Antiqua" w:eastAsia="DengXian" w:hAnsi="Book Antiqua"/>
          <w:b/>
          <w:kern w:val="2"/>
          <w:lang w:val="en-US" w:eastAsia="zh-CN"/>
        </w:rPr>
        <w:t xml:space="preserve">. </w:t>
      </w:r>
      <w:r w:rsidRPr="006B4444">
        <w:rPr>
          <w:rFonts w:ascii="Book Antiqua" w:eastAsia="DengXian" w:hAnsi="Book Antiqua"/>
          <w:kern w:val="2"/>
          <w:lang w:val="en-US" w:eastAsia="zh-CN"/>
        </w:rPr>
        <w:t>Geneva, World Health Organization, Vaccine-preventable diseases monitoring system, 2009. Available from: http://www.who.int/immunization_monitoring/en/globalsummary/GS_GLOProfile.pdf</w:t>
      </w:r>
    </w:p>
    <w:p w14:paraId="555DA365"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25 </w:t>
      </w:r>
      <w:r w:rsidRPr="006B4444">
        <w:rPr>
          <w:rFonts w:ascii="Book Antiqua" w:eastAsia="DengXian" w:hAnsi="Book Antiqua"/>
          <w:b/>
          <w:kern w:val="2"/>
          <w:lang w:val="en-US" w:eastAsia="zh-CN"/>
        </w:rPr>
        <w:t>Sagnelli E</w:t>
      </w:r>
      <w:r w:rsidRPr="006B4444">
        <w:rPr>
          <w:rFonts w:ascii="Book Antiqua" w:eastAsia="DengXian" w:hAnsi="Book Antiqua"/>
          <w:kern w:val="2"/>
          <w:lang w:val="en-US" w:eastAsia="zh-CN"/>
        </w:rPr>
        <w:t xml:space="preserve">, Sagnelli C, Pisaturo M, Macera M, Coppola N. Epidemiology of acute and chronic hepatitis B and delta over the last 5 decades in Italy. </w:t>
      </w:r>
      <w:r w:rsidRPr="006B4444">
        <w:rPr>
          <w:rFonts w:ascii="Book Antiqua" w:eastAsia="DengXian" w:hAnsi="Book Antiqua"/>
          <w:i/>
          <w:kern w:val="2"/>
          <w:lang w:val="en-US" w:eastAsia="zh-CN"/>
        </w:rPr>
        <w:t>World J Gastroenterol</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20</w:t>
      </w:r>
      <w:r w:rsidRPr="006B4444">
        <w:rPr>
          <w:rFonts w:ascii="Book Antiqua" w:eastAsia="DengXian" w:hAnsi="Book Antiqua"/>
          <w:kern w:val="2"/>
          <w:lang w:val="en-US" w:eastAsia="zh-CN"/>
        </w:rPr>
        <w:t>: 7635-7643 [PMID: 24976701 DOI: 10.3748/wjg.v20.i24.7635]</w:t>
      </w:r>
    </w:p>
    <w:p w14:paraId="04524F08"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26 </w:t>
      </w:r>
      <w:r w:rsidRPr="006B4444">
        <w:rPr>
          <w:rFonts w:ascii="Book Antiqua" w:eastAsia="DengXian" w:hAnsi="Book Antiqua"/>
          <w:b/>
          <w:kern w:val="2"/>
          <w:lang w:val="en-US" w:eastAsia="zh-CN"/>
        </w:rPr>
        <w:t>Stroffolini T</w:t>
      </w:r>
      <w:r w:rsidRPr="006B4444">
        <w:rPr>
          <w:rFonts w:ascii="Book Antiqua" w:eastAsia="DengXian" w:hAnsi="Book Antiqua"/>
          <w:kern w:val="2"/>
          <w:lang w:val="en-US" w:eastAsia="zh-CN"/>
        </w:rPr>
        <w:t xml:space="preserve">, Sagnelli E, Sagnelli C, Smedile A, Furlan C, Morisco F, Coppola N, Andriulli A, Almasio PL. </w:t>
      </w:r>
      <w:proofErr w:type="gramStart"/>
      <w:r w:rsidRPr="006B4444">
        <w:rPr>
          <w:rFonts w:ascii="Book Antiqua" w:eastAsia="DengXian" w:hAnsi="Book Antiqua"/>
          <w:kern w:val="2"/>
          <w:lang w:val="en-US" w:eastAsia="zh-CN"/>
        </w:rPr>
        <w:t>The burden of HBV infection in HCV patients in Italy and the risk of reactivation under DAA therapy.</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Dig Liver Dis</w:t>
      </w:r>
      <w:r w:rsidRPr="006B4444">
        <w:rPr>
          <w:rFonts w:ascii="Book Antiqua" w:eastAsia="DengXian" w:hAnsi="Book Antiqua"/>
          <w:kern w:val="2"/>
          <w:lang w:val="en-US" w:eastAsia="zh-CN"/>
        </w:rPr>
        <w:t xml:space="preserve"> 2019; </w:t>
      </w:r>
      <w:r w:rsidRPr="006B4444">
        <w:rPr>
          <w:rFonts w:ascii="Book Antiqua" w:eastAsia="DengXian" w:hAnsi="Book Antiqua"/>
          <w:b/>
          <w:kern w:val="2"/>
          <w:lang w:val="en-US" w:eastAsia="zh-CN"/>
        </w:rPr>
        <w:t>51</w:t>
      </w:r>
      <w:r w:rsidRPr="006B4444">
        <w:rPr>
          <w:rFonts w:ascii="Book Antiqua" w:eastAsia="DengXian" w:hAnsi="Book Antiqua"/>
          <w:kern w:val="2"/>
          <w:lang w:val="en-US" w:eastAsia="zh-CN"/>
        </w:rPr>
        <w:t>: 434-437 [PMID: 30361062 DOI: 10.1016/j.dld.2018.09.010]</w:t>
      </w:r>
    </w:p>
    <w:p w14:paraId="64AEAA9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27 </w:t>
      </w:r>
      <w:r w:rsidRPr="006B4444">
        <w:rPr>
          <w:rFonts w:ascii="Book Antiqua" w:eastAsia="DengXian" w:hAnsi="Book Antiqua"/>
          <w:b/>
          <w:kern w:val="2"/>
          <w:lang w:val="en-US" w:eastAsia="zh-CN"/>
        </w:rPr>
        <w:t>Stroffolini T</w:t>
      </w:r>
      <w:r w:rsidRPr="006B4444">
        <w:rPr>
          <w:rFonts w:ascii="Book Antiqua" w:eastAsia="DengXian" w:hAnsi="Book Antiqua"/>
          <w:kern w:val="2"/>
          <w:lang w:val="en-US" w:eastAsia="zh-CN"/>
        </w:rPr>
        <w:t xml:space="preserve">, Sagnelli E, Sagnelli C, Smedile A, Morisco F, Coppola N, Furlan C, Almasio PL. Geographical pattern of chronic liver diseases in Italy: Results from two pooled national surveys. </w:t>
      </w:r>
      <w:r w:rsidRPr="006B4444">
        <w:rPr>
          <w:rFonts w:ascii="Book Antiqua" w:eastAsia="DengXian" w:hAnsi="Book Antiqua"/>
          <w:i/>
          <w:kern w:val="2"/>
          <w:lang w:val="en-US" w:eastAsia="zh-CN"/>
        </w:rPr>
        <w:t>Eur J Intern Med</w:t>
      </w:r>
      <w:r w:rsidRPr="006B4444">
        <w:rPr>
          <w:rFonts w:ascii="Book Antiqua" w:eastAsia="DengXian" w:hAnsi="Book Antiqua"/>
          <w:kern w:val="2"/>
          <w:lang w:val="en-US" w:eastAsia="zh-CN"/>
        </w:rPr>
        <w:t xml:space="preserve"> 2019; </w:t>
      </w:r>
      <w:r w:rsidRPr="006B4444">
        <w:rPr>
          <w:rFonts w:ascii="Book Antiqua" w:eastAsia="DengXian" w:hAnsi="Book Antiqua"/>
          <w:b/>
          <w:kern w:val="2"/>
          <w:lang w:val="en-US" w:eastAsia="zh-CN"/>
        </w:rPr>
        <w:t>61</w:t>
      </w:r>
      <w:r w:rsidRPr="006B4444">
        <w:rPr>
          <w:rFonts w:ascii="Book Antiqua" w:eastAsia="DengXian" w:hAnsi="Book Antiqua"/>
          <w:kern w:val="2"/>
          <w:lang w:val="en-US" w:eastAsia="zh-CN"/>
        </w:rPr>
        <w:t>: 40-43 [PMID: 30360942 DOI: 10.1016/j.ejim.2018.10.015]</w:t>
      </w:r>
    </w:p>
    <w:p w14:paraId="1BD43888"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28 </w:t>
      </w:r>
      <w:r w:rsidRPr="006B4444">
        <w:rPr>
          <w:rFonts w:ascii="Book Antiqua" w:eastAsia="DengXian" w:hAnsi="Book Antiqua"/>
          <w:b/>
          <w:kern w:val="2"/>
          <w:lang w:val="en-US" w:eastAsia="zh-CN"/>
        </w:rPr>
        <w:t>Sagnelli E</w:t>
      </w:r>
      <w:r w:rsidRPr="006B4444">
        <w:rPr>
          <w:rFonts w:ascii="Book Antiqua" w:eastAsia="DengXian" w:hAnsi="Book Antiqua"/>
          <w:kern w:val="2"/>
          <w:lang w:val="en-US" w:eastAsia="zh-CN"/>
        </w:rPr>
        <w:t xml:space="preserve">, Stroffolini T, Sagnelli C, Morisco F, Coppola N, Smedile A, Pisaturo M, Colloredo G, Babudieri S, Licata A, Brancaccio G, Andriulli A, Almasio PL, Gaeta GB; EPACRON study group. Influence of universal HBV vaccination on chronic HBV infection in Italy: Results of a cross-sectional multicenter study. </w:t>
      </w:r>
      <w:r w:rsidRPr="006B4444">
        <w:rPr>
          <w:rFonts w:ascii="Book Antiqua" w:eastAsia="DengXian" w:hAnsi="Book Antiqua"/>
          <w:i/>
          <w:kern w:val="2"/>
          <w:lang w:val="en-US" w:eastAsia="zh-CN"/>
        </w:rPr>
        <w:t>J Med Virol</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89</w:t>
      </w:r>
      <w:r w:rsidRPr="006B4444">
        <w:rPr>
          <w:rFonts w:ascii="Book Antiqua" w:eastAsia="DengXian" w:hAnsi="Book Antiqua"/>
          <w:kern w:val="2"/>
          <w:lang w:val="en-US" w:eastAsia="zh-CN"/>
        </w:rPr>
        <w:t>: 2138-2143 [PMID: 28608566 DOI: 10.1002/jmv.24873]</w:t>
      </w:r>
    </w:p>
    <w:p w14:paraId="378977AC"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29 </w:t>
      </w:r>
      <w:r w:rsidRPr="006B4444">
        <w:rPr>
          <w:rFonts w:ascii="Book Antiqua" w:eastAsia="DengXian" w:hAnsi="Book Antiqua"/>
          <w:b/>
          <w:kern w:val="2"/>
          <w:lang w:val="en-US" w:eastAsia="zh-CN"/>
        </w:rPr>
        <w:t>Lai A</w:t>
      </w:r>
      <w:r w:rsidRPr="006B4444">
        <w:rPr>
          <w:rFonts w:ascii="Book Antiqua" w:eastAsia="DengXian" w:hAnsi="Book Antiqua"/>
          <w:kern w:val="2"/>
          <w:lang w:val="en-US" w:eastAsia="zh-CN"/>
        </w:rPr>
        <w:t xml:space="preserve">, Sagnelli C, Presti AL, Cella E, Angeletti S, Spoto S, Costantino S, Sagnelli E, Ciccozzi M. What is changed in HBV molecular epidemiology in Italy? </w:t>
      </w:r>
      <w:r w:rsidRPr="006B4444">
        <w:rPr>
          <w:rFonts w:ascii="Book Antiqua" w:eastAsia="DengXian" w:hAnsi="Book Antiqua"/>
          <w:i/>
          <w:kern w:val="2"/>
          <w:lang w:val="en-US" w:eastAsia="zh-CN"/>
        </w:rPr>
        <w:t>J Med Virol</w:t>
      </w:r>
      <w:r w:rsidRPr="006B4444">
        <w:rPr>
          <w:rFonts w:ascii="Book Antiqua" w:eastAsia="DengXian" w:hAnsi="Book Antiqua"/>
          <w:kern w:val="2"/>
          <w:lang w:val="en-US" w:eastAsia="zh-CN"/>
        </w:rPr>
        <w:t xml:space="preserve"> 2018; </w:t>
      </w:r>
      <w:r w:rsidRPr="006B4444">
        <w:rPr>
          <w:rFonts w:ascii="Book Antiqua" w:eastAsia="DengXian" w:hAnsi="Book Antiqua"/>
          <w:b/>
          <w:kern w:val="2"/>
          <w:lang w:val="en-US" w:eastAsia="zh-CN"/>
        </w:rPr>
        <w:t>90</w:t>
      </w:r>
      <w:r w:rsidRPr="006B4444">
        <w:rPr>
          <w:rFonts w:ascii="Book Antiqua" w:eastAsia="DengXian" w:hAnsi="Book Antiqua"/>
          <w:kern w:val="2"/>
          <w:lang w:val="en-US" w:eastAsia="zh-CN"/>
        </w:rPr>
        <w:t>: 786-795 [PMID: 29315661 DOI: 10.1002/jmv.25027]</w:t>
      </w:r>
    </w:p>
    <w:p w14:paraId="2FC0D927"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30 </w:t>
      </w:r>
      <w:r w:rsidRPr="006B4444">
        <w:rPr>
          <w:rFonts w:ascii="Book Antiqua" w:eastAsia="DengXian" w:hAnsi="Book Antiqua"/>
          <w:b/>
          <w:kern w:val="2"/>
          <w:lang w:val="en-US" w:eastAsia="zh-CN"/>
        </w:rPr>
        <w:t>Lavanchy D</w:t>
      </w:r>
      <w:r w:rsidRPr="006B4444">
        <w:rPr>
          <w:rFonts w:ascii="Book Antiqua" w:eastAsia="DengXian" w:hAnsi="Book Antiqua"/>
          <w:kern w:val="2"/>
          <w:lang w:val="en-US" w:eastAsia="zh-CN"/>
        </w:rPr>
        <w:t>. Hepatitis B virus epidemiology, disease burden, treatment, and current and emerging prevention and control measures.</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J Viral Hepat</w:t>
      </w:r>
      <w:r w:rsidRPr="006B4444">
        <w:rPr>
          <w:rFonts w:ascii="Book Antiqua" w:eastAsia="DengXian" w:hAnsi="Book Antiqua"/>
          <w:kern w:val="2"/>
          <w:lang w:val="en-US" w:eastAsia="zh-CN"/>
        </w:rPr>
        <w:t xml:space="preserve"> 2004; </w:t>
      </w:r>
      <w:r w:rsidRPr="006B4444">
        <w:rPr>
          <w:rFonts w:ascii="Book Antiqua" w:eastAsia="DengXian" w:hAnsi="Book Antiqua"/>
          <w:b/>
          <w:kern w:val="2"/>
          <w:lang w:val="en-US" w:eastAsia="zh-CN"/>
        </w:rPr>
        <w:t>11</w:t>
      </w:r>
      <w:r w:rsidRPr="006B4444">
        <w:rPr>
          <w:rFonts w:ascii="Book Antiqua" w:eastAsia="DengXian" w:hAnsi="Book Antiqua"/>
          <w:kern w:val="2"/>
          <w:lang w:val="en-US" w:eastAsia="zh-CN"/>
        </w:rPr>
        <w:t>: 97-107 [PMID: 14996343 DOI: 10.1046/j.1365-2893.2003.00487.x]</w:t>
      </w:r>
    </w:p>
    <w:p w14:paraId="14577494"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31 </w:t>
      </w:r>
      <w:r w:rsidRPr="006B4444">
        <w:rPr>
          <w:rFonts w:ascii="Book Antiqua" w:eastAsia="DengXian" w:hAnsi="Book Antiqua"/>
          <w:b/>
          <w:kern w:val="2"/>
          <w:lang w:val="en-US" w:eastAsia="zh-CN"/>
        </w:rPr>
        <w:t>Lavanchy D</w:t>
      </w:r>
      <w:r w:rsidRPr="006B4444">
        <w:rPr>
          <w:rFonts w:ascii="Book Antiqua" w:eastAsia="DengXian" w:hAnsi="Book Antiqua"/>
          <w:kern w:val="2"/>
          <w:lang w:val="en-US" w:eastAsia="zh-CN"/>
        </w:rPr>
        <w:t>. Worldwide epidemiology of HBV infection, disease burden, and vaccine prevention.</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J Clin Virol</w:t>
      </w:r>
      <w:r w:rsidRPr="006B4444">
        <w:rPr>
          <w:rFonts w:ascii="Book Antiqua" w:eastAsia="DengXian" w:hAnsi="Book Antiqua"/>
          <w:kern w:val="2"/>
          <w:lang w:val="en-US" w:eastAsia="zh-CN"/>
        </w:rPr>
        <w:t xml:space="preserve"> 2005; </w:t>
      </w:r>
      <w:r w:rsidRPr="006B4444">
        <w:rPr>
          <w:rFonts w:ascii="Book Antiqua" w:eastAsia="DengXian" w:hAnsi="Book Antiqua"/>
          <w:b/>
          <w:kern w:val="2"/>
          <w:lang w:val="en-US" w:eastAsia="zh-CN"/>
        </w:rPr>
        <w:t xml:space="preserve">34 </w:t>
      </w:r>
      <w:r w:rsidRPr="006B4444">
        <w:rPr>
          <w:rFonts w:ascii="Book Antiqua" w:eastAsia="DengXian" w:hAnsi="Book Antiqua"/>
          <w:kern w:val="2"/>
          <w:lang w:val="en-US" w:eastAsia="zh-CN"/>
        </w:rPr>
        <w:t>Suppl 1: S1-S3 [PMID: 16461208 DOI: 10.1016/S1386-6532(05)00384-7]</w:t>
      </w:r>
    </w:p>
    <w:p w14:paraId="7A20093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32 </w:t>
      </w:r>
      <w:r w:rsidRPr="006B4444">
        <w:rPr>
          <w:rFonts w:ascii="Book Antiqua" w:eastAsia="DengXian" w:hAnsi="Book Antiqua"/>
          <w:b/>
          <w:kern w:val="2"/>
          <w:lang w:val="en-US" w:eastAsia="zh-CN"/>
        </w:rPr>
        <w:t>Zehender G</w:t>
      </w:r>
      <w:r w:rsidRPr="006B4444">
        <w:rPr>
          <w:rFonts w:ascii="Book Antiqua" w:eastAsia="DengXian" w:hAnsi="Book Antiqua"/>
          <w:kern w:val="2"/>
          <w:lang w:val="en-US" w:eastAsia="zh-CN"/>
        </w:rPr>
        <w:t xml:space="preserve">, Ebranati E, Gabanelli E, Sorrentino C, Lo Presti A, Tanzi E, Ciccozzi M, Galli M. Enigmatic origin of hepatitis B virus: An ancient travelling companion or a recent encounter? </w:t>
      </w:r>
      <w:r w:rsidRPr="006B4444">
        <w:rPr>
          <w:rFonts w:ascii="Book Antiqua" w:eastAsia="DengXian" w:hAnsi="Book Antiqua"/>
          <w:i/>
          <w:kern w:val="2"/>
          <w:lang w:val="en-US" w:eastAsia="zh-CN"/>
        </w:rPr>
        <w:t>World J Gastroenterol</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20</w:t>
      </w:r>
      <w:r w:rsidRPr="006B4444">
        <w:rPr>
          <w:rFonts w:ascii="Book Antiqua" w:eastAsia="DengXian" w:hAnsi="Book Antiqua"/>
          <w:kern w:val="2"/>
          <w:lang w:val="en-US" w:eastAsia="zh-CN"/>
        </w:rPr>
        <w:t>: 7622-7634 [PMID: 24976700 DOI: 10.3748/wjg.v20.i24.7622]</w:t>
      </w:r>
    </w:p>
    <w:p w14:paraId="3A0E4657"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33 </w:t>
      </w:r>
      <w:r w:rsidRPr="006B4444">
        <w:rPr>
          <w:rFonts w:ascii="Book Antiqua" w:eastAsia="DengXian" w:hAnsi="Book Antiqua"/>
          <w:b/>
          <w:kern w:val="2"/>
          <w:lang w:val="en-US" w:eastAsia="zh-CN"/>
        </w:rPr>
        <w:t>Sagnelli C</w:t>
      </w:r>
      <w:r w:rsidRPr="006B4444">
        <w:rPr>
          <w:rFonts w:ascii="Book Antiqua" w:eastAsia="DengXian" w:hAnsi="Book Antiqua"/>
          <w:kern w:val="2"/>
          <w:lang w:val="en-US" w:eastAsia="zh-CN"/>
        </w:rPr>
        <w:t xml:space="preserve">, Ciccozzi M, Alessio L, Cella E, Gualdieri L, Pisaturo M, Minichini C, Di Caprio G, </w:t>
      </w:r>
      <w:r w:rsidRPr="006B4444">
        <w:rPr>
          <w:rFonts w:ascii="Book Antiqua" w:eastAsia="DengXian" w:hAnsi="Book Antiqua"/>
          <w:kern w:val="2"/>
          <w:lang w:val="en-US" w:eastAsia="zh-CN"/>
        </w:rPr>
        <w:lastRenderedPageBreak/>
        <w:t xml:space="preserve">Starace M, Onorato L, Capoprese M, Occhiello L, Angeletti S, Scotto G, Macera M, Sagnelli E, Coppola N. HBV molecular epidemiology and clinical condition of immigrants living in Italy. </w:t>
      </w:r>
      <w:r w:rsidRPr="006B4444">
        <w:rPr>
          <w:rFonts w:ascii="Book Antiqua" w:eastAsia="DengXian" w:hAnsi="Book Antiqua"/>
          <w:i/>
          <w:kern w:val="2"/>
          <w:lang w:val="en-US" w:eastAsia="zh-CN"/>
        </w:rPr>
        <w:t>Infection</w:t>
      </w:r>
      <w:r w:rsidRPr="006B4444">
        <w:rPr>
          <w:rFonts w:ascii="Book Antiqua" w:eastAsia="DengXian" w:hAnsi="Book Antiqua"/>
          <w:kern w:val="2"/>
          <w:lang w:val="en-US" w:eastAsia="zh-CN"/>
        </w:rPr>
        <w:t xml:space="preserve"> 2018; </w:t>
      </w:r>
      <w:r w:rsidRPr="006B4444">
        <w:rPr>
          <w:rFonts w:ascii="Book Antiqua" w:eastAsia="DengXian" w:hAnsi="Book Antiqua"/>
          <w:b/>
          <w:kern w:val="2"/>
          <w:lang w:val="en-US" w:eastAsia="zh-CN"/>
        </w:rPr>
        <w:t>46</w:t>
      </w:r>
      <w:r w:rsidRPr="006B4444">
        <w:rPr>
          <w:rFonts w:ascii="Book Antiqua" w:eastAsia="DengXian" w:hAnsi="Book Antiqua"/>
          <w:kern w:val="2"/>
          <w:lang w:val="en-US" w:eastAsia="zh-CN"/>
        </w:rPr>
        <w:t>: 523-531 [PMID: 29796738 DOI: 10.1007/s15010-018-1153-1]</w:t>
      </w:r>
    </w:p>
    <w:p w14:paraId="50AD5CD5"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34 </w:t>
      </w:r>
      <w:r w:rsidRPr="006B4444">
        <w:rPr>
          <w:rFonts w:ascii="Book Antiqua" w:eastAsia="DengXian" w:hAnsi="Book Antiqua"/>
          <w:b/>
          <w:kern w:val="2"/>
          <w:lang w:val="en-US" w:eastAsia="zh-CN"/>
        </w:rPr>
        <w:t>Stroffolini T</w:t>
      </w:r>
      <w:r w:rsidRPr="006B4444">
        <w:rPr>
          <w:rFonts w:ascii="Book Antiqua" w:eastAsia="DengXian" w:hAnsi="Book Antiqua"/>
          <w:kern w:val="2"/>
          <w:lang w:val="en-US" w:eastAsia="zh-CN"/>
        </w:rPr>
        <w:t xml:space="preserve">, Sagnelli E, Sagnelli C, Morisco F, Babudieri S, Furlan C, Pirisi M, Russello M, Smedile A, Pisaturo M, Almasio PL. Decreasing role of HCV and HBV infections as aetiological factors of hepatocellular carcinoma in Italy. </w:t>
      </w:r>
      <w:r w:rsidRPr="006B4444">
        <w:rPr>
          <w:rFonts w:ascii="Book Antiqua" w:eastAsia="DengXian" w:hAnsi="Book Antiqua"/>
          <w:i/>
          <w:kern w:val="2"/>
          <w:lang w:val="en-US" w:eastAsia="zh-CN"/>
        </w:rPr>
        <w:t>Infection</w:t>
      </w:r>
      <w:r w:rsidRPr="006B4444">
        <w:rPr>
          <w:rFonts w:ascii="Book Antiqua" w:eastAsia="DengXian" w:hAnsi="Book Antiqua"/>
          <w:kern w:val="2"/>
          <w:lang w:val="en-US" w:eastAsia="zh-CN"/>
        </w:rPr>
        <w:t xml:space="preserve"> 2019 [PMID: </w:t>
      </w:r>
      <w:bookmarkStart w:id="47" w:name="OLE_LINK22"/>
      <w:r w:rsidRPr="006B4444">
        <w:rPr>
          <w:rFonts w:ascii="Book Antiqua" w:eastAsia="DengXian" w:hAnsi="Book Antiqua"/>
          <w:kern w:val="2"/>
          <w:lang w:val="en-US" w:eastAsia="zh-CN"/>
        </w:rPr>
        <w:t>31028627</w:t>
      </w:r>
      <w:bookmarkEnd w:id="47"/>
      <w:r w:rsidRPr="006B4444">
        <w:rPr>
          <w:rFonts w:ascii="Book Antiqua" w:eastAsia="DengXian" w:hAnsi="Book Antiqua"/>
          <w:kern w:val="2"/>
          <w:lang w:val="en-US" w:eastAsia="zh-CN"/>
        </w:rPr>
        <w:t xml:space="preserve"> DOI: 10.1007/s15010-019-01308-3]</w:t>
      </w:r>
    </w:p>
    <w:p w14:paraId="25CF406E"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35 </w:t>
      </w:r>
      <w:r w:rsidRPr="006B4444">
        <w:rPr>
          <w:rFonts w:ascii="Book Antiqua" w:eastAsia="DengXian" w:hAnsi="Book Antiqua"/>
          <w:b/>
          <w:kern w:val="2"/>
          <w:lang w:val="en-US" w:eastAsia="zh-CN"/>
        </w:rPr>
        <w:t>Sagnelli C</w:t>
      </w:r>
      <w:r w:rsidRPr="006B4444">
        <w:rPr>
          <w:rFonts w:ascii="Book Antiqua" w:eastAsia="DengXian" w:hAnsi="Book Antiqua"/>
          <w:kern w:val="2"/>
          <w:lang w:val="en-US" w:eastAsia="zh-CN"/>
        </w:rPr>
        <w:t xml:space="preserve">, Ciccozzi M, Coppola N, Minichini C, Lo Presti A, Starace M, Alessio L, Macera M, Cella E, Gualdieri L, Caprio N, Pasquale G, Sagnelli E. Molecular diversity in irregular or refugee immigrant patients with HBV-genotype-E infection living in the metropolitan area of Naples. </w:t>
      </w:r>
      <w:r w:rsidRPr="006B4444">
        <w:rPr>
          <w:rFonts w:ascii="Book Antiqua" w:eastAsia="DengXian" w:hAnsi="Book Antiqua"/>
          <w:i/>
          <w:kern w:val="2"/>
          <w:lang w:val="en-US" w:eastAsia="zh-CN"/>
        </w:rPr>
        <w:t>J Med Virol</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89</w:t>
      </w:r>
      <w:r w:rsidRPr="006B4444">
        <w:rPr>
          <w:rFonts w:ascii="Book Antiqua" w:eastAsia="DengXian" w:hAnsi="Book Antiqua"/>
          <w:kern w:val="2"/>
          <w:lang w:val="en-US" w:eastAsia="zh-CN"/>
        </w:rPr>
        <w:t>: 1015-1024 [PMID: 27805272 DOI: 10.1002/jmv.24724]</w:t>
      </w:r>
    </w:p>
    <w:p w14:paraId="1AE788C4"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36 </w:t>
      </w:r>
      <w:r w:rsidRPr="006B4444">
        <w:rPr>
          <w:rFonts w:ascii="Book Antiqua" w:eastAsia="DengXian" w:hAnsi="Book Antiqua"/>
          <w:b/>
          <w:kern w:val="2"/>
          <w:lang w:val="en-US" w:eastAsia="zh-CN"/>
        </w:rPr>
        <w:t>Stroffolini T</w:t>
      </w:r>
      <w:r w:rsidRPr="006B4444">
        <w:rPr>
          <w:rFonts w:ascii="Book Antiqua" w:eastAsia="DengXian" w:hAnsi="Book Antiqua"/>
          <w:kern w:val="2"/>
          <w:lang w:val="en-US" w:eastAsia="zh-CN"/>
        </w:rPr>
        <w:t xml:space="preserve">, Sagnelli E, Almasio PL, Andriulli A, Smedile A, Pirisi M, Sagnelli C, Russello M, Coppola N, de Luca M, Pisaturo M, Rosina F, Gaeta GB; EPACRON study group. Etiological factors of chronic hepatitis in Italy: A 2014 national survey. </w:t>
      </w:r>
      <w:r w:rsidRPr="006B4444">
        <w:rPr>
          <w:rFonts w:ascii="Book Antiqua" w:eastAsia="DengXian" w:hAnsi="Book Antiqua"/>
          <w:i/>
          <w:kern w:val="2"/>
          <w:lang w:val="en-US" w:eastAsia="zh-CN"/>
        </w:rPr>
        <w:t>Eur J Gastroenterol Hepatol</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29</w:t>
      </w:r>
      <w:r w:rsidRPr="006B4444">
        <w:rPr>
          <w:rFonts w:ascii="Book Antiqua" w:eastAsia="DengXian" w:hAnsi="Book Antiqua"/>
          <w:kern w:val="2"/>
          <w:lang w:val="en-US" w:eastAsia="zh-CN"/>
        </w:rPr>
        <w:t>: 994-997 [PMID: 28538268 DOI: 10.1097/MEG.0000000000000907]</w:t>
      </w:r>
    </w:p>
    <w:p w14:paraId="3F7681A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37 </w:t>
      </w:r>
      <w:r w:rsidRPr="006B4444">
        <w:rPr>
          <w:rFonts w:ascii="Book Antiqua" w:eastAsia="DengXian" w:hAnsi="Book Antiqua"/>
          <w:b/>
          <w:kern w:val="2"/>
          <w:lang w:val="en-US" w:eastAsia="zh-CN"/>
        </w:rPr>
        <w:t>Zehender G</w:t>
      </w:r>
      <w:r w:rsidRPr="006B4444">
        <w:rPr>
          <w:rFonts w:ascii="Book Antiqua" w:eastAsia="DengXian" w:hAnsi="Book Antiqua"/>
          <w:kern w:val="2"/>
          <w:lang w:val="en-US" w:eastAsia="zh-CN"/>
        </w:rPr>
        <w:t xml:space="preserve">, Ebranati E, Gabanelli E, Shkjezi R, Lai A, Sorrentino C, Lo Presti A, Basho M, Bruno R, Tanzi E, Bino S, Ciccozzi M, Galli M. Spatial and temporal dynamics of hepatitis B virus D genotype in Europe and the Mediterranean Basin. </w:t>
      </w:r>
      <w:r w:rsidRPr="006B4444">
        <w:rPr>
          <w:rFonts w:ascii="Book Antiqua" w:eastAsia="DengXian" w:hAnsi="Book Antiqua"/>
          <w:i/>
          <w:kern w:val="2"/>
          <w:lang w:val="en-US" w:eastAsia="zh-CN"/>
        </w:rPr>
        <w:t>PLoS One</w:t>
      </w:r>
      <w:r w:rsidRPr="006B4444">
        <w:rPr>
          <w:rFonts w:ascii="Book Antiqua" w:eastAsia="DengXian" w:hAnsi="Book Antiqua"/>
          <w:kern w:val="2"/>
          <w:lang w:val="en-US" w:eastAsia="zh-CN"/>
        </w:rPr>
        <w:t xml:space="preserve"> 2012; </w:t>
      </w:r>
      <w:r w:rsidRPr="006B4444">
        <w:rPr>
          <w:rFonts w:ascii="Book Antiqua" w:eastAsia="DengXian" w:hAnsi="Book Antiqua"/>
          <w:b/>
          <w:kern w:val="2"/>
          <w:lang w:val="en-US" w:eastAsia="zh-CN"/>
        </w:rPr>
        <w:t>7</w:t>
      </w:r>
      <w:r w:rsidRPr="006B4444">
        <w:rPr>
          <w:rFonts w:ascii="Book Antiqua" w:eastAsia="DengXian" w:hAnsi="Book Antiqua"/>
          <w:kern w:val="2"/>
          <w:lang w:val="en-US" w:eastAsia="zh-CN"/>
        </w:rPr>
        <w:t>: e37198 [PMID: 22662136 DOI: 10.1371/journal.pone.0037198]</w:t>
      </w:r>
    </w:p>
    <w:p w14:paraId="40588ADB"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38 </w:t>
      </w:r>
      <w:r w:rsidRPr="006B4444">
        <w:rPr>
          <w:rFonts w:ascii="Book Antiqua" w:eastAsia="DengXian" w:hAnsi="Book Antiqua"/>
          <w:b/>
          <w:kern w:val="2"/>
          <w:lang w:val="en-US" w:eastAsia="zh-CN"/>
        </w:rPr>
        <w:t>Coppola N</w:t>
      </w:r>
      <w:r w:rsidRPr="006B4444">
        <w:rPr>
          <w:rFonts w:ascii="Book Antiqua" w:eastAsia="DengXian" w:hAnsi="Book Antiqua"/>
          <w:kern w:val="2"/>
          <w:lang w:val="en-US" w:eastAsia="zh-CN"/>
        </w:rPr>
        <w:t xml:space="preserve">, Alessio L, Gualdieri L, Pisaturo M, Sagnelli C, Minichini C, Di Caprio G, Starace M, Onorato L, Signoriello G, Macera M, Angelillo IF, Pasquale G, Sagnelli E. Hepatitis B virus infection in undocumented immigrants and refugees in Southern Italy: Demographic, virological, and clinical features. </w:t>
      </w:r>
      <w:r w:rsidRPr="006B4444">
        <w:rPr>
          <w:rFonts w:ascii="Book Antiqua" w:eastAsia="DengXian" w:hAnsi="Book Antiqua"/>
          <w:i/>
          <w:kern w:val="2"/>
          <w:lang w:val="en-US" w:eastAsia="zh-CN"/>
        </w:rPr>
        <w:t>Infect Dis Poverty</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6</w:t>
      </w:r>
      <w:r w:rsidRPr="006B4444">
        <w:rPr>
          <w:rFonts w:ascii="Book Antiqua" w:eastAsia="DengXian" w:hAnsi="Book Antiqua"/>
          <w:kern w:val="2"/>
          <w:lang w:val="en-US" w:eastAsia="zh-CN"/>
        </w:rPr>
        <w:t>: 33 [PMID: 28179020 DOI: 10.1186/s40249-016-0228-4]</w:t>
      </w:r>
    </w:p>
    <w:p w14:paraId="1FD3CD5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39 </w:t>
      </w:r>
      <w:r w:rsidRPr="006B4444">
        <w:rPr>
          <w:rFonts w:ascii="Book Antiqua" w:eastAsia="DengXian" w:hAnsi="Book Antiqua"/>
          <w:b/>
          <w:kern w:val="2"/>
          <w:lang w:val="en-US" w:eastAsia="zh-CN"/>
        </w:rPr>
        <w:t>Sagnelli C</w:t>
      </w:r>
      <w:r w:rsidRPr="006B4444">
        <w:rPr>
          <w:rFonts w:ascii="Book Antiqua" w:eastAsia="DengXian" w:hAnsi="Book Antiqua"/>
          <w:kern w:val="2"/>
          <w:lang w:val="en-US" w:eastAsia="zh-CN"/>
        </w:rPr>
        <w:t>, Ciccozzi M, Pisaturo M, Lo Presti A, Cella E, Coppola N, Sagnelli E.</w:t>
      </w:r>
      <w:proofErr w:type="gramEnd"/>
      <w:r w:rsidRPr="006B4444">
        <w:rPr>
          <w:rFonts w:ascii="Book Antiqua" w:eastAsia="DengXian" w:hAnsi="Book Antiqua"/>
          <w:kern w:val="2"/>
          <w:lang w:val="en-US" w:eastAsia="zh-CN"/>
        </w:rPr>
        <w:t xml:space="preserve"> </w:t>
      </w:r>
      <w:proofErr w:type="gramStart"/>
      <w:r w:rsidRPr="006B4444">
        <w:rPr>
          <w:rFonts w:ascii="Book Antiqua" w:eastAsia="DengXian" w:hAnsi="Book Antiqua"/>
          <w:kern w:val="2"/>
          <w:lang w:val="en-US" w:eastAsia="zh-CN"/>
        </w:rPr>
        <w:t>The impact of viral molecular diversity on the clinical presentation and outcome of acute hepatitis B in Italy.</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New Microbiol</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38</w:t>
      </w:r>
      <w:r w:rsidRPr="006B4444">
        <w:rPr>
          <w:rFonts w:ascii="Book Antiqua" w:eastAsia="DengXian" w:hAnsi="Book Antiqua"/>
          <w:kern w:val="2"/>
          <w:lang w:val="en-US" w:eastAsia="zh-CN"/>
        </w:rPr>
        <w:t>: 137-147 [PMID: 25915056]</w:t>
      </w:r>
    </w:p>
    <w:p w14:paraId="1B78B3DC"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40 </w:t>
      </w:r>
      <w:r w:rsidRPr="006B4444">
        <w:rPr>
          <w:rFonts w:ascii="Book Antiqua" w:eastAsia="DengXian" w:hAnsi="Book Antiqua"/>
          <w:b/>
          <w:kern w:val="2"/>
          <w:lang w:val="en-US" w:eastAsia="zh-CN"/>
        </w:rPr>
        <w:t>Sagnelli C</w:t>
      </w:r>
      <w:r w:rsidRPr="006B4444">
        <w:rPr>
          <w:rFonts w:ascii="Book Antiqua" w:eastAsia="DengXian" w:hAnsi="Book Antiqua"/>
          <w:kern w:val="2"/>
          <w:lang w:val="en-US" w:eastAsia="zh-CN"/>
        </w:rPr>
        <w:t xml:space="preserve">, Ciccozzi M, Pisaturo M, Zehender G, Lo Presti A, Alessio L, Starace M, Lovero D, Sagnelli E, Coppola N. Molecular epidemiology of hepatitis B virus genotypes circulating in acute hepatitis B patients in the Campania region. </w:t>
      </w:r>
      <w:r w:rsidRPr="006B4444">
        <w:rPr>
          <w:rFonts w:ascii="Book Antiqua" w:eastAsia="DengXian" w:hAnsi="Book Antiqua"/>
          <w:i/>
          <w:kern w:val="2"/>
          <w:lang w:val="en-US" w:eastAsia="zh-CN"/>
        </w:rPr>
        <w:t>J Med Virol</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86</w:t>
      </w:r>
      <w:r w:rsidRPr="006B4444">
        <w:rPr>
          <w:rFonts w:ascii="Book Antiqua" w:eastAsia="DengXian" w:hAnsi="Book Antiqua"/>
          <w:kern w:val="2"/>
          <w:lang w:val="en-US" w:eastAsia="zh-CN"/>
        </w:rPr>
        <w:t>: 1683-1693 [PMID: 24980631 DOI: 10.1002/jmv.24005]</w:t>
      </w:r>
    </w:p>
    <w:p w14:paraId="0098B61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41 </w:t>
      </w:r>
      <w:r w:rsidRPr="006B4444">
        <w:rPr>
          <w:rFonts w:ascii="Book Antiqua" w:eastAsia="DengXian" w:hAnsi="Book Antiqua"/>
          <w:b/>
          <w:kern w:val="2"/>
          <w:lang w:val="en-US" w:eastAsia="zh-CN"/>
        </w:rPr>
        <w:t>Coppola N</w:t>
      </w:r>
      <w:r w:rsidRPr="006B4444">
        <w:rPr>
          <w:rFonts w:ascii="Book Antiqua" w:eastAsia="DengXian" w:hAnsi="Book Antiqua"/>
          <w:kern w:val="2"/>
          <w:lang w:val="en-US" w:eastAsia="zh-CN"/>
        </w:rPr>
        <w:t xml:space="preserve">, Alessio L, Pisaturo M, Macera M, Sagnelli C, Zampino R, Sagnelli E. Hepatitis B virus infection in immigrant populations. </w:t>
      </w:r>
      <w:r w:rsidRPr="006B4444">
        <w:rPr>
          <w:rFonts w:ascii="Book Antiqua" w:eastAsia="DengXian" w:hAnsi="Book Antiqua"/>
          <w:i/>
          <w:kern w:val="2"/>
          <w:lang w:val="en-US" w:eastAsia="zh-CN"/>
        </w:rPr>
        <w:t>World J Hepatol</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7</w:t>
      </w:r>
      <w:r w:rsidRPr="006B4444">
        <w:rPr>
          <w:rFonts w:ascii="Book Antiqua" w:eastAsia="DengXian" w:hAnsi="Book Antiqua"/>
          <w:kern w:val="2"/>
          <w:lang w:val="en-US" w:eastAsia="zh-CN"/>
        </w:rPr>
        <w:t>: 2955-2961 [PMID: 26730274 DOI: 10.4254/wjh.v7.i30.2955]</w:t>
      </w:r>
    </w:p>
    <w:p w14:paraId="7D8D9E6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lastRenderedPageBreak/>
        <w:t xml:space="preserve">42 </w:t>
      </w:r>
      <w:r w:rsidRPr="006B4444">
        <w:rPr>
          <w:rFonts w:ascii="Book Antiqua" w:eastAsia="DengXian" w:hAnsi="Book Antiqua"/>
          <w:b/>
          <w:kern w:val="2"/>
          <w:lang w:val="en-US" w:eastAsia="zh-CN"/>
        </w:rPr>
        <w:t>Sagnelli E</w:t>
      </w:r>
      <w:r w:rsidRPr="006B4444">
        <w:rPr>
          <w:rFonts w:ascii="Book Antiqua" w:eastAsia="DengXian" w:hAnsi="Book Antiqua"/>
          <w:kern w:val="2"/>
          <w:lang w:val="en-US" w:eastAsia="zh-CN"/>
        </w:rPr>
        <w:t xml:space="preserve">, Taliani G, Castelli F, Bartolozzi D, Cacopardo B, Armignacco O, Scotto G, Coppola N, Stroffolini T, Sagnelli C. Chronic HBV infection in pregnant immigrants: A multicenter study of the Italian Society of Infectious and Tropical Diseases. </w:t>
      </w:r>
      <w:r w:rsidRPr="006B4444">
        <w:rPr>
          <w:rFonts w:ascii="Book Antiqua" w:eastAsia="DengXian" w:hAnsi="Book Antiqua"/>
          <w:i/>
          <w:kern w:val="2"/>
          <w:lang w:val="en-US" w:eastAsia="zh-CN"/>
        </w:rPr>
        <w:t>New Microbiol</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39</w:t>
      </w:r>
      <w:r w:rsidRPr="006B4444">
        <w:rPr>
          <w:rFonts w:ascii="Book Antiqua" w:eastAsia="DengXian" w:hAnsi="Book Antiqua"/>
          <w:kern w:val="2"/>
          <w:lang w:val="en-US" w:eastAsia="zh-CN"/>
        </w:rPr>
        <w:t>: 114-118 [PMID: 27196549]</w:t>
      </w:r>
    </w:p>
    <w:p w14:paraId="3D02319B"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43 </w:t>
      </w:r>
      <w:r w:rsidRPr="006B4444">
        <w:rPr>
          <w:rFonts w:ascii="Book Antiqua" w:eastAsia="DengXian" w:hAnsi="Book Antiqua"/>
          <w:b/>
          <w:kern w:val="2"/>
          <w:lang w:val="en-US" w:eastAsia="zh-CN"/>
        </w:rPr>
        <w:t>Stroffolini T</w:t>
      </w:r>
      <w:r w:rsidRPr="006B4444">
        <w:rPr>
          <w:rFonts w:ascii="Book Antiqua" w:eastAsia="DengXian" w:hAnsi="Book Antiqua"/>
          <w:kern w:val="2"/>
          <w:lang w:val="en-US" w:eastAsia="zh-CN"/>
        </w:rPr>
        <w:t xml:space="preserve">, Sagnelli E, Gaeta GB, Sagnelli C, Andriulli A, Brancaccio G, Pirisi M, Colloredo G, Morisco F, Furlan C, Almasio PL; EPACRON study group. Characteristics of liver cirrhosis in Italy: Evidence for a decreasing role of HCV aetiology. </w:t>
      </w:r>
      <w:r w:rsidRPr="006B4444">
        <w:rPr>
          <w:rFonts w:ascii="Book Antiqua" w:eastAsia="DengXian" w:hAnsi="Book Antiqua"/>
          <w:i/>
          <w:kern w:val="2"/>
          <w:lang w:val="en-US" w:eastAsia="zh-CN"/>
        </w:rPr>
        <w:t>Eur J Intern Med</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38</w:t>
      </w:r>
      <w:r w:rsidRPr="006B4444">
        <w:rPr>
          <w:rFonts w:ascii="Book Antiqua" w:eastAsia="DengXian" w:hAnsi="Book Antiqua"/>
          <w:kern w:val="2"/>
          <w:lang w:val="en-US" w:eastAsia="zh-CN"/>
        </w:rPr>
        <w:t>: 68-72 [PMID: 27836249 DOI: 10.1016/j.ejim.2016.10.012]</w:t>
      </w:r>
    </w:p>
    <w:p w14:paraId="1835CD12"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44 </w:t>
      </w:r>
      <w:r w:rsidRPr="006B4444">
        <w:rPr>
          <w:rFonts w:ascii="Book Antiqua" w:eastAsia="DengXian" w:hAnsi="Book Antiqua"/>
          <w:b/>
          <w:kern w:val="2"/>
          <w:lang w:val="en-US" w:eastAsia="zh-CN"/>
        </w:rPr>
        <w:t>Goldstein ST</w:t>
      </w:r>
      <w:r w:rsidRPr="006B4444">
        <w:rPr>
          <w:rFonts w:ascii="Book Antiqua" w:eastAsia="DengXian" w:hAnsi="Book Antiqua"/>
          <w:kern w:val="2"/>
          <w:lang w:val="en-US" w:eastAsia="zh-CN"/>
        </w:rPr>
        <w:t>, Zhou F, Hadler SC, Bell BP, Mast EE, Margolis HS.</w:t>
      </w:r>
      <w:proofErr w:type="gramEnd"/>
      <w:r w:rsidRPr="006B4444">
        <w:rPr>
          <w:rFonts w:ascii="Book Antiqua" w:eastAsia="DengXian" w:hAnsi="Book Antiqua"/>
          <w:kern w:val="2"/>
          <w:lang w:val="en-US" w:eastAsia="zh-CN"/>
        </w:rPr>
        <w:t xml:space="preserve"> </w:t>
      </w:r>
      <w:proofErr w:type="gramStart"/>
      <w:r w:rsidRPr="006B4444">
        <w:rPr>
          <w:rFonts w:ascii="Book Antiqua" w:eastAsia="DengXian" w:hAnsi="Book Antiqua"/>
          <w:kern w:val="2"/>
          <w:lang w:val="en-US" w:eastAsia="zh-CN"/>
        </w:rPr>
        <w:t>A mathematical model to estimate global hepatitis B disease burden and vaccination impact.</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Int J Epidemiol</w:t>
      </w:r>
      <w:r w:rsidRPr="006B4444">
        <w:rPr>
          <w:rFonts w:ascii="Book Antiqua" w:eastAsia="DengXian" w:hAnsi="Book Antiqua"/>
          <w:kern w:val="2"/>
          <w:lang w:val="en-US" w:eastAsia="zh-CN"/>
        </w:rPr>
        <w:t xml:space="preserve"> 2005; </w:t>
      </w:r>
      <w:r w:rsidRPr="006B4444">
        <w:rPr>
          <w:rFonts w:ascii="Book Antiqua" w:eastAsia="DengXian" w:hAnsi="Book Antiqua"/>
          <w:b/>
          <w:kern w:val="2"/>
          <w:lang w:val="en-US" w:eastAsia="zh-CN"/>
        </w:rPr>
        <w:t>34</w:t>
      </w:r>
      <w:r w:rsidRPr="006B4444">
        <w:rPr>
          <w:rFonts w:ascii="Book Antiqua" w:eastAsia="DengXian" w:hAnsi="Book Antiqua"/>
          <w:kern w:val="2"/>
          <w:lang w:val="en-US" w:eastAsia="zh-CN"/>
        </w:rPr>
        <w:t>: 1329-1339 [PMID: 16249217 DOI: 10.1093/ije/dyi206]</w:t>
      </w:r>
    </w:p>
    <w:p w14:paraId="6308E322"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45 </w:t>
      </w:r>
      <w:r w:rsidRPr="006B4444">
        <w:rPr>
          <w:rFonts w:ascii="Book Antiqua" w:eastAsia="DengXian" w:hAnsi="Book Antiqua"/>
          <w:b/>
          <w:kern w:val="2"/>
          <w:lang w:val="en-US" w:eastAsia="zh-CN"/>
        </w:rPr>
        <w:t>de la Hoz F</w:t>
      </w:r>
      <w:r w:rsidRPr="006B4444">
        <w:rPr>
          <w:rFonts w:ascii="Book Antiqua" w:eastAsia="DengXian" w:hAnsi="Book Antiqua"/>
          <w:kern w:val="2"/>
          <w:lang w:val="en-US" w:eastAsia="zh-CN"/>
        </w:rPr>
        <w:t>, Perez L, de Neira M, Hall AJ.</w:t>
      </w:r>
      <w:proofErr w:type="gramEnd"/>
      <w:r w:rsidRPr="006B4444">
        <w:rPr>
          <w:rFonts w:ascii="Book Antiqua" w:eastAsia="DengXian" w:hAnsi="Book Antiqua"/>
          <w:kern w:val="2"/>
          <w:lang w:val="en-US" w:eastAsia="zh-CN"/>
        </w:rPr>
        <w:t xml:space="preserve"> Eight years of hepatitis B vaccination in Colombia with a recombinant vaccine: Factors influencing hepatitis B virus infection and effectiveness. </w:t>
      </w:r>
      <w:r w:rsidRPr="006B4444">
        <w:rPr>
          <w:rFonts w:ascii="Book Antiqua" w:eastAsia="DengXian" w:hAnsi="Book Antiqua"/>
          <w:i/>
          <w:kern w:val="2"/>
          <w:lang w:val="en-US" w:eastAsia="zh-CN"/>
        </w:rPr>
        <w:t>Int J Infect Dis</w:t>
      </w:r>
      <w:r w:rsidRPr="006B4444">
        <w:rPr>
          <w:rFonts w:ascii="Book Antiqua" w:eastAsia="DengXian" w:hAnsi="Book Antiqua"/>
          <w:kern w:val="2"/>
          <w:lang w:val="en-US" w:eastAsia="zh-CN"/>
        </w:rPr>
        <w:t xml:space="preserve"> 2008; </w:t>
      </w:r>
      <w:r w:rsidRPr="006B4444">
        <w:rPr>
          <w:rFonts w:ascii="Book Antiqua" w:eastAsia="DengXian" w:hAnsi="Book Antiqua"/>
          <w:b/>
          <w:kern w:val="2"/>
          <w:lang w:val="en-US" w:eastAsia="zh-CN"/>
        </w:rPr>
        <w:t>12</w:t>
      </w:r>
      <w:r w:rsidRPr="006B4444">
        <w:rPr>
          <w:rFonts w:ascii="Book Antiqua" w:eastAsia="DengXian" w:hAnsi="Book Antiqua"/>
          <w:kern w:val="2"/>
          <w:lang w:val="en-US" w:eastAsia="zh-CN"/>
        </w:rPr>
        <w:t>: 183-189 [PMID: 17913535 DOI: 10.1016/j.ijid.2007.06.010]</w:t>
      </w:r>
    </w:p>
    <w:p w14:paraId="66FE870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46 </w:t>
      </w:r>
      <w:r w:rsidRPr="006B4444">
        <w:rPr>
          <w:rFonts w:ascii="Book Antiqua" w:eastAsia="DengXian" w:hAnsi="Book Antiqua"/>
          <w:b/>
          <w:kern w:val="2"/>
          <w:lang w:val="en-US" w:eastAsia="zh-CN"/>
        </w:rPr>
        <w:t>Goldstein ST</w:t>
      </w:r>
      <w:r w:rsidRPr="006B4444">
        <w:rPr>
          <w:rFonts w:ascii="Book Antiqua" w:eastAsia="DengXian" w:hAnsi="Book Antiqua"/>
          <w:kern w:val="2"/>
          <w:lang w:val="en-US" w:eastAsia="zh-CN"/>
        </w:rPr>
        <w:t xml:space="preserve">, Alter MJ, Williams IT, Moyer LA, Judson FN, Mottram K, Fleenor M, Ryder PL, Margolis HS. Incidence and risk factors for acute hepatitis B in the United States, 1982-1998: Implications for vaccination programs. </w:t>
      </w:r>
      <w:r w:rsidRPr="006B4444">
        <w:rPr>
          <w:rFonts w:ascii="Book Antiqua" w:eastAsia="DengXian" w:hAnsi="Book Antiqua"/>
          <w:i/>
          <w:kern w:val="2"/>
          <w:lang w:val="en-US" w:eastAsia="zh-CN"/>
        </w:rPr>
        <w:t>J Infect Dis</w:t>
      </w:r>
      <w:r w:rsidRPr="006B4444">
        <w:rPr>
          <w:rFonts w:ascii="Book Antiqua" w:eastAsia="DengXian" w:hAnsi="Book Antiqua"/>
          <w:kern w:val="2"/>
          <w:lang w:val="en-US" w:eastAsia="zh-CN"/>
        </w:rPr>
        <w:t xml:space="preserve"> 2002; </w:t>
      </w:r>
      <w:r w:rsidRPr="006B4444">
        <w:rPr>
          <w:rFonts w:ascii="Book Antiqua" w:eastAsia="DengXian" w:hAnsi="Book Antiqua"/>
          <w:b/>
          <w:kern w:val="2"/>
          <w:lang w:val="en-US" w:eastAsia="zh-CN"/>
        </w:rPr>
        <w:t>185</w:t>
      </w:r>
      <w:r w:rsidRPr="006B4444">
        <w:rPr>
          <w:rFonts w:ascii="Book Antiqua" w:eastAsia="DengXian" w:hAnsi="Book Antiqua"/>
          <w:kern w:val="2"/>
          <w:lang w:val="en-US" w:eastAsia="zh-CN"/>
        </w:rPr>
        <w:t>: 713-719 [PMID: 11920288 DOI: 10.1086/339192]</w:t>
      </w:r>
    </w:p>
    <w:p w14:paraId="4D8E5B00"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47 </w:t>
      </w:r>
      <w:r w:rsidRPr="006B4444">
        <w:rPr>
          <w:rFonts w:ascii="Book Antiqua" w:eastAsia="DengXian" w:hAnsi="Book Antiqua"/>
          <w:b/>
          <w:kern w:val="2"/>
          <w:lang w:val="en-US" w:eastAsia="zh-CN"/>
        </w:rPr>
        <w:t>Hyams KC</w:t>
      </w:r>
      <w:r w:rsidRPr="006B4444">
        <w:rPr>
          <w:rFonts w:ascii="Book Antiqua" w:eastAsia="DengXian" w:hAnsi="Book Antiqua"/>
          <w:kern w:val="2"/>
          <w:lang w:val="en-US" w:eastAsia="zh-CN"/>
        </w:rPr>
        <w:t xml:space="preserve">. Risks of chronicity following acute hepatitis B virus infection: A review. </w:t>
      </w:r>
      <w:r w:rsidRPr="006B4444">
        <w:rPr>
          <w:rFonts w:ascii="Book Antiqua" w:eastAsia="DengXian" w:hAnsi="Book Antiqua"/>
          <w:i/>
          <w:kern w:val="2"/>
          <w:lang w:val="en-US" w:eastAsia="zh-CN"/>
        </w:rPr>
        <w:t>Clin Infect Dis</w:t>
      </w:r>
      <w:r w:rsidRPr="006B4444">
        <w:rPr>
          <w:rFonts w:ascii="Book Antiqua" w:eastAsia="DengXian" w:hAnsi="Book Antiqua"/>
          <w:kern w:val="2"/>
          <w:lang w:val="en-US" w:eastAsia="zh-CN"/>
        </w:rPr>
        <w:t xml:space="preserve"> 1995; </w:t>
      </w:r>
      <w:r w:rsidRPr="006B4444">
        <w:rPr>
          <w:rFonts w:ascii="Book Antiqua" w:eastAsia="DengXian" w:hAnsi="Book Antiqua"/>
          <w:b/>
          <w:kern w:val="2"/>
          <w:lang w:val="en-US" w:eastAsia="zh-CN"/>
        </w:rPr>
        <w:t>20</w:t>
      </w:r>
      <w:r w:rsidRPr="006B4444">
        <w:rPr>
          <w:rFonts w:ascii="Book Antiqua" w:eastAsia="DengXian" w:hAnsi="Book Antiqua"/>
          <w:kern w:val="2"/>
          <w:lang w:val="en-US" w:eastAsia="zh-CN"/>
        </w:rPr>
        <w:t>: 992-1000 [PMID: 7795104 DOI: 10.1093/clinids/20.4.992]</w:t>
      </w:r>
    </w:p>
    <w:p w14:paraId="6945F1D4"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48 </w:t>
      </w:r>
      <w:r w:rsidRPr="006B4444">
        <w:rPr>
          <w:rFonts w:ascii="Book Antiqua" w:eastAsia="DengXian" w:hAnsi="Book Antiqua"/>
          <w:b/>
          <w:kern w:val="2"/>
          <w:lang w:val="en-US" w:eastAsia="zh-CN"/>
        </w:rPr>
        <w:t>Lok AS</w:t>
      </w:r>
      <w:r w:rsidRPr="006B4444">
        <w:rPr>
          <w:rFonts w:ascii="Book Antiqua" w:eastAsia="DengXian" w:hAnsi="Book Antiqua"/>
          <w:kern w:val="2"/>
          <w:lang w:val="en-US" w:eastAsia="zh-CN"/>
        </w:rPr>
        <w:t>, McMahon BJ.</w:t>
      </w:r>
      <w:proofErr w:type="gramEnd"/>
      <w:r w:rsidRPr="006B4444">
        <w:rPr>
          <w:rFonts w:ascii="Book Antiqua" w:eastAsia="DengXian" w:hAnsi="Book Antiqua"/>
          <w:kern w:val="2"/>
          <w:lang w:val="en-US" w:eastAsia="zh-CN"/>
        </w:rPr>
        <w:t xml:space="preserve"> Chronic hepatitis B.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2007; </w:t>
      </w:r>
      <w:r w:rsidRPr="006B4444">
        <w:rPr>
          <w:rFonts w:ascii="Book Antiqua" w:eastAsia="DengXian" w:hAnsi="Book Antiqua"/>
          <w:b/>
          <w:kern w:val="2"/>
          <w:lang w:val="en-US" w:eastAsia="zh-CN"/>
        </w:rPr>
        <w:t>45</w:t>
      </w:r>
      <w:r w:rsidRPr="006B4444">
        <w:rPr>
          <w:rFonts w:ascii="Book Antiqua" w:eastAsia="DengXian" w:hAnsi="Book Antiqua"/>
          <w:kern w:val="2"/>
          <w:lang w:val="en-US" w:eastAsia="zh-CN"/>
        </w:rPr>
        <w:t>: 507-539 [PMID: 17256718 DOI: 10.1002/hep.21513]</w:t>
      </w:r>
    </w:p>
    <w:p w14:paraId="3B5B4242"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49 </w:t>
      </w:r>
      <w:r w:rsidRPr="006B4444">
        <w:rPr>
          <w:rFonts w:ascii="Book Antiqua" w:eastAsia="DengXian" w:hAnsi="Book Antiqua"/>
          <w:b/>
          <w:kern w:val="2"/>
          <w:lang w:val="en-US" w:eastAsia="zh-CN"/>
        </w:rPr>
        <w:t>Fattovich G</w:t>
      </w:r>
      <w:r w:rsidRPr="006B4444">
        <w:rPr>
          <w:rFonts w:ascii="Book Antiqua" w:eastAsia="DengXian" w:hAnsi="Book Antiqua"/>
          <w:kern w:val="2"/>
          <w:lang w:val="en-US" w:eastAsia="zh-CN"/>
        </w:rPr>
        <w:t xml:space="preserve">, Bortolotti F, Donato F. Natural history of chronic hepatitis B: Special emphasis on disease progression and prognostic factors. </w:t>
      </w:r>
      <w:r w:rsidRPr="006B4444">
        <w:rPr>
          <w:rFonts w:ascii="Book Antiqua" w:eastAsia="DengXian" w:hAnsi="Book Antiqua"/>
          <w:i/>
          <w:kern w:val="2"/>
          <w:lang w:val="en-US" w:eastAsia="zh-CN"/>
        </w:rPr>
        <w:t>J Hepatol</w:t>
      </w:r>
      <w:r w:rsidRPr="006B4444">
        <w:rPr>
          <w:rFonts w:ascii="Book Antiqua" w:eastAsia="DengXian" w:hAnsi="Book Antiqua"/>
          <w:kern w:val="2"/>
          <w:lang w:val="en-US" w:eastAsia="zh-CN"/>
        </w:rPr>
        <w:t xml:space="preserve"> 2008; </w:t>
      </w:r>
      <w:r w:rsidRPr="006B4444">
        <w:rPr>
          <w:rFonts w:ascii="Book Antiqua" w:eastAsia="DengXian" w:hAnsi="Book Antiqua"/>
          <w:b/>
          <w:kern w:val="2"/>
          <w:lang w:val="en-US" w:eastAsia="zh-CN"/>
        </w:rPr>
        <w:t>48</w:t>
      </w:r>
      <w:r w:rsidRPr="006B4444">
        <w:rPr>
          <w:rFonts w:ascii="Book Antiqua" w:eastAsia="DengXian" w:hAnsi="Book Antiqua"/>
          <w:kern w:val="2"/>
          <w:lang w:val="en-US" w:eastAsia="zh-CN"/>
        </w:rPr>
        <w:t>: 335-352 [PMID: 18096267 DOI: 10.1016/j.jhep.2007.11.011]</w:t>
      </w:r>
    </w:p>
    <w:p w14:paraId="3709BB90"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50 </w:t>
      </w:r>
      <w:r w:rsidRPr="006B4444">
        <w:rPr>
          <w:rFonts w:ascii="Book Antiqua" w:eastAsia="DengXian" w:hAnsi="Book Antiqua"/>
          <w:b/>
          <w:kern w:val="2"/>
          <w:lang w:val="en-US" w:eastAsia="zh-CN"/>
        </w:rPr>
        <w:t xml:space="preserve">European </w:t>
      </w:r>
      <w:proofErr w:type="gramStart"/>
      <w:r w:rsidRPr="006B4444">
        <w:rPr>
          <w:rFonts w:ascii="Book Antiqua" w:eastAsia="DengXian" w:hAnsi="Book Antiqua"/>
          <w:b/>
          <w:kern w:val="2"/>
          <w:lang w:val="en-US" w:eastAsia="zh-CN"/>
        </w:rPr>
        <w:t>Association</w:t>
      </w:r>
      <w:proofErr w:type="gramEnd"/>
      <w:r w:rsidRPr="006B4444">
        <w:rPr>
          <w:rFonts w:ascii="Book Antiqua" w:eastAsia="DengXian" w:hAnsi="Book Antiqua"/>
          <w:b/>
          <w:kern w:val="2"/>
          <w:lang w:val="en-US" w:eastAsia="zh-CN"/>
        </w:rPr>
        <w:t xml:space="preserve"> for the Study of the Liver. Electronic address: easloffice@easloffice.eu.</w:t>
      </w:r>
      <w:r w:rsidRPr="006B4444">
        <w:rPr>
          <w:rFonts w:ascii="Book Antiqua" w:eastAsia="DengXian" w:hAnsi="Book Antiqua"/>
          <w:kern w:val="2"/>
          <w:lang w:val="en-US" w:eastAsia="zh-CN"/>
        </w:rPr>
        <w:t xml:space="preserve">; European Association for the Study of the Liver. EASL 2017 Clinical Practice Guidelines on the management of hepatitis B virus infection. </w:t>
      </w:r>
      <w:r w:rsidRPr="006B4444">
        <w:rPr>
          <w:rFonts w:ascii="Book Antiqua" w:eastAsia="DengXian" w:hAnsi="Book Antiqua"/>
          <w:i/>
          <w:kern w:val="2"/>
          <w:lang w:val="en-US" w:eastAsia="zh-CN"/>
        </w:rPr>
        <w:t>J Hepatol</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67</w:t>
      </w:r>
      <w:r w:rsidRPr="006B4444">
        <w:rPr>
          <w:rFonts w:ascii="Book Antiqua" w:eastAsia="DengXian" w:hAnsi="Book Antiqua"/>
          <w:kern w:val="2"/>
          <w:lang w:val="en-US" w:eastAsia="zh-CN"/>
        </w:rPr>
        <w:t>: 370-398 [PMID: 28427875 DOI: 10.1016/j.jhep.2017.03.021]</w:t>
      </w:r>
    </w:p>
    <w:p w14:paraId="0B6D582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51 </w:t>
      </w:r>
      <w:r w:rsidRPr="006B4444">
        <w:rPr>
          <w:rFonts w:ascii="Book Antiqua" w:eastAsia="DengXian" w:hAnsi="Book Antiqua"/>
          <w:b/>
          <w:kern w:val="2"/>
          <w:lang w:val="en-US" w:eastAsia="zh-CN"/>
        </w:rPr>
        <w:t>Torbenson M</w:t>
      </w:r>
      <w:r w:rsidRPr="006B4444">
        <w:rPr>
          <w:rFonts w:ascii="Book Antiqua" w:eastAsia="DengXian" w:hAnsi="Book Antiqua"/>
          <w:kern w:val="2"/>
          <w:lang w:val="en-US" w:eastAsia="zh-CN"/>
        </w:rPr>
        <w:t>, Thomas DL.</w:t>
      </w:r>
      <w:proofErr w:type="gramEnd"/>
      <w:r w:rsidRPr="006B4444">
        <w:rPr>
          <w:rFonts w:ascii="Book Antiqua" w:eastAsia="DengXian" w:hAnsi="Book Antiqua"/>
          <w:kern w:val="2"/>
          <w:lang w:val="en-US" w:eastAsia="zh-CN"/>
        </w:rPr>
        <w:t xml:space="preserve"> Occult hepatitis B. </w:t>
      </w:r>
      <w:r w:rsidRPr="006B4444">
        <w:rPr>
          <w:rFonts w:ascii="Book Antiqua" w:eastAsia="DengXian" w:hAnsi="Book Antiqua"/>
          <w:i/>
          <w:kern w:val="2"/>
          <w:lang w:val="en-US" w:eastAsia="zh-CN"/>
        </w:rPr>
        <w:t>Lancet Infect Dis</w:t>
      </w:r>
      <w:r w:rsidRPr="006B4444">
        <w:rPr>
          <w:rFonts w:ascii="Book Antiqua" w:eastAsia="DengXian" w:hAnsi="Book Antiqua"/>
          <w:kern w:val="2"/>
          <w:lang w:val="en-US" w:eastAsia="zh-CN"/>
        </w:rPr>
        <w:t xml:space="preserve"> 2002; </w:t>
      </w:r>
      <w:r w:rsidRPr="006B4444">
        <w:rPr>
          <w:rFonts w:ascii="Book Antiqua" w:eastAsia="DengXian" w:hAnsi="Book Antiqua"/>
          <w:b/>
          <w:kern w:val="2"/>
          <w:lang w:val="en-US" w:eastAsia="zh-CN"/>
        </w:rPr>
        <w:t>2</w:t>
      </w:r>
      <w:r w:rsidRPr="006B4444">
        <w:rPr>
          <w:rFonts w:ascii="Book Antiqua" w:eastAsia="DengXian" w:hAnsi="Book Antiqua"/>
          <w:kern w:val="2"/>
          <w:lang w:val="en-US" w:eastAsia="zh-CN"/>
        </w:rPr>
        <w:t>: 479-486 [PMID: 12150847 DOI: 10.1016/S1473-3099(02)00345-6]</w:t>
      </w:r>
    </w:p>
    <w:p w14:paraId="7CDADB80"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52 </w:t>
      </w:r>
      <w:r w:rsidRPr="006B4444">
        <w:rPr>
          <w:rFonts w:ascii="Book Antiqua" w:eastAsia="DengXian" w:hAnsi="Book Antiqua"/>
          <w:b/>
          <w:kern w:val="2"/>
          <w:lang w:val="en-US" w:eastAsia="zh-CN"/>
        </w:rPr>
        <w:t>Sagnelli E</w:t>
      </w:r>
      <w:r w:rsidRPr="006B4444">
        <w:rPr>
          <w:rFonts w:ascii="Book Antiqua" w:eastAsia="DengXian" w:hAnsi="Book Antiqua"/>
          <w:kern w:val="2"/>
          <w:lang w:val="en-US" w:eastAsia="zh-CN"/>
        </w:rPr>
        <w:t xml:space="preserve">, Pisaturo M, Martini S, Filippini P, Sagnelli C, Coppola N. Clinical impact of occult hepatitis B virus infection in immunosuppressed patients. </w:t>
      </w:r>
      <w:r w:rsidRPr="006B4444">
        <w:rPr>
          <w:rFonts w:ascii="Book Antiqua" w:eastAsia="DengXian" w:hAnsi="Book Antiqua"/>
          <w:i/>
          <w:kern w:val="2"/>
          <w:lang w:val="en-US" w:eastAsia="zh-CN"/>
        </w:rPr>
        <w:t>World J Hepatol</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6</w:t>
      </w:r>
      <w:r w:rsidRPr="006B4444">
        <w:rPr>
          <w:rFonts w:ascii="Book Antiqua" w:eastAsia="DengXian" w:hAnsi="Book Antiqua"/>
          <w:kern w:val="2"/>
          <w:lang w:val="en-US" w:eastAsia="zh-CN"/>
        </w:rPr>
        <w:t>: 384-393 [PMID: 25018849 DOI: 10.4254/wjh.v6.i6.384]</w:t>
      </w:r>
    </w:p>
    <w:p w14:paraId="7323C4D1"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lastRenderedPageBreak/>
        <w:t xml:space="preserve">53 </w:t>
      </w:r>
      <w:r w:rsidRPr="006B4444">
        <w:rPr>
          <w:rFonts w:ascii="Book Antiqua" w:eastAsia="DengXian" w:hAnsi="Book Antiqua"/>
          <w:b/>
          <w:kern w:val="2"/>
          <w:lang w:val="en-US" w:eastAsia="zh-CN"/>
        </w:rPr>
        <w:t>Coppola N</w:t>
      </w:r>
      <w:r w:rsidRPr="006B4444">
        <w:rPr>
          <w:rFonts w:ascii="Book Antiqua" w:eastAsia="DengXian" w:hAnsi="Book Antiqua"/>
          <w:kern w:val="2"/>
          <w:lang w:val="en-US" w:eastAsia="zh-CN"/>
        </w:rPr>
        <w:t xml:space="preserve">, Loquercio G, Tonziello G, Azzaro R, Pisaturo M, Di Costanzo G, Starace M, Pasquale G, Cacciapuoti C, Petruzziello A. HBV transmission from an occult carrier with five mutations in the major hydrophilic region of HBsAg to an immunosuppressed plasma recipient. </w:t>
      </w:r>
      <w:r w:rsidRPr="006B4444">
        <w:rPr>
          <w:rFonts w:ascii="Book Antiqua" w:eastAsia="DengXian" w:hAnsi="Book Antiqua"/>
          <w:i/>
          <w:kern w:val="2"/>
          <w:lang w:val="en-US" w:eastAsia="zh-CN"/>
        </w:rPr>
        <w:t>J Clin Virol</w:t>
      </w:r>
      <w:r w:rsidRPr="006B4444">
        <w:rPr>
          <w:rFonts w:ascii="Book Antiqua" w:eastAsia="DengXian" w:hAnsi="Book Antiqua"/>
          <w:kern w:val="2"/>
          <w:lang w:val="en-US" w:eastAsia="zh-CN"/>
        </w:rPr>
        <w:t xml:space="preserve"> 2013; </w:t>
      </w:r>
      <w:r w:rsidRPr="006B4444">
        <w:rPr>
          <w:rFonts w:ascii="Book Antiqua" w:eastAsia="DengXian" w:hAnsi="Book Antiqua"/>
          <w:b/>
          <w:kern w:val="2"/>
          <w:lang w:val="en-US" w:eastAsia="zh-CN"/>
        </w:rPr>
        <w:t>58</w:t>
      </w:r>
      <w:r w:rsidRPr="006B4444">
        <w:rPr>
          <w:rFonts w:ascii="Book Antiqua" w:eastAsia="DengXian" w:hAnsi="Book Antiqua"/>
          <w:kern w:val="2"/>
          <w:lang w:val="en-US" w:eastAsia="zh-CN"/>
        </w:rPr>
        <w:t>: 315-317 [PMID: 23856167 DOI: 10.1016/j.jcv.2013.06.020]</w:t>
      </w:r>
    </w:p>
    <w:p w14:paraId="3E4287E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54 </w:t>
      </w:r>
      <w:r w:rsidRPr="006B4444">
        <w:rPr>
          <w:rFonts w:ascii="Book Antiqua" w:eastAsia="DengXian" w:hAnsi="Book Antiqua"/>
          <w:b/>
          <w:kern w:val="2"/>
          <w:lang w:val="en-US" w:eastAsia="zh-CN"/>
        </w:rPr>
        <w:t>Coppola N</w:t>
      </w:r>
      <w:r w:rsidRPr="006B4444">
        <w:rPr>
          <w:rFonts w:ascii="Book Antiqua" w:eastAsia="DengXian" w:hAnsi="Book Antiqua"/>
          <w:kern w:val="2"/>
          <w:lang w:val="en-US" w:eastAsia="zh-CN"/>
        </w:rPr>
        <w:t xml:space="preserve">, Onorato L, Iodice V, Starace M, Minichini C, Farella N, Liorre G, Filippini P, Sagnelli E, de Stefano G. Occult HBV infection in HCC and cirrhotic tissue of HBsAg-negative patients: A virological and clinical study. </w:t>
      </w:r>
      <w:r w:rsidRPr="006B4444">
        <w:rPr>
          <w:rFonts w:ascii="Book Antiqua" w:eastAsia="DengXian" w:hAnsi="Book Antiqua"/>
          <w:i/>
          <w:kern w:val="2"/>
          <w:lang w:val="en-US" w:eastAsia="zh-CN"/>
        </w:rPr>
        <w:t>Oncotarget</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7</w:t>
      </w:r>
      <w:r w:rsidRPr="006B4444">
        <w:rPr>
          <w:rFonts w:ascii="Book Antiqua" w:eastAsia="DengXian" w:hAnsi="Book Antiqua"/>
          <w:kern w:val="2"/>
          <w:lang w:val="en-US" w:eastAsia="zh-CN"/>
        </w:rPr>
        <w:t>: 62706-62714 [PMID: 27486882 DOI: 10.18632/oncotarget.10909]</w:t>
      </w:r>
    </w:p>
    <w:p w14:paraId="19656EA2"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55 </w:t>
      </w:r>
      <w:r w:rsidRPr="006B4444">
        <w:rPr>
          <w:rFonts w:ascii="Book Antiqua" w:eastAsia="DengXian" w:hAnsi="Book Antiqua"/>
          <w:b/>
          <w:kern w:val="2"/>
          <w:lang w:val="en-US" w:eastAsia="zh-CN"/>
        </w:rPr>
        <w:t>Raimondo G</w:t>
      </w:r>
      <w:r w:rsidRPr="006B4444">
        <w:rPr>
          <w:rFonts w:ascii="Book Antiqua" w:eastAsia="DengXian" w:hAnsi="Book Antiqua"/>
          <w:kern w:val="2"/>
          <w:lang w:val="en-US" w:eastAsia="zh-CN"/>
        </w:rPr>
        <w:t xml:space="preserve">, Caccamo G, Filomia R, Pollicino T. Occult HBV infection. </w:t>
      </w:r>
      <w:r w:rsidRPr="006B4444">
        <w:rPr>
          <w:rFonts w:ascii="Book Antiqua" w:eastAsia="DengXian" w:hAnsi="Book Antiqua"/>
          <w:i/>
          <w:kern w:val="2"/>
          <w:lang w:val="en-US" w:eastAsia="zh-CN"/>
        </w:rPr>
        <w:t>Semin Immunopathol</w:t>
      </w:r>
      <w:r w:rsidRPr="006B4444">
        <w:rPr>
          <w:rFonts w:ascii="Book Antiqua" w:eastAsia="DengXian" w:hAnsi="Book Antiqua"/>
          <w:kern w:val="2"/>
          <w:lang w:val="en-US" w:eastAsia="zh-CN"/>
        </w:rPr>
        <w:t xml:space="preserve"> 2013; </w:t>
      </w:r>
      <w:r w:rsidRPr="006B4444">
        <w:rPr>
          <w:rFonts w:ascii="Book Antiqua" w:eastAsia="DengXian" w:hAnsi="Book Antiqua"/>
          <w:b/>
          <w:kern w:val="2"/>
          <w:lang w:val="en-US" w:eastAsia="zh-CN"/>
        </w:rPr>
        <w:t>35</w:t>
      </w:r>
      <w:r w:rsidRPr="006B4444">
        <w:rPr>
          <w:rFonts w:ascii="Book Antiqua" w:eastAsia="DengXian" w:hAnsi="Book Antiqua"/>
          <w:kern w:val="2"/>
          <w:lang w:val="en-US" w:eastAsia="zh-CN"/>
        </w:rPr>
        <w:t>: 39-52 [PMID: 22829332 DOI: 10.1007/s00281-012-0327-7]</w:t>
      </w:r>
    </w:p>
    <w:p w14:paraId="63520707"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56 </w:t>
      </w:r>
      <w:r w:rsidRPr="006B4444">
        <w:rPr>
          <w:rFonts w:ascii="Book Antiqua" w:eastAsia="DengXian" w:hAnsi="Book Antiqua"/>
          <w:b/>
          <w:kern w:val="2"/>
          <w:lang w:val="en-US" w:eastAsia="zh-CN"/>
        </w:rPr>
        <w:t>Coppola N</w:t>
      </w:r>
      <w:r w:rsidRPr="006B4444">
        <w:rPr>
          <w:rFonts w:ascii="Book Antiqua" w:eastAsia="DengXian" w:hAnsi="Book Antiqua"/>
          <w:kern w:val="2"/>
          <w:lang w:val="en-US" w:eastAsia="zh-CN"/>
        </w:rPr>
        <w:t xml:space="preserve">, Onorato L, Sagnelli C, Sagnelli E, Angelillo IF. Association between anti-HBc positivity and hepatocellular carcinoma in HBsAg-negative subjects with chronic liver disease: A meta-analysis. </w:t>
      </w:r>
      <w:r w:rsidRPr="006B4444">
        <w:rPr>
          <w:rFonts w:ascii="Book Antiqua" w:eastAsia="DengXian" w:hAnsi="Book Antiqua"/>
          <w:i/>
          <w:kern w:val="2"/>
          <w:lang w:val="en-US" w:eastAsia="zh-CN"/>
        </w:rPr>
        <w:t>Medicine (Baltimore)</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95</w:t>
      </w:r>
      <w:r w:rsidRPr="006B4444">
        <w:rPr>
          <w:rFonts w:ascii="Book Antiqua" w:eastAsia="DengXian" w:hAnsi="Book Antiqua"/>
          <w:kern w:val="2"/>
          <w:lang w:val="en-US" w:eastAsia="zh-CN"/>
        </w:rPr>
        <w:t>: e4311 [PMID: 27472708 DOI: 10.1097/MD.0000000000004311]</w:t>
      </w:r>
    </w:p>
    <w:p w14:paraId="5CE49100"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57 </w:t>
      </w:r>
      <w:r w:rsidRPr="006B4444">
        <w:rPr>
          <w:rFonts w:ascii="Book Antiqua" w:eastAsia="DengXian" w:hAnsi="Book Antiqua"/>
          <w:b/>
          <w:kern w:val="2"/>
          <w:lang w:val="en-US" w:eastAsia="zh-CN"/>
        </w:rPr>
        <w:t>Levrero M</w:t>
      </w:r>
      <w:r w:rsidRPr="006B4444">
        <w:rPr>
          <w:rFonts w:ascii="Book Antiqua" w:eastAsia="DengXian" w:hAnsi="Book Antiqua"/>
          <w:kern w:val="2"/>
          <w:lang w:val="en-US" w:eastAsia="zh-CN"/>
        </w:rPr>
        <w:t>, Zucman-Rossi J. Mechanisms of HBV-induced hepatocellular carcinoma.</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J Hepatol</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64</w:t>
      </w:r>
      <w:r w:rsidRPr="006B4444">
        <w:rPr>
          <w:rFonts w:ascii="Book Antiqua" w:eastAsia="DengXian" w:hAnsi="Book Antiqua"/>
          <w:kern w:val="2"/>
          <w:lang w:val="en-US" w:eastAsia="zh-CN"/>
        </w:rPr>
        <w:t>: S84-S101 [PMID: 27084040 DOI: 10.1016/j.jhep.2016.02.021]</w:t>
      </w:r>
    </w:p>
    <w:p w14:paraId="479B97B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58 </w:t>
      </w:r>
      <w:r w:rsidRPr="006B4444">
        <w:rPr>
          <w:rFonts w:ascii="Book Antiqua" w:eastAsia="DengXian" w:hAnsi="Book Antiqua"/>
          <w:b/>
          <w:kern w:val="2"/>
          <w:lang w:val="en-US" w:eastAsia="zh-CN"/>
        </w:rPr>
        <w:t>Lebossé F</w:t>
      </w:r>
      <w:r w:rsidRPr="006B4444">
        <w:rPr>
          <w:rFonts w:ascii="Book Antiqua" w:eastAsia="DengXian" w:hAnsi="Book Antiqua"/>
          <w:kern w:val="2"/>
          <w:lang w:val="en-US" w:eastAsia="zh-CN"/>
        </w:rPr>
        <w:t xml:space="preserve">, Testoni B, Fresquet J, Facchetti F, Galmozzi E, Fournier M, Hervieu V, Berthillon P, Berby F, Bordes I, Durantel D, Levrero M, Lampertico P, Zoulim F. Intrahepatic innate immune response pathways are downregulated in untreated chronic hepatitis B. </w:t>
      </w:r>
      <w:r w:rsidRPr="006B4444">
        <w:rPr>
          <w:rFonts w:ascii="Book Antiqua" w:eastAsia="DengXian" w:hAnsi="Book Antiqua"/>
          <w:i/>
          <w:kern w:val="2"/>
          <w:lang w:val="en-US" w:eastAsia="zh-CN"/>
        </w:rPr>
        <w:t>J Hepatol</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66</w:t>
      </w:r>
      <w:r w:rsidRPr="006B4444">
        <w:rPr>
          <w:rFonts w:ascii="Book Antiqua" w:eastAsia="DengXian" w:hAnsi="Book Antiqua"/>
          <w:kern w:val="2"/>
          <w:lang w:val="en-US" w:eastAsia="zh-CN"/>
        </w:rPr>
        <w:t>: 897-909 [PMID: 28043874 DOI: 10.1016/j.jhep.2016.12.024]</w:t>
      </w:r>
    </w:p>
    <w:p w14:paraId="37177AAE"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59 </w:t>
      </w:r>
      <w:r w:rsidRPr="006B4444">
        <w:rPr>
          <w:rFonts w:ascii="Book Antiqua" w:eastAsia="DengXian" w:hAnsi="Book Antiqua"/>
          <w:b/>
          <w:kern w:val="2"/>
          <w:lang w:val="en-US" w:eastAsia="zh-CN"/>
        </w:rPr>
        <w:t>Sagnelli E</w:t>
      </w:r>
      <w:r w:rsidRPr="006B4444">
        <w:rPr>
          <w:rFonts w:ascii="Book Antiqua" w:eastAsia="DengXian" w:hAnsi="Book Antiqua"/>
          <w:kern w:val="2"/>
          <w:lang w:val="en-US" w:eastAsia="zh-CN"/>
        </w:rPr>
        <w:t xml:space="preserve">, Potenza N, Onorato L, Sagnelli C, Coppola N, Russo A. Micro-RNAs in hepatitis B virus-related chronic liver diseases and hepatocellular carcinoma. </w:t>
      </w:r>
      <w:r w:rsidRPr="006B4444">
        <w:rPr>
          <w:rFonts w:ascii="Book Antiqua" w:eastAsia="DengXian" w:hAnsi="Book Antiqua"/>
          <w:i/>
          <w:kern w:val="2"/>
          <w:lang w:val="en-US" w:eastAsia="zh-CN"/>
        </w:rPr>
        <w:t>World J Hepatol</w:t>
      </w:r>
      <w:r w:rsidRPr="006B4444">
        <w:rPr>
          <w:rFonts w:ascii="Book Antiqua" w:eastAsia="DengXian" w:hAnsi="Book Antiqua"/>
          <w:kern w:val="2"/>
          <w:lang w:val="en-US" w:eastAsia="zh-CN"/>
        </w:rPr>
        <w:t xml:space="preserve"> 2018; </w:t>
      </w:r>
      <w:r w:rsidRPr="006B4444">
        <w:rPr>
          <w:rFonts w:ascii="Book Antiqua" w:eastAsia="DengXian" w:hAnsi="Book Antiqua"/>
          <w:b/>
          <w:kern w:val="2"/>
          <w:lang w:val="en-US" w:eastAsia="zh-CN"/>
        </w:rPr>
        <w:t>10</w:t>
      </w:r>
      <w:r w:rsidRPr="006B4444">
        <w:rPr>
          <w:rFonts w:ascii="Book Antiqua" w:eastAsia="DengXian" w:hAnsi="Book Antiqua"/>
          <w:kern w:val="2"/>
          <w:lang w:val="en-US" w:eastAsia="zh-CN"/>
        </w:rPr>
        <w:t>: 558-570 [PMID: 30310534 DOI: 10.4254/wjh.v10.i9.558]</w:t>
      </w:r>
    </w:p>
    <w:p w14:paraId="1ACA381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60 </w:t>
      </w:r>
      <w:r w:rsidRPr="006B4444">
        <w:rPr>
          <w:rFonts w:ascii="Book Antiqua" w:eastAsia="DengXian" w:hAnsi="Book Antiqua"/>
          <w:b/>
          <w:kern w:val="2"/>
          <w:lang w:val="en-US" w:eastAsia="zh-CN"/>
        </w:rPr>
        <w:t>Sagnelli E</w:t>
      </w:r>
      <w:r w:rsidRPr="006B4444">
        <w:rPr>
          <w:rFonts w:ascii="Book Antiqua" w:eastAsia="DengXian" w:hAnsi="Book Antiqua"/>
          <w:kern w:val="2"/>
          <w:lang w:val="en-US" w:eastAsia="zh-CN"/>
        </w:rPr>
        <w:t xml:space="preserve">, Sagnelli C, Macera M, Pisaturo M, Coppola N. An update on the treatment options for HBV/HCV coinfection. </w:t>
      </w:r>
      <w:r w:rsidRPr="006B4444">
        <w:rPr>
          <w:rFonts w:ascii="Book Antiqua" w:eastAsia="DengXian" w:hAnsi="Book Antiqua"/>
          <w:i/>
          <w:kern w:val="2"/>
          <w:lang w:val="en-US" w:eastAsia="zh-CN"/>
        </w:rPr>
        <w:t>Expert Opin Pharmacother</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18</w:t>
      </w:r>
      <w:r w:rsidRPr="006B4444">
        <w:rPr>
          <w:rFonts w:ascii="Book Antiqua" w:eastAsia="DengXian" w:hAnsi="Book Antiqua"/>
          <w:kern w:val="2"/>
          <w:lang w:val="en-US" w:eastAsia="zh-CN"/>
        </w:rPr>
        <w:t>: 1691-1702 [PMID: 29081251]</w:t>
      </w:r>
    </w:p>
    <w:p w14:paraId="5AD6536C"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61 </w:t>
      </w:r>
      <w:r w:rsidRPr="006B4444">
        <w:rPr>
          <w:rFonts w:ascii="Book Antiqua" w:eastAsia="DengXian" w:hAnsi="Book Antiqua"/>
          <w:b/>
          <w:kern w:val="2"/>
          <w:lang w:val="en-US" w:eastAsia="zh-CN"/>
        </w:rPr>
        <w:t>Stroffolini T</w:t>
      </w:r>
      <w:r w:rsidRPr="006B4444">
        <w:rPr>
          <w:rFonts w:ascii="Book Antiqua" w:eastAsia="DengXian" w:hAnsi="Book Antiqua"/>
          <w:kern w:val="2"/>
          <w:lang w:val="en-US" w:eastAsia="zh-CN"/>
        </w:rPr>
        <w:t xml:space="preserve">, Sagnelli E, Sagnelli C, Russello M, De Luca M, Rosina F, Cacopardo B, Brancaccio G, Furlan C, Gaeta GB, Licata A, Almasio PL; behalf of EPACRON study group. Hepatitis delta infection in Italian patients: Towards the end of the story? </w:t>
      </w:r>
      <w:r w:rsidRPr="006B4444">
        <w:rPr>
          <w:rFonts w:ascii="Book Antiqua" w:eastAsia="DengXian" w:hAnsi="Book Antiqua"/>
          <w:i/>
          <w:kern w:val="2"/>
          <w:lang w:val="en-US" w:eastAsia="zh-CN"/>
        </w:rPr>
        <w:t>Infection</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45</w:t>
      </w:r>
      <w:r w:rsidRPr="006B4444">
        <w:rPr>
          <w:rFonts w:ascii="Book Antiqua" w:eastAsia="DengXian" w:hAnsi="Book Antiqua"/>
          <w:kern w:val="2"/>
          <w:lang w:val="en-US" w:eastAsia="zh-CN"/>
        </w:rPr>
        <w:t>: 277-281 [PMID: 27817147 DOI: 10.1007/s15010-016-0956-1]</w:t>
      </w:r>
    </w:p>
    <w:p w14:paraId="6B4B2F3F"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62 </w:t>
      </w:r>
      <w:r w:rsidRPr="006B4444">
        <w:rPr>
          <w:rFonts w:ascii="Book Antiqua" w:eastAsia="DengXian" w:hAnsi="Book Antiqua"/>
          <w:b/>
          <w:kern w:val="2"/>
          <w:lang w:val="en-US" w:eastAsia="zh-CN"/>
        </w:rPr>
        <w:t>Papatheodoridis GV</w:t>
      </w:r>
      <w:r w:rsidRPr="006B4444">
        <w:rPr>
          <w:rFonts w:ascii="Book Antiqua" w:eastAsia="DengXian" w:hAnsi="Book Antiqua"/>
          <w:kern w:val="2"/>
          <w:lang w:val="en-US" w:eastAsia="zh-CN"/>
        </w:rPr>
        <w:t xml:space="preserve">, Chan HL, Hansen BE, Janssen HL, Lampertico P. Risk of hepatocellular carcinoma in chronic hepatitis B: Assessment and modification with current antiviral therapy. </w:t>
      </w:r>
      <w:r w:rsidRPr="006B4444">
        <w:rPr>
          <w:rFonts w:ascii="Book Antiqua" w:eastAsia="DengXian" w:hAnsi="Book Antiqua"/>
          <w:i/>
          <w:kern w:val="2"/>
          <w:lang w:val="en-US" w:eastAsia="zh-CN"/>
        </w:rPr>
        <w:t>J Hepatol</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62</w:t>
      </w:r>
      <w:r w:rsidRPr="006B4444">
        <w:rPr>
          <w:rFonts w:ascii="Book Antiqua" w:eastAsia="DengXian" w:hAnsi="Book Antiqua"/>
          <w:kern w:val="2"/>
          <w:lang w:val="en-US" w:eastAsia="zh-CN"/>
        </w:rPr>
        <w:t>: 956-967 [PMID: 25595883 DOI: 10.1016/j.jhep.2015.01.002]</w:t>
      </w:r>
    </w:p>
    <w:p w14:paraId="3E607BFF"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63 </w:t>
      </w:r>
      <w:r w:rsidRPr="006B4444">
        <w:rPr>
          <w:rFonts w:ascii="Book Antiqua" w:eastAsia="DengXian" w:hAnsi="Book Antiqua"/>
          <w:b/>
          <w:kern w:val="2"/>
          <w:lang w:val="en-US" w:eastAsia="zh-CN"/>
        </w:rPr>
        <w:t>Lok AS</w:t>
      </w:r>
      <w:r w:rsidRPr="006B4444">
        <w:rPr>
          <w:rFonts w:ascii="Book Antiqua" w:eastAsia="DengXian" w:hAnsi="Book Antiqua"/>
          <w:kern w:val="2"/>
          <w:lang w:val="en-US" w:eastAsia="zh-CN"/>
        </w:rPr>
        <w:t xml:space="preserve">, McMahon BJ, Brown RS Jr, Wong JB, Ahmed AT, Farah W, Almasri J, Alahdab F, Benkhadra K, Mouchli MA, Singh S, Mohamed EA, Abu Dabrh AM, Prokop LJ, Wang Z, Murad </w:t>
      </w:r>
      <w:r w:rsidRPr="006B4444">
        <w:rPr>
          <w:rFonts w:ascii="Book Antiqua" w:eastAsia="DengXian" w:hAnsi="Book Antiqua"/>
          <w:kern w:val="2"/>
          <w:lang w:val="en-US" w:eastAsia="zh-CN"/>
        </w:rPr>
        <w:lastRenderedPageBreak/>
        <w:t xml:space="preserve">MH, Mohammed K. Antiviral therapy for chronic hepatitis B viral infection in adults: A systematic review and meta-analysis.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63</w:t>
      </w:r>
      <w:r w:rsidRPr="006B4444">
        <w:rPr>
          <w:rFonts w:ascii="Book Antiqua" w:eastAsia="DengXian" w:hAnsi="Book Antiqua"/>
          <w:kern w:val="2"/>
          <w:lang w:val="en-US" w:eastAsia="zh-CN"/>
        </w:rPr>
        <w:t>: 284-306 [PMID: 26566246 DOI: 10.1002/hep.28280]</w:t>
      </w:r>
    </w:p>
    <w:p w14:paraId="1681C61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64 </w:t>
      </w:r>
      <w:r w:rsidRPr="006B4444">
        <w:rPr>
          <w:rFonts w:ascii="Book Antiqua" w:eastAsia="DengXian" w:hAnsi="Book Antiqua"/>
          <w:b/>
          <w:kern w:val="2"/>
          <w:lang w:val="en-US" w:eastAsia="zh-CN"/>
        </w:rPr>
        <w:t>Calogero A,</w:t>
      </w:r>
      <w:r w:rsidRPr="006B4444">
        <w:rPr>
          <w:rFonts w:ascii="Book Antiqua" w:eastAsia="DengXian" w:hAnsi="Book Antiqua"/>
          <w:kern w:val="2"/>
          <w:lang w:val="en-US" w:eastAsia="zh-CN"/>
        </w:rPr>
        <w:t xml:space="preserve"> Sagnelli E, Creta M, Angeletti S, Peluso G, Incollingo P, Candida M, Minieri G, Carlomagno N, Dodaro C, M Ciccozzi, Sagnelli C. Eradication of HCV infection with the Direct-Acting Antiviral Therapy in renal allograft recipients. </w:t>
      </w:r>
      <w:r w:rsidRPr="006B4444">
        <w:rPr>
          <w:rFonts w:ascii="Book Antiqua" w:eastAsia="DengXian" w:hAnsi="Book Antiqua"/>
          <w:i/>
          <w:kern w:val="2"/>
          <w:lang w:val="en-US" w:eastAsia="zh-CN"/>
        </w:rPr>
        <w:t>BioMed Res Int</w:t>
      </w:r>
      <w:r w:rsidRPr="006B4444">
        <w:rPr>
          <w:rFonts w:ascii="Book Antiqua" w:eastAsia="DengXian" w:hAnsi="Book Antiqua"/>
          <w:kern w:val="2"/>
          <w:lang w:val="en-US" w:eastAsia="zh-CN"/>
        </w:rPr>
        <w:t xml:space="preserve"> 2019; </w:t>
      </w:r>
      <w:r w:rsidRPr="006B4444">
        <w:rPr>
          <w:rFonts w:ascii="Book Antiqua" w:eastAsia="DengXian" w:hAnsi="Book Antiqua"/>
          <w:b/>
          <w:kern w:val="2"/>
          <w:lang w:val="en-US" w:eastAsia="zh-CN"/>
        </w:rPr>
        <w:t>2019</w:t>
      </w:r>
      <w:r w:rsidRPr="006B4444">
        <w:rPr>
          <w:rFonts w:ascii="Book Antiqua" w:eastAsia="DengXian" w:hAnsi="Book Antiqua"/>
          <w:kern w:val="2"/>
          <w:lang w:val="en-US" w:eastAsia="zh-CN"/>
        </w:rPr>
        <w:t>: 4674560 [DOI: 10.1155/2019/4674560]</w:t>
      </w:r>
    </w:p>
    <w:p w14:paraId="0B98719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65 </w:t>
      </w:r>
      <w:r w:rsidRPr="006B4444">
        <w:rPr>
          <w:rFonts w:ascii="Book Antiqua" w:eastAsia="DengXian" w:hAnsi="Book Antiqua"/>
          <w:b/>
          <w:kern w:val="2"/>
          <w:lang w:val="en-US" w:eastAsia="zh-CN"/>
        </w:rPr>
        <w:t>Suk-Fong Lok A</w:t>
      </w:r>
      <w:r w:rsidRPr="006B4444">
        <w:rPr>
          <w:rFonts w:ascii="Book Antiqua" w:eastAsia="DengXian" w:hAnsi="Book Antiqua"/>
          <w:kern w:val="2"/>
          <w:lang w:val="en-US" w:eastAsia="zh-CN"/>
        </w:rPr>
        <w:t xml:space="preserve">. Hepatitis B </w:t>
      </w:r>
      <w:proofErr w:type="gramStart"/>
      <w:r w:rsidRPr="006B4444">
        <w:rPr>
          <w:rFonts w:ascii="Book Antiqua" w:eastAsia="DengXian" w:hAnsi="Book Antiqua"/>
          <w:kern w:val="2"/>
          <w:lang w:val="en-US" w:eastAsia="zh-CN"/>
        </w:rPr>
        <w:t>Treatment</w:t>
      </w:r>
      <w:proofErr w:type="gramEnd"/>
      <w:r w:rsidRPr="006B4444">
        <w:rPr>
          <w:rFonts w:ascii="Book Antiqua" w:eastAsia="DengXian" w:hAnsi="Book Antiqua"/>
          <w:kern w:val="2"/>
          <w:lang w:val="en-US" w:eastAsia="zh-CN"/>
        </w:rPr>
        <w:t xml:space="preserve">: What We Know Now and What Remains to Be Researched. </w:t>
      </w:r>
      <w:r w:rsidRPr="006B4444">
        <w:rPr>
          <w:rFonts w:ascii="Book Antiqua" w:eastAsia="DengXian" w:hAnsi="Book Antiqua"/>
          <w:i/>
          <w:kern w:val="2"/>
          <w:lang w:val="en-US" w:eastAsia="zh-CN"/>
        </w:rPr>
        <w:t>Hepatol Commun</w:t>
      </w:r>
      <w:r w:rsidRPr="006B4444">
        <w:rPr>
          <w:rFonts w:ascii="Book Antiqua" w:eastAsia="DengXian" w:hAnsi="Book Antiqua"/>
          <w:kern w:val="2"/>
          <w:lang w:val="en-US" w:eastAsia="zh-CN"/>
        </w:rPr>
        <w:t xml:space="preserve"> 2018; </w:t>
      </w:r>
      <w:r w:rsidRPr="006B4444">
        <w:rPr>
          <w:rFonts w:ascii="Book Antiqua" w:eastAsia="DengXian" w:hAnsi="Book Antiqua"/>
          <w:b/>
          <w:kern w:val="2"/>
          <w:lang w:val="en-US" w:eastAsia="zh-CN"/>
        </w:rPr>
        <w:t>3</w:t>
      </w:r>
      <w:r w:rsidRPr="006B4444">
        <w:rPr>
          <w:rFonts w:ascii="Book Antiqua" w:eastAsia="DengXian" w:hAnsi="Book Antiqua"/>
          <w:kern w:val="2"/>
          <w:lang w:val="en-US" w:eastAsia="zh-CN"/>
        </w:rPr>
        <w:t>: 8-19 [PMID: 30619990 DOI: 10.1002/hep4.1281]</w:t>
      </w:r>
    </w:p>
    <w:p w14:paraId="724B5C0A"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66 </w:t>
      </w:r>
      <w:r w:rsidRPr="006B4444">
        <w:rPr>
          <w:rFonts w:ascii="Book Antiqua" w:eastAsia="DengXian" w:hAnsi="Book Antiqua"/>
          <w:b/>
          <w:kern w:val="2"/>
          <w:lang w:val="en-US" w:eastAsia="zh-CN"/>
        </w:rPr>
        <w:t>Fong TL</w:t>
      </w:r>
      <w:r w:rsidRPr="006B4444">
        <w:rPr>
          <w:rFonts w:ascii="Book Antiqua" w:eastAsia="DengXian" w:hAnsi="Book Antiqua"/>
          <w:kern w:val="2"/>
          <w:lang w:val="en-US" w:eastAsia="zh-CN"/>
        </w:rPr>
        <w:t xml:space="preserve">, Di Bisceglie AM, Gerber MA, Waggoner JG, Hoofnagle JH. Persistence of hepatitis B virus DNA in the liver after loss of HBsAg in chronic hepatitis B.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1993; </w:t>
      </w:r>
      <w:r w:rsidRPr="006B4444">
        <w:rPr>
          <w:rFonts w:ascii="Book Antiqua" w:eastAsia="DengXian" w:hAnsi="Book Antiqua"/>
          <w:b/>
          <w:kern w:val="2"/>
          <w:lang w:val="en-US" w:eastAsia="zh-CN"/>
        </w:rPr>
        <w:t>18</w:t>
      </w:r>
      <w:r w:rsidRPr="006B4444">
        <w:rPr>
          <w:rFonts w:ascii="Book Antiqua" w:eastAsia="DengXian" w:hAnsi="Book Antiqua"/>
          <w:kern w:val="2"/>
          <w:lang w:val="en-US" w:eastAsia="zh-CN"/>
        </w:rPr>
        <w:t>: 1313-1318 [PMID: 8244254 DOI: 10.1002/hep.1840180605]</w:t>
      </w:r>
    </w:p>
    <w:p w14:paraId="5016DAD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67 </w:t>
      </w:r>
      <w:r w:rsidRPr="006B4444">
        <w:rPr>
          <w:rFonts w:ascii="Book Antiqua" w:eastAsia="DengXian" w:hAnsi="Book Antiqua"/>
          <w:b/>
          <w:kern w:val="2"/>
          <w:lang w:val="en-US" w:eastAsia="zh-CN"/>
        </w:rPr>
        <w:t>Loomba R</w:t>
      </w:r>
      <w:r w:rsidRPr="006B4444">
        <w:rPr>
          <w:rFonts w:ascii="Book Antiqua" w:eastAsia="DengXian" w:hAnsi="Book Antiqua"/>
          <w:kern w:val="2"/>
          <w:lang w:val="en-US" w:eastAsia="zh-CN"/>
        </w:rPr>
        <w:t xml:space="preserve">, Liang TJ. Hepatitis B Reactivation Associated With Immune Suppressive and Biological Modifier Therapies: Current Concepts, Management Strategies, and Future Directions. </w:t>
      </w:r>
      <w:r w:rsidRPr="006B4444">
        <w:rPr>
          <w:rFonts w:ascii="Book Antiqua" w:eastAsia="DengXian" w:hAnsi="Book Antiqua"/>
          <w:i/>
          <w:kern w:val="2"/>
          <w:lang w:val="en-US" w:eastAsia="zh-CN"/>
        </w:rPr>
        <w:t>Gastroenterology</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152</w:t>
      </w:r>
      <w:r w:rsidRPr="006B4444">
        <w:rPr>
          <w:rFonts w:ascii="Book Antiqua" w:eastAsia="DengXian" w:hAnsi="Book Antiqua"/>
          <w:kern w:val="2"/>
          <w:lang w:val="en-US" w:eastAsia="zh-CN"/>
        </w:rPr>
        <w:t>: 1297-1309 [PMID: 28219691 DOI: 10.1053/j.gastro.2017.02.009]</w:t>
      </w:r>
    </w:p>
    <w:p w14:paraId="17D5BFC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68 </w:t>
      </w:r>
      <w:r w:rsidRPr="006B4444">
        <w:rPr>
          <w:rFonts w:ascii="Book Antiqua" w:eastAsia="DengXian" w:hAnsi="Book Antiqua"/>
          <w:b/>
          <w:kern w:val="2"/>
          <w:lang w:val="en-US" w:eastAsia="zh-CN"/>
        </w:rPr>
        <w:t>Seto WK</w:t>
      </w:r>
      <w:r w:rsidRPr="006B4444">
        <w:rPr>
          <w:rFonts w:ascii="Book Antiqua" w:eastAsia="DengXian" w:hAnsi="Book Antiqua"/>
          <w:kern w:val="2"/>
          <w:lang w:val="en-US" w:eastAsia="zh-CN"/>
        </w:rPr>
        <w:t xml:space="preserve">, Chan TS, Hwang YY, Wong DK, Fung J, Liu KS, Gill H, Lam YF, Lie AK, Lai CL, Kwong YL, Yuen MF. Hepatitis B reactivation in patients with previous hepatitis B virus exposure undergoing rituximab-containing chemotherapy for lymphoma: A prospective study. </w:t>
      </w:r>
      <w:r w:rsidRPr="006B4444">
        <w:rPr>
          <w:rFonts w:ascii="Book Antiqua" w:eastAsia="DengXian" w:hAnsi="Book Antiqua"/>
          <w:i/>
          <w:kern w:val="2"/>
          <w:lang w:val="en-US" w:eastAsia="zh-CN"/>
        </w:rPr>
        <w:t>J Clin Oncol</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32</w:t>
      </w:r>
      <w:r w:rsidRPr="006B4444">
        <w:rPr>
          <w:rFonts w:ascii="Book Antiqua" w:eastAsia="DengXian" w:hAnsi="Book Antiqua"/>
          <w:kern w:val="2"/>
          <w:lang w:val="en-US" w:eastAsia="zh-CN"/>
        </w:rPr>
        <w:t>: 3736-3743 [PMID: 25287829 DOI: 10.1200/JCO.2014.56.7081]</w:t>
      </w:r>
    </w:p>
    <w:p w14:paraId="7E2AD0B7"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69 </w:t>
      </w:r>
      <w:r w:rsidRPr="006B4444">
        <w:rPr>
          <w:rFonts w:ascii="Book Antiqua" w:eastAsia="DengXian" w:hAnsi="Book Antiqua"/>
          <w:b/>
          <w:kern w:val="2"/>
          <w:lang w:val="en-US" w:eastAsia="zh-CN"/>
        </w:rPr>
        <w:t>Hammond SP</w:t>
      </w:r>
      <w:r w:rsidRPr="006B4444">
        <w:rPr>
          <w:rFonts w:ascii="Book Antiqua" w:eastAsia="DengXian" w:hAnsi="Book Antiqua"/>
          <w:kern w:val="2"/>
          <w:lang w:val="en-US" w:eastAsia="zh-CN"/>
        </w:rPr>
        <w:t xml:space="preserve">, Borchelt AM, Ukomadu C, Ho VT, Baden LR, Marty FM. Hepatitis B virus reactivation following allogeneic hematopoietic stem cell transplantation. </w:t>
      </w:r>
      <w:r w:rsidRPr="006B4444">
        <w:rPr>
          <w:rFonts w:ascii="Book Antiqua" w:eastAsia="DengXian" w:hAnsi="Book Antiqua"/>
          <w:i/>
          <w:kern w:val="2"/>
          <w:lang w:val="en-US" w:eastAsia="zh-CN"/>
        </w:rPr>
        <w:t>Biol Blood Marrow Transplant</w:t>
      </w:r>
      <w:r w:rsidRPr="006B4444">
        <w:rPr>
          <w:rFonts w:ascii="Book Antiqua" w:eastAsia="DengXian" w:hAnsi="Book Antiqua"/>
          <w:kern w:val="2"/>
          <w:lang w:val="en-US" w:eastAsia="zh-CN"/>
        </w:rPr>
        <w:t xml:space="preserve"> 2009; </w:t>
      </w:r>
      <w:r w:rsidRPr="006B4444">
        <w:rPr>
          <w:rFonts w:ascii="Book Antiqua" w:eastAsia="DengXian" w:hAnsi="Book Antiqua"/>
          <w:b/>
          <w:kern w:val="2"/>
          <w:lang w:val="en-US" w:eastAsia="zh-CN"/>
        </w:rPr>
        <w:t>15</w:t>
      </w:r>
      <w:r w:rsidRPr="006B4444">
        <w:rPr>
          <w:rFonts w:ascii="Book Antiqua" w:eastAsia="DengXian" w:hAnsi="Book Antiqua"/>
          <w:kern w:val="2"/>
          <w:lang w:val="en-US" w:eastAsia="zh-CN"/>
        </w:rPr>
        <w:t>: 1049-1059 [PMID: 19660717 DOI: 10.1016/j.bbmt.2009.05.001]</w:t>
      </w:r>
    </w:p>
    <w:p w14:paraId="4B95E8C0"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70 </w:t>
      </w:r>
      <w:r w:rsidRPr="006B4444">
        <w:rPr>
          <w:rFonts w:ascii="Book Antiqua" w:eastAsia="DengXian" w:hAnsi="Book Antiqua"/>
          <w:b/>
          <w:kern w:val="2"/>
          <w:lang w:val="en-US" w:eastAsia="zh-CN"/>
        </w:rPr>
        <w:t>Yeo W</w:t>
      </w:r>
      <w:r w:rsidRPr="006B4444">
        <w:rPr>
          <w:rFonts w:ascii="Book Antiqua" w:eastAsia="DengXian" w:hAnsi="Book Antiqua"/>
          <w:kern w:val="2"/>
          <w:lang w:val="en-US" w:eastAsia="zh-CN"/>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6B4444">
        <w:rPr>
          <w:rFonts w:ascii="Book Antiqua" w:eastAsia="DengXian" w:hAnsi="Book Antiqua"/>
          <w:i/>
          <w:kern w:val="2"/>
          <w:lang w:val="en-US" w:eastAsia="zh-CN"/>
        </w:rPr>
        <w:t>J Med Virol</w:t>
      </w:r>
      <w:r w:rsidRPr="006B4444">
        <w:rPr>
          <w:rFonts w:ascii="Book Antiqua" w:eastAsia="DengXian" w:hAnsi="Book Antiqua"/>
          <w:kern w:val="2"/>
          <w:lang w:val="en-US" w:eastAsia="zh-CN"/>
        </w:rPr>
        <w:t xml:space="preserve"> 2000; </w:t>
      </w:r>
      <w:r w:rsidRPr="006B4444">
        <w:rPr>
          <w:rFonts w:ascii="Book Antiqua" w:eastAsia="DengXian" w:hAnsi="Book Antiqua"/>
          <w:b/>
          <w:kern w:val="2"/>
          <w:lang w:val="en-US" w:eastAsia="zh-CN"/>
        </w:rPr>
        <w:t>62</w:t>
      </w:r>
      <w:r w:rsidRPr="006B4444">
        <w:rPr>
          <w:rFonts w:ascii="Book Antiqua" w:eastAsia="DengXian" w:hAnsi="Book Antiqua"/>
          <w:kern w:val="2"/>
          <w:lang w:val="en-US" w:eastAsia="zh-CN"/>
        </w:rPr>
        <w:t>: 299-307 [PMID: 11055239 DOI: 10.1002/1096-9071(200011)62:3&lt;299:</w:t>
      </w:r>
      <w:proofErr w:type="gramStart"/>
      <w:r w:rsidRPr="006B4444">
        <w:rPr>
          <w:rFonts w:ascii="Book Antiqua" w:eastAsia="DengXian" w:hAnsi="Book Antiqua"/>
          <w:kern w:val="2"/>
          <w:lang w:val="en-US" w:eastAsia="zh-CN"/>
        </w:rPr>
        <w:t>:AID</w:t>
      </w:r>
      <w:proofErr w:type="gramEnd"/>
      <w:r w:rsidRPr="006B4444">
        <w:rPr>
          <w:rFonts w:ascii="Book Antiqua" w:eastAsia="DengXian" w:hAnsi="Book Antiqua"/>
          <w:kern w:val="2"/>
          <w:lang w:val="en-US" w:eastAsia="zh-CN"/>
        </w:rPr>
        <w:t>-JMV1&gt;3.0.CO;2-0]</w:t>
      </w:r>
    </w:p>
    <w:p w14:paraId="510EF9B9"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71 </w:t>
      </w:r>
      <w:r w:rsidRPr="006B4444">
        <w:rPr>
          <w:rFonts w:ascii="Book Antiqua" w:eastAsia="DengXian" w:hAnsi="Book Antiqua"/>
          <w:b/>
          <w:kern w:val="2"/>
          <w:lang w:val="en-US" w:eastAsia="zh-CN"/>
        </w:rPr>
        <w:t>Yuen MF</w:t>
      </w:r>
      <w:r w:rsidRPr="006B4444">
        <w:rPr>
          <w:rFonts w:ascii="Book Antiqua" w:eastAsia="DengXian" w:hAnsi="Book Antiqua"/>
          <w:kern w:val="2"/>
          <w:lang w:val="en-US" w:eastAsia="zh-CN"/>
        </w:rPr>
        <w:t xml:space="preserve">, Wong DK, Fung J, Ip P, But D, Hung I, Lau K, Yuen JC, Lai CL. HBsAg Seroclearance in chronic hepatitis B in Asian patients: Replicative level and risk of hepatocellular carcinoma. </w:t>
      </w:r>
      <w:r w:rsidRPr="006B4444">
        <w:rPr>
          <w:rFonts w:ascii="Book Antiqua" w:eastAsia="DengXian" w:hAnsi="Book Antiqua"/>
          <w:i/>
          <w:kern w:val="2"/>
          <w:lang w:val="en-US" w:eastAsia="zh-CN"/>
        </w:rPr>
        <w:t>Gastroenterology</w:t>
      </w:r>
      <w:r w:rsidRPr="006B4444">
        <w:rPr>
          <w:rFonts w:ascii="Book Antiqua" w:eastAsia="DengXian" w:hAnsi="Book Antiqua"/>
          <w:kern w:val="2"/>
          <w:lang w:val="en-US" w:eastAsia="zh-CN"/>
        </w:rPr>
        <w:t xml:space="preserve"> 2008; </w:t>
      </w:r>
      <w:r w:rsidRPr="006B4444">
        <w:rPr>
          <w:rFonts w:ascii="Book Antiqua" w:eastAsia="DengXian" w:hAnsi="Book Antiqua"/>
          <w:b/>
          <w:kern w:val="2"/>
          <w:lang w:val="en-US" w:eastAsia="zh-CN"/>
        </w:rPr>
        <w:t>135</w:t>
      </w:r>
      <w:r w:rsidRPr="006B4444">
        <w:rPr>
          <w:rFonts w:ascii="Book Antiqua" w:eastAsia="DengXian" w:hAnsi="Book Antiqua"/>
          <w:kern w:val="2"/>
          <w:lang w:val="en-US" w:eastAsia="zh-CN"/>
        </w:rPr>
        <w:t>: 1192-1199 [PMID: 18722377 DOI: 10.1053/j.gastro.2008.07.008]</w:t>
      </w:r>
    </w:p>
    <w:p w14:paraId="468EFE3B"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72 </w:t>
      </w:r>
      <w:r w:rsidRPr="006B4444">
        <w:rPr>
          <w:rFonts w:ascii="Book Antiqua" w:eastAsia="DengXian" w:hAnsi="Book Antiqua"/>
          <w:b/>
          <w:kern w:val="2"/>
          <w:lang w:val="en-US" w:eastAsia="zh-CN"/>
        </w:rPr>
        <w:t>Perrillo RP</w:t>
      </w:r>
      <w:r w:rsidRPr="006B4444">
        <w:rPr>
          <w:rFonts w:ascii="Book Antiqua" w:eastAsia="DengXian" w:hAnsi="Book Antiqua"/>
          <w:kern w:val="2"/>
          <w:lang w:val="en-US" w:eastAsia="zh-CN"/>
        </w:rPr>
        <w:t>.</w:t>
      </w:r>
      <w:proofErr w:type="gramEnd"/>
      <w:r w:rsidRPr="006B4444">
        <w:rPr>
          <w:rFonts w:ascii="Book Antiqua" w:eastAsia="DengXian" w:hAnsi="Book Antiqua"/>
          <w:kern w:val="2"/>
          <w:lang w:val="en-US" w:eastAsia="zh-CN"/>
        </w:rPr>
        <w:t xml:space="preserve"> Acute flares in chronic hepatitis B: The natural and unnatural history of an immunologically mediated liver disease. </w:t>
      </w:r>
      <w:r w:rsidRPr="006B4444">
        <w:rPr>
          <w:rFonts w:ascii="Book Antiqua" w:eastAsia="DengXian" w:hAnsi="Book Antiqua"/>
          <w:i/>
          <w:kern w:val="2"/>
          <w:lang w:val="en-US" w:eastAsia="zh-CN"/>
        </w:rPr>
        <w:t>Gastroenterology</w:t>
      </w:r>
      <w:r w:rsidRPr="006B4444">
        <w:rPr>
          <w:rFonts w:ascii="Book Antiqua" w:eastAsia="DengXian" w:hAnsi="Book Antiqua"/>
          <w:kern w:val="2"/>
          <w:lang w:val="en-US" w:eastAsia="zh-CN"/>
        </w:rPr>
        <w:t xml:space="preserve"> 2001; </w:t>
      </w:r>
      <w:r w:rsidRPr="006B4444">
        <w:rPr>
          <w:rFonts w:ascii="Book Antiqua" w:eastAsia="DengXian" w:hAnsi="Book Antiqua"/>
          <w:b/>
          <w:kern w:val="2"/>
          <w:lang w:val="en-US" w:eastAsia="zh-CN"/>
        </w:rPr>
        <w:t>120</w:t>
      </w:r>
      <w:r w:rsidRPr="006B4444">
        <w:rPr>
          <w:rFonts w:ascii="Book Antiqua" w:eastAsia="DengXian" w:hAnsi="Book Antiqua"/>
          <w:kern w:val="2"/>
          <w:lang w:val="en-US" w:eastAsia="zh-CN"/>
        </w:rPr>
        <w:t>: 1009-1022 [PMID: 11231956 DOI: 10.1053/gast.2001.22461]</w:t>
      </w:r>
    </w:p>
    <w:p w14:paraId="76BBF6F8"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73 </w:t>
      </w:r>
      <w:r w:rsidRPr="006B4444">
        <w:rPr>
          <w:rFonts w:ascii="Book Antiqua" w:eastAsia="DengXian" w:hAnsi="Book Antiqua"/>
          <w:b/>
          <w:kern w:val="2"/>
          <w:lang w:val="en-US" w:eastAsia="zh-CN"/>
        </w:rPr>
        <w:t>Paul S</w:t>
      </w:r>
      <w:r w:rsidRPr="006B4444">
        <w:rPr>
          <w:rFonts w:ascii="Book Antiqua" w:eastAsia="DengXian" w:hAnsi="Book Antiqua"/>
          <w:kern w:val="2"/>
          <w:lang w:val="en-US" w:eastAsia="zh-CN"/>
        </w:rPr>
        <w:t xml:space="preserve">, Dickstein A, Saxena A, Terrin N, Viveiros K, Balk EM, Wong JB. Role of surface antibody in hepatitis B reactivation in patients with resolved infection and hematologic </w:t>
      </w:r>
      <w:r w:rsidRPr="006B4444">
        <w:rPr>
          <w:rFonts w:ascii="Book Antiqua" w:eastAsia="DengXian" w:hAnsi="Book Antiqua"/>
          <w:kern w:val="2"/>
          <w:lang w:val="en-US" w:eastAsia="zh-CN"/>
        </w:rPr>
        <w:lastRenderedPageBreak/>
        <w:t xml:space="preserve">malignancy: A meta-analysis.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66</w:t>
      </w:r>
      <w:r w:rsidRPr="006B4444">
        <w:rPr>
          <w:rFonts w:ascii="Book Antiqua" w:eastAsia="DengXian" w:hAnsi="Book Antiqua"/>
          <w:kern w:val="2"/>
          <w:lang w:val="en-US" w:eastAsia="zh-CN"/>
        </w:rPr>
        <w:t>: 379-388 [PMID: 28128861 DOI: 10.1002/hep.29082]</w:t>
      </w:r>
    </w:p>
    <w:p w14:paraId="23FE8A9F"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74 </w:t>
      </w:r>
      <w:r w:rsidRPr="006B4444">
        <w:rPr>
          <w:rFonts w:ascii="Book Antiqua" w:eastAsia="DengXian" w:hAnsi="Book Antiqua"/>
          <w:b/>
          <w:kern w:val="2"/>
          <w:lang w:val="en-US" w:eastAsia="zh-CN"/>
        </w:rPr>
        <w:t>Chen CY</w:t>
      </w:r>
      <w:r w:rsidRPr="006B4444">
        <w:rPr>
          <w:rFonts w:ascii="Book Antiqua" w:eastAsia="DengXian" w:hAnsi="Book Antiqua"/>
          <w:kern w:val="2"/>
          <w:lang w:val="en-US" w:eastAsia="zh-CN"/>
        </w:rPr>
        <w:t xml:space="preserve">, Tien FM, Cheng A, Huang SY, Chou WC, Yao M, Tang JL, Tien HF, Sheng WH. Hepatitis B reactivation among 1962 patients with hematological malignancy in Taiwan. </w:t>
      </w:r>
      <w:r w:rsidRPr="006B4444">
        <w:rPr>
          <w:rFonts w:ascii="Book Antiqua" w:eastAsia="DengXian" w:hAnsi="Book Antiqua"/>
          <w:i/>
          <w:kern w:val="2"/>
          <w:lang w:val="en-US" w:eastAsia="zh-CN"/>
        </w:rPr>
        <w:t>BMC Gastroenterol</w:t>
      </w:r>
      <w:r w:rsidRPr="006B4444">
        <w:rPr>
          <w:rFonts w:ascii="Book Antiqua" w:eastAsia="DengXian" w:hAnsi="Book Antiqua"/>
          <w:kern w:val="2"/>
          <w:lang w:val="en-US" w:eastAsia="zh-CN"/>
        </w:rPr>
        <w:t xml:space="preserve"> 2018; </w:t>
      </w:r>
      <w:r w:rsidRPr="006B4444">
        <w:rPr>
          <w:rFonts w:ascii="Book Antiqua" w:eastAsia="DengXian" w:hAnsi="Book Antiqua"/>
          <w:b/>
          <w:kern w:val="2"/>
          <w:lang w:val="en-US" w:eastAsia="zh-CN"/>
        </w:rPr>
        <w:t>18</w:t>
      </w:r>
      <w:r w:rsidRPr="006B4444">
        <w:rPr>
          <w:rFonts w:ascii="Book Antiqua" w:eastAsia="DengXian" w:hAnsi="Book Antiqua"/>
          <w:kern w:val="2"/>
          <w:lang w:val="en-US" w:eastAsia="zh-CN"/>
        </w:rPr>
        <w:t>: 6 [PMID: 29310589 DOI: 10.1186/s12876-017-0735-1]</w:t>
      </w:r>
    </w:p>
    <w:p w14:paraId="7718B96B"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75 </w:t>
      </w:r>
      <w:r w:rsidRPr="006B4444">
        <w:rPr>
          <w:rFonts w:ascii="Book Antiqua" w:eastAsia="DengXian" w:hAnsi="Book Antiqua"/>
          <w:b/>
          <w:kern w:val="2"/>
          <w:lang w:val="en-US" w:eastAsia="zh-CN"/>
        </w:rPr>
        <w:t>De Monte A</w:t>
      </w:r>
      <w:r w:rsidRPr="006B4444">
        <w:rPr>
          <w:rFonts w:ascii="Book Antiqua" w:eastAsia="DengXian" w:hAnsi="Book Antiqua"/>
          <w:kern w:val="2"/>
          <w:lang w:val="en-US" w:eastAsia="zh-CN"/>
        </w:rPr>
        <w:t xml:space="preserve">, Courjon J, Anty R, Cua E, Naqvi A, Mondain V, Cottalorda J, Ollier L, Giordanengo V. Direct-acting antiviral treatment in adults infected with hepatitis C virus: Reactivation of hepatitis B virus coinfection as a further challenge. </w:t>
      </w:r>
      <w:r w:rsidRPr="006B4444">
        <w:rPr>
          <w:rFonts w:ascii="Book Antiqua" w:eastAsia="DengXian" w:hAnsi="Book Antiqua"/>
          <w:i/>
          <w:kern w:val="2"/>
          <w:lang w:val="en-US" w:eastAsia="zh-CN"/>
        </w:rPr>
        <w:t>J Clin Virol</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78</w:t>
      </w:r>
      <w:r w:rsidRPr="006B4444">
        <w:rPr>
          <w:rFonts w:ascii="Book Antiqua" w:eastAsia="DengXian" w:hAnsi="Book Antiqua"/>
          <w:kern w:val="2"/>
          <w:lang w:val="en-US" w:eastAsia="zh-CN"/>
        </w:rPr>
        <w:t>: 27-30 [PMID: 26967675 DOI: 10.1016/j.jcv.2016.02.026]</w:t>
      </w:r>
    </w:p>
    <w:p w14:paraId="0A8E3EE7"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76 </w:t>
      </w:r>
      <w:r w:rsidRPr="006B4444">
        <w:rPr>
          <w:rFonts w:ascii="Book Antiqua" w:eastAsia="DengXian" w:hAnsi="Book Antiqua"/>
          <w:b/>
          <w:kern w:val="2"/>
          <w:lang w:val="en-US" w:eastAsia="zh-CN"/>
        </w:rPr>
        <w:t>Sarmati L</w:t>
      </w:r>
      <w:r w:rsidRPr="006B4444">
        <w:rPr>
          <w:rFonts w:ascii="Book Antiqua" w:eastAsia="DengXian" w:hAnsi="Book Antiqua"/>
          <w:kern w:val="2"/>
          <w:lang w:val="en-US" w:eastAsia="zh-CN"/>
        </w:rPr>
        <w:t xml:space="preserve">, Andreoni M, Antonelli G, Arcese W, Bruno R, Coppola N, Gaeta GB, Galli M, Girmenia C, Mikulska M, Pane F, Perno CF, Picardi M, Puoti M, Rambaldi A, Svicher V, Taliani G, Gentile G. Recommendations for screening, monitoring, prevention, prophylaxis and therapy of hepatitis B virus reactivation in patients with haematologic malignancies and patients who underwent haematologic stem cell transplantation-a position paper. </w:t>
      </w:r>
      <w:r w:rsidRPr="006B4444">
        <w:rPr>
          <w:rFonts w:ascii="Book Antiqua" w:eastAsia="DengXian" w:hAnsi="Book Antiqua"/>
          <w:i/>
          <w:kern w:val="2"/>
          <w:lang w:val="en-US" w:eastAsia="zh-CN"/>
        </w:rPr>
        <w:t>Clin Microbiol Infect</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23</w:t>
      </w:r>
      <w:r w:rsidRPr="006B4444">
        <w:rPr>
          <w:rFonts w:ascii="Book Antiqua" w:eastAsia="DengXian" w:hAnsi="Book Antiqua"/>
          <w:kern w:val="2"/>
          <w:lang w:val="en-US" w:eastAsia="zh-CN"/>
        </w:rPr>
        <w:t>: 935-940 [PMID: 28668466 DOI: 10.1016/j.cmi.2017.06.023]</w:t>
      </w:r>
    </w:p>
    <w:p w14:paraId="0E0FCF4E"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77 </w:t>
      </w:r>
      <w:r w:rsidRPr="006B4444">
        <w:rPr>
          <w:rFonts w:ascii="Book Antiqua" w:eastAsia="DengXian" w:hAnsi="Book Antiqua"/>
          <w:b/>
          <w:kern w:val="2"/>
          <w:lang w:val="en-US" w:eastAsia="zh-CN"/>
        </w:rPr>
        <w:t>Coppola N</w:t>
      </w:r>
      <w:r w:rsidRPr="006B4444">
        <w:rPr>
          <w:rFonts w:ascii="Book Antiqua" w:eastAsia="DengXian" w:hAnsi="Book Antiqua"/>
          <w:kern w:val="2"/>
          <w:lang w:val="en-US" w:eastAsia="zh-CN"/>
        </w:rPr>
        <w:t xml:space="preserve">, Pisapia R, Tonziello G, Martini S, Imparato M, Piai G, Stanzione M, Sagnelli C, Filippini P, Piccinino F, Sagnelli E. Virological pattern in plasma, peripheral blood mononuclear cells and liver tissue and clinical outcome in chronic hepatitis B and C virus coinfection. </w:t>
      </w:r>
      <w:r w:rsidRPr="006B4444">
        <w:rPr>
          <w:rFonts w:ascii="Book Antiqua" w:eastAsia="DengXian" w:hAnsi="Book Antiqua"/>
          <w:i/>
          <w:kern w:val="2"/>
          <w:lang w:val="en-US" w:eastAsia="zh-CN"/>
        </w:rPr>
        <w:t>Antivir Ther</w:t>
      </w:r>
      <w:r w:rsidRPr="006B4444">
        <w:rPr>
          <w:rFonts w:ascii="Book Antiqua" w:eastAsia="DengXian" w:hAnsi="Book Antiqua"/>
          <w:kern w:val="2"/>
          <w:lang w:val="en-US" w:eastAsia="zh-CN"/>
        </w:rPr>
        <w:t xml:space="preserve"> 2008; </w:t>
      </w:r>
      <w:r w:rsidRPr="006B4444">
        <w:rPr>
          <w:rFonts w:ascii="Book Antiqua" w:eastAsia="DengXian" w:hAnsi="Book Antiqua"/>
          <w:b/>
          <w:kern w:val="2"/>
          <w:lang w:val="en-US" w:eastAsia="zh-CN"/>
        </w:rPr>
        <w:t>13</w:t>
      </w:r>
      <w:r w:rsidRPr="006B4444">
        <w:rPr>
          <w:rFonts w:ascii="Book Antiqua" w:eastAsia="DengXian" w:hAnsi="Book Antiqua"/>
          <w:kern w:val="2"/>
          <w:lang w:val="en-US" w:eastAsia="zh-CN"/>
        </w:rPr>
        <w:t>: 307-318 [PMID: 18505182 DOI: 10.1016/j.antiviral.2007.08.009]</w:t>
      </w:r>
    </w:p>
    <w:p w14:paraId="0F909D55"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78 </w:t>
      </w:r>
      <w:r w:rsidRPr="006B4444">
        <w:rPr>
          <w:rFonts w:ascii="Book Antiqua" w:eastAsia="DengXian" w:hAnsi="Book Antiqua"/>
          <w:b/>
          <w:kern w:val="2"/>
          <w:lang w:val="en-US" w:eastAsia="zh-CN"/>
        </w:rPr>
        <w:t>Hsu C</w:t>
      </w:r>
      <w:r w:rsidRPr="006B4444">
        <w:rPr>
          <w:rFonts w:ascii="Book Antiqua" w:eastAsia="DengXian" w:hAnsi="Book Antiqua"/>
          <w:kern w:val="2"/>
          <w:lang w:val="en-US" w:eastAsia="zh-CN"/>
        </w:rPr>
        <w:t xml:space="preserve">, Tsou HH, Lin SJ, Wang MC, Yao M, Hwang WL, Kao WY, Chiu CF, Lin SF, Lin J, Chang CS, Tien HF, Liu TW, Chen PJ, Cheng AL; Taiwan Cooperative Oncology Group. Chemotherapy-induced hepatitis B reactivation in lymphoma patients with resolved HBV infection: A prospective study.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59</w:t>
      </w:r>
      <w:r w:rsidRPr="006B4444">
        <w:rPr>
          <w:rFonts w:ascii="Book Antiqua" w:eastAsia="DengXian" w:hAnsi="Book Antiqua"/>
          <w:kern w:val="2"/>
          <w:lang w:val="en-US" w:eastAsia="zh-CN"/>
        </w:rPr>
        <w:t>: 2092-2100 [PMID: 24002804 DOI: 10.1002/hep.26718]</w:t>
      </w:r>
    </w:p>
    <w:p w14:paraId="39F08FFC"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79 </w:t>
      </w:r>
      <w:r w:rsidRPr="006B4444">
        <w:rPr>
          <w:rFonts w:ascii="Book Antiqua" w:eastAsia="DengXian" w:hAnsi="Book Antiqua"/>
          <w:b/>
          <w:kern w:val="2"/>
          <w:lang w:val="en-US" w:eastAsia="zh-CN"/>
        </w:rPr>
        <w:t>Kusumoto S</w:t>
      </w:r>
      <w:r w:rsidRPr="006B4444">
        <w:rPr>
          <w:rFonts w:ascii="Book Antiqua" w:eastAsia="DengXian" w:hAnsi="Book Antiqua"/>
          <w:kern w:val="2"/>
          <w:lang w:val="en-US" w:eastAsia="zh-CN"/>
        </w:rPr>
        <w:t xml:space="preserve">, Tanaka Y, Suzuki R, Watanabe T, Nakata M, Takasaki H, Fukushima N, Fukushima T, Moriuchi Y, Itoh K, Nosaka K, Choi I, Sawa M, Okamoto R, Tsujimura H, Uchida T, Suzuki S, Okamoto M, Takahashi T, Sugiura I, Onishi Y, Kohri M, Yoshida S, Sakai R, Kojima M, Takahashi H, Tomita A, Maruyama D, Atsuta Y, Tanaka E, Suzuki T, Kinoshita T, Ogura M, Mizokami M, Ueda R. Monitoring of Hepatitis B Virus (HBV) DNA and Risk of HBV Reactivation in B-Cell Lymphoma: A Prospective Observational Study. </w:t>
      </w:r>
      <w:r w:rsidRPr="006B4444">
        <w:rPr>
          <w:rFonts w:ascii="Book Antiqua" w:eastAsia="DengXian" w:hAnsi="Book Antiqua"/>
          <w:i/>
          <w:kern w:val="2"/>
          <w:lang w:val="en-US" w:eastAsia="zh-CN"/>
        </w:rPr>
        <w:t>Clin Infect Dis</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61</w:t>
      </w:r>
      <w:r w:rsidRPr="006B4444">
        <w:rPr>
          <w:rFonts w:ascii="Book Antiqua" w:eastAsia="DengXian" w:hAnsi="Book Antiqua"/>
          <w:kern w:val="2"/>
          <w:lang w:val="en-US" w:eastAsia="zh-CN"/>
        </w:rPr>
        <w:t>: 719-729 [PMID: 25935551 DOI: 10.1093/cid/civ344]</w:t>
      </w:r>
    </w:p>
    <w:p w14:paraId="5CD082AC"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80 </w:t>
      </w:r>
      <w:r w:rsidRPr="006B4444">
        <w:rPr>
          <w:rFonts w:ascii="Book Antiqua" w:eastAsia="DengXian" w:hAnsi="Book Antiqua"/>
          <w:b/>
          <w:kern w:val="2"/>
          <w:lang w:val="en-US" w:eastAsia="zh-CN"/>
        </w:rPr>
        <w:t>Huang YH</w:t>
      </w:r>
      <w:r w:rsidRPr="006B4444">
        <w:rPr>
          <w:rFonts w:ascii="Book Antiqua" w:eastAsia="DengXian" w:hAnsi="Book Antiqua"/>
          <w:kern w:val="2"/>
          <w:lang w:val="en-US" w:eastAsia="zh-CN"/>
        </w:rPr>
        <w:t xml:space="preserve">, Hsiao LT, Hong YC, Chiou TJ, Yu YB, Gau JP, Liu CY, Yang MH, Tzeng CH, Lee PC, Lin HC, Lee SD. Randomized controlled trial of entecavir prophylaxis for rituximab-associated hepatitis B virus reactivation in patients with lymphoma and resolved hepatitis B. </w:t>
      </w:r>
      <w:r w:rsidRPr="006B4444">
        <w:rPr>
          <w:rFonts w:ascii="Book Antiqua" w:eastAsia="DengXian" w:hAnsi="Book Antiqua"/>
          <w:i/>
          <w:kern w:val="2"/>
          <w:lang w:val="en-US" w:eastAsia="zh-CN"/>
        </w:rPr>
        <w:t xml:space="preserve">J Clin </w:t>
      </w:r>
      <w:r w:rsidRPr="006B4444">
        <w:rPr>
          <w:rFonts w:ascii="Book Antiqua" w:eastAsia="DengXian" w:hAnsi="Book Antiqua"/>
          <w:i/>
          <w:kern w:val="2"/>
          <w:lang w:val="en-US" w:eastAsia="zh-CN"/>
        </w:rPr>
        <w:lastRenderedPageBreak/>
        <w:t>Oncol</w:t>
      </w:r>
      <w:r w:rsidRPr="006B4444">
        <w:rPr>
          <w:rFonts w:ascii="Book Antiqua" w:eastAsia="DengXian" w:hAnsi="Book Antiqua"/>
          <w:kern w:val="2"/>
          <w:lang w:val="en-US" w:eastAsia="zh-CN"/>
        </w:rPr>
        <w:t xml:space="preserve"> 2013; </w:t>
      </w:r>
      <w:r w:rsidRPr="006B4444">
        <w:rPr>
          <w:rFonts w:ascii="Book Antiqua" w:eastAsia="DengXian" w:hAnsi="Book Antiqua"/>
          <w:b/>
          <w:kern w:val="2"/>
          <w:lang w:val="en-US" w:eastAsia="zh-CN"/>
        </w:rPr>
        <w:t>31</w:t>
      </w:r>
      <w:r w:rsidRPr="006B4444">
        <w:rPr>
          <w:rFonts w:ascii="Book Antiqua" w:eastAsia="DengXian" w:hAnsi="Book Antiqua"/>
          <w:kern w:val="2"/>
          <w:lang w:val="en-US" w:eastAsia="zh-CN"/>
        </w:rPr>
        <w:t>: 2765-2772 [PMID: 23775967 DOI: 10.1200/JCO.2012.48.5938]</w:t>
      </w:r>
    </w:p>
    <w:p w14:paraId="4631EF4E"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81 </w:t>
      </w:r>
      <w:r w:rsidRPr="006B4444">
        <w:rPr>
          <w:rFonts w:ascii="Book Antiqua" w:eastAsia="DengXian" w:hAnsi="Book Antiqua"/>
          <w:b/>
          <w:kern w:val="2"/>
          <w:lang w:val="en-US" w:eastAsia="zh-CN"/>
        </w:rPr>
        <w:t>Yeo W</w:t>
      </w:r>
      <w:r w:rsidRPr="006B4444">
        <w:rPr>
          <w:rFonts w:ascii="Book Antiqua" w:eastAsia="DengXian" w:hAnsi="Book Antiqua"/>
          <w:kern w:val="2"/>
          <w:lang w:val="en-US" w:eastAsia="zh-CN"/>
        </w:rPr>
        <w:t xml:space="preserve">, Chan TC, Leung NW, Lam WY, Mo FK, Chu MT, Chan HL, Hui EP, Lei KI, Mok TS, Chan PK. Hepatitis B virus reactivation in lymphoma patients with prior resolved hepatitis B undergoing anticancer therapy with or without rituximab. </w:t>
      </w:r>
      <w:r w:rsidRPr="006B4444">
        <w:rPr>
          <w:rFonts w:ascii="Book Antiqua" w:eastAsia="DengXian" w:hAnsi="Book Antiqua"/>
          <w:i/>
          <w:kern w:val="2"/>
          <w:lang w:val="en-US" w:eastAsia="zh-CN"/>
        </w:rPr>
        <w:t>J Clin Oncol</w:t>
      </w:r>
      <w:r w:rsidRPr="006B4444">
        <w:rPr>
          <w:rFonts w:ascii="Book Antiqua" w:eastAsia="DengXian" w:hAnsi="Book Antiqua"/>
          <w:kern w:val="2"/>
          <w:lang w:val="en-US" w:eastAsia="zh-CN"/>
        </w:rPr>
        <w:t xml:space="preserve"> 2009; </w:t>
      </w:r>
      <w:r w:rsidRPr="006B4444">
        <w:rPr>
          <w:rFonts w:ascii="Book Antiqua" w:eastAsia="DengXian" w:hAnsi="Book Antiqua"/>
          <w:b/>
          <w:kern w:val="2"/>
          <w:lang w:val="en-US" w:eastAsia="zh-CN"/>
        </w:rPr>
        <w:t>27</w:t>
      </w:r>
      <w:r w:rsidRPr="006B4444">
        <w:rPr>
          <w:rFonts w:ascii="Book Antiqua" w:eastAsia="DengXian" w:hAnsi="Book Antiqua"/>
          <w:kern w:val="2"/>
          <w:lang w:val="en-US" w:eastAsia="zh-CN"/>
        </w:rPr>
        <w:t>: 605-611 [PMID: 19075267 DOI: 10.1200/JCO.2008.18.0182]</w:t>
      </w:r>
    </w:p>
    <w:p w14:paraId="04B64F9E"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82 </w:t>
      </w:r>
      <w:r w:rsidRPr="006B4444">
        <w:rPr>
          <w:rFonts w:ascii="Book Antiqua" w:eastAsia="DengXian" w:hAnsi="Book Antiqua"/>
          <w:b/>
          <w:kern w:val="2"/>
          <w:lang w:val="en-US" w:eastAsia="zh-CN"/>
        </w:rPr>
        <w:t>Buti M</w:t>
      </w:r>
      <w:r w:rsidRPr="006B4444">
        <w:rPr>
          <w:rFonts w:ascii="Book Antiqua" w:eastAsia="DengXian" w:hAnsi="Book Antiqua"/>
          <w:kern w:val="2"/>
          <w:lang w:val="en-US" w:eastAsia="zh-CN"/>
        </w:rPr>
        <w:t xml:space="preserve">, Manzano ML, Morillas RM, García-Retortillo M, Martín L, Prieto M, Gutiérrez ML, Suárez E, Gómez Rubio M, López J, Castillo P, Rodríguez M, Zozaya JM, Simón MA, Morano LE, Calleja JL, Yébenes M, Esteban R. Randomized prospective study evaluating tenofovir disoproxil fumarate prophylaxis against hepatitis B virus reactivation in anti-HBc-positive patients with rituximab-based regimens to treat hematologic malignancies: The Preblin study. </w:t>
      </w:r>
      <w:r w:rsidRPr="006B4444">
        <w:rPr>
          <w:rFonts w:ascii="Book Antiqua" w:eastAsia="DengXian" w:hAnsi="Book Antiqua"/>
          <w:i/>
          <w:kern w:val="2"/>
          <w:lang w:val="en-US" w:eastAsia="zh-CN"/>
        </w:rPr>
        <w:t>PLoS One</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12</w:t>
      </w:r>
      <w:r w:rsidRPr="006B4444">
        <w:rPr>
          <w:rFonts w:ascii="Book Antiqua" w:eastAsia="DengXian" w:hAnsi="Book Antiqua"/>
          <w:kern w:val="2"/>
          <w:lang w:val="en-US" w:eastAsia="zh-CN"/>
        </w:rPr>
        <w:t>: e0184550 [PMID: 28898281 DOI: 10.1371/journal.pone.0184550]</w:t>
      </w:r>
    </w:p>
    <w:p w14:paraId="6119106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83 </w:t>
      </w:r>
      <w:r w:rsidRPr="006B4444">
        <w:rPr>
          <w:rFonts w:ascii="Book Antiqua" w:eastAsia="DengXian" w:hAnsi="Book Antiqua"/>
          <w:b/>
          <w:kern w:val="2"/>
          <w:lang w:val="en-US" w:eastAsia="zh-CN"/>
        </w:rPr>
        <w:t>Mallet V</w:t>
      </w:r>
      <w:r w:rsidRPr="006B4444">
        <w:rPr>
          <w:rFonts w:ascii="Book Antiqua" w:eastAsia="DengXian" w:hAnsi="Book Antiqua"/>
          <w:kern w:val="2"/>
          <w:lang w:val="en-US" w:eastAsia="zh-CN"/>
        </w:rPr>
        <w:t xml:space="preserve">, van Bömmel F, Doerig C, Pischke S, Hermine O, Locasciulli A, Cordonnier C, Berg T, Moradpour D, Wedemeyer H, Ljungman P; ECIL-5. Management of viral hepatitis in patients with haematological malignancy and in patients undergoing haemopoietic stem cell transplantation: Recommendations of the 5th European Conference on Infections in Leukaemia (ECIL-5). </w:t>
      </w:r>
      <w:r w:rsidRPr="006B4444">
        <w:rPr>
          <w:rFonts w:ascii="Book Antiqua" w:eastAsia="DengXian" w:hAnsi="Book Antiqua"/>
          <w:i/>
          <w:kern w:val="2"/>
          <w:lang w:val="en-US" w:eastAsia="zh-CN"/>
        </w:rPr>
        <w:t>Lancet Infect Dis</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16</w:t>
      </w:r>
      <w:r w:rsidRPr="006B4444">
        <w:rPr>
          <w:rFonts w:ascii="Book Antiqua" w:eastAsia="DengXian" w:hAnsi="Book Antiqua"/>
          <w:kern w:val="2"/>
          <w:lang w:val="en-US" w:eastAsia="zh-CN"/>
        </w:rPr>
        <w:t>: 606-617 [PMID: 27599653 DOI: 10.1016/S1473-3099(16)00118-3]</w:t>
      </w:r>
    </w:p>
    <w:p w14:paraId="19981000"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84 </w:t>
      </w:r>
      <w:r w:rsidRPr="006B4444">
        <w:rPr>
          <w:rFonts w:ascii="Book Antiqua" w:eastAsia="DengXian" w:hAnsi="Book Antiqua"/>
          <w:b/>
          <w:kern w:val="2"/>
          <w:lang w:val="en-US" w:eastAsia="zh-CN"/>
        </w:rPr>
        <w:t>Lau GK</w:t>
      </w:r>
      <w:r w:rsidRPr="006B4444">
        <w:rPr>
          <w:rFonts w:ascii="Book Antiqua" w:eastAsia="DengXian" w:hAnsi="Book Antiqua"/>
          <w:kern w:val="2"/>
          <w:lang w:val="en-US" w:eastAsia="zh-CN"/>
        </w:rPr>
        <w:t xml:space="preserve">, Yiu HH, Fong DY, Cheng HC, Au WY, Lai LS, Cheung M, Zhang HY, Lie A, Ngan R, Liang R. Early is superior to deferred preemptive lamivudine therapy for hepatitis B patients undergoing chemotherapy. </w:t>
      </w:r>
      <w:r w:rsidRPr="006B4444">
        <w:rPr>
          <w:rFonts w:ascii="Book Antiqua" w:eastAsia="DengXian" w:hAnsi="Book Antiqua"/>
          <w:i/>
          <w:kern w:val="2"/>
          <w:lang w:val="en-US" w:eastAsia="zh-CN"/>
        </w:rPr>
        <w:t>Gastroenterology</w:t>
      </w:r>
      <w:r w:rsidRPr="006B4444">
        <w:rPr>
          <w:rFonts w:ascii="Book Antiqua" w:eastAsia="DengXian" w:hAnsi="Book Antiqua"/>
          <w:kern w:val="2"/>
          <w:lang w:val="en-US" w:eastAsia="zh-CN"/>
        </w:rPr>
        <w:t xml:space="preserve"> 2003; </w:t>
      </w:r>
      <w:r w:rsidRPr="006B4444">
        <w:rPr>
          <w:rFonts w:ascii="Book Antiqua" w:eastAsia="DengXian" w:hAnsi="Book Antiqua"/>
          <w:b/>
          <w:kern w:val="2"/>
          <w:lang w:val="en-US" w:eastAsia="zh-CN"/>
        </w:rPr>
        <w:t>125</w:t>
      </w:r>
      <w:r w:rsidRPr="006B4444">
        <w:rPr>
          <w:rFonts w:ascii="Book Antiqua" w:eastAsia="DengXian" w:hAnsi="Book Antiqua"/>
          <w:kern w:val="2"/>
          <w:lang w:val="en-US" w:eastAsia="zh-CN"/>
        </w:rPr>
        <w:t>: 1742-1749 [PMID: 14724827 DOI: 10.1053/j.gastro.2003.09.026]</w:t>
      </w:r>
    </w:p>
    <w:p w14:paraId="79AA80C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85 </w:t>
      </w:r>
      <w:r w:rsidRPr="006B4444">
        <w:rPr>
          <w:rFonts w:ascii="Book Antiqua" w:eastAsia="DengXian" w:hAnsi="Book Antiqua"/>
          <w:b/>
          <w:kern w:val="2"/>
          <w:lang w:val="en-US" w:eastAsia="zh-CN"/>
        </w:rPr>
        <w:t>Hsu C</w:t>
      </w:r>
      <w:r w:rsidRPr="006B4444">
        <w:rPr>
          <w:rFonts w:ascii="Book Antiqua" w:eastAsia="DengXian" w:hAnsi="Book Antiqua"/>
          <w:kern w:val="2"/>
          <w:lang w:val="en-US" w:eastAsia="zh-CN"/>
        </w:rPr>
        <w:t xml:space="preserve">, Hsiung CA, Su IJ, Hwang WS, Wang MC, Lin SF, Lin TH, Hsiao HH, Young JH, Chang MC, Liao YM, Li CC, Wu HB, Tien HF, Chao TY, Liu TW, Cheng AL, Chen PJ. A revisit of prophylactic lamivudine for chemotherapy-associated hepatitis B reactivation in non-Hodgkin's lymphoma: A randomized trial.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2008; </w:t>
      </w:r>
      <w:r w:rsidRPr="006B4444">
        <w:rPr>
          <w:rFonts w:ascii="Book Antiqua" w:eastAsia="DengXian" w:hAnsi="Book Antiqua"/>
          <w:b/>
          <w:kern w:val="2"/>
          <w:lang w:val="en-US" w:eastAsia="zh-CN"/>
        </w:rPr>
        <w:t>47</w:t>
      </w:r>
      <w:r w:rsidRPr="006B4444">
        <w:rPr>
          <w:rFonts w:ascii="Book Antiqua" w:eastAsia="DengXian" w:hAnsi="Book Antiqua"/>
          <w:kern w:val="2"/>
          <w:lang w:val="en-US" w:eastAsia="zh-CN"/>
        </w:rPr>
        <w:t>: 844-853 [PMID: 18302293 DOI: 10.1002/hep.22106]</w:t>
      </w:r>
    </w:p>
    <w:p w14:paraId="1D1B35A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86 </w:t>
      </w:r>
      <w:r w:rsidRPr="006B4444">
        <w:rPr>
          <w:rFonts w:ascii="Book Antiqua" w:eastAsia="DengXian" w:hAnsi="Book Antiqua"/>
          <w:b/>
          <w:kern w:val="2"/>
          <w:lang w:val="en-US" w:eastAsia="zh-CN"/>
        </w:rPr>
        <w:t>Loomba R</w:t>
      </w:r>
      <w:r w:rsidRPr="006B4444">
        <w:rPr>
          <w:rFonts w:ascii="Book Antiqua" w:eastAsia="DengXian" w:hAnsi="Book Antiqua"/>
          <w:kern w:val="2"/>
          <w:lang w:val="en-US" w:eastAsia="zh-CN"/>
        </w:rPr>
        <w:t>, Rowley A, Wesley R, Liang TJ, Hoofnagle JH, Pucino F, Csako G. Systematic review: The effect of preventive lamivudine on hepatitis B reactivation during chemotherapy.</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Ann Intern Med</w:t>
      </w:r>
      <w:r w:rsidRPr="006B4444">
        <w:rPr>
          <w:rFonts w:ascii="Book Antiqua" w:eastAsia="DengXian" w:hAnsi="Book Antiqua"/>
          <w:kern w:val="2"/>
          <w:lang w:val="en-US" w:eastAsia="zh-CN"/>
        </w:rPr>
        <w:t xml:space="preserve"> 2008; </w:t>
      </w:r>
      <w:r w:rsidRPr="006B4444">
        <w:rPr>
          <w:rFonts w:ascii="Book Antiqua" w:eastAsia="DengXian" w:hAnsi="Book Antiqua"/>
          <w:b/>
          <w:kern w:val="2"/>
          <w:lang w:val="en-US" w:eastAsia="zh-CN"/>
        </w:rPr>
        <w:t>148</w:t>
      </w:r>
      <w:r w:rsidRPr="006B4444">
        <w:rPr>
          <w:rFonts w:ascii="Book Antiqua" w:eastAsia="DengXian" w:hAnsi="Book Antiqua"/>
          <w:kern w:val="2"/>
          <w:lang w:val="en-US" w:eastAsia="zh-CN"/>
        </w:rPr>
        <w:t>: 519-528 [PMID: 18378948 DOI: 10.7326/0003-4819-148-7-200804010-00008]</w:t>
      </w:r>
    </w:p>
    <w:p w14:paraId="37E5F5C0"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87 </w:t>
      </w:r>
      <w:r w:rsidRPr="006B4444">
        <w:rPr>
          <w:rFonts w:ascii="Book Antiqua" w:eastAsia="DengXian" w:hAnsi="Book Antiqua"/>
          <w:b/>
          <w:kern w:val="2"/>
          <w:lang w:val="en-US" w:eastAsia="zh-CN"/>
        </w:rPr>
        <w:t>Katz LH</w:t>
      </w:r>
      <w:r w:rsidRPr="006B4444">
        <w:rPr>
          <w:rFonts w:ascii="Book Antiqua" w:eastAsia="DengXian" w:hAnsi="Book Antiqua"/>
          <w:kern w:val="2"/>
          <w:lang w:val="en-US" w:eastAsia="zh-CN"/>
        </w:rPr>
        <w:t xml:space="preserve">, Fraser A, Gafter-Gvili A, Leibovici L, Tur-Kaspa R. Lamivudine prevents reactivation of hepatitis B and reduces mortality in immunosuppressed patients: Systematic review and meta-analysis. </w:t>
      </w:r>
      <w:r w:rsidRPr="006B4444">
        <w:rPr>
          <w:rFonts w:ascii="Book Antiqua" w:eastAsia="DengXian" w:hAnsi="Book Antiqua"/>
          <w:i/>
          <w:kern w:val="2"/>
          <w:lang w:val="en-US" w:eastAsia="zh-CN"/>
        </w:rPr>
        <w:t>J Viral Hepat</w:t>
      </w:r>
      <w:r w:rsidRPr="006B4444">
        <w:rPr>
          <w:rFonts w:ascii="Book Antiqua" w:eastAsia="DengXian" w:hAnsi="Book Antiqua"/>
          <w:kern w:val="2"/>
          <w:lang w:val="en-US" w:eastAsia="zh-CN"/>
        </w:rPr>
        <w:t xml:space="preserve"> 2008; </w:t>
      </w:r>
      <w:r w:rsidRPr="006B4444">
        <w:rPr>
          <w:rFonts w:ascii="Book Antiqua" w:eastAsia="DengXian" w:hAnsi="Book Antiqua"/>
          <w:b/>
          <w:kern w:val="2"/>
          <w:lang w:val="en-US" w:eastAsia="zh-CN"/>
        </w:rPr>
        <w:t>15</w:t>
      </w:r>
      <w:r w:rsidRPr="006B4444">
        <w:rPr>
          <w:rFonts w:ascii="Book Antiqua" w:eastAsia="DengXian" w:hAnsi="Book Antiqua"/>
          <w:kern w:val="2"/>
          <w:lang w:val="en-US" w:eastAsia="zh-CN"/>
        </w:rPr>
        <w:t>: 89-102 [PMID: 18184191 DOI: 10.1111/j.1365-2893.2007.00902.x]</w:t>
      </w:r>
    </w:p>
    <w:p w14:paraId="0C11956E"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88 </w:t>
      </w:r>
      <w:r w:rsidRPr="006B4444">
        <w:rPr>
          <w:rFonts w:ascii="Book Antiqua" w:eastAsia="DengXian" w:hAnsi="Book Antiqua"/>
          <w:b/>
          <w:kern w:val="2"/>
          <w:lang w:val="en-US" w:eastAsia="zh-CN"/>
        </w:rPr>
        <w:t>Francisci D</w:t>
      </w:r>
      <w:r w:rsidRPr="006B4444">
        <w:rPr>
          <w:rFonts w:ascii="Book Antiqua" w:eastAsia="DengXian" w:hAnsi="Book Antiqua"/>
          <w:kern w:val="2"/>
          <w:lang w:val="en-US" w:eastAsia="zh-CN"/>
        </w:rPr>
        <w:t xml:space="preserve">, Falcinelli F, Schiaroli E, Capponi M, Belfiori B, Flenghi L, Baldelli F. Management of hepatitis B virus reactivation in patients with hematological malignancies treated with chemotherapy. </w:t>
      </w:r>
      <w:r w:rsidRPr="006B4444">
        <w:rPr>
          <w:rFonts w:ascii="Book Antiqua" w:eastAsia="DengXian" w:hAnsi="Book Antiqua"/>
          <w:i/>
          <w:kern w:val="2"/>
          <w:lang w:val="en-US" w:eastAsia="zh-CN"/>
        </w:rPr>
        <w:t>Infection</w:t>
      </w:r>
      <w:r w:rsidRPr="006B4444">
        <w:rPr>
          <w:rFonts w:ascii="Book Antiqua" w:eastAsia="DengXian" w:hAnsi="Book Antiqua"/>
          <w:kern w:val="2"/>
          <w:lang w:val="en-US" w:eastAsia="zh-CN"/>
        </w:rPr>
        <w:t xml:space="preserve"> 2010; </w:t>
      </w:r>
      <w:r w:rsidRPr="006B4444">
        <w:rPr>
          <w:rFonts w:ascii="Book Antiqua" w:eastAsia="DengXian" w:hAnsi="Book Antiqua"/>
          <w:b/>
          <w:kern w:val="2"/>
          <w:lang w:val="en-US" w:eastAsia="zh-CN"/>
        </w:rPr>
        <w:t>38</w:t>
      </w:r>
      <w:r w:rsidRPr="006B4444">
        <w:rPr>
          <w:rFonts w:ascii="Book Antiqua" w:eastAsia="DengXian" w:hAnsi="Book Antiqua"/>
          <w:kern w:val="2"/>
          <w:lang w:val="en-US" w:eastAsia="zh-CN"/>
        </w:rPr>
        <w:t>: 58-61 [PMID: 19904491 DOI: 10.1007/s15010-009-9019-1]</w:t>
      </w:r>
    </w:p>
    <w:p w14:paraId="199E45C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lastRenderedPageBreak/>
        <w:t xml:space="preserve">89 </w:t>
      </w:r>
      <w:r w:rsidRPr="006B4444">
        <w:rPr>
          <w:rFonts w:ascii="Book Antiqua" w:eastAsia="DengXian" w:hAnsi="Book Antiqua"/>
          <w:b/>
          <w:kern w:val="2"/>
          <w:lang w:val="en-US" w:eastAsia="zh-CN"/>
        </w:rPr>
        <w:t>Huang H</w:t>
      </w:r>
      <w:r w:rsidRPr="006B4444">
        <w:rPr>
          <w:rFonts w:ascii="Book Antiqua" w:eastAsia="DengXian" w:hAnsi="Book Antiqua"/>
          <w:kern w:val="2"/>
          <w:lang w:val="en-US" w:eastAsia="zh-CN"/>
        </w:rPr>
        <w:t xml:space="preserve">, Cai Q, Lin T, Lin X, Liu Y, Gao Y, Peng R. Lamivudine for the prevention of hepatitis B virus reactivation after high-dose chemotherapy and autologous hematopoietic stem cell transplantation for patients with advanced or relapsed non-Hodgkin's lymphoma single institution experience. </w:t>
      </w:r>
      <w:r w:rsidRPr="006B4444">
        <w:rPr>
          <w:rFonts w:ascii="Book Antiqua" w:eastAsia="DengXian" w:hAnsi="Book Antiqua"/>
          <w:i/>
          <w:kern w:val="2"/>
          <w:lang w:val="en-US" w:eastAsia="zh-CN"/>
        </w:rPr>
        <w:t>Expert Opin Pharmacother</w:t>
      </w:r>
      <w:r w:rsidRPr="006B4444">
        <w:rPr>
          <w:rFonts w:ascii="Book Antiqua" w:eastAsia="DengXian" w:hAnsi="Book Antiqua"/>
          <w:kern w:val="2"/>
          <w:lang w:val="en-US" w:eastAsia="zh-CN"/>
        </w:rPr>
        <w:t xml:space="preserve"> 2009; </w:t>
      </w:r>
      <w:r w:rsidRPr="006B4444">
        <w:rPr>
          <w:rFonts w:ascii="Book Antiqua" w:eastAsia="DengXian" w:hAnsi="Book Antiqua"/>
          <w:b/>
          <w:kern w:val="2"/>
          <w:lang w:val="en-US" w:eastAsia="zh-CN"/>
        </w:rPr>
        <w:t>10</w:t>
      </w:r>
      <w:r w:rsidRPr="006B4444">
        <w:rPr>
          <w:rFonts w:ascii="Book Antiqua" w:eastAsia="DengXian" w:hAnsi="Book Antiqua"/>
          <w:kern w:val="2"/>
          <w:lang w:val="en-US" w:eastAsia="zh-CN"/>
        </w:rPr>
        <w:t>: 2399-2406 [PMID: 19761353 DOI: 10.1517/14656560903251710]</w:t>
      </w:r>
    </w:p>
    <w:p w14:paraId="67E87CB9"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90 </w:t>
      </w:r>
      <w:r w:rsidRPr="006B4444">
        <w:rPr>
          <w:rFonts w:ascii="Book Antiqua" w:eastAsia="DengXian" w:hAnsi="Book Antiqua"/>
          <w:b/>
          <w:kern w:val="2"/>
          <w:lang w:val="en-US" w:eastAsia="zh-CN"/>
        </w:rPr>
        <w:t>Lindemann M</w:t>
      </w:r>
      <w:r w:rsidRPr="006B4444">
        <w:rPr>
          <w:rFonts w:ascii="Book Antiqua" w:eastAsia="DengXian" w:hAnsi="Book Antiqua"/>
          <w:kern w:val="2"/>
          <w:lang w:val="en-US" w:eastAsia="zh-CN"/>
        </w:rPr>
        <w:t xml:space="preserve">, Barsegian V, Runde V, Fiedler M, Heermann KH, Schaefer UW, Roggendorf M, Grosse-Wilde H. Transfer of humoral and cellular hepatitis B immunity by allogeneic hematopoietic cell transplantation. </w:t>
      </w:r>
      <w:r w:rsidRPr="006B4444">
        <w:rPr>
          <w:rFonts w:ascii="Book Antiqua" w:eastAsia="DengXian" w:hAnsi="Book Antiqua"/>
          <w:i/>
          <w:kern w:val="2"/>
          <w:lang w:val="en-US" w:eastAsia="zh-CN"/>
        </w:rPr>
        <w:t>Transplantation</w:t>
      </w:r>
      <w:r w:rsidRPr="006B4444">
        <w:rPr>
          <w:rFonts w:ascii="Book Antiqua" w:eastAsia="DengXian" w:hAnsi="Book Antiqua"/>
          <w:kern w:val="2"/>
          <w:lang w:val="en-US" w:eastAsia="zh-CN"/>
        </w:rPr>
        <w:t xml:space="preserve"> 2003; </w:t>
      </w:r>
      <w:r w:rsidRPr="006B4444">
        <w:rPr>
          <w:rFonts w:ascii="Book Antiqua" w:eastAsia="DengXian" w:hAnsi="Book Antiqua"/>
          <w:b/>
          <w:kern w:val="2"/>
          <w:lang w:val="en-US" w:eastAsia="zh-CN"/>
        </w:rPr>
        <w:t>75</w:t>
      </w:r>
      <w:r w:rsidRPr="006B4444">
        <w:rPr>
          <w:rFonts w:ascii="Book Antiqua" w:eastAsia="DengXian" w:hAnsi="Book Antiqua"/>
          <w:kern w:val="2"/>
          <w:lang w:val="en-US" w:eastAsia="zh-CN"/>
        </w:rPr>
        <w:t>: 833-838 [PMID: 12660511 DOI: 10.1097/01.TP.0000054841.42796.68]</w:t>
      </w:r>
    </w:p>
    <w:p w14:paraId="5D05A85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91 </w:t>
      </w:r>
      <w:r w:rsidRPr="006B4444">
        <w:rPr>
          <w:rFonts w:ascii="Book Antiqua" w:eastAsia="DengXian" w:hAnsi="Book Antiqua"/>
          <w:b/>
          <w:kern w:val="2"/>
          <w:lang w:val="en-US" w:eastAsia="zh-CN"/>
        </w:rPr>
        <w:t>Socié G</w:t>
      </w:r>
      <w:r w:rsidRPr="006B4444">
        <w:rPr>
          <w:rFonts w:ascii="Book Antiqua" w:eastAsia="DengXian" w:hAnsi="Book Antiqua"/>
          <w:kern w:val="2"/>
          <w:lang w:val="en-US" w:eastAsia="zh-CN"/>
        </w:rPr>
        <w:t xml:space="preserve">, Ritz J. Current issues in chronic graft-versus-host disease. </w:t>
      </w:r>
      <w:r w:rsidRPr="006B4444">
        <w:rPr>
          <w:rFonts w:ascii="Book Antiqua" w:eastAsia="DengXian" w:hAnsi="Book Antiqua"/>
          <w:i/>
          <w:kern w:val="2"/>
          <w:lang w:val="en-US" w:eastAsia="zh-CN"/>
        </w:rPr>
        <w:t>Blood</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124</w:t>
      </w:r>
      <w:r w:rsidRPr="006B4444">
        <w:rPr>
          <w:rFonts w:ascii="Book Antiqua" w:eastAsia="DengXian" w:hAnsi="Book Antiqua"/>
          <w:kern w:val="2"/>
          <w:lang w:val="en-US" w:eastAsia="zh-CN"/>
        </w:rPr>
        <w:t>: 374-384 [PMID: 24914139 DOI: 10.1182/blood-2014-01-514752]</w:t>
      </w:r>
    </w:p>
    <w:p w14:paraId="3D17D0FF"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92 </w:t>
      </w:r>
      <w:r w:rsidRPr="006B4444">
        <w:rPr>
          <w:rFonts w:ascii="Book Antiqua" w:eastAsia="DengXian" w:hAnsi="Book Antiqua"/>
          <w:b/>
          <w:kern w:val="2"/>
          <w:lang w:val="en-US" w:eastAsia="zh-CN"/>
        </w:rPr>
        <w:t>Paul S</w:t>
      </w:r>
      <w:r w:rsidRPr="006B4444">
        <w:rPr>
          <w:rFonts w:ascii="Book Antiqua" w:eastAsia="DengXian" w:hAnsi="Book Antiqua"/>
          <w:kern w:val="2"/>
          <w:lang w:val="en-US" w:eastAsia="zh-CN"/>
        </w:rPr>
        <w:t xml:space="preserve">, Saxena A, Terrin N, Viveiros K, Balk EM, Wong JB. Hepatitis B Virus Reactivation and Prophylaxis </w:t>
      </w:r>
      <w:proofErr w:type="gramStart"/>
      <w:r w:rsidRPr="006B4444">
        <w:rPr>
          <w:rFonts w:ascii="Book Antiqua" w:eastAsia="DengXian" w:hAnsi="Book Antiqua"/>
          <w:kern w:val="2"/>
          <w:lang w:val="en-US" w:eastAsia="zh-CN"/>
        </w:rPr>
        <w:t>During</w:t>
      </w:r>
      <w:proofErr w:type="gramEnd"/>
      <w:r w:rsidRPr="006B4444">
        <w:rPr>
          <w:rFonts w:ascii="Book Antiqua" w:eastAsia="DengXian" w:hAnsi="Book Antiqua"/>
          <w:kern w:val="2"/>
          <w:lang w:val="en-US" w:eastAsia="zh-CN"/>
        </w:rPr>
        <w:t xml:space="preserve"> Solid Tumor Chemotherapy: A Systematic Review and Meta-analysis. </w:t>
      </w:r>
      <w:r w:rsidRPr="006B4444">
        <w:rPr>
          <w:rFonts w:ascii="Book Antiqua" w:eastAsia="DengXian" w:hAnsi="Book Antiqua"/>
          <w:i/>
          <w:kern w:val="2"/>
          <w:lang w:val="en-US" w:eastAsia="zh-CN"/>
        </w:rPr>
        <w:t>Ann Intern Med</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164</w:t>
      </w:r>
      <w:r w:rsidRPr="006B4444">
        <w:rPr>
          <w:rFonts w:ascii="Book Antiqua" w:eastAsia="DengXian" w:hAnsi="Book Antiqua"/>
          <w:kern w:val="2"/>
          <w:lang w:val="en-US" w:eastAsia="zh-CN"/>
        </w:rPr>
        <w:t>: 30-40 [PMID: 26595058 DOI: 10.7326/M15-1121]</w:t>
      </w:r>
    </w:p>
    <w:p w14:paraId="55B993B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93 </w:t>
      </w:r>
      <w:r w:rsidRPr="006B4444">
        <w:rPr>
          <w:rFonts w:ascii="Book Antiqua" w:eastAsia="DengXian" w:hAnsi="Book Antiqua"/>
          <w:b/>
          <w:kern w:val="2"/>
          <w:lang w:val="en-US" w:eastAsia="zh-CN"/>
        </w:rPr>
        <w:t>Sagnelli E</w:t>
      </w:r>
      <w:r w:rsidRPr="006B4444">
        <w:rPr>
          <w:rFonts w:ascii="Book Antiqua" w:eastAsia="DengXian" w:hAnsi="Book Antiqua"/>
          <w:kern w:val="2"/>
          <w:lang w:val="en-US" w:eastAsia="zh-CN"/>
        </w:rPr>
        <w:t xml:space="preserve">, Manzillo G, Maio G, Pasquale G, Felaco FM, Filippini P, Izzo CM, Piccinino F. Serum levels of hepatitis B surface and core antigens during immunosuppressive treatment of HBsAg-positive chronic active hepatitis. </w:t>
      </w:r>
      <w:r w:rsidRPr="006B4444">
        <w:rPr>
          <w:rFonts w:ascii="Book Antiqua" w:eastAsia="DengXian" w:hAnsi="Book Antiqua"/>
          <w:i/>
          <w:kern w:val="2"/>
          <w:lang w:val="en-US" w:eastAsia="zh-CN"/>
        </w:rPr>
        <w:t>Lancet</w:t>
      </w:r>
      <w:r w:rsidRPr="006B4444">
        <w:rPr>
          <w:rFonts w:ascii="Book Antiqua" w:eastAsia="DengXian" w:hAnsi="Book Antiqua"/>
          <w:kern w:val="2"/>
          <w:lang w:val="en-US" w:eastAsia="zh-CN"/>
        </w:rPr>
        <w:t xml:space="preserve"> 1980; </w:t>
      </w:r>
      <w:r w:rsidRPr="006B4444">
        <w:rPr>
          <w:rFonts w:ascii="Book Antiqua" w:eastAsia="DengXian" w:hAnsi="Book Antiqua"/>
          <w:b/>
          <w:kern w:val="2"/>
          <w:lang w:val="en-US" w:eastAsia="zh-CN"/>
        </w:rPr>
        <w:t>2</w:t>
      </w:r>
      <w:r w:rsidRPr="006B4444">
        <w:rPr>
          <w:rFonts w:ascii="Book Antiqua" w:eastAsia="DengXian" w:hAnsi="Book Antiqua"/>
          <w:kern w:val="2"/>
          <w:lang w:val="en-US" w:eastAsia="zh-CN"/>
        </w:rPr>
        <w:t>: 395-397 [PMID: 6105519 DOI: 10.1016/S0140-6736(80)90442-0]</w:t>
      </w:r>
    </w:p>
    <w:p w14:paraId="4B658FFA"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94 </w:t>
      </w:r>
      <w:r w:rsidRPr="006B4444">
        <w:rPr>
          <w:rFonts w:ascii="Book Antiqua" w:eastAsia="DengXian" w:hAnsi="Book Antiqua"/>
          <w:b/>
          <w:kern w:val="2"/>
          <w:lang w:val="en-US" w:eastAsia="zh-CN"/>
        </w:rPr>
        <w:t>Tur-Kaspa R</w:t>
      </w:r>
      <w:r w:rsidRPr="006B4444">
        <w:rPr>
          <w:rFonts w:ascii="Book Antiqua" w:eastAsia="DengXian" w:hAnsi="Book Antiqua"/>
          <w:kern w:val="2"/>
          <w:lang w:val="en-US" w:eastAsia="zh-CN"/>
        </w:rPr>
        <w:t>, Shaul Y, Moore DD, Burk RD, Okret S, Poellinger L, Shafritz DA.</w:t>
      </w:r>
      <w:proofErr w:type="gramEnd"/>
      <w:r w:rsidRPr="006B4444">
        <w:rPr>
          <w:rFonts w:ascii="Book Antiqua" w:eastAsia="DengXian" w:hAnsi="Book Antiqua"/>
          <w:kern w:val="2"/>
          <w:lang w:val="en-US" w:eastAsia="zh-CN"/>
        </w:rPr>
        <w:t xml:space="preserve"> The glucocorticoid receptor recognizes a specific nucleotide sequence in hepatitis B virus DNA causing increased activity of the HBV enhancer. </w:t>
      </w:r>
      <w:r w:rsidRPr="006B4444">
        <w:rPr>
          <w:rFonts w:ascii="Book Antiqua" w:eastAsia="DengXian" w:hAnsi="Book Antiqua"/>
          <w:i/>
          <w:kern w:val="2"/>
          <w:lang w:val="en-US" w:eastAsia="zh-CN"/>
        </w:rPr>
        <w:t>Virology</w:t>
      </w:r>
      <w:r w:rsidRPr="006B4444">
        <w:rPr>
          <w:rFonts w:ascii="Book Antiqua" w:eastAsia="DengXian" w:hAnsi="Book Antiqua"/>
          <w:kern w:val="2"/>
          <w:lang w:val="en-US" w:eastAsia="zh-CN"/>
        </w:rPr>
        <w:t xml:space="preserve"> 1988; </w:t>
      </w:r>
      <w:r w:rsidRPr="006B4444">
        <w:rPr>
          <w:rFonts w:ascii="Book Antiqua" w:eastAsia="DengXian" w:hAnsi="Book Antiqua"/>
          <w:b/>
          <w:kern w:val="2"/>
          <w:lang w:val="en-US" w:eastAsia="zh-CN"/>
        </w:rPr>
        <w:t>167</w:t>
      </w:r>
      <w:r w:rsidRPr="006B4444">
        <w:rPr>
          <w:rFonts w:ascii="Book Antiqua" w:eastAsia="DengXian" w:hAnsi="Book Antiqua"/>
          <w:kern w:val="2"/>
          <w:lang w:val="en-US" w:eastAsia="zh-CN"/>
        </w:rPr>
        <w:t>: 630-633 [PMID: 3201757 DOI: 10.1016/0042-6822(88)90127-4]</w:t>
      </w:r>
    </w:p>
    <w:p w14:paraId="12514D41"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95 </w:t>
      </w:r>
      <w:r w:rsidRPr="006B4444">
        <w:rPr>
          <w:rFonts w:ascii="Book Antiqua" w:eastAsia="DengXian" w:hAnsi="Book Antiqua"/>
          <w:b/>
          <w:kern w:val="2"/>
          <w:lang w:val="en-US" w:eastAsia="zh-CN"/>
        </w:rPr>
        <w:t>Cheng AL</w:t>
      </w:r>
      <w:r w:rsidRPr="006B4444">
        <w:rPr>
          <w:rFonts w:ascii="Book Antiqua" w:eastAsia="DengXian" w:hAnsi="Book Antiqua"/>
          <w:kern w:val="2"/>
          <w:lang w:val="en-US" w:eastAsia="zh-CN"/>
        </w:rPr>
        <w:t xml:space="preserve">, Hsiung CA, Su IJ, Chen PJ, Chang MC, Tsao CJ, Kao WY, Uen WC, Hsu CH, Tien HF, Chao TY, Chen LT, Whang-Peng J; Lymphoma Committee of Taiwan Cooperative Oncology Group. Steroid-free chemotherapy decreases risk of hepatitis B virus (HBV) reactivation in HBV-carriers with lymphoma.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2003; </w:t>
      </w:r>
      <w:r w:rsidRPr="006B4444">
        <w:rPr>
          <w:rFonts w:ascii="Book Antiqua" w:eastAsia="DengXian" w:hAnsi="Book Antiqua"/>
          <w:b/>
          <w:kern w:val="2"/>
          <w:lang w:val="en-US" w:eastAsia="zh-CN"/>
        </w:rPr>
        <w:t>37</w:t>
      </w:r>
      <w:r w:rsidRPr="006B4444">
        <w:rPr>
          <w:rFonts w:ascii="Book Antiqua" w:eastAsia="DengXian" w:hAnsi="Book Antiqua"/>
          <w:kern w:val="2"/>
          <w:lang w:val="en-US" w:eastAsia="zh-CN"/>
        </w:rPr>
        <w:t>: 1320-1328 [PMID: 12774010 DOI: 10.1053/jhep.2003.50220]</w:t>
      </w:r>
    </w:p>
    <w:p w14:paraId="540D6B8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96 </w:t>
      </w:r>
      <w:r w:rsidRPr="006B4444">
        <w:rPr>
          <w:rFonts w:ascii="Book Antiqua" w:eastAsia="DengXian" w:hAnsi="Book Antiqua"/>
          <w:b/>
          <w:kern w:val="2"/>
          <w:lang w:val="en-US" w:eastAsia="zh-CN"/>
        </w:rPr>
        <w:t>Westhoff TH</w:t>
      </w:r>
      <w:r w:rsidRPr="006B4444">
        <w:rPr>
          <w:rFonts w:ascii="Book Antiqua" w:eastAsia="DengXian" w:hAnsi="Book Antiqua"/>
          <w:kern w:val="2"/>
          <w:lang w:val="en-US" w:eastAsia="zh-CN"/>
        </w:rPr>
        <w:t xml:space="preserve">, Jochimsen F, Schmittel A, Stoffler-Meilicke M, Schafer JH, Zidek W, Gerlich WH, Thiel E. Fatal hepatitis B virus reactivation by an escape mutant following rituximab therapy. </w:t>
      </w:r>
      <w:r w:rsidRPr="006B4444">
        <w:rPr>
          <w:rFonts w:ascii="Book Antiqua" w:eastAsia="DengXian" w:hAnsi="Book Antiqua"/>
          <w:i/>
          <w:kern w:val="2"/>
          <w:lang w:val="en-US" w:eastAsia="zh-CN"/>
        </w:rPr>
        <w:t>Blood</w:t>
      </w:r>
      <w:r w:rsidRPr="006B4444">
        <w:rPr>
          <w:rFonts w:ascii="Book Antiqua" w:eastAsia="DengXian" w:hAnsi="Book Antiqua"/>
          <w:kern w:val="2"/>
          <w:lang w:val="en-US" w:eastAsia="zh-CN"/>
        </w:rPr>
        <w:t xml:space="preserve"> 2003; </w:t>
      </w:r>
      <w:r w:rsidRPr="006B4444">
        <w:rPr>
          <w:rFonts w:ascii="Book Antiqua" w:eastAsia="DengXian" w:hAnsi="Book Antiqua"/>
          <w:b/>
          <w:kern w:val="2"/>
          <w:lang w:val="en-US" w:eastAsia="zh-CN"/>
        </w:rPr>
        <w:t>102</w:t>
      </w:r>
      <w:r w:rsidRPr="006B4444">
        <w:rPr>
          <w:rFonts w:ascii="Book Antiqua" w:eastAsia="DengXian" w:hAnsi="Book Antiqua"/>
          <w:kern w:val="2"/>
          <w:lang w:val="en-US" w:eastAsia="zh-CN"/>
        </w:rPr>
        <w:t>: 1930 [PMID: 12930732 DOI: 10.1182/blood-2003-05-1403]</w:t>
      </w:r>
    </w:p>
    <w:p w14:paraId="21E2639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97 </w:t>
      </w:r>
      <w:r w:rsidRPr="006B4444">
        <w:rPr>
          <w:rFonts w:ascii="Book Antiqua" w:eastAsia="DengXian" w:hAnsi="Book Antiqua"/>
          <w:b/>
          <w:kern w:val="2"/>
          <w:lang w:val="en-US" w:eastAsia="zh-CN"/>
        </w:rPr>
        <w:t>Perrillo RP</w:t>
      </w:r>
      <w:r w:rsidRPr="006B4444">
        <w:rPr>
          <w:rFonts w:ascii="Book Antiqua" w:eastAsia="DengXian" w:hAnsi="Book Antiqua"/>
          <w:kern w:val="2"/>
          <w:lang w:val="en-US" w:eastAsia="zh-CN"/>
        </w:rPr>
        <w:t xml:space="preserve">, Gish R, Falck-Ytter YT. </w:t>
      </w:r>
      <w:proofErr w:type="gramStart"/>
      <w:r w:rsidRPr="006B4444">
        <w:rPr>
          <w:rFonts w:ascii="Book Antiqua" w:eastAsia="DengXian" w:hAnsi="Book Antiqua"/>
          <w:kern w:val="2"/>
          <w:lang w:val="en-US" w:eastAsia="zh-CN"/>
        </w:rPr>
        <w:t>American Gastroenterological Association Institute technical review on prevention and treatment of hepatitis B virus reactivation during immunosuppressive drug therapy.</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Gastroenterology</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148</w:t>
      </w:r>
      <w:r w:rsidRPr="006B4444">
        <w:rPr>
          <w:rFonts w:ascii="Book Antiqua" w:eastAsia="DengXian" w:hAnsi="Book Antiqua"/>
          <w:kern w:val="2"/>
          <w:lang w:val="en-US" w:eastAsia="zh-CN"/>
        </w:rPr>
        <w:t>: 221-244.e3 [PMID: 25447852 DOI: 10.1053/j.gastro.2014.10.038]</w:t>
      </w:r>
    </w:p>
    <w:p w14:paraId="0512AFDC"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lastRenderedPageBreak/>
        <w:t xml:space="preserve">98 </w:t>
      </w:r>
      <w:r w:rsidRPr="006B4444">
        <w:rPr>
          <w:rFonts w:ascii="Book Antiqua" w:eastAsia="DengXian" w:hAnsi="Book Antiqua"/>
          <w:b/>
          <w:kern w:val="2"/>
          <w:lang w:val="en-US" w:eastAsia="zh-CN"/>
        </w:rPr>
        <w:t>Kusumoto S</w:t>
      </w:r>
      <w:r w:rsidRPr="006B4444">
        <w:rPr>
          <w:rFonts w:ascii="Book Antiqua" w:eastAsia="DengXian" w:hAnsi="Book Antiqua"/>
          <w:kern w:val="2"/>
          <w:lang w:val="en-US" w:eastAsia="zh-CN"/>
        </w:rPr>
        <w:t xml:space="preserve">, Arcaini L, Hong X, Jin J, Kim WS, Kwong YL, Peters MG, Tanaka Y, Zelenetz AD, Kuriki H, Fingerle-Rowson G, Nielsen T, Ueda E, Piper-Lepoutre H, Sellam G, Tobinai K. Risk of HBV reactivation in patients with B-cell lymphomas receiving obinutuzumab or rituximab immunochemotherapy. </w:t>
      </w:r>
      <w:r w:rsidRPr="006B4444">
        <w:rPr>
          <w:rFonts w:ascii="Book Antiqua" w:eastAsia="DengXian" w:hAnsi="Book Antiqua"/>
          <w:i/>
          <w:kern w:val="2"/>
          <w:lang w:val="en-US" w:eastAsia="zh-CN"/>
        </w:rPr>
        <w:t>Blood</w:t>
      </w:r>
      <w:r w:rsidRPr="006B4444">
        <w:rPr>
          <w:rFonts w:ascii="Book Antiqua" w:eastAsia="DengXian" w:hAnsi="Book Antiqua"/>
          <w:kern w:val="2"/>
          <w:lang w:val="en-US" w:eastAsia="zh-CN"/>
        </w:rPr>
        <w:t xml:space="preserve"> 2019; </w:t>
      </w:r>
      <w:r w:rsidRPr="006B4444">
        <w:rPr>
          <w:rFonts w:ascii="Book Antiqua" w:eastAsia="DengXian" w:hAnsi="Book Antiqua"/>
          <w:b/>
          <w:kern w:val="2"/>
          <w:lang w:val="en-US" w:eastAsia="zh-CN"/>
        </w:rPr>
        <w:t>133</w:t>
      </w:r>
      <w:r w:rsidRPr="006B4444">
        <w:rPr>
          <w:rFonts w:ascii="Book Antiqua" w:eastAsia="DengXian" w:hAnsi="Book Antiqua"/>
          <w:kern w:val="2"/>
          <w:lang w:val="en-US" w:eastAsia="zh-CN"/>
        </w:rPr>
        <w:t>: 137-146 [PMID: 30341058 DOI: 10.1182/blood-2018-04-848044]</w:t>
      </w:r>
    </w:p>
    <w:p w14:paraId="38F139E7"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99 </w:t>
      </w:r>
      <w:r w:rsidRPr="006B4444">
        <w:rPr>
          <w:rFonts w:ascii="Book Antiqua" w:eastAsia="DengXian" w:hAnsi="Book Antiqua"/>
          <w:b/>
          <w:kern w:val="2"/>
          <w:lang w:val="en-US" w:eastAsia="zh-CN"/>
        </w:rPr>
        <w:t>Pei SN</w:t>
      </w:r>
      <w:r w:rsidRPr="006B4444">
        <w:rPr>
          <w:rFonts w:ascii="Book Antiqua" w:eastAsia="DengXian" w:hAnsi="Book Antiqua"/>
          <w:kern w:val="2"/>
          <w:lang w:val="en-US" w:eastAsia="zh-CN"/>
        </w:rPr>
        <w:t xml:space="preserve">, Ma MC, Wang MC, Kuo CY, Rau KM, Su CY, Chen CH. Analysis of hepatitis B surface antibody titers in B cell lymphoma patients after rituximab therapy. </w:t>
      </w:r>
      <w:r w:rsidRPr="006B4444">
        <w:rPr>
          <w:rFonts w:ascii="Book Antiqua" w:eastAsia="DengXian" w:hAnsi="Book Antiqua"/>
          <w:i/>
          <w:kern w:val="2"/>
          <w:lang w:val="en-US" w:eastAsia="zh-CN"/>
        </w:rPr>
        <w:t>Ann Hematol</w:t>
      </w:r>
      <w:r w:rsidRPr="006B4444">
        <w:rPr>
          <w:rFonts w:ascii="Book Antiqua" w:eastAsia="DengXian" w:hAnsi="Book Antiqua"/>
          <w:kern w:val="2"/>
          <w:lang w:val="en-US" w:eastAsia="zh-CN"/>
        </w:rPr>
        <w:t xml:space="preserve"> 2012; </w:t>
      </w:r>
      <w:r w:rsidRPr="006B4444">
        <w:rPr>
          <w:rFonts w:ascii="Book Antiqua" w:eastAsia="DengXian" w:hAnsi="Book Antiqua"/>
          <w:b/>
          <w:kern w:val="2"/>
          <w:lang w:val="en-US" w:eastAsia="zh-CN"/>
        </w:rPr>
        <w:t>91</w:t>
      </w:r>
      <w:r w:rsidRPr="006B4444">
        <w:rPr>
          <w:rFonts w:ascii="Book Antiqua" w:eastAsia="DengXian" w:hAnsi="Book Antiqua"/>
          <w:kern w:val="2"/>
          <w:lang w:val="en-US" w:eastAsia="zh-CN"/>
        </w:rPr>
        <w:t>: 1007-1012 [PMID: 22273839 DOI: 10.1007/s00277-012-1405-6]</w:t>
      </w:r>
    </w:p>
    <w:p w14:paraId="1947287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100 </w:t>
      </w:r>
      <w:r w:rsidRPr="006B4444">
        <w:rPr>
          <w:rFonts w:ascii="Book Antiqua" w:eastAsia="DengXian" w:hAnsi="Book Antiqua"/>
          <w:b/>
          <w:kern w:val="2"/>
          <w:lang w:val="en-US" w:eastAsia="zh-CN"/>
        </w:rPr>
        <w:t>Iannitto E</w:t>
      </w:r>
      <w:r w:rsidRPr="006B4444">
        <w:rPr>
          <w:rFonts w:ascii="Book Antiqua" w:eastAsia="DengXian" w:hAnsi="Book Antiqua"/>
          <w:kern w:val="2"/>
          <w:lang w:val="en-US" w:eastAsia="zh-CN"/>
        </w:rPr>
        <w:t xml:space="preserve">, Minardi V, Calvaruso G, Mulè A, Ammatuna E, Di Trapani R, Ferraro D, Abbadessa V, Craxí A, Di Stefano R. Hepatitis B virus reactivation and alemtuzumab therapy. </w:t>
      </w:r>
      <w:r w:rsidRPr="006B4444">
        <w:rPr>
          <w:rFonts w:ascii="Book Antiqua" w:eastAsia="DengXian" w:hAnsi="Book Antiqua"/>
          <w:i/>
          <w:kern w:val="2"/>
          <w:lang w:val="en-US" w:eastAsia="zh-CN"/>
        </w:rPr>
        <w:t>Eur J Haematol</w:t>
      </w:r>
      <w:r w:rsidRPr="006B4444">
        <w:rPr>
          <w:rFonts w:ascii="Book Antiqua" w:eastAsia="DengXian" w:hAnsi="Book Antiqua"/>
          <w:kern w:val="2"/>
          <w:lang w:val="en-US" w:eastAsia="zh-CN"/>
        </w:rPr>
        <w:t xml:space="preserve"> 2005; </w:t>
      </w:r>
      <w:r w:rsidRPr="006B4444">
        <w:rPr>
          <w:rFonts w:ascii="Book Antiqua" w:eastAsia="DengXian" w:hAnsi="Book Antiqua"/>
          <w:b/>
          <w:kern w:val="2"/>
          <w:lang w:val="en-US" w:eastAsia="zh-CN"/>
        </w:rPr>
        <w:t>74</w:t>
      </w:r>
      <w:r w:rsidRPr="006B4444">
        <w:rPr>
          <w:rFonts w:ascii="Book Antiqua" w:eastAsia="DengXian" w:hAnsi="Book Antiqua"/>
          <w:kern w:val="2"/>
          <w:lang w:val="en-US" w:eastAsia="zh-CN"/>
        </w:rPr>
        <w:t>: 254-258 [PMID: 15693796 DOI: 10.1111/j.1600-0609.2004.00375.x]</w:t>
      </w:r>
    </w:p>
    <w:p w14:paraId="59E90785"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101 </w:t>
      </w:r>
      <w:r w:rsidRPr="006B4444">
        <w:rPr>
          <w:rFonts w:ascii="Book Antiqua" w:eastAsia="DengXian" w:hAnsi="Book Antiqua"/>
          <w:b/>
          <w:kern w:val="2"/>
          <w:lang w:val="en-US" w:eastAsia="zh-CN"/>
        </w:rPr>
        <w:t>Ifuku H</w:t>
      </w:r>
      <w:r w:rsidRPr="006B4444">
        <w:rPr>
          <w:rFonts w:ascii="Book Antiqua" w:eastAsia="DengXian" w:hAnsi="Book Antiqua"/>
          <w:kern w:val="2"/>
          <w:lang w:val="en-US" w:eastAsia="zh-CN"/>
        </w:rPr>
        <w:t xml:space="preserve">, Kusumoto S, Tanaka Y, Totani H, Ishida T, Okada M, Murakami S, Mizokami M, Ueda R, Iida S. Fatal reactivation of hepatitis B virus infection in a patient with adult T-cell leukemia-lymphoma receiving the anti-CC chemokine receptor 4 antibody mogamulizumab. </w:t>
      </w:r>
      <w:r w:rsidRPr="006B4444">
        <w:rPr>
          <w:rFonts w:ascii="Book Antiqua" w:eastAsia="DengXian" w:hAnsi="Book Antiqua"/>
          <w:i/>
          <w:kern w:val="2"/>
          <w:lang w:val="en-US" w:eastAsia="zh-CN"/>
        </w:rPr>
        <w:t>Hepatol Res</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45</w:t>
      </w:r>
      <w:r w:rsidRPr="006B4444">
        <w:rPr>
          <w:rFonts w:ascii="Book Antiqua" w:eastAsia="DengXian" w:hAnsi="Book Antiqua"/>
          <w:kern w:val="2"/>
          <w:lang w:val="en-US" w:eastAsia="zh-CN"/>
        </w:rPr>
        <w:t>: 1363-1367 [PMID: 25753008 DOI: 10.1111/hepr.12513]</w:t>
      </w:r>
    </w:p>
    <w:p w14:paraId="5BD2576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102 </w:t>
      </w:r>
      <w:r w:rsidRPr="006B4444">
        <w:rPr>
          <w:rFonts w:ascii="Book Antiqua" w:eastAsia="DengXian" w:hAnsi="Book Antiqua"/>
          <w:b/>
          <w:kern w:val="2"/>
          <w:lang w:val="en-US" w:eastAsia="zh-CN"/>
        </w:rPr>
        <w:t>Yang H</w:t>
      </w:r>
      <w:r w:rsidRPr="006B4444">
        <w:rPr>
          <w:rFonts w:ascii="Book Antiqua" w:eastAsia="DengXian" w:hAnsi="Book Antiqua"/>
          <w:kern w:val="2"/>
          <w:lang w:val="en-US" w:eastAsia="zh-CN"/>
        </w:rPr>
        <w:t xml:space="preserve">, Cao Z, Wang Z, Liu M, Zhou H, Yang Q. [Hepatitis B virus reactivation induced by Brentuximab vedotin in the treatment of Hodgkin lymphoma: A case report and literature review]. </w:t>
      </w:r>
      <w:r w:rsidRPr="006B4444">
        <w:rPr>
          <w:rFonts w:ascii="Book Antiqua" w:eastAsia="DengXian" w:hAnsi="Book Antiqua"/>
          <w:i/>
          <w:kern w:val="2"/>
          <w:lang w:val="en-US" w:eastAsia="zh-CN"/>
        </w:rPr>
        <w:t>Zhonghua Xue Ye Xue Za Zhi</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35</w:t>
      </w:r>
      <w:r w:rsidRPr="006B4444">
        <w:rPr>
          <w:rFonts w:ascii="Book Antiqua" w:eastAsia="DengXian" w:hAnsi="Book Antiqua"/>
          <w:kern w:val="2"/>
          <w:lang w:val="en-US" w:eastAsia="zh-CN"/>
        </w:rPr>
        <w:t>: 949-950 [PMID: 25339337 DOI: 10.3760/cma.j.issn.0253-2727.2014.10.017]</w:t>
      </w:r>
    </w:p>
    <w:p w14:paraId="2F70CFD5"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103 </w:t>
      </w:r>
      <w:r w:rsidRPr="006B4444">
        <w:rPr>
          <w:rFonts w:ascii="Book Antiqua" w:eastAsia="DengXian" w:hAnsi="Book Antiqua"/>
          <w:b/>
          <w:kern w:val="2"/>
          <w:lang w:val="en-US" w:eastAsia="zh-CN"/>
        </w:rPr>
        <w:t>Ikeda K</w:t>
      </w:r>
      <w:r w:rsidRPr="006B4444">
        <w:rPr>
          <w:rFonts w:ascii="Book Antiqua" w:eastAsia="DengXian" w:hAnsi="Book Antiqua"/>
          <w:kern w:val="2"/>
          <w:lang w:val="en-US" w:eastAsia="zh-CN"/>
        </w:rPr>
        <w:t xml:space="preserve">, Shiga Y, Takahashi A, Kai T, Kimura H, Takeyama K, Noji H, Ogawa K, Nakamura A, Ohira H, Sato Y, Maruyama Y. Fatal hepatitis B virus reactivation in a chronic myeloid leukemia patient during imatinib mesylate treatment. </w:t>
      </w:r>
      <w:r w:rsidRPr="006B4444">
        <w:rPr>
          <w:rFonts w:ascii="Book Antiqua" w:eastAsia="DengXian" w:hAnsi="Book Antiqua"/>
          <w:i/>
          <w:kern w:val="2"/>
          <w:lang w:val="en-US" w:eastAsia="zh-CN"/>
        </w:rPr>
        <w:t>Leuk Lymphoma</w:t>
      </w:r>
      <w:r w:rsidRPr="006B4444">
        <w:rPr>
          <w:rFonts w:ascii="Book Antiqua" w:eastAsia="DengXian" w:hAnsi="Book Antiqua"/>
          <w:kern w:val="2"/>
          <w:lang w:val="en-US" w:eastAsia="zh-CN"/>
        </w:rPr>
        <w:t xml:space="preserve"> 2006; </w:t>
      </w:r>
      <w:r w:rsidRPr="006B4444">
        <w:rPr>
          <w:rFonts w:ascii="Book Antiqua" w:eastAsia="DengXian" w:hAnsi="Book Antiqua"/>
          <w:b/>
          <w:kern w:val="2"/>
          <w:lang w:val="en-US" w:eastAsia="zh-CN"/>
        </w:rPr>
        <w:t>47</w:t>
      </w:r>
      <w:r w:rsidRPr="006B4444">
        <w:rPr>
          <w:rFonts w:ascii="Book Antiqua" w:eastAsia="DengXian" w:hAnsi="Book Antiqua"/>
          <w:kern w:val="2"/>
          <w:lang w:val="en-US" w:eastAsia="zh-CN"/>
        </w:rPr>
        <w:t>: 155-157 [PMID: 16321842 DOI: 10.1080/14639230500236818]</w:t>
      </w:r>
    </w:p>
    <w:p w14:paraId="15E1F30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104 </w:t>
      </w:r>
      <w:r w:rsidRPr="006B4444">
        <w:rPr>
          <w:rFonts w:ascii="Book Antiqua" w:eastAsia="DengXian" w:hAnsi="Book Antiqua"/>
          <w:b/>
          <w:kern w:val="2"/>
          <w:lang w:val="en-US" w:eastAsia="zh-CN"/>
        </w:rPr>
        <w:t>Li J</w:t>
      </w:r>
      <w:r w:rsidRPr="006B4444">
        <w:rPr>
          <w:rFonts w:ascii="Book Antiqua" w:eastAsia="DengXian" w:hAnsi="Book Antiqua"/>
          <w:kern w:val="2"/>
          <w:lang w:val="en-US" w:eastAsia="zh-CN"/>
        </w:rPr>
        <w:t xml:space="preserve">, Huang B, Li Y, Zheng D, Zhou Z, Liu J. Hepatitis B virus reactivation in patients with multiple myeloma receiving bortezomib-containing regimens followed by autologous stem cell transplant. </w:t>
      </w:r>
      <w:r w:rsidRPr="006B4444">
        <w:rPr>
          <w:rFonts w:ascii="Book Antiqua" w:eastAsia="DengXian" w:hAnsi="Book Antiqua"/>
          <w:i/>
          <w:kern w:val="2"/>
          <w:lang w:val="en-US" w:eastAsia="zh-CN"/>
        </w:rPr>
        <w:t>Leuk Lymphoma</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56</w:t>
      </w:r>
      <w:r w:rsidRPr="006B4444">
        <w:rPr>
          <w:rFonts w:ascii="Book Antiqua" w:eastAsia="DengXian" w:hAnsi="Book Antiqua"/>
          <w:kern w:val="2"/>
          <w:lang w:val="en-US" w:eastAsia="zh-CN"/>
        </w:rPr>
        <w:t>: 1710-1717 [PMID: 25098429 DOI: 10.3109/10428194.2014.941833]</w:t>
      </w:r>
    </w:p>
    <w:p w14:paraId="1835F6F1"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105 </w:t>
      </w:r>
      <w:r w:rsidRPr="006B4444">
        <w:rPr>
          <w:rFonts w:ascii="Book Antiqua" w:eastAsia="DengXian" w:hAnsi="Book Antiqua"/>
          <w:b/>
          <w:kern w:val="2"/>
          <w:lang w:val="en-US" w:eastAsia="zh-CN"/>
        </w:rPr>
        <w:t>Shen CH</w:t>
      </w:r>
      <w:r w:rsidRPr="006B4444">
        <w:rPr>
          <w:rFonts w:ascii="Book Antiqua" w:eastAsia="DengXian" w:hAnsi="Book Antiqua"/>
          <w:kern w:val="2"/>
          <w:lang w:val="en-US" w:eastAsia="zh-CN"/>
        </w:rPr>
        <w:t xml:space="preserve">, Hwang CE, Chen YY, Chen CC. Hepatitis B virus reactivation associated with ruxolitinib. </w:t>
      </w:r>
      <w:r w:rsidRPr="006B4444">
        <w:rPr>
          <w:rFonts w:ascii="Book Antiqua" w:eastAsia="DengXian" w:hAnsi="Book Antiqua"/>
          <w:i/>
          <w:kern w:val="2"/>
          <w:lang w:val="en-US" w:eastAsia="zh-CN"/>
        </w:rPr>
        <w:t>Ann Hematol</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93</w:t>
      </w:r>
      <w:r w:rsidRPr="006B4444">
        <w:rPr>
          <w:rFonts w:ascii="Book Antiqua" w:eastAsia="DengXian" w:hAnsi="Book Antiqua"/>
          <w:kern w:val="2"/>
          <w:lang w:val="en-US" w:eastAsia="zh-CN"/>
        </w:rPr>
        <w:t>: 1075-1076 [PMID: 24173089 DOI: 10.1007/s00277-013-1936-5]</w:t>
      </w:r>
    </w:p>
    <w:p w14:paraId="694F3E62"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106 </w:t>
      </w:r>
      <w:r w:rsidRPr="006B4444">
        <w:rPr>
          <w:rFonts w:ascii="Book Antiqua" w:eastAsia="DengXian" w:hAnsi="Book Antiqua"/>
          <w:b/>
          <w:kern w:val="2"/>
          <w:lang w:val="en-US" w:eastAsia="zh-CN"/>
        </w:rPr>
        <w:t>Aragri M</w:t>
      </w:r>
      <w:r w:rsidRPr="006B4444">
        <w:rPr>
          <w:rFonts w:ascii="Book Antiqua" w:eastAsia="DengXian" w:hAnsi="Book Antiqua"/>
          <w:kern w:val="2"/>
          <w:lang w:val="en-US" w:eastAsia="zh-CN"/>
        </w:rPr>
        <w:t xml:space="preserve">, Alteri C, Battisti A, Di Carlo D, Minichini C, Sagnelli C, Bellocchi MC, Pisaturo MA, Starace M, Armenia D, Carioti L, Pollicita M, Salpini R, Sagnelli E, Perno CF, Coppola N, Svicher V. Multiple Hepatitis B Virus (HBV) Quasispecies and Immune-Escape Mutations Are Present in HBV Surface Antigen and Reverse Transcriptase of Patients With Acute Hepatitis B. </w:t>
      </w:r>
      <w:r w:rsidRPr="006B4444">
        <w:rPr>
          <w:rFonts w:ascii="Book Antiqua" w:eastAsia="DengXian" w:hAnsi="Book Antiqua"/>
          <w:i/>
          <w:kern w:val="2"/>
          <w:lang w:val="en-US" w:eastAsia="zh-CN"/>
        </w:rPr>
        <w:t>J Infect Dis</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213</w:t>
      </w:r>
      <w:r w:rsidRPr="006B4444">
        <w:rPr>
          <w:rFonts w:ascii="Book Antiqua" w:eastAsia="DengXian" w:hAnsi="Book Antiqua"/>
          <w:kern w:val="2"/>
          <w:lang w:val="en-US" w:eastAsia="zh-CN"/>
        </w:rPr>
        <w:t>: 1897-1905 [PMID: 26908731 DOI: 10.1093/infdis/jiw049]</w:t>
      </w:r>
    </w:p>
    <w:p w14:paraId="201936B5"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lastRenderedPageBreak/>
        <w:t xml:space="preserve">107 </w:t>
      </w:r>
      <w:r w:rsidRPr="006B4444">
        <w:rPr>
          <w:rFonts w:ascii="Book Antiqua" w:eastAsia="DengXian" w:hAnsi="Book Antiqua"/>
          <w:b/>
          <w:kern w:val="2"/>
          <w:lang w:val="en-US" w:eastAsia="zh-CN"/>
        </w:rPr>
        <w:t>Terrault NA</w:t>
      </w:r>
      <w:r w:rsidRPr="006B4444">
        <w:rPr>
          <w:rFonts w:ascii="Book Antiqua" w:eastAsia="DengXian" w:hAnsi="Book Antiqua"/>
          <w:kern w:val="2"/>
          <w:lang w:val="en-US" w:eastAsia="zh-CN"/>
        </w:rPr>
        <w:t xml:space="preserve">, Bzowej NH, Chang KM, Hwang JP, Jonas MM, Murad MH; American Association for the Study of Liver Diseases. AASLD guidelines for treatment of chronic hepatitis B.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63</w:t>
      </w:r>
      <w:r w:rsidRPr="006B4444">
        <w:rPr>
          <w:rFonts w:ascii="Book Antiqua" w:eastAsia="DengXian" w:hAnsi="Book Antiqua"/>
          <w:kern w:val="2"/>
          <w:lang w:val="en-US" w:eastAsia="zh-CN"/>
        </w:rPr>
        <w:t>: 261-283 [PMID: 26566064 DOI: 10.1002/hep.28156]</w:t>
      </w:r>
    </w:p>
    <w:p w14:paraId="02546FF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108 </w:t>
      </w:r>
      <w:r w:rsidRPr="006B4444">
        <w:rPr>
          <w:rFonts w:ascii="Book Antiqua" w:eastAsia="DengXian" w:hAnsi="Book Antiqua"/>
          <w:b/>
          <w:kern w:val="2"/>
          <w:lang w:val="en-US" w:eastAsia="zh-CN"/>
        </w:rPr>
        <w:t>Huang H</w:t>
      </w:r>
      <w:r w:rsidRPr="006B4444">
        <w:rPr>
          <w:rFonts w:ascii="Book Antiqua" w:eastAsia="DengXian" w:hAnsi="Book Antiqua"/>
          <w:kern w:val="2"/>
          <w:lang w:val="en-US" w:eastAsia="zh-CN"/>
        </w:rPr>
        <w:t xml:space="preserve">, Li X, Zhu J, Ye S, Zhang H, Wang W, Wu X, Peng J, Xu B, Lin Y, Cao Y, Li H, Lin S, Liu Q, Lin T. Entecavir vs lamivudine for prevention of hepatitis B virus reactivation among patients with untreated diffuse large B-cell lymphoma receiving R-CHOP chemotherapy: A randomized clinical trial. </w:t>
      </w:r>
      <w:r w:rsidRPr="006B4444">
        <w:rPr>
          <w:rFonts w:ascii="Book Antiqua" w:eastAsia="DengXian" w:hAnsi="Book Antiqua"/>
          <w:i/>
          <w:kern w:val="2"/>
          <w:lang w:val="en-US" w:eastAsia="zh-CN"/>
        </w:rPr>
        <w:t>JAMA</w:t>
      </w:r>
      <w:r w:rsidRPr="006B4444">
        <w:rPr>
          <w:rFonts w:ascii="Book Antiqua" w:eastAsia="DengXian" w:hAnsi="Book Antiqua"/>
          <w:kern w:val="2"/>
          <w:lang w:val="en-US" w:eastAsia="zh-CN"/>
        </w:rPr>
        <w:t xml:space="preserve"> 2014; </w:t>
      </w:r>
      <w:r w:rsidRPr="006B4444">
        <w:rPr>
          <w:rFonts w:ascii="Book Antiqua" w:eastAsia="DengXian" w:hAnsi="Book Antiqua"/>
          <w:b/>
          <w:kern w:val="2"/>
          <w:lang w:val="en-US" w:eastAsia="zh-CN"/>
        </w:rPr>
        <w:t>312</w:t>
      </w:r>
      <w:r w:rsidRPr="006B4444">
        <w:rPr>
          <w:rFonts w:ascii="Book Antiqua" w:eastAsia="DengXian" w:hAnsi="Book Antiqua"/>
          <w:kern w:val="2"/>
          <w:lang w:val="en-US" w:eastAsia="zh-CN"/>
        </w:rPr>
        <w:t>: 2521-2530 [PMID: 25514302 DOI: 10.1001/jama.2014.15704]</w:t>
      </w:r>
    </w:p>
    <w:p w14:paraId="7C57D84D"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109 </w:t>
      </w:r>
      <w:r w:rsidRPr="006B4444">
        <w:rPr>
          <w:rFonts w:ascii="Book Antiqua" w:eastAsia="DengXian" w:hAnsi="Book Antiqua"/>
          <w:b/>
          <w:kern w:val="2"/>
          <w:lang w:val="en-US" w:eastAsia="zh-CN"/>
        </w:rPr>
        <w:t>Sarin SK</w:t>
      </w:r>
      <w:r w:rsidRPr="006B4444">
        <w:rPr>
          <w:rFonts w:ascii="Book Antiqua" w:eastAsia="DengXian" w:hAnsi="Book Antiqua"/>
          <w:kern w:val="2"/>
          <w:lang w:val="en-US" w:eastAsia="zh-CN"/>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6B4444">
        <w:rPr>
          <w:rFonts w:ascii="Book Antiqua" w:eastAsia="DengXian" w:hAnsi="Book Antiqua"/>
          <w:i/>
          <w:kern w:val="2"/>
          <w:lang w:val="en-US" w:eastAsia="zh-CN"/>
        </w:rPr>
        <w:t>Hepatol Int</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10</w:t>
      </w:r>
      <w:r w:rsidRPr="006B4444">
        <w:rPr>
          <w:rFonts w:ascii="Book Antiqua" w:eastAsia="DengXian" w:hAnsi="Book Antiqua"/>
          <w:kern w:val="2"/>
          <w:lang w:val="en-US" w:eastAsia="zh-CN"/>
        </w:rPr>
        <w:t>: 1-98 [PMID: 26563120 DOI: 10.1007/s12072-015-9675-4]</w:t>
      </w:r>
    </w:p>
    <w:p w14:paraId="5111FB0F"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110 </w:t>
      </w:r>
      <w:r w:rsidRPr="006B4444">
        <w:rPr>
          <w:rFonts w:ascii="Book Antiqua" w:eastAsia="DengXian" w:hAnsi="Book Antiqua"/>
          <w:b/>
          <w:kern w:val="2"/>
          <w:lang w:val="en-US" w:eastAsia="zh-CN"/>
        </w:rPr>
        <w:t>Reddy KR</w:t>
      </w:r>
      <w:r w:rsidRPr="006B4444">
        <w:rPr>
          <w:rFonts w:ascii="Book Antiqua" w:eastAsia="DengXian" w:hAnsi="Book Antiqua"/>
          <w:kern w:val="2"/>
          <w:lang w:val="en-US" w:eastAsia="zh-CN"/>
        </w:rPr>
        <w:t>, Beavers KL, Hammond SP, Lim JK, Falck-Ytter YT; American Gastroenterological Association Institute.</w:t>
      </w:r>
      <w:proofErr w:type="gramEnd"/>
      <w:r w:rsidRPr="006B4444">
        <w:rPr>
          <w:rFonts w:ascii="Book Antiqua" w:eastAsia="DengXian" w:hAnsi="Book Antiqua"/>
          <w:kern w:val="2"/>
          <w:lang w:val="en-US" w:eastAsia="zh-CN"/>
        </w:rPr>
        <w:t xml:space="preserve"> </w:t>
      </w:r>
      <w:proofErr w:type="gramStart"/>
      <w:r w:rsidRPr="006B4444">
        <w:rPr>
          <w:rFonts w:ascii="Book Antiqua" w:eastAsia="DengXian" w:hAnsi="Book Antiqua"/>
          <w:kern w:val="2"/>
          <w:lang w:val="en-US" w:eastAsia="zh-CN"/>
        </w:rPr>
        <w:t>American Gastroenterological Association Institute guideline on the prevention and treatment of hepatitis B virus reactivation during immunosuppressive drug therapy.</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Gastroenterology</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148</w:t>
      </w:r>
      <w:r w:rsidRPr="006B4444">
        <w:rPr>
          <w:rFonts w:ascii="Book Antiqua" w:eastAsia="DengXian" w:hAnsi="Book Antiqua"/>
          <w:kern w:val="2"/>
          <w:lang w:val="en-US" w:eastAsia="zh-CN"/>
        </w:rPr>
        <w:t>: 215-9; quiz e16-7 [PMID: 25447850 DOI: 10.1053/j.gastro.2014.10.039]</w:t>
      </w:r>
    </w:p>
    <w:p w14:paraId="39D94D62"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111 </w:t>
      </w:r>
      <w:r w:rsidRPr="006B4444">
        <w:rPr>
          <w:rFonts w:ascii="Book Antiqua" w:eastAsia="DengXian" w:hAnsi="Book Antiqua"/>
          <w:b/>
          <w:kern w:val="2"/>
          <w:lang w:val="en-US" w:eastAsia="zh-CN"/>
        </w:rPr>
        <w:t>Morillas RM</w:t>
      </w:r>
      <w:r w:rsidRPr="006B4444">
        <w:rPr>
          <w:rFonts w:ascii="Book Antiqua" w:eastAsia="DengXian" w:hAnsi="Book Antiqua"/>
          <w:kern w:val="2"/>
          <w:lang w:val="en-US" w:eastAsia="zh-CN"/>
        </w:rPr>
        <w:t xml:space="preserve">, López Sisamón D. Reactivation of hepatitis B associated with immunosuppressants and chemotherapy. </w:t>
      </w:r>
      <w:proofErr w:type="gramStart"/>
      <w:r w:rsidRPr="006B4444">
        <w:rPr>
          <w:rFonts w:ascii="Book Antiqua" w:eastAsia="DengXian" w:hAnsi="Book Antiqua"/>
          <w:kern w:val="2"/>
          <w:lang w:val="en-US" w:eastAsia="zh-CN"/>
        </w:rPr>
        <w:t>Natural history, risk factors and recommendations for prevention.</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 xml:space="preserve">Med Clin </w:t>
      </w:r>
      <w:r w:rsidRPr="006B4444">
        <w:rPr>
          <w:rFonts w:ascii="Book Antiqua" w:eastAsia="DengXian" w:hAnsi="Book Antiqua"/>
          <w:kern w:val="2"/>
          <w:lang w:val="en-US" w:eastAsia="zh-CN"/>
        </w:rPr>
        <w:t xml:space="preserve">(Barc) 2019; </w:t>
      </w:r>
      <w:r w:rsidRPr="006B4444">
        <w:rPr>
          <w:rFonts w:ascii="Book Antiqua" w:eastAsia="DengXian" w:hAnsi="Book Antiqua"/>
          <w:b/>
          <w:kern w:val="2"/>
          <w:lang w:val="en-US" w:eastAsia="zh-CN"/>
        </w:rPr>
        <w:t>152</w:t>
      </w:r>
      <w:r w:rsidRPr="006B4444">
        <w:rPr>
          <w:rFonts w:ascii="Book Antiqua" w:eastAsia="DengXian" w:hAnsi="Book Antiqua"/>
          <w:kern w:val="2"/>
          <w:lang w:val="en-US" w:eastAsia="zh-CN"/>
        </w:rPr>
        <w:t>: 107-114 [PMID: 30424935 DOI: 10.1016/j.medcli.2018.08.018]</w:t>
      </w:r>
    </w:p>
    <w:p w14:paraId="607A87C2"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112 </w:t>
      </w:r>
      <w:r w:rsidRPr="006B4444">
        <w:rPr>
          <w:rFonts w:ascii="Book Antiqua" w:eastAsia="DengXian" w:hAnsi="Book Antiqua"/>
          <w:b/>
          <w:kern w:val="2"/>
          <w:lang w:val="en-US" w:eastAsia="zh-CN"/>
        </w:rPr>
        <w:t>Hwang JP</w:t>
      </w:r>
      <w:r w:rsidRPr="006B4444">
        <w:rPr>
          <w:rFonts w:ascii="Book Antiqua" w:eastAsia="DengXian" w:hAnsi="Book Antiqua"/>
          <w:kern w:val="2"/>
          <w:lang w:val="en-US" w:eastAsia="zh-CN"/>
        </w:rPr>
        <w:t xml:space="preserve">, Somerfield MR, Alston-Johnson DE, Cryer DR, Feld JJ, Kramer BS, Sabichi AL, Wong SL, Artz AS. Hepatitis B Virus Screening for Patients With Cancer Before Therapy: American Society of Clinical Oncology Provisional Clinical Opinion Update. </w:t>
      </w:r>
      <w:r w:rsidRPr="006B4444">
        <w:rPr>
          <w:rFonts w:ascii="Book Antiqua" w:eastAsia="DengXian" w:hAnsi="Book Antiqua"/>
          <w:i/>
          <w:kern w:val="2"/>
          <w:lang w:val="en-US" w:eastAsia="zh-CN"/>
        </w:rPr>
        <w:t>J Clin Oncol</w:t>
      </w:r>
      <w:r w:rsidRPr="006B4444">
        <w:rPr>
          <w:rFonts w:ascii="Book Antiqua" w:eastAsia="DengXian" w:hAnsi="Book Antiqua"/>
          <w:kern w:val="2"/>
          <w:lang w:val="en-US" w:eastAsia="zh-CN"/>
        </w:rPr>
        <w:t xml:space="preserve"> 2015; </w:t>
      </w:r>
      <w:r w:rsidRPr="006B4444">
        <w:rPr>
          <w:rFonts w:ascii="Book Antiqua" w:eastAsia="DengXian" w:hAnsi="Book Antiqua"/>
          <w:b/>
          <w:kern w:val="2"/>
          <w:lang w:val="en-US" w:eastAsia="zh-CN"/>
        </w:rPr>
        <w:t>33</w:t>
      </w:r>
      <w:r w:rsidRPr="006B4444">
        <w:rPr>
          <w:rFonts w:ascii="Book Antiqua" w:eastAsia="DengXian" w:hAnsi="Book Antiqua"/>
          <w:kern w:val="2"/>
          <w:lang w:val="en-US" w:eastAsia="zh-CN"/>
        </w:rPr>
        <w:t>: 2212-2220 [PMID: 25964247 DOI: 10.1200/JCO.2015.61.3745]</w:t>
      </w:r>
    </w:p>
    <w:p w14:paraId="57B7118A"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113 </w:t>
      </w:r>
      <w:r w:rsidRPr="006B4444">
        <w:rPr>
          <w:rFonts w:ascii="Book Antiqua" w:eastAsia="DengXian" w:hAnsi="Book Antiqua"/>
          <w:b/>
          <w:kern w:val="2"/>
          <w:lang w:val="en-US" w:eastAsia="zh-CN"/>
        </w:rPr>
        <w:t>Jang JW</w:t>
      </w:r>
      <w:r w:rsidRPr="006B4444">
        <w:rPr>
          <w:rFonts w:ascii="Book Antiqua" w:eastAsia="DengXian" w:hAnsi="Book Antiqua"/>
          <w:kern w:val="2"/>
          <w:lang w:val="en-US" w:eastAsia="zh-CN"/>
        </w:rPr>
        <w:t>, Choi JY, Bae SH, Yoon SK, Chang UI, Kim CW, Cho SH, Han JY, Lee YS.</w:t>
      </w:r>
      <w:proofErr w:type="gramEnd"/>
      <w:r w:rsidRPr="006B4444">
        <w:rPr>
          <w:rFonts w:ascii="Book Antiqua" w:eastAsia="DengXian" w:hAnsi="Book Antiqua"/>
          <w:kern w:val="2"/>
          <w:lang w:val="en-US" w:eastAsia="zh-CN"/>
        </w:rPr>
        <w:t xml:space="preserve"> </w:t>
      </w:r>
      <w:proofErr w:type="gramStart"/>
      <w:r w:rsidRPr="006B4444">
        <w:rPr>
          <w:rFonts w:ascii="Book Antiqua" w:eastAsia="DengXian" w:hAnsi="Book Antiqua"/>
          <w:kern w:val="2"/>
          <w:lang w:val="en-US" w:eastAsia="zh-CN"/>
        </w:rPr>
        <w:t>A randomized controlled study of preemptive lamivudine in patients receiving transarterial chemo-lipiodolization.</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Hepatology</w:t>
      </w:r>
      <w:r w:rsidRPr="006B4444">
        <w:rPr>
          <w:rFonts w:ascii="Book Antiqua" w:eastAsia="DengXian" w:hAnsi="Book Antiqua"/>
          <w:kern w:val="2"/>
          <w:lang w:val="en-US" w:eastAsia="zh-CN"/>
        </w:rPr>
        <w:t xml:space="preserve"> 2006; </w:t>
      </w:r>
      <w:r w:rsidRPr="006B4444">
        <w:rPr>
          <w:rFonts w:ascii="Book Antiqua" w:eastAsia="DengXian" w:hAnsi="Book Antiqua"/>
          <w:b/>
          <w:kern w:val="2"/>
          <w:lang w:val="en-US" w:eastAsia="zh-CN"/>
        </w:rPr>
        <w:t>43</w:t>
      </w:r>
      <w:r w:rsidRPr="006B4444">
        <w:rPr>
          <w:rFonts w:ascii="Book Antiqua" w:eastAsia="DengXian" w:hAnsi="Book Antiqua"/>
          <w:kern w:val="2"/>
          <w:lang w:val="en-US" w:eastAsia="zh-CN"/>
        </w:rPr>
        <w:t>: 233-240 [PMID: 16440357 DOI: 10.1002/hep.21024]</w:t>
      </w:r>
    </w:p>
    <w:p w14:paraId="2528C2D6"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114 </w:t>
      </w:r>
      <w:r w:rsidRPr="006B4444">
        <w:rPr>
          <w:rFonts w:ascii="Book Antiqua" w:eastAsia="DengXian" w:hAnsi="Book Antiqua"/>
          <w:b/>
          <w:kern w:val="2"/>
          <w:lang w:val="en-US" w:eastAsia="zh-CN"/>
        </w:rPr>
        <w:t>Long M</w:t>
      </w:r>
      <w:r w:rsidRPr="006B4444">
        <w:rPr>
          <w:rFonts w:ascii="Book Antiqua" w:eastAsia="DengXian" w:hAnsi="Book Antiqua"/>
          <w:kern w:val="2"/>
          <w:lang w:val="en-US" w:eastAsia="zh-CN"/>
        </w:rPr>
        <w:t xml:space="preserve">, Jia W, Li S, Jin L, Wu J, Rao N, Feng H, Chen K, Deng H, Liu F, Su F, Song E. A single-center, prospective and randomized controlled study: Can the prophylactic use of lamivudine prevent hepatitis B virus reactivation in hepatitis B s-antigen seropositive breast cancer patients during chemotherapy? </w:t>
      </w:r>
      <w:r w:rsidRPr="006B4444">
        <w:rPr>
          <w:rFonts w:ascii="Book Antiqua" w:eastAsia="DengXian" w:hAnsi="Book Antiqua"/>
          <w:i/>
          <w:kern w:val="2"/>
          <w:lang w:val="en-US" w:eastAsia="zh-CN"/>
        </w:rPr>
        <w:t>Breast Cancer Res Treat</w:t>
      </w:r>
      <w:r w:rsidRPr="006B4444">
        <w:rPr>
          <w:rFonts w:ascii="Book Antiqua" w:eastAsia="DengXian" w:hAnsi="Book Antiqua"/>
          <w:kern w:val="2"/>
          <w:lang w:val="en-US" w:eastAsia="zh-CN"/>
        </w:rPr>
        <w:t xml:space="preserve"> 2011; </w:t>
      </w:r>
      <w:r w:rsidRPr="006B4444">
        <w:rPr>
          <w:rFonts w:ascii="Book Antiqua" w:eastAsia="DengXian" w:hAnsi="Book Antiqua"/>
          <w:b/>
          <w:kern w:val="2"/>
          <w:lang w:val="en-US" w:eastAsia="zh-CN"/>
        </w:rPr>
        <w:t>127</w:t>
      </w:r>
      <w:r w:rsidRPr="006B4444">
        <w:rPr>
          <w:rFonts w:ascii="Book Antiqua" w:eastAsia="DengXian" w:hAnsi="Book Antiqua"/>
          <w:kern w:val="2"/>
          <w:lang w:val="en-US" w:eastAsia="zh-CN"/>
        </w:rPr>
        <w:t>: 705-712 [PMID: 21445574 DOI: 10.1007/s10549-011-1455-9]</w:t>
      </w:r>
    </w:p>
    <w:p w14:paraId="27C74E35"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lastRenderedPageBreak/>
        <w:t xml:space="preserve">115 </w:t>
      </w:r>
      <w:r w:rsidRPr="006B4444">
        <w:rPr>
          <w:rFonts w:ascii="Book Antiqua" w:eastAsia="DengXian" w:hAnsi="Book Antiqua"/>
          <w:b/>
          <w:kern w:val="2"/>
          <w:lang w:val="en-US" w:eastAsia="zh-CN"/>
        </w:rPr>
        <w:t>Coluccio C</w:t>
      </w:r>
      <w:r w:rsidRPr="006B4444">
        <w:rPr>
          <w:rFonts w:ascii="Book Antiqua" w:eastAsia="DengXian" w:hAnsi="Book Antiqua"/>
          <w:kern w:val="2"/>
          <w:lang w:val="en-US" w:eastAsia="zh-CN"/>
        </w:rPr>
        <w:t xml:space="preserve">, Begini P, Marzano A, Pellicelli A, Imperatrice B, Anania G, Delle Fave G, Marignani M. Hepatitis B in patients with hematological diseases: An update. </w:t>
      </w:r>
      <w:r w:rsidRPr="006B4444">
        <w:rPr>
          <w:rFonts w:ascii="Book Antiqua" w:eastAsia="DengXian" w:hAnsi="Book Antiqua"/>
          <w:i/>
          <w:kern w:val="2"/>
          <w:lang w:val="en-US" w:eastAsia="zh-CN"/>
        </w:rPr>
        <w:t>World J Hepatol</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9</w:t>
      </w:r>
      <w:r w:rsidRPr="006B4444">
        <w:rPr>
          <w:rFonts w:ascii="Book Antiqua" w:eastAsia="DengXian" w:hAnsi="Book Antiqua"/>
          <w:kern w:val="2"/>
          <w:lang w:val="en-US" w:eastAsia="zh-CN"/>
        </w:rPr>
        <w:t>: 1043-1053 [PMID: 28951776 DOI: 10.4254/wjh.v9.i25.1043]</w:t>
      </w:r>
    </w:p>
    <w:p w14:paraId="240FFF27" w14:textId="77777777" w:rsidR="00075644" w:rsidRPr="006B4444" w:rsidRDefault="00075644" w:rsidP="00075644">
      <w:pPr>
        <w:widowControl w:val="0"/>
        <w:spacing w:line="360" w:lineRule="auto"/>
        <w:jc w:val="both"/>
        <w:rPr>
          <w:rFonts w:ascii="Book Antiqua" w:eastAsia="DengXian" w:hAnsi="Book Antiqua"/>
          <w:kern w:val="2"/>
          <w:lang w:val="en-US" w:eastAsia="zh-CN"/>
        </w:rPr>
      </w:pPr>
      <w:proofErr w:type="gramStart"/>
      <w:r w:rsidRPr="006B4444">
        <w:rPr>
          <w:rFonts w:ascii="Book Antiqua" w:eastAsia="DengXian" w:hAnsi="Book Antiqua"/>
          <w:kern w:val="2"/>
          <w:lang w:val="en-US" w:eastAsia="zh-CN"/>
        </w:rPr>
        <w:t xml:space="preserve">116 </w:t>
      </w:r>
      <w:r w:rsidRPr="006B4444">
        <w:rPr>
          <w:rFonts w:ascii="Book Antiqua" w:eastAsia="DengXian" w:hAnsi="Book Antiqua"/>
          <w:b/>
          <w:kern w:val="2"/>
          <w:lang w:val="en-US" w:eastAsia="zh-CN"/>
        </w:rPr>
        <w:t>Pattullo V</w:t>
      </w:r>
      <w:r w:rsidRPr="006B4444">
        <w:rPr>
          <w:rFonts w:ascii="Book Antiqua" w:eastAsia="DengXian" w:hAnsi="Book Antiqua"/>
          <w:kern w:val="2"/>
          <w:lang w:val="en-US" w:eastAsia="zh-CN"/>
        </w:rPr>
        <w:t>. Prevention of Hepatitis B reactivation in the setting of immunosuppression.</w:t>
      </w:r>
      <w:proofErr w:type="gramEnd"/>
      <w:r w:rsidRPr="006B4444">
        <w:rPr>
          <w:rFonts w:ascii="Book Antiqua" w:eastAsia="DengXian" w:hAnsi="Book Antiqua"/>
          <w:kern w:val="2"/>
          <w:lang w:val="en-US" w:eastAsia="zh-CN"/>
        </w:rPr>
        <w:t xml:space="preserve"> </w:t>
      </w:r>
      <w:r w:rsidRPr="006B4444">
        <w:rPr>
          <w:rFonts w:ascii="Book Antiqua" w:eastAsia="DengXian" w:hAnsi="Book Antiqua"/>
          <w:i/>
          <w:kern w:val="2"/>
          <w:lang w:val="en-US" w:eastAsia="zh-CN"/>
        </w:rPr>
        <w:t>Clin Mol Hepatol</w:t>
      </w:r>
      <w:r w:rsidRPr="006B4444">
        <w:rPr>
          <w:rFonts w:ascii="Book Antiqua" w:eastAsia="DengXian" w:hAnsi="Book Antiqua"/>
          <w:kern w:val="2"/>
          <w:lang w:val="en-US" w:eastAsia="zh-CN"/>
        </w:rPr>
        <w:t xml:space="preserve"> 2016; </w:t>
      </w:r>
      <w:r w:rsidRPr="006B4444">
        <w:rPr>
          <w:rFonts w:ascii="Book Antiqua" w:eastAsia="DengXian" w:hAnsi="Book Antiqua"/>
          <w:b/>
          <w:kern w:val="2"/>
          <w:lang w:val="en-US" w:eastAsia="zh-CN"/>
        </w:rPr>
        <w:t>22</w:t>
      </w:r>
      <w:r w:rsidRPr="006B4444">
        <w:rPr>
          <w:rFonts w:ascii="Book Antiqua" w:eastAsia="DengXian" w:hAnsi="Book Antiqua"/>
          <w:kern w:val="2"/>
          <w:lang w:val="en-US" w:eastAsia="zh-CN"/>
        </w:rPr>
        <w:t>: 219-237 [PMID: 27291888 DOI: 10.3350/cmh.2016.0024]</w:t>
      </w:r>
    </w:p>
    <w:p w14:paraId="14BC41FA"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117 </w:t>
      </w:r>
      <w:r w:rsidRPr="006B4444">
        <w:rPr>
          <w:rFonts w:ascii="Book Antiqua" w:eastAsia="DengXian" w:hAnsi="Book Antiqua"/>
          <w:b/>
          <w:kern w:val="2"/>
          <w:lang w:val="en-US" w:eastAsia="zh-CN"/>
        </w:rPr>
        <w:t>Ceccarelli L</w:t>
      </w:r>
      <w:r w:rsidRPr="006B4444">
        <w:rPr>
          <w:rFonts w:ascii="Book Antiqua" w:eastAsia="DengXian" w:hAnsi="Book Antiqua"/>
          <w:kern w:val="2"/>
          <w:lang w:val="en-US" w:eastAsia="zh-CN"/>
        </w:rPr>
        <w:t xml:space="preserve">, Salpini R, Sarmati L, Svicher V, Bertoli A, Sordillo P, Ricciardi A, Perno CF, Andreoni M, Sarrecchia C. Late hepatitis B virus reactivation after lamivudine prophylaxis interruption in an anti-HBs-positive and anti-HBc-negative patient treated with rituximab-containing therapy. </w:t>
      </w:r>
      <w:r w:rsidRPr="006B4444">
        <w:rPr>
          <w:rFonts w:ascii="Book Antiqua" w:eastAsia="DengXian" w:hAnsi="Book Antiqua"/>
          <w:i/>
          <w:kern w:val="2"/>
          <w:lang w:val="en-US" w:eastAsia="zh-CN"/>
        </w:rPr>
        <w:t>J Infect</w:t>
      </w:r>
      <w:r w:rsidRPr="006B4444">
        <w:rPr>
          <w:rFonts w:ascii="Book Antiqua" w:eastAsia="DengXian" w:hAnsi="Book Antiqua"/>
          <w:kern w:val="2"/>
          <w:lang w:val="en-US" w:eastAsia="zh-CN"/>
        </w:rPr>
        <w:t xml:space="preserve"> 2012; </w:t>
      </w:r>
      <w:r w:rsidRPr="006B4444">
        <w:rPr>
          <w:rFonts w:ascii="Book Antiqua" w:eastAsia="DengXian" w:hAnsi="Book Antiqua"/>
          <w:b/>
          <w:kern w:val="2"/>
          <w:lang w:val="en-US" w:eastAsia="zh-CN"/>
        </w:rPr>
        <w:t>65</w:t>
      </w:r>
      <w:r w:rsidRPr="006B4444">
        <w:rPr>
          <w:rFonts w:ascii="Book Antiqua" w:eastAsia="DengXian" w:hAnsi="Book Antiqua"/>
          <w:kern w:val="2"/>
          <w:lang w:val="en-US" w:eastAsia="zh-CN"/>
        </w:rPr>
        <w:t>: 180-183 [PMID: 22138369 DOI: 10.1016/j.jinf.2011.11.021]</w:t>
      </w:r>
    </w:p>
    <w:p w14:paraId="153BE040"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118 </w:t>
      </w:r>
      <w:r w:rsidRPr="006B4444">
        <w:rPr>
          <w:rFonts w:ascii="Book Antiqua" w:eastAsia="DengXian" w:hAnsi="Book Antiqua"/>
          <w:b/>
          <w:kern w:val="2"/>
          <w:lang w:val="en-US" w:eastAsia="zh-CN"/>
        </w:rPr>
        <w:t>Yamada T</w:t>
      </w:r>
      <w:r w:rsidRPr="006B4444">
        <w:rPr>
          <w:rFonts w:ascii="Book Antiqua" w:eastAsia="DengXian" w:hAnsi="Book Antiqua"/>
          <w:kern w:val="2"/>
          <w:lang w:val="en-US" w:eastAsia="zh-CN"/>
        </w:rPr>
        <w:t xml:space="preserve">, Nannya Y, Suetsugu A, Shimizu S, Sugihara J, Shimizu M, Seishima M, Tsurumi H. Late Reactivation of Hepatitis B Virus after Chemotherapies for Hematological Malignancies: A Case Report and Review of the Literature. </w:t>
      </w:r>
      <w:r w:rsidRPr="006B4444">
        <w:rPr>
          <w:rFonts w:ascii="Book Antiqua" w:eastAsia="DengXian" w:hAnsi="Book Antiqua"/>
          <w:i/>
          <w:kern w:val="2"/>
          <w:lang w:val="en-US" w:eastAsia="zh-CN"/>
        </w:rPr>
        <w:t>Intern Med</w:t>
      </w:r>
      <w:r w:rsidRPr="006B4444">
        <w:rPr>
          <w:rFonts w:ascii="Book Antiqua" w:eastAsia="DengXian" w:hAnsi="Book Antiqua"/>
          <w:kern w:val="2"/>
          <w:lang w:val="en-US" w:eastAsia="zh-CN"/>
        </w:rPr>
        <w:t xml:space="preserve"> 2017; </w:t>
      </w:r>
      <w:r w:rsidRPr="006B4444">
        <w:rPr>
          <w:rFonts w:ascii="Book Antiqua" w:eastAsia="DengXian" w:hAnsi="Book Antiqua"/>
          <w:b/>
          <w:kern w:val="2"/>
          <w:lang w:val="en-US" w:eastAsia="zh-CN"/>
        </w:rPr>
        <w:t>56</w:t>
      </w:r>
      <w:r w:rsidRPr="006B4444">
        <w:rPr>
          <w:rFonts w:ascii="Book Antiqua" w:eastAsia="DengXian" w:hAnsi="Book Antiqua"/>
          <w:kern w:val="2"/>
          <w:lang w:val="en-US" w:eastAsia="zh-CN"/>
        </w:rPr>
        <w:t>: 115-118 [PMID: 28049989 DOI: 10.2169/internalmedicine.56.7468]</w:t>
      </w:r>
    </w:p>
    <w:p w14:paraId="3516B537"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119 </w:t>
      </w:r>
      <w:r w:rsidRPr="006B4444">
        <w:rPr>
          <w:rFonts w:ascii="Book Antiqua" w:eastAsia="DengXian" w:hAnsi="Book Antiqua"/>
          <w:b/>
          <w:kern w:val="2"/>
          <w:lang w:val="en-US" w:eastAsia="zh-CN"/>
        </w:rPr>
        <w:t>Marrone A</w:t>
      </w:r>
      <w:r w:rsidRPr="006B4444">
        <w:rPr>
          <w:rFonts w:ascii="Book Antiqua" w:eastAsia="DengXian" w:hAnsi="Book Antiqua"/>
          <w:kern w:val="2"/>
          <w:lang w:val="en-US" w:eastAsia="zh-CN"/>
        </w:rPr>
        <w:t xml:space="preserve">, Capoluongo N, D'Amore C, Pisaturo M, Esposito M, Guastafierro S, Siniscalchi I, Macera M, Boemio A, Onorato L, Rinaldi L, Minichini C, Adinolfi LE, Sagnelli E, Mastrullo L, Coppola N. Eighteen-month lamivudine prophylaxis on preventing occult hepatitis B virus infection reactivation in patients with haematological malignancies receiving immunosuppression therapy. </w:t>
      </w:r>
      <w:r w:rsidRPr="006B4444">
        <w:rPr>
          <w:rFonts w:ascii="Book Antiqua" w:eastAsia="DengXian" w:hAnsi="Book Antiqua"/>
          <w:i/>
          <w:kern w:val="2"/>
          <w:lang w:val="en-US" w:eastAsia="zh-CN"/>
        </w:rPr>
        <w:t>J Viral Hepat</w:t>
      </w:r>
      <w:r w:rsidRPr="006B4444">
        <w:rPr>
          <w:rFonts w:ascii="Book Antiqua" w:eastAsia="DengXian" w:hAnsi="Book Antiqua"/>
          <w:kern w:val="2"/>
          <w:lang w:val="en-US" w:eastAsia="zh-CN"/>
        </w:rPr>
        <w:t xml:space="preserve"> 2018; </w:t>
      </w:r>
      <w:r w:rsidRPr="006B4444">
        <w:rPr>
          <w:rFonts w:ascii="Book Antiqua" w:eastAsia="DengXian" w:hAnsi="Book Antiqua"/>
          <w:b/>
          <w:kern w:val="2"/>
          <w:lang w:val="en-US" w:eastAsia="zh-CN"/>
        </w:rPr>
        <w:t>25</w:t>
      </w:r>
      <w:r w:rsidRPr="006B4444">
        <w:rPr>
          <w:rFonts w:ascii="Book Antiqua" w:eastAsia="DengXian" w:hAnsi="Book Antiqua"/>
          <w:kern w:val="2"/>
          <w:lang w:val="en-US" w:eastAsia="zh-CN"/>
        </w:rPr>
        <w:t>: 198-204 [PMID: 29029365 DOI: 10.1111/jvh.12802]</w:t>
      </w:r>
    </w:p>
    <w:p w14:paraId="4332E123" w14:textId="77777777" w:rsidR="00075644" w:rsidRPr="006B4444" w:rsidRDefault="00075644" w:rsidP="00075644">
      <w:pPr>
        <w:widowControl w:val="0"/>
        <w:spacing w:line="360" w:lineRule="auto"/>
        <w:jc w:val="both"/>
        <w:rPr>
          <w:rFonts w:ascii="Book Antiqua" w:eastAsia="DengXian" w:hAnsi="Book Antiqua"/>
          <w:kern w:val="2"/>
          <w:lang w:val="en-US" w:eastAsia="zh-CN"/>
        </w:rPr>
      </w:pPr>
      <w:r w:rsidRPr="006B4444">
        <w:rPr>
          <w:rFonts w:ascii="Book Antiqua" w:eastAsia="DengXian" w:hAnsi="Book Antiqua"/>
          <w:kern w:val="2"/>
          <w:lang w:val="en-US" w:eastAsia="zh-CN"/>
        </w:rPr>
        <w:t xml:space="preserve">120 </w:t>
      </w:r>
      <w:r w:rsidRPr="006B4444">
        <w:rPr>
          <w:rFonts w:ascii="Book Antiqua" w:eastAsia="DengXian" w:hAnsi="Book Antiqua"/>
          <w:b/>
          <w:kern w:val="2"/>
          <w:lang w:val="en-US" w:eastAsia="zh-CN"/>
        </w:rPr>
        <w:t>Hashino S</w:t>
      </w:r>
      <w:r w:rsidRPr="006B4444">
        <w:rPr>
          <w:rFonts w:ascii="Book Antiqua" w:eastAsia="DengXian" w:hAnsi="Book Antiqua"/>
          <w:kern w:val="2"/>
          <w:lang w:val="en-US" w:eastAsia="zh-CN"/>
        </w:rPr>
        <w:t xml:space="preserve">, Nozawa A, Izumiyama K, Yonezumi M, Chiba K, Kondo T, Suzuki S, Hige S, Asaka M. Lamivudine treatment for reverse seroconversion of hepatitis B 4 years after allogeneic bone marrow transplantation. </w:t>
      </w:r>
      <w:r w:rsidRPr="006B4444">
        <w:rPr>
          <w:rFonts w:ascii="Book Antiqua" w:eastAsia="DengXian" w:hAnsi="Book Antiqua"/>
          <w:i/>
          <w:kern w:val="2"/>
          <w:lang w:val="en-US" w:eastAsia="zh-CN"/>
        </w:rPr>
        <w:t>Bone Marrow Transplant</w:t>
      </w:r>
      <w:r w:rsidRPr="006B4444">
        <w:rPr>
          <w:rFonts w:ascii="Book Antiqua" w:eastAsia="DengXian" w:hAnsi="Book Antiqua"/>
          <w:kern w:val="2"/>
          <w:lang w:val="en-US" w:eastAsia="zh-CN"/>
        </w:rPr>
        <w:t xml:space="preserve"> 2002; </w:t>
      </w:r>
      <w:r w:rsidRPr="006B4444">
        <w:rPr>
          <w:rFonts w:ascii="Book Antiqua" w:eastAsia="DengXian" w:hAnsi="Book Antiqua"/>
          <w:b/>
          <w:kern w:val="2"/>
          <w:lang w:val="en-US" w:eastAsia="zh-CN"/>
        </w:rPr>
        <w:t>29</w:t>
      </w:r>
      <w:r w:rsidRPr="006B4444">
        <w:rPr>
          <w:rFonts w:ascii="Book Antiqua" w:eastAsia="DengXian" w:hAnsi="Book Antiqua"/>
          <w:kern w:val="2"/>
          <w:lang w:val="en-US" w:eastAsia="zh-CN"/>
        </w:rPr>
        <w:t>: 361-363 [PMID: 11896435 DOI: 10.1038/sj.bmt.1703387]</w:t>
      </w:r>
    </w:p>
    <w:p w14:paraId="007781DE" w14:textId="0C706F3F" w:rsidR="00075644" w:rsidRPr="006B4444" w:rsidRDefault="00075644" w:rsidP="00075644">
      <w:pPr>
        <w:widowControl w:val="0"/>
        <w:adjustRightInd w:val="0"/>
        <w:snapToGrid w:val="0"/>
        <w:spacing w:line="360" w:lineRule="auto"/>
        <w:jc w:val="right"/>
        <w:rPr>
          <w:rFonts w:ascii="Book Antiqua" w:hAnsi="Book Antiqua"/>
          <w:color w:val="000000"/>
          <w:kern w:val="2"/>
          <w:lang w:val="en-US" w:eastAsia="zh-CN"/>
        </w:rPr>
      </w:pPr>
      <w:bookmarkStart w:id="48" w:name="OLE_LINK139"/>
      <w:bookmarkStart w:id="49" w:name="OLE_LINK140"/>
      <w:bookmarkStart w:id="50" w:name="OLE_LINK287"/>
      <w:bookmarkStart w:id="51" w:name="OLE_LINK288"/>
      <w:bookmarkStart w:id="52" w:name="OLE_LINK70"/>
      <w:bookmarkStart w:id="53" w:name="OLE_LINK110"/>
      <w:bookmarkStart w:id="54" w:name="OLE_LINK109"/>
      <w:bookmarkStart w:id="55" w:name="OLE_LINK138"/>
      <w:bookmarkStart w:id="56" w:name="OLE_LINK72"/>
      <w:bookmarkStart w:id="57" w:name="OLE_LINK116"/>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338"/>
      <w:bookmarkStart w:id="74" w:name="OLE_LINK340"/>
      <w:bookmarkStart w:id="75" w:name="OLE_LINK264"/>
      <w:bookmarkStart w:id="76" w:name="OLE_LINK345"/>
      <w:bookmarkStart w:id="77" w:name="OLE_LINK256"/>
      <w:bookmarkStart w:id="78" w:name="OLE_LINK299"/>
      <w:bookmarkStart w:id="79" w:name="OLE_LINK265"/>
      <w:bookmarkStart w:id="80" w:name="OLE_LINK254"/>
      <w:bookmarkStart w:id="81" w:name="OLE_LINK357"/>
      <w:bookmarkStart w:id="82" w:name="OLE_LINK382"/>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r w:rsidRPr="006B4444">
        <w:rPr>
          <w:rFonts w:ascii="Book Antiqua" w:hAnsi="Book Antiqua"/>
          <w:b/>
          <w:bCs/>
          <w:color w:val="000000"/>
          <w:kern w:val="2"/>
          <w:lang w:val="en-US" w:eastAsia="zh-CN"/>
        </w:rPr>
        <w:t>P-Reviewer:</w:t>
      </w:r>
      <w:r w:rsidRPr="006B4444">
        <w:rPr>
          <w:rFonts w:ascii="Book Antiqua" w:hAnsi="Book Antiqua"/>
          <w:bCs/>
          <w:color w:val="000000"/>
          <w:kern w:val="2"/>
          <w:lang w:val="en-US" w:eastAsia="zh-CN"/>
        </w:rPr>
        <w:t xml:space="preserve"> </w:t>
      </w:r>
      <w:r w:rsidRPr="006B4444">
        <w:rPr>
          <w:rFonts w:ascii="Book Antiqua" w:hAnsi="Book Antiqua"/>
          <w:bCs/>
          <w:color w:val="000000"/>
          <w:kern w:val="2"/>
          <w:lang w:eastAsia="zh-CN"/>
        </w:rPr>
        <w:t xml:space="preserve">Mrzljak A, Sporea I, </w:t>
      </w:r>
      <w:proofErr w:type="gramStart"/>
      <w:r w:rsidRPr="006B4444">
        <w:rPr>
          <w:rFonts w:ascii="Book Antiqua" w:hAnsi="Book Antiqua"/>
          <w:bCs/>
          <w:color w:val="000000"/>
          <w:kern w:val="2"/>
          <w:lang w:eastAsia="zh-CN"/>
        </w:rPr>
        <w:t>Tajiri</w:t>
      </w:r>
      <w:proofErr w:type="gramEnd"/>
      <w:r w:rsidRPr="006B4444">
        <w:rPr>
          <w:rFonts w:ascii="Book Antiqua" w:hAnsi="Book Antiqua"/>
          <w:bCs/>
          <w:color w:val="000000"/>
          <w:kern w:val="2"/>
          <w:lang w:eastAsia="zh-CN"/>
        </w:rPr>
        <w:t xml:space="preserve"> K </w:t>
      </w:r>
      <w:r w:rsidRPr="006B4444">
        <w:rPr>
          <w:rFonts w:ascii="Book Antiqua" w:hAnsi="Book Antiqua"/>
          <w:b/>
          <w:bCs/>
          <w:color w:val="000000"/>
          <w:kern w:val="2"/>
          <w:lang w:val="en-US" w:eastAsia="zh-CN"/>
        </w:rPr>
        <w:t>S-Editor:</w:t>
      </w:r>
      <w:r w:rsidRPr="006B4444">
        <w:rPr>
          <w:rFonts w:ascii="Book Antiqua" w:hAnsi="Book Antiqua"/>
          <w:color w:val="000000"/>
          <w:kern w:val="2"/>
          <w:lang w:val="en-US" w:eastAsia="zh-CN"/>
        </w:rPr>
        <w:t xml:space="preserve"> Yan JP</w:t>
      </w:r>
    </w:p>
    <w:p w14:paraId="03BDE264" w14:textId="43DE533B" w:rsidR="00075644" w:rsidRPr="006B4444" w:rsidRDefault="00075644" w:rsidP="006B4444">
      <w:pPr>
        <w:widowControl w:val="0"/>
        <w:wordWrap w:val="0"/>
        <w:adjustRightInd w:val="0"/>
        <w:snapToGrid w:val="0"/>
        <w:spacing w:line="360" w:lineRule="auto"/>
        <w:jc w:val="right"/>
        <w:rPr>
          <w:rFonts w:ascii="Book Antiqua" w:hAnsi="Book Antiqua"/>
          <w:b/>
          <w:bCs/>
          <w:color w:val="000000"/>
          <w:kern w:val="2"/>
          <w:lang w:val="en-US" w:eastAsia="zh-CN"/>
        </w:rPr>
      </w:pPr>
      <w:r w:rsidRPr="006B4444">
        <w:rPr>
          <w:rFonts w:ascii="Book Antiqua" w:hAnsi="Book Antiqua"/>
          <w:b/>
          <w:bCs/>
          <w:color w:val="000000"/>
          <w:kern w:val="2"/>
          <w:lang w:val="en-US" w:eastAsia="zh-CN"/>
        </w:rPr>
        <w:t>L-Editor:</w:t>
      </w:r>
      <w:r w:rsidR="006B4444">
        <w:rPr>
          <w:rFonts w:ascii="Book Antiqua" w:hAnsi="Book Antiqua" w:hint="eastAsia"/>
          <w:b/>
          <w:bCs/>
          <w:color w:val="000000"/>
          <w:kern w:val="2"/>
          <w:lang w:val="en-US" w:eastAsia="zh-CN"/>
        </w:rPr>
        <w:t xml:space="preserve"> </w:t>
      </w:r>
      <w:r w:rsidR="006B4444" w:rsidRPr="006B4444">
        <w:rPr>
          <w:rFonts w:ascii="Book Antiqua" w:hAnsi="Book Antiqua" w:hint="eastAsia"/>
          <w:bCs/>
          <w:color w:val="000000"/>
          <w:kern w:val="2"/>
          <w:lang w:val="en-US" w:eastAsia="zh-CN"/>
        </w:rPr>
        <w:t>A</w:t>
      </w:r>
      <w:r w:rsidRPr="006B4444">
        <w:rPr>
          <w:rFonts w:ascii="Book Antiqua" w:hAnsi="Book Antiqua"/>
          <w:color w:val="000000"/>
          <w:kern w:val="2"/>
          <w:lang w:val="en-US" w:eastAsia="zh-CN"/>
        </w:rPr>
        <w:t xml:space="preserve"> </w:t>
      </w:r>
      <w:r w:rsidRPr="006B4444">
        <w:rPr>
          <w:rFonts w:ascii="Book Antiqua" w:hAnsi="Book Antiqua"/>
          <w:b/>
          <w:bCs/>
          <w:color w:val="000000"/>
          <w:kern w:val="2"/>
          <w:lang w:val="en-US" w:eastAsia="zh-CN"/>
        </w:rPr>
        <w:t>E-Editor:</w:t>
      </w:r>
      <w:r w:rsidR="006B4444">
        <w:rPr>
          <w:rFonts w:ascii="Book Antiqua" w:hAnsi="Book Antiqua" w:hint="eastAsia"/>
          <w:b/>
          <w:bCs/>
          <w:color w:val="000000"/>
          <w:kern w:val="2"/>
          <w:lang w:val="en-US" w:eastAsia="zh-CN"/>
        </w:rPr>
        <w:t xml:space="preserve"> </w:t>
      </w:r>
      <w:r w:rsidR="006B4444" w:rsidRPr="00292968">
        <w:rPr>
          <w:rFonts w:ascii="Book Antiqua" w:hAnsi="Book Antiqua"/>
          <w:bCs/>
          <w:lang w:val="en-US" w:eastAsia="zh-CN"/>
        </w:rPr>
        <w:t>Zhang YL</w:t>
      </w:r>
      <w:bookmarkStart w:id="121" w:name="_GoBack"/>
      <w:bookmarkEnd w:id="121"/>
    </w:p>
    <w:bookmarkEnd w:id="48"/>
    <w:bookmarkEnd w:id="49"/>
    <w:p w14:paraId="58F959FA" w14:textId="6DA08DAF" w:rsidR="00816D6D" w:rsidRPr="006B4444" w:rsidRDefault="00075644" w:rsidP="00F50B4E">
      <w:pPr>
        <w:spacing w:line="360" w:lineRule="auto"/>
        <w:rPr>
          <w:rFonts w:ascii="Book Antiqua" w:hAnsi="Book Antiqua"/>
          <w:b/>
          <w:lang w:val="en-US"/>
        </w:rPr>
      </w:pPr>
      <w:r w:rsidRPr="006B4444">
        <w:rPr>
          <w:rFonts w:ascii="Book Antiqua" w:hAnsi="Book Antiqua" w:cs="宋体"/>
          <w:b/>
          <w:lang w:val="en-US" w:eastAsia="zh-CN"/>
        </w:rPr>
        <w:t xml:space="preserve">Specialty type: </w:t>
      </w:r>
      <w:r w:rsidRPr="006B4444">
        <w:rPr>
          <w:rFonts w:ascii="Book Antiqua" w:eastAsia="微软雅黑" w:hAnsi="Book Antiqua" w:cs="宋体"/>
          <w:lang w:val="en-US" w:eastAsia="zh-CN"/>
        </w:rPr>
        <w:t>Gastroenterology and hepatology</w:t>
      </w:r>
      <w:r w:rsidRPr="006B4444">
        <w:rPr>
          <w:rFonts w:ascii="Book Antiqua" w:hAnsi="Book Antiqua" w:cs="宋体"/>
          <w:lang w:val="en-US" w:eastAsia="zh-CN"/>
        </w:rPr>
        <w:t xml:space="preserve"> </w:t>
      </w:r>
      <w:r w:rsidRPr="006B4444">
        <w:rPr>
          <w:rFonts w:ascii="Book Antiqua" w:hAnsi="Book Antiqua" w:cs="宋体"/>
          <w:lang w:val="en-US" w:eastAsia="zh-CN"/>
        </w:rPr>
        <w:br/>
      </w:r>
      <w:r w:rsidRPr="006B4444">
        <w:rPr>
          <w:rFonts w:ascii="Book Antiqua" w:hAnsi="Book Antiqua" w:cs="宋体"/>
          <w:b/>
          <w:lang w:val="en-US" w:eastAsia="zh-CN"/>
        </w:rPr>
        <w:t xml:space="preserve">Country of origin: </w:t>
      </w:r>
      <w:r w:rsidRPr="006B4444">
        <w:rPr>
          <w:rFonts w:ascii="Book Antiqua" w:hAnsi="Book Antiqua" w:cs="宋体"/>
          <w:lang w:val="en-US" w:eastAsia="zh-CN"/>
        </w:rPr>
        <w:t>Italy</w:t>
      </w:r>
      <w:r w:rsidRPr="006B4444">
        <w:rPr>
          <w:rFonts w:ascii="Book Antiqua" w:hAnsi="Book Antiqua" w:cs="宋体"/>
          <w:lang w:val="en-US" w:eastAsia="zh-CN"/>
        </w:rPr>
        <w:br/>
      </w:r>
      <w:r w:rsidRPr="006B4444">
        <w:rPr>
          <w:rFonts w:ascii="Book Antiqua" w:hAnsi="Book Antiqua" w:cs="宋体"/>
          <w:b/>
          <w:lang w:val="en-US" w:eastAsia="zh-CN"/>
        </w:rPr>
        <w:t>Peer-review report classification</w:t>
      </w:r>
      <w:r w:rsidRPr="006B4444">
        <w:rPr>
          <w:rFonts w:ascii="Book Antiqua" w:hAnsi="Book Antiqua" w:cs="宋体"/>
          <w:lang w:val="en-US" w:eastAsia="zh-CN"/>
        </w:rPr>
        <w:br/>
      </w:r>
      <w:r w:rsidRPr="006B4444">
        <w:rPr>
          <w:rFonts w:ascii="Book Antiqua" w:hAnsi="Book Antiqua" w:cs="宋体"/>
          <w:b/>
          <w:lang w:val="en-US" w:eastAsia="zh-CN"/>
        </w:rPr>
        <w:t xml:space="preserve">Grade A (Excellent): </w:t>
      </w:r>
      <w:r w:rsidRPr="006B4444">
        <w:rPr>
          <w:rFonts w:ascii="Book Antiqua" w:hAnsi="Book Antiqua" w:cs="宋体"/>
          <w:lang w:val="en-US" w:eastAsia="zh-CN"/>
        </w:rPr>
        <w:t>0</w:t>
      </w:r>
      <w:r w:rsidRPr="006B4444">
        <w:rPr>
          <w:rFonts w:ascii="Book Antiqua" w:hAnsi="Book Antiqua" w:cs="宋体"/>
          <w:lang w:val="en-US" w:eastAsia="zh-CN"/>
        </w:rPr>
        <w:br/>
      </w:r>
      <w:r w:rsidRPr="006B4444">
        <w:rPr>
          <w:rFonts w:ascii="Book Antiqua" w:hAnsi="Book Antiqua" w:cs="宋体"/>
          <w:b/>
          <w:lang w:val="en-US" w:eastAsia="zh-CN"/>
        </w:rPr>
        <w:t xml:space="preserve">Grade B (Very good): </w:t>
      </w:r>
      <w:r w:rsidRPr="006B4444">
        <w:rPr>
          <w:rFonts w:ascii="Book Antiqua" w:hAnsi="Book Antiqua" w:cs="宋体"/>
          <w:lang w:val="en-US" w:eastAsia="zh-CN"/>
        </w:rPr>
        <w:t>B, B, B</w:t>
      </w:r>
      <w:r w:rsidRPr="006B4444">
        <w:rPr>
          <w:rFonts w:ascii="Book Antiqua" w:hAnsi="Book Antiqua" w:cs="宋体"/>
          <w:lang w:val="en-US" w:eastAsia="zh-CN"/>
        </w:rPr>
        <w:br/>
      </w:r>
      <w:r w:rsidRPr="006B4444">
        <w:rPr>
          <w:rFonts w:ascii="Book Antiqua" w:hAnsi="Book Antiqua" w:cs="宋体"/>
          <w:b/>
          <w:lang w:val="en-US" w:eastAsia="zh-CN"/>
        </w:rPr>
        <w:t xml:space="preserve">Grade C (Good): </w:t>
      </w:r>
      <w:r w:rsidRPr="006B4444">
        <w:rPr>
          <w:rFonts w:ascii="Book Antiqua" w:hAnsi="Book Antiqua" w:cs="宋体"/>
          <w:lang w:val="en-US" w:eastAsia="zh-CN"/>
        </w:rPr>
        <w:t>0</w:t>
      </w:r>
      <w:r w:rsidRPr="006B4444">
        <w:rPr>
          <w:rFonts w:ascii="Book Antiqua" w:hAnsi="Book Antiqua" w:cs="宋体"/>
          <w:lang w:val="en-US" w:eastAsia="zh-CN"/>
        </w:rPr>
        <w:br/>
      </w:r>
      <w:r w:rsidRPr="006B4444">
        <w:rPr>
          <w:rFonts w:ascii="Book Antiqua" w:hAnsi="Book Antiqua" w:cs="宋体"/>
          <w:b/>
          <w:lang w:val="en-US" w:eastAsia="zh-CN"/>
        </w:rPr>
        <w:t xml:space="preserve">Grade D (Fair): </w:t>
      </w:r>
      <w:r w:rsidRPr="006B4444">
        <w:rPr>
          <w:rFonts w:ascii="Book Antiqua" w:hAnsi="Book Antiqua" w:cs="宋体"/>
          <w:lang w:val="en-US" w:eastAsia="zh-CN"/>
        </w:rPr>
        <w:t>0</w:t>
      </w:r>
      <w:r w:rsidRPr="006B4444">
        <w:rPr>
          <w:rFonts w:ascii="Book Antiqua" w:hAnsi="Book Antiqua" w:cs="宋体"/>
          <w:b/>
          <w:lang w:val="en-US" w:eastAsia="zh-CN"/>
        </w:rPr>
        <w:br/>
        <w:t xml:space="preserve">Grade E (Poor): </w:t>
      </w:r>
      <w:r w:rsidRPr="006B4444">
        <w:rPr>
          <w:rFonts w:ascii="Book Antiqua" w:hAnsi="Book Antiqua" w:cs="宋体"/>
          <w:lang w:val="en-US" w:eastAsia="zh-CN"/>
        </w:rPr>
        <w:t>0</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D173F2" w:rsidRPr="006B4444">
        <w:rPr>
          <w:rFonts w:ascii="Book Antiqua" w:hAnsi="Book Antiqua"/>
          <w:lang w:val="en-US"/>
        </w:rPr>
        <w:br w:type="page"/>
      </w:r>
      <w:r w:rsidR="00816D6D" w:rsidRPr="006B4444">
        <w:rPr>
          <w:rFonts w:ascii="Book Antiqua" w:hAnsi="Book Antiqua"/>
          <w:b/>
          <w:lang w:val="en-US"/>
        </w:rPr>
        <w:lastRenderedPageBreak/>
        <w:t xml:space="preserve">Table </w:t>
      </w:r>
      <w:r w:rsidR="00694119" w:rsidRPr="006B4444">
        <w:rPr>
          <w:rFonts w:ascii="Book Antiqua" w:hAnsi="Book Antiqua"/>
          <w:b/>
          <w:lang w:val="en-US"/>
        </w:rPr>
        <w:t>1</w:t>
      </w:r>
      <w:r w:rsidR="00816D6D" w:rsidRPr="006B4444">
        <w:rPr>
          <w:rFonts w:ascii="Book Antiqua" w:hAnsi="Book Antiqua"/>
          <w:b/>
          <w:lang w:val="en-US"/>
        </w:rPr>
        <w:t xml:space="preserve"> Incidence of </w:t>
      </w:r>
      <w:r w:rsidR="00342541" w:rsidRPr="006B4444">
        <w:rPr>
          <w:rFonts w:ascii="Book Antiqua" w:hAnsi="Book Antiqua"/>
          <w:b/>
          <w:lang w:val="en-GB"/>
        </w:rPr>
        <w:t>hepatitis B virus replication</w:t>
      </w:r>
      <w:r w:rsidR="00816D6D" w:rsidRPr="006B4444">
        <w:rPr>
          <w:rFonts w:ascii="Book Antiqua" w:hAnsi="Book Antiqua"/>
          <w:b/>
          <w:lang w:val="en-US"/>
        </w:rPr>
        <w:t xml:space="preserve"> in hemo-lymphoproliferative diseases and related management, according to </w:t>
      </w:r>
      <w:r w:rsidR="00342541" w:rsidRPr="006B4444">
        <w:rPr>
          <w:rFonts w:ascii="Book Antiqua" w:hAnsi="Book Antiqua"/>
          <w:b/>
          <w:lang w:val="en-GB"/>
        </w:rPr>
        <w:t>hepatitis B virus</w:t>
      </w:r>
      <w:r w:rsidR="00816D6D" w:rsidRPr="006B4444">
        <w:rPr>
          <w:rFonts w:ascii="Book Antiqua" w:hAnsi="Book Antiqua"/>
          <w:b/>
          <w:lang w:val="en-US"/>
        </w:rPr>
        <w:t xml:space="preserve"> markers and type of immunosuppressive regimens</w:t>
      </w:r>
    </w:p>
    <w:tbl>
      <w:tblPr>
        <w:tblW w:w="11199" w:type="dxa"/>
        <w:tblInd w:w="-318" w:type="dxa"/>
        <w:tblLayout w:type="fixed"/>
        <w:tblLook w:val="00A0" w:firstRow="1" w:lastRow="0" w:firstColumn="1" w:lastColumn="0" w:noHBand="0" w:noVBand="0"/>
      </w:tblPr>
      <w:tblGrid>
        <w:gridCol w:w="1866"/>
        <w:gridCol w:w="1920"/>
        <w:gridCol w:w="1885"/>
        <w:gridCol w:w="2268"/>
        <w:gridCol w:w="1134"/>
        <w:gridCol w:w="2126"/>
      </w:tblGrid>
      <w:tr w:rsidR="00816D6D" w:rsidRPr="006B4444" w14:paraId="3C9A3341" w14:textId="77777777" w:rsidTr="00342541">
        <w:tc>
          <w:tcPr>
            <w:tcW w:w="1866" w:type="dxa"/>
            <w:vMerge w:val="restart"/>
            <w:tcBorders>
              <w:top w:val="single" w:sz="4" w:space="0" w:color="auto"/>
            </w:tcBorders>
          </w:tcPr>
          <w:p w14:paraId="4DB2171A" w14:textId="77777777" w:rsidR="00816D6D" w:rsidRPr="006B4444" w:rsidRDefault="00816D6D" w:rsidP="002F5696">
            <w:pPr>
              <w:tabs>
                <w:tab w:val="left" w:pos="1520"/>
              </w:tabs>
              <w:spacing w:line="360" w:lineRule="auto"/>
              <w:jc w:val="both"/>
              <w:rPr>
                <w:rFonts w:ascii="Book Antiqua" w:hAnsi="Book Antiqua"/>
                <w:b/>
              </w:rPr>
            </w:pPr>
            <w:r w:rsidRPr="006B4444">
              <w:rPr>
                <w:rFonts w:ascii="Book Antiqua" w:hAnsi="Book Antiqua"/>
                <w:b/>
              </w:rPr>
              <w:t>Drug classes</w:t>
            </w:r>
          </w:p>
          <w:p w14:paraId="442D1497" w14:textId="77777777" w:rsidR="00816D6D" w:rsidRPr="006B4444" w:rsidRDefault="00816D6D" w:rsidP="002F5696">
            <w:pPr>
              <w:tabs>
                <w:tab w:val="left" w:pos="1520"/>
              </w:tabs>
              <w:spacing w:line="360" w:lineRule="auto"/>
              <w:jc w:val="both"/>
              <w:rPr>
                <w:rFonts w:ascii="Book Antiqua" w:hAnsi="Book Antiqua"/>
                <w:b/>
              </w:rPr>
            </w:pPr>
          </w:p>
        </w:tc>
        <w:tc>
          <w:tcPr>
            <w:tcW w:w="1920" w:type="dxa"/>
            <w:vMerge w:val="restart"/>
            <w:tcBorders>
              <w:top w:val="single" w:sz="4" w:space="0" w:color="auto"/>
            </w:tcBorders>
          </w:tcPr>
          <w:p w14:paraId="107BBE06" w14:textId="77777777" w:rsidR="00816D6D" w:rsidRPr="006B4444" w:rsidRDefault="00816D6D" w:rsidP="002F5696">
            <w:pPr>
              <w:tabs>
                <w:tab w:val="left" w:pos="1520"/>
              </w:tabs>
              <w:spacing w:line="360" w:lineRule="auto"/>
              <w:jc w:val="both"/>
              <w:rPr>
                <w:rFonts w:ascii="Book Antiqua" w:hAnsi="Book Antiqua"/>
                <w:b/>
              </w:rPr>
            </w:pPr>
            <w:r w:rsidRPr="006B4444">
              <w:rPr>
                <w:rFonts w:ascii="Book Antiqua" w:hAnsi="Book Antiqua"/>
                <w:b/>
              </w:rPr>
              <w:t>Drugs</w:t>
            </w:r>
          </w:p>
        </w:tc>
        <w:tc>
          <w:tcPr>
            <w:tcW w:w="4153" w:type="dxa"/>
            <w:gridSpan w:val="2"/>
            <w:tcBorders>
              <w:top w:val="single" w:sz="4" w:space="0" w:color="auto"/>
            </w:tcBorders>
          </w:tcPr>
          <w:p w14:paraId="7635A57F" w14:textId="77777777" w:rsidR="00816D6D" w:rsidRPr="006B4444" w:rsidRDefault="00816D6D" w:rsidP="002F5696">
            <w:pPr>
              <w:tabs>
                <w:tab w:val="left" w:pos="1520"/>
              </w:tabs>
              <w:spacing w:line="360" w:lineRule="auto"/>
              <w:jc w:val="both"/>
              <w:rPr>
                <w:rFonts w:ascii="Book Antiqua" w:hAnsi="Book Antiqua"/>
                <w:b/>
                <w:lang w:val="en-US"/>
              </w:rPr>
            </w:pPr>
            <w:r w:rsidRPr="006B4444">
              <w:rPr>
                <w:rFonts w:ascii="Book Antiqua" w:hAnsi="Book Antiqua"/>
                <w:b/>
                <w:lang w:val="en-US"/>
              </w:rPr>
              <w:t>Incidence of HBVr in the absence of HBV prophylaxis</w:t>
            </w:r>
          </w:p>
        </w:tc>
        <w:tc>
          <w:tcPr>
            <w:tcW w:w="3260" w:type="dxa"/>
            <w:gridSpan w:val="2"/>
            <w:tcBorders>
              <w:top w:val="single" w:sz="4" w:space="0" w:color="auto"/>
            </w:tcBorders>
          </w:tcPr>
          <w:p w14:paraId="031AF79F" w14:textId="77777777" w:rsidR="00816D6D" w:rsidRPr="006B4444" w:rsidRDefault="00816D6D" w:rsidP="002F5696">
            <w:pPr>
              <w:tabs>
                <w:tab w:val="left" w:pos="1520"/>
              </w:tabs>
              <w:spacing w:line="360" w:lineRule="auto"/>
              <w:jc w:val="both"/>
              <w:rPr>
                <w:rFonts w:ascii="Book Antiqua" w:hAnsi="Book Antiqua"/>
                <w:b/>
              </w:rPr>
            </w:pPr>
            <w:r w:rsidRPr="006B4444">
              <w:rPr>
                <w:rFonts w:ascii="Book Antiqua" w:hAnsi="Book Antiqua"/>
                <w:b/>
              </w:rPr>
              <w:t>Management of HBVr</w:t>
            </w:r>
          </w:p>
        </w:tc>
      </w:tr>
      <w:tr w:rsidR="00816D6D" w:rsidRPr="006B4444" w14:paraId="517E784A" w14:textId="77777777" w:rsidTr="00342541">
        <w:tc>
          <w:tcPr>
            <w:tcW w:w="1866" w:type="dxa"/>
            <w:vMerge/>
            <w:tcBorders>
              <w:bottom w:val="single" w:sz="4" w:space="0" w:color="auto"/>
            </w:tcBorders>
          </w:tcPr>
          <w:p w14:paraId="02AD09B4" w14:textId="77777777" w:rsidR="00816D6D" w:rsidRPr="006B4444" w:rsidRDefault="00816D6D" w:rsidP="002F5696">
            <w:pPr>
              <w:tabs>
                <w:tab w:val="left" w:pos="1520"/>
              </w:tabs>
              <w:spacing w:line="360" w:lineRule="auto"/>
              <w:jc w:val="both"/>
              <w:rPr>
                <w:rFonts w:ascii="Book Antiqua" w:hAnsi="Book Antiqua"/>
              </w:rPr>
            </w:pPr>
          </w:p>
        </w:tc>
        <w:tc>
          <w:tcPr>
            <w:tcW w:w="1920" w:type="dxa"/>
            <w:vMerge/>
            <w:tcBorders>
              <w:bottom w:val="single" w:sz="4" w:space="0" w:color="auto"/>
            </w:tcBorders>
          </w:tcPr>
          <w:p w14:paraId="4359F4A4" w14:textId="77777777" w:rsidR="00816D6D" w:rsidRPr="006B4444" w:rsidRDefault="00816D6D" w:rsidP="002F5696">
            <w:pPr>
              <w:tabs>
                <w:tab w:val="left" w:pos="1520"/>
              </w:tabs>
              <w:spacing w:line="360" w:lineRule="auto"/>
              <w:jc w:val="both"/>
              <w:rPr>
                <w:rFonts w:ascii="Book Antiqua" w:hAnsi="Book Antiqua"/>
              </w:rPr>
            </w:pPr>
          </w:p>
        </w:tc>
        <w:tc>
          <w:tcPr>
            <w:tcW w:w="1885" w:type="dxa"/>
            <w:tcBorders>
              <w:bottom w:val="single" w:sz="4" w:space="0" w:color="auto"/>
            </w:tcBorders>
          </w:tcPr>
          <w:p w14:paraId="6D0AFE89" w14:textId="77777777" w:rsidR="00816D6D" w:rsidRPr="006B4444" w:rsidRDefault="00816D6D" w:rsidP="002F5696">
            <w:pPr>
              <w:tabs>
                <w:tab w:val="left" w:pos="1520"/>
              </w:tabs>
              <w:spacing w:line="360" w:lineRule="auto"/>
              <w:jc w:val="both"/>
              <w:rPr>
                <w:rFonts w:ascii="Book Antiqua" w:hAnsi="Book Antiqua"/>
                <w:b/>
              </w:rPr>
            </w:pPr>
            <w:r w:rsidRPr="006B4444">
              <w:rPr>
                <w:rFonts w:ascii="Book Antiqua" w:hAnsi="Book Antiqua"/>
                <w:b/>
              </w:rPr>
              <w:t>HBsAg-positive (%)</w:t>
            </w:r>
          </w:p>
        </w:tc>
        <w:tc>
          <w:tcPr>
            <w:tcW w:w="2268" w:type="dxa"/>
            <w:tcBorders>
              <w:bottom w:val="single" w:sz="4" w:space="0" w:color="auto"/>
            </w:tcBorders>
          </w:tcPr>
          <w:p w14:paraId="59D3BF23" w14:textId="77777777" w:rsidR="00816D6D" w:rsidRPr="006B4444" w:rsidRDefault="00816D6D" w:rsidP="002F5696">
            <w:pPr>
              <w:tabs>
                <w:tab w:val="left" w:pos="1520"/>
              </w:tabs>
              <w:spacing w:line="360" w:lineRule="auto"/>
              <w:jc w:val="both"/>
              <w:rPr>
                <w:rFonts w:ascii="Book Antiqua" w:hAnsi="Book Antiqua"/>
                <w:b/>
              </w:rPr>
            </w:pPr>
            <w:r w:rsidRPr="006B4444">
              <w:rPr>
                <w:rFonts w:ascii="Book Antiqua" w:hAnsi="Book Antiqua"/>
                <w:b/>
              </w:rPr>
              <w:t>HBsAg-negative/</w:t>
            </w:r>
          </w:p>
          <w:p w14:paraId="2B5874D0" w14:textId="77777777" w:rsidR="00816D6D" w:rsidRPr="006B4444" w:rsidRDefault="00816D6D" w:rsidP="002F5696">
            <w:pPr>
              <w:tabs>
                <w:tab w:val="left" w:pos="1520"/>
              </w:tabs>
              <w:spacing w:line="360" w:lineRule="auto"/>
              <w:jc w:val="both"/>
              <w:rPr>
                <w:rFonts w:ascii="Book Antiqua" w:hAnsi="Book Antiqua"/>
                <w:b/>
              </w:rPr>
            </w:pPr>
            <w:bookmarkStart w:id="122" w:name="OLE_LINK24"/>
            <w:r w:rsidRPr="006B4444">
              <w:rPr>
                <w:rFonts w:ascii="Book Antiqua" w:hAnsi="Book Antiqua"/>
                <w:b/>
              </w:rPr>
              <w:t>HBcAb</w:t>
            </w:r>
            <w:bookmarkEnd w:id="122"/>
            <w:r w:rsidRPr="006B4444">
              <w:rPr>
                <w:rFonts w:ascii="Book Antiqua" w:hAnsi="Book Antiqua"/>
                <w:b/>
              </w:rPr>
              <w:t>-positive (%)</w:t>
            </w:r>
          </w:p>
        </w:tc>
        <w:tc>
          <w:tcPr>
            <w:tcW w:w="1134" w:type="dxa"/>
            <w:tcBorders>
              <w:bottom w:val="single" w:sz="4" w:space="0" w:color="auto"/>
            </w:tcBorders>
          </w:tcPr>
          <w:p w14:paraId="7B8613E5" w14:textId="77777777" w:rsidR="00816D6D" w:rsidRPr="006B4444" w:rsidRDefault="00816D6D" w:rsidP="002F5696">
            <w:pPr>
              <w:tabs>
                <w:tab w:val="left" w:pos="1520"/>
              </w:tabs>
              <w:spacing w:line="360" w:lineRule="auto"/>
              <w:jc w:val="both"/>
              <w:rPr>
                <w:rFonts w:ascii="Book Antiqua" w:hAnsi="Book Antiqua"/>
                <w:b/>
              </w:rPr>
            </w:pPr>
            <w:r w:rsidRPr="006B4444">
              <w:rPr>
                <w:rFonts w:ascii="Book Antiqua" w:hAnsi="Book Antiqua"/>
                <w:b/>
              </w:rPr>
              <w:t>HBsAg- positive</w:t>
            </w:r>
          </w:p>
        </w:tc>
        <w:tc>
          <w:tcPr>
            <w:tcW w:w="2126" w:type="dxa"/>
            <w:tcBorders>
              <w:bottom w:val="single" w:sz="4" w:space="0" w:color="auto"/>
            </w:tcBorders>
          </w:tcPr>
          <w:p w14:paraId="61B62B34" w14:textId="77777777" w:rsidR="00816D6D" w:rsidRPr="006B4444" w:rsidRDefault="00816D6D" w:rsidP="002F5696">
            <w:pPr>
              <w:tabs>
                <w:tab w:val="left" w:pos="1520"/>
              </w:tabs>
              <w:spacing w:line="360" w:lineRule="auto"/>
              <w:jc w:val="both"/>
              <w:rPr>
                <w:rFonts w:ascii="Book Antiqua" w:hAnsi="Book Antiqua"/>
                <w:b/>
              </w:rPr>
            </w:pPr>
            <w:r w:rsidRPr="006B4444">
              <w:rPr>
                <w:rFonts w:ascii="Book Antiqua" w:hAnsi="Book Antiqua"/>
                <w:b/>
              </w:rPr>
              <w:t>HBsAg-negative</w:t>
            </w:r>
          </w:p>
          <w:p w14:paraId="24A46334" w14:textId="77777777" w:rsidR="00816D6D" w:rsidRPr="006B4444" w:rsidRDefault="00816D6D" w:rsidP="002F5696">
            <w:pPr>
              <w:tabs>
                <w:tab w:val="left" w:pos="1520"/>
              </w:tabs>
              <w:spacing w:line="360" w:lineRule="auto"/>
              <w:jc w:val="both"/>
              <w:rPr>
                <w:rFonts w:ascii="Book Antiqua" w:hAnsi="Book Antiqua"/>
                <w:b/>
              </w:rPr>
            </w:pPr>
            <w:r w:rsidRPr="006B4444">
              <w:rPr>
                <w:rFonts w:ascii="Book Antiqua" w:hAnsi="Book Antiqua"/>
                <w:b/>
              </w:rPr>
              <w:t xml:space="preserve">/HBcAb-positive </w:t>
            </w:r>
          </w:p>
        </w:tc>
      </w:tr>
      <w:tr w:rsidR="00816D6D" w:rsidRPr="006B4444" w14:paraId="3C8C7866" w14:textId="77777777" w:rsidTr="00342541">
        <w:tc>
          <w:tcPr>
            <w:tcW w:w="1866" w:type="dxa"/>
            <w:tcBorders>
              <w:top w:val="single" w:sz="4" w:space="0" w:color="auto"/>
            </w:tcBorders>
          </w:tcPr>
          <w:p w14:paraId="7BD983C6" w14:textId="77777777" w:rsidR="00816D6D" w:rsidRPr="006B4444" w:rsidRDefault="00816D6D" w:rsidP="002F5696">
            <w:pPr>
              <w:spacing w:line="360" w:lineRule="auto"/>
              <w:jc w:val="both"/>
              <w:rPr>
                <w:rFonts w:ascii="Book Antiqua" w:hAnsi="Book Antiqua"/>
                <w:b/>
              </w:rPr>
            </w:pPr>
            <w:r w:rsidRPr="006B4444">
              <w:rPr>
                <w:rFonts w:ascii="Book Antiqua" w:hAnsi="Book Antiqua"/>
                <w:b/>
              </w:rPr>
              <w:t>Monoclonal antibody</w:t>
            </w:r>
          </w:p>
        </w:tc>
        <w:tc>
          <w:tcPr>
            <w:tcW w:w="1920" w:type="dxa"/>
            <w:tcBorders>
              <w:top w:val="single" w:sz="4" w:space="0" w:color="auto"/>
            </w:tcBorders>
          </w:tcPr>
          <w:p w14:paraId="62A13B6A" w14:textId="77777777" w:rsidR="00816D6D" w:rsidRPr="006B4444" w:rsidRDefault="00816D6D" w:rsidP="002F5696">
            <w:pPr>
              <w:spacing w:line="360" w:lineRule="auto"/>
              <w:jc w:val="both"/>
              <w:rPr>
                <w:rFonts w:ascii="Book Antiqua" w:hAnsi="Book Antiqua"/>
              </w:rPr>
            </w:pPr>
            <w:r w:rsidRPr="006B4444">
              <w:rPr>
                <w:rFonts w:ascii="Book Antiqua" w:hAnsi="Book Antiqua"/>
              </w:rPr>
              <w:t>Rituximab</w:t>
            </w:r>
          </w:p>
          <w:p w14:paraId="5E712E58" w14:textId="77777777" w:rsidR="00816D6D" w:rsidRPr="006B4444" w:rsidRDefault="00816D6D" w:rsidP="002F5696">
            <w:pPr>
              <w:spacing w:line="360" w:lineRule="auto"/>
              <w:jc w:val="both"/>
              <w:rPr>
                <w:rFonts w:ascii="Book Antiqua" w:hAnsi="Book Antiqua"/>
              </w:rPr>
            </w:pPr>
            <w:r w:rsidRPr="006B4444">
              <w:rPr>
                <w:rFonts w:ascii="Book Antiqua" w:hAnsi="Book Antiqua"/>
              </w:rPr>
              <w:t>Ofatumumab</w:t>
            </w:r>
          </w:p>
          <w:p w14:paraId="370BC1D5" w14:textId="77777777" w:rsidR="00816D6D" w:rsidRPr="006B4444" w:rsidRDefault="00816D6D" w:rsidP="002F5696">
            <w:pPr>
              <w:spacing w:line="360" w:lineRule="auto"/>
              <w:jc w:val="both"/>
              <w:rPr>
                <w:rFonts w:ascii="Book Antiqua" w:hAnsi="Book Antiqua"/>
              </w:rPr>
            </w:pPr>
            <w:r w:rsidRPr="006B4444">
              <w:rPr>
                <w:rFonts w:ascii="Book Antiqua" w:hAnsi="Book Antiqua"/>
              </w:rPr>
              <w:t>Obinutuzumab</w:t>
            </w:r>
          </w:p>
          <w:p w14:paraId="5917D661" w14:textId="77777777" w:rsidR="00816D6D" w:rsidRPr="006B4444" w:rsidRDefault="00816D6D" w:rsidP="002F5696">
            <w:pPr>
              <w:spacing w:line="360" w:lineRule="auto"/>
              <w:jc w:val="both"/>
              <w:rPr>
                <w:rFonts w:ascii="Book Antiqua" w:hAnsi="Book Antiqua"/>
              </w:rPr>
            </w:pPr>
            <w:r w:rsidRPr="006B4444">
              <w:rPr>
                <w:rFonts w:ascii="Book Antiqua" w:hAnsi="Book Antiqua"/>
              </w:rPr>
              <w:t>Alemtuzumab</w:t>
            </w:r>
          </w:p>
        </w:tc>
        <w:tc>
          <w:tcPr>
            <w:tcW w:w="1885" w:type="dxa"/>
            <w:tcBorders>
              <w:top w:val="single" w:sz="4" w:space="0" w:color="auto"/>
            </w:tcBorders>
          </w:tcPr>
          <w:p w14:paraId="02882474" w14:textId="77777777" w:rsidR="00816D6D" w:rsidRPr="006B4444" w:rsidRDefault="00816D6D" w:rsidP="002F5696">
            <w:pPr>
              <w:spacing w:line="360" w:lineRule="auto"/>
              <w:jc w:val="both"/>
              <w:rPr>
                <w:rFonts w:ascii="Book Antiqua" w:hAnsi="Book Antiqua"/>
              </w:rPr>
            </w:pPr>
            <w:r w:rsidRPr="006B4444">
              <w:rPr>
                <w:rFonts w:ascii="Book Antiqua" w:hAnsi="Book Antiqua"/>
              </w:rPr>
              <w:t>High: 30-60</w:t>
            </w:r>
          </w:p>
        </w:tc>
        <w:tc>
          <w:tcPr>
            <w:tcW w:w="2268" w:type="dxa"/>
            <w:tcBorders>
              <w:top w:val="single" w:sz="4" w:space="0" w:color="auto"/>
            </w:tcBorders>
          </w:tcPr>
          <w:p w14:paraId="3BEB281E" w14:textId="1FC70CDD" w:rsidR="00816D6D" w:rsidRPr="006B4444" w:rsidRDefault="00816D6D" w:rsidP="002F5696">
            <w:pPr>
              <w:spacing w:line="360" w:lineRule="auto"/>
              <w:jc w:val="both"/>
              <w:rPr>
                <w:rFonts w:ascii="Book Antiqua" w:hAnsi="Book Antiqua"/>
              </w:rPr>
            </w:pPr>
            <w:r w:rsidRPr="006B4444">
              <w:rPr>
                <w:rFonts w:ascii="Book Antiqua" w:hAnsi="Book Antiqua"/>
              </w:rPr>
              <w:t>High: &gt;</w:t>
            </w:r>
            <w:r w:rsidR="00342541" w:rsidRPr="006B4444">
              <w:rPr>
                <w:rFonts w:ascii="Book Antiqua" w:hAnsi="Book Antiqua"/>
              </w:rPr>
              <w:t xml:space="preserve"> </w:t>
            </w:r>
            <w:r w:rsidRPr="006B4444">
              <w:rPr>
                <w:rFonts w:ascii="Book Antiqua" w:hAnsi="Book Antiqua"/>
              </w:rPr>
              <w:t>10</w:t>
            </w:r>
          </w:p>
        </w:tc>
        <w:tc>
          <w:tcPr>
            <w:tcW w:w="1134" w:type="dxa"/>
            <w:tcBorders>
              <w:top w:val="single" w:sz="4" w:space="0" w:color="auto"/>
            </w:tcBorders>
          </w:tcPr>
          <w:p w14:paraId="476EE6A9" w14:textId="77777777" w:rsidR="00816D6D" w:rsidRPr="006B4444" w:rsidRDefault="00816D6D" w:rsidP="002F5696">
            <w:pPr>
              <w:spacing w:line="360" w:lineRule="auto"/>
              <w:jc w:val="both"/>
              <w:rPr>
                <w:rFonts w:ascii="Book Antiqua" w:hAnsi="Book Antiqua"/>
              </w:rPr>
            </w:pPr>
            <w:r w:rsidRPr="006B4444">
              <w:rPr>
                <w:rFonts w:ascii="Book Antiqua" w:hAnsi="Book Antiqua"/>
              </w:rPr>
              <w:t>ETV</w:t>
            </w:r>
          </w:p>
          <w:p w14:paraId="0493B11F" w14:textId="77777777" w:rsidR="00816D6D" w:rsidRPr="006B4444" w:rsidRDefault="00816D6D" w:rsidP="002F5696">
            <w:pPr>
              <w:spacing w:line="360" w:lineRule="auto"/>
              <w:jc w:val="both"/>
              <w:rPr>
                <w:rFonts w:ascii="Book Antiqua" w:hAnsi="Book Antiqua"/>
              </w:rPr>
            </w:pPr>
            <w:r w:rsidRPr="006B4444">
              <w:rPr>
                <w:rFonts w:ascii="Book Antiqua" w:hAnsi="Book Antiqua"/>
              </w:rPr>
              <w:t>TDF</w:t>
            </w:r>
          </w:p>
          <w:p w14:paraId="30FEAFEE" w14:textId="77777777" w:rsidR="00816D6D" w:rsidRPr="006B4444" w:rsidRDefault="00816D6D" w:rsidP="002F5696">
            <w:pPr>
              <w:spacing w:line="360" w:lineRule="auto"/>
              <w:jc w:val="both"/>
              <w:rPr>
                <w:rFonts w:ascii="Book Antiqua" w:hAnsi="Book Antiqua"/>
              </w:rPr>
            </w:pPr>
            <w:r w:rsidRPr="006B4444">
              <w:rPr>
                <w:rFonts w:ascii="Book Antiqua" w:hAnsi="Book Antiqua"/>
              </w:rPr>
              <w:t>TAF</w:t>
            </w:r>
          </w:p>
        </w:tc>
        <w:tc>
          <w:tcPr>
            <w:tcW w:w="2126" w:type="dxa"/>
            <w:tcBorders>
              <w:top w:val="single" w:sz="4" w:space="0" w:color="auto"/>
            </w:tcBorders>
          </w:tcPr>
          <w:p w14:paraId="35B003BF" w14:textId="77777777" w:rsidR="00816D6D" w:rsidRPr="006B4444" w:rsidRDefault="00816D6D" w:rsidP="002F5696">
            <w:pPr>
              <w:spacing w:line="360" w:lineRule="auto"/>
              <w:jc w:val="both"/>
              <w:rPr>
                <w:rFonts w:ascii="Book Antiqua" w:hAnsi="Book Antiqua"/>
              </w:rPr>
            </w:pPr>
            <w:r w:rsidRPr="006B4444">
              <w:rPr>
                <w:rFonts w:ascii="Book Antiqua" w:hAnsi="Book Antiqua"/>
              </w:rPr>
              <w:t>LMV</w:t>
            </w:r>
          </w:p>
        </w:tc>
      </w:tr>
      <w:tr w:rsidR="00816D6D" w:rsidRPr="006B4444" w14:paraId="4F58FF9F" w14:textId="77777777" w:rsidTr="00342541">
        <w:tc>
          <w:tcPr>
            <w:tcW w:w="1866" w:type="dxa"/>
          </w:tcPr>
          <w:p w14:paraId="73F3BBDD" w14:textId="77777777" w:rsidR="00816D6D" w:rsidRPr="006B4444" w:rsidRDefault="00816D6D" w:rsidP="002F5696">
            <w:pPr>
              <w:spacing w:line="360" w:lineRule="auto"/>
              <w:jc w:val="both"/>
              <w:rPr>
                <w:rFonts w:ascii="Book Antiqua" w:hAnsi="Book Antiqua"/>
                <w:b/>
              </w:rPr>
            </w:pPr>
            <w:r w:rsidRPr="006B4444">
              <w:rPr>
                <w:rFonts w:ascii="Book Antiqua" w:hAnsi="Book Antiqua"/>
                <w:b/>
              </w:rPr>
              <w:t>Anthracycline chemotherapy</w:t>
            </w:r>
          </w:p>
          <w:p w14:paraId="687B132E" w14:textId="77777777" w:rsidR="00816D6D" w:rsidRPr="006B4444" w:rsidRDefault="00816D6D" w:rsidP="002F5696">
            <w:pPr>
              <w:spacing w:line="360" w:lineRule="auto"/>
              <w:jc w:val="both"/>
              <w:rPr>
                <w:rFonts w:ascii="Book Antiqua" w:hAnsi="Book Antiqua"/>
                <w:b/>
              </w:rPr>
            </w:pPr>
          </w:p>
        </w:tc>
        <w:tc>
          <w:tcPr>
            <w:tcW w:w="1920" w:type="dxa"/>
          </w:tcPr>
          <w:p w14:paraId="549BBC54" w14:textId="77777777" w:rsidR="00816D6D" w:rsidRPr="006B4444" w:rsidRDefault="00816D6D" w:rsidP="002F5696">
            <w:pPr>
              <w:spacing w:line="360" w:lineRule="auto"/>
              <w:jc w:val="both"/>
              <w:rPr>
                <w:rFonts w:ascii="Book Antiqua" w:hAnsi="Book Antiqua"/>
              </w:rPr>
            </w:pPr>
            <w:r w:rsidRPr="006B4444">
              <w:rPr>
                <w:rFonts w:ascii="Book Antiqua" w:hAnsi="Book Antiqua"/>
              </w:rPr>
              <w:t>Doxorubicin</w:t>
            </w:r>
          </w:p>
          <w:p w14:paraId="7594BC94" w14:textId="77777777" w:rsidR="00816D6D" w:rsidRPr="006B4444" w:rsidRDefault="00816D6D" w:rsidP="002F5696">
            <w:pPr>
              <w:spacing w:line="360" w:lineRule="auto"/>
              <w:jc w:val="both"/>
              <w:rPr>
                <w:rFonts w:ascii="Book Antiqua" w:hAnsi="Book Antiqua"/>
              </w:rPr>
            </w:pPr>
            <w:r w:rsidRPr="006B4444">
              <w:rPr>
                <w:rFonts w:ascii="Book Antiqua" w:hAnsi="Book Antiqua"/>
              </w:rPr>
              <w:t>Epirubicin Daunorubicin</w:t>
            </w:r>
          </w:p>
        </w:tc>
        <w:tc>
          <w:tcPr>
            <w:tcW w:w="1885" w:type="dxa"/>
          </w:tcPr>
          <w:p w14:paraId="66136057" w14:textId="77777777" w:rsidR="00816D6D" w:rsidRPr="006B4444" w:rsidRDefault="00816D6D" w:rsidP="002F5696">
            <w:pPr>
              <w:spacing w:line="360" w:lineRule="auto"/>
              <w:jc w:val="both"/>
              <w:rPr>
                <w:rFonts w:ascii="Book Antiqua" w:hAnsi="Book Antiqua"/>
              </w:rPr>
            </w:pPr>
            <w:r w:rsidRPr="006B4444">
              <w:rPr>
                <w:rFonts w:ascii="Book Antiqua" w:hAnsi="Book Antiqua"/>
              </w:rPr>
              <w:t>High: 15-30</w:t>
            </w:r>
          </w:p>
        </w:tc>
        <w:tc>
          <w:tcPr>
            <w:tcW w:w="2268" w:type="dxa"/>
          </w:tcPr>
          <w:p w14:paraId="1063DD13" w14:textId="77777777" w:rsidR="00816D6D" w:rsidRPr="006B4444" w:rsidRDefault="00816D6D" w:rsidP="002F5696">
            <w:pPr>
              <w:spacing w:line="360" w:lineRule="auto"/>
              <w:jc w:val="both"/>
              <w:rPr>
                <w:rFonts w:ascii="Book Antiqua" w:hAnsi="Book Antiqua"/>
              </w:rPr>
            </w:pPr>
            <w:r w:rsidRPr="006B4444">
              <w:rPr>
                <w:rFonts w:ascii="Book Antiqua" w:hAnsi="Book Antiqua"/>
              </w:rPr>
              <w:t>Moderate: 1-10</w:t>
            </w:r>
          </w:p>
        </w:tc>
        <w:tc>
          <w:tcPr>
            <w:tcW w:w="1134" w:type="dxa"/>
          </w:tcPr>
          <w:p w14:paraId="6224D1DB" w14:textId="77777777" w:rsidR="00816D6D" w:rsidRPr="006B4444" w:rsidRDefault="00816D6D" w:rsidP="002F5696">
            <w:pPr>
              <w:spacing w:line="360" w:lineRule="auto"/>
              <w:jc w:val="both"/>
              <w:rPr>
                <w:rFonts w:ascii="Book Antiqua" w:hAnsi="Book Antiqua"/>
              </w:rPr>
            </w:pPr>
            <w:r w:rsidRPr="006B4444">
              <w:rPr>
                <w:rFonts w:ascii="Book Antiqua" w:hAnsi="Book Antiqua"/>
              </w:rPr>
              <w:t>ETV</w:t>
            </w:r>
          </w:p>
          <w:p w14:paraId="3993A1FD" w14:textId="77777777" w:rsidR="00816D6D" w:rsidRPr="006B4444" w:rsidRDefault="00816D6D" w:rsidP="002F5696">
            <w:pPr>
              <w:spacing w:line="360" w:lineRule="auto"/>
              <w:jc w:val="both"/>
              <w:rPr>
                <w:rFonts w:ascii="Book Antiqua" w:hAnsi="Book Antiqua"/>
              </w:rPr>
            </w:pPr>
            <w:r w:rsidRPr="006B4444">
              <w:rPr>
                <w:rFonts w:ascii="Book Antiqua" w:hAnsi="Book Antiqua"/>
              </w:rPr>
              <w:t>TDF</w:t>
            </w:r>
          </w:p>
          <w:p w14:paraId="6FBA422C" w14:textId="77777777" w:rsidR="00816D6D" w:rsidRPr="006B4444" w:rsidRDefault="00816D6D" w:rsidP="002F5696">
            <w:pPr>
              <w:spacing w:line="360" w:lineRule="auto"/>
              <w:jc w:val="both"/>
              <w:rPr>
                <w:rFonts w:ascii="Book Antiqua" w:hAnsi="Book Antiqua"/>
              </w:rPr>
            </w:pPr>
            <w:r w:rsidRPr="006B4444">
              <w:rPr>
                <w:rFonts w:ascii="Book Antiqua" w:hAnsi="Book Antiqua"/>
              </w:rPr>
              <w:t>TAF</w:t>
            </w:r>
          </w:p>
        </w:tc>
        <w:tc>
          <w:tcPr>
            <w:tcW w:w="2126" w:type="dxa"/>
          </w:tcPr>
          <w:p w14:paraId="578974F7" w14:textId="77777777" w:rsidR="00816D6D" w:rsidRPr="006B4444" w:rsidRDefault="00816D6D" w:rsidP="002F5696">
            <w:pPr>
              <w:spacing w:line="360" w:lineRule="auto"/>
              <w:jc w:val="both"/>
              <w:rPr>
                <w:rFonts w:ascii="Book Antiqua" w:hAnsi="Book Antiqua"/>
              </w:rPr>
            </w:pPr>
            <w:r w:rsidRPr="006B4444">
              <w:rPr>
                <w:rFonts w:ascii="Book Antiqua" w:hAnsi="Book Antiqua"/>
              </w:rPr>
              <w:t>LMV</w:t>
            </w:r>
          </w:p>
        </w:tc>
      </w:tr>
      <w:tr w:rsidR="00816D6D" w:rsidRPr="006B4444" w14:paraId="618145FC" w14:textId="77777777" w:rsidTr="00342541">
        <w:tc>
          <w:tcPr>
            <w:tcW w:w="1866" w:type="dxa"/>
          </w:tcPr>
          <w:p w14:paraId="24535313" w14:textId="77777777" w:rsidR="00816D6D" w:rsidRPr="006B4444" w:rsidRDefault="00816D6D" w:rsidP="002F5696">
            <w:pPr>
              <w:spacing w:line="360" w:lineRule="auto"/>
              <w:jc w:val="both"/>
              <w:rPr>
                <w:rFonts w:ascii="Book Antiqua" w:hAnsi="Book Antiqua"/>
                <w:b/>
              </w:rPr>
            </w:pPr>
            <w:r w:rsidRPr="006B4444">
              <w:rPr>
                <w:rFonts w:ascii="Book Antiqua" w:hAnsi="Book Antiqua"/>
                <w:b/>
              </w:rPr>
              <w:t>Tyrosine kinase inhibitors</w:t>
            </w:r>
          </w:p>
        </w:tc>
        <w:tc>
          <w:tcPr>
            <w:tcW w:w="1920" w:type="dxa"/>
          </w:tcPr>
          <w:p w14:paraId="2BA6D15A" w14:textId="77777777" w:rsidR="00816D6D" w:rsidRPr="006B4444" w:rsidRDefault="00816D6D" w:rsidP="002F5696">
            <w:pPr>
              <w:spacing w:line="360" w:lineRule="auto"/>
              <w:jc w:val="both"/>
              <w:rPr>
                <w:rFonts w:ascii="Book Antiqua" w:hAnsi="Book Antiqua"/>
              </w:rPr>
            </w:pPr>
            <w:r w:rsidRPr="006B4444">
              <w:rPr>
                <w:rFonts w:ascii="Book Antiqua" w:hAnsi="Book Antiqua"/>
              </w:rPr>
              <w:t>Imatinib, Nilotinib</w:t>
            </w:r>
          </w:p>
          <w:p w14:paraId="39BA2E2E" w14:textId="77777777" w:rsidR="00816D6D" w:rsidRPr="006B4444" w:rsidRDefault="00816D6D" w:rsidP="002F5696">
            <w:pPr>
              <w:spacing w:line="360" w:lineRule="auto"/>
              <w:jc w:val="both"/>
              <w:rPr>
                <w:rFonts w:ascii="Book Antiqua" w:hAnsi="Book Antiqua"/>
              </w:rPr>
            </w:pPr>
            <w:r w:rsidRPr="006B4444">
              <w:rPr>
                <w:rFonts w:ascii="Book Antiqua" w:hAnsi="Book Antiqua"/>
              </w:rPr>
              <w:t>Dasatinib</w:t>
            </w:r>
          </w:p>
          <w:p w14:paraId="368A754D" w14:textId="77777777" w:rsidR="00816D6D" w:rsidRPr="006B4444" w:rsidRDefault="00816D6D" w:rsidP="002F5696">
            <w:pPr>
              <w:spacing w:line="360" w:lineRule="auto"/>
              <w:jc w:val="both"/>
              <w:rPr>
                <w:rFonts w:ascii="Book Antiqua" w:hAnsi="Book Antiqua"/>
              </w:rPr>
            </w:pPr>
            <w:r w:rsidRPr="006B4444">
              <w:rPr>
                <w:rFonts w:ascii="Book Antiqua" w:hAnsi="Book Antiqua"/>
              </w:rPr>
              <w:t>Bosutinib</w:t>
            </w:r>
          </w:p>
          <w:p w14:paraId="78C2D599" w14:textId="77777777" w:rsidR="00816D6D" w:rsidRPr="006B4444" w:rsidRDefault="00816D6D" w:rsidP="002F5696">
            <w:pPr>
              <w:spacing w:line="360" w:lineRule="auto"/>
              <w:jc w:val="both"/>
              <w:rPr>
                <w:rFonts w:ascii="Book Antiqua" w:hAnsi="Book Antiqua"/>
              </w:rPr>
            </w:pPr>
            <w:r w:rsidRPr="006B4444">
              <w:rPr>
                <w:rFonts w:ascii="Book Antiqua" w:hAnsi="Book Antiqua"/>
              </w:rPr>
              <w:t>Ponatinib</w:t>
            </w:r>
          </w:p>
        </w:tc>
        <w:tc>
          <w:tcPr>
            <w:tcW w:w="1885" w:type="dxa"/>
          </w:tcPr>
          <w:p w14:paraId="65894B7C" w14:textId="77777777" w:rsidR="00816D6D" w:rsidRPr="006B4444" w:rsidRDefault="00816D6D" w:rsidP="002F5696">
            <w:pPr>
              <w:spacing w:line="360" w:lineRule="auto"/>
              <w:jc w:val="both"/>
              <w:rPr>
                <w:rFonts w:ascii="Book Antiqua" w:hAnsi="Book Antiqua"/>
              </w:rPr>
            </w:pPr>
            <w:r w:rsidRPr="006B4444">
              <w:rPr>
                <w:rFonts w:ascii="Book Antiqua" w:hAnsi="Book Antiqua"/>
              </w:rPr>
              <w:t>Moderate: 1-10</w:t>
            </w:r>
          </w:p>
        </w:tc>
        <w:tc>
          <w:tcPr>
            <w:tcW w:w="2268" w:type="dxa"/>
          </w:tcPr>
          <w:p w14:paraId="5F21CC74" w14:textId="77777777" w:rsidR="00816D6D" w:rsidRPr="006B4444" w:rsidRDefault="00816D6D" w:rsidP="002F5696">
            <w:pPr>
              <w:spacing w:line="360" w:lineRule="auto"/>
              <w:jc w:val="both"/>
              <w:rPr>
                <w:rFonts w:ascii="Book Antiqua" w:hAnsi="Book Antiqua"/>
              </w:rPr>
            </w:pPr>
            <w:r w:rsidRPr="006B4444">
              <w:rPr>
                <w:rFonts w:ascii="Book Antiqua" w:hAnsi="Book Antiqua"/>
              </w:rPr>
              <w:t>Moderate: 1-10</w:t>
            </w:r>
          </w:p>
        </w:tc>
        <w:tc>
          <w:tcPr>
            <w:tcW w:w="1134" w:type="dxa"/>
          </w:tcPr>
          <w:p w14:paraId="2EAD7A60" w14:textId="77777777" w:rsidR="00816D6D" w:rsidRPr="006B4444" w:rsidRDefault="00816D6D" w:rsidP="002F5696">
            <w:pPr>
              <w:spacing w:line="360" w:lineRule="auto"/>
              <w:jc w:val="both"/>
              <w:rPr>
                <w:rFonts w:ascii="Book Antiqua" w:hAnsi="Book Antiqua"/>
              </w:rPr>
            </w:pPr>
            <w:r w:rsidRPr="006B4444">
              <w:rPr>
                <w:rFonts w:ascii="Book Antiqua" w:hAnsi="Book Antiqua"/>
              </w:rPr>
              <w:t>ETV</w:t>
            </w:r>
          </w:p>
          <w:p w14:paraId="503C6E7F" w14:textId="77777777" w:rsidR="00816D6D" w:rsidRPr="006B4444" w:rsidRDefault="00816D6D" w:rsidP="002F5696">
            <w:pPr>
              <w:spacing w:line="360" w:lineRule="auto"/>
              <w:jc w:val="both"/>
              <w:rPr>
                <w:rFonts w:ascii="Book Antiqua" w:hAnsi="Book Antiqua"/>
              </w:rPr>
            </w:pPr>
            <w:r w:rsidRPr="006B4444">
              <w:rPr>
                <w:rFonts w:ascii="Book Antiqua" w:hAnsi="Book Antiqua"/>
              </w:rPr>
              <w:t>TDF</w:t>
            </w:r>
          </w:p>
          <w:p w14:paraId="3967CBC3" w14:textId="77777777" w:rsidR="00816D6D" w:rsidRPr="006B4444" w:rsidRDefault="00816D6D" w:rsidP="002F5696">
            <w:pPr>
              <w:spacing w:line="360" w:lineRule="auto"/>
              <w:jc w:val="both"/>
              <w:rPr>
                <w:rFonts w:ascii="Book Antiqua" w:hAnsi="Book Antiqua"/>
              </w:rPr>
            </w:pPr>
            <w:r w:rsidRPr="006B4444">
              <w:rPr>
                <w:rFonts w:ascii="Book Antiqua" w:hAnsi="Book Antiqua"/>
              </w:rPr>
              <w:t>TAF</w:t>
            </w:r>
          </w:p>
        </w:tc>
        <w:tc>
          <w:tcPr>
            <w:tcW w:w="2126" w:type="dxa"/>
          </w:tcPr>
          <w:p w14:paraId="5E00D892" w14:textId="77777777" w:rsidR="00816D6D" w:rsidRPr="006B4444" w:rsidRDefault="00816D6D" w:rsidP="002F5696">
            <w:pPr>
              <w:spacing w:line="360" w:lineRule="auto"/>
              <w:jc w:val="both"/>
              <w:rPr>
                <w:rFonts w:ascii="Book Antiqua" w:hAnsi="Book Antiqua"/>
              </w:rPr>
            </w:pPr>
            <w:r w:rsidRPr="006B4444">
              <w:rPr>
                <w:rFonts w:ascii="Book Antiqua" w:hAnsi="Book Antiqua"/>
              </w:rPr>
              <w:t>LMV</w:t>
            </w:r>
          </w:p>
        </w:tc>
      </w:tr>
      <w:tr w:rsidR="00816D6D" w:rsidRPr="006B4444" w14:paraId="6B5659AA" w14:textId="77777777" w:rsidTr="00342541">
        <w:tc>
          <w:tcPr>
            <w:tcW w:w="1866" w:type="dxa"/>
          </w:tcPr>
          <w:p w14:paraId="3766B26F" w14:textId="77777777" w:rsidR="00816D6D" w:rsidRPr="006B4444" w:rsidRDefault="00816D6D" w:rsidP="002F5696">
            <w:pPr>
              <w:spacing w:line="360" w:lineRule="auto"/>
              <w:jc w:val="both"/>
              <w:rPr>
                <w:rFonts w:ascii="Book Antiqua" w:hAnsi="Book Antiqua"/>
                <w:b/>
              </w:rPr>
            </w:pPr>
            <w:r w:rsidRPr="006B4444">
              <w:rPr>
                <w:rFonts w:ascii="Book Antiqua" w:hAnsi="Book Antiqua"/>
                <w:b/>
              </w:rPr>
              <w:t>Proteasome inhibitors</w:t>
            </w:r>
          </w:p>
        </w:tc>
        <w:tc>
          <w:tcPr>
            <w:tcW w:w="1920" w:type="dxa"/>
          </w:tcPr>
          <w:p w14:paraId="79D816A6" w14:textId="77777777" w:rsidR="00816D6D" w:rsidRPr="006B4444" w:rsidRDefault="00816D6D" w:rsidP="002F5696">
            <w:pPr>
              <w:spacing w:line="360" w:lineRule="auto"/>
              <w:jc w:val="both"/>
              <w:rPr>
                <w:rFonts w:ascii="Book Antiqua" w:hAnsi="Book Antiqua"/>
              </w:rPr>
            </w:pPr>
            <w:r w:rsidRPr="006B4444">
              <w:rPr>
                <w:rFonts w:ascii="Book Antiqua" w:hAnsi="Book Antiqua"/>
              </w:rPr>
              <w:t>Bortezomib</w:t>
            </w:r>
          </w:p>
          <w:p w14:paraId="71E9E5B3" w14:textId="77777777" w:rsidR="00816D6D" w:rsidRPr="006B4444" w:rsidRDefault="00816D6D" w:rsidP="002F5696">
            <w:pPr>
              <w:spacing w:line="360" w:lineRule="auto"/>
              <w:jc w:val="both"/>
              <w:rPr>
                <w:rFonts w:ascii="Book Antiqua" w:hAnsi="Book Antiqua"/>
              </w:rPr>
            </w:pPr>
            <w:r w:rsidRPr="006B4444">
              <w:rPr>
                <w:rFonts w:ascii="Book Antiqua" w:hAnsi="Book Antiqua"/>
              </w:rPr>
              <w:t>Carfilzomib</w:t>
            </w:r>
          </w:p>
          <w:p w14:paraId="351DE68F" w14:textId="77777777" w:rsidR="00816D6D" w:rsidRPr="006B4444" w:rsidRDefault="00816D6D" w:rsidP="002F5696">
            <w:pPr>
              <w:spacing w:line="360" w:lineRule="auto"/>
              <w:jc w:val="both"/>
              <w:rPr>
                <w:rFonts w:ascii="Book Antiqua" w:hAnsi="Book Antiqua"/>
              </w:rPr>
            </w:pPr>
            <w:r w:rsidRPr="006B4444">
              <w:rPr>
                <w:rFonts w:ascii="Book Antiqua" w:hAnsi="Book Antiqua"/>
              </w:rPr>
              <w:t>Ixazomib</w:t>
            </w:r>
          </w:p>
        </w:tc>
        <w:tc>
          <w:tcPr>
            <w:tcW w:w="1885" w:type="dxa"/>
          </w:tcPr>
          <w:p w14:paraId="5722D064" w14:textId="77777777" w:rsidR="00816D6D" w:rsidRPr="006B4444" w:rsidRDefault="00816D6D" w:rsidP="002F5696">
            <w:pPr>
              <w:spacing w:line="360" w:lineRule="auto"/>
              <w:jc w:val="both"/>
              <w:rPr>
                <w:rFonts w:ascii="Book Antiqua" w:hAnsi="Book Antiqua"/>
              </w:rPr>
            </w:pPr>
            <w:r w:rsidRPr="006B4444">
              <w:rPr>
                <w:rFonts w:ascii="Book Antiqua" w:hAnsi="Book Antiqua"/>
              </w:rPr>
              <w:t>Moderate: 1-10</w:t>
            </w:r>
          </w:p>
        </w:tc>
        <w:tc>
          <w:tcPr>
            <w:tcW w:w="2268" w:type="dxa"/>
          </w:tcPr>
          <w:p w14:paraId="6DA1815D" w14:textId="77777777" w:rsidR="00816D6D" w:rsidRPr="006B4444" w:rsidRDefault="00816D6D" w:rsidP="002F5696">
            <w:pPr>
              <w:spacing w:line="360" w:lineRule="auto"/>
              <w:jc w:val="both"/>
              <w:rPr>
                <w:rFonts w:ascii="Book Antiqua" w:hAnsi="Book Antiqua"/>
              </w:rPr>
            </w:pPr>
            <w:r w:rsidRPr="006B4444">
              <w:rPr>
                <w:rFonts w:ascii="Book Antiqua" w:hAnsi="Book Antiqua"/>
              </w:rPr>
              <w:t>Moderate: 1-10</w:t>
            </w:r>
          </w:p>
        </w:tc>
        <w:tc>
          <w:tcPr>
            <w:tcW w:w="1134" w:type="dxa"/>
          </w:tcPr>
          <w:p w14:paraId="67ECC258" w14:textId="77777777" w:rsidR="00816D6D" w:rsidRPr="006B4444" w:rsidRDefault="00816D6D" w:rsidP="002F5696">
            <w:pPr>
              <w:spacing w:line="360" w:lineRule="auto"/>
              <w:jc w:val="both"/>
              <w:rPr>
                <w:rFonts w:ascii="Book Antiqua" w:hAnsi="Book Antiqua"/>
              </w:rPr>
            </w:pPr>
            <w:r w:rsidRPr="006B4444">
              <w:rPr>
                <w:rFonts w:ascii="Book Antiqua" w:hAnsi="Book Antiqua"/>
              </w:rPr>
              <w:t>ETV</w:t>
            </w:r>
          </w:p>
          <w:p w14:paraId="00E8AA06" w14:textId="77777777" w:rsidR="00816D6D" w:rsidRPr="006B4444" w:rsidRDefault="00816D6D" w:rsidP="002F5696">
            <w:pPr>
              <w:spacing w:line="360" w:lineRule="auto"/>
              <w:jc w:val="both"/>
              <w:rPr>
                <w:rFonts w:ascii="Book Antiqua" w:hAnsi="Book Antiqua"/>
              </w:rPr>
            </w:pPr>
            <w:r w:rsidRPr="006B4444">
              <w:rPr>
                <w:rFonts w:ascii="Book Antiqua" w:hAnsi="Book Antiqua"/>
              </w:rPr>
              <w:t>TDF</w:t>
            </w:r>
          </w:p>
          <w:p w14:paraId="78CF6BE9" w14:textId="77777777" w:rsidR="00816D6D" w:rsidRPr="006B4444" w:rsidRDefault="00816D6D" w:rsidP="002F5696">
            <w:pPr>
              <w:spacing w:line="360" w:lineRule="auto"/>
              <w:jc w:val="both"/>
              <w:rPr>
                <w:rFonts w:ascii="Book Antiqua" w:hAnsi="Book Antiqua"/>
              </w:rPr>
            </w:pPr>
            <w:r w:rsidRPr="006B4444">
              <w:rPr>
                <w:rFonts w:ascii="Book Antiqua" w:hAnsi="Book Antiqua"/>
              </w:rPr>
              <w:t>TAF</w:t>
            </w:r>
          </w:p>
        </w:tc>
        <w:tc>
          <w:tcPr>
            <w:tcW w:w="2126" w:type="dxa"/>
          </w:tcPr>
          <w:p w14:paraId="486BD1A4" w14:textId="77777777" w:rsidR="00816D6D" w:rsidRPr="006B4444" w:rsidRDefault="00816D6D" w:rsidP="002F5696">
            <w:pPr>
              <w:spacing w:line="360" w:lineRule="auto"/>
              <w:jc w:val="both"/>
              <w:rPr>
                <w:rFonts w:ascii="Book Antiqua" w:hAnsi="Book Antiqua"/>
              </w:rPr>
            </w:pPr>
            <w:r w:rsidRPr="006B4444">
              <w:rPr>
                <w:rFonts w:ascii="Book Antiqua" w:hAnsi="Book Antiqua"/>
              </w:rPr>
              <w:t>LMV</w:t>
            </w:r>
          </w:p>
        </w:tc>
      </w:tr>
      <w:tr w:rsidR="00816D6D" w:rsidRPr="006B4444" w14:paraId="6A81700E" w14:textId="77777777" w:rsidTr="00342541">
        <w:tc>
          <w:tcPr>
            <w:tcW w:w="1866" w:type="dxa"/>
          </w:tcPr>
          <w:p w14:paraId="6ABACDD5" w14:textId="77777777" w:rsidR="00816D6D" w:rsidRPr="006B4444" w:rsidRDefault="00816D6D" w:rsidP="002F5696">
            <w:pPr>
              <w:spacing w:line="360" w:lineRule="auto"/>
              <w:jc w:val="both"/>
              <w:rPr>
                <w:rFonts w:ascii="Book Antiqua" w:hAnsi="Book Antiqua"/>
                <w:b/>
              </w:rPr>
            </w:pPr>
            <w:r w:rsidRPr="006B4444">
              <w:rPr>
                <w:rFonts w:ascii="Book Antiqua" w:hAnsi="Book Antiqua"/>
                <w:b/>
              </w:rPr>
              <w:t>Inhibitors of cytokine</w:t>
            </w:r>
          </w:p>
        </w:tc>
        <w:tc>
          <w:tcPr>
            <w:tcW w:w="1920" w:type="dxa"/>
          </w:tcPr>
          <w:p w14:paraId="1B7766FB" w14:textId="77777777" w:rsidR="00816D6D" w:rsidRPr="006B4444" w:rsidRDefault="00816D6D" w:rsidP="002F5696">
            <w:pPr>
              <w:spacing w:line="360" w:lineRule="auto"/>
              <w:jc w:val="both"/>
              <w:rPr>
                <w:rFonts w:ascii="Book Antiqua" w:hAnsi="Book Antiqua"/>
              </w:rPr>
            </w:pPr>
            <w:r w:rsidRPr="006B4444">
              <w:rPr>
                <w:rFonts w:ascii="Book Antiqua" w:hAnsi="Book Antiqua"/>
              </w:rPr>
              <w:t>Mogamulizumab</w:t>
            </w:r>
          </w:p>
        </w:tc>
        <w:tc>
          <w:tcPr>
            <w:tcW w:w="1885" w:type="dxa"/>
          </w:tcPr>
          <w:p w14:paraId="4EB675A9" w14:textId="77777777" w:rsidR="00816D6D" w:rsidRPr="006B4444" w:rsidRDefault="00816D6D" w:rsidP="002F5696">
            <w:pPr>
              <w:spacing w:line="360" w:lineRule="auto"/>
              <w:jc w:val="both"/>
              <w:rPr>
                <w:rFonts w:ascii="Book Antiqua" w:hAnsi="Book Antiqua"/>
              </w:rPr>
            </w:pPr>
            <w:r w:rsidRPr="006B4444">
              <w:rPr>
                <w:rFonts w:ascii="Book Antiqua" w:hAnsi="Book Antiqua"/>
              </w:rPr>
              <w:t>Moderate: 1-10</w:t>
            </w:r>
          </w:p>
        </w:tc>
        <w:tc>
          <w:tcPr>
            <w:tcW w:w="2268" w:type="dxa"/>
          </w:tcPr>
          <w:p w14:paraId="48CCC35D" w14:textId="77777777" w:rsidR="00816D6D" w:rsidRPr="006B4444" w:rsidRDefault="00816D6D" w:rsidP="002F5696">
            <w:pPr>
              <w:spacing w:line="360" w:lineRule="auto"/>
              <w:jc w:val="both"/>
              <w:rPr>
                <w:rFonts w:ascii="Book Antiqua" w:hAnsi="Book Antiqua"/>
              </w:rPr>
            </w:pPr>
            <w:r w:rsidRPr="006B4444">
              <w:rPr>
                <w:rFonts w:ascii="Book Antiqua" w:hAnsi="Book Antiqua"/>
              </w:rPr>
              <w:t>Moderate: 1-10</w:t>
            </w:r>
          </w:p>
        </w:tc>
        <w:tc>
          <w:tcPr>
            <w:tcW w:w="1134" w:type="dxa"/>
          </w:tcPr>
          <w:p w14:paraId="726FA0FF" w14:textId="77777777" w:rsidR="00816D6D" w:rsidRPr="006B4444" w:rsidRDefault="00816D6D" w:rsidP="002F5696">
            <w:pPr>
              <w:spacing w:line="360" w:lineRule="auto"/>
              <w:jc w:val="both"/>
              <w:rPr>
                <w:rFonts w:ascii="Book Antiqua" w:hAnsi="Book Antiqua"/>
              </w:rPr>
            </w:pPr>
            <w:r w:rsidRPr="006B4444">
              <w:rPr>
                <w:rFonts w:ascii="Book Antiqua" w:hAnsi="Book Antiqua"/>
              </w:rPr>
              <w:t>ETV</w:t>
            </w:r>
          </w:p>
          <w:p w14:paraId="3F804B27" w14:textId="77777777" w:rsidR="00816D6D" w:rsidRPr="006B4444" w:rsidRDefault="00816D6D" w:rsidP="002F5696">
            <w:pPr>
              <w:spacing w:line="360" w:lineRule="auto"/>
              <w:jc w:val="both"/>
              <w:rPr>
                <w:rFonts w:ascii="Book Antiqua" w:hAnsi="Book Antiqua"/>
              </w:rPr>
            </w:pPr>
            <w:r w:rsidRPr="006B4444">
              <w:rPr>
                <w:rFonts w:ascii="Book Antiqua" w:hAnsi="Book Antiqua"/>
              </w:rPr>
              <w:t>TDF</w:t>
            </w:r>
          </w:p>
          <w:p w14:paraId="37CFDC07" w14:textId="77777777" w:rsidR="00816D6D" w:rsidRPr="006B4444" w:rsidRDefault="00816D6D" w:rsidP="002F5696">
            <w:pPr>
              <w:spacing w:line="360" w:lineRule="auto"/>
              <w:jc w:val="both"/>
              <w:rPr>
                <w:rFonts w:ascii="Book Antiqua" w:hAnsi="Book Antiqua"/>
              </w:rPr>
            </w:pPr>
            <w:r w:rsidRPr="006B4444">
              <w:rPr>
                <w:rFonts w:ascii="Book Antiqua" w:hAnsi="Book Antiqua"/>
              </w:rPr>
              <w:t>TAF</w:t>
            </w:r>
          </w:p>
        </w:tc>
        <w:tc>
          <w:tcPr>
            <w:tcW w:w="2126" w:type="dxa"/>
          </w:tcPr>
          <w:p w14:paraId="3C38CF9C" w14:textId="77777777" w:rsidR="00816D6D" w:rsidRPr="006B4444" w:rsidRDefault="00816D6D" w:rsidP="002F5696">
            <w:pPr>
              <w:spacing w:line="360" w:lineRule="auto"/>
              <w:jc w:val="both"/>
              <w:rPr>
                <w:rFonts w:ascii="Book Antiqua" w:hAnsi="Book Antiqua"/>
              </w:rPr>
            </w:pPr>
            <w:r w:rsidRPr="006B4444">
              <w:rPr>
                <w:rFonts w:ascii="Book Antiqua" w:hAnsi="Book Antiqua"/>
              </w:rPr>
              <w:t>LMV</w:t>
            </w:r>
          </w:p>
        </w:tc>
      </w:tr>
      <w:tr w:rsidR="00816D6D" w:rsidRPr="006B4444" w14:paraId="5B3D9059" w14:textId="77777777" w:rsidTr="00342541">
        <w:tc>
          <w:tcPr>
            <w:tcW w:w="1866" w:type="dxa"/>
            <w:tcBorders>
              <w:bottom w:val="single" w:sz="4" w:space="0" w:color="auto"/>
            </w:tcBorders>
          </w:tcPr>
          <w:p w14:paraId="02B4C7DE" w14:textId="77777777" w:rsidR="00816D6D" w:rsidRPr="006B4444" w:rsidRDefault="00816D6D" w:rsidP="002F5696">
            <w:pPr>
              <w:spacing w:line="360" w:lineRule="auto"/>
              <w:jc w:val="both"/>
              <w:rPr>
                <w:rFonts w:ascii="Book Antiqua" w:hAnsi="Book Antiqua"/>
                <w:b/>
              </w:rPr>
            </w:pPr>
            <w:r w:rsidRPr="006B4444">
              <w:rPr>
                <w:rFonts w:ascii="Book Antiqua" w:hAnsi="Book Antiqua"/>
                <w:b/>
              </w:rPr>
              <w:t>Corticosteroids</w:t>
            </w:r>
          </w:p>
        </w:tc>
        <w:tc>
          <w:tcPr>
            <w:tcW w:w="1920" w:type="dxa"/>
            <w:tcBorders>
              <w:bottom w:val="single" w:sz="4" w:space="0" w:color="auto"/>
            </w:tcBorders>
          </w:tcPr>
          <w:p w14:paraId="6C645002" w14:textId="77777777" w:rsidR="00816D6D" w:rsidRPr="006B4444" w:rsidRDefault="00816D6D" w:rsidP="002F5696">
            <w:pPr>
              <w:spacing w:line="360" w:lineRule="auto"/>
              <w:jc w:val="both"/>
              <w:rPr>
                <w:rFonts w:ascii="Book Antiqua" w:hAnsi="Book Antiqua"/>
                <w:lang w:val="en-US"/>
              </w:rPr>
            </w:pPr>
            <w:r w:rsidRPr="006B4444">
              <w:rPr>
                <w:rFonts w:ascii="Book Antiqua" w:hAnsi="Book Antiqua"/>
                <w:lang w:val="en-US"/>
              </w:rPr>
              <w:t>High/moderate</w:t>
            </w:r>
          </w:p>
          <w:p w14:paraId="5F5E5E0E" w14:textId="77777777" w:rsidR="00816D6D" w:rsidRPr="006B4444" w:rsidRDefault="00816D6D" w:rsidP="002F5696">
            <w:pPr>
              <w:spacing w:line="360" w:lineRule="auto"/>
              <w:jc w:val="both"/>
              <w:rPr>
                <w:rFonts w:ascii="Book Antiqua" w:hAnsi="Book Antiqua"/>
                <w:lang w:val="en-US"/>
              </w:rPr>
            </w:pPr>
            <w:r w:rsidRPr="006B4444">
              <w:rPr>
                <w:rFonts w:ascii="Book Antiqua" w:hAnsi="Book Antiqua"/>
                <w:lang w:val="en-US"/>
              </w:rPr>
              <w:t xml:space="preserve"> dose of prednisone</w:t>
            </w:r>
          </w:p>
        </w:tc>
        <w:tc>
          <w:tcPr>
            <w:tcW w:w="1885" w:type="dxa"/>
            <w:tcBorders>
              <w:bottom w:val="single" w:sz="4" w:space="0" w:color="auto"/>
            </w:tcBorders>
          </w:tcPr>
          <w:p w14:paraId="424B1D45" w14:textId="32453268" w:rsidR="00816D6D" w:rsidRPr="006B4444" w:rsidRDefault="00816D6D" w:rsidP="002F5696">
            <w:pPr>
              <w:spacing w:line="360" w:lineRule="auto"/>
              <w:jc w:val="both"/>
              <w:rPr>
                <w:rFonts w:ascii="Book Antiqua" w:hAnsi="Book Antiqua"/>
              </w:rPr>
            </w:pPr>
            <w:r w:rsidRPr="006B4444">
              <w:rPr>
                <w:rFonts w:ascii="Book Antiqua" w:hAnsi="Book Antiqua"/>
              </w:rPr>
              <w:t>High: &gt;</w:t>
            </w:r>
            <w:r w:rsidR="00342541" w:rsidRPr="006B4444">
              <w:rPr>
                <w:rFonts w:ascii="Book Antiqua" w:hAnsi="Book Antiqua"/>
              </w:rPr>
              <w:t xml:space="preserve"> </w:t>
            </w:r>
            <w:r w:rsidRPr="006B4444">
              <w:rPr>
                <w:rFonts w:ascii="Book Antiqua" w:hAnsi="Book Antiqua"/>
              </w:rPr>
              <w:t>10</w:t>
            </w:r>
          </w:p>
        </w:tc>
        <w:tc>
          <w:tcPr>
            <w:tcW w:w="2268" w:type="dxa"/>
            <w:tcBorders>
              <w:bottom w:val="single" w:sz="4" w:space="0" w:color="auto"/>
            </w:tcBorders>
          </w:tcPr>
          <w:p w14:paraId="56AEC644" w14:textId="77777777" w:rsidR="00816D6D" w:rsidRPr="006B4444" w:rsidRDefault="00816D6D" w:rsidP="002F5696">
            <w:pPr>
              <w:spacing w:line="360" w:lineRule="auto"/>
              <w:jc w:val="both"/>
              <w:rPr>
                <w:rFonts w:ascii="Book Antiqua" w:hAnsi="Book Antiqua"/>
              </w:rPr>
            </w:pPr>
            <w:r w:rsidRPr="006B4444">
              <w:rPr>
                <w:rFonts w:ascii="Book Antiqua" w:hAnsi="Book Antiqua"/>
              </w:rPr>
              <w:t>Moderate: 1-10</w:t>
            </w:r>
          </w:p>
        </w:tc>
        <w:tc>
          <w:tcPr>
            <w:tcW w:w="1134" w:type="dxa"/>
            <w:tcBorders>
              <w:bottom w:val="single" w:sz="4" w:space="0" w:color="auto"/>
            </w:tcBorders>
          </w:tcPr>
          <w:p w14:paraId="09F9159E" w14:textId="77777777" w:rsidR="00816D6D" w:rsidRPr="006B4444" w:rsidRDefault="00816D6D" w:rsidP="002F5696">
            <w:pPr>
              <w:spacing w:line="360" w:lineRule="auto"/>
              <w:jc w:val="both"/>
              <w:rPr>
                <w:rFonts w:ascii="Book Antiqua" w:hAnsi="Book Antiqua"/>
              </w:rPr>
            </w:pPr>
            <w:r w:rsidRPr="006B4444">
              <w:rPr>
                <w:rFonts w:ascii="Book Antiqua" w:hAnsi="Book Antiqua"/>
              </w:rPr>
              <w:t>ETV</w:t>
            </w:r>
          </w:p>
          <w:p w14:paraId="33BF0BFE" w14:textId="77777777" w:rsidR="00816D6D" w:rsidRPr="006B4444" w:rsidRDefault="00816D6D" w:rsidP="002F5696">
            <w:pPr>
              <w:spacing w:line="360" w:lineRule="auto"/>
              <w:jc w:val="both"/>
              <w:rPr>
                <w:rFonts w:ascii="Book Antiqua" w:hAnsi="Book Antiqua"/>
              </w:rPr>
            </w:pPr>
            <w:r w:rsidRPr="006B4444">
              <w:rPr>
                <w:rFonts w:ascii="Book Antiqua" w:hAnsi="Book Antiqua"/>
              </w:rPr>
              <w:t>TDF</w:t>
            </w:r>
          </w:p>
          <w:p w14:paraId="433BCE97" w14:textId="77777777" w:rsidR="00816D6D" w:rsidRPr="006B4444" w:rsidRDefault="00816D6D" w:rsidP="002F5696">
            <w:pPr>
              <w:spacing w:line="360" w:lineRule="auto"/>
              <w:jc w:val="both"/>
              <w:rPr>
                <w:rFonts w:ascii="Book Antiqua" w:hAnsi="Book Antiqua"/>
              </w:rPr>
            </w:pPr>
            <w:r w:rsidRPr="006B4444">
              <w:rPr>
                <w:rFonts w:ascii="Book Antiqua" w:hAnsi="Book Antiqua"/>
              </w:rPr>
              <w:t>TAF</w:t>
            </w:r>
          </w:p>
        </w:tc>
        <w:tc>
          <w:tcPr>
            <w:tcW w:w="2126" w:type="dxa"/>
            <w:tcBorders>
              <w:bottom w:val="single" w:sz="4" w:space="0" w:color="auto"/>
            </w:tcBorders>
          </w:tcPr>
          <w:p w14:paraId="68713CFC" w14:textId="77777777" w:rsidR="00816D6D" w:rsidRPr="006B4444" w:rsidRDefault="00816D6D" w:rsidP="002F5696">
            <w:pPr>
              <w:spacing w:line="360" w:lineRule="auto"/>
              <w:jc w:val="both"/>
              <w:rPr>
                <w:rFonts w:ascii="Book Antiqua" w:hAnsi="Book Antiqua"/>
              </w:rPr>
            </w:pPr>
            <w:r w:rsidRPr="006B4444">
              <w:rPr>
                <w:rFonts w:ascii="Book Antiqua" w:hAnsi="Book Antiqua"/>
              </w:rPr>
              <w:t>LMV</w:t>
            </w:r>
          </w:p>
        </w:tc>
      </w:tr>
    </w:tbl>
    <w:p w14:paraId="1F6E3F47" w14:textId="21615221" w:rsidR="00B05691" w:rsidRPr="006B4444" w:rsidRDefault="00342541" w:rsidP="008B50A6">
      <w:pPr>
        <w:tabs>
          <w:tab w:val="left" w:pos="1520"/>
        </w:tabs>
        <w:spacing w:line="360" w:lineRule="auto"/>
        <w:jc w:val="both"/>
        <w:rPr>
          <w:rFonts w:ascii="Book Antiqua" w:hAnsi="Book Antiqua"/>
        </w:rPr>
      </w:pPr>
      <w:r w:rsidRPr="006B4444">
        <w:rPr>
          <w:rFonts w:ascii="Book Antiqua" w:hAnsi="Book Antiqua"/>
        </w:rPr>
        <w:t xml:space="preserve">HBV: Hepatitis B virus; HBVr: Hepatitis B virus replication; </w:t>
      </w:r>
      <w:r w:rsidR="004C17F7" w:rsidRPr="006B4444">
        <w:rPr>
          <w:rFonts w:ascii="Book Antiqua" w:hAnsi="Book Antiqua"/>
        </w:rPr>
        <w:t xml:space="preserve">HbsAg: Hepatitis B surface antigen; HbcAb: Hepatitis B core antibodies; </w:t>
      </w:r>
      <w:r w:rsidR="00816D6D" w:rsidRPr="006B4444">
        <w:rPr>
          <w:rFonts w:ascii="Book Antiqua" w:hAnsi="Book Antiqua"/>
        </w:rPr>
        <w:t>ETV:</w:t>
      </w:r>
      <w:r w:rsidRPr="006B4444">
        <w:rPr>
          <w:rFonts w:ascii="Book Antiqua" w:hAnsi="Book Antiqua"/>
        </w:rPr>
        <w:t xml:space="preserve"> E</w:t>
      </w:r>
      <w:r w:rsidR="00816D6D" w:rsidRPr="006B4444">
        <w:rPr>
          <w:rFonts w:ascii="Book Antiqua" w:hAnsi="Book Antiqua"/>
        </w:rPr>
        <w:t>ntecavir</w:t>
      </w:r>
      <w:r w:rsidRPr="006B4444">
        <w:rPr>
          <w:rFonts w:ascii="Book Antiqua" w:hAnsi="Book Antiqua"/>
        </w:rPr>
        <w:t>;</w:t>
      </w:r>
      <w:r w:rsidR="00816D6D" w:rsidRPr="006B4444">
        <w:rPr>
          <w:rFonts w:ascii="Book Antiqua" w:hAnsi="Book Antiqua"/>
        </w:rPr>
        <w:t xml:space="preserve"> TDF: </w:t>
      </w:r>
      <w:r w:rsidRPr="006B4444">
        <w:rPr>
          <w:rFonts w:ascii="Book Antiqua" w:hAnsi="Book Antiqua"/>
        </w:rPr>
        <w:t>T</w:t>
      </w:r>
      <w:r w:rsidR="00816D6D" w:rsidRPr="006B4444">
        <w:rPr>
          <w:rFonts w:ascii="Book Antiqua" w:hAnsi="Book Antiqua"/>
        </w:rPr>
        <w:t>enofovir</w:t>
      </w:r>
      <w:r w:rsidRPr="006B4444">
        <w:rPr>
          <w:rFonts w:ascii="Book Antiqua" w:hAnsi="Book Antiqua"/>
        </w:rPr>
        <w:t>;</w:t>
      </w:r>
      <w:r w:rsidR="00816D6D" w:rsidRPr="006B4444">
        <w:rPr>
          <w:rFonts w:ascii="Book Antiqua" w:hAnsi="Book Antiqua"/>
        </w:rPr>
        <w:t xml:space="preserve"> TAF: </w:t>
      </w:r>
      <w:r w:rsidRPr="006B4444">
        <w:rPr>
          <w:rFonts w:ascii="Book Antiqua" w:hAnsi="Book Antiqua"/>
        </w:rPr>
        <w:t>T</w:t>
      </w:r>
      <w:r w:rsidR="00816D6D" w:rsidRPr="006B4444">
        <w:rPr>
          <w:rFonts w:ascii="Book Antiqua" w:hAnsi="Book Antiqua"/>
        </w:rPr>
        <w:t>enofovir alafenamide</w:t>
      </w:r>
      <w:r w:rsidRPr="006B4444">
        <w:rPr>
          <w:rFonts w:ascii="Book Antiqua" w:hAnsi="Book Antiqua"/>
        </w:rPr>
        <w:t>;</w:t>
      </w:r>
      <w:r w:rsidR="00816D6D" w:rsidRPr="006B4444">
        <w:rPr>
          <w:rFonts w:ascii="Book Antiqua" w:hAnsi="Book Antiqua"/>
        </w:rPr>
        <w:t xml:space="preserve"> LMV:</w:t>
      </w:r>
      <w:r w:rsidRPr="006B4444">
        <w:rPr>
          <w:rFonts w:ascii="Book Antiqua" w:hAnsi="Book Antiqua"/>
        </w:rPr>
        <w:t xml:space="preserve"> L</w:t>
      </w:r>
      <w:r w:rsidR="00816D6D" w:rsidRPr="006B4444">
        <w:rPr>
          <w:rFonts w:ascii="Book Antiqua" w:hAnsi="Book Antiqua"/>
        </w:rPr>
        <w:t>amivudine</w:t>
      </w:r>
      <w:r w:rsidRPr="006B4444">
        <w:rPr>
          <w:rFonts w:ascii="Book Antiqua" w:hAnsi="Book Antiqua"/>
        </w:rPr>
        <w:t>.</w:t>
      </w:r>
    </w:p>
    <w:p w14:paraId="31D1FF32" w14:textId="591B7194" w:rsidR="00B05691" w:rsidRPr="006B4444" w:rsidRDefault="00B05691" w:rsidP="00B05691">
      <w:pPr>
        <w:tabs>
          <w:tab w:val="left" w:pos="1520"/>
        </w:tabs>
        <w:spacing w:line="360" w:lineRule="auto"/>
        <w:jc w:val="both"/>
        <w:rPr>
          <w:rFonts w:ascii="Book Antiqua" w:hAnsi="Book Antiqua"/>
        </w:rPr>
      </w:pPr>
      <w:r w:rsidRPr="006B4444">
        <w:rPr>
          <w:rFonts w:ascii="Book Antiqua" w:hAnsi="Book Antiqua"/>
        </w:rPr>
        <w:br w:type="page"/>
      </w:r>
      <w:r w:rsidR="00B32826" w:rsidRPr="006B4444">
        <w:rPr>
          <w:rFonts w:ascii="Book Antiqua" w:hAnsi="Book Antiqua"/>
          <w:noProof/>
          <w:lang w:val="en-US" w:eastAsia="zh-CN"/>
        </w:rPr>
        <w:lastRenderedPageBreak/>
        <w:drawing>
          <wp:inline distT="0" distB="0" distL="0" distR="0" wp14:anchorId="7E0C76E7" wp14:editId="2D5CB869">
            <wp:extent cx="5270500" cy="336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369310"/>
                    </a:xfrm>
                    <a:prstGeom prst="rect">
                      <a:avLst/>
                    </a:prstGeom>
                    <a:noFill/>
                    <a:ln>
                      <a:noFill/>
                    </a:ln>
                  </pic:spPr>
                </pic:pic>
              </a:graphicData>
            </a:graphic>
          </wp:inline>
        </w:drawing>
      </w:r>
    </w:p>
    <w:p w14:paraId="5C1B8443" w14:textId="5C26D448" w:rsidR="00B05691" w:rsidRPr="006B4444" w:rsidRDefault="00B32826" w:rsidP="00B05691">
      <w:pPr>
        <w:tabs>
          <w:tab w:val="left" w:pos="1520"/>
        </w:tabs>
        <w:spacing w:line="360" w:lineRule="auto"/>
        <w:jc w:val="both"/>
        <w:rPr>
          <w:rFonts w:ascii="Book Antiqua" w:hAnsi="Book Antiqua"/>
        </w:rPr>
      </w:pPr>
      <w:r w:rsidRPr="006B4444">
        <w:rPr>
          <w:rFonts w:ascii="Book Antiqua" w:hAnsi="Book Antiqua"/>
          <w:noProof/>
          <w:lang w:val="en-US" w:eastAsia="zh-CN"/>
        </w:rPr>
        <w:drawing>
          <wp:inline distT="0" distB="0" distL="0" distR="0" wp14:anchorId="4D7EBBDD" wp14:editId="296328F4">
            <wp:extent cx="5277485" cy="3866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7485" cy="3866515"/>
                    </a:xfrm>
                    <a:prstGeom prst="rect">
                      <a:avLst/>
                    </a:prstGeom>
                    <a:noFill/>
                    <a:ln>
                      <a:noFill/>
                    </a:ln>
                  </pic:spPr>
                </pic:pic>
              </a:graphicData>
            </a:graphic>
          </wp:inline>
        </w:drawing>
      </w:r>
    </w:p>
    <w:p w14:paraId="1FC3AAC3" w14:textId="034E2C5B" w:rsidR="00B05691" w:rsidRPr="008F4275" w:rsidRDefault="00B05691" w:rsidP="008B50A6">
      <w:pPr>
        <w:tabs>
          <w:tab w:val="left" w:pos="1520"/>
        </w:tabs>
        <w:spacing w:line="360" w:lineRule="auto"/>
        <w:jc w:val="both"/>
        <w:rPr>
          <w:rFonts w:ascii="Book Antiqua" w:hAnsi="Book Antiqua"/>
        </w:rPr>
      </w:pPr>
      <w:r w:rsidRPr="006B4444">
        <w:rPr>
          <w:rFonts w:ascii="Book Antiqua" w:hAnsi="Book Antiqua"/>
          <w:b/>
        </w:rPr>
        <w:t xml:space="preserve">Figure 1 </w:t>
      </w:r>
      <w:r w:rsidRPr="006B4444">
        <w:rPr>
          <w:rFonts w:ascii="Book Antiqua" w:hAnsi="Book Antiqua"/>
          <w:b/>
          <w:bCs/>
          <w:lang w:val="en-US"/>
        </w:rPr>
        <w:t xml:space="preserve">Management of </w:t>
      </w:r>
      <w:r w:rsidRPr="006B4444">
        <w:rPr>
          <w:rFonts w:ascii="Book Antiqua" w:hAnsi="Book Antiqua"/>
          <w:b/>
        </w:rPr>
        <w:t>hepatitis B virus</w:t>
      </w:r>
      <w:r w:rsidRPr="006B4444">
        <w:rPr>
          <w:rFonts w:ascii="Book Antiqua" w:hAnsi="Book Antiqua"/>
          <w:b/>
          <w:bCs/>
          <w:lang w:val="en-US"/>
        </w:rPr>
        <w:t xml:space="preserve"> reactivation. </w:t>
      </w:r>
      <w:r w:rsidRPr="006B4444">
        <w:rPr>
          <w:rFonts w:ascii="Book Antiqua" w:hAnsi="Book Antiqua"/>
          <w:bCs/>
          <w:lang w:val="en-US"/>
        </w:rPr>
        <w:t>A</w:t>
      </w:r>
      <w:r w:rsidRPr="006B4444">
        <w:rPr>
          <w:rFonts w:ascii="Book Antiqua" w:hAnsi="Book Antiqua" w:hint="eastAsia"/>
          <w:bCs/>
          <w:lang w:val="en-US" w:eastAsia="zh-CN"/>
        </w:rPr>
        <w:t>:</w:t>
      </w:r>
      <w:r w:rsidRPr="006B4444">
        <w:rPr>
          <w:rFonts w:ascii="Book Antiqua" w:hAnsi="Book Antiqua"/>
          <w:bCs/>
          <w:lang w:val="en-US" w:eastAsia="zh-CN"/>
        </w:rPr>
        <w:t xml:space="preserve"> Management of </w:t>
      </w:r>
      <w:r w:rsidR="004437A2" w:rsidRPr="006B4444">
        <w:rPr>
          <w:rFonts w:ascii="Book Antiqua" w:hAnsi="Book Antiqua"/>
        </w:rPr>
        <w:t>hepatitis B virus</w:t>
      </w:r>
      <w:r w:rsidR="004437A2" w:rsidRPr="006B4444">
        <w:rPr>
          <w:rFonts w:ascii="Book Antiqua" w:hAnsi="Book Antiqua"/>
          <w:bCs/>
          <w:lang w:val="en-US" w:eastAsia="zh-CN"/>
        </w:rPr>
        <w:t xml:space="preserve"> (</w:t>
      </w:r>
      <w:r w:rsidRPr="006B4444">
        <w:rPr>
          <w:rFonts w:ascii="Book Antiqua" w:hAnsi="Book Antiqua"/>
          <w:bCs/>
          <w:lang w:val="en-US" w:eastAsia="zh-CN"/>
        </w:rPr>
        <w:t>HBV</w:t>
      </w:r>
      <w:r w:rsidR="004437A2" w:rsidRPr="006B4444">
        <w:rPr>
          <w:rFonts w:ascii="Book Antiqua" w:hAnsi="Book Antiqua"/>
          <w:bCs/>
          <w:lang w:val="en-US" w:eastAsia="zh-CN"/>
        </w:rPr>
        <w:t>)</w:t>
      </w:r>
      <w:r w:rsidRPr="006B4444">
        <w:rPr>
          <w:rFonts w:ascii="Book Antiqua" w:hAnsi="Book Antiqua"/>
          <w:bCs/>
          <w:lang w:val="en-US" w:eastAsia="zh-CN"/>
        </w:rPr>
        <w:t xml:space="preserve"> reactivation in </w:t>
      </w:r>
      <w:r w:rsidR="004437A2" w:rsidRPr="006B4444">
        <w:rPr>
          <w:rFonts w:ascii="Book Antiqua" w:hAnsi="Book Antiqua"/>
        </w:rPr>
        <w:t>hepatitis B surface antigen</w:t>
      </w:r>
      <w:r w:rsidR="004437A2" w:rsidRPr="006B4444">
        <w:rPr>
          <w:rFonts w:ascii="Book Antiqua" w:hAnsi="Book Antiqua"/>
          <w:bCs/>
          <w:lang w:val="en-US" w:eastAsia="zh-CN"/>
        </w:rPr>
        <w:t xml:space="preserve"> (</w:t>
      </w:r>
      <w:r w:rsidRPr="006B4444">
        <w:rPr>
          <w:rFonts w:ascii="Book Antiqua" w:hAnsi="Book Antiqua"/>
          <w:bCs/>
          <w:lang w:val="en-US" w:eastAsia="zh-CN"/>
        </w:rPr>
        <w:t>HBsAg</w:t>
      </w:r>
      <w:r w:rsidR="004437A2" w:rsidRPr="006B4444">
        <w:rPr>
          <w:rFonts w:ascii="Book Antiqua" w:hAnsi="Book Antiqua"/>
          <w:bCs/>
          <w:lang w:val="en-US" w:eastAsia="zh-CN"/>
        </w:rPr>
        <w:t>)</w:t>
      </w:r>
      <w:r w:rsidRPr="006B4444">
        <w:rPr>
          <w:rFonts w:ascii="Book Antiqua" w:hAnsi="Book Antiqua"/>
          <w:bCs/>
          <w:lang w:val="en-US" w:eastAsia="zh-CN"/>
        </w:rPr>
        <w:t xml:space="preserve"> positive patients</w:t>
      </w:r>
      <w:r w:rsidRPr="006B4444">
        <w:rPr>
          <w:rFonts w:ascii="Book Antiqua" w:hAnsi="Book Antiqua" w:hint="eastAsia"/>
          <w:bCs/>
          <w:lang w:val="en-US" w:eastAsia="zh-CN"/>
        </w:rPr>
        <w:t xml:space="preserve"> </w:t>
      </w:r>
      <w:r w:rsidRPr="006B4444">
        <w:rPr>
          <w:rFonts w:ascii="Book Antiqua" w:hAnsi="Book Antiqua"/>
          <w:bCs/>
          <w:lang w:val="en-US" w:eastAsia="zh-CN"/>
        </w:rPr>
        <w:t xml:space="preserve">with HBV DNA &lt; 2000 UI/mL and normal </w:t>
      </w:r>
      <w:bookmarkStart w:id="123" w:name="OLE_LINK858"/>
      <w:bookmarkStart w:id="124" w:name="OLE_LINK859"/>
      <w:r w:rsidR="004437A2" w:rsidRPr="006B4444">
        <w:rPr>
          <w:rFonts w:ascii="Book Antiqua" w:hAnsi="Book Antiqua" w:cs="宋体"/>
        </w:rPr>
        <w:t>alanine aminotransferase</w:t>
      </w:r>
      <w:bookmarkEnd w:id="123"/>
      <w:bookmarkEnd w:id="124"/>
      <w:r w:rsidR="001A56DE" w:rsidRPr="006B4444">
        <w:rPr>
          <w:rFonts w:ascii="Book Antiqua" w:hAnsi="Book Antiqua" w:cs="宋体"/>
        </w:rPr>
        <w:t xml:space="preserve"> (ALT)</w:t>
      </w:r>
      <w:r w:rsidRPr="006B4444">
        <w:rPr>
          <w:rFonts w:ascii="Book Antiqua" w:hAnsi="Book Antiqua"/>
          <w:bCs/>
          <w:lang w:val="en-US" w:eastAsia="zh-CN"/>
        </w:rPr>
        <w:t>; B: Management of HBV reactivation in</w:t>
      </w:r>
      <w:r w:rsidRPr="006B4444">
        <w:rPr>
          <w:rFonts w:ascii="Book Antiqua" w:hAnsi="Book Antiqua" w:hint="eastAsia"/>
          <w:bCs/>
          <w:lang w:val="en-US" w:eastAsia="zh-CN"/>
        </w:rPr>
        <w:t xml:space="preserve"> </w:t>
      </w:r>
      <w:r w:rsidRPr="006B4444">
        <w:rPr>
          <w:rFonts w:ascii="Book Antiqua" w:hAnsi="Book Antiqua"/>
          <w:bCs/>
          <w:lang w:val="en-US" w:eastAsia="zh-CN"/>
        </w:rPr>
        <w:t>HBsAg negative/</w:t>
      </w:r>
      <w:r w:rsidR="004437A2" w:rsidRPr="006B4444">
        <w:rPr>
          <w:rFonts w:ascii="Book Antiqua" w:hAnsi="Book Antiqua"/>
        </w:rPr>
        <w:t>hepatitis B core antibodies</w:t>
      </w:r>
      <w:r w:rsidRPr="006B4444">
        <w:rPr>
          <w:rFonts w:ascii="Book Antiqua" w:hAnsi="Book Antiqua"/>
          <w:bCs/>
          <w:lang w:val="en-US" w:eastAsia="zh-CN"/>
        </w:rPr>
        <w:t xml:space="preserve"> positive patients.</w:t>
      </w:r>
      <w:r w:rsidR="001A56DE" w:rsidRPr="006B4444">
        <w:rPr>
          <w:rFonts w:ascii="Book Antiqua" w:hAnsi="Book Antiqua"/>
          <w:bCs/>
          <w:lang w:val="en-US" w:eastAsia="zh-CN"/>
        </w:rPr>
        <w:t xml:space="preserve"> </w:t>
      </w:r>
      <w:r w:rsidR="001A56DE" w:rsidRPr="006B4444">
        <w:rPr>
          <w:rFonts w:ascii="Book Antiqua" w:hAnsi="Book Antiqua"/>
          <w:bCs/>
          <w:vertAlign w:val="superscript"/>
          <w:lang w:eastAsia="zh-CN"/>
        </w:rPr>
        <w:t>1</w:t>
      </w:r>
      <w:r w:rsidR="001A56DE" w:rsidRPr="006B4444">
        <w:rPr>
          <w:rFonts w:ascii="Book Antiqua" w:hAnsi="Book Antiqua"/>
          <w:bCs/>
          <w:lang w:eastAsia="zh-CN"/>
        </w:rPr>
        <w:t xml:space="preserve">HBsAg, HBV DNA and ALT determination at a 3-mo interval; </w:t>
      </w:r>
      <w:r w:rsidR="001A56DE" w:rsidRPr="006B4444">
        <w:rPr>
          <w:rFonts w:ascii="Book Antiqua" w:hAnsi="Book Antiqua"/>
          <w:bCs/>
          <w:vertAlign w:val="superscript"/>
          <w:lang w:eastAsia="zh-CN"/>
        </w:rPr>
        <w:t>2</w:t>
      </w:r>
      <w:r w:rsidR="001A56DE" w:rsidRPr="006B4444">
        <w:rPr>
          <w:rFonts w:ascii="Book Antiqua" w:hAnsi="Book Antiqua"/>
          <w:bCs/>
          <w:lang w:eastAsia="zh-CN"/>
        </w:rPr>
        <w:t xml:space="preserve">In patients treated with rituximab or other cell-depleting agents, the anti-HBV prophylaxis  should be continued for up to 2 years after the last dose of drug. </w:t>
      </w:r>
      <w:r w:rsidR="001A56DE" w:rsidRPr="006B4444">
        <w:rPr>
          <w:rFonts w:ascii="Book Antiqua" w:hAnsi="Book Antiqua"/>
        </w:rPr>
        <w:t xml:space="preserve">HBV: Hepatitis B virus; HBVr: Hepatitis B virus replication; HbsAg: Hepatitis B surface antigen; HbcAb: </w:t>
      </w:r>
      <w:r w:rsidR="001A56DE" w:rsidRPr="006B4444">
        <w:rPr>
          <w:rFonts w:ascii="Book Antiqua" w:hAnsi="Book Antiqua"/>
        </w:rPr>
        <w:lastRenderedPageBreak/>
        <w:t xml:space="preserve">Hepatitis B core antibodies; ETV: Entecavir; TDF: Tenofovir; TAF: Tenofovir alafenamide; LMV: Lamivudine; ALT: </w:t>
      </w:r>
      <w:r w:rsidR="001A56DE" w:rsidRPr="006B4444">
        <w:rPr>
          <w:rFonts w:ascii="Book Antiqua" w:hAnsi="Book Antiqua" w:cs="宋体"/>
        </w:rPr>
        <w:t>Alanine aminotransferase.</w:t>
      </w:r>
    </w:p>
    <w:sectPr w:rsidR="00B05691" w:rsidRPr="008F4275" w:rsidSect="00820B35">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61D96" w14:textId="77777777" w:rsidR="000D31AF" w:rsidRDefault="000D31AF" w:rsidP="00383ECE">
      <w:r>
        <w:separator/>
      </w:r>
    </w:p>
  </w:endnote>
  <w:endnote w:type="continuationSeparator" w:id="0">
    <w:p w14:paraId="3DDFE72F" w14:textId="77777777" w:rsidR="000D31AF" w:rsidRDefault="000D31AF" w:rsidP="0038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DengXian">
    <w:altName w:val="Arial Unicode MS"/>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9043" w14:textId="77777777" w:rsidR="008D5C61" w:rsidRDefault="008D5C61" w:rsidP="000126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47225DF" w14:textId="77777777" w:rsidR="008D5C61" w:rsidRDefault="008D5C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E79E0" w14:textId="77777777" w:rsidR="008D5C61" w:rsidRDefault="008D5C61" w:rsidP="000126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4444">
      <w:rPr>
        <w:rStyle w:val="a6"/>
        <w:noProof/>
      </w:rPr>
      <w:t>27</w:t>
    </w:r>
    <w:r>
      <w:rPr>
        <w:rStyle w:val="a6"/>
      </w:rPr>
      <w:fldChar w:fldCharType="end"/>
    </w:r>
  </w:p>
  <w:p w14:paraId="292659EC" w14:textId="77777777" w:rsidR="008D5C61" w:rsidRDefault="008D5C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EFE22" w14:textId="77777777" w:rsidR="000D31AF" w:rsidRDefault="000D31AF" w:rsidP="00383ECE">
      <w:r>
        <w:separator/>
      </w:r>
    </w:p>
  </w:footnote>
  <w:footnote w:type="continuationSeparator" w:id="0">
    <w:p w14:paraId="51187F59" w14:textId="77777777" w:rsidR="000D31AF" w:rsidRDefault="000D31AF" w:rsidP="00383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00B2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B665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4274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0A3C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28A55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2E7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DAF9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124B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420B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E8DC6E"/>
    <w:lvl w:ilvl="0">
      <w:start w:val="1"/>
      <w:numFmt w:val="bullet"/>
      <w:lvlText w:val=""/>
      <w:lvlJc w:val="left"/>
      <w:pPr>
        <w:tabs>
          <w:tab w:val="num" w:pos="360"/>
        </w:tabs>
        <w:ind w:left="360" w:hanging="360"/>
      </w:pPr>
      <w:rPr>
        <w:rFonts w:ascii="Symbol" w:hAnsi="Symbol" w:hint="default"/>
      </w:rPr>
    </w:lvl>
  </w:abstractNum>
  <w:abstractNum w:abstractNumId="10">
    <w:nsid w:val="021758BD"/>
    <w:multiLevelType w:val="hybridMultilevel"/>
    <w:tmpl w:val="1EA4D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530938"/>
    <w:multiLevelType w:val="hybridMultilevel"/>
    <w:tmpl w:val="AE56B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B467EC"/>
    <w:multiLevelType w:val="hybridMultilevel"/>
    <w:tmpl w:val="44EC97B0"/>
    <w:lvl w:ilvl="0" w:tplc="BB9498E6">
      <w:start w:val="1"/>
      <w:numFmt w:val="bullet"/>
      <w:lvlText w:val="•"/>
      <w:lvlJc w:val="left"/>
      <w:pPr>
        <w:tabs>
          <w:tab w:val="num" w:pos="720"/>
        </w:tabs>
        <w:ind w:left="720" w:hanging="360"/>
      </w:pPr>
      <w:rPr>
        <w:rFonts w:ascii="宋体" w:hAnsi="宋体" w:hint="default"/>
      </w:rPr>
    </w:lvl>
    <w:lvl w:ilvl="1" w:tplc="2444A1BA" w:tentative="1">
      <w:start w:val="1"/>
      <w:numFmt w:val="bullet"/>
      <w:lvlText w:val="•"/>
      <w:lvlJc w:val="left"/>
      <w:pPr>
        <w:tabs>
          <w:tab w:val="num" w:pos="1440"/>
        </w:tabs>
        <w:ind w:left="1440" w:hanging="360"/>
      </w:pPr>
      <w:rPr>
        <w:rFonts w:ascii="宋体" w:hAnsi="宋体" w:hint="default"/>
      </w:rPr>
    </w:lvl>
    <w:lvl w:ilvl="2" w:tplc="D4B48766" w:tentative="1">
      <w:start w:val="1"/>
      <w:numFmt w:val="bullet"/>
      <w:lvlText w:val="•"/>
      <w:lvlJc w:val="left"/>
      <w:pPr>
        <w:tabs>
          <w:tab w:val="num" w:pos="2160"/>
        </w:tabs>
        <w:ind w:left="2160" w:hanging="360"/>
      </w:pPr>
      <w:rPr>
        <w:rFonts w:ascii="宋体" w:hAnsi="宋体" w:hint="default"/>
      </w:rPr>
    </w:lvl>
    <w:lvl w:ilvl="3" w:tplc="B92C4F12" w:tentative="1">
      <w:start w:val="1"/>
      <w:numFmt w:val="bullet"/>
      <w:lvlText w:val="•"/>
      <w:lvlJc w:val="left"/>
      <w:pPr>
        <w:tabs>
          <w:tab w:val="num" w:pos="2880"/>
        </w:tabs>
        <w:ind w:left="2880" w:hanging="360"/>
      </w:pPr>
      <w:rPr>
        <w:rFonts w:ascii="宋体" w:hAnsi="宋体" w:hint="default"/>
      </w:rPr>
    </w:lvl>
    <w:lvl w:ilvl="4" w:tplc="CAB86FDC" w:tentative="1">
      <w:start w:val="1"/>
      <w:numFmt w:val="bullet"/>
      <w:lvlText w:val="•"/>
      <w:lvlJc w:val="left"/>
      <w:pPr>
        <w:tabs>
          <w:tab w:val="num" w:pos="3600"/>
        </w:tabs>
        <w:ind w:left="3600" w:hanging="360"/>
      </w:pPr>
      <w:rPr>
        <w:rFonts w:ascii="宋体" w:hAnsi="宋体" w:hint="default"/>
      </w:rPr>
    </w:lvl>
    <w:lvl w:ilvl="5" w:tplc="B7DACF58" w:tentative="1">
      <w:start w:val="1"/>
      <w:numFmt w:val="bullet"/>
      <w:lvlText w:val="•"/>
      <w:lvlJc w:val="left"/>
      <w:pPr>
        <w:tabs>
          <w:tab w:val="num" w:pos="4320"/>
        </w:tabs>
        <w:ind w:left="4320" w:hanging="360"/>
      </w:pPr>
      <w:rPr>
        <w:rFonts w:ascii="宋体" w:hAnsi="宋体" w:hint="default"/>
      </w:rPr>
    </w:lvl>
    <w:lvl w:ilvl="6" w:tplc="F82A0048" w:tentative="1">
      <w:start w:val="1"/>
      <w:numFmt w:val="bullet"/>
      <w:lvlText w:val="•"/>
      <w:lvlJc w:val="left"/>
      <w:pPr>
        <w:tabs>
          <w:tab w:val="num" w:pos="5040"/>
        </w:tabs>
        <w:ind w:left="5040" w:hanging="360"/>
      </w:pPr>
      <w:rPr>
        <w:rFonts w:ascii="宋体" w:hAnsi="宋体" w:hint="default"/>
      </w:rPr>
    </w:lvl>
    <w:lvl w:ilvl="7" w:tplc="25467C3E" w:tentative="1">
      <w:start w:val="1"/>
      <w:numFmt w:val="bullet"/>
      <w:lvlText w:val="•"/>
      <w:lvlJc w:val="left"/>
      <w:pPr>
        <w:tabs>
          <w:tab w:val="num" w:pos="5760"/>
        </w:tabs>
        <w:ind w:left="5760" w:hanging="360"/>
      </w:pPr>
      <w:rPr>
        <w:rFonts w:ascii="宋体" w:hAnsi="宋体" w:hint="default"/>
      </w:rPr>
    </w:lvl>
    <w:lvl w:ilvl="8" w:tplc="F604ADF2" w:tentative="1">
      <w:start w:val="1"/>
      <w:numFmt w:val="bullet"/>
      <w:lvlText w:val="•"/>
      <w:lvlJc w:val="left"/>
      <w:pPr>
        <w:tabs>
          <w:tab w:val="num" w:pos="6480"/>
        </w:tabs>
        <w:ind w:left="6480" w:hanging="360"/>
      </w:pPr>
      <w:rPr>
        <w:rFonts w:ascii="宋体" w:hAnsi="宋体" w:hint="default"/>
      </w:rPr>
    </w:lvl>
  </w:abstractNum>
  <w:abstractNum w:abstractNumId="13">
    <w:nsid w:val="1CA801E3"/>
    <w:multiLevelType w:val="hybridMultilevel"/>
    <w:tmpl w:val="1A1C0D7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F0F2C41"/>
    <w:multiLevelType w:val="singleLevel"/>
    <w:tmpl w:val="32DA54CE"/>
    <w:lvl w:ilvl="0">
      <w:start w:val="1"/>
      <w:numFmt w:val="decimal"/>
      <w:lvlText w:val="%1."/>
      <w:lvlJc w:val="left"/>
      <w:pPr>
        <w:tabs>
          <w:tab w:val="num" w:pos="360"/>
        </w:tabs>
        <w:ind w:left="360" w:hanging="360"/>
      </w:pPr>
      <w:rPr>
        <w:rFonts w:cs="Times New Roman"/>
        <w:b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1937FF0"/>
    <w:multiLevelType w:val="hybridMultilevel"/>
    <w:tmpl w:val="E4FC562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9680393"/>
    <w:multiLevelType w:val="hybridMultilevel"/>
    <w:tmpl w:val="318C1BBE"/>
    <w:lvl w:ilvl="0" w:tplc="545E0440">
      <w:start w:val="14"/>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D4078D1"/>
    <w:multiLevelType w:val="multilevel"/>
    <w:tmpl w:val="8F8E9F9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8">
    <w:nsid w:val="44727FDC"/>
    <w:multiLevelType w:val="hybridMultilevel"/>
    <w:tmpl w:val="FA567D4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9655C06"/>
    <w:multiLevelType w:val="hybridMultilevel"/>
    <w:tmpl w:val="B7EE944A"/>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C56169A"/>
    <w:multiLevelType w:val="hybridMultilevel"/>
    <w:tmpl w:val="997EEDA8"/>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5EC5070C"/>
    <w:multiLevelType w:val="hybridMultilevel"/>
    <w:tmpl w:val="FAB8F558"/>
    <w:lvl w:ilvl="0" w:tplc="CFBCECF8">
      <w:start w:val="1"/>
      <w:numFmt w:val="bullet"/>
      <w:lvlText w:val="•"/>
      <w:lvlJc w:val="left"/>
      <w:pPr>
        <w:tabs>
          <w:tab w:val="num" w:pos="720"/>
        </w:tabs>
        <w:ind w:left="720" w:hanging="360"/>
      </w:pPr>
      <w:rPr>
        <w:rFonts w:ascii="宋体" w:hAnsi="宋体" w:hint="default"/>
      </w:rPr>
    </w:lvl>
    <w:lvl w:ilvl="1" w:tplc="67ACC634" w:tentative="1">
      <w:start w:val="1"/>
      <w:numFmt w:val="bullet"/>
      <w:lvlText w:val="•"/>
      <w:lvlJc w:val="left"/>
      <w:pPr>
        <w:tabs>
          <w:tab w:val="num" w:pos="1440"/>
        </w:tabs>
        <w:ind w:left="1440" w:hanging="360"/>
      </w:pPr>
      <w:rPr>
        <w:rFonts w:ascii="宋体" w:hAnsi="宋体" w:hint="default"/>
      </w:rPr>
    </w:lvl>
    <w:lvl w:ilvl="2" w:tplc="505C2DB0" w:tentative="1">
      <w:start w:val="1"/>
      <w:numFmt w:val="bullet"/>
      <w:lvlText w:val="•"/>
      <w:lvlJc w:val="left"/>
      <w:pPr>
        <w:tabs>
          <w:tab w:val="num" w:pos="2160"/>
        </w:tabs>
        <w:ind w:left="2160" w:hanging="360"/>
      </w:pPr>
      <w:rPr>
        <w:rFonts w:ascii="宋体" w:hAnsi="宋体" w:hint="default"/>
      </w:rPr>
    </w:lvl>
    <w:lvl w:ilvl="3" w:tplc="3A30CE42" w:tentative="1">
      <w:start w:val="1"/>
      <w:numFmt w:val="bullet"/>
      <w:lvlText w:val="•"/>
      <w:lvlJc w:val="left"/>
      <w:pPr>
        <w:tabs>
          <w:tab w:val="num" w:pos="2880"/>
        </w:tabs>
        <w:ind w:left="2880" w:hanging="360"/>
      </w:pPr>
      <w:rPr>
        <w:rFonts w:ascii="宋体" w:hAnsi="宋体" w:hint="default"/>
      </w:rPr>
    </w:lvl>
    <w:lvl w:ilvl="4" w:tplc="4EAC8F50" w:tentative="1">
      <w:start w:val="1"/>
      <w:numFmt w:val="bullet"/>
      <w:lvlText w:val="•"/>
      <w:lvlJc w:val="left"/>
      <w:pPr>
        <w:tabs>
          <w:tab w:val="num" w:pos="3600"/>
        </w:tabs>
        <w:ind w:left="3600" w:hanging="360"/>
      </w:pPr>
      <w:rPr>
        <w:rFonts w:ascii="宋体" w:hAnsi="宋体" w:hint="default"/>
      </w:rPr>
    </w:lvl>
    <w:lvl w:ilvl="5" w:tplc="9ACC333A" w:tentative="1">
      <w:start w:val="1"/>
      <w:numFmt w:val="bullet"/>
      <w:lvlText w:val="•"/>
      <w:lvlJc w:val="left"/>
      <w:pPr>
        <w:tabs>
          <w:tab w:val="num" w:pos="4320"/>
        </w:tabs>
        <w:ind w:left="4320" w:hanging="360"/>
      </w:pPr>
      <w:rPr>
        <w:rFonts w:ascii="宋体" w:hAnsi="宋体" w:hint="default"/>
      </w:rPr>
    </w:lvl>
    <w:lvl w:ilvl="6" w:tplc="B1CA0F64" w:tentative="1">
      <w:start w:val="1"/>
      <w:numFmt w:val="bullet"/>
      <w:lvlText w:val="•"/>
      <w:lvlJc w:val="left"/>
      <w:pPr>
        <w:tabs>
          <w:tab w:val="num" w:pos="5040"/>
        </w:tabs>
        <w:ind w:left="5040" w:hanging="360"/>
      </w:pPr>
      <w:rPr>
        <w:rFonts w:ascii="宋体" w:hAnsi="宋体" w:hint="default"/>
      </w:rPr>
    </w:lvl>
    <w:lvl w:ilvl="7" w:tplc="D78A7A22" w:tentative="1">
      <w:start w:val="1"/>
      <w:numFmt w:val="bullet"/>
      <w:lvlText w:val="•"/>
      <w:lvlJc w:val="left"/>
      <w:pPr>
        <w:tabs>
          <w:tab w:val="num" w:pos="5760"/>
        </w:tabs>
        <w:ind w:left="5760" w:hanging="360"/>
      </w:pPr>
      <w:rPr>
        <w:rFonts w:ascii="宋体" w:hAnsi="宋体" w:hint="default"/>
      </w:rPr>
    </w:lvl>
    <w:lvl w:ilvl="8" w:tplc="FBACBF8C" w:tentative="1">
      <w:start w:val="1"/>
      <w:numFmt w:val="bullet"/>
      <w:lvlText w:val="•"/>
      <w:lvlJc w:val="left"/>
      <w:pPr>
        <w:tabs>
          <w:tab w:val="num" w:pos="6480"/>
        </w:tabs>
        <w:ind w:left="6480" w:hanging="360"/>
      </w:pPr>
      <w:rPr>
        <w:rFonts w:ascii="宋体" w:hAnsi="宋体" w:hint="default"/>
      </w:rPr>
    </w:lvl>
  </w:abstractNum>
  <w:abstractNum w:abstractNumId="22">
    <w:nsid w:val="7A1849A3"/>
    <w:multiLevelType w:val="hybridMultilevel"/>
    <w:tmpl w:val="5C0A4D94"/>
    <w:lvl w:ilvl="0" w:tplc="B588A1F6">
      <w:start w:val="1"/>
      <w:numFmt w:val="bullet"/>
      <w:lvlText w:val="•"/>
      <w:lvlJc w:val="left"/>
      <w:pPr>
        <w:tabs>
          <w:tab w:val="num" w:pos="720"/>
        </w:tabs>
        <w:ind w:left="720" w:hanging="360"/>
      </w:pPr>
      <w:rPr>
        <w:rFonts w:ascii="宋体" w:hAnsi="宋体" w:hint="default"/>
      </w:rPr>
    </w:lvl>
    <w:lvl w:ilvl="1" w:tplc="FB10539E" w:tentative="1">
      <w:start w:val="1"/>
      <w:numFmt w:val="bullet"/>
      <w:lvlText w:val="•"/>
      <w:lvlJc w:val="left"/>
      <w:pPr>
        <w:tabs>
          <w:tab w:val="num" w:pos="1440"/>
        </w:tabs>
        <w:ind w:left="1440" w:hanging="360"/>
      </w:pPr>
      <w:rPr>
        <w:rFonts w:ascii="宋体" w:hAnsi="宋体" w:hint="default"/>
      </w:rPr>
    </w:lvl>
    <w:lvl w:ilvl="2" w:tplc="35460C54" w:tentative="1">
      <w:start w:val="1"/>
      <w:numFmt w:val="bullet"/>
      <w:lvlText w:val="•"/>
      <w:lvlJc w:val="left"/>
      <w:pPr>
        <w:tabs>
          <w:tab w:val="num" w:pos="2160"/>
        </w:tabs>
        <w:ind w:left="2160" w:hanging="360"/>
      </w:pPr>
      <w:rPr>
        <w:rFonts w:ascii="宋体" w:hAnsi="宋体" w:hint="default"/>
      </w:rPr>
    </w:lvl>
    <w:lvl w:ilvl="3" w:tplc="3C0AA1E4" w:tentative="1">
      <w:start w:val="1"/>
      <w:numFmt w:val="bullet"/>
      <w:lvlText w:val="•"/>
      <w:lvlJc w:val="left"/>
      <w:pPr>
        <w:tabs>
          <w:tab w:val="num" w:pos="2880"/>
        </w:tabs>
        <w:ind w:left="2880" w:hanging="360"/>
      </w:pPr>
      <w:rPr>
        <w:rFonts w:ascii="宋体" w:hAnsi="宋体" w:hint="default"/>
      </w:rPr>
    </w:lvl>
    <w:lvl w:ilvl="4" w:tplc="1C762E76" w:tentative="1">
      <w:start w:val="1"/>
      <w:numFmt w:val="bullet"/>
      <w:lvlText w:val="•"/>
      <w:lvlJc w:val="left"/>
      <w:pPr>
        <w:tabs>
          <w:tab w:val="num" w:pos="3600"/>
        </w:tabs>
        <w:ind w:left="3600" w:hanging="360"/>
      </w:pPr>
      <w:rPr>
        <w:rFonts w:ascii="宋体" w:hAnsi="宋体" w:hint="default"/>
      </w:rPr>
    </w:lvl>
    <w:lvl w:ilvl="5" w:tplc="C7AEE8AC" w:tentative="1">
      <w:start w:val="1"/>
      <w:numFmt w:val="bullet"/>
      <w:lvlText w:val="•"/>
      <w:lvlJc w:val="left"/>
      <w:pPr>
        <w:tabs>
          <w:tab w:val="num" w:pos="4320"/>
        </w:tabs>
        <w:ind w:left="4320" w:hanging="360"/>
      </w:pPr>
      <w:rPr>
        <w:rFonts w:ascii="宋体" w:hAnsi="宋体" w:hint="default"/>
      </w:rPr>
    </w:lvl>
    <w:lvl w:ilvl="6" w:tplc="9880008A" w:tentative="1">
      <w:start w:val="1"/>
      <w:numFmt w:val="bullet"/>
      <w:lvlText w:val="•"/>
      <w:lvlJc w:val="left"/>
      <w:pPr>
        <w:tabs>
          <w:tab w:val="num" w:pos="5040"/>
        </w:tabs>
        <w:ind w:left="5040" w:hanging="360"/>
      </w:pPr>
      <w:rPr>
        <w:rFonts w:ascii="宋体" w:hAnsi="宋体" w:hint="default"/>
      </w:rPr>
    </w:lvl>
    <w:lvl w:ilvl="7" w:tplc="06B47C96" w:tentative="1">
      <w:start w:val="1"/>
      <w:numFmt w:val="bullet"/>
      <w:lvlText w:val="•"/>
      <w:lvlJc w:val="left"/>
      <w:pPr>
        <w:tabs>
          <w:tab w:val="num" w:pos="5760"/>
        </w:tabs>
        <w:ind w:left="5760" w:hanging="360"/>
      </w:pPr>
      <w:rPr>
        <w:rFonts w:ascii="宋体" w:hAnsi="宋体" w:hint="default"/>
      </w:rPr>
    </w:lvl>
    <w:lvl w:ilvl="8" w:tplc="053E90C8" w:tentative="1">
      <w:start w:val="1"/>
      <w:numFmt w:val="bullet"/>
      <w:lvlText w:val="•"/>
      <w:lvlJc w:val="left"/>
      <w:pPr>
        <w:tabs>
          <w:tab w:val="num" w:pos="6480"/>
        </w:tabs>
        <w:ind w:left="6480" w:hanging="360"/>
      </w:pPr>
      <w:rPr>
        <w:rFonts w:ascii="宋体" w:hAnsi="宋体" w:hint="default"/>
      </w:rPr>
    </w:lvl>
  </w:abstractNum>
  <w:abstractNum w:abstractNumId="23">
    <w:nsid w:val="7CEC434A"/>
    <w:multiLevelType w:val="hybridMultilevel"/>
    <w:tmpl w:val="82569E4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13"/>
  </w:num>
  <w:num w:numId="4">
    <w:abstractNumId w:val="11"/>
  </w:num>
  <w:num w:numId="5">
    <w:abstractNumId w:val="10"/>
  </w:num>
  <w:num w:numId="6">
    <w:abstractNumId w:val="14"/>
  </w:num>
  <w:num w:numId="7">
    <w:abstractNumId w:val="20"/>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6"/>
  </w:num>
  <w:num w:numId="24">
    <w:abstractNumId w:val="21"/>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isplayBackgroundShape/>
  <w:bordersDoNotSurroundHeader/>
  <w:bordersDoNotSurroundFooter/>
  <w:proofState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7"/>
    <w:rsid w:val="0000195A"/>
    <w:rsid w:val="00002F4D"/>
    <w:rsid w:val="000069E3"/>
    <w:rsid w:val="00007360"/>
    <w:rsid w:val="000114C6"/>
    <w:rsid w:val="00011804"/>
    <w:rsid w:val="00012655"/>
    <w:rsid w:val="000135E6"/>
    <w:rsid w:val="00015E87"/>
    <w:rsid w:val="00022601"/>
    <w:rsid w:val="00025E9E"/>
    <w:rsid w:val="000278A5"/>
    <w:rsid w:val="0003015F"/>
    <w:rsid w:val="00032BEA"/>
    <w:rsid w:val="000331A9"/>
    <w:rsid w:val="0003411B"/>
    <w:rsid w:val="0003546A"/>
    <w:rsid w:val="000374EE"/>
    <w:rsid w:val="00040F15"/>
    <w:rsid w:val="00041A2F"/>
    <w:rsid w:val="00042A03"/>
    <w:rsid w:val="00050666"/>
    <w:rsid w:val="000638E1"/>
    <w:rsid w:val="000659BB"/>
    <w:rsid w:val="00065D2E"/>
    <w:rsid w:val="00070976"/>
    <w:rsid w:val="0007360B"/>
    <w:rsid w:val="00075404"/>
    <w:rsid w:val="00075644"/>
    <w:rsid w:val="00075713"/>
    <w:rsid w:val="0007581F"/>
    <w:rsid w:val="000764EA"/>
    <w:rsid w:val="00076F57"/>
    <w:rsid w:val="000772C4"/>
    <w:rsid w:val="00083AA3"/>
    <w:rsid w:val="000859FD"/>
    <w:rsid w:val="00092E71"/>
    <w:rsid w:val="000A476F"/>
    <w:rsid w:val="000A7F5A"/>
    <w:rsid w:val="000B0355"/>
    <w:rsid w:val="000B10D9"/>
    <w:rsid w:val="000B27D1"/>
    <w:rsid w:val="000B4D98"/>
    <w:rsid w:val="000C474E"/>
    <w:rsid w:val="000C54D2"/>
    <w:rsid w:val="000D13A6"/>
    <w:rsid w:val="000D31AF"/>
    <w:rsid w:val="000E1313"/>
    <w:rsid w:val="000E2461"/>
    <w:rsid w:val="000E3E26"/>
    <w:rsid w:val="000E6AAF"/>
    <w:rsid w:val="000F0D5B"/>
    <w:rsid w:val="000F3B0D"/>
    <w:rsid w:val="000F4A0B"/>
    <w:rsid w:val="00106883"/>
    <w:rsid w:val="001116D1"/>
    <w:rsid w:val="00115794"/>
    <w:rsid w:val="00116A1D"/>
    <w:rsid w:val="001272F6"/>
    <w:rsid w:val="0012789A"/>
    <w:rsid w:val="00127A4E"/>
    <w:rsid w:val="001318D4"/>
    <w:rsid w:val="00131DCD"/>
    <w:rsid w:val="0013373F"/>
    <w:rsid w:val="00150609"/>
    <w:rsid w:val="00153E63"/>
    <w:rsid w:val="00153FB2"/>
    <w:rsid w:val="001546E6"/>
    <w:rsid w:val="001547E1"/>
    <w:rsid w:val="001547F1"/>
    <w:rsid w:val="00162A90"/>
    <w:rsid w:val="00164433"/>
    <w:rsid w:val="00166914"/>
    <w:rsid w:val="0017071F"/>
    <w:rsid w:val="00175757"/>
    <w:rsid w:val="00176FE8"/>
    <w:rsid w:val="001815B8"/>
    <w:rsid w:val="00183964"/>
    <w:rsid w:val="00183BD0"/>
    <w:rsid w:val="001861E5"/>
    <w:rsid w:val="0019036E"/>
    <w:rsid w:val="001A058B"/>
    <w:rsid w:val="001A203E"/>
    <w:rsid w:val="001A26F7"/>
    <w:rsid w:val="001A3EB3"/>
    <w:rsid w:val="001A5619"/>
    <w:rsid w:val="001A56DE"/>
    <w:rsid w:val="001A799F"/>
    <w:rsid w:val="001B22AE"/>
    <w:rsid w:val="001B4194"/>
    <w:rsid w:val="001B7E46"/>
    <w:rsid w:val="001C0572"/>
    <w:rsid w:val="001C090A"/>
    <w:rsid w:val="001C6D4A"/>
    <w:rsid w:val="001D198F"/>
    <w:rsid w:val="001D2CAA"/>
    <w:rsid w:val="001D47C8"/>
    <w:rsid w:val="001D585F"/>
    <w:rsid w:val="001E6D15"/>
    <w:rsid w:val="001F386F"/>
    <w:rsid w:val="001F4EE9"/>
    <w:rsid w:val="001F76EC"/>
    <w:rsid w:val="001F7ACD"/>
    <w:rsid w:val="00203E0D"/>
    <w:rsid w:val="002056AB"/>
    <w:rsid w:val="00205913"/>
    <w:rsid w:val="00207E0A"/>
    <w:rsid w:val="002122E7"/>
    <w:rsid w:val="00213314"/>
    <w:rsid w:val="00223045"/>
    <w:rsid w:val="00225AB1"/>
    <w:rsid w:val="002313E8"/>
    <w:rsid w:val="00234D9E"/>
    <w:rsid w:val="00240C30"/>
    <w:rsid w:val="00243B06"/>
    <w:rsid w:val="0025214F"/>
    <w:rsid w:val="00252B86"/>
    <w:rsid w:val="00254218"/>
    <w:rsid w:val="002561BC"/>
    <w:rsid w:val="00256DBE"/>
    <w:rsid w:val="00261B38"/>
    <w:rsid w:val="002622B4"/>
    <w:rsid w:val="00262A5A"/>
    <w:rsid w:val="0026490F"/>
    <w:rsid w:val="002651E2"/>
    <w:rsid w:val="00265DAB"/>
    <w:rsid w:val="002769C4"/>
    <w:rsid w:val="002A078F"/>
    <w:rsid w:val="002A67F3"/>
    <w:rsid w:val="002B0496"/>
    <w:rsid w:val="002B1FDC"/>
    <w:rsid w:val="002C58A0"/>
    <w:rsid w:val="002C6F01"/>
    <w:rsid w:val="002D5046"/>
    <w:rsid w:val="002E33D4"/>
    <w:rsid w:val="002E36C5"/>
    <w:rsid w:val="002E484C"/>
    <w:rsid w:val="002F5696"/>
    <w:rsid w:val="002F596D"/>
    <w:rsid w:val="002F67DB"/>
    <w:rsid w:val="002F74EB"/>
    <w:rsid w:val="003003A4"/>
    <w:rsid w:val="00303301"/>
    <w:rsid w:val="0030729D"/>
    <w:rsid w:val="00310DE5"/>
    <w:rsid w:val="0031380F"/>
    <w:rsid w:val="00314603"/>
    <w:rsid w:val="00315EFE"/>
    <w:rsid w:val="00317396"/>
    <w:rsid w:val="0032055E"/>
    <w:rsid w:val="00320C40"/>
    <w:rsid w:val="00323E2A"/>
    <w:rsid w:val="0032526D"/>
    <w:rsid w:val="003252B1"/>
    <w:rsid w:val="00330DD6"/>
    <w:rsid w:val="00331985"/>
    <w:rsid w:val="00336D2E"/>
    <w:rsid w:val="0034115D"/>
    <w:rsid w:val="00341FBF"/>
    <w:rsid w:val="00342541"/>
    <w:rsid w:val="00356F4E"/>
    <w:rsid w:val="00360116"/>
    <w:rsid w:val="00363A15"/>
    <w:rsid w:val="00364FC8"/>
    <w:rsid w:val="00365E7B"/>
    <w:rsid w:val="00367BF1"/>
    <w:rsid w:val="00375812"/>
    <w:rsid w:val="003765EE"/>
    <w:rsid w:val="00377B0F"/>
    <w:rsid w:val="00382622"/>
    <w:rsid w:val="0038340A"/>
    <w:rsid w:val="003834E5"/>
    <w:rsid w:val="00383928"/>
    <w:rsid w:val="00383ECE"/>
    <w:rsid w:val="00383F59"/>
    <w:rsid w:val="00396D0A"/>
    <w:rsid w:val="0039773C"/>
    <w:rsid w:val="003A1B23"/>
    <w:rsid w:val="003A2775"/>
    <w:rsid w:val="003B4954"/>
    <w:rsid w:val="003B5B08"/>
    <w:rsid w:val="003B784C"/>
    <w:rsid w:val="003C1EA4"/>
    <w:rsid w:val="003C7647"/>
    <w:rsid w:val="003D4EB2"/>
    <w:rsid w:val="003D5AD0"/>
    <w:rsid w:val="003D6A6D"/>
    <w:rsid w:val="003D75F8"/>
    <w:rsid w:val="003E09FA"/>
    <w:rsid w:val="003E1E79"/>
    <w:rsid w:val="003E36B0"/>
    <w:rsid w:val="003F0E58"/>
    <w:rsid w:val="003F54F7"/>
    <w:rsid w:val="003F6798"/>
    <w:rsid w:val="00400C3E"/>
    <w:rsid w:val="00400FCD"/>
    <w:rsid w:val="00401B87"/>
    <w:rsid w:val="00401C4E"/>
    <w:rsid w:val="004032DE"/>
    <w:rsid w:val="00410CC3"/>
    <w:rsid w:val="004235DB"/>
    <w:rsid w:val="00424E41"/>
    <w:rsid w:val="00430B6F"/>
    <w:rsid w:val="00432008"/>
    <w:rsid w:val="00433281"/>
    <w:rsid w:val="004341B0"/>
    <w:rsid w:val="00441853"/>
    <w:rsid w:val="004437A2"/>
    <w:rsid w:val="00444361"/>
    <w:rsid w:val="00445EA1"/>
    <w:rsid w:val="004466AA"/>
    <w:rsid w:val="004502BE"/>
    <w:rsid w:val="00455109"/>
    <w:rsid w:val="004573F0"/>
    <w:rsid w:val="00457988"/>
    <w:rsid w:val="004602AD"/>
    <w:rsid w:val="00461786"/>
    <w:rsid w:val="00464EE4"/>
    <w:rsid w:val="00466C5C"/>
    <w:rsid w:val="00487979"/>
    <w:rsid w:val="00491DF3"/>
    <w:rsid w:val="00496F62"/>
    <w:rsid w:val="004A3597"/>
    <w:rsid w:val="004A3DFC"/>
    <w:rsid w:val="004A4830"/>
    <w:rsid w:val="004A5965"/>
    <w:rsid w:val="004B092F"/>
    <w:rsid w:val="004B23DF"/>
    <w:rsid w:val="004B2F62"/>
    <w:rsid w:val="004B41A1"/>
    <w:rsid w:val="004B558D"/>
    <w:rsid w:val="004B5E61"/>
    <w:rsid w:val="004C17F7"/>
    <w:rsid w:val="004C43F9"/>
    <w:rsid w:val="004D28DF"/>
    <w:rsid w:val="004D450B"/>
    <w:rsid w:val="004F0230"/>
    <w:rsid w:val="004F54AD"/>
    <w:rsid w:val="00501418"/>
    <w:rsid w:val="0050626B"/>
    <w:rsid w:val="00506F5C"/>
    <w:rsid w:val="005071E9"/>
    <w:rsid w:val="0050769E"/>
    <w:rsid w:val="005119E9"/>
    <w:rsid w:val="0051609F"/>
    <w:rsid w:val="00517675"/>
    <w:rsid w:val="005225B2"/>
    <w:rsid w:val="00522C09"/>
    <w:rsid w:val="00532083"/>
    <w:rsid w:val="005321D1"/>
    <w:rsid w:val="00533DF8"/>
    <w:rsid w:val="00534911"/>
    <w:rsid w:val="00536107"/>
    <w:rsid w:val="005376E0"/>
    <w:rsid w:val="00540840"/>
    <w:rsid w:val="00553F4A"/>
    <w:rsid w:val="00565A10"/>
    <w:rsid w:val="0057076E"/>
    <w:rsid w:val="00570FB9"/>
    <w:rsid w:val="00576E2D"/>
    <w:rsid w:val="00580782"/>
    <w:rsid w:val="00582C4D"/>
    <w:rsid w:val="005872C2"/>
    <w:rsid w:val="005973A3"/>
    <w:rsid w:val="005A22C4"/>
    <w:rsid w:val="005B08CF"/>
    <w:rsid w:val="005B0B6A"/>
    <w:rsid w:val="005B1417"/>
    <w:rsid w:val="005C4450"/>
    <w:rsid w:val="005C64FD"/>
    <w:rsid w:val="005C79B2"/>
    <w:rsid w:val="005D03A7"/>
    <w:rsid w:val="005D2B99"/>
    <w:rsid w:val="005D3062"/>
    <w:rsid w:val="005D4685"/>
    <w:rsid w:val="005D48F0"/>
    <w:rsid w:val="005D61DB"/>
    <w:rsid w:val="005E0597"/>
    <w:rsid w:val="005E102A"/>
    <w:rsid w:val="005E2942"/>
    <w:rsid w:val="005E3A19"/>
    <w:rsid w:val="005F0FEB"/>
    <w:rsid w:val="005F142D"/>
    <w:rsid w:val="005F3D45"/>
    <w:rsid w:val="005F65CA"/>
    <w:rsid w:val="00600062"/>
    <w:rsid w:val="00600B44"/>
    <w:rsid w:val="00602403"/>
    <w:rsid w:val="00603016"/>
    <w:rsid w:val="00605C6C"/>
    <w:rsid w:val="00606798"/>
    <w:rsid w:val="00615B18"/>
    <w:rsid w:val="00616400"/>
    <w:rsid w:val="00616654"/>
    <w:rsid w:val="00616C67"/>
    <w:rsid w:val="00620375"/>
    <w:rsid w:val="0062084E"/>
    <w:rsid w:val="0062207B"/>
    <w:rsid w:val="00625D19"/>
    <w:rsid w:val="00634CE2"/>
    <w:rsid w:val="006412B9"/>
    <w:rsid w:val="006534D7"/>
    <w:rsid w:val="0065630F"/>
    <w:rsid w:val="00660A58"/>
    <w:rsid w:val="006614AA"/>
    <w:rsid w:val="0066215F"/>
    <w:rsid w:val="00663013"/>
    <w:rsid w:val="00664E56"/>
    <w:rsid w:val="00671062"/>
    <w:rsid w:val="00671189"/>
    <w:rsid w:val="00677C73"/>
    <w:rsid w:val="006810F5"/>
    <w:rsid w:val="00681BA6"/>
    <w:rsid w:val="00687577"/>
    <w:rsid w:val="00694119"/>
    <w:rsid w:val="00695786"/>
    <w:rsid w:val="006A2F14"/>
    <w:rsid w:val="006A4ECB"/>
    <w:rsid w:val="006A5436"/>
    <w:rsid w:val="006B4444"/>
    <w:rsid w:val="006C2DC5"/>
    <w:rsid w:val="006C587F"/>
    <w:rsid w:val="006D0AC4"/>
    <w:rsid w:val="006D61D0"/>
    <w:rsid w:val="006E0B0F"/>
    <w:rsid w:val="006E143C"/>
    <w:rsid w:val="006E5B18"/>
    <w:rsid w:val="006E6D53"/>
    <w:rsid w:val="006F06FF"/>
    <w:rsid w:val="006F3909"/>
    <w:rsid w:val="006F49C7"/>
    <w:rsid w:val="006F6C04"/>
    <w:rsid w:val="007002FD"/>
    <w:rsid w:val="007017CE"/>
    <w:rsid w:val="00706212"/>
    <w:rsid w:val="007111BE"/>
    <w:rsid w:val="00722812"/>
    <w:rsid w:val="0072359B"/>
    <w:rsid w:val="00725109"/>
    <w:rsid w:val="00726FDD"/>
    <w:rsid w:val="00730A01"/>
    <w:rsid w:val="00732383"/>
    <w:rsid w:val="00733431"/>
    <w:rsid w:val="00736E34"/>
    <w:rsid w:val="007419F0"/>
    <w:rsid w:val="00752229"/>
    <w:rsid w:val="00757EF1"/>
    <w:rsid w:val="00764B42"/>
    <w:rsid w:val="00764BB9"/>
    <w:rsid w:val="00765854"/>
    <w:rsid w:val="00773037"/>
    <w:rsid w:val="0077418E"/>
    <w:rsid w:val="00776276"/>
    <w:rsid w:val="0077648A"/>
    <w:rsid w:val="00776C9A"/>
    <w:rsid w:val="00785E5F"/>
    <w:rsid w:val="007870CC"/>
    <w:rsid w:val="0079278C"/>
    <w:rsid w:val="007A4D02"/>
    <w:rsid w:val="007A5291"/>
    <w:rsid w:val="007A5953"/>
    <w:rsid w:val="007A6B61"/>
    <w:rsid w:val="007A6E97"/>
    <w:rsid w:val="007B2208"/>
    <w:rsid w:val="007B4372"/>
    <w:rsid w:val="007B4955"/>
    <w:rsid w:val="007C164F"/>
    <w:rsid w:val="007C265E"/>
    <w:rsid w:val="007C5CFD"/>
    <w:rsid w:val="007C68D2"/>
    <w:rsid w:val="007D162B"/>
    <w:rsid w:val="007D4F58"/>
    <w:rsid w:val="007D4F83"/>
    <w:rsid w:val="007D685B"/>
    <w:rsid w:val="007E5BBF"/>
    <w:rsid w:val="007E7725"/>
    <w:rsid w:val="007F3E1B"/>
    <w:rsid w:val="00801DF4"/>
    <w:rsid w:val="00802DB7"/>
    <w:rsid w:val="00804684"/>
    <w:rsid w:val="00807854"/>
    <w:rsid w:val="008105B6"/>
    <w:rsid w:val="0081528F"/>
    <w:rsid w:val="00816D6D"/>
    <w:rsid w:val="00820B35"/>
    <w:rsid w:val="00825C0B"/>
    <w:rsid w:val="00827313"/>
    <w:rsid w:val="00831BA7"/>
    <w:rsid w:val="008323F4"/>
    <w:rsid w:val="008326B5"/>
    <w:rsid w:val="00836D27"/>
    <w:rsid w:val="00841A1D"/>
    <w:rsid w:val="00842C3E"/>
    <w:rsid w:val="00842D74"/>
    <w:rsid w:val="008435FD"/>
    <w:rsid w:val="00844A0B"/>
    <w:rsid w:val="00850B59"/>
    <w:rsid w:val="00853247"/>
    <w:rsid w:val="00864F99"/>
    <w:rsid w:val="00865814"/>
    <w:rsid w:val="008745F0"/>
    <w:rsid w:val="008746A2"/>
    <w:rsid w:val="00874DEE"/>
    <w:rsid w:val="00875AFE"/>
    <w:rsid w:val="00877DB1"/>
    <w:rsid w:val="00881993"/>
    <w:rsid w:val="00882ABA"/>
    <w:rsid w:val="00886170"/>
    <w:rsid w:val="00887B21"/>
    <w:rsid w:val="00890ECB"/>
    <w:rsid w:val="0089458E"/>
    <w:rsid w:val="008A0FD6"/>
    <w:rsid w:val="008A1651"/>
    <w:rsid w:val="008A2B7A"/>
    <w:rsid w:val="008B3852"/>
    <w:rsid w:val="008B50A6"/>
    <w:rsid w:val="008C00B5"/>
    <w:rsid w:val="008C5A07"/>
    <w:rsid w:val="008D3A7C"/>
    <w:rsid w:val="008D55BA"/>
    <w:rsid w:val="008D5C61"/>
    <w:rsid w:val="008E0416"/>
    <w:rsid w:val="008E2F82"/>
    <w:rsid w:val="008F4275"/>
    <w:rsid w:val="009104C7"/>
    <w:rsid w:val="0091226E"/>
    <w:rsid w:val="00923896"/>
    <w:rsid w:val="00924DFA"/>
    <w:rsid w:val="00925810"/>
    <w:rsid w:val="0092609E"/>
    <w:rsid w:val="00935E92"/>
    <w:rsid w:val="009436DA"/>
    <w:rsid w:val="00945153"/>
    <w:rsid w:val="00947BC2"/>
    <w:rsid w:val="00947F74"/>
    <w:rsid w:val="00953841"/>
    <w:rsid w:val="00957286"/>
    <w:rsid w:val="00963C29"/>
    <w:rsid w:val="00971D6A"/>
    <w:rsid w:val="009730A1"/>
    <w:rsid w:val="009746BB"/>
    <w:rsid w:val="00981398"/>
    <w:rsid w:val="00984FF4"/>
    <w:rsid w:val="00991EF9"/>
    <w:rsid w:val="0099370C"/>
    <w:rsid w:val="009A0322"/>
    <w:rsid w:val="009A05CE"/>
    <w:rsid w:val="009A3AA1"/>
    <w:rsid w:val="009A46E3"/>
    <w:rsid w:val="009A7576"/>
    <w:rsid w:val="009B00F7"/>
    <w:rsid w:val="009B247F"/>
    <w:rsid w:val="009B47C9"/>
    <w:rsid w:val="009B4805"/>
    <w:rsid w:val="009B5321"/>
    <w:rsid w:val="009B5E30"/>
    <w:rsid w:val="009B7494"/>
    <w:rsid w:val="009C0FAD"/>
    <w:rsid w:val="009C6CE7"/>
    <w:rsid w:val="009D1580"/>
    <w:rsid w:val="009D24F8"/>
    <w:rsid w:val="009D3B54"/>
    <w:rsid w:val="009E5F5D"/>
    <w:rsid w:val="00A1380F"/>
    <w:rsid w:val="00A13E83"/>
    <w:rsid w:val="00A17771"/>
    <w:rsid w:val="00A22AF8"/>
    <w:rsid w:val="00A24108"/>
    <w:rsid w:val="00A30C7E"/>
    <w:rsid w:val="00A33BE5"/>
    <w:rsid w:val="00A44A67"/>
    <w:rsid w:val="00A44DE8"/>
    <w:rsid w:val="00A529C8"/>
    <w:rsid w:val="00A5302F"/>
    <w:rsid w:val="00A5345B"/>
    <w:rsid w:val="00A54D06"/>
    <w:rsid w:val="00A56516"/>
    <w:rsid w:val="00A57D21"/>
    <w:rsid w:val="00A62612"/>
    <w:rsid w:val="00A72E4F"/>
    <w:rsid w:val="00A8172A"/>
    <w:rsid w:val="00A821F9"/>
    <w:rsid w:val="00A9434B"/>
    <w:rsid w:val="00A9783E"/>
    <w:rsid w:val="00A9790E"/>
    <w:rsid w:val="00AA5299"/>
    <w:rsid w:val="00AB4FF0"/>
    <w:rsid w:val="00AC3C31"/>
    <w:rsid w:val="00AC67A0"/>
    <w:rsid w:val="00AD0D11"/>
    <w:rsid w:val="00AD4286"/>
    <w:rsid w:val="00AD4BAB"/>
    <w:rsid w:val="00AD6330"/>
    <w:rsid w:val="00AD6B76"/>
    <w:rsid w:val="00AE17EA"/>
    <w:rsid w:val="00AF7CCF"/>
    <w:rsid w:val="00B05691"/>
    <w:rsid w:val="00B07072"/>
    <w:rsid w:val="00B156FE"/>
    <w:rsid w:val="00B22CCF"/>
    <w:rsid w:val="00B22D52"/>
    <w:rsid w:val="00B23C5A"/>
    <w:rsid w:val="00B32826"/>
    <w:rsid w:val="00B36A3D"/>
    <w:rsid w:val="00B36D12"/>
    <w:rsid w:val="00B3701F"/>
    <w:rsid w:val="00B44DA8"/>
    <w:rsid w:val="00B44F95"/>
    <w:rsid w:val="00B47091"/>
    <w:rsid w:val="00B53DBD"/>
    <w:rsid w:val="00B57B5D"/>
    <w:rsid w:val="00B6085A"/>
    <w:rsid w:val="00B60BAB"/>
    <w:rsid w:val="00B63A88"/>
    <w:rsid w:val="00B64520"/>
    <w:rsid w:val="00B67D8E"/>
    <w:rsid w:val="00B70C0E"/>
    <w:rsid w:val="00B71E61"/>
    <w:rsid w:val="00B73FB0"/>
    <w:rsid w:val="00B74D40"/>
    <w:rsid w:val="00B76149"/>
    <w:rsid w:val="00B800EF"/>
    <w:rsid w:val="00B82A1F"/>
    <w:rsid w:val="00B8675A"/>
    <w:rsid w:val="00B86803"/>
    <w:rsid w:val="00B92104"/>
    <w:rsid w:val="00B92553"/>
    <w:rsid w:val="00B9294E"/>
    <w:rsid w:val="00B934AC"/>
    <w:rsid w:val="00B93B5C"/>
    <w:rsid w:val="00BA18BC"/>
    <w:rsid w:val="00BA1C06"/>
    <w:rsid w:val="00BA2FA8"/>
    <w:rsid w:val="00BB3A60"/>
    <w:rsid w:val="00BB686D"/>
    <w:rsid w:val="00BB7649"/>
    <w:rsid w:val="00BC17EA"/>
    <w:rsid w:val="00BC3AB8"/>
    <w:rsid w:val="00BC3DAA"/>
    <w:rsid w:val="00BC4A92"/>
    <w:rsid w:val="00BC5319"/>
    <w:rsid w:val="00BC6B2F"/>
    <w:rsid w:val="00BC76CC"/>
    <w:rsid w:val="00BC7D42"/>
    <w:rsid w:val="00BD48B0"/>
    <w:rsid w:val="00BD6BB5"/>
    <w:rsid w:val="00BE0215"/>
    <w:rsid w:val="00BE4A4A"/>
    <w:rsid w:val="00BF039C"/>
    <w:rsid w:val="00BF1691"/>
    <w:rsid w:val="00BF2303"/>
    <w:rsid w:val="00BF33A5"/>
    <w:rsid w:val="00BF74A4"/>
    <w:rsid w:val="00C02340"/>
    <w:rsid w:val="00C0485A"/>
    <w:rsid w:val="00C04E75"/>
    <w:rsid w:val="00C07CBF"/>
    <w:rsid w:val="00C13C7A"/>
    <w:rsid w:val="00C23B50"/>
    <w:rsid w:val="00C267A7"/>
    <w:rsid w:val="00C315F7"/>
    <w:rsid w:val="00C33708"/>
    <w:rsid w:val="00C338E2"/>
    <w:rsid w:val="00C3468C"/>
    <w:rsid w:val="00C35861"/>
    <w:rsid w:val="00C3684C"/>
    <w:rsid w:val="00C41ABE"/>
    <w:rsid w:val="00C449BA"/>
    <w:rsid w:val="00C46DB7"/>
    <w:rsid w:val="00C53146"/>
    <w:rsid w:val="00C54F57"/>
    <w:rsid w:val="00C558FA"/>
    <w:rsid w:val="00C630E4"/>
    <w:rsid w:val="00C70155"/>
    <w:rsid w:val="00C73943"/>
    <w:rsid w:val="00C8293B"/>
    <w:rsid w:val="00C85367"/>
    <w:rsid w:val="00C868C5"/>
    <w:rsid w:val="00C913A3"/>
    <w:rsid w:val="00C9183A"/>
    <w:rsid w:val="00CA0DC1"/>
    <w:rsid w:val="00CA19FA"/>
    <w:rsid w:val="00CA336A"/>
    <w:rsid w:val="00CA7B61"/>
    <w:rsid w:val="00CB1ACE"/>
    <w:rsid w:val="00CB2FA3"/>
    <w:rsid w:val="00CB50AE"/>
    <w:rsid w:val="00CC3CB2"/>
    <w:rsid w:val="00CC47FC"/>
    <w:rsid w:val="00CC5C4E"/>
    <w:rsid w:val="00CD340A"/>
    <w:rsid w:val="00CD34F9"/>
    <w:rsid w:val="00CD6DE5"/>
    <w:rsid w:val="00CE0D76"/>
    <w:rsid w:val="00CE58EB"/>
    <w:rsid w:val="00CF4AA9"/>
    <w:rsid w:val="00CF6DB1"/>
    <w:rsid w:val="00CF7C1F"/>
    <w:rsid w:val="00D00278"/>
    <w:rsid w:val="00D14AA2"/>
    <w:rsid w:val="00D15DA9"/>
    <w:rsid w:val="00D173F2"/>
    <w:rsid w:val="00D17554"/>
    <w:rsid w:val="00D2436C"/>
    <w:rsid w:val="00D2760B"/>
    <w:rsid w:val="00D278FB"/>
    <w:rsid w:val="00D301E2"/>
    <w:rsid w:val="00D310DF"/>
    <w:rsid w:val="00D33AA9"/>
    <w:rsid w:val="00D3404D"/>
    <w:rsid w:val="00D375FB"/>
    <w:rsid w:val="00D37789"/>
    <w:rsid w:val="00D41485"/>
    <w:rsid w:val="00D4179F"/>
    <w:rsid w:val="00D42159"/>
    <w:rsid w:val="00D445C2"/>
    <w:rsid w:val="00D47501"/>
    <w:rsid w:val="00D52885"/>
    <w:rsid w:val="00D54BF9"/>
    <w:rsid w:val="00D650BE"/>
    <w:rsid w:val="00D67BF2"/>
    <w:rsid w:val="00D72507"/>
    <w:rsid w:val="00D73EE7"/>
    <w:rsid w:val="00D765B5"/>
    <w:rsid w:val="00D77771"/>
    <w:rsid w:val="00D82592"/>
    <w:rsid w:val="00D84A23"/>
    <w:rsid w:val="00D84D4F"/>
    <w:rsid w:val="00D85DC2"/>
    <w:rsid w:val="00D93543"/>
    <w:rsid w:val="00D9507C"/>
    <w:rsid w:val="00DA167A"/>
    <w:rsid w:val="00DA25A5"/>
    <w:rsid w:val="00DA64E1"/>
    <w:rsid w:val="00DB55D4"/>
    <w:rsid w:val="00DC68E9"/>
    <w:rsid w:val="00DD05D7"/>
    <w:rsid w:val="00DD284E"/>
    <w:rsid w:val="00DD405C"/>
    <w:rsid w:val="00DD7FA4"/>
    <w:rsid w:val="00DE0EA4"/>
    <w:rsid w:val="00DE2434"/>
    <w:rsid w:val="00DE3E5A"/>
    <w:rsid w:val="00DE49D8"/>
    <w:rsid w:val="00DE7972"/>
    <w:rsid w:val="00DF1981"/>
    <w:rsid w:val="00DF49EB"/>
    <w:rsid w:val="00DF54DE"/>
    <w:rsid w:val="00DF60B7"/>
    <w:rsid w:val="00DF7D94"/>
    <w:rsid w:val="00E0029C"/>
    <w:rsid w:val="00E0284D"/>
    <w:rsid w:val="00E02EE3"/>
    <w:rsid w:val="00E06941"/>
    <w:rsid w:val="00E07E69"/>
    <w:rsid w:val="00E15397"/>
    <w:rsid w:val="00E2453E"/>
    <w:rsid w:val="00E2455E"/>
    <w:rsid w:val="00E2468D"/>
    <w:rsid w:val="00E27123"/>
    <w:rsid w:val="00E32398"/>
    <w:rsid w:val="00E36FAB"/>
    <w:rsid w:val="00E37274"/>
    <w:rsid w:val="00E40C5B"/>
    <w:rsid w:val="00E41508"/>
    <w:rsid w:val="00E41E37"/>
    <w:rsid w:val="00E42236"/>
    <w:rsid w:val="00E44C2C"/>
    <w:rsid w:val="00E51BCA"/>
    <w:rsid w:val="00E54868"/>
    <w:rsid w:val="00E664AA"/>
    <w:rsid w:val="00E71AE8"/>
    <w:rsid w:val="00E7264B"/>
    <w:rsid w:val="00E76CA7"/>
    <w:rsid w:val="00E7742F"/>
    <w:rsid w:val="00E80351"/>
    <w:rsid w:val="00E85434"/>
    <w:rsid w:val="00E87513"/>
    <w:rsid w:val="00E876D8"/>
    <w:rsid w:val="00E92A14"/>
    <w:rsid w:val="00E962B5"/>
    <w:rsid w:val="00EA6467"/>
    <w:rsid w:val="00EA7E64"/>
    <w:rsid w:val="00EB0E56"/>
    <w:rsid w:val="00EB256E"/>
    <w:rsid w:val="00EB37EE"/>
    <w:rsid w:val="00EC089B"/>
    <w:rsid w:val="00EE3B9B"/>
    <w:rsid w:val="00EE4A04"/>
    <w:rsid w:val="00EF0F0E"/>
    <w:rsid w:val="00EF4D2E"/>
    <w:rsid w:val="00EF767B"/>
    <w:rsid w:val="00EF7956"/>
    <w:rsid w:val="00F00F55"/>
    <w:rsid w:val="00F03445"/>
    <w:rsid w:val="00F059D3"/>
    <w:rsid w:val="00F1242B"/>
    <w:rsid w:val="00F13D18"/>
    <w:rsid w:val="00F17D19"/>
    <w:rsid w:val="00F21293"/>
    <w:rsid w:val="00F30FC6"/>
    <w:rsid w:val="00F31850"/>
    <w:rsid w:val="00F3201A"/>
    <w:rsid w:val="00F37B8F"/>
    <w:rsid w:val="00F417E6"/>
    <w:rsid w:val="00F42CD0"/>
    <w:rsid w:val="00F4648A"/>
    <w:rsid w:val="00F46992"/>
    <w:rsid w:val="00F473A0"/>
    <w:rsid w:val="00F50B4E"/>
    <w:rsid w:val="00F56E1E"/>
    <w:rsid w:val="00F57038"/>
    <w:rsid w:val="00F639E6"/>
    <w:rsid w:val="00F63A6B"/>
    <w:rsid w:val="00F63D83"/>
    <w:rsid w:val="00F67C43"/>
    <w:rsid w:val="00F71B6A"/>
    <w:rsid w:val="00F80B02"/>
    <w:rsid w:val="00F8168C"/>
    <w:rsid w:val="00F822BD"/>
    <w:rsid w:val="00F875B5"/>
    <w:rsid w:val="00F90B0A"/>
    <w:rsid w:val="00F9255A"/>
    <w:rsid w:val="00F94DE1"/>
    <w:rsid w:val="00F965DC"/>
    <w:rsid w:val="00F97FB0"/>
    <w:rsid w:val="00FA1F9B"/>
    <w:rsid w:val="00FA75E6"/>
    <w:rsid w:val="00FA775D"/>
    <w:rsid w:val="00FB2C9C"/>
    <w:rsid w:val="00FB5670"/>
    <w:rsid w:val="00FC3C09"/>
    <w:rsid w:val="00FC401E"/>
    <w:rsid w:val="00FC5B2F"/>
    <w:rsid w:val="00FD06BF"/>
    <w:rsid w:val="00FD1018"/>
    <w:rsid w:val="00FD1C6D"/>
    <w:rsid w:val="00FD2332"/>
    <w:rsid w:val="00FD44D5"/>
    <w:rsid w:val="00FD4F7E"/>
    <w:rsid w:val="00FD5065"/>
    <w:rsid w:val="00FE181D"/>
    <w:rsid w:val="00FE1A9B"/>
    <w:rsid w:val="00FE1FD9"/>
    <w:rsid w:val="00FE34B6"/>
    <w:rsid w:val="00FE3619"/>
    <w:rsid w:val="00FE3FA7"/>
    <w:rsid w:val="00FF1AD9"/>
    <w:rsid w:val="00FF1BDB"/>
    <w:rsid w:val="00FF1F72"/>
    <w:rsid w:val="00FF3F9F"/>
    <w:rsid w:val="00FF5E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8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A7"/>
    <w:rPr>
      <w:sz w:val="24"/>
      <w:szCs w:val="24"/>
      <w:lang w:val="it-IT" w:eastAsia="it-IT"/>
    </w:rPr>
  </w:style>
  <w:style w:type="paragraph" w:styleId="1">
    <w:name w:val="heading 1"/>
    <w:basedOn w:val="a"/>
    <w:link w:val="1Char"/>
    <w:uiPriority w:val="99"/>
    <w:qFormat/>
    <w:rsid w:val="00FF1BDB"/>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Char"/>
    <w:uiPriority w:val="9"/>
    <w:semiHidden/>
    <w:unhideWhenUsed/>
    <w:qFormat/>
    <w:locked/>
    <w:rsid w:val="009C0FAD"/>
    <w:pPr>
      <w:keepNext/>
      <w:keepLines/>
      <w:spacing w:before="40" w:line="276" w:lineRule="auto"/>
      <w:outlineLvl w:val="1"/>
    </w:pPr>
    <w:rPr>
      <w:rFonts w:eastAsia="Times New Roman"/>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F1BDB"/>
    <w:rPr>
      <w:rFonts w:ascii="Times New Roman" w:hAnsi="Times New Roman" w:cs="Times New Roman"/>
      <w:b/>
      <w:bCs/>
      <w:kern w:val="36"/>
      <w:sz w:val="48"/>
      <w:szCs w:val="48"/>
    </w:rPr>
  </w:style>
  <w:style w:type="table" w:styleId="a3">
    <w:name w:val="Table Grid"/>
    <w:basedOn w:val="a1"/>
    <w:uiPriority w:val="99"/>
    <w:rsid w:val="00B80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800EF"/>
    <w:pPr>
      <w:spacing w:before="100" w:beforeAutospacing="1" w:after="100" w:afterAutospacing="1"/>
    </w:pPr>
    <w:rPr>
      <w:rFonts w:ascii="Times" w:hAnsi="Times"/>
      <w:sz w:val="20"/>
      <w:szCs w:val="20"/>
    </w:rPr>
  </w:style>
  <w:style w:type="paragraph" w:styleId="a5">
    <w:name w:val="footer"/>
    <w:basedOn w:val="a"/>
    <w:link w:val="Char"/>
    <w:uiPriority w:val="99"/>
    <w:rsid w:val="00383ECE"/>
    <w:pPr>
      <w:tabs>
        <w:tab w:val="center" w:pos="4819"/>
        <w:tab w:val="right" w:pos="9638"/>
      </w:tabs>
    </w:pPr>
  </w:style>
  <w:style w:type="character" w:customStyle="1" w:styleId="Char">
    <w:name w:val="页脚 Char"/>
    <w:link w:val="a5"/>
    <w:uiPriority w:val="99"/>
    <w:locked/>
    <w:rsid w:val="00383ECE"/>
    <w:rPr>
      <w:rFonts w:cs="Times New Roman"/>
    </w:rPr>
  </w:style>
  <w:style w:type="character" w:styleId="a6">
    <w:name w:val="page number"/>
    <w:uiPriority w:val="99"/>
    <w:semiHidden/>
    <w:rsid w:val="00383ECE"/>
    <w:rPr>
      <w:rFonts w:cs="Times New Roman"/>
    </w:rPr>
  </w:style>
  <w:style w:type="paragraph" w:styleId="a7">
    <w:name w:val="header"/>
    <w:basedOn w:val="a"/>
    <w:link w:val="Char0"/>
    <w:uiPriority w:val="99"/>
    <w:rsid w:val="00383ECE"/>
    <w:pPr>
      <w:tabs>
        <w:tab w:val="center" w:pos="4819"/>
        <w:tab w:val="right" w:pos="9638"/>
      </w:tabs>
    </w:pPr>
  </w:style>
  <w:style w:type="character" w:customStyle="1" w:styleId="Char0">
    <w:name w:val="页眉 Char"/>
    <w:link w:val="a7"/>
    <w:uiPriority w:val="99"/>
    <w:locked/>
    <w:rsid w:val="00383ECE"/>
    <w:rPr>
      <w:rFonts w:cs="Times New Roman"/>
    </w:rPr>
  </w:style>
  <w:style w:type="character" w:styleId="a8">
    <w:name w:val="Hyperlink"/>
    <w:rsid w:val="00CC47FC"/>
    <w:rPr>
      <w:rFonts w:cs="Times New Roman"/>
      <w:color w:val="0000FF"/>
      <w:u w:val="single"/>
    </w:rPr>
  </w:style>
  <w:style w:type="paragraph" w:customStyle="1" w:styleId="Titolo1">
    <w:name w:val="Titolo1"/>
    <w:basedOn w:val="a"/>
    <w:uiPriority w:val="99"/>
    <w:rsid w:val="00D765B5"/>
    <w:pPr>
      <w:spacing w:before="100" w:beforeAutospacing="1" w:after="100" w:afterAutospacing="1"/>
    </w:pPr>
    <w:rPr>
      <w:rFonts w:ascii="Times New Roman" w:hAnsi="Times New Roman"/>
    </w:rPr>
  </w:style>
  <w:style w:type="paragraph" w:customStyle="1" w:styleId="desc">
    <w:name w:val="desc"/>
    <w:basedOn w:val="a"/>
    <w:rsid w:val="00D765B5"/>
    <w:pPr>
      <w:spacing w:before="100" w:beforeAutospacing="1" w:after="100" w:afterAutospacing="1"/>
    </w:pPr>
    <w:rPr>
      <w:rFonts w:ascii="Times New Roman" w:hAnsi="Times New Roman"/>
    </w:rPr>
  </w:style>
  <w:style w:type="paragraph" w:customStyle="1" w:styleId="details">
    <w:name w:val="details"/>
    <w:basedOn w:val="a"/>
    <w:rsid w:val="00D765B5"/>
    <w:pPr>
      <w:spacing w:before="100" w:beforeAutospacing="1" w:after="100" w:afterAutospacing="1"/>
    </w:pPr>
    <w:rPr>
      <w:rFonts w:ascii="Times New Roman" w:hAnsi="Times New Roman"/>
    </w:rPr>
  </w:style>
  <w:style w:type="character" w:customStyle="1" w:styleId="jrnl">
    <w:name w:val="jrnl"/>
    <w:rsid w:val="00D765B5"/>
    <w:rPr>
      <w:rFonts w:cs="Times New Roman"/>
    </w:rPr>
  </w:style>
  <w:style w:type="paragraph" w:customStyle="1" w:styleId="Default">
    <w:name w:val="Default"/>
    <w:uiPriority w:val="99"/>
    <w:rsid w:val="00C46DB7"/>
    <w:pPr>
      <w:autoSpaceDE w:val="0"/>
      <w:autoSpaceDN w:val="0"/>
      <w:adjustRightInd w:val="0"/>
    </w:pPr>
    <w:rPr>
      <w:rFonts w:ascii="Book Antiqua" w:hAnsi="Book Antiqua" w:cs="Book Antiqua"/>
      <w:color w:val="000000"/>
      <w:sz w:val="24"/>
      <w:szCs w:val="24"/>
      <w:lang w:val="it-IT" w:eastAsia="it-IT"/>
    </w:rPr>
  </w:style>
  <w:style w:type="paragraph" w:styleId="a9">
    <w:name w:val="List Paragraph"/>
    <w:basedOn w:val="a"/>
    <w:uiPriority w:val="34"/>
    <w:qFormat/>
    <w:rsid w:val="00A13E83"/>
    <w:pPr>
      <w:ind w:left="720"/>
      <w:contextualSpacing/>
    </w:pPr>
  </w:style>
  <w:style w:type="paragraph" w:customStyle="1" w:styleId="Titolo2">
    <w:name w:val="Titolo2"/>
    <w:basedOn w:val="a"/>
    <w:uiPriority w:val="99"/>
    <w:rsid w:val="00CF7C1F"/>
    <w:pPr>
      <w:spacing w:before="100" w:beforeAutospacing="1" w:after="100" w:afterAutospacing="1"/>
    </w:pPr>
    <w:rPr>
      <w:rFonts w:ascii="Times New Roman" w:hAnsi="Times New Roman"/>
    </w:rPr>
  </w:style>
  <w:style w:type="character" w:customStyle="1" w:styleId="highlight">
    <w:name w:val="highlight"/>
    <w:rsid w:val="00FF1BDB"/>
    <w:rPr>
      <w:rFonts w:cs="Times New Roman"/>
    </w:rPr>
  </w:style>
  <w:style w:type="character" w:customStyle="1" w:styleId="ti">
    <w:name w:val="ti"/>
    <w:uiPriority w:val="99"/>
    <w:rsid w:val="00FF1BDB"/>
    <w:rPr>
      <w:rFonts w:cs="Times New Roman"/>
    </w:rPr>
  </w:style>
  <w:style w:type="paragraph" w:styleId="aa">
    <w:name w:val="No Spacing"/>
    <w:uiPriority w:val="99"/>
    <w:qFormat/>
    <w:rsid w:val="00FF1BDB"/>
    <w:rPr>
      <w:rFonts w:ascii="Calibri" w:hAnsi="Calibri"/>
      <w:sz w:val="22"/>
      <w:szCs w:val="22"/>
      <w:lang w:val="it-IT" w:eastAsia="en-US"/>
    </w:rPr>
  </w:style>
  <w:style w:type="paragraph" w:customStyle="1" w:styleId="Titolo3">
    <w:name w:val="Titolo3"/>
    <w:basedOn w:val="a"/>
    <w:uiPriority w:val="99"/>
    <w:rsid w:val="00FE1FD9"/>
    <w:pPr>
      <w:spacing w:before="100" w:beforeAutospacing="1" w:after="100" w:afterAutospacing="1"/>
    </w:pPr>
    <w:rPr>
      <w:rFonts w:ascii="Times New Roman" w:hAnsi="Times New Roman"/>
    </w:rPr>
  </w:style>
  <w:style w:type="character" w:styleId="ab">
    <w:name w:val="annotation reference"/>
    <w:uiPriority w:val="99"/>
    <w:semiHidden/>
    <w:rsid w:val="00FE34B6"/>
    <w:rPr>
      <w:rFonts w:cs="Times New Roman"/>
      <w:sz w:val="16"/>
      <w:szCs w:val="16"/>
    </w:rPr>
  </w:style>
  <w:style w:type="paragraph" w:styleId="ac">
    <w:name w:val="annotation text"/>
    <w:basedOn w:val="a"/>
    <w:link w:val="Char1"/>
    <w:uiPriority w:val="99"/>
    <w:qFormat/>
    <w:rsid w:val="00FE34B6"/>
    <w:rPr>
      <w:sz w:val="20"/>
      <w:szCs w:val="20"/>
    </w:rPr>
  </w:style>
  <w:style w:type="character" w:customStyle="1" w:styleId="Char1">
    <w:name w:val="批注文字 Char"/>
    <w:link w:val="ac"/>
    <w:uiPriority w:val="99"/>
    <w:locked/>
    <w:rsid w:val="00FE34B6"/>
    <w:rPr>
      <w:rFonts w:cs="Times New Roman"/>
      <w:sz w:val="20"/>
      <w:szCs w:val="20"/>
    </w:rPr>
  </w:style>
  <w:style w:type="paragraph" w:styleId="ad">
    <w:name w:val="annotation subject"/>
    <w:basedOn w:val="ac"/>
    <w:next w:val="ac"/>
    <w:link w:val="Char2"/>
    <w:uiPriority w:val="99"/>
    <w:semiHidden/>
    <w:rsid w:val="00FE34B6"/>
    <w:rPr>
      <w:b/>
      <w:bCs/>
    </w:rPr>
  </w:style>
  <w:style w:type="character" w:customStyle="1" w:styleId="Char2">
    <w:name w:val="批注主题 Char"/>
    <w:link w:val="ad"/>
    <w:uiPriority w:val="99"/>
    <w:semiHidden/>
    <w:locked/>
    <w:rsid w:val="00FE34B6"/>
    <w:rPr>
      <w:rFonts w:cs="Times New Roman"/>
      <w:b/>
      <w:bCs/>
      <w:sz w:val="20"/>
      <w:szCs w:val="20"/>
    </w:rPr>
  </w:style>
  <w:style w:type="paragraph" w:styleId="ae">
    <w:name w:val="Balloon Text"/>
    <w:basedOn w:val="a"/>
    <w:link w:val="Char3"/>
    <w:uiPriority w:val="99"/>
    <w:semiHidden/>
    <w:rsid w:val="00FE34B6"/>
    <w:rPr>
      <w:rFonts w:ascii="Segoe UI" w:hAnsi="Segoe UI" w:cs="Segoe UI"/>
      <w:sz w:val="18"/>
      <w:szCs w:val="18"/>
    </w:rPr>
  </w:style>
  <w:style w:type="character" w:customStyle="1" w:styleId="Char3">
    <w:name w:val="批注框文本 Char"/>
    <w:link w:val="ae"/>
    <w:uiPriority w:val="99"/>
    <w:semiHidden/>
    <w:locked/>
    <w:rsid w:val="00FE34B6"/>
    <w:rPr>
      <w:rFonts w:ascii="Segoe UI" w:hAnsi="Segoe UI" w:cs="Segoe UI"/>
      <w:sz w:val="18"/>
      <w:szCs w:val="18"/>
    </w:rPr>
  </w:style>
  <w:style w:type="paragraph" w:customStyle="1" w:styleId="Titolo4">
    <w:name w:val="Titolo4"/>
    <w:basedOn w:val="a"/>
    <w:uiPriority w:val="99"/>
    <w:rsid w:val="00401C4E"/>
    <w:pPr>
      <w:spacing w:before="100" w:beforeAutospacing="1" w:after="100" w:afterAutospacing="1"/>
    </w:pPr>
    <w:rPr>
      <w:rFonts w:ascii="Times New Roman" w:hAnsi="Times New Roman"/>
    </w:rPr>
  </w:style>
  <w:style w:type="paragraph" w:customStyle="1" w:styleId="p">
    <w:name w:val="p"/>
    <w:basedOn w:val="a"/>
    <w:uiPriority w:val="99"/>
    <w:rsid w:val="00CF4AA9"/>
    <w:pPr>
      <w:spacing w:before="100" w:beforeAutospacing="1" w:after="100" w:afterAutospacing="1"/>
    </w:pPr>
    <w:rPr>
      <w:rFonts w:ascii="Times New Roman" w:hAnsi="Times New Roman"/>
    </w:rPr>
  </w:style>
  <w:style w:type="character" w:styleId="af">
    <w:name w:val="Emphasis"/>
    <w:uiPriority w:val="99"/>
    <w:qFormat/>
    <w:rsid w:val="00CF4AA9"/>
    <w:rPr>
      <w:rFonts w:cs="Times New Roman"/>
      <w:i/>
      <w:iCs/>
    </w:rPr>
  </w:style>
  <w:style w:type="character" w:customStyle="1" w:styleId="mixed-citation">
    <w:name w:val="mixed-citation"/>
    <w:rsid w:val="00C70155"/>
  </w:style>
  <w:style w:type="character" w:customStyle="1" w:styleId="ref-title">
    <w:name w:val="ref-title"/>
    <w:rsid w:val="00C70155"/>
  </w:style>
  <w:style w:type="character" w:customStyle="1" w:styleId="ref-journal">
    <w:name w:val="ref-journal"/>
    <w:rsid w:val="00C70155"/>
  </w:style>
  <w:style w:type="character" w:customStyle="1" w:styleId="ref-vol">
    <w:name w:val="ref-vol"/>
    <w:rsid w:val="00C70155"/>
  </w:style>
  <w:style w:type="character" w:customStyle="1" w:styleId="ref-iss">
    <w:name w:val="ref-iss"/>
    <w:rsid w:val="00C70155"/>
  </w:style>
  <w:style w:type="paragraph" w:customStyle="1" w:styleId="Titolo5">
    <w:name w:val="Titolo5"/>
    <w:basedOn w:val="a"/>
    <w:rsid w:val="00D9507C"/>
    <w:pPr>
      <w:spacing w:before="100" w:beforeAutospacing="1" w:after="100" w:afterAutospacing="1"/>
    </w:pPr>
    <w:rPr>
      <w:rFonts w:ascii="Times New Roman" w:hAnsi="Times New Roman"/>
    </w:rPr>
  </w:style>
  <w:style w:type="character" w:customStyle="1" w:styleId="10">
    <w:name w:val="批注文字 字符1"/>
    <w:uiPriority w:val="99"/>
    <w:qFormat/>
    <w:rsid w:val="001D47C8"/>
    <w:rPr>
      <w:rFonts w:ascii="Calibri" w:eastAsia="宋体" w:hAnsi="Calibri" w:cs="Times New Roman"/>
      <w:kern w:val="0"/>
      <w:sz w:val="22"/>
      <w:lang w:val="en-GB" w:eastAsia="en-US"/>
    </w:rPr>
  </w:style>
  <w:style w:type="paragraph" w:customStyle="1" w:styleId="Titolo6">
    <w:name w:val="Titolo6"/>
    <w:basedOn w:val="a"/>
    <w:rsid w:val="00330DD6"/>
    <w:pPr>
      <w:spacing w:before="100" w:beforeAutospacing="1" w:after="100" w:afterAutospacing="1"/>
    </w:pPr>
    <w:rPr>
      <w:rFonts w:ascii="Times New Roman" w:eastAsia="Times New Roman" w:hAnsi="Times New Roman"/>
    </w:rPr>
  </w:style>
  <w:style w:type="character" w:customStyle="1" w:styleId="2Char">
    <w:name w:val="标题 2 Char"/>
    <w:link w:val="2"/>
    <w:uiPriority w:val="9"/>
    <w:semiHidden/>
    <w:rsid w:val="009C0FAD"/>
    <w:rPr>
      <w:rFonts w:eastAsia="Times New Roman"/>
      <w:color w:val="365F91"/>
      <w:sz w:val="26"/>
      <w:szCs w:val="26"/>
      <w:lang w:val="it-IT" w:eastAsia="en-US"/>
    </w:rPr>
  </w:style>
  <w:style w:type="character" w:customStyle="1" w:styleId="anchortext">
    <w:name w:val="anchortext"/>
    <w:rsid w:val="009C0FAD"/>
  </w:style>
  <w:style w:type="character" w:customStyle="1" w:styleId="apple-converted-space">
    <w:name w:val="apple-converted-space"/>
    <w:rsid w:val="00991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A7"/>
    <w:rPr>
      <w:sz w:val="24"/>
      <w:szCs w:val="24"/>
      <w:lang w:val="it-IT" w:eastAsia="it-IT"/>
    </w:rPr>
  </w:style>
  <w:style w:type="paragraph" w:styleId="1">
    <w:name w:val="heading 1"/>
    <w:basedOn w:val="a"/>
    <w:link w:val="1Char"/>
    <w:uiPriority w:val="99"/>
    <w:qFormat/>
    <w:rsid w:val="00FF1BDB"/>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Char"/>
    <w:uiPriority w:val="9"/>
    <w:semiHidden/>
    <w:unhideWhenUsed/>
    <w:qFormat/>
    <w:locked/>
    <w:rsid w:val="009C0FAD"/>
    <w:pPr>
      <w:keepNext/>
      <w:keepLines/>
      <w:spacing w:before="40" w:line="276" w:lineRule="auto"/>
      <w:outlineLvl w:val="1"/>
    </w:pPr>
    <w:rPr>
      <w:rFonts w:eastAsia="Times New Roman"/>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F1BDB"/>
    <w:rPr>
      <w:rFonts w:ascii="Times New Roman" w:hAnsi="Times New Roman" w:cs="Times New Roman"/>
      <w:b/>
      <w:bCs/>
      <w:kern w:val="36"/>
      <w:sz w:val="48"/>
      <w:szCs w:val="48"/>
    </w:rPr>
  </w:style>
  <w:style w:type="table" w:styleId="a3">
    <w:name w:val="Table Grid"/>
    <w:basedOn w:val="a1"/>
    <w:uiPriority w:val="99"/>
    <w:rsid w:val="00B80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800EF"/>
    <w:pPr>
      <w:spacing w:before="100" w:beforeAutospacing="1" w:after="100" w:afterAutospacing="1"/>
    </w:pPr>
    <w:rPr>
      <w:rFonts w:ascii="Times" w:hAnsi="Times"/>
      <w:sz w:val="20"/>
      <w:szCs w:val="20"/>
    </w:rPr>
  </w:style>
  <w:style w:type="paragraph" w:styleId="a5">
    <w:name w:val="footer"/>
    <w:basedOn w:val="a"/>
    <w:link w:val="Char"/>
    <w:uiPriority w:val="99"/>
    <w:rsid w:val="00383ECE"/>
    <w:pPr>
      <w:tabs>
        <w:tab w:val="center" w:pos="4819"/>
        <w:tab w:val="right" w:pos="9638"/>
      </w:tabs>
    </w:pPr>
  </w:style>
  <w:style w:type="character" w:customStyle="1" w:styleId="Char">
    <w:name w:val="页脚 Char"/>
    <w:link w:val="a5"/>
    <w:uiPriority w:val="99"/>
    <w:locked/>
    <w:rsid w:val="00383ECE"/>
    <w:rPr>
      <w:rFonts w:cs="Times New Roman"/>
    </w:rPr>
  </w:style>
  <w:style w:type="character" w:styleId="a6">
    <w:name w:val="page number"/>
    <w:uiPriority w:val="99"/>
    <w:semiHidden/>
    <w:rsid w:val="00383ECE"/>
    <w:rPr>
      <w:rFonts w:cs="Times New Roman"/>
    </w:rPr>
  </w:style>
  <w:style w:type="paragraph" w:styleId="a7">
    <w:name w:val="header"/>
    <w:basedOn w:val="a"/>
    <w:link w:val="Char0"/>
    <w:uiPriority w:val="99"/>
    <w:rsid w:val="00383ECE"/>
    <w:pPr>
      <w:tabs>
        <w:tab w:val="center" w:pos="4819"/>
        <w:tab w:val="right" w:pos="9638"/>
      </w:tabs>
    </w:pPr>
  </w:style>
  <w:style w:type="character" w:customStyle="1" w:styleId="Char0">
    <w:name w:val="页眉 Char"/>
    <w:link w:val="a7"/>
    <w:uiPriority w:val="99"/>
    <w:locked/>
    <w:rsid w:val="00383ECE"/>
    <w:rPr>
      <w:rFonts w:cs="Times New Roman"/>
    </w:rPr>
  </w:style>
  <w:style w:type="character" w:styleId="a8">
    <w:name w:val="Hyperlink"/>
    <w:rsid w:val="00CC47FC"/>
    <w:rPr>
      <w:rFonts w:cs="Times New Roman"/>
      <w:color w:val="0000FF"/>
      <w:u w:val="single"/>
    </w:rPr>
  </w:style>
  <w:style w:type="paragraph" w:customStyle="1" w:styleId="Titolo1">
    <w:name w:val="Titolo1"/>
    <w:basedOn w:val="a"/>
    <w:uiPriority w:val="99"/>
    <w:rsid w:val="00D765B5"/>
    <w:pPr>
      <w:spacing w:before="100" w:beforeAutospacing="1" w:after="100" w:afterAutospacing="1"/>
    </w:pPr>
    <w:rPr>
      <w:rFonts w:ascii="Times New Roman" w:hAnsi="Times New Roman"/>
    </w:rPr>
  </w:style>
  <w:style w:type="paragraph" w:customStyle="1" w:styleId="desc">
    <w:name w:val="desc"/>
    <w:basedOn w:val="a"/>
    <w:rsid w:val="00D765B5"/>
    <w:pPr>
      <w:spacing w:before="100" w:beforeAutospacing="1" w:after="100" w:afterAutospacing="1"/>
    </w:pPr>
    <w:rPr>
      <w:rFonts w:ascii="Times New Roman" w:hAnsi="Times New Roman"/>
    </w:rPr>
  </w:style>
  <w:style w:type="paragraph" w:customStyle="1" w:styleId="details">
    <w:name w:val="details"/>
    <w:basedOn w:val="a"/>
    <w:rsid w:val="00D765B5"/>
    <w:pPr>
      <w:spacing w:before="100" w:beforeAutospacing="1" w:after="100" w:afterAutospacing="1"/>
    </w:pPr>
    <w:rPr>
      <w:rFonts w:ascii="Times New Roman" w:hAnsi="Times New Roman"/>
    </w:rPr>
  </w:style>
  <w:style w:type="character" w:customStyle="1" w:styleId="jrnl">
    <w:name w:val="jrnl"/>
    <w:rsid w:val="00D765B5"/>
    <w:rPr>
      <w:rFonts w:cs="Times New Roman"/>
    </w:rPr>
  </w:style>
  <w:style w:type="paragraph" w:customStyle="1" w:styleId="Default">
    <w:name w:val="Default"/>
    <w:uiPriority w:val="99"/>
    <w:rsid w:val="00C46DB7"/>
    <w:pPr>
      <w:autoSpaceDE w:val="0"/>
      <w:autoSpaceDN w:val="0"/>
      <w:adjustRightInd w:val="0"/>
    </w:pPr>
    <w:rPr>
      <w:rFonts w:ascii="Book Antiqua" w:hAnsi="Book Antiqua" w:cs="Book Antiqua"/>
      <w:color w:val="000000"/>
      <w:sz w:val="24"/>
      <w:szCs w:val="24"/>
      <w:lang w:val="it-IT" w:eastAsia="it-IT"/>
    </w:rPr>
  </w:style>
  <w:style w:type="paragraph" w:styleId="a9">
    <w:name w:val="List Paragraph"/>
    <w:basedOn w:val="a"/>
    <w:uiPriority w:val="34"/>
    <w:qFormat/>
    <w:rsid w:val="00A13E83"/>
    <w:pPr>
      <w:ind w:left="720"/>
      <w:contextualSpacing/>
    </w:pPr>
  </w:style>
  <w:style w:type="paragraph" w:customStyle="1" w:styleId="Titolo2">
    <w:name w:val="Titolo2"/>
    <w:basedOn w:val="a"/>
    <w:uiPriority w:val="99"/>
    <w:rsid w:val="00CF7C1F"/>
    <w:pPr>
      <w:spacing w:before="100" w:beforeAutospacing="1" w:after="100" w:afterAutospacing="1"/>
    </w:pPr>
    <w:rPr>
      <w:rFonts w:ascii="Times New Roman" w:hAnsi="Times New Roman"/>
    </w:rPr>
  </w:style>
  <w:style w:type="character" w:customStyle="1" w:styleId="highlight">
    <w:name w:val="highlight"/>
    <w:rsid w:val="00FF1BDB"/>
    <w:rPr>
      <w:rFonts w:cs="Times New Roman"/>
    </w:rPr>
  </w:style>
  <w:style w:type="character" w:customStyle="1" w:styleId="ti">
    <w:name w:val="ti"/>
    <w:uiPriority w:val="99"/>
    <w:rsid w:val="00FF1BDB"/>
    <w:rPr>
      <w:rFonts w:cs="Times New Roman"/>
    </w:rPr>
  </w:style>
  <w:style w:type="paragraph" w:styleId="aa">
    <w:name w:val="No Spacing"/>
    <w:uiPriority w:val="99"/>
    <w:qFormat/>
    <w:rsid w:val="00FF1BDB"/>
    <w:rPr>
      <w:rFonts w:ascii="Calibri" w:hAnsi="Calibri"/>
      <w:sz w:val="22"/>
      <w:szCs w:val="22"/>
      <w:lang w:val="it-IT" w:eastAsia="en-US"/>
    </w:rPr>
  </w:style>
  <w:style w:type="paragraph" w:customStyle="1" w:styleId="Titolo3">
    <w:name w:val="Titolo3"/>
    <w:basedOn w:val="a"/>
    <w:uiPriority w:val="99"/>
    <w:rsid w:val="00FE1FD9"/>
    <w:pPr>
      <w:spacing w:before="100" w:beforeAutospacing="1" w:after="100" w:afterAutospacing="1"/>
    </w:pPr>
    <w:rPr>
      <w:rFonts w:ascii="Times New Roman" w:hAnsi="Times New Roman"/>
    </w:rPr>
  </w:style>
  <w:style w:type="character" w:styleId="ab">
    <w:name w:val="annotation reference"/>
    <w:uiPriority w:val="99"/>
    <w:semiHidden/>
    <w:rsid w:val="00FE34B6"/>
    <w:rPr>
      <w:rFonts w:cs="Times New Roman"/>
      <w:sz w:val="16"/>
      <w:szCs w:val="16"/>
    </w:rPr>
  </w:style>
  <w:style w:type="paragraph" w:styleId="ac">
    <w:name w:val="annotation text"/>
    <w:basedOn w:val="a"/>
    <w:link w:val="Char1"/>
    <w:uiPriority w:val="99"/>
    <w:qFormat/>
    <w:rsid w:val="00FE34B6"/>
    <w:rPr>
      <w:sz w:val="20"/>
      <w:szCs w:val="20"/>
    </w:rPr>
  </w:style>
  <w:style w:type="character" w:customStyle="1" w:styleId="Char1">
    <w:name w:val="批注文字 Char"/>
    <w:link w:val="ac"/>
    <w:uiPriority w:val="99"/>
    <w:locked/>
    <w:rsid w:val="00FE34B6"/>
    <w:rPr>
      <w:rFonts w:cs="Times New Roman"/>
      <w:sz w:val="20"/>
      <w:szCs w:val="20"/>
    </w:rPr>
  </w:style>
  <w:style w:type="paragraph" w:styleId="ad">
    <w:name w:val="annotation subject"/>
    <w:basedOn w:val="ac"/>
    <w:next w:val="ac"/>
    <w:link w:val="Char2"/>
    <w:uiPriority w:val="99"/>
    <w:semiHidden/>
    <w:rsid w:val="00FE34B6"/>
    <w:rPr>
      <w:b/>
      <w:bCs/>
    </w:rPr>
  </w:style>
  <w:style w:type="character" w:customStyle="1" w:styleId="Char2">
    <w:name w:val="批注主题 Char"/>
    <w:link w:val="ad"/>
    <w:uiPriority w:val="99"/>
    <w:semiHidden/>
    <w:locked/>
    <w:rsid w:val="00FE34B6"/>
    <w:rPr>
      <w:rFonts w:cs="Times New Roman"/>
      <w:b/>
      <w:bCs/>
      <w:sz w:val="20"/>
      <w:szCs w:val="20"/>
    </w:rPr>
  </w:style>
  <w:style w:type="paragraph" w:styleId="ae">
    <w:name w:val="Balloon Text"/>
    <w:basedOn w:val="a"/>
    <w:link w:val="Char3"/>
    <w:uiPriority w:val="99"/>
    <w:semiHidden/>
    <w:rsid w:val="00FE34B6"/>
    <w:rPr>
      <w:rFonts w:ascii="Segoe UI" w:hAnsi="Segoe UI" w:cs="Segoe UI"/>
      <w:sz w:val="18"/>
      <w:szCs w:val="18"/>
    </w:rPr>
  </w:style>
  <w:style w:type="character" w:customStyle="1" w:styleId="Char3">
    <w:name w:val="批注框文本 Char"/>
    <w:link w:val="ae"/>
    <w:uiPriority w:val="99"/>
    <w:semiHidden/>
    <w:locked/>
    <w:rsid w:val="00FE34B6"/>
    <w:rPr>
      <w:rFonts w:ascii="Segoe UI" w:hAnsi="Segoe UI" w:cs="Segoe UI"/>
      <w:sz w:val="18"/>
      <w:szCs w:val="18"/>
    </w:rPr>
  </w:style>
  <w:style w:type="paragraph" w:customStyle="1" w:styleId="Titolo4">
    <w:name w:val="Titolo4"/>
    <w:basedOn w:val="a"/>
    <w:uiPriority w:val="99"/>
    <w:rsid w:val="00401C4E"/>
    <w:pPr>
      <w:spacing w:before="100" w:beforeAutospacing="1" w:after="100" w:afterAutospacing="1"/>
    </w:pPr>
    <w:rPr>
      <w:rFonts w:ascii="Times New Roman" w:hAnsi="Times New Roman"/>
    </w:rPr>
  </w:style>
  <w:style w:type="paragraph" w:customStyle="1" w:styleId="p">
    <w:name w:val="p"/>
    <w:basedOn w:val="a"/>
    <w:uiPriority w:val="99"/>
    <w:rsid w:val="00CF4AA9"/>
    <w:pPr>
      <w:spacing w:before="100" w:beforeAutospacing="1" w:after="100" w:afterAutospacing="1"/>
    </w:pPr>
    <w:rPr>
      <w:rFonts w:ascii="Times New Roman" w:hAnsi="Times New Roman"/>
    </w:rPr>
  </w:style>
  <w:style w:type="character" w:styleId="af">
    <w:name w:val="Emphasis"/>
    <w:uiPriority w:val="99"/>
    <w:qFormat/>
    <w:rsid w:val="00CF4AA9"/>
    <w:rPr>
      <w:rFonts w:cs="Times New Roman"/>
      <w:i/>
      <w:iCs/>
    </w:rPr>
  </w:style>
  <w:style w:type="character" w:customStyle="1" w:styleId="mixed-citation">
    <w:name w:val="mixed-citation"/>
    <w:rsid w:val="00C70155"/>
  </w:style>
  <w:style w:type="character" w:customStyle="1" w:styleId="ref-title">
    <w:name w:val="ref-title"/>
    <w:rsid w:val="00C70155"/>
  </w:style>
  <w:style w:type="character" w:customStyle="1" w:styleId="ref-journal">
    <w:name w:val="ref-journal"/>
    <w:rsid w:val="00C70155"/>
  </w:style>
  <w:style w:type="character" w:customStyle="1" w:styleId="ref-vol">
    <w:name w:val="ref-vol"/>
    <w:rsid w:val="00C70155"/>
  </w:style>
  <w:style w:type="character" w:customStyle="1" w:styleId="ref-iss">
    <w:name w:val="ref-iss"/>
    <w:rsid w:val="00C70155"/>
  </w:style>
  <w:style w:type="paragraph" w:customStyle="1" w:styleId="Titolo5">
    <w:name w:val="Titolo5"/>
    <w:basedOn w:val="a"/>
    <w:rsid w:val="00D9507C"/>
    <w:pPr>
      <w:spacing w:before="100" w:beforeAutospacing="1" w:after="100" w:afterAutospacing="1"/>
    </w:pPr>
    <w:rPr>
      <w:rFonts w:ascii="Times New Roman" w:hAnsi="Times New Roman"/>
    </w:rPr>
  </w:style>
  <w:style w:type="character" w:customStyle="1" w:styleId="10">
    <w:name w:val="批注文字 字符1"/>
    <w:uiPriority w:val="99"/>
    <w:qFormat/>
    <w:rsid w:val="001D47C8"/>
    <w:rPr>
      <w:rFonts w:ascii="Calibri" w:eastAsia="宋体" w:hAnsi="Calibri" w:cs="Times New Roman"/>
      <w:kern w:val="0"/>
      <w:sz w:val="22"/>
      <w:lang w:val="en-GB" w:eastAsia="en-US"/>
    </w:rPr>
  </w:style>
  <w:style w:type="paragraph" w:customStyle="1" w:styleId="Titolo6">
    <w:name w:val="Titolo6"/>
    <w:basedOn w:val="a"/>
    <w:rsid w:val="00330DD6"/>
    <w:pPr>
      <w:spacing w:before="100" w:beforeAutospacing="1" w:after="100" w:afterAutospacing="1"/>
    </w:pPr>
    <w:rPr>
      <w:rFonts w:ascii="Times New Roman" w:eastAsia="Times New Roman" w:hAnsi="Times New Roman"/>
    </w:rPr>
  </w:style>
  <w:style w:type="character" w:customStyle="1" w:styleId="2Char">
    <w:name w:val="标题 2 Char"/>
    <w:link w:val="2"/>
    <w:uiPriority w:val="9"/>
    <w:semiHidden/>
    <w:rsid w:val="009C0FAD"/>
    <w:rPr>
      <w:rFonts w:eastAsia="Times New Roman"/>
      <w:color w:val="365F91"/>
      <w:sz w:val="26"/>
      <w:szCs w:val="26"/>
      <w:lang w:val="it-IT" w:eastAsia="en-US"/>
    </w:rPr>
  </w:style>
  <w:style w:type="character" w:customStyle="1" w:styleId="anchortext">
    <w:name w:val="anchortext"/>
    <w:rsid w:val="009C0FAD"/>
  </w:style>
  <w:style w:type="character" w:customStyle="1" w:styleId="apple-converted-space">
    <w:name w:val="apple-converted-space"/>
    <w:rsid w:val="0099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8602">
      <w:bodyDiv w:val="1"/>
      <w:marLeft w:val="0"/>
      <w:marRight w:val="0"/>
      <w:marTop w:val="0"/>
      <w:marBottom w:val="0"/>
      <w:divBdr>
        <w:top w:val="none" w:sz="0" w:space="0" w:color="auto"/>
        <w:left w:val="none" w:sz="0" w:space="0" w:color="auto"/>
        <w:bottom w:val="none" w:sz="0" w:space="0" w:color="auto"/>
        <w:right w:val="none" w:sz="0" w:space="0" w:color="auto"/>
      </w:divBdr>
      <w:divsChild>
        <w:div w:id="544950847">
          <w:marLeft w:val="547"/>
          <w:marRight w:val="0"/>
          <w:marTop w:val="0"/>
          <w:marBottom w:val="0"/>
          <w:divBdr>
            <w:top w:val="none" w:sz="0" w:space="0" w:color="auto"/>
            <w:left w:val="none" w:sz="0" w:space="0" w:color="auto"/>
            <w:bottom w:val="none" w:sz="0" w:space="0" w:color="auto"/>
            <w:right w:val="none" w:sz="0" w:space="0" w:color="auto"/>
          </w:divBdr>
        </w:div>
        <w:div w:id="173080669">
          <w:marLeft w:val="547"/>
          <w:marRight w:val="0"/>
          <w:marTop w:val="0"/>
          <w:marBottom w:val="0"/>
          <w:divBdr>
            <w:top w:val="none" w:sz="0" w:space="0" w:color="auto"/>
            <w:left w:val="none" w:sz="0" w:space="0" w:color="auto"/>
            <w:bottom w:val="none" w:sz="0" w:space="0" w:color="auto"/>
            <w:right w:val="none" w:sz="0" w:space="0" w:color="auto"/>
          </w:divBdr>
        </w:div>
      </w:divsChild>
    </w:div>
    <w:div w:id="476654179">
      <w:bodyDiv w:val="1"/>
      <w:marLeft w:val="0"/>
      <w:marRight w:val="0"/>
      <w:marTop w:val="0"/>
      <w:marBottom w:val="0"/>
      <w:divBdr>
        <w:top w:val="none" w:sz="0" w:space="0" w:color="auto"/>
        <w:left w:val="none" w:sz="0" w:space="0" w:color="auto"/>
        <w:bottom w:val="none" w:sz="0" w:space="0" w:color="auto"/>
        <w:right w:val="none" w:sz="0" w:space="0" w:color="auto"/>
      </w:divBdr>
    </w:div>
    <w:div w:id="569928502">
      <w:bodyDiv w:val="1"/>
      <w:marLeft w:val="0"/>
      <w:marRight w:val="0"/>
      <w:marTop w:val="0"/>
      <w:marBottom w:val="0"/>
      <w:divBdr>
        <w:top w:val="none" w:sz="0" w:space="0" w:color="auto"/>
        <w:left w:val="none" w:sz="0" w:space="0" w:color="auto"/>
        <w:bottom w:val="none" w:sz="0" w:space="0" w:color="auto"/>
        <w:right w:val="none" w:sz="0" w:space="0" w:color="auto"/>
      </w:divBdr>
    </w:div>
    <w:div w:id="917208214">
      <w:bodyDiv w:val="1"/>
      <w:marLeft w:val="0"/>
      <w:marRight w:val="0"/>
      <w:marTop w:val="0"/>
      <w:marBottom w:val="0"/>
      <w:divBdr>
        <w:top w:val="none" w:sz="0" w:space="0" w:color="auto"/>
        <w:left w:val="none" w:sz="0" w:space="0" w:color="auto"/>
        <w:bottom w:val="none" w:sz="0" w:space="0" w:color="auto"/>
        <w:right w:val="none" w:sz="0" w:space="0" w:color="auto"/>
      </w:divBdr>
      <w:divsChild>
        <w:div w:id="2071417668">
          <w:marLeft w:val="547"/>
          <w:marRight w:val="0"/>
          <w:marTop w:val="0"/>
          <w:marBottom w:val="0"/>
          <w:divBdr>
            <w:top w:val="none" w:sz="0" w:space="0" w:color="auto"/>
            <w:left w:val="none" w:sz="0" w:space="0" w:color="auto"/>
            <w:bottom w:val="none" w:sz="0" w:space="0" w:color="auto"/>
            <w:right w:val="none" w:sz="0" w:space="0" w:color="auto"/>
          </w:divBdr>
        </w:div>
        <w:div w:id="540283983">
          <w:marLeft w:val="547"/>
          <w:marRight w:val="0"/>
          <w:marTop w:val="0"/>
          <w:marBottom w:val="0"/>
          <w:divBdr>
            <w:top w:val="none" w:sz="0" w:space="0" w:color="auto"/>
            <w:left w:val="none" w:sz="0" w:space="0" w:color="auto"/>
            <w:bottom w:val="none" w:sz="0" w:space="0" w:color="auto"/>
            <w:right w:val="none" w:sz="0" w:space="0" w:color="auto"/>
          </w:divBdr>
        </w:div>
      </w:divsChild>
    </w:div>
    <w:div w:id="1103263490">
      <w:bodyDiv w:val="1"/>
      <w:marLeft w:val="0"/>
      <w:marRight w:val="0"/>
      <w:marTop w:val="0"/>
      <w:marBottom w:val="0"/>
      <w:divBdr>
        <w:top w:val="none" w:sz="0" w:space="0" w:color="auto"/>
        <w:left w:val="none" w:sz="0" w:space="0" w:color="auto"/>
        <w:bottom w:val="none" w:sz="0" w:space="0" w:color="auto"/>
        <w:right w:val="none" w:sz="0" w:space="0" w:color="auto"/>
      </w:divBdr>
    </w:div>
    <w:div w:id="1208950379">
      <w:bodyDiv w:val="1"/>
      <w:marLeft w:val="0"/>
      <w:marRight w:val="0"/>
      <w:marTop w:val="0"/>
      <w:marBottom w:val="0"/>
      <w:divBdr>
        <w:top w:val="none" w:sz="0" w:space="0" w:color="auto"/>
        <w:left w:val="none" w:sz="0" w:space="0" w:color="auto"/>
        <w:bottom w:val="none" w:sz="0" w:space="0" w:color="auto"/>
        <w:right w:val="none" w:sz="0" w:space="0" w:color="auto"/>
      </w:divBdr>
      <w:divsChild>
        <w:div w:id="1966541376">
          <w:marLeft w:val="547"/>
          <w:marRight w:val="0"/>
          <w:marTop w:val="0"/>
          <w:marBottom w:val="0"/>
          <w:divBdr>
            <w:top w:val="none" w:sz="0" w:space="0" w:color="auto"/>
            <w:left w:val="none" w:sz="0" w:space="0" w:color="auto"/>
            <w:bottom w:val="none" w:sz="0" w:space="0" w:color="auto"/>
            <w:right w:val="none" w:sz="0" w:space="0" w:color="auto"/>
          </w:divBdr>
        </w:div>
      </w:divsChild>
    </w:div>
    <w:div w:id="1291862329">
      <w:bodyDiv w:val="1"/>
      <w:marLeft w:val="0"/>
      <w:marRight w:val="0"/>
      <w:marTop w:val="0"/>
      <w:marBottom w:val="0"/>
      <w:divBdr>
        <w:top w:val="none" w:sz="0" w:space="0" w:color="auto"/>
        <w:left w:val="none" w:sz="0" w:space="0" w:color="auto"/>
        <w:bottom w:val="none" w:sz="0" w:space="0" w:color="auto"/>
        <w:right w:val="none" w:sz="0" w:space="0" w:color="auto"/>
      </w:divBdr>
      <w:divsChild>
        <w:div w:id="742409263">
          <w:marLeft w:val="0"/>
          <w:marRight w:val="0"/>
          <w:marTop w:val="34"/>
          <w:marBottom w:val="34"/>
          <w:divBdr>
            <w:top w:val="none" w:sz="0" w:space="0" w:color="auto"/>
            <w:left w:val="none" w:sz="0" w:space="0" w:color="auto"/>
            <w:bottom w:val="none" w:sz="0" w:space="0" w:color="auto"/>
            <w:right w:val="none" w:sz="0" w:space="0" w:color="auto"/>
          </w:divBdr>
        </w:div>
      </w:divsChild>
    </w:div>
    <w:div w:id="1650328674">
      <w:bodyDiv w:val="1"/>
      <w:marLeft w:val="0"/>
      <w:marRight w:val="0"/>
      <w:marTop w:val="0"/>
      <w:marBottom w:val="0"/>
      <w:divBdr>
        <w:top w:val="none" w:sz="0" w:space="0" w:color="auto"/>
        <w:left w:val="none" w:sz="0" w:space="0" w:color="auto"/>
        <w:bottom w:val="none" w:sz="0" w:space="0" w:color="auto"/>
        <w:right w:val="none" w:sz="0" w:space="0" w:color="auto"/>
      </w:divBdr>
      <w:divsChild>
        <w:div w:id="1097286519">
          <w:marLeft w:val="0"/>
          <w:marRight w:val="0"/>
          <w:marTop w:val="34"/>
          <w:marBottom w:val="34"/>
          <w:divBdr>
            <w:top w:val="none" w:sz="0" w:space="0" w:color="auto"/>
            <w:left w:val="none" w:sz="0" w:space="0" w:color="auto"/>
            <w:bottom w:val="none" w:sz="0" w:space="0" w:color="auto"/>
            <w:right w:val="none" w:sz="0" w:space="0" w:color="auto"/>
          </w:divBdr>
        </w:div>
        <w:div w:id="1517227465">
          <w:marLeft w:val="0"/>
          <w:marRight w:val="0"/>
          <w:marTop w:val="0"/>
          <w:marBottom w:val="0"/>
          <w:divBdr>
            <w:top w:val="none" w:sz="0" w:space="0" w:color="auto"/>
            <w:left w:val="none" w:sz="0" w:space="0" w:color="auto"/>
            <w:bottom w:val="none" w:sz="0" w:space="0" w:color="auto"/>
            <w:right w:val="none" w:sz="0" w:space="0" w:color="auto"/>
          </w:divBdr>
        </w:div>
      </w:divsChild>
    </w:div>
    <w:div w:id="1814642718">
      <w:marLeft w:val="0"/>
      <w:marRight w:val="0"/>
      <w:marTop w:val="0"/>
      <w:marBottom w:val="0"/>
      <w:divBdr>
        <w:top w:val="none" w:sz="0" w:space="0" w:color="auto"/>
        <w:left w:val="none" w:sz="0" w:space="0" w:color="auto"/>
        <w:bottom w:val="none" w:sz="0" w:space="0" w:color="auto"/>
        <w:right w:val="none" w:sz="0" w:space="0" w:color="auto"/>
      </w:divBdr>
      <w:divsChild>
        <w:div w:id="1814642767">
          <w:marLeft w:val="0"/>
          <w:marRight w:val="0"/>
          <w:marTop w:val="0"/>
          <w:marBottom w:val="0"/>
          <w:divBdr>
            <w:top w:val="none" w:sz="0" w:space="0" w:color="auto"/>
            <w:left w:val="none" w:sz="0" w:space="0" w:color="auto"/>
            <w:bottom w:val="none" w:sz="0" w:space="0" w:color="auto"/>
            <w:right w:val="none" w:sz="0" w:space="0" w:color="auto"/>
          </w:divBdr>
        </w:div>
        <w:div w:id="1814642805">
          <w:marLeft w:val="0"/>
          <w:marRight w:val="0"/>
          <w:marTop w:val="34"/>
          <w:marBottom w:val="34"/>
          <w:divBdr>
            <w:top w:val="none" w:sz="0" w:space="0" w:color="auto"/>
            <w:left w:val="none" w:sz="0" w:space="0" w:color="auto"/>
            <w:bottom w:val="none" w:sz="0" w:space="0" w:color="auto"/>
            <w:right w:val="none" w:sz="0" w:space="0" w:color="auto"/>
          </w:divBdr>
        </w:div>
      </w:divsChild>
    </w:div>
    <w:div w:id="1814642721">
      <w:marLeft w:val="0"/>
      <w:marRight w:val="0"/>
      <w:marTop w:val="0"/>
      <w:marBottom w:val="0"/>
      <w:divBdr>
        <w:top w:val="none" w:sz="0" w:space="0" w:color="auto"/>
        <w:left w:val="none" w:sz="0" w:space="0" w:color="auto"/>
        <w:bottom w:val="none" w:sz="0" w:space="0" w:color="auto"/>
        <w:right w:val="none" w:sz="0" w:space="0" w:color="auto"/>
      </w:divBdr>
      <w:divsChild>
        <w:div w:id="1814642759">
          <w:marLeft w:val="0"/>
          <w:marRight w:val="0"/>
          <w:marTop w:val="0"/>
          <w:marBottom w:val="0"/>
          <w:divBdr>
            <w:top w:val="none" w:sz="0" w:space="0" w:color="auto"/>
            <w:left w:val="none" w:sz="0" w:space="0" w:color="auto"/>
            <w:bottom w:val="none" w:sz="0" w:space="0" w:color="auto"/>
            <w:right w:val="none" w:sz="0" w:space="0" w:color="auto"/>
          </w:divBdr>
          <w:divsChild>
            <w:div w:id="1814642809">
              <w:marLeft w:val="0"/>
              <w:marRight w:val="0"/>
              <w:marTop w:val="0"/>
              <w:marBottom w:val="0"/>
              <w:divBdr>
                <w:top w:val="none" w:sz="0" w:space="0" w:color="auto"/>
                <w:left w:val="none" w:sz="0" w:space="0" w:color="auto"/>
                <w:bottom w:val="none" w:sz="0" w:space="0" w:color="auto"/>
                <w:right w:val="none" w:sz="0" w:space="0" w:color="auto"/>
              </w:divBdr>
              <w:divsChild>
                <w:div w:id="18146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23">
      <w:marLeft w:val="0"/>
      <w:marRight w:val="0"/>
      <w:marTop w:val="0"/>
      <w:marBottom w:val="0"/>
      <w:divBdr>
        <w:top w:val="none" w:sz="0" w:space="0" w:color="auto"/>
        <w:left w:val="none" w:sz="0" w:space="0" w:color="auto"/>
        <w:bottom w:val="none" w:sz="0" w:space="0" w:color="auto"/>
        <w:right w:val="none" w:sz="0" w:space="0" w:color="auto"/>
      </w:divBdr>
      <w:divsChild>
        <w:div w:id="1814642755">
          <w:marLeft w:val="0"/>
          <w:marRight w:val="0"/>
          <w:marTop w:val="0"/>
          <w:marBottom w:val="0"/>
          <w:divBdr>
            <w:top w:val="none" w:sz="0" w:space="0" w:color="auto"/>
            <w:left w:val="none" w:sz="0" w:space="0" w:color="auto"/>
            <w:bottom w:val="none" w:sz="0" w:space="0" w:color="auto"/>
            <w:right w:val="none" w:sz="0" w:space="0" w:color="auto"/>
          </w:divBdr>
        </w:div>
        <w:div w:id="1814642788">
          <w:marLeft w:val="0"/>
          <w:marRight w:val="0"/>
          <w:marTop w:val="34"/>
          <w:marBottom w:val="34"/>
          <w:divBdr>
            <w:top w:val="none" w:sz="0" w:space="0" w:color="auto"/>
            <w:left w:val="none" w:sz="0" w:space="0" w:color="auto"/>
            <w:bottom w:val="none" w:sz="0" w:space="0" w:color="auto"/>
            <w:right w:val="none" w:sz="0" w:space="0" w:color="auto"/>
          </w:divBdr>
        </w:div>
      </w:divsChild>
    </w:div>
    <w:div w:id="1814642726">
      <w:marLeft w:val="0"/>
      <w:marRight w:val="0"/>
      <w:marTop w:val="0"/>
      <w:marBottom w:val="0"/>
      <w:divBdr>
        <w:top w:val="none" w:sz="0" w:space="0" w:color="auto"/>
        <w:left w:val="none" w:sz="0" w:space="0" w:color="auto"/>
        <w:bottom w:val="none" w:sz="0" w:space="0" w:color="auto"/>
        <w:right w:val="none" w:sz="0" w:space="0" w:color="auto"/>
      </w:divBdr>
      <w:divsChild>
        <w:div w:id="1814642747">
          <w:marLeft w:val="0"/>
          <w:marRight w:val="0"/>
          <w:marTop w:val="0"/>
          <w:marBottom w:val="0"/>
          <w:divBdr>
            <w:top w:val="none" w:sz="0" w:space="0" w:color="auto"/>
            <w:left w:val="none" w:sz="0" w:space="0" w:color="auto"/>
            <w:bottom w:val="none" w:sz="0" w:space="0" w:color="auto"/>
            <w:right w:val="none" w:sz="0" w:space="0" w:color="auto"/>
          </w:divBdr>
          <w:divsChild>
            <w:div w:id="1814642787">
              <w:marLeft w:val="0"/>
              <w:marRight w:val="0"/>
              <w:marTop w:val="0"/>
              <w:marBottom w:val="0"/>
              <w:divBdr>
                <w:top w:val="none" w:sz="0" w:space="0" w:color="auto"/>
                <w:left w:val="none" w:sz="0" w:space="0" w:color="auto"/>
                <w:bottom w:val="none" w:sz="0" w:space="0" w:color="auto"/>
                <w:right w:val="none" w:sz="0" w:space="0" w:color="auto"/>
              </w:divBdr>
              <w:divsChild>
                <w:div w:id="1814642724">
                  <w:marLeft w:val="0"/>
                  <w:marRight w:val="0"/>
                  <w:marTop w:val="0"/>
                  <w:marBottom w:val="0"/>
                  <w:divBdr>
                    <w:top w:val="none" w:sz="0" w:space="0" w:color="auto"/>
                    <w:left w:val="none" w:sz="0" w:space="0" w:color="auto"/>
                    <w:bottom w:val="none" w:sz="0" w:space="0" w:color="auto"/>
                    <w:right w:val="none" w:sz="0" w:space="0" w:color="auto"/>
                  </w:divBdr>
                  <w:divsChild>
                    <w:div w:id="1814642824">
                      <w:marLeft w:val="0"/>
                      <w:marRight w:val="0"/>
                      <w:marTop w:val="0"/>
                      <w:marBottom w:val="0"/>
                      <w:divBdr>
                        <w:top w:val="none" w:sz="0" w:space="0" w:color="auto"/>
                        <w:left w:val="none" w:sz="0" w:space="0" w:color="auto"/>
                        <w:bottom w:val="none" w:sz="0" w:space="0" w:color="auto"/>
                        <w:right w:val="none" w:sz="0" w:space="0" w:color="auto"/>
                      </w:divBdr>
                      <w:divsChild>
                        <w:div w:id="1814642830">
                          <w:marLeft w:val="0"/>
                          <w:marRight w:val="0"/>
                          <w:marTop w:val="0"/>
                          <w:marBottom w:val="0"/>
                          <w:divBdr>
                            <w:top w:val="none" w:sz="0" w:space="0" w:color="auto"/>
                            <w:left w:val="none" w:sz="0" w:space="0" w:color="auto"/>
                            <w:bottom w:val="none" w:sz="0" w:space="0" w:color="auto"/>
                            <w:right w:val="none" w:sz="0" w:space="0" w:color="auto"/>
                          </w:divBdr>
                          <w:divsChild>
                            <w:div w:id="1814642745">
                              <w:marLeft w:val="0"/>
                              <w:marRight w:val="0"/>
                              <w:marTop w:val="0"/>
                              <w:marBottom w:val="0"/>
                              <w:divBdr>
                                <w:top w:val="none" w:sz="0" w:space="0" w:color="auto"/>
                                <w:left w:val="none" w:sz="0" w:space="0" w:color="auto"/>
                                <w:bottom w:val="none" w:sz="0" w:space="0" w:color="auto"/>
                                <w:right w:val="none" w:sz="0" w:space="0" w:color="auto"/>
                              </w:divBdr>
                              <w:divsChild>
                                <w:div w:id="1814642769">
                                  <w:marLeft w:val="0"/>
                                  <w:marRight w:val="0"/>
                                  <w:marTop w:val="0"/>
                                  <w:marBottom w:val="0"/>
                                  <w:divBdr>
                                    <w:top w:val="none" w:sz="0" w:space="0" w:color="auto"/>
                                    <w:left w:val="none" w:sz="0" w:space="0" w:color="auto"/>
                                    <w:bottom w:val="none" w:sz="0" w:space="0" w:color="auto"/>
                                    <w:right w:val="none" w:sz="0" w:space="0" w:color="auto"/>
                                  </w:divBdr>
                                  <w:divsChild>
                                    <w:div w:id="1814642758">
                                      <w:marLeft w:val="0"/>
                                      <w:marRight w:val="0"/>
                                      <w:marTop w:val="0"/>
                                      <w:marBottom w:val="0"/>
                                      <w:divBdr>
                                        <w:top w:val="none" w:sz="0" w:space="0" w:color="auto"/>
                                        <w:left w:val="none" w:sz="0" w:space="0" w:color="auto"/>
                                        <w:bottom w:val="none" w:sz="0" w:space="0" w:color="auto"/>
                                        <w:right w:val="none" w:sz="0" w:space="0" w:color="auto"/>
                                      </w:divBdr>
                                      <w:divsChild>
                                        <w:div w:id="1814642792">
                                          <w:marLeft w:val="0"/>
                                          <w:marRight w:val="0"/>
                                          <w:marTop w:val="0"/>
                                          <w:marBottom w:val="0"/>
                                          <w:divBdr>
                                            <w:top w:val="none" w:sz="0" w:space="0" w:color="auto"/>
                                            <w:left w:val="none" w:sz="0" w:space="0" w:color="auto"/>
                                            <w:bottom w:val="none" w:sz="0" w:space="0" w:color="auto"/>
                                            <w:right w:val="none" w:sz="0" w:space="0" w:color="auto"/>
                                          </w:divBdr>
                                          <w:divsChild>
                                            <w:div w:id="1814642817">
                                              <w:marLeft w:val="0"/>
                                              <w:marRight w:val="0"/>
                                              <w:marTop w:val="0"/>
                                              <w:marBottom w:val="0"/>
                                              <w:divBdr>
                                                <w:top w:val="none" w:sz="0" w:space="0" w:color="auto"/>
                                                <w:left w:val="none" w:sz="0" w:space="0" w:color="auto"/>
                                                <w:bottom w:val="none" w:sz="0" w:space="0" w:color="auto"/>
                                                <w:right w:val="none" w:sz="0" w:space="0" w:color="auto"/>
                                              </w:divBdr>
                                              <w:divsChild>
                                                <w:div w:id="1814642827">
                                                  <w:marLeft w:val="0"/>
                                                  <w:marRight w:val="0"/>
                                                  <w:marTop w:val="0"/>
                                                  <w:marBottom w:val="0"/>
                                                  <w:divBdr>
                                                    <w:top w:val="none" w:sz="0" w:space="0" w:color="auto"/>
                                                    <w:left w:val="none" w:sz="0" w:space="0" w:color="auto"/>
                                                    <w:bottom w:val="none" w:sz="0" w:space="0" w:color="auto"/>
                                                    <w:right w:val="none" w:sz="0" w:space="0" w:color="auto"/>
                                                  </w:divBdr>
                                                  <w:divsChild>
                                                    <w:div w:id="1814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642730">
      <w:marLeft w:val="0"/>
      <w:marRight w:val="0"/>
      <w:marTop w:val="0"/>
      <w:marBottom w:val="0"/>
      <w:divBdr>
        <w:top w:val="none" w:sz="0" w:space="0" w:color="auto"/>
        <w:left w:val="none" w:sz="0" w:space="0" w:color="auto"/>
        <w:bottom w:val="none" w:sz="0" w:space="0" w:color="auto"/>
        <w:right w:val="none" w:sz="0" w:space="0" w:color="auto"/>
      </w:divBdr>
      <w:divsChild>
        <w:div w:id="1814642820">
          <w:marLeft w:val="0"/>
          <w:marRight w:val="0"/>
          <w:marTop w:val="0"/>
          <w:marBottom w:val="0"/>
          <w:divBdr>
            <w:top w:val="none" w:sz="0" w:space="0" w:color="auto"/>
            <w:left w:val="none" w:sz="0" w:space="0" w:color="auto"/>
            <w:bottom w:val="none" w:sz="0" w:space="0" w:color="auto"/>
            <w:right w:val="none" w:sz="0" w:space="0" w:color="auto"/>
          </w:divBdr>
        </w:div>
        <w:div w:id="1814642831">
          <w:marLeft w:val="0"/>
          <w:marRight w:val="0"/>
          <w:marTop w:val="34"/>
          <w:marBottom w:val="34"/>
          <w:divBdr>
            <w:top w:val="none" w:sz="0" w:space="0" w:color="auto"/>
            <w:left w:val="none" w:sz="0" w:space="0" w:color="auto"/>
            <w:bottom w:val="none" w:sz="0" w:space="0" w:color="auto"/>
            <w:right w:val="none" w:sz="0" w:space="0" w:color="auto"/>
          </w:divBdr>
        </w:div>
      </w:divsChild>
    </w:div>
    <w:div w:id="1814642734">
      <w:marLeft w:val="0"/>
      <w:marRight w:val="0"/>
      <w:marTop w:val="0"/>
      <w:marBottom w:val="0"/>
      <w:divBdr>
        <w:top w:val="none" w:sz="0" w:space="0" w:color="auto"/>
        <w:left w:val="none" w:sz="0" w:space="0" w:color="auto"/>
        <w:bottom w:val="none" w:sz="0" w:space="0" w:color="auto"/>
        <w:right w:val="none" w:sz="0" w:space="0" w:color="auto"/>
      </w:divBdr>
      <w:divsChild>
        <w:div w:id="1814642790">
          <w:marLeft w:val="0"/>
          <w:marRight w:val="0"/>
          <w:marTop w:val="34"/>
          <w:marBottom w:val="34"/>
          <w:divBdr>
            <w:top w:val="none" w:sz="0" w:space="0" w:color="auto"/>
            <w:left w:val="none" w:sz="0" w:space="0" w:color="auto"/>
            <w:bottom w:val="none" w:sz="0" w:space="0" w:color="auto"/>
            <w:right w:val="none" w:sz="0" w:space="0" w:color="auto"/>
          </w:divBdr>
        </w:div>
        <w:div w:id="1814642793">
          <w:marLeft w:val="0"/>
          <w:marRight w:val="0"/>
          <w:marTop w:val="0"/>
          <w:marBottom w:val="0"/>
          <w:divBdr>
            <w:top w:val="none" w:sz="0" w:space="0" w:color="auto"/>
            <w:left w:val="none" w:sz="0" w:space="0" w:color="auto"/>
            <w:bottom w:val="none" w:sz="0" w:space="0" w:color="auto"/>
            <w:right w:val="none" w:sz="0" w:space="0" w:color="auto"/>
          </w:divBdr>
        </w:div>
      </w:divsChild>
    </w:div>
    <w:div w:id="1814642736">
      <w:marLeft w:val="0"/>
      <w:marRight w:val="0"/>
      <w:marTop w:val="0"/>
      <w:marBottom w:val="0"/>
      <w:divBdr>
        <w:top w:val="none" w:sz="0" w:space="0" w:color="auto"/>
        <w:left w:val="none" w:sz="0" w:space="0" w:color="auto"/>
        <w:bottom w:val="none" w:sz="0" w:space="0" w:color="auto"/>
        <w:right w:val="none" w:sz="0" w:space="0" w:color="auto"/>
      </w:divBdr>
      <w:divsChild>
        <w:div w:id="1814642750">
          <w:marLeft w:val="0"/>
          <w:marRight w:val="0"/>
          <w:marTop w:val="34"/>
          <w:marBottom w:val="34"/>
          <w:divBdr>
            <w:top w:val="none" w:sz="0" w:space="0" w:color="auto"/>
            <w:left w:val="none" w:sz="0" w:space="0" w:color="auto"/>
            <w:bottom w:val="none" w:sz="0" w:space="0" w:color="auto"/>
            <w:right w:val="none" w:sz="0" w:space="0" w:color="auto"/>
          </w:divBdr>
        </w:div>
        <w:div w:id="1814642822">
          <w:marLeft w:val="0"/>
          <w:marRight w:val="0"/>
          <w:marTop w:val="0"/>
          <w:marBottom w:val="0"/>
          <w:divBdr>
            <w:top w:val="none" w:sz="0" w:space="0" w:color="auto"/>
            <w:left w:val="none" w:sz="0" w:space="0" w:color="auto"/>
            <w:bottom w:val="none" w:sz="0" w:space="0" w:color="auto"/>
            <w:right w:val="none" w:sz="0" w:space="0" w:color="auto"/>
          </w:divBdr>
        </w:div>
      </w:divsChild>
    </w:div>
    <w:div w:id="1814642739">
      <w:marLeft w:val="0"/>
      <w:marRight w:val="0"/>
      <w:marTop w:val="0"/>
      <w:marBottom w:val="0"/>
      <w:divBdr>
        <w:top w:val="none" w:sz="0" w:space="0" w:color="auto"/>
        <w:left w:val="none" w:sz="0" w:space="0" w:color="auto"/>
        <w:bottom w:val="none" w:sz="0" w:space="0" w:color="auto"/>
        <w:right w:val="none" w:sz="0" w:space="0" w:color="auto"/>
      </w:divBdr>
      <w:divsChild>
        <w:div w:id="1814642808">
          <w:marLeft w:val="0"/>
          <w:marRight w:val="0"/>
          <w:marTop w:val="0"/>
          <w:marBottom w:val="0"/>
          <w:divBdr>
            <w:top w:val="none" w:sz="0" w:space="0" w:color="auto"/>
            <w:left w:val="none" w:sz="0" w:space="0" w:color="auto"/>
            <w:bottom w:val="none" w:sz="0" w:space="0" w:color="auto"/>
            <w:right w:val="none" w:sz="0" w:space="0" w:color="auto"/>
          </w:divBdr>
          <w:divsChild>
            <w:div w:id="1814642782">
              <w:marLeft w:val="0"/>
              <w:marRight w:val="0"/>
              <w:marTop w:val="0"/>
              <w:marBottom w:val="0"/>
              <w:divBdr>
                <w:top w:val="none" w:sz="0" w:space="0" w:color="auto"/>
                <w:left w:val="none" w:sz="0" w:space="0" w:color="auto"/>
                <w:bottom w:val="none" w:sz="0" w:space="0" w:color="auto"/>
                <w:right w:val="none" w:sz="0" w:space="0" w:color="auto"/>
              </w:divBdr>
              <w:divsChild>
                <w:div w:id="181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42">
      <w:marLeft w:val="0"/>
      <w:marRight w:val="0"/>
      <w:marTop w:val="0"/>
      <w:marBottom w:val="0"/>
      <w:divBdr>
        <w:top w:val="none" w:sz="0" w:space="0" w:color="auto"/>
        <w:left w:val="none" w:sz="0" w:space="0" w:color="auto"/>
        <w:bottom w:val="none" w:sz="0" w:space="0" w:color="auto"/>
        <w:right w:val="none" w:sz="0" w:space="0" w:color="auto"/>
      </w:divBdr>
      <w:divsChild>
        <w:div w:id="1814642732">
          <w:marLeft w:val="0"/>
          <w:marRight w:val="0"/>
          <w:marTop w:val="34"/>
          <w:marBottom w:val="34"/>
          <w:divBdr>
            <w:top w:val="none" w:sz="0" w:space="0" w:color="auto"/>
            <w:left w:val="none" w:sz="0" w:space="0" w:color="auto"/>
            <w:bottom w:val="none" w:sz="0" w:space="0" w:color="auto"/>
            <w:right w:val="none" w:sz="0" w:space="0" w:color="auto"/>
          </w:divBdr>
        </w:div>
        <w:div w:id="1814642776">
          <w:marLeft w:val="0"/>
          <w:marRight w:val="0"/>
          <w:marTop w:val="0"/>
          <w:marBottom w:val="0"/>
          <w:divBdr>
            <w:top w:val="none" w:sz="0" w:space="0" w:color="auto"/>
            <w:left w:val="none" w:sz="0" w:space="0" w:color="auto"/>
            <w:bottom w:val="none" w:sz="0" w:space="0" w:color="auto"/>
            <w:right w:val="none" w:sz="0" w:space="0" w:color="auto"/>
          </w:divBdr>
        </w:div>
      </w:divsChild>
    </w:div>
    <w:div w:id="1814642746">
      <w:marLeft w:val="0"/>
      <w:marRight w:val="0"/>
      <w:marTop w:val="0"/>
      <w:marBottom w:val="0"/>
      <w:divBdr>
        <w:top w:val="none" w:sz="0" w:space="0" w:color="auto"/>
        <w:left w:val="none" w:sz="0" w:space="0" w:color="auto"/>
        <w:bottom w:val="none" w:sz="0" w:space="0" w:color="auto"/>
        <w:right w:val="none" w:sz="0" w:space="0" w:color="auto"/>
      </w:divBdr>
      <w:divsChild>
        <w:div w:id="1814642744">
          <w:marLeft w:val="0"/>
          <w:marRight w:val="0"/>
          <w:marTop w:val="34"/>
          <w:marBottom w:val="34"/>
          <w:divBdr>
            <w:top w:val="none" w:sz="0" w:space="0" w:color="auto"/>
            <w:left w:val="none" w:sz="0" w:space="0" w:color="auto"/>
            <w:bottom w:val="none" w:sz="0" w:space="0" w:color="auto"/>
            <w:right w:val="none" w:sz="0" w:space="0" w:color="auto"/>
          </w:divBdr>
        </w:div>
        <w:div w:id="1814642752">
          <w:marLeft w:val="0"/>
          <w:marRight w:val="0"/>
          <w:marTop w:val="0"/>
          <w:marBottom w:val="0"/>
          <w:divBdr>
            <w:top w:val="none" w:sz="0" w:space="0" w:color="auto"/>
            <w:left w:val="none" w:sz="0" w:space="0" w:color="auto"/>
            <w:bottom w:val="none" w:sz="0" w:space="0" w:color="auto"/>
            <w:right w:val="none" w:sz="0" w:space="0" w:color="auto"/>
          </w:divBdr>
        </w:div>
      </w:divsChild>
    </w:div>
    <w:div w:id="1814642748">
      <w:marLeft w:val="0"/>
      <w:marRight w:val="0"/>
      <w:marTop w:val="0"/>
      <w:marBottom w:val="0"/>
      <w:divBdr>
        <w:top w:val="none" w:sz="0" w:space="0" w:color="auto"/>
        <w:left w:val="none" w:sz="0" w:space="0" w:color="auto"/>
        <w:bottom w:val="none" w:sz="0" w:space="0" w:color="auto"/>
        <w:right w:val="none" w:sz="0" w:space="0" w:color="auto"/>
      </w:divBdr>
      <w:divsChild>
        <w:div w:id="1814642741">
          <w:marLeft w:val="0"/>
          <w:marRight w:val="0"/>
          <w:marTop w:val="34"/>
          <w:marBottom w:val="34"/>
          <w:divBdr>
            <w:top w:val="none" w:sz="0" w:space="0" w:color="auto"/>
            <w:left w:val="none" w:sz="0" w:space="0" w:color="auto"/>
            <w:bottom w:val="none" w:sz="0" w:space="0" w:color="auto"/>
            <w:right w:val="none" w:sz="0" w:space="0" w:color="auto"/>
          </w:divBdr>
        </w:div>
        <w:div w:id="1814642833">
          <w:marLeft w:val="0"/>
          <w:marRight w:val="0"/>
          <w:marTop w:val="0"/>
          <w:marBottom w:val="0"/>
          <w:divBdr>
            <w:top w:val="none" w:sz="0" w:space="0" w:color="auto"/>
            <w:left w:val="none" w:sz="0" w:space="0" w:color="auto"/>
            <w:bottom w:val="none" w:sz="0" w:space="0" w:color="auto"/>
            <w:right w:val="none" w:sz="0" w:space="0" w:color="auto"/>
          </w:divBdr>
        </w:div>
      </w:divsChild>
    </w:div>
    <w:div w:id="1814642749">
      <w:marLeft w:val="0"/>
      <w:marRight w:val="0"/>
      <w:marTop w:val="0"/>
      <w:marBottom w:val="0"/>
      <w:divBdr>
        <w:top w:val="none" w:sz="0" w:space="0" w:color="auto"/>
        <w:left w:val="none" w:sz="0" w:space="0" w:color="auto"/>
        <w:bottom w:val="none" w:sz="0" w:space="0" w:color="auto"/>
        <w:right w:val="none" w:sz="0" w:space="0" w:color="auto"/>
      </w:divBdr>
      <w:divsChild>
        <w:div w:id="1814642727">
          <w:marLeft w:val="0"/>
          <w:marRight w:val="0"/>
          <w:marTop w:val="0"/>
          <w:marBottom w:val="0"/>
          <w:divBdr>
            <w:top w:val="none" w:sz="0" w:space="0" w:color="auto"/>
            <w:left w:val="none" w:sz="0" w:space="0" w:color="auto"/>
            <w:bottom w:val="none" w:sz="0" w:space="0" w:color="auto"/>
            <w:right w:val="none" w:sz="0" w:space="0" w:color="auto"/>
          </w:divBdr>
          <w:divsChild>
            <w:div w:id="1814642813">
              <w:marLeft w:val="0"/>
              <w:marRight w:val="0"/>
              <w:marTop w:val="0"/>
              <w:marBottom w:val="0"/>
              <w:divBdr>
                <w:top w:val="none" w:sz="0" w:space="0" w:color="auto"/>
                <w:left w:val="none" w:sz="0" w:space="0" w:color="auto"/>
                <w:bottom w:val="none" w:sz="0" w:space="0" w:color="auto"/>
                <w:right w:val="none" w:sz="0" w:space="0" w:color="auto"/>
              </w:divBdr>
              <w:divsChild>
                <w:div w:id="1814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53">
      <w:marLeft w:val="0"/>
      <w:marRight w:val="0"/>
      <w:marTop w:val="0"/>
      <w:marBottom w:val="0"/>
      <w:divBdr>
        <w:top w:val="none" w:sz="0" w:space="0" w:color="auto"/>
        <w:left w:val="none" w:sz="0" w:space="0" w:color="auto"/>
        <w:bottom w:val="none" w:sz="0" w:space="0" w:color="auto"/>
        <w:right w:val="none" w:sz="0" w:space="0" w:color="auto"/>
      </w:divBdr>
      <w:divsChild>
        <w:div w:id="1814642806">
          <w:marLeft w:val="0"/>
          <w:marRight w:val="0"/>
          <w:marTop w:val="0"/>
          <w:marBottom w:val="0"/>
          <w:divBdr>
            <w:top w:val="none" w:sz="0" w:space="0" w:color="auto"/>
            <w:left w:val="none" w:sz="0" w:space="0" w:color="auto"/>
            <w:bottom w:val="none" w:sz="0" w:space="0" w:color="auto"/>
            <w:right w:val="none" w:sz="0" w:space="0" w:color="auto"/>
          </w:divBdr>
          <w:divsChild>
            <w:div w:id="1814642738">
              <w:marLeft w:val="0"/>
              <w:marRight w:val="0"/>
              <w:marTop w:val="0"/>
              <w:marBottom w:val="0"/>
              <w:divBdr>
                <w:top w:val="none" w:sz="0" w:space="0" w:color="auto"/>
                <w:left w:val="none" w:sz="0" w:space="0" w:color="auto"/>
                <w:bottom w:val="none" w:sz="0" w:space="0" w:color="auto"/>
                <w:right w:val="none" w:sz="0" w:space="0" w:color="auto"/>
              </w:divBdr>
              <w:divsChild>
                <w:div w:id="18146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61">
      <w:marLeft w:val="0"/>
      <w:marRight w:val="0"/>
      <w:marTop w:val="0"/>
      <w:marBottom w:val="0"/>
      <w:divBdr>
        <w:top w:val="none" w:sz="0" w:space="0" w:color="auto"/>
        <w:left w:val="none" w:sz="0" w:space="0" w:color="auto"/>
        <w:bottom w:val="none" w:sz="0" w:space="0" w:color="auto"/>
        <w:right w:val="none" w:sz="0" w:space="0" w:color="auto"/>
      </w:divBdr>
      <w:divsChild>
        <w:div w:id="1814642751">
          <w:marLeft w:val="0"/>
          <w:marRight w:val="0"/>
          <w:marTop w:val="0"/>
          <w:marBottom w:val="0"/>
          <w:divBdr>
            <w:top w:val="none" w:sz="0" w:space="0" w:color="auto"/>
            <w:left w:val="none" w:sz="0" w:space="0" w:color="auto"/>
            <w:bottom w:val="none" w:sz="0" w:space="0" w:color="auto"/>
            <w:right w:val="none" w:sz="0" w:space="0" w:color="auto"/>
          </w:divBdr>
          <w:divsChild>
            <w:div w:id="1814642740">
              <w:marLeft w:val="0"/>
              <w:marRight w:val="0"/>
              <w:marTop w:val="0"/>
              <w:marBottom w:val="0"/>
              <w:divBdr>
                <w:top w:val="none" w:sz="0" w:space="0" w:color="auto"/>
                <w:left w:val="none" w:sz="0" w:space="0" w:color="auto"/>
                <w:bottom w:val="none" w:sz="0" w:space="0" w:color="auto"/>
                <w:right w:val="none" w:sz="0" w:space="0" w:color="auto"/>
              </w:divBdr>
              <w:divsChild>
                <w:div w:id="18146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62">
      <w:marLeft w:val="0"/>
      <w:marRight w:val="0"/>
      <w:marTop w:val="0"/>
      <w:marBottom w:val="0"/>
      <w:divBdr>
        <w:top w:val="none" w:sz="0" w:space="0" w:color="auto"/>
        <w:left w:val="none" w:sz="0" w:space="0" w:color="auto"/>
        <w:bottom w:val="none" w:sz="0" w:space="0" w:color="auto"/>
        <w:right w:val="none" w:sz="0" w:space="0" w:color="auto"/>
      </w:divBdr>
      <w:divsChild>
        <w:div w:id="1814642798">
          <w:marLeft w:val="0"/>
          <w:marRight w:val="0"/>
          <w:marTop w:val="0"/>
          <w:marBottom w:val="0"/>
          <w:divBdr>
            <w:top w:val="none" w:sz="0" w:space="0" w:color="auto"/>
            <w:left w:val="none" w:sz="0" w:space="0" w:color="auto"/>
            <w:bottom w:val="none" w:sz="0" w:space="0" w:color="auto"/>
            <w:right w:val="none" w:sz="0" w:space="0" w:color="auto"/>
          </w:divBdr>
          <w:divsChild>
            <w:div w:id="1814642760">
              <w:marLeft w:val="0"/>
              <w:marRight w:val="0"/>
              <w:marTop w:val="0"/>
              <w:marBottom w:val="0"/>
              <w:divBdr>
                <w:top w:val="none" w:sz="0" w:space="0" w:color="auto"/>
                <w:left w:val="none" w:sz="0" w:space="0" w:color="auto"/>
                <w:bottom w:val="none" w:sz="0" w:space="0" w:color="auto"/>
                <w:right w:val="none" w:sz="0" w:space="0" w:color="auto"/>
              </w:divBdr>
              <w:divsChild>
                <w:div w:id="18146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63">
      <w:marLeft w:val="0"/>
      <w:marRight w:val="0"/>
      <w:marTop w:val="0"/>
      <w:marBottom w:val="0"/>
      <w:divBdr>
        <w:top w:val="none" w:sz="0" w:space="0" w:color="auto"/>
        <w:left w:val="none" w:sz="0" w:space="0" w:color="auto"/>
        <w:bottom w:val="none" w:sz="0" w:space="0" w:color="auto"/>
        <w:right w:val="none" w:sz="0" w:space="0" w:color="auto"/>
      </w:divBdr>
    </w:div>
    <w:div w:id="1814642765">
      <w:marLeft w:val="0"/>
      <w:marRight w:val="0"/>
      <w:marTop w:val="0"/>
      <w:marBottom w:val="0"/>
      <w:divBdr>
        <w:top w:val="none" w:sz="0" w:space="0" w:color="auto"/>
        <w:left w:val="none" w:sz="0" w:space="0" w:color="auto"/>
        <w:bottom w:val="none" w:sz="0" w:space="0" w:color="auto"/>
        <w:right w:val="none" w:sz="0" w:space="0" w:color="auto"/>
      </w:divBdr>
      <w:divsChild>
        <w:div w:id="1814642757">
          <w:marLeft w:val="0"/>
          <w:marRight w:val="0"/>
          <w:marTop w:val="0"/>
          <w:marBottom w:val="0"/>
          <w:divBdr>
            <w:top w:val="none" w:sz="0" w:space="0" w:color="auto"/>
            <w:left w:val="none" w:sz="0" w:space="0" w:color="auto"/>
            <w:bottom w:val="none" w:sz="0" w:space="0" w:color="auto"/>
            <w:right w:val="none" w:sz="0" w:space="0" w:color="auto"/>
          </w:divBdr>
        </w:div>
        <w:div w:id="1814642811">
          <w:marLeft w:val="0"/>
          <w:marRight w:val="0"/>
          <w:marTop w:val="34"/>
          <w:marBottom w:val="34"/>
          <w:divBdr>
            <w:top w:val="none" w:sz="0" w:space="0" w:color="auto"/>
            <w:left w:val="none" w:sz="0" w:space="0" w:color="auto"/>
            <w:bottom w:val="none" w:sz="0" w:space="0" w:color="auto"/>
            <w:right w:val="none" w:sz="0" w:space="0" w:color="auto"/>
          </w:divBdr>
        </w:div>
      </w:divsChild>
    </w:div>
    <w:div w:id="1814642766">
      <w:marLeft w:val="0"/>
      <w:marRight w:val="0"/>
      <w:marTop w:val="0"/>
      <w:marBottom w:val="0"/>
      <w:divBdr>
        <w:top w:val="none" w:sz="0" w:space="0" w:color="auto"/>
        <w:left w:val="none" w:sz="0" w:space="0" w:color="auto"/>
        <w:bottom w:val="none" w:sz="0" w:space="0" w:color="auto"/>
        <w:right w:val="none" w:sz="0" w:space="0" w:color="auto"/>
      </w:divBdr>
      <w:divsChild>
        <w:div w:id="1814642772">
          <w:marLeft w:val="0"/>
          <w:marRight w:val="0"/>
          <w:marTop w:val="0"/>
          <w:marBottom w:val="0"/>
          <w:divBdr>
            <w:top w:val="none" w:sz="0" w:space="0" w:color="auto"/>
            <w:left w:val="none" w:sz="0" w:space="0" w:color="auto"/>
            <w:bottom w:val="none" w:sz="0" w:space="0" w:color="auto"/>
            <w:right w:val="none" w:sz="0" w:space="0" w:color="auto"/>
          </w:divBdr>
        </w:div>
        <w:div w:id="1814642829">
          <w:marLeft w:val="0"/>
          <w:marRight w:val="0"/>
          <w:marTop w:val="34"/>
          <w:marBottom w:val="34"/>
          <w:divBdr>
            <w:top w:val="none" w:sz="0" w:space="0" w:color="auto"/>
            <w:left w:val="none" w:sz="0" w:space="0" w:color="auto"/>
            <w:bottom w:val="none" w:sz="0" w:space="0" w:color="auto"/>
            <w:right w:val="none" w:sz="0" w:space="0" w:color="auto"/>
          </w:divBdr>
        </w:div>
      </w:divsChild>
    </w:div>
    <w:div w:id="1814642770">
      <w:marLeft w:val="0"/>
      <w:marRight w:val="0"/>
      <w:marTop w:val="0"/>
      <w:marBottom w:val="0"/>
      <w:divBdr>
        <w:top w:val="none" w:sz="0" w:space="0" w:color="auto"/>
        <w:left w:val="none" w:sz="0" w:space="0" w:color="auto"/>
        <w:bottom w:val="none" w:sz="0" w:space="0" w:color="auto"/>
        <w:right w:val="none" w:sz="0" w:space="0" w:color="auto"/>
      </w:divBdr>
      <w:divsChild>
        <w:div w:id="1814642778">
          <w:marLeft w:val="0"/>
          <w:marRight w:val="0"/>
          <w:marTop w:val="0"/>
          <w:marBottom w:val="0"/>
          <w:divBdr>
            <w:top w:val="none" w:sz="0" w:space="0" w:color="auto"/>
            <w:left w:val="none" w:sz="0" w:space="0" w:color="auto"/>
            <w:bottom w:val="none" w:sz="0" w:space="0" w:color="auto"/>
            <w:right w:val="none" w:sz="0" w:space="0" w:color="auto"/>
          </w:divBdr>
        </w:div>
        <w:div w:id="1814642816">
          <w:marLeft w:val="0"/>
          <w:marRight w:val="0"/>
          <w:marTop w:val="34"/>
          <w:marBottom w:val="34"/>
          <w:divBdr>
            <w:top w:val="none" w:sz="0" w:space="0" w:color="auto"/>
            <w:left w:val="none" w:sz="0" w:space="0" w:color="auto"/>
            <w:bottom w:val="none" w:sz="0" w:space="0" w:color="auto"/>
            <w:right w:val="none" w:sz="0" w:space="0" w:color="auto"/>
          </w:divBdr>
        </w:div>
      </w:divsChild>
    </w:div>
    <w:div w:id="1814642771">
      <w:marLeft w:val="0"/>
      <w:marRight w:val="0"/>
      <w:marTop w:val="0"/>
      <w:marBottom w:val="0"/>
      <w:divBdr>
        <w:top w:val="none" w:sz="0" w:space="0" w:color="auto"/>
        <w:left w:val="none" w:sz="0" w:space="0" w:color="auto"/>
        <w:bottom w:val="none" w:sz="0" w:space="0" w:color="auto"/>
        <w:right w:val="none" w:sz="0" w:space="0" w:color="auto"/>
      </w:divBdr>
      <w:divsChild>
        <w:div w:id="1814642818">
          <w:marLeft w:val="0"/>
          <w:marRight w:val="0"/>
          <w:marTop w:val="34"/>
          <w:marBottom w:val="34"/>
          <w:divBdr>
            <w:top w:val="none" w:sz="0" w:space="0" w:color="auto"/>
            <w:left w:val="none" w:sz="0" w:space="0" w:color="auto"/>
            <w:bottom w:val="none" w:sz="0" w:space="0" w:color="auto"/>
            <w:right w:val="none" w:sz="0" w:space="0" w:color="auto"/>
          </w:divBdr>
        </w:div>
      </w:divsChild>
    </w:div>
    <w:div w:id="1814642774">
      <w:marLeft w:val="0"/>
      <w:marRight w:val="0"/>
      <w:marTop w:val="0"/>
      <w:marBottom w:val="0"/>
      <w:divBdr>
        <w:top w:val="none" w:sz="0" w:space="0" w:color="auto"/>
        <w:left w:val="none" w:sz="0" w:space="0" w:color="auto"/>
        <w:bottom w:val="none" w:sz="0" w:space="0" w:color="auto"/>
        <w:right w:val="none" w:sz="0" w:space="0" w:color="auto"/>
      </w:divBdr>
      <w:divsChild>
        <w:div w:id="1814642825">
          <w:marLeft w:val="0"/>
          <w:marRight w:val="0"/>
          <w:marTop w:val="34"/>
          <w:marBottom w:val="34"/>
          <w:divBdr>
            <w:top w:val="none" w:sz="0" w:space="0" w:color="auto"/>
            <w:left w:val="none" w:sz="0" w:space="0" w:color="auto"/>
            <w:bottom w:val="none" w:sz="0" w:space="0" w:color="auto"/>
            <w:right w:val="none" w:sz="0" w:space="0" w:color="auto"/>
          </w:divBdr>
        </w:div>
      </w:divsChild>
    </w:div>
    <w:div w:id="1814642775">
      <w:marLeft w:val="0"/>
      <w:marRight w:val="0"/>
      <w:marTop w:val="0"/>
      <w:marBottom w:val="0"/>
      <w:divBdr>
        <w:top w:val="none" w:sz="0" w:space="0" w:color="auto"/>
        <w:left w:val="none" w:sz="0" w:space="0" w:color="auto"/>
        <w:bottom w:val="none" w:sz="0" w:space="0" w:color="auto"/>
        <w:right w:val="none" w:sz="0" w:space="0" w:color="auto"/>
      </w:divBdr>
      <w:divsChild>
        <w:div w:id="1814642768">
          <w:marLeft w:val="0"/>
          <w:marRight w:val="0"/>
          <w:marTop w:val="34"/>
          <w:marBottom w:val="34"/>
          <w:divBdr>
            <w:top w:val="none" w:sz="0" w:space="0" w:color="auto"/>
            <w:left w:val="none" w:sz="0" w:space="0" w:color="auto"/>
            <w:bottom w:val="none" w:sz="0" w:space="0" w:color="auto"/>
            <w:right w:val="none" w:sz="0" w:space="0" w:color="auto"/>
          </w:divBdr>
        </w:div>
        <w:div w:id="1814642785">
          <w:marLeft w:val="0"/>
          <w:marRight w:val="0"/>
          <w:marTop w:val="0"/>
          <w:marBottom w:val="0"/>
          <w:divBdr>
            <w:top w:val="none" w:sz="0" w:space="0" w:color="auto"/>
            <w:left w:val="none" w:sz="0" w:space="0" w:color="auto"/>
            <w:bottom w:val="none" w:sz="0" w:space="0" w:color="auto"/>
            <w:right w:val="none" w:sz="0" w:space="0" w:color="auto"/>
          </w:divBdr>
        </w:div>
      </w:divsChild>
    </w:div>
    <w:div w:id="1814642779">
      <w:marLeft w:val="0"/>
      <w:marRight w:val="0"/>
      <w:marTop w:val="0"/>
      <w:marBottom w:val="0"/>
      <w:divBdr>
        <w:top w:val="none" w:sz="0" w:space="0" w:color="auto"/>
        <w:left w:val="none" w:sz="0" w:space="0" w:color="auto"/>
        <w:bottom w:val="none" w:sz="0" w:space="0" w:color="auto"/>
        <w:right w:val="none" w:sz="0" w:space="0" w:color="auto"/>
      </w:divBdr>
      <w:divsChild>
        <w:div w:id="1814642737">
          <w:marLeft w:val="0"/>
          <w:marRight w:val="0"/>
          <w:marTop w:val="34"/>
          <w:marBottom w:val="34"/>
          <w:divBdr>
            <w:top w:val="none" w:sz="0" w:space="0" w:color="auto"/>
            <w:left w:val="none" w:sz="0" w:space="0" w:color="auto"/>
            <w:bottom w:val="none" w:sz="0" w:space="0" w:color="auto"/>
            <w:right w:val="none" w:sz="0" w:space="0" w:color="auto"/>
          </w:divBdr>
        </w:div>
        <w:div w:id="1814642828">
          <w:marLeft w:val="0"/>
          <w:marRight w:val="0"/>
          <w:marTop w:val="0"/>
          <w:marBottom w:val="0"/>
          <w:divBdr>
            <w:top w:val="none" w:sz="0" w:space="0" w:color="auto"/>
            <w:left w:val="none" w:sz="0" w:space="0" w:color="auto"/>
            <w:bottom w:val="none" w:sz="0" w:space="0" w:color="auto"/>
            <w:right w:val="none" w:sz="0" w:space="0" w:color="auto"/>
          </w:divBdr>
        </w:div>
      </w:divsChild>
    </w:div>
    <w:div w:id="1814642780">
      <w:marLeft w:val="0"/>
      <w:marRight w:val="0"/>
      <w:marTop w:val="0"/>
      <w:marBottom w:val="0"/>
      <w:divBdr>
        <w:top w:val="none" w:sz="0" w:space="0" w:color="auto"/>
        <w:left w:val="none" w:sz="0" w:space="0" w:color="auto"/>
        <w:bottom w:val="none" w:sz="0" w:space="0" w:color="auto"/>
        <w:right w:val="none" w:sz="0" w:space="0" w:color="auto"/>
      </w:divBdr>
      <w:divsChild>
        <w:div w:id="1814642791">
          <w:marLeft w:val="0"/>
          <w:marRight w:val="0"/>
          <w:marTop w:val="0"/>
          <w:marBottom w:val="0"/>
          <w:divBdr>
            <w:top w:val="none" w:sz="0" w:space="0" w:color="auto"/>
            <w:left w:val="none" w:sz="0" w:space="0" w:color="auto"/>
            <w:bottom w:val="none" w:sz="0" w:space="0" w:color="auto"/>
            <w:right w:val="none" w:sz="0" w:space="0" w:color="auto"/>
          </w:divBdr>
        </w:div>
        <w:div w:id="1814642819">
          <w:marLeft w:val="0"/>
          <w:marRight w:val="0"/>
          <w:marTop w:val="34"/>
          <w:marBottom w:val="34"/>
          <w:divBdr>
            <w:top w:val="none" w:sz="0" w:space="0" w:color="auto"/>
            <w:left w:val="none" w:sz="0" w:space="0" w:color="auto"/>
            <w:bottom w:val="none" w:sz="0" w:space="0" w:color="auto"/>
            <w:right w:val="none" w:sz="0" w:space="0" w:color="auto"/>
          </w:divBdr>
        </w:div>
      </w:divsChild>
    </w:div>
    <w:div w:id="1814642781">
      <w:marLeft w:val="0"/>
      <w:marRight w:val="0"/>
      <w:marTop w:val="0"/>
      <w:marBottom w:val="0"/>
      <w:divBdr>
        <w:top w:val="none" w:sz="0" w:space="0" w:color="auto"/>
        <w:left w:val="none" w:sz="0" w:space="0" w:color="auto"/>
        <w:bottom w:val="none" w:sz="0" w:space="0" w:color="auto"/>
        <w:right w:val="none" w:sz="0" w:space="0" w:color="auto"/>
      </w:divBdr>
      <w:divsChild>
        <w:div w:id="1814642764">
          <w:marLeft w:val="0"/>
          <w:marRight w:val="0"/>
          <w:marTop w:val="34"/>
          <w:marBottom w:val="34"/>
          <w:divBdr>
            <w:top w:val="none" w:sz="0" w:space="0" w:color="auto"/>
            <w:left w:val="none" w:sz="0" w:space="0" w:color="auto"/>
            <w:bottom w:val="none" w:sz="0" w:space="0" w:color="auto"/>
            <w:right w:val="none" w:sz="0" w:space="0" w:color="auto"/>
          </w:divBdr>
        </w:div>
        <w:div w:id="1814642815">
          <w:marLeft w:val="0"/>
          <w:marRight w:val="0"/>
          <w:marTop w:val="0"/>
          <w:marBottom w:val="0"/>
          <w:divBdr>
            <w:top w:val="none" w:sz="0" w:space="0" w:color="auto"/>
            <w:left w:val="none" w:sz="0" w:space="0" w:color="auto"/>
            <w:bottom w:val="none" w:sz="0" w:space="0" w:color="auto"/>
            <w:right w:val="none" w:sz="0" w:space="0" w:color="auto"/>
          </w:divBdr>
        </w:div>
      </w:divsChild>
    </w:div>
    <w:div w:id="1814642786">
      <w:marLeft w:val="0"/>
      <w:marRight w:val="0"/>
      <w:marTop w:val="0"/>
      <w:marBottom w:val="0"/>
      <w:divBdr>
        <w:top w:val="none" w:sz="0" w:space="0" w:color="auto"/>
        <w:left w:val="none" w:sz="0" w:space="0" w:color="auto"/>
        <w:bottom w:val="none" w:sz="0" w:space="0" w:color="auto"/>
        <w:right w:val="none" w:sz="0" w:space="0" w:color="auto"/>
      </w:divBdr>
      <w:divsChild>
        <w:div w:id="1814642719">
          <w:marLeft w:val="0"/>
          <w:marRight w:val="0"/>
          <w:marTop w:val="34"/>
          <w:marBottom w:val="34"/>
          <w:divBdr>
            <w:top w:val="none" w:sz="0" w:space="0" w:color="auto"/>
            <w:left w:val="none" w:sz="0" w:space="0" w:color="auto"/>
            <w:bottom w:val="none" w:sz="0" w:space="0" w:color="auto"/>
            <w:right w:val="none" w:sz="0" w:space="0" w:color="auto"/>
          </w:divBdr>
        </w:div>
        <w:div w:id="1814642728">
          <w:marLeft w:val="0"/>
          <w:marRight w:val="0"/>
          <w:marTop w:val="0"/>
          <w:marBottom w:val="0"/>
          <w:divBdr>
            <w:top w:val="none" w:sz="0" w:space="0" w:color="auto"/>
            <w:left w:val="none" w:sz="0" w:space="0" w:color="auto"/>
            <w:bottom w:val="none" w:sz="0" w:space="0" w:color="auto"/>
            <w:right w:val="none" w:sz="0" w:space="0" w:color="auto"/>
          </w:divBdr>
        </w:div>
      </w:divsChild>
    </w:div>
    <w:div w:id="1814642789">
      <w:marLeft w:val="0"/>
      <w:marRight w:val="0"/>
      <w:marTop w:val="0"/>
      <w:marBottom w:val="0"/>
      <w:divBdr>
        <w:top w:val="none" w:sz="0" w:space="0" w:color="auto"/>
        <w:left w:val="none" w:sz="0" w:space="0" w:color="auto"/>
        <w:bottom w:val="none" w:sz="0" w:space="0" w:color="auto"/>
        <w:right w:val="none" w:sz="0" w:space="0" w:color="auto"/>
      </w:divBdr>
      <w:divsChild>
        <w:div w:id="1814642754">
          <w:marLeft w:val="0"/>
          <w:marRight w:val="0"/>
          <w:marTop w:val="34"/>
          <w:marBottom w:val="34"/>
          <w:divBdr>
            <w:top w:val="none" w:sz="0" w:space="0" w:color="auto"/>
            <w:left w:val="none" w:sz="0" w:space="0" w:color="auto"/>
            <w:bottom w:val="none" w:sz="0" w:space="0" w:color="auto"/>
            <w:right w:val="none" w:sz="0" w:space="0" w:color="auto"/>
          </w:divBdr>
        </w:div>
        <w:div w:id="1814642795">
          <w:marLeft w:val="0"/>
          <w:marRight w:val="0"/>
          <w:marTop w:val="0"/>
          <w:marBottom w:val="0"/>
          <w:divBdr>
            <w:top w:val="none" w:sz="0" w:space="0" w:color="auto"/>
            <w:left w:val="none" w:sz="0" w:space="0" w:color="auto"/>
            <w:bottom w:val="none" w:sz="0" w:space="0" w:color="auto"/>
            <w:right w:val="none" w:sz="0" w:space="0" w:color="auto"/>
          </w:divBdr>
        </w:div>
      </w:divsChild>
    </w:div>
    <w:div w:id="1814642794">
      <w:marLeft w:val="0"/>
      <w:marRight w:val="0"/>
      <w:marTop w:val="0"/>
      <w:marBottom w:val="0"/>
      <w:divBdr>
        <w:top w:val="none" w:sz="0" w:space="0" w:color="auto"/>
        <w:left w:val="none" w:sz="0" w:space="0" w:color="auto"/>
        <w:bottom w:val="none" w:sz="0" w:space="0" w:color="auto"/>
        <w:right w:val="none" w:sz="0" w:space="0" w:color="auto"/>
      </w:divBdr>
      <w:divsChild>
        <w:div w:id="1814642796">
          <w:marLeft w:val="0"/>
          <w:marRight w:val="0"/>
          <w:marTop w:val="34"/>
          <w:marBottom w:val="34"/>
          <w:divBdr>
            <w:top w:val="none" w:sz="0" w:space="0" w:color="auto"/>
            <w:left w:val="none" w:sz="0" w:space="0" w:color="auto"/>
            <w:bottom w:val="none" w:sz="0" w:space="0" w:color="auto"/>
            <w:right w:val="none" w:sz="0" w:space="0" w:color="auto"/>
          </w:divBdr>
        </w:div>
        <w:div w:id="1814642814">
          <w:marLeft w:val="0"/>
          <w:marRight w:val="0"/>
          <w:marTop w:val="0"/>
          <w:marBottom w:val="0"/>
          <w:divBdr>
            <w:top w:val="none" w:sz="0" w:space="0" w:color="auto"/>
            <w:left w:val="none" w:sz="0" w:space="0" w:color="auto"/>
            <w:bottom w:val="none" w:sz="0" w:space="0" w:color="auto"/>
            <w:right w:val="none" w:sz="0" w:space="0" w:color="auto"/>
          </w:divBdr>
        </w:div>
      </w:divsChild>
    </w:div>
    <w:div w:id="1814642797">
      <w:marLeft w:val="0"/>
      <w:marRight w:val="0"/>
      <w:marTop w:val="0"/>
      <w:marBottom w:val="0"/>
      <w:divBdr>
        <w:top w:val="none" w:sz="0" w:space="0" w:color="auto"/>
        <w:left w:val="none" w:sz="0" w:space="0" w:color="auto"/>
        <w:bottom w:val="none" w:sz="0" w:space="0" w:color="auto"/>
        <w:right w:val="none" w:sz="0" w:space="0" w:color="auto"/>
      </w:divBdr>
      <w:divsChild>
        <w:div w:id="1814642756">
          <w:marLeft w:val="0"/>
          <w:marRight w:val="0"/>
          <w:marTop w:val="0"/>
          <w:marBottom w:val="0"/>
          <w:divBdr>
            <w:top w:val="none" w:sz="0" w:space="0" w:color="auto"/>
            <w:left w:val="none" w:sz="0" w:space="0" w:color="auto"/>
            <w:bottom w:val="none" w:sz="0" w:space="0" w:color="auto"/>
            <w:right w:val="none" w:sz="0" w:space="0" w:color="auto"/>
          </w:divBdr>
        </w:div>
        <w:div w:id="1814642802">
          <w:marLeft w:val="0"/>
          <w:marRight w:val="0"/>
          <w:marTop w:val="34"/>
          <w:marBottom w:val="34"/>
          <w:divBdr>
            <w:top w:val="none" w:sz="0" w:space="0" w:color="auto"/>
            <w:left w:val="none" w:sz="0" w:space="0" w:color="auto"/>
            <w:bottom w:val="none" w:sz="0" w:space="0" w:color="auto"/>
            <w:right w:val="none" w:sz="0" w:space="0" w:color="auto"/>
          </w:divBdr>
        </w:div>
      </w:divsChild>
    </w:div>
    <w:div w:id="1814642799">
      <w:marLeft w:val="0"/>
      <w:marRight w:val="0"/>
      <w:marTop w:val="0"/>
      <w:marBottom w:val="0"/>
      <w:divBdr>
        <w:top w:val="none" w:sz="0" w:space="0" w:color="auto"/>
        <w:left w:val="none" w:sz="0" w:space="0" w:color="auto"/>
        <w:bottom w:val="none" w:sz="0" w:space="0" w:color="auto"/>
        <w:right w:val="none" w:sz="0" w:space="0" w:color="auto"/>
      </w:divBdr>
      <w:divsChild>
        <w:div w:id="1814642717">
          <w:marLeft w:val="0"/>
          <w:marRight w:val="0"/>
          <w:marTop w:val="0"/>
          <w:marBottom w:val="0"/>
          <w:divBdr>
            <w:top w:val="none" w:sz="0" w:space="0" w:color="auto"/>
            <w:left w:val="none" w:sz="0" w:space="0" w:color="auto"/>
            <w:bottom w:val="none" w:sz="0" w:space="0" w:color="auto"/>
            <w:right w:val="none" w:sz="0" w:space="0" w:color="auto"/>
          </w:divBdr>
        </w:div>
        <w:div w:id="1814642804">
          <w:marLeft w:val="0"/>
          <w:marRight w:val="0"/>
          <w:marTop w:val="34"/>
          <w:marBottom w:val="34"/>
          <w:divBdr>
            <w:top w:val="none" w:sz="0" w:space="0" w:color="auto"/>
            <w:left w:val="none" w:sz="0" w:space="0" w:color="auto"/>
            <w:bottom w:val="none" w:sz="0" w:space="0" w:color="auto"/>
            <w:right w:val="none" w:sz="0" w:space="0" w:color="auto"/>
          </w:divBdr>
        </w:div>
      </w:divsChild>
    </w:div>
    <w:div w:id="1814642800">
      <w:marLeft w:val="0"/>
      <w:marRight w:val="0"/>
      <w:marTop w:val="0"/>
      <w:marBottom w:val="0"/>
      <w:divBdr>
        <w:top w:val="none" w:sz="0" w:space="0" w:color="auto"/>
        <w:left w:val="none" w:sz="0" w:space="0" w:color="auto"/>
        <w:bottom w:val="none" w:sz="0" w:space="0" w:color="auto"/>
        <w:right w:val="none" w:sz="0" w:space="0" w:color="auto"/>
      </w:divBdr>
      <w:divsChild>
        <w:div w:id="1814642801">
          <w:marLeft w:val="0"/>
          <w:marRight w:val="0"/>
          <w:marTop w:val="34"/>
          <w:marBottom w:val="34"/>
          <w:divBdr>
            <w:top w:val="none" w:sz="0" w:space="0" w:color="auto"/>
            <w:left w:val="none" w:sz="0" w:space="0" w:color="auto"/>
            <w:bottom w:val="none" w:sz="0" w:space="0" w:color="auto"/>
            <w:right w:val="none" w:sz="0" w:space="0" w:color="auto"/>
          </w:divBdr>
        </w:div>
      </w:divsChild>
    </w:div>
    <w:div w:id="1814642807">
      <w:marLeft w:val="0"/>
      <w:marRight w:val="0"/>
      <w:marTop w:val="0"/>
      <w:marBottom w:val="0"/>
      <w:divBdr>
        <w:top w:val="none" w:sz="0" w:space="0" w:color="auto"/>
        <w:left w:val="none" w:sz="0" w:space="0" w:color="auto"/>
        <w:bottom w:val="none" w:sz="0" w:space="0" w:color="auto"/>
        <w:right w:val="none" w:sz="0" w:space="0" w:color="auto"/>
      </w:divBdr>
    </w:div>
    <w:div w:id="1814642810">
      <w:marLeft w:val="0"/>
      <w:marRight w:val="0"/>
      <w:marTop w:val="0"/>
      <w:marBottom w:val="0"/>
      <w:divBdr>
        <w:top w:val="none" w:sz="0" w:space="0" w:color="auto"/>
        <w:left w:val="none" w:sz="0" w:space="0" w:color="auto"/>
        <w:bottom w:val="none" w:sz="0" w:space="0" w:color="auto"/>
        <w:right w:val="none" w:sz="0" w:space="0" w:color="auto"/>
      </w:divBdr>
      <w:divsChild>
        <w:div w:id="1814642783">
          <w:marLeft w:val="0"/>
          <w:marRight w:val="0"/>
          <w:marTop w:val="34"/>
          <w:marBottom w:val="34"/>
          <w:divBdr>
            <w:top w:val="none" w:sz="0" w:space="0" w:color="auto"/>
            <w:left w:val="none" w:sz="0" w:space="0" w:color="auto"/>
            <w:bottom w:val="none" w:sz="0" w:space="0" w:color="auto"/>
            <w:right w:val="none" w:sz="0" w:space="0" w:color="auto"/>
          </w:divBdr>
        </w:div>
        <w:div w:id="1814642803">
          <w:marLeft w:val="0"/>
          <w:marRight w:val="0"/>
          <w:marTop w:val="0"/>
          <w:marBottom w:val="0"/>
          <w:divBdr>
            <w:top w:val="none" w:sz="0" w:space="0" w:color="auto"/>
            <w:left w:val="none" w:sz="0" w:space="0" w:color="auto"/>
            <w:bottom w:val="none" w:sz="0" w:space="0" w:color="auto"/>
            <w:right w:val="none" w:sz="0" w:space="0" w:color="auto"/>
          </w:divBdr>
        </w:div>
      </w:divsChild>
    </w:div>
    <w:div w:id="1814642812">
      <w:marLeft w:val="0"/>
      <w:marRight w:val="0"/>
      <w:marTop w:val="0"/>
      <w:marBottom w:val="0"/>
      <w:divBdr>
        <w:top w:val="none" w:sz="0" w:space="0" w:color="auto"/>
        <w:left w:val="none" w:sz="0" w:space="0" w:color="auto"/>
        <w:bottom w:val="none" w:sz="0" w:space="0" w:color="auto"/>
        <w:right w:val="none" w:sz="0" w:space="0" w:color="auto"/>
      </w:divBdr>
      <w:divsChild>
        <w:div w:id="1814642731">
          <w:marLeft w:val="0"/>
          <w:marRight w:val="0"/>
          <w:marTop w:val="34"/>
          <w:marBottom w:val="34"/>
          <w:divBdr>
            <w:top w:val="none" w:sz="0" w:space="0" w:color="auto"/>
            <w:left w:val="none" w:sz="0" w:space="0" w:color="auto"/>
            <w:bottom w:val="none" w:sz="0" w:space="0" w:color="auto"/>
            <w:right w:val="none" w:sz="0" w:space="0" w:color="auto"/>
          </w:divBdr>
        </w:div>
      </w:divsChild>
    </w:div>
    <w:div w:id="1814642821">
      <w:marLeft w:val="0"/>
      <w:marRight w:val="0"/>
      <w:marTop w:val="0"/>
      <w:marBottom w:val="0"/>
      <w:divBdr>
        <w:top w:val="none" w:sz="0" w:space="0" w:color="auto"/>
        <w:left w:val="none" w:sz="0" w:space="0" w:color="auto"/>
        <w:bottom w:val="none" w:sz="0" w:space="0" w:color="auto"/>
        <w:right w:val="none" w:sz="0" w:space="0" w:color="auto"/>
      </w:divBdr>
    </w:div>
    <w:div w:id="1814642823">
      <w:marLeft w:val="0"/>
      <w:marRight w:val="0"/>
      <w:marTop w:val="0"/>
      <w:marBottom w:val="0"/>
      <w:divBdr>
        <w:top w:val="none" w:sz="0" w:space="0" w:color="auto"/>
        <w:left w:val="none" w:sz="0" w:space="0" w:color="auto"/>
        <w:bottom w:val="none" w:sz="0" w:space="0" w:color="auto"/>
        <w:right w:val="none" w:sz="0" w:space="0" w:color="auto"/>
      </w:divBdr>
      <w:divsChild>
        <w:div w:id="1814642722">
          <w:marLeft w:val="0"/>
          <w:marRight w:val="0"/>
          <w:marTop w:val="34"/>
          <w:marBottom w:val="34"/>
          <w:divBdr>
            <w:top w:val="none" w:sz="0" w:space="0" w:color="auto"/>
            <w:left w:val="none" w:sz="0" w:space="0" w:color="auto"/>
            <w:bottom w:val="none" w:sz="0" w:space="0" w:color="auto"/>
            <w:right w:val="none" w:sz="0" w:space="0" w:color="auto"/>
          </w:divBdr>
        </w:div>
        <w:div w:id="1814642733">
          <w:marLeft w:val="0"/>
          <w:marRight w:val="0"/>
          <w:marTop w:val="0"/>
          <w:marBottom w:val="0"/>
          <w:divBdr>
            <w:top w:val="none" w:sz="0" w:space="0" w:color="auto"/>
            <w:left w:val="none" w:sz="0" w:space="0" w:color="auto"/>
            <w:bottom w:val="none" w:sz="0" w:space="0" w:color="auto"/>
            <w:right w:val="none" w:sz="0" w:space="0" w:color="auto"/>
          </w:divBdr>
        </w:div>
      </w:divsChild>
    </w:div>
    <w:div w:id="1814642826">
      <w:marLeft w:val="0"/>
      <w:marRight w:val="0"/>
      <w:marTop w:val="0"/>
      <w:marBottom w:val="0"/>
      <w:divBdr>
        <w:top w:val="none" w:sz="0" w:space="0" w:color="auto"/>
        <w:left w:val="none" w:sz="0" w:space="0" w:color="auto"/>
        <w:bottom w:val="none" w:sz="0" w:space="0" w:color="auto"/>
        <w:right w:val="none" w:sz="0" w:space="0" w:color="auto"/>
      </w:divBdr>
      <w:divsChild>
        <w:div w:id="1814642725">
          <w:marLeft w:val="0"/>
          <w:marRight w:val="0"/>
          <w:marTop w:val="0"/>
          <w:marBottom w:val="0"/>
          <w:divBdr>
            <w:top w:val="none" w:sz="0" w:space="0" w:color="auto"/>
            <w:left w:val="none" w:sz="0" w:space="0" w:color="auto"/>
            <w:bottom w:val="none" w:sz="0" w:space="0" w:color="auto"/>
            <w:right w:val="none" w:sz="0" w:space="0" w:color="auto"/>
          </w:divBdr>
        </w:div>
        <w:div w:id="1814642777">
          <w:marLeft w:val="0"/>
          <w:marRight w:val="0"/>
          <w:marTop w:val="34"/>
          <w:marBottom w:val="34"/>
          <w:divBdr>
            <w:top w:val="none" w:sz="0" w:space="0" w:color="auto"/>
            <w:left w:val="none" w:sz="0" w:space="0" w:color="auto"/>
            <w:bottom w:val="none" w:sz="0" w:space="0" w:color="auto"/>
            <w:right w:val="none" w:sz="0" w:space="0" w:color="auto"/>
          </w:divBdr>
        </w:div>
      </w:divsChild>
    </w:div>
    <w:div w:id="19542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gnelli.caterina@libero.it" TargetMode="External"/><Relationship Id="rId4" Type="http://schemas.microsoft.com/office/2007/relationships/stylesWithEffects" Target="stylesWithEffects.xml"/><Relationship Id="rId9" Type="http://schemas.openxmlformats.org/officeDocument/2006/relationships/hyperlink" Target="https://webmail.unicampania.it/owa/redir.aspx?REF=dkmD3kvNAawSM18MZ_a4_VUU_5d3ZMcs2vSjmJHs0RVtu0cya6jWCAFodHRwczovL29yY2lkLm9yZy8wMDAwLTAwMDEtNTIxNC0xMjY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1C63-0E00-4F53-9415-AFDCC8E6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10353</Words>
  <Characters>59013</Characters>
  <Application>Microsoft Office Word</Application>
  <DocSecurity>0</DocSecurity>
  <Lines>491</Lines>
  <Paragraphs>138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69228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Calò</dc:creator>
  <cp:keywords/>
  <dc:description/>
  <cp:lastModifiedBy>User</cp:lastModifiedBy>
  <cp:revision>3</cp:revision>
  <cp:lastPrinted>2019-02-26T06:57:00Z</cp:lastPrinted>
  <dcterms:created xsi:type="dcterms:W3CDTF">2019-05-18T12:17:00Z</dcterms:created>
  <dcterms:modified xsi:type="dcterms:W3CDTF">2019-07-14T07:51:00Z</dcterms:modified>
</cp:coreProperties>
</file>