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932EA" w14:textId="77777777" w:rsidR="005813DE" w:rsidRPr="00E13321" w:rsidRDefault="0088790D">
      <w:pPr>
        <w:snapToGrid w:val="0"/>
        <w:spacing w:after="0" w:line="360" w:lineRule="auto"/>
        <w:jc w:val="both"/>
        <w:rPr>
          <w:rFonts w:ascii="Book Antiqua" w:hAnsi="Book Antiqua"/>
          <w:b/>
          <w:color w:val="000000"/>
          <w:sz w:val="24"/>
          <w:szCs w:val="24"/>
        </w:rPr>
      </w:pPr>
      <w:r w:rsidRPr="00E13321">
        <w:rPr>
          <w:rFonts w:ascii="Book Antiqua" w:hAnsi="Book Antiqua"/>
          <w:b/>
          <w:color w:val="000000"/>
          <w:sz w:val="24"/>
          <w:szCs w:val="24"/>
        </w:rPr>
        <w:t xml:space="preserve">Name of Journal: </w:t>
      </w:r>
      <w:r w:rsidRPr="00E13321">
        <w:rPr>
          <w:rFonts w:ascii="Book Antiqua" w:hAnsi="Book Antiqua"/>
          <w:b/>
          <w:i/>
          <w:color w:val="000000"/>
          <w:sz w:val="24"/>
          <w:szCs w:val="24"/>
        </w:rPr>
        <w:t>World Journal of Gastrointestinal Oncology</w:t>
      </w:r>
    </w:p>
    <w:p w14:paraId="5A43275A" w14:textId="77777777" w:rsidR="005813DE" w:rsidRPr="00E13321" w:rsidRDefault="0088790D">
      <w:pPr>
        <w:adjustRightInd w:val="0"/>
        <w:snapToGrid w:val="0"/>
        <w:spacing w:after="0" w:line="360" w:lineRule="auto"/>
        <w:jc w:val="both"/>
        <w:rPr>
          <w:rFonts w:ascii="Book Antiqua" w:hAnsi="Book Antiqua"/>
          <w:b/>
          <w:color w:val="000000"/>
          <w:sz w:val="24"/>
          <w:szCs w:val="24"/>
          <w:lang w:val="en"/>
        </w:rPr>
      </w:pPr>
      <w:r w:rsidRPr="00E13321">
        <w:rPr>
          <w:rFonts w:ascii="Book Antiqua" w:eastAsia="Times New Roman" w:hAnsi="Book Antiqua"/>
          <w:b/>
          <w:bCs/>
          <w:color w:val="000000"/>
          <w:sz w:val="24"/>
          <w:szCs w:val="24"/>
        </w:rPr>
        <w:t>Manuscript NO</w:t>
      </w:r>
      <w:r w:rsidRPr="00E13321">
        <w:rPr>
          <w:rFonts w:ascii="Book Antiqua" w:hAnsi="Book Antiqua"/>
          <w:b/>
          <w:color w:val="000000"/>
          <w:sz w:val="24"/>
          <w:szCs w:val="24"/>
          <w:lang w:val="en"/>
        </w:rPr>
        <w:t>: 47547</w:t>
      </w:r>
    </w:p>
    <w:p w14:paraId="5D499A8F" w14:textId="77777777" w:rsidR="005813DE" w:rsidRPr="00E13321" w:rsidRDefault="0088790D">
      <w:pPr>
        <w:snapToGrid w:val="0"/>
        <w:spacing w:after="0" w:line="360" w:lineRule="auto"/>
        <w:jc w:val="both"/>
        <w:rPr>
          <w:rFonts w:ascii="Book Antiqua" w:hAnsi="Book Antiqua"/>
          <w:b/>
          <w:color w:val="000000"/>
          <w:sz w:val="24"/>
          <w:szCs w:val="24"/>
        </w:rPr>
      </w:pPr>
      <w:r w:rsidRPr="00E13321">
        <w:rPr>
          <w:rFonts w:ascii="Book Antiqua" w:hAnsi="Book Antiqua"/>
          <w:b/>
          <w:color w:val="000000"/>
          <w:sz w:val="24"/>
          <w:szCs w:val="24"/>
        </w:rPr>
        <w:t>Manuscript Type: ORIGINAL ARTICLE</w:t>
      </w:r>
    </w:p>
    <w:p w14:paraId="6BBB4B3F" w14:textId="77777777" w:rsidR="005813DE" w:rsidRPr="00E13321" w:rsidRDefault="005813DE">
      <w:pPr>
        <w:snapToGrid w:val="0"/>
        <w:spacing w:after="0" w:line="360" w:lineRule="auto"/>
        <w:jc w:val="both"/>
        <w:rPr>
          <w:rFonts w:ascii="Book Antiqua" w:hAnsi="Book Antiqua"/>
          <w:color w:val="000000"/>
          <w:sz w:val="24"/>
          <w:szCs w:val="24"/>
        </w:rPr>
      </w:pPr>
    </w:p>
    <w:p w14:paraId="0B428DED" w14:textId="77777777" w:rsidR="005813DE" w:rsidRPr="00E13321" w:rsidRDefault="0088790D">
      <w:pPr>
        <w:pStyle w:val="af5"/>
        <w:spacing w:line="360" w:lineRule="auto"/>
        <w:jc w:val="both"/>
        <w:rPr>
          <w:rFonts w:ascii="Book Antiqua" w:hAnsi="Book Antiqua"/>
          <w:b/>
          <w:i/>
          <w:iCs/>
          <w:color w:val="000000"/>
          <w:sz w:val="24"/>
          <w:szCs w:val="24"/>
        </w:rPr>
      </w:pPr>
      <w:r w:rsidRPr="00E13321">
        <w:rPr>
          <w:rFonts w:ascii="Book Antiqua" w:hAnsi="Book Antiqua"/>
          <w:b/>
          <w:i/>
          <w:iCs/>
          <w:color w:val="000000"/>
          <w:sz w:val="24"/>
          <w:szCs w:val="24"/>
        </w:rPr>
        <w:t>Retrospective Study</w:t>
      </w:r>
    </w:p>
    <w:p w14:paraId="134B6F14" w14:textId="77777777" w:rsidR="005813DE" w:rsidRPr="00E13321" w:rsidRDefault="0088790D">
      <w:pPr>
        <w:pStyle w:val="af5"/>
        <w:spacing w:line="360" w:lineRule="auto"/>
        <w:jc w:val="both"/>
        <w:rPr>
          <w:rStyle w:val="highlight"/>
          <w:rFonts w:ascii="Book Antiqua" w:hAnsi="Book Antiqua"/>
          <w:b/>
          <w:color w:val="000000"/>
          <w:sz w:val="24"/>
          <w:szCs w:val="24"/>
        </w:rPr>
      </w:pPr>
      <w:r w:rsidRPr="00E13321">
        <w:rPr>
          <w:rFonts w:ascii="Book Antiqua" w:hAnsi="Book Antiqua"/>
          <w:b/>
          <w:color w:val="000000"/>
          <w:sz w:val="24"/>
          <w:szCs w:val="24"/>
        </w:rPr>
        <w:t>Safety and efficacy of a docetaxel-5FU-oxaliplatin regimen with or without trastuzumab in neoadjuvant</w:t>
      </w:r>
      <w:r w:rsidRPr="00E13321">
        <w:rPr>
          <w:rStyle w:val="30"/>
          <w:rFonts w:ascii="Book Antiqua" w:hAnsi="Book Antiqua"/>
          <w:b/>
          <w:color w:val="000000"/>
        </w:rPr>
        <w:t xml:space="preserve"> </w:t>
      </w:r>
      <w:r w:rsidRPr="00E13321">
        <w:rPr>
          <w:rStyle w:val="highlight"/>
          <w:rFonts w:ascii="Book Antiqua" w:hAnsi="Book Antiqua"/>
          <w:b/>
          <w:color w:val="000000"/>
          <w:sz w:val="24"/>
          <w:szCs w:val="24"/>
        </w:rPr>
        <w:t>treatment of localized gastric</w:t>
      </w:r>
      <w:r w:rsidRPr="00E13321">
        <w:rPr>
          <w:rFonts w:ascii="Book Antiqua" w:hAnsi="Book Antiqua"/>
          <w:b/>
          <w:color w:val="000000"/>
          <w:sz w:val="24"/>
          <w:szCs w:val="24"/>
        </w:rPr>
        <w:t xml:space="preserve"> or gastroesophageal junction </w:t>
      </w:r>
      <w:r w:rsidRPr="00E13321">
        <w:rPr>
          <w:rStyle w:val="highlight"/>
          <w:rFonts w:ascii="Book Antiqua" w:hAnsi="Book Antiqua"/>
          <w:b/>
          <w:color w:val="000000"/>
          <w:sz w:val="24"/>
          <w:szCs w:val="24"/>
        </w:rPr>
        <w:t xml:space="preserve">cancer: </w:t>
      </w:r>
      <w:r w:rsidRPr="00E13321">
        <w:rPr>
          <w:rStyle w:val="highlight"/>
          <w:rFonts w:ascii="Book Antiqua" w:hAnsi="Book Antiqua"/>
          <w:b/>
          <w:caps/>
          <w:color w:val="000000"/>
          <w:sz w:val="24"/>
          <w:szCs w:val="24"/>
        </w:rPr>
        <w:t>a</w:t>
      </w:r>
      <w:r w:rsidRPr="00E13321">
        <w:rPr>
          <w:rStyle w:val="highlight"/>
          <w:rFonts w:ascii="Book Antiqua" w:hAnsi="Book Antiqua"/>
          <w:b/>
          <w:color w:val="000000"/>
          <w:sz w:val="24"/>
          <w:szCs w:val="24"/>
        </w:rPr>
        <w:t xml:space="preserve"> retrospective study</w:t>
      </w:r>
    </w:p>
    <w:p w14:paraId="4FF10BA9" w14:textId="77777777" w:rsidR="005813DE" w:rsidRPr="00E13321" w:rsidRDefault="005813DE">
      <w:pPr>
        <w:spacing w:after="0" w:line="360" w:lineRule="auto"/>
        <w:jc w:val="both"/>
        <w:rPr>
          <w:rFonts w:ascii="Book Antiqua" w:hAnsi="Book Antiqua"/>
          <w:color w:val="000000"/>
          <w:sz w:val="24"/>
          <w:szCs w:val="24"/>
        </w:rPr>
      </w:pPr>
    </w:p>
    <w:p w14:paraId="6D59317A" w14:textId="77777777" w:rsidR="005813DE" w:rsidRPr="00E13321" w:rsidRDefault="0088790D">
      <w:pPr>
        <w:spacing w:after="0" w:line="360" w:lineRule="auto"/>
        <w:jc w:val="both"/>
        <w:rPr>
          <w:rFonts w:ascii="Book Antiqua" w:hAnsi="Book Antiqua"/>
          <w:color w:val="000000"/>
          <w:sz w:val="24"/>
          <w:szCs w:val="24"/>
        </w:rPr>
      </w:pPr>
      <w:r w:rsidRPr="00E13321">
        <w:rPr>
          <w:rFonts w:ascii="Book Antiqua" w:hAnsi="Book Antiqua"/>
          <w:color w:val="000000"/>
          <w:sz w:val="24"/>
          <w:szCs w:val="24"/>
        </w:rPr>
        <w:t xml:space="preserve">Basso V </w:t>
      </w:r>
      <w:r w:rsidRPr="00E13321">
        <w:rPr>
          <w:rFonts w:ascii="Book Antiqua" w:hAnsi="Book Antiqua"/>
          <w:i/>
          <w:iCs/>
          <w:color w:val="000000"/>
          <w:sz w:val="24"/>
          <w:szCs w:val="24"/>
        </w:rPr>
        <w:t>et al</w:t>
      </w:r>
      <w:r w:rsidRPr="00E13321">
        <w:rPr>
          <w:rFonts w:ascii="Book Antiqua" w:hAnsi="Book Antiqua"/>
          <w:color w:val="000000"/>
          <w:sz w:val="24"/>
          <w:szCs w:val="24"/>
        </w:rPr>
        <w:t>. Docetaxel-5FU-oxaliplatin regimen in neoadjuvant treatment of gastric cancer</w:t>
      </w:r>
    </w:p>
    <w:p w14:paraId="11CC026B" w14:textId="77777777" w:rsidR="005813DE" w:rsidRPr="00E13321" w:rsidRDefault="005813DE">
      <w:pPr>
        <w:spacing w:after="0" w:line="360" w:lineRule="auto"/>
        <w:jc w:val="both"/>
        <w:rPr>
          <w:rFonts w:ascii="Book Antiqua" w:hAnsi="Book Antiqua"/>
          <w:color w:val="000000"/>
          <w:sz w:val="24"/>
          <w:szCs w:val="24"/>
        </w:rPr>
      </w:pPr>
    </w:p>
    <w:p w14:paraId="5A858854" w14:textId="77777777" w:rsidR="005813DE" w:rsidRPr="00E13321" w:rsidRDefault="0088790D">
      <w:pPr>
        <w:spacing w:after="0" w:line="360" w:lineRule="auto"/>
        <w:jc w:val="both"/>
        <w:rPr>
          <w:rFonts w:ascii="Book Antiqua" w:hAnsi="Book Antiqua"/>
          <w:color w:val="000000"/>
          <w:sz w:val="24"/>
          <w:szCs w:val="24"/>
          <w:lang w:val="fr-FR"/>
        </w:rPr>
      </w:pPr>
      <w:r w:rsidRPr="00E13321">
        <w:rPr>
          <w:rFonts w:ascii="Book Antiqua" w:hAnsi="Book Antiqua"/>
          <w:color w:val="000000"/>
          <w:sz w:val="24"/>
          <w:szCs w:val="24"/>
          <w:lang w:val="fr-FR"/>
        </w:rPr>
        <w:t>Valeria Basso, David Orry, Jean Fraisse, Julie Vincent, Audrey Hennequin, Leila Bengrine, Francois Ghiringhelli</w:t>
      </w:r>
    </w:p>
    <w:p w14:paraId="4FCBE6F7" w14:textId="77777777" w:rsidR="005813DE" w:rsidRPr="00E13321" w:rsidRDefault="005813DE">
      <w:pPr>
        <w:spacing w:after="0" w:line="360" w:lineRule="auto"/>
        <w:jc w:val="both"/>
        <w:rPr>
          <w:rFonts w:ascii="Book Antiqua" w:hAnsi="Book Antiqua"/>
          <w:b/>
          <w:color w:val="000000"/>
          <w:sz w:val="24"/>
          <w:szCs w:val="24"/>
          <w:lang w:val="fr-FR"/>
        </w:rPr>
      </w:pPr>
    </w:p>
    <w:p w14:paraId="5C687383" w14:textId="77777777" w:rsidR="005813DE" w:rsidRPr="00E13321" w:rsidRDefault="0088790D">
      <w:pPr>
        <w:spacing w:after="0" w:line="360" w:lineRule="auto"/>
        <w:jc w:val="both"/>
        <w:rPr>
          <w:rFonts w:ascii="Book Antiqua" w:hAnsi="Book Antiqua"/>
          <w:color w:val="000000"/>
          <w:sz w:val="24"/>
          <w:szCs w:val="24"/>
          <w:lang w:val="fr-FR"/>
        </w:rPr>
      </w:pPr>
      <w:r w:rsidRPr="00E13321">
        <w:rPr>
          <w:rFonts w:ascii="Book Antiqua" w:hAnsi="Book Antiqua"/>
          <w:b/>
          <w:bCs/>
          <w:color w:val="000000"/>
          <w:sz w:val="24"/>
          <w:szCs w:val="24"/>
          <w:lang w:val="fr-FR"/>
        </w:rPr>
        <w:t xml:space="preserve">Valeria Basso, David Orry, Jean Fraisse, </w:t>
      </w:r>
      <w:r w:rsidRPr="00E13321">
        <w:rPr>
          <w:rFonts w:ascii="Book Antiqua" w:hAnsi="Book Antiqua"/>
          <w:color w:val="000000"/>
          <w:sz w:val="24"/>
          <w:szCs w:val="24"/>
          <w:lang w:val="fr-FR"/>
        </w:rPr>
        <w:t>Department of Surgery, Centre Georges Francois Leclerc, Dijon 21000, France</w:t>
      </w:r>
    </w:p>
    <w:p w14:paraId="2E244401" w14:textId="77777777" w:rsidR="005813DE" w:rsidRPr="00E13321" w:rsidRDefault="005813DE">
      <w:pPr>
        <w:spacing w:after="0" w:line="360" w:lineRule="auto"/>
        <w:jc w:val="both"/>
        <w:rPr>
          <w:rFonts w:ascii="Book Antiqua" w:hAnsi="Book Antiqua"/>
          <w:b/>
          <w:color w:val="000000"/>
          <w:sz w:val="24"/>
          <w:szCs w:val="24"/>
          <w:lang w:val="fr-FR"/>
        </w:rPr>
      </w:pPr>
    </w:p>
    <w:p w14:paraId="4051A4EB" w14:textId="77777777" w:rsidR="005813DE" w:rsidRPr="00E13321" w:rsidRDefault="0088790D">
      <w:pPr>
        <w:spacing w:after="0" w:line="360" w:lineRule="auto"/>
        <w:jc w:val="both"/>
        <w:rPr>
          <w:rFonts w:ascii="Book Antiqua" w:hAnsi="Book Antiqua"/>
          <w:color w:val="000000"/>
          <w:sz w:val="24"/>
          <w:szCs w:val="24"/>
          <w:lang w:val="fr-FR"/>
        </w:rPr>
      </w:pPr>
      <w:r w:rsidRPr="00E13321">
        <w:rPr>
          <w:rFonts w:ascii="Book Antiqua" w:hAnsi="Book Antiqua"/>
          <w:b/>
          <w:bCs/>
          <w:color w:val="000000"/>
          <w:sz w:val="24"/>
          <w:szCs w:val="24"/>
          <w:lang w:val="fr-FR"/>
        </w:rPr>
        <w:t>Julie Vincent, Audrey Hennequin, Leila Bengrine, Francois Ghiringhelli</w:t>
      </w:r>
      <w:r w:rsidRPr="00E13321">
        <w:rPr>
          <w:rFonts w:ascii="Book Antiqua" w:hAnsi="Book Antiqua" w:hint="eastAsia"/>
          <w:b/>
          <w:bCs/>
          <w:color w:val="000000"/>
          <w:sz w:val="24"/>
          <w:szCs w:val="24"/>
          <w:lang w:val="fr-FR" w:eastAsia="zh-CN"/>
        </w:rPr>
        <w:t>,</w:t>
      </w:r>
      <w:r w:rsidRPr="00E13321">
        <w:rPr>
          <w:rFonts w:ascii="Book Antiqua" w:hAnsi="Book Antiqua"/>
          <w:color w:val="000000"/>
          <w:sz w:val="24"/>
          <w:szCs w:val="24"/>
          <w:lang w:val="fr-FR" w:eastAsia="zh-CN"/>
        </w:rPr>
        <w:t xml:space="preserve"> </w:t>
      </w:r>
      <w:r w:rsidRPr="00E13321">
        <w:rPr>
          <w:rFonts w:ascii="Book Antiqua" w:hAnsi="Book Antiqua"/>
          <w:color w:val="000000"/>
          <w:sz w:val="24"/>
          <w:szCs w:val="24"/>
          <w:lang w:val="fr-FR"/>
        </w:rPr>
        <w:t>Department of Medical Oncology, Centre Georges Francois Leclerc, Dijon 21000, France</w:t>
      </w:r>
    </w:p>
    <w:p w14:paraId="17309AF3" w14:textId="77777777" w:rsidR="005813DE" w:rsidRPr="00E13321" w:rsidRDefault="005813DE">
      <w:pPr>
        <w:spacing w:after="0" w:line="360" w:lineRule="auto"/>
        <w:jc w:val="both"/>
        <w:rPr>
          <w:rFonts w:ascii="Book Antiqua" w:hAnsi="Book Antiqua"/>
          <w:color w:val="000000"/>
          <w:sz w:val="24"/>
          <w:szCs w:val="24"/>
          <w:lang w:val="fr-FR"/>
        </w:rPr>
      </w:pPr>
    </w:p>
    <w:p w14:paraId="3EB50C02" w14:textId="6E44FB80" w:rsidR="005813DE" w:rsidRPr="00E13321" w:rsidRDefault="0088790D">
      <w:pPr>
        <w:pStyle w:val="BodyA"/>
        <w:spacing w:line="360" w:lineRule="auto"/>
        <w:jc w:val="both"/>
        <w:rPr>
          <w:rFonts w:ascii="Book Antiqua" w:hAnsi="Book Antiqua" w:cs="Times New Roman"/>
          <w:sz w:val="24"/>
          <w:szCs w:val="24"/>
        </w:rPr>
      </w:pPr>
      <w:bookmarkStart w:id="0" w:name="_Hlk10469900"/>
      <w:bookmarkStart w:id="1" w:name="_Hlk10708446"/>
      <w:r w:rsidRPr="00E13321">
        <w:rPr>
          <w:rFonts w:ascii="Book Antiqua" w:eastAsia="Times New Roman" w:hAnsi="Book Antiqua" w:cs="Times New Roman"/>
          <w:b/>
          <w:sz w:val="24"/>
          <w:szCs w:val="24"/>
          <w:lang w:eastAsia="es-HN"/>
        </w:rPr>
        <w:t xml:space="preserve">ORCID number: </w:t>
      </w:r>
      <w:bookmarkEnd w:id="0"/>
      <w:r w:rsidRPr="00E13321">
        <w:rPr>
          <w:rFonts w:ascii="Book Antiqua" w:hAnsi="Book Antiqua" w:cs="Times New Roman"/>
          <w:sz w:val="24"/>
          <w:szCs w:val="24"/>
        </w:rPr>
        <w:t>Valeria Basso (</w:t>
      </w:r>
      <w:r w:rsidRPr="00E13321">
        <w:rPr>
          <w:rStyle w:val="orcid-id-https"/>
          <w:rFonts w:ascii="Book Antiqua" w:hAnsi="Book Antiqua" w:cs="Times New Roman"/>
          <w:sz w:val="24"/>
          <w:szCs w:val="24"/>
        </w:rPr>
        <w:t xml:space="preserve">0000-0001-5007-5316); </w:t>
      </w:r>
      <w:r w:rsidRPr="00E13321">
        <w:rPr>
          <w:rFonts w:ascii="Book Antiqua" w:hAnsi="Book Antiqua" w:cs="Times New Roman"/>
          <w:sz w:val="24"/>
          <w:szCs w:val="24"/>
        </w:rPr>
        <w:t>David Orry (</w:t>
      </w:r>
      <w:r w:rsidRPr="00E13321">
        <w:rPr>
          <w:rStyle w:val="orcid-id-https"/>
          <w:rFonts w:ascii="Book Antiqua" w:hAnsi="Book Antiqua" w:cs="Times New Roman"/>
          <w:sz w:val="24"/>
          <w:szCs w:val="24"/>
        </w:rPr>
        <w:t xml:space="preserve">0000-0001-9627-1478); </w:t>
      </w:r>
      <w:r w:rsidRPr="00E13321">
        <w:rPr>
          <w:rFonts w:ascii="Book Antiqua" w:hAnsi="Book Antiqua" w:cs="Times New Roman"/>
          <w:sz w:val="24"/>
          <w:szCs w:val="24"/>
        </w:rPr>
        <w:t>Jean Fraisse</w:t>
      </w:r>
      <w:r w:rsidRPr="00E13321">
        <w:rPr>
          <w:rStyle w:val="10"/>
          <w:rFonts w:ascii="Book Antiqua" w:eastAsia="等线 Light" w:hAnsi="Book Antiqua"/>
          <w:sz w:val="24"/>
          <w:szCs w:val="24"/>
        </w:rPr>
        <w:t xml:space="preserve"> (</w:t>
      </w:r>
      <w:r w:rsidRPr="00E13321">
        <w:rPr>
          <w:rStyle w:val="orcid-id-https"/>
          <w:rFonts w:ascii="Book Antiqua" w:hAnsi="Book Antiqua" w:cs="Times New Roman"/>
          <w:sz w:val="24"/>
          <w:szCs w:val="24"/>
        </w:rPr>
        <w:t xml:space="preserve">0000-0003-4228-8631); </w:t>
      </w:r>
      <w:r w:rsidRPr="00E13321">
        <w:rPr>
          <w:rFonts w:ascii="Book Antiqua" w:hAnsi="Book Antiqua" w:cs="Times New Roman"/>
          <w:sz w:val="24"/>
          <w:szCs w:val="24"/>
        </w:rPr>
        <w:t>Julie Vincent (0000-0002-4544-5033); Audrey Hennequin (0000-0001-8043-1836); Leila Bengrine (0000-0002-0762-7303); Francois Ghiringhelli (0000-0002-5465-8305).</w:t>
      </w:r>
    </w:p>
    <w:p w14:paraId="429A7740" w14:textId="77777777" w:rsidR="005813DE" w:rsidRPr="00E13321" w:rsidRDefault="005813DE">
      <w:pPr>
        <w:spacing w:after="0" w:line="360" w:lineRule="auto"/>
        <w:jc w:val="both"/>
        <w:rPr>
          <w:rFonts w:ascii="Book Antiqua" w:eastAsia="宋体" w:hAnsi="Book Antiqua"/>
          <w:b/>
          <w:bCs/>
          <w:color w:val="000000"/>
          <w:sz w:val="24"/>
          <w:szCs w:val="24"/>
          <w:lang w:val="en-US" w:eastAsia="zh-CN"/>
        </w:rPr>
      </w:pPr>
    </w:p>
    <w:p w14:paraId="3ADDB9E0" w14:textId="77777777" w:rsidR="005813DE" w:rsidRPr="00E13321" w:rsidRDefault="0088790D">
      <w:pPr>
        <w:spacing w:after="0" w:line="360" w:lineRule="auto"/>
        <w:jc w:val="both"/>
        <w:rPr>
          <w:rFonts w:ascii="Book Antiqua" w:hAnsi="Book Antiqua"/>
          <w:b/>
          <w:color w:val="000000"/>
          <w:sz w:val="24"/>
          <w:szCs w:val="24"/>
        </w:rPr>
      </w:pPr>
      <w:r w:rsidRPr="00E13321">
        <w:rPr>
          <w:rFonts w:ascii="Book Antiqua" w:hAnsi="Book Antiqua"/>
          <w:b/>
          <w:color w:val="000000"/>
          <w:sz w:val="24"/>
          <w:szCs w:val="24"/>
        </w:rPr>
        <w:t>Author contributions:</w:t>
      </w:r>
      <w:bookmarkEnd w:id="1"/>
      <w:r w:rsidRPr="00E13321">
        <w:rPr>
          <w:rFonts w:ascii="Book Antiqua" w:hAnsi="Book Antiqua"/>
          <w:b/>
          <w:color w:val="000000"/>
          <w:sz w:val="24"/>
          <w:szCs w:val="24"/>
        </w:rPr>
        <w:t xml:space="preserve"> </w:t>
      </w:r>
      <w:r w:rsidRPr="00E13321">
        <w:rPr>
          <w:rFonts w:ascii="Book Antiqua" w:hAnsi="Book Antiqua"/>
          <w:color w:val="000000"/>
          <w:sz w:val="24"/>
          <w:szCs w:val="24"/>
        </w:rPr>
        <w:t>Basso V collected clinical data; Orry D and Ghiringhelli F designed the study; Orry D, Fraisse J, Vincent J, Hennequin A and Ghiringhelli F treated patients includes in this study; Ghiringhelli F analyzed the data; Ghiringhelli F and Basso V wrote the manuscript; All authors have read and approve the final manuscript.</w:t>
      </w:r>
    </w:p>
    <w:p w14:paraId="6730A83B" w14:textId="77777777" w:rsidR="005813DE" w:rsidRPr="00E13321" w:rsidRDefault="005813DE">
      <w:pPr>
        <w:autoSpaceDE w:val="0"/>
        <w:autoSpaceDN w:val="0"/>
        <w:adjustRightInd w:val="0"/>
        <w:spacing w:after="0" w:line="360" w:lineRule="auto"/>
        <w:jc w:val="both"/>
        <w:rPr>
          <w:rFonts w:ascii="Book Antiqua" w:hAnsi="Book Antiqua"/>
          <w:b/>
          <w:bCs/>
          <w:iCs/>
          <w:color w:val="000000"/>
          <w:sz w:val="24"/>
          <w:szCs w:val="24"/>
        </w:rPr>
      </w:pPr>
    </w:p>
    <w:p w14:paraId="50B2C1D0" w14:textId="77777777" w:rsidR="005813DE" w:rsidRPr="00E13321" w:rsidRDefault="0088790D">
      <w:pPr>
        <w:autoSpaceDE w:val="0"/>
        <w:autoSpaceDN w:val="0"/>
        <w:adjustRightInd w:val="0"/>
        <w:spacing w:after="0" w:line="360" w:lineRule="auto"/>
        <w:jc w:val="both"/>
        <w:rPr>
          <w:rFonts w:ascii="Book Antiqua" w:hAnsi="Book Antiqua"/>
          <w:iCs/>
          <w:color w:val="000000"/>
          <w:sz w:val="24"/>
          <w:szCs w:val="24"/>
        </w:rPr>
      </w:pPr>
      <w:r w:rsidRPr="00E13321">
        <w:rPr>
          <w:rFonts w:ascii="Book Antiqua" w:hAnsi="Book Antiqua"/>
          <w:b/>
          <w:bCs/>
          <w:iCs/>
          <w:color w:val="000000"/>
          <w:sz w:val="24"/>
          <w:szCs w:val="24"/>
        </w:rPr>
        <w:t xml:space="preserve">Informed consent statement: </w:t>
      </w:r>
      <w:r w:rsidRPr="00E13321">
        <w:rPr>
          <w:rFonts w:ascii="Book Antiqua" w:hAnsi="Book Antiqua"/>
          <w:iCs/>
          <w:color w:val="000000"/>
          <w:sz w:val="24"/>
          <w:szCs w:val="24"/>
        </w:rPr>
        <w:t>Written informed consent form was provided by family members of the patients.</w:t>
      </w:r>
    </w:p>
    <w:p w14:paraId="74C2355B" w14:textId="77777777" w:rsidR="005813DE" w:rsidRPr="00E13321" w:rsidRDefault="005813DE">
      <w:pPr>
        <w:autoSpaceDE w:val="0"/>
        <w:autoSpaceDN w:val="0"/>
        <w:adjustRightInd w:val="0"/>
        <w:spacing w:after="0" w:line="360" w:lineRule="auto"/>
        <w:jc w:val="both"/>
        <w:rPr>
          <w:rFonts w:ascii="Book Antiqua" w:hAnsi="Book Antiqua"/>
          <w:b/>
          <w:bCs/>
          <w:iCs/>
          <w:color w:val="000000"/>
          <w:sz w:val="24"/>
          <w:szCs w:val="24"/>
        </w:rPr>
      </w:pPr>
    </w:p>
    <w:p w14:paraId="5985DA5E" w14:textId="77777777" w:rsidR="005813DE" w:rsidRPr="00E13321" w:rsidRDefault="0088790D">
      <w:pPr>
        <w:autoSpaceDE w:val="0"/>
        <w:autoSpaceDN w:val="0"/>
        <w:adjustRightInd w:val="0"/>
        <w:spacing w:after="0" w:line="360" w:lineRule="auto"/>
        <w:jc w:val="both"/>
        <w:rPr>
          <w:rFonts w:ascii="Book Antiqua" w:hAnsi="Book Antiqua"/>
          <w:iCs/>
          <w:color w:val="000000"/>
          <w:sz w:val="24"/>
          <w:szCs w:val="24"/>
        </w:rPr>
      </w:pPr>
      <w:r w:rsidRPr="00E13321">
        <w:rPr>
          <w:rFonts w:ascii="Book Antiqua" w:hAnsi="Book Antiqua"/>
          <w:b/>
          <w:bCs/>
          <w:iCs/>
          <w:color w:val="000000"/>
          <w:sz w:val="24"/>
          <w:szCs w:val="24"/>
        </w:rPr>
        <w:t xml:space="preserve">Conflict-of-interest statement: </w:t>
      </w:r>
      <w:r w:rsidRPr="00E13321">
        <w:rPr>
          <w:rFonts w:ascii="Book Antiqua" w:hAnsi="Book Antiqua"/>
          <w:iCs/>
          <w:color w:val="000000"/>
          <w:sz w:val="24"/>
          <w:szCs w:val="24"/>
        </w:rPr>
        <w:t>All authors have no conflict of interests.</w:t>
      </w:r>
    </w:p>
    <w:p w14:paraId="7F174127" w14:textId="77777777" w:rsidR="005813DE" w:rsidRPr="00E13321" w:rsidRDefault="005813DE">
      <w:pPr>
        <w:autoSpaceDE w:val="0"/>
        <w:autoSpaceDN w:val="0"/>
        <w:adjustRightInd w:val="0"/>
        <w:spacing w:after="0" w:line="360" w:lineRule="auto"/>
        <w:jc w:val="both"/>
        <w:rPr>
          <w:rFonts w:ascii="Book Antiqua" w:hAnsi="Book Antiqua"/>
          <w:iCs/>
          <w:color w:val="000000"/>
          <w:sz w:val="24"/>
          <w:szCs w:val="24"/>
        </w:rPr>
      </w:pPr>
    </w:p>
    <w:p w14:paraId="3A2B82C8" w14:textId="77777777" w:rsidR="005813DE" w:rsidRPr="00E13321" w:rsidRDefault="0088790D">
      <w:pPr>
        <w:autoSpaceDE w:val="0"/>
        <w:autoSpaceDN w:val="0"/>
        <w:adjustRightInd w:val="0"/>
        <w:spacing w:after="0" w:line="360" w:lineRule="auto"/>
        <w:jc w:val="both"/>
        <w:rPr>
          <w:rFonts w:ascii="Book Antiqua" w:hAnsi="Book Antiqua"/>
          <w:iCs/>
          <w:color w:val="000000"/>
          <w:sz w:val="24"/>
          <w:szCs w:val="24"/>
        </w:rPr>
      </w:pPr>
      <w:r w:rsidRPr="00E13321">
        <w:rPr>
          <w:rFonts w:ascii="Book Antiqua" w:hAnsi="Book Antiqua"/>
          <w:b/>
          <w:bCs/>
          <w:iCs/>
          <w:color w:val="000000"/>
          <w:sz w:val="24"/>
          <w:szCs w:val="24"/>
        </w:rPr>
        <w:t xml:space="preserve">Open-Access: </w:t>
      </w:r>
      <w:r w:rsidRPr="00E13321">
        <w:rPr>
          <w:rFonts w:ascii="Book Antiqua" w:hAnsi="Book Antiqua"/>
          <w:iCs/>
          <w:color w:val="000000"/>
          <w:sz w:val="24"/>
          <w:szCs w:val="24"/>
        </w:rPr>
        <w:t>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245182F" w14:textId="77777777" w:rsidR="005813DE" w:rsidRPr="00E13321" w:rsidRDefault="005813DE">
      <w:pPr>
        <w:autoSpaceDE w:val="0"/>
        <w:autoSpaceDN w:val="0"/>
        <w:adjustRightInd w:val="0"/>
        <w:spacing w:after="0" w:line="360" w:lineRule="auto"/>
        <w:jc w:val="both"/>
        <w:rPr>
          <w:rFonts w:ascii="Book Antiqua" w:hAnsi="Book Antiqua"/>
          <w:b/>
          <w:bCs/>
          <w:iCs/>
          <w:color w:val="000000"/>
          <w:sz w:val="24"/>
          <w:szCs w:val="24"/>
        </w:rPr>
      </w:pPr>
    </w:p>
    <w:p w14:paraId="1FBDA1A3" w14:textId="77777777" w:rsidR="005813DE" w:rsidRPr="00E13321" w:rsidRDefault="0088790D">
      <w:pPr>
        <w:spacing w:after="0" w:line="360" w:lineRule="auto"/>
        <w:rPr>
          <w:rFonts w:ascii="Book Antiqua" w:hAnsi="Book Antiqua"/>
          <w:b/>
          <w:color w:val="000000"/>
          <w:sz w:val="24"/>
        </w:rPr>
      </w:pPr>
      <w:r w:rsidRPr="00E13321">
        <w:rPr>
          <w:rFonts w:ascii="Book Antiqua" w:hAnsi="Book Antiqua"/>
          <w:b/>
          <w:color w:val="000000"/>
          <w:sz w:val="24"/>
        </w:rPr>
        <w:t xml:space="preserve">Manuscript source: </w:t>
      </w:r>
      <w:r w:rsidRPr="00E13321">
        <w:rPr>
          <w:rFonts w:ascii="Book Antiqua" w:hAnsi="Book Antiqua"/>
          <w:color w:val="000000"/>
          <w:sz w:val="24"/>
        </w:rPr>
        <w:t>Unsolicited manuscript</w:t>
      </w:r>
    </w:p>
    <w:p w14:paraId="48EEA688" w14:textId="77777777" w:rsidR="005813DE" w:rsidRPr="00E13321" w:rsidRDefault="005813DE">
      <w:pPr>
        <w:spacing w:after="0" w:line="360" w:lineRule="auto"/>
        <w:jc w:val="both"/>
        <w:rPr>
          <w:rFonts w:ascii="Book Antiqua" w:hAnsi="Book Antiqua"/>
          <w:b/>
          <w:color w:val="000000"/>
          <w:sz w:val="24"/>
          <w:szCs w:val="24"/>
        </w:rPr>
      </w:pPr>
    </w:p>
    <w:p w14:paraId="067791B7" w14:textId="77777777" w:rsidR="005813DE" w:rsidRPr="00E13321" w:rsidRDefault="0088790D">
      <w:pPr>
        <w:pStyle w:val="p"/>
        <w:spacing w:before="0" w:beforeAutospacing="0" w:after="0" w:afterAutospacing="0" w:line="360" w:lineRule="auto"/>
        <w:jc w:val="both"/>
        <w:rPr>
          <w:rFonts w:ascii="Book Antiqua" w:hAnsi="Book Antiqua"/>
          <w:color w:val="000000"/>
        </w:rPr>
      </w:pPr>
      <w:r w:rsidRPr="00E13321">
        <w:rPr>
          <w:rFonts w:ascii="Book Antiqua" w:hAnsi="Book Antiqua"/>
          <w:b/>
          <w:bCs/>
          <w:color w:val="000000"/>
        </w:rPr>
        <w:t>Corresponding author:</w:t>
      </w:r>
      <w:r w:rsidRPr="00E13321">
        <w:rPr>
          <w:rFonts w:ascii="Book Antiqua" w:hAnsi="Book Antiqua"/>
          <w:color w:val="000000"/>
        </w:rPr>
        <w:t xml:space="preserve"> </w:t>
      </w:r>
      <w:r w:rsidRPr="00E13321">
        <w:rPr>
          <w:rFonts w:ascii="Book Antiqua" w:hAnsi="Book Antiqua"/>
          <w:b/>
          <w:bCs/>
          <w:color w:val="000000"/>
        </w:rPr>
        <w:t>François Ghiringhelli, MD, Professor,</w:t>
      </w:r>
      <w:r w:rsidRPr="00E13321">
        <w:rPr>
          <w:rFonts w:ascii="Book Antiqua" w:hAnsi="Book Antiqua"/>
          <w:color w:val="000000"/>
        </w:rPr>
        <w:t xml:space="preserve"> Department of Medical Oncology, Centre George François Leclerc, 1 Rue du Professeur Marion, Dijon 21000, France. fghiringhelli@cgfl.fr</w:t>
      </w:r>
    </w:p>
    <w:p w14:paraId="341DD8F2" w14:textId="77777777" w:rsidR="005813DE" w:rsidRPr="00E13321" w:rsidRDefault="0088790D">
      <w:pPr>
        <w:pStyle w:val="p"/>
        <w:spacing w:before="0" w:beforeAutospacing="0" w:after="0" w:afterAutospacing="0" w:line="360" w:lineRule="auto"/>
        <w:jc w:val="both"/>
        <w:rPr>
          <w:rFonts w:ascii="Book Antiqua" w:hAnsi="Book Antiqua"/>
          <w:color w:val="000000"/>
        </w:rPr>
      </w:pPr>
      <w:r w:rsidRPr="00E13321">
        <w:rPr>
          <w:rFonts w:ascii="Book Antiqua" w:hAnsi="Book Antiqua"/>
          <w:b/>
          <w:bCs/>
          <w:color w:val="000000"/>
        </w:rPr>
        <w:t xml:space="preserve">Telephone: </w:t>
      </w:r>
      <w:r w:rsidRPr="00E13321">
        <w:rPr>
          <w:rFonts w:ascii="Book Antiqua" w:hAnsi="Book Antiqua"/>
          <w:color w:val="000000"/>
        </w:rPr>
        <w:t xml:space="preserve">+33-380-732424 </w:t>
      </w:r>
    </w:p>
    <w:p w14:paraId="78188FFB" w14:textId="77777777" w:rsidR="005813DE" w:rsidRPr="00E13321" w:rsidRDefault="0088790D">
      <w:pPr>
        <w:pStyle w:val="p"/>
        <w:spacing w:before="0" w:beforeAutospacing="0" w:after="0" w:afterAutospacing="0" w:line="360" w:lineRule="auto"/>
        <w:jc w:val="both"/>
        <w:rPr>
          <w:rFonts w:ascii="Book Antiqua" w:hAnsi="Book Antiqua"/>
          <w:color w:val="000000"/>
        </w:rPr>
      </w:pPr>
      <w:r w:rsidRPr="00E13321">
        <w:rPr>
          <w:rFonts w:ascii="Book Antiqua" w:hAnsi="Book Antiqua"/>
          <w:b/>
          <w:bCs/>
          <w:color w:val="000000"/>
        </w:rPr>
        <w:t xml:space="preserve">Fax: </w:t>
      </w:r>
      <w:r w:rsidRPr="00E13321">
        <w:rPr>
          <w:rFonts w:ascii="Book Antiqua" w:hAnsi="Book Antiqua"/>
          <w:color w:val="000000"/>
        </w:rPr>
        <w:t>+33-380-737500</w:t>
      </w:r>
    </w:p>
    <w:p w14:paraId="615888BE" w14:textId="77777777" w:rsidR="005813DE" w:rsidRPr="00E13321" w:rsidRDefault="005813DE">
      <w:pPr>
        <w:spacing w:after="0" w:line="360" w:lineRule="auto"/>
        <w:jc w:val="both"/>
        <w:rPr>
          <w:rFonts w:ascii="Book Antiqua" w:hAnsi="Book Antiqua"/>
          <w:color w:val="000000"/>
          <w:sz w:val="24"/>
          <w:szCs w:val="24"/>
        </w:rPr>
      </w:pPr>
    </w:p>
    <w:p w14:paraId="1C82C4E8" w14:textId="77777777" w:rsidR="005813DE" w:rsidRPr="00E13321" w:rsidRDefault="0088790D">
      <w:pPr>
        <w:spacing w:after="0" w:line="360" w:lineRule="auto"/>
        <w:rPr>
          <w:rFonts w:ascii="Book Antiqua" w:hAnsi="Book Antiqua"/>
          <w:bCs/>
          <w:color w:val="000000"/>
          <w:sz w:val="24"/>
        </w:rPr>
      </w:pPr>
      <w:r w:rsidRPr="00E13321">
        <w:rPr>
          <w:rFonts w:ascii="Book Antiqua" w:hAnsi="Book Antiqua"/>
          <w:b/>
          <w:color w:val="000000"/>
          <w:sz w:val="24"/>
        </w:rPr>
        <w:t xml:space="preserve">Received: </w:t>
      </w:r>
      <w:r w:rsidRPr="00E13321">
        <w:rPr>
          <w:rFonts w:ascii="Book Antiqua" w:hAnsi="Book Antiqua"/>
          <w:bCs/>
          <w:color w:val="000000"/>
          <w:sz w:val="24"/>
        </w:rPr>
        <w:t>March 18, 2019</w:t>
      </w:r>
    </w:p>
    <w:p w14:paraId="5FC8B0A0" w14:textId="77777777" w:rsidR="005813DE" w:rsidRPr="00E13321" w:rsidRDefault="0088790D">
      <w:pPr>
        <w:spacing w:after="0" w:line="360" w:lineRule="auto"/>
        <w:rPr>
          <w:rFonts w:ascii="Book Antiqua" w:hAnsi="Book Antiqua"/>
          <w:b/>
          <w:color w:val="000000"/>
          <w:sz w:val="24"/>
        </w:rPr>
      </w:pPr>
      <w:r w:rsidRPr="00E13321">
        <w:rPr>
          <w:rFonts w:ascii="Book Antiqua" w:hAnsi="Book Antiqua"/>
          <w:b/>
          <w:color w:val="000000"/>
          <w:sz w:val="24"/>
        </w:rPr>
        <w:t xml:space="preserve">Peer-review started: </w:t>
      </w:r>
      <w:r w:rsidRPr="00E13321">
        <w:rPr>
          <w:rFonts w:ascii="Book Antiqua" w:hAnsi="Book Antiqua"/>
          <w:bCs/>
          <w:color w:val="000000"/>
          <w:sz w:val="24"/>
        </w:rPr>
        <w:t>March 20, 2019</w:t>
      </w:r>
    </w:p>
    <w:p w14:paraId="312CDABE" w14:textId="77777777" w:rsidR="005813DE" w:rsidRPr="00E13321" w:rsidRDefault="0088790D">
      <w:pPr>
        <w:spacing w:after="0" w:line="360" w:lineRule="auto"/>
        <w:rPr>
          <w:rFonts w:ascii="Book Antiqua" w:hAnsi="Book Antiqua"/>
          <w:b/>
          <w:color w:val="000000"/>
          <w:sz w:val="24"/>
        </w:rPr>
      </w:pPr>
      <w:r w:rsidRPr="00E13321">
        <w:rPr>
          <w:rFonts w:ascii="Book Antiqua" w:hAnsi="Book Antiqua"/>
          <w:b/>
          <w:color w:val="000000"/>
          <w:sz w:val="24"/>
        </w:rPr>
        <w:t>First decision:</w:t>
      </w:r>
      <w:r w:rsidRPr="00E13321">
        <w:rPr>
          <w:rFonts w:ascii="Book Antiqua" w:hAnsi="Book Antiqua"/>
          <w:bCs/>
          <w:color w:val="000000"/>
          <w:sz w:val="24"/>
        </w:rPr>
        <w:t xml:space="preserve"> June 4, 2019</w:t>
      </w:r>
    </w:p>
    <w:p w14:paraId="20D08517" w14:textId="77777777" w:rsidR="005813DE" w:rsidRPr="00E13321" w:rsidRDefault="0088790D">
      <w:pPr>
        <w:spacing w:after="0" w:line="360" w:lineRule="auto"/>
        <w:rPr>
          <w:rFonts w:ascii="Book Antiqua" w:hAnsi="Book Antiqua"/>
          <w:b/>
          <w:color w:val="000000"/>
          <w:sz w:val="24"/>
        </w:rPr>
      </w:pPr>
      <w:r w:rsidRPr="00E13321">
        <w:rPr>
          <w:rFonts w:ascii="Book Antiqua" w:hAnsi="Book Antiqua"/>
          <w:b/>
          <w:color w:val="000000"/>
          <w:sz w:val="24"/>
        </w:rPr>
        <w:t xml:space="preserve">Revised: </w:t>
      </w:r>
      <w:r w:rsidRPr="00E13321">
        <w:rPr>
          <w:rFonts w:ascii="Book Antiqua" w:hAnsi="Book Antiqua"/>
          <w:bCs/>
          <w:color w:val="000000"/>
          <w:sz w:val="24"/>
        </w:rPr>
        <w:t>June 7, 2019</w:t>
      </w:r>
    </w:p>
    <w:p w14:paraId="7A8E8391" w14:textId="77777777" w:rsidR="005813DE" w:rsidRPr="00E13321" w:rsidRDefault="0088790D">
      <w:pPr>
        <w:spacing w:after="0" w:line="360" w:lineRule="auto"/>
        <w:rPr>
          <w:rFonts w:ascii="Book Antiqua" w:hAnsi="Book Antiqua"/>
          <w:b/>
          <w:color w:val="000000"/>
          <w:sz w:val="24"/>
        </w:rPr>
      </w:pPr>
      <w:r w:rsidRPr="00E13321">
        <w:rPr>
          <w:rFonts w:ascii="Book Antiqua" w:hAnsi="Book Antiqua"/>
          <w:b/>
          <w:color w:val="000000"/>
          <w:sz w:val="24"/>
        </w:rPr>
        <w:t xml:space="preserve">Accepted:  </w:t>
      </w:r>
      <w:r w:rsidRPr="00E13321">
        <w:rPr>
          <w:rFonts w:ascii="Book Antiqua" w:hAnsi="Book Antiqua"/>
          <w:bCs/>
          <w:color w:val="000000"/>
          <w:sz w:val="24"/>
        </w:rPr>
        <w:t>June 20, 2019</w:t>
      </w:r>
    </w:p>
    <w:p w14:paraId="485A4511" w14:textId="0967539A" w:rsidR="005813DE" w:rsidRPr="00E13321" w:rsidRDefault="0088790D">
      <w:pPr>
        <w:spacing w:after="0" w:line="360" w:lineRule="auto"/>
        <w:rPr>
          <w:rFonts w:ascii="Book Antiqua" w:hAnsi="Book Antiqua"/>
          <w:b/>
          <w:color w:val="000000"/>
          <w:sz w:val="24"/>
        </w:rPr>
      </w:pPr>
      <w:r w:rsidRPr="00E13321">
        <w:rPr>
          <w:rFonts w:ascii="Book Antiqua" w:hAnsi="Book Antiqua"/>
          <w:b/>
          <w:color w:val="000000"/>
          <w:sz w:val="24"/>
        </w:rPr>
        <w:t>Article in press:</w:t>
      </w:r>
      <w:r w:rsidR="00C660EA" w:rsidRPr="00E13321">
        <w:rPr>
          <w:rFonts w:ascii="Book Antiqua" w:hAnsi="Book Antiqua"/>
          <w:b/>
          <w:color w:val="000000"/>
          <w:sz w:val="24"/>
        </w:rPr>
        <w:t xml:space="preserve"> </w:t>
      </w:r>
      <w:r w:rsidR="00C660EA" w:rsidRPr="00E13321">
        <w:rPr>
          <w:rFonts w:ascii="Book Antiqua" w:hAnsi="Book Antiqua"/>
          <w:bCs/>
          <w:color w:val="000000"/>
          <w:sz w:val="24"/>
        </w:rPr>
        <w:t>June 20, 2019</w:t>
      </w:r>
    </w:p>
    <w:p w14:paraId="59334E91" w14:textId="77777777" w:rsidR="00FD007C" w:rsidRPr="00E13321" w:rsidRDefault="0088790D" w:rsidP="00C660EA">
      <w:pPr>
        <w:spacing w:after="0" w:line="360" w:lineRule="auto"/>
        <w:rPr>
          <w:rFonts w:ascii="Book Antiqua" w:hAnsi="Book Antiqua"/>
          <w:color w:val="000000"/>
          <w:sz w:val="24"/>
          <w:szCs w:val="24"/>
        </w:rPr>
      </w:pPr>
      <w:r w:rsidRPr="00E13321">
        <w:rPr>
          <w:rFonts w:ascii="Book Antiqua" w:hAnsi="Book Antiqua"/>
          <w:b/>
          <w:color w:val="000000"/>
          <w:sz w:val="24"/>
        </w:rPr>
        <w:t>Published online:</w:t>
      </w:r>
      <w:r w:rsidR="00C660EA" w:rsidRPr="00E13321">
        <w:rPr>
          <w:rFonts w:ascii="Book Antiqua" w:hAnsi="Book Antiqua"/>
          <w:b/>
          <w:color w:val="000000"/>
          <w:sz w:val="24"/>
        </w:rPr>
        <w:t xml:space="preserve"> </w:t>
      </w:r>
      <w:r w:rsidR="00C660EA" w:rsidRPr="00E13321">
        <w:rPr>
          <w:rFonts w:ascii="Book Antiqua" w:hAnsi="Book Antiqua"/>
          <w:bCs/>
          <w:color w:val="000000"/>
          <w:sz w:val="24"/>
        </w:rPr>
        <w:t>August 15, 2019</w:t>
      </w:r>
      <w:r w:rsidRPr="00E13321">
        <w:rPr>
          <w:rFonts w:ascii="Book Antiqua" w:hAnsi="Book Antiqua"/>
          <w:color w:val="000000"/>
          <w:sz w:val="24"/>
          <w:szCs w:val="24"/>
        </w:rPr>
        <w:br w:type="page"/>
      </w:r>
    </w:p>
    <w:p w14:paraId="2608383C" w14:textId="4849FB1C" w:rsidR="005813DE" w:rsidRPr="00E13321" w:rsidRDefault="0088790D" w:rsidP="00C660EA">
      <w:pPr>
        <w:spacing w:after="0" w:line="360" w:lineRule="auto"/>
        <w:rPr>
          <w:rFonts w:ascii="Book Antiqua" w:eastAsia="等线 Light" w:hAnsi="Book Antiqua"/>
          <w:b/>
          <w:bCs/>
          <w:color w:val="000000"/>
          <w:sz w:val="24"/>
          <w:szCs w:val="24"/>
        </w:rPr>
      </w:pPr>
      <w:r w:rsidRPr="00E13321">
        <w:rPr>
          <w:rFonts w:ascii="Book Antiqua" w:hAnsi="Book Antiqua"/>
          <w:b/>
          <w:bCs/>
          <w:color w:val="000000"/>
          <w:sz w:val="24"/>
          <w:szCs w:val="24"/>
        </w:rPr>
        <w:t>Abstract</w:t>
      </w:r>
    </w:p>
    <w:p w14:paraId="24620A53" w14:textId="77777777" w:rsidR="005813DE" w:rsidRPr="00E13321" w:rsidRDefault="0088790D">
      <w:pPr>
        <w:spacing w:after="0" w:line="360" w:lineRule="auto"/>
        <w:jc w:val="both"/>
        <w:rPr>
          <w:rFonts w:ascii="Book Antiqua" w:hAnsi="Book Antiqua"/>
          <w:i/>
          <w:iCs/>
          <w:caps/>
          <w:color w:val="000000"/>
          <w:sz w:val="24"/>
          <w:szCs w:val="24"/>
        </w:rPr>
      </w:pPr>
      <w:r w:rsidRPr="00E13321">
        <w:rPr>
          <w:rFonts w:ascii="Book Antiqua" w:hAnsi="Book Antiqua"/>
          <w:b/>
          <w:i/>
          <w:iCs/>
          <w:caps/>
          <w:color w:val="000000"/>
          <w:sz w:val="24"/>
          <w:szCs w:val="24"/>
        </w:rPr>
        <w:t>Background</w:t>
      </w:r>
    </w:p>
    <w:p w14:paraId="6032D24A" w14:textId="77777777" w:rsidR="005813DE" w:rsidRPr="00E13321" w:rsidRDefault="0088790D">
      <w:pPr>
        <w:spacing w:after="0" w:line="360" w:lineRule="auto"/>
        <w:jc w:val="both"/>
        <w:rPr>
          <w:rFonts w:ascii="Book Antiqua" w:hAnsi="Book Antiqua"/>
          <w:color w:val="000000"/>
          <w:sz w:val="24"/>
          <w:szCs w:val="24"/>
        </w:rPr>
      </w:pPr>
      <w:r w:rsidRPr="00E13321">
        <w:rPr>
          <w:rFonts w:ascii="Book Antiqua" w:hAnsi="Book Antiqua"/>
          <w:color w:val="000000"/>
          <w:sz w:val="24"/>
          <w:szCs w:val="24"/>
        </w:rPr>
        <w:t>Triplet chemotherapy, with docetaxel-5FU-oxaliplatin FLOT regimen recently became the standard perioperative treatment for localized gastric cancer (GC). An adapted regimen called TeFOX was recently tested in metastatic setting and gave promising results.</w:t>
      </w:r>
    </w:p>
    <w:p w14:paraId="18BA4D4F" w14:textId="77777777" w:rsidR="005813DE" w:rsidRPr="00E13321" w:rsidRDefault="005813DE">
      <w:pPr>
        <w:spacing w:after="0" w:line="360" w:lineRule="auto"/>
        <w:jc w:val="both"/>
        <w:rPr>
          <w:rFonts w:ascii="Book Antiqua" w:hAnsi="Book Antiqua"/>
          <w:b/>
          <w:i/>
          <w:iCs/>
          <w:caps/>
          <w:color w:val="000000"/>
          <w:sz w:val="24"/>
          <w:szCs w:val="24"/>
        </w:rPr>
      </w:pPr>
    </w:p>
    <w:p w14:paraId="3E347CCE" w14:textId="77777777" w:rsidR="005813DE" w:rsidRPr="00E13321" w:rsidRDefault="0088790D">
      <w:pPr>
        <w:spacing w:after="0" w:line="360" w:lineRule="auto"/>
        <w:jc w:val="both"/>
        <w:rPr>
          <w:rFonts w:ascii="Book Antiqua" w:hAnsi="Book Antiqua"/>
          <w:b/>
          <w:i/>
          <w:iCs/>
          <w:caps/>
          <w:color w:val="000000"/>
          <w:sz w:val="24"/>
          <w:szCs w:val="24"/>
        </w:rPr>
      </w:pPr>
      <w:r w:rsidRPr="00E13321">
        <w:rPr>
          <w:rFonts w:ascii="Book Antiqua" w:hAnsi="Book Antiqua"/>
          <w:b/>
          <w:i/>
          <w:iCs/>
          <w:caps/>
          <w:color w:val="000000"/>
          <w:sz w:val="24"/>
          <w:szCs w:val="24"/>
        </w:rPr>
        <w:t>Aim</w:t>
      </w:r>
    </w:p>
    <w:p w14:paraId="7EA4D202" w14:textId="77777777" w:rsidR="005813DE" w:rsidRPr="00E13321" w:rsidRDefault="0088790D">
      <w:pPr>
        <w:spacing w:after="0" w:line="360" w:lineRule="auto"/>
        <w:jc w:val="both"/>
        <w:rPr>
          <w:rFonts w:ascii="Book Antiqua" w:hAnsi="Book Antiqua"/>
          <w:color w:val="000000"/>
          <w:sz w:val="24"/>
          <w:szCs w:val="24"/>
        </w:rPr>
      </w:pPr>
      <w:r w:rsidRPr="00E13321">
        <w:rPr>
          <w:rFonts w:ascii="Book Antiqua" w:hAnsi="Book Antiqua"/>
          <w:color w:val="000000"/>
          <w:sz w:val="24"/>
          <w:szCs w:val="24"/>
        </w:rPr>
        <w:t>To determine safety and efficacy of TeFOX perioperative regimen.</w:t>
      </w:r>
    </w:p>
    <w:p w14:paraId="14199B81" w14:textId="77777777" w:rsidR="005813DE" w:rsidRPr="00E13321" w:rsidRDefault="005813DE">
      <w:pPr>
        <w:spacing w:after="0" w:line="360" w:lineRule="auto"/>
        <w:jc w:val="both"/>
        <w:rPr>
          <w:rFonts w:ascii="Book Antiqua" w:hAnsi="Book Antiqua"/>
          <w:b/>
          <w:i/>
          <w:iCs/>
          <w:caps/>
          <w:color w:val="000000"/>
          <w:sz w:val="24"/>
          <w:szCs w:val="24"/>
        </w:rPr>
      </w:pPr>
    </w:p>
    <w:p w14:paraId="356F523F" w14:textId="77777777" w:rsidR="005813DE" w:rsidRPr="00E13321" w:rsidRDefault="0088790D">
      <w:pPr>
        <w:spacing w:after="0" w:line="360" w:lineRule="auto"/>
        <w:jc w:val="both"/>
        <w:rPr>
          <w:rFonts w:ascii="Book Antiqua" w:hAnsi="Book Antiqua"/>
          <w:i/>
          <w:iCs/>
          <w:caps/>
          <w:color w:val="000000"/>
          <w:sz w:val="24"/>
          <w:szCs w:val="24"/>
        </w:rPr>
      </w:pPr>
      <w:r w:rsidRPr="00E13321">
        <w:rPr>
          <w:rFonts w:ascii="Book Antiqua" w:hAnsi="Book Antiqua"/>
          <w:b/>
          <w:i/>
          <w:iCs/>
          <w:caps/>
          <w:color w:val="000000"/>
          <w:sz w:val="24"/>
          <w:szCs w:val="24"/>
        </w:rPr>
        <w:t>Methods</w:t>
      </w:r>
    </w:p>
    <w:p w14:paraId="0AB2FF13" w14:textId="77777777" w:rsidR="005813DE" w:rsidRPr="00E13321" w:rsidRDefault="0088790D">
      <w:pPr>
        <w:spacing w:after="0" w:line="360" w:lineRule="auto"/>
        <w:jc w:val="both"/>
        <w:rPr>
          <w:rFonts w:ascii="Book Antiqua" w:hAnsi="Book Antiqua"/>
          <w:color w:val="000000"/>
          <w:sz w:val="24"/>
          <w:szCs w:val="24"/>
        </w:rPr>
      </w:pPr>
      <w:r w:rsidRPr="00E13321">
        <w:rPr>
          <w:rFonts w:ascii="Book Antiqua" w:hAnsi="Book Antiqua"/>
          <w:color w:val="000000"/>
          <w:sz w:val="24"/>
          <w:szCs w:val="24"/>
        </w:rPr>
        <w:t>This monocentric retrospective study aims to test efficacy and safety of the perioperative TeFOX regimen given alone or in combination with trastuzumab in patients with localized GC. TeFOX consist in docetaxel (50 mg/m²) with oxaliplatin 85 mg/m² and and leucovorin (400</w:t>
      </w:r>
      <w:r w:rsidRPr="00E13321">
        <w:rPr>
          <w:rFonts w:ascii="Times New Roman" w:hAnsi="Times New Roman"/>
          <w:color w:val="000000"/>
          <w:sz w:val="24"/>
          <w:szCs w:val="24"/>
        </w:rPr>
        <w:t> </w:t>
      </w:r>
      <w:r w:rsidRPr="00E13321">
        <w:rPr>
          <w:rFonts w:ascii="Book Antiqua" w:hAnsi="Book Antiqua"/>
          <w:color w:val="000000"/>
          <w:sz w:val="24"/>
          <w:szCs w:val="24"/>
        </w:rPr>
        <w:t>mg/m</w:t>
      </w:r>
      <w:r w:rsidRPr="00E13321">
        <w:rPr>
          <w:rFonts w:ascii="Book Antiqua" w:hAnsi="Book Antiqua"/>
          <w:color w:val="000000"/>
          <w:sz w:val="24"/>
          <w:szCs w:val="24"/>
          <w:vertAlign w:val="superscript"/>
        </w:rPr>
        <w:t>2</w:t>
      </w:r>
      <w:r w:rsidRPr="00E13321">
        <w:rPr>
          <w:rFonts w:ascii="Book Antiqua" w:hAnsi="Book Antiqua"/>
          <w:color w:val="000000"/>
          <w:sz w:val="24"/>
          <w:szCs w:val="24"/>
        </w:rPr>
        <w:t>) 5 FU bolus (400</w:t>
      </w:r>
      <w:r w:rsidRPr="00E13321">
        <w:rPr>
          <w:rFonts w:ascii="Times New Roman" w:hAnsi="Times New Roman"/>
          <w:color w:val="000000"/>
          <w:sz w:val="24"/>
          <w:szCs w:val="24"/>
        </w:rPr>
        <w:t> </w:t>
      </w:r>
      <w:r w:rsidRPr="00E13321">
        <w:rPr>
          <w:rFonts w:ascii="Book Antiqua" w:hAnsi="Book Antiqua"/>
          <w:color w:val="000000"/>
          <w:sz w:val="24"/>
          <w:szCs w:val="24"/>
        </w:rPr>
        <w:t>mg/m</w:t>
      </w:r>
      <w:r w:rsidRPr="00E13321">
        <w:rPr>
          <w:rFonts w:ascii="Book Antiqua" w:hAnsi="Book Antiqua"/>
          <w:color w:val="000000"/>
          <w:sz w:val="24"/>
          <w:szCs w:val="24"/>
          <w:vertAlign w:val="superscript"/>
        </w:rPr>
        <w:t>2</w:t>
      </w:r>
      <w:r w:rsidRPr="00E13321">
        <w:rPr>
          <w:rFonts w:ascii="Book Antiqua" w:hAnsi="Book Antiqua"/>
          <w:color w:val="000000"/>
          <w:sz w:val="24"/>
          <w:szCs w:val="24"/>
        </w:rPr>
        <w:t>) on day 1, followed by continuous infusion of 5FU for 46</w:t>
      </w:r>
      <w:r w:rsidRPr="00E13321">
        <w:rPr>
          <w:rFonts w:ascii="Times New Roman" w:hAnsi="Times New Roman"/>
          <w:color w:val="000000"/>
          <w:sz w:val="24"/>
          <w:szCs w:val="24"/>
        </w:rPr>
        <w:t> </w:t>
      </w:r>
      <w:r w:rsidRPr="00E13321">
        <w:rPr>
          <w:rFonts w:ascii="Book Antiqua" w:hAnsi="Book Antiqua"/>
          <w:color w:val="000000"/>
          <w:sz w:val="24"/>
          <w:szCs w:val="24"/>
        </w:rPr>
        <w:t>h (2400</w:t>
      </w:r>
      <w:r w:rsidRPr="00E13321">
        <w:rPr>
          <w:rFonts w:ascii="Times New Roman" w:hAnsi="Times New Roman"/>
          <w:color w:val="000000"/>
          <w:sz w:val="24"/>
          <w:szCs w:val="24"/>
        </w:rPr>
        <w:t> </w:t>
      </w:r>
      <w:r w:rsidRPr="00E13321">
        <w:rPr>
          <w:rFonts w:ascii="Book Antiqua" w:hAnsi="Book Antiqua"/>
          <w:color w:val="000000"/>
          <w:sz w:val="24"/>
          <w:szCs w:val="24"/>
        </w:rPr>
        <w:t>mg/m</w:t>
      </w:r>
      <w:r w:rsidRPr="00E13321">
        <w:rPr>
          <w:rFonts w:ascii="Book Antiqua" w:hAnsi="Book Antiqua"/>
          <w:color w:val="000000"/>
          <w:sz w:val="24"/>
          <w:szCs w:val="24"/>
          <w:vertAlign w:val="superscript"/>
        </w:rPr>
        <w:t>2</w:t>
      </w:r>
      <w:r w:rsidRPr="00E13321">
        <w:rPr>
          <w:rFonts w:ascii="Book Antiqua" w:hAnsi="Book Antiqua"/>
          <w:color w:val="000000"/>
          <w:sz w:val="24"/>
          <w:szCs w:val="24"/>
        </w:rPr>
        <w:t>) every 2 wk.</w:t>
      </w:r>
    </w:p>
    <w:p w14:paraId="0FF03A9F" w14:textId="77777777" w:rsidR="005813DE" w:rsidRPr="00E13321" w:rsidRDefault="005813DE">
      <w:pPr>
        <w:spacing w:after="0" w:line="360" w:lineRule="auto"/>
        <w:jc w:val="both"/>
        <w:rPr>
          <w:rFonts w:ascii="Book Antiqua" w:hAnsi="Book Antiqua"/>
          <w:b/>
          <w:i/>
          <w:iCs/>
          <w:caps/>
          <w:color w:val="000000"/>
          <w:sz w:val="24"/>
          <w:szCs w:val="24"/>
        </w:rPr>
      </w:pPr>
    </w:p>
    <w:p w14:paraId="0E059A84" w14:textId="77777777" w:rsidR="005813DE" w:rsidRPr="00E13321" w:rsidRDefault="0088790D">
      <w:pPr>
        <w:spacing w:after="0" w:line="360" w:lineRule="auto"/>
        <w:jc w:val="both"/>
        <w:rPr>
          <w:rFonts w:ascii="Book Antiqua" w:hAnsi="Book Antiqua"/>
          <w:i/>
          <w:iCs/>
          <w:caps/>
          <w:color w:val="000000"/>
          <w:sz w:val="24"/>
          <w:szCs w:val="24"/>
        </w:rPr>
      </w:pPr>
      <w:r w:rsidRPr="00E13321">
        <w:rPr>
          <w:rFonts w:ascii="Book Antiqua" w:hAnsi="Book Antiqua"/>
          <w:b/>
          <w:i/>
          <w:iCs/>
          <w:caps/>
          <w:color w:val="000000"/>
          <w:sz w:val="24"/>
          <w:szCs w:val="24"/>
        </w:rPr>
        <w:t>Results</w:t>
      </w:r>
    </w:p>
    <w:p w14:paraId="080568A3" w14:textId="77777777" w:rsidR="005813DE" w:rsidRPr="00E13321" w:rsidRDefault="0088790D">
      <w:pPr>
        <w:spacing w:after="0" w:line="360" w:lineRule="auto"/>
        <w:jc w:val="both"/>
        <w:rPr>
          <w:rFonts w:ascii="Book Antiqua" w:hAnsi="Book Antiqua"/>
          <w:color w:val="000000"/>
          <w:sz w:val="24"/>
          <w:szCs w:val="24"/>
        </w:rPr>
      </w:pPr>
      <w:r w:rsidRPr="00E13321">
        <w:rPr>
          <w:rFonts w:ascii="Book Antiqua" w:hAnsi="Book Antiqua"/>
          <w:color w:val="000000"/>
          <w:sz w:val="24"/>
          <w:szCs w:val="24"/>
        </w:rPr>
        <w:t>Thirty-three consecutive patients were included in this retrospective study. Eighteen patients have a gastroesophageal junction cancer and 11 have a GC. Median follow-up of surviving patients was 32 mo. R0 resection was obtained in 30 (91) patients. Twelve patients (36) had a pathological complete response and 8 (24) patients a nearly complete pathological response. Median OS and PFS were not reached at data base lock. We have observed 6 metastatic relapses and 1 localized relapse. No relapse was observed in patients with pathological complete responses. The most common grade 3-4 adverse events were peripheral neuropathy (21) and asthenia (20).</w:t>
      </w:r>
    </w:p>
    <w:p w14:paraId="528BEEE9" w14:textId="77777777" w:rsidR="005813DE" w:rsidRPr="00E13321" w:rsidRDefault="005813DE">
      <w:pPr>
        <w:spacing w:after="0" w:line="360" w:lineRule="auto"/>
        <w:jc w:val="both"/>
        <w:rPr>
          <w:rFonts w:ascii="Book Antiqua" w:hAnsi="Book Antiqua"/>
          <w:b/>
          <w:i/>
          <w:iCs/>
          <w:caps/>
          <w:color w:val="000000"/>
          <w:sz w:val="24"/>
          <w:szCs w:val="24"/>
        </w:rPr>
      </w:pPr>
    </w:p>
    <w:p w14:paraId="5D59353D" w14:textId="77777777" w:rsidR="005813DE" w:rsidRPr="00E13321" w:rsidRDefault="0088790D">
      <w:pPr>
        <w:spacing w:after="0" w:line="360" w:lineRule="auto"/>
        <w:jc w:val="both"/>
        <w:rPr>
          <w:rFonts w:ascii="Book Antiqua" w:hAnsi="Book Antiqua"/>
          <w:b/>
          <w:i/>
          <w:iCs/>
          <w:caps/>
          <w:color w:val="000000"/>
          <w:sz w:val="24"/>
          <w:szCs w:val="24"/>
        </w:rPr>
      </w:pPr>
      <w:r w:rsidRPr="00E13321">
        <w:rPr>
          <w:rFonts w:ascii="Book Antiqua" w:hAnsi="Book Antiqua"/>
          <w:b/>
          <w:i/>
          <w:iCs/>
          <w:caps/>
          <w:color w:val="000000"/>
          <w:sz w:val="24"/>
          <w:szCs w:val="24"/>
        </w:rPr>
        <w:t>Conclusion</w:t>
      </w:r>
    </w:p>
    <w:p w14:paraId="425C41C6" w14:textId="77777777" w:rsidR="005813DE" w:rsidRPr="00E13321" w:rsidRDefault="0088790D">
      <w:pPr>
        <w:spacing w:after="0" w:line="360" w:lineRule="auto"/>
        <w:jc w:val="both"/>
        <w:rPr>
          <w:rFonts w:ascii="Book Antiqua" w:hAnsi="Book Antiqua"/>
          <w:color w:val="000000"/>
          <w:sz w:val="24"/>
          <w:szCs w:val="24"/>
        </w:rPr>
      </w:pPr>
      <w:r w:rsidRPr="00E13321">
        <w:rPr>
          <w:rFonts w:ascii="Book Antiqua" w:hAnsi="Book Antiqua"/>
          <w:color w:val="000000"/>
          <w:sz w:val="24"/>
          <w:szCs w:val="24"/>
        </w:rPr>
        <w:t>TeFOX regimen could be safely administrated in perioperative treatment of localized GC. TeFOX and the FLOT regimen have comparable efficacy and safety profiles.</w:t>
      </w:r>
    </w:p>
    <w:p w14:paraId="68540FE2" w14:textId="77777777" w:rsidR="005813DE" w:rsidRPr="00E13321" w:rsidRDefault="005813DE">
      <w:pPr>
        <w:spacing w:after="0" w:line="360" w:lineRule="auto"/>
        <w:jc w:val="both"/>
        <w:rPr>
          <w:rFonts w:ascii="Book Antiqua" w:hAnsi="Book Antiqua"/>
          <w:b/>
          <w:bCs/>
          <w:iCs/>
          <w:color w:val="000000"/>
          <w:sz w:val="24"/>
          <w:szCs w:val="24"/>
        </w:rPr>
      </w:pPr>
    </w:p>
    <w:p w14:paraId="7BF251D3" w14:textId="77777777" w:rsidR="005813DE" w:rsidRPr="00E13321" w:rsidRDefault="0088790D">
      <w:pPr>
        <w:spacing w:after="0" w:line="360" w:lineRule="auto"/>
        <w:jc w:val="both"/>
        <w:rPr>
          <w:rFonts w:ascii="Book Antiqua" w:hAnsi="Book Antiqua"/>
          <w:iCs/>
          <w:color w:val="000000"/>
          <w:sz w:val="24"/>
          <w:szCs w:val="24"/>
        </w:rPr>
      </w:pPr>
      <w:r w:rsidRPr="00E13321">
        <w:rPr>
          <w:rFonts w:ascii="Book Antiqua" w:hAnsi="Book Antiqua"/>
          <w:b/>
          <w:bCs/>
          <w:iCs/>
          <w:color w:val="000000"/>
          <w:sz w:val="24"/>
          <w:szCs w:val="24"/>
        </w:rPr>
        <w:t xml:space="preserve">Key words: </w:t>
      </w:r>
      <w:r w:rsidRPr="00E13321">
        <w:rPr>
          <w:rFonts w:ascii="Book Antiqua" w:hAnsi="Book Antiqua"/>
          <w:iCs/>
          <w:caps/>
          <w:color w:val="000000"/>
          <w:sz w:val="24"/>
          <w:szCs w:val="24"/>
        </w:rPr>
        <w:t>g</w:t>
      </w:r>
      <w:r w:rsidRPr="00E13321">
        <w:rPr>
          <w:rFonts w:ascii="Book Antiqua" w:hAnsi="Book Antiqua"/>
          <w:iCs/>
          <w:color w:val="000000"/>
          <w:sz w:val="24"/>
          <w:szCs w:val="24"/>
        </w:rPr>
        <w:t xml:space="preserve">astric cancer; </w:t>
      </w:r>
      <w:r w:rsidRPr="00E13321">
        <w:rPr>
          <w:rFonts w:ascii="Book Antiqua" w:hAnsi="Book Antiqua"/>
          <w:iCs/>
          <w:caps/>
          <w:color w:val="000000"/>
          <w:sz w:val="24"/>
          <w:szCs w:val="24"/>
        </w:rPr>
        <w:t>n</w:t>
      </w:r>
      <w:r w:rsidRPr="00E13321">
        <w:rPr>
          <w:rFonts w:ascii="Book Antiqua" w:hAnsi="Book Antiqua"/>
          <w:iCs/>
          <w:color w:val="000000"/>
          <w:sz w:val="24"/>
          <w:szCs w:val="24"/>
        </w:rPr>
        <w:t xml:space="preserve">eoadjuvant chemotherapy; TeFOX; </w:t>
      </w:r>
      <w:r w:rsidRPr="00E13321">
        <w:rPr>
          <w:rFonts w:ascii="Book Antiqua" w:hAnsi="Book Antiqua"/>
          <w:iCs/>
          <w:caps/>
          <w:color w:val="000000"/>
          <w:sz w:val="24"/>
          <w:szCs w:val="24"/>
        </w:rPr>
        <w:t>r</w:t>
      </w:r>
      <w:r w:rsidRPr="00E13321">
        <w:rPr>
          <w:rFonts w:ascii="Book Antiqua" w:hAnsi="Book Antiqua"/>
          <w:iCs/>
          <w:color w:val="000000"/>
          <w:sz w:val="24"/>
          <w:szCs w:val="24"/>
        </w:rPr>
        <w:t>etrospective study</w:t>
      </w:r>
    </w:p>
    <w:p w14:paraId="1A3A0E1B" w14:textId="77777777" w:rsidR="005813DE" w:rsidRPr="00E13321" w:rsidRDefault="005813DE">
      <w:pPr>
        <w:spacing w:after="0" w:line="360" w:lineRule="auto"/>
        <w:jc w:val="both"/>
        <w:rPr>
          <w:rFonts w:ascii="Book Antiqua" w:hAnsi="Book Antiqua"/>
          <w:iCs/>
          <w:color w:val="000000"/>
          <w:sz w:val="24"/>
          <w:szCs w:val="24"/>
        </w:rPr>
      </w:pPr>
    </w:p>
    <w:p w14:paraId="403BDE6D" w14:textId="77777777" w:rsidR="005813DE" w:rsidRPr="00E13321" w:rsidRDefault="0088790D">
      <w:pPr>
        <w:autoSpaceDE w:val="0"/>
        <w:autoSpaceDN w:val="0"/>
        <w:adjustRightInd w:val="0"/>
        <w:snapToGrid w:val="0"/>
        <w:spacing w:after="0" w:line="360" w:lineRule="auto"/>
        <w:rPr>
          <w:rFonts w:ascii="Book Antiqua" w:hAnsi="Book Antiqua" w:cs="Arial Unicode MS"/>
          <w:color w:val="000000"/>
          <w:sz w:val="24"/>
        </w:rPr>
      </w:pPr>
      <w:bookmarkStart w:id="2" w:name="OLE_LINK98"/>
      <w:bookmarkStart w:id="3" w:name="OLE_LINK156"/>
      <w:bookmarkStart w:id="4" w:name="OLE_LINK196"/>
      <w:bookmarkStart w:id="5" w:name="OLE_LINK247"/>
      <w:bookmarkStart w:id="6" w:name="OLE_LINK217"/>
      <w:bookmarkStart w:id="7" w:name="OLE_LINK242"/>
      <w:bookmarkStart w:id="8" w:name="OLE_LINK311"/>
      <w:bookmarkStart w:id="9" w:name="OLE_LINK312"/>
      <w:bookmarkStart w:id="10" w:name="OLE_LINK325"/>
      <w:bookmarkStart w:id="11" w:name="OLE_LINK330"/>
      <w:bookmarkStart w:id="12" w:name="OLE_LINK513"/>
      <w:bookmarkStart w:id="13" w:name="OLE_LINK514"/>
      <w:bookmarkStart w:id="14" w:name="OLE_LINK464"/>
      <w:bookmarkStart w:id="15" w:name="OLE_LINK465"/>
      <w:bookmarkStart w:id="16" w:name="OLE_LINK466"/>
      <w:bookmarkStart w:id="17" w:name="OLE_LINK470"/>
      <w:bookmarkStart w:id="18" w:name="OLE_LINK471"/>
      <w:bookmarkStart w:id="19" w:name="OLE_LINK472"/>
      <w:bookmarkStart w:id="20" w:name="OLE_LINK474"/>
      <w:bookmarkStart w:id="21" w:name="OLE_LINK512"/>
      <w:bookmarkStart w:id="22" w:name="OLE_LINK800"/>
      <w:bookmarkStart w:id="23" w:name="OLE_LINK982"/>
      <w:bookmarkStart w:id="24" w:name="OLE_LINK1027"/>
      <w:bookmarkStart w:id="25" w:name="OLE_LINK504"/>
      <w:bookmarkStart w:id="26" w:name="OLE_LINK546"/>
      <w:bookmarkStart w:id="27" w:name="OLE_LINK547"/>
      <w:bookmarkStart w:id="28" w:name="OLE_LINK575"/>
      <w:bookmarkStart w:id="29" w:name="OLE_LINK640"/>
      <w:bookmarkStart w:id="30" w:name="OLE_LINK672"/>
      <w:bookmarkStart w:id="31" w:name="OLE_LINK714"/>
      <w:bookmarkStart w:id="32" w:name="OLE_LINK651"/>
      <w:bookmarkStart w:id="33" w:name="OLE_LINK652"/>
      <w:bookmarkStart w:id="34" w:name="OLE_LINK744"/>
      <w:bookmarkStart w:id="35" w:name="OLE_LINK758"/>
      <w:bookmarkStart w:id="36" w:name="OLE_LINK787"/>
      <w:bookmarkStart w:id="37" w:name="OLE_LINK807"/>
      <w:bookmarkStart w:id="38" w:name="OLE_LINK820"/>
      <w:bookmarkStart w:id="39" w:name="OLE_LINK862"/>
      <w:bookmarkStart w:id="40" w:name="OLE_LINK879"/>
      <w:bookmarkStart w:id="41" w:name="OLE_LINK906"/>
      <w:bookmarkStart w:id="42" w:name="OLE_LINK928"/>
      <w:bookmarkStart w:id="43" w:name="OLE_LINK960"/>
      <w:bookmarkStart w:id="44" w:name="OLE_LINK861"/>
      <w:bookmarkStart w:id="45" w:name="OLE_LINK983"/>
      <w:bookmarkStart w:id="46" w:name="OLE_LINK1334"/>
      <w:bookmarkStart w:id="47" w:name="OLE_LINK1029"/>
      <w:bookmarkStart w:id="48" w:name="OLE_LINK1060"/>
      <w:bookmarkStart w:id="49" w:name="OLE_LINK1061"/>
      <w:bookmarkStart w:id="50" w:name="OLE_LINK1348"/>
      <w:bookmarkStart w:id="51" w:name="OLE_LINK1086"/>
      <w:bookmarkStart w:id="52" w:name="OLE_LINK1100"/>
      <w:bookmarkStart w:id="53" w:name="OLE_LINK1125"/>
      <w:bookmarkStart w:id="54" w:name="OLE_LINK1163"/>
      <w:bookmarkStart w:id="55" w:name="OLE_LINK1193"/>
      <w:bookmarkStart w:id="56" w:name="OLE_LINK1219"/>
      <w:bookmarkStart w:id="57" w:name="OLE_LINK1247"/>
      <w:bookmarkStart w:id="58" w:name="OLE_LINK1284"/>
      <w:bookmarkStart w:id="59" w:name="OLE_LINK1313"/>
      <w:bookmarkStart w:id="60" w:name="OLE_LINK1361"/>
      <w:bookmarkStart w:id="61" w:name="OLE_LINK1384"/>
      <w:bookmarkStart w:id="62" w:name="OLE_LINK1403"/>
      <w:bookmarkStart w:id="63" w:name="OLE_LINK1437"/>
      <w:bookmarkStart w:id="64" w:name="OLE_LINK1454"/>
      <w:bookmarkStart w:id="65" w:name="OLE_LINK1480"/>
      <w:bookmarkStart w:id="66" w:name="OLE_LINK1504"/>
      <w:bookmarkStart w:id="67" w:name="OLE_LINK1516"/>
      <w:bookmarkStart w:id="68" w:name="OLE_LINK135"/>
      <w:bookmarkStart w:id="69" w:name="OLE_LINK216"/>
      <w:bookmarkStart w:id="70" w:name="OLE_LINK259"/>
      <w:bookmarkStart w:id="71" w:name="OLE_LINK1186"/>
      <w:bookmarkStart w:id="72" w:name="OLE_LINK1265"/>
      <w:bookmarkStart w:id="73" w:name="OLE_LINK1373"/>
      <w:bookmarkStart w:id="74" w:name="OLE_LINK1478"/>
      <w:bookmarkStart w:id="75" w:name="OLE_LINK1644"/>
      <w:bookmarkStart w:id="76" w:name="OLE_LINK1884"/>
      <w:bookmarkStart w:id="77" w:name="OLE_LINK1885"/>
      <w:bookmarkStart w:id="78" w:name="OLE_LINK1538"/>
      <w:bookmarkStart w:id="79" w:name="OLE_LINK1539"/>
      <w:bookmarkStart w:id="80" w:name="OLE_LINK1543"/>
      <w:bookmarkStart w:id="81" w:name="OLE_LINK1549"/>
      <w:bookmarkStart w:id="82" w:name="OLE_LINK1778"/>
      <w:bookmarkStart w:id="83" w:name="OLE_LINK1756"/>
      <w:bookmarkStart w:id="84" w:name="OLE_LINK1776"/>
      <w:bookmarkStart w:id="85" w:name="OLE_LINK1777"/>
      <w:bookmarkStart w:id="86" w:name="OLE_LINK1868"/>
      <w:bookmarkStart w:id="87" w:name="OLE_LINK1744"/>
      <w:bookmarkStart w:id="88" w:name="OLE_LINK1817"/>
      <w:bookmarkStart w:id="89" w:name="OLE_LINK1835"/>
      <w:bookmarkStart w:id="90" w:name="OLE_LINK1866"/>
      <w:bookmarkStart w:id="91" w:name="OLE_LINK1882"/>
      <w:bookmarkStart w:id="92" w:name="OLE_LINK1901"/>
      <w:bookmarkStart w:id="93" w:name="OLE_LINK1902"/>
      <w:bookmarkStart w:id="94" w:name="OLE_LINK2013"/>
      <w:bookmarkStart w:id="95" w:name="OLE_LINK1894"/>
      <w:bookmarkStart w:id="96" w:name="OLE_LINK1929"/>
      <w:bookmarkStart w:id="97" w:name="OLE_LINK1941"/>
      <w:bookmarkStart w:id="98" w:name="OLE_LINK1995"/>
      <w:bookmarkStart w:id="99" w:name="OLE_LINK1938"/>
      <w:bookmarkStart w:id="100" w:name="OLE_LINK2081"/>
      <w:bookmarkStart w:id="101" w:name="OLE_LINK2082"/>
      <w:bookmarkStart w:id="102" w:name="OLE_LINK2292"/>
      <w:bookmarkStart w:id="103" w:name="OLE_LINK1931"/>
      <w:bookmarkStart w:id="104" w:name="OLE_LINK1964"/>
      <w:bookmarkStart w:id="105" w:name="OLE_LINK2020"/>
      <w:bookmarkStart w:id="106" w:name="OLE_LINK2071"/>
      <w:bookmarkStart w:id="107" w:name="OLE_LINK2134"/>
      <w:bookmarkStart w:id="108" w:name="OLE_LINK2265"/>
      <w:bookmarkStart w:id="109" w:name="OLE_LINK2562"/>
      <w:bookmarkStart w:id="110" w:name="OLE_LINK1923"/>
      <w:bookmarkStart w:id="111" w:name="OLE_LINK2192"/>
      <w:bookmarkStart w:id="112" w:name="OLE_LINK2110"/>
      <w:bookmarkStart w:id="113" w:name="OLE_LINK2445"/>
      <w:bookmarkStart w:id="114" w:name="OLE_LINK2446"/>
      <w:bookmarkStart w:id="115" w:name="OLE_LINK2169"/>
      <w:bookmarkStart w:id="116" w:name="OLE_LINK2190"/>
      <w:bookmarkStart w:id="117" w:name="OLE_LINK2331"/>
      <w:bookmarkStart w:id="118" w:name="OLE_LINK2345"/>
      <w:bookmarkStart w:id="119" w:name="OLE_LINK2467"/>
      <w:bookmarkStart w:id="120" w:name="OLE_LINK2484"/>
      <w:bookmarkStart w:id="121" w:name="OLE_LINK2157"/>
      <w:bookmarkStart w:id="122" w:name="OLE_LINK2221"/>
      <w:bookmarkStart w:id="123" w:name="OLE_LINK2252"/>
      <w:bookmarkStart w:id="124" w:name="OLE_LINK2348"/>
      <w:bookmarkStart w:id="125" w:name="OLE_LINK2451"/>
      <w:bookmarkStart w:id="126" w:name="OLE_LINK2627"/>
      <w:bookmarkStart w:id="127" w:name="OLE_LINK2482"/>
      <w:bookmarkStart w:id="128" w:name="OLE_LINK2663"/>
      <w:bookmarkStart w:id="129" w:name="OLE_LINK2761"/>
      <w:bookmarkStart w:id="130" w:name="OLE_LINK2856"/>
      <w:bookmarkStart w:id="131" w:name="OLE_LINK2993"/>
      <w:bookmarkStart w:id="132" w:name="OLE_LINK2643"/>
      <w:bookmarkStart w:id="133" w:name="OLE_LINK2583"/>
      <w:bookmarkStart w:id="134" w:name="OLE_LINK2762"/>
      <w:bookmarkStart w:id="135" w:name="OLE_LINK2962"/>
      <w:bookmarkStart w:id="136" w:name="OLE_LINK2582"/>
      <w:r w:rsidRPr="00E13321">
        <w:rPr>
          <w:rFonts w:ascii="Book Antiqua" w:hAnsi="Book Antiqua"/>
          <w:b/>
          <w:color w:val="000000"/>
          <w:sz w:val="24"/>
        </w:rPr>
        <w:t xml:space="preserve">© </w:t>
      </w:r>
      <w:r w:rsidRPr="00E13321">
        <w:rPr>
          <w:rFonts w:ascii="Book Antiqua" w:eastAsia="AdvTimes" w:hAnsi="Book Antiqua" w:cs="AdvTimes"/>
          <w:b/>
          <w:color w:val="000000"/>
          <w:sz w:val="24"/>
        </w:rPr>
        <w:t>The Author(s) 201</w:t>
      </w:r>
      <w:r w:rsidRPr="00E13321">
        <w:rPr>
          <w:rFonts w:ascii="Book Antiqua" w:hAnsi="Book Antiqua" w:cs="AdvTimes"/>
          <w:b/>
          <w:color w:val="000000"/>
          <w:sz w:val="24"/>
        </w:rPr>
        <w:t>9</w:t>
      </w:r>
      <w:r w:rsidRPr="00E13321">
        <w:rPr>
          <w:rFonts w:ascii="Book Antiqua" w:eastAsia="AdvTimes" w:hAnsi="Book Antiqua" w:cs="AdvTimes"/>
          <w:color w:val="000000"/>
          <w:sz w:val="24"/>
        </w:rPr>
        <w:t xml:space="preserve"> Published by </w:t>
      </w:r>
      <w:r w:rsidRPr="00E13321">
        <w:rPr>
          <w:rFonts w:ascii="Book Antiqua" w:hAnsi="Book Antiqua" w:cs="Arial Unicode MS"/>
          <w:color w:val="000000"/>
          <w:sz w:val="24"/>
        </w:rPr>
        <w:t>Baishideng Publishing Group Inc. All rights reserved.</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53D0D36A" w14:textId="77777777" w:rsidR="005813DE" w:rsidRPr="00E13321" w:rsidRDefault="005813DE">
      <w:pPr>
        <w:spacing w:after="0" w:line="360" w:lineRule="auto"/>
        <w:jc w:val="both"/>
        <w:rPr>
          <w:rFonts w:ascii="Book Antiqua" w:hAnsi="Book Antiqua"/>
          <w:iCs/>
          <w:color w:val="000000"/>
          <w:sz w:val="24"/>
          <w:szCs w:val="24"/>
        </w:rPr>
      </w:pPr>
    </w:p>
    <w:p w14:paraId="0D4B5EDB" w14:textId="77777777" w:rsidR="005813DE" w:rsidRPr="00E13321" w:rsidRDefault="0088790D">
      <w:pPr>
        <w:spacing w:after="0" w:line="360" w:lineRule="auto"/>
        <w:jc w:val="both"/>
        <w:rPr>
          <w:rFonts w:ascii="Book Antiqua" w:hAnsi="Book Antiqua"/>
          <w:b/>
          <w:color w:val="000000"/>
          <w:sz w:val="24"/>
          <w:szCs w:val="24"/>
        </w:rPr>
      </w:pPr>
      <w:bookmarkStart w:id="137" w:name="_Hlk10468991"/>
      <w:r w:rsidRPr="00E13321">
        <w:rPr>
          <w:rFonts w:ascii="Book Antiqua" w:hAnsi="Book Antiqua"/>
          <w:b/>
          <w:color w:val="000000"/>
          <w:sz w:val="24"/>
          <w:szCs w:val="24"/>
        </w:rPr>
        <w:t xml:space="preserve">Core tip: </w:t>
      </w:r>
      <w:r w:rsidRPr="00E13321">
        <w:rPr>
          <w:rFonts w:ascii="Book Antiqua" w:hAnsi="Book Antiqua"/>
          <w:color w:val="000000"/>
          <w:sz w:val="24"/>
          <w:szCs w:val="24"/>
        </w:rPr>
        <w:t>Triplet chemotherapy, with docetaxel-5FU-oxaliplatin FLOT regimen recently became the standard perioperative treatment for localized gastric cancer. An adapted regimen called TeFOX was recently tested in metastatic setting and gave promising results. We provide here evidence based on our experience of the safety and efficacy of this regimen in patients treated in neoadjuvant setting.</w:t>
      </w:r>
    </w:p>
    <w:bookmarkEnd w:id="137"/>
    <w:p w14:paraId="1F82A6C4" w14:textId="77777777" w:rsidR="005813DE" w:rsidRPr="00E13321" w:rsidRDefault="005813DE">
      <w:pPr>
        <w:spacing w:after="0" w:line="360" w:lineRule="auto"/>
        <w:jc w:val="both"/>
        <w:rPr>
          <w:rFonts w:ascii="Book Antiqua" w:hAnsi="Book Antiqua"/>
          <w:b/>
          <w:bCs/>
          <w:iCs/>
          <w:color w:val="000000"/>
          <w:sz w:val="24"/>
          <w:szCs w:val="24"/>
        </w:rPr>
      </w:pPr>
    </w:p>
    <w:p w14:paraId="29F76A4A" w14:textId="6E79FA90" w:rsidR="0031012A" w:rsidRPr="00E13321" w:rsidRDefault="0031012A" w:rsidP="0031012A">
      <w:pPr>
        <w:spacing w:line="360" w:lineRule="auto"/>
        <w:jc w:val="both"/>
        <w:rPr>
          <w:rFonts w:ascii="Book Antiqua" w:hAnsi="Book Antiqua"/>
          <w:sz w:val="24"/>
          <w:szCs w:val="24"/>
        </w:rPr>
      </w:pPr>
      <w:r w:rsidRPr="00E13321">
        <w:rPr>
          <w:rFonts w:ascii="Book Antiqua" w:hAnsi="Book Antiqua"/>
          <w:b/>
          <w:bCs/>
          <w:color w:val="000000" w:themeColor="text1"/>
          <w:sz w:val="24"/>
          <w:szCs w:val="24"/>
        </w:rPr>
        <w:t>Citation:</w:t>
      </w:r>
      <w:r w:rsidRPr="00E13321">
        <w:rPr>
          <w:rFonts w:ascii="Book Antiqua" w:hAnsi="Book Antiqua"/>
          <w:color w:val="000000" w:themeColor="text1"/>
          <w:sz w:val="24"/>
          <w:szCs w:val="24"/>
        </w:rPr>
        <w:t xml:space="preserve"> </w:t>
      </w:r>
      <w:r w:rsidR="0088790D" w:rsidRPr="00E13321">
        <w:rPr>
          <w:rFonts w:ascii="Book Antiqua" w:hAnsi="Book Antiqua"/>
          <w:color w:val="000000"/>
          <w:sz w:val="24"/>
          <w:szCs w:val="24"/>
        </w:rPr>
        <w:t xml:space="preserve">Basso V, Orry D, Fraisse J, Vincent J, Hennequin A, Bengrine L, Ghiringhelli F. </w:t>
      </w:r>
      <w:r w:rsidR="0088790D" w:rsidRPr="00E13321">
        <w:rPr>
          <w:rFonts w:ascii="Book Antiqua" w:hAnsi="Book Antiqua"/>
          <w:bCs/>
          <w:color w:val="000000"/>
          <w:sz w:val="24"/>
          <w:szCs w:val="24"/>
        </w:rPr>
        <w:t>Safety and efficacy of a docetaxel-5FU-oxaliplatin regimen with or without trastuzumab in neoadjuvant</w:t>
      </w:r>
      <w:r w:rsidR="0088790D" w:rsidRPr="00E13321">
        <w:rPr>
          <w:rStyle w:val="30"/>
          <w:rFonts w:ascii="Book Antiqua" w:hAnsi="Book Antiqua"/>
          <w:bCs/>
          <w:color w:val="000000"/>
        </w:rPr>
        <w:t xml:space="preserve"> </w:t>
      </w:r>
      <w:r w:rsidR="0088790D" w:rsidRPr="00E13321">
        <w:rPr>
          <w:rStyle w:val="highlight"/>
          <w:rFonts w:ascii="Book Antiqua" w:hAnsi="Book Antiqua"/>
          <w:bCs/>
          <w:color w:val="000000"/>
          <w:sz w:val="24"/>
          <w:szCs w:val="24"/>
        </w:rPr>
        <w:t>treatment of localized gastric</w:t>
      </w:r>
      <w:r w:rsidR="0088790D" w:rsidRPr="00E13321">
        <w:rPr>
          <w:rFonts w:ascii="Book Antiqua" w:hAnsi="Book Antiqua"/>
          <w:bCs/>
          <w:color w:val="000000"/>
          <w:sz w:val="24"/>
          <w:szCs w:val="24"/>
        </w:rPr>
        <w:t xml:space="preserve"> or gastroesophageal junction </w:t>
      </w:r>
      <w:r w:rsidR="0088790D" w:rsidRPr="00E13321">
        <w:rPr>
          <w:rStyle w:val="highlight"/>
          <w:rFonts w:ascii="Book Antiqua" w:hAnsi="Book Antiqua"/>
          <w:bCs/>
          <w:color w:val="000000"/>
          <w:sz w:val="24"/>
          <w:szCs w:val="24"/>
        </w:rPr>
        <w:t xml:space="preserve">cancer: </w:t>
      </w:r>
      <w:r w:rsidR="0088790D" w:rsidRPr="00E13321">
        <w:rPr>
          <w:rStyle w:val="highlight"/>
          <w:rFonts w:ascii="Book Antiqua" w:hAnsi="Book Antiqua"/>
          <w:bCs/>
          <w:caps/>
          <w:color w:val="000000"/>
          <w:sz w:val="24"/>
          <w:szCs w:val="24"/>
        </w:rPr>
        <w:t>a</w:t>
      </w:r>
      <w:r w:rsidR="0088790D" w:rsidRPr="00E13321">
        <w:rPr>
          <w:rStyle w:val="highlight"/>
          <w:rFonts w:ascii="Book Antiqua" w:hAnsi="Book Antiqua"/>
          <w:bCs/>
          <w:color w:val="000000"/>
          <w:sz w:val="24"/>
          <w:szCs w:val="24"/>
        </w:rPr>
        <w:t xml:space="preserve"> retrospective study. </w:t>
      </w:r>
      <w:r w:rsidR="0088790D" w:rsidRPr="00E13321">
        <w:rPr>
          <w:rStyle w:val="highlight"/>
          <w:rFonts w:ascii="Book Antiqua" w:hAnsi="Book Antiqua"/>
          <w:bCs/>
          <w:i/>
          <w:iCs/>
          <w:color w:val="000000"/>
          <w:sz w:val="24"/>
          <w:szCs w:val="24"/>
        </w:rPr>
        <w:t>World J Gastrointest Oncol</w:t>
      </w:r>
      <w:r w:rsidR="0088790D" w:rsidRPr="00E13321">
        <w:rPr>
          <w:rStyle w:val="highlight"/>
          <w:rFonts w:ascii="Book Antiqua" w:hAnsi="Book Antiqua"/>
          <w:bCs/>
          <w:color w:val="000000"/>
          <w:sz w:val="24"/>
          <w:szCs w:val="24"/>
        </w:rPr>
        <w:t xml:space="preserve"> </w:t>
      </w:r>
      <w:r w:rsidRPr="00E13321">
        <w:rPr>
          <w:rFonts w:ascii="Book Antiqua" w:hAnsi="Book Antiqua"/>
          <w:sz w:val="24"/>
          <w:szCs w:val="24"/>
        </w:rPr>
        <w:t>2019; 11(8): 634-641</w:t>
      </w:r>
    </w:p>
    <w:p w14:paraId="13B55128" w14:textId="71214FB0" w:rsidR="0031012A" w:rsidRPr="00E13321" w:rsidRDefault="0031012A" w:rsidP="0031012A">
      <w:pPr>
        <w:spacing w:line="360" w:lineRule="auto"/>
        <w:jc w:val="both"/>
        <w:rPr>
          <w:rFonts w:ascii="Book Antiqua" w:hAnsi="Book Antiqua"/>
          <w:sz w:val="24"/>
          <w:szCs w:val="24"/>
        </w:rPr>
      </w:pPr>
      <w:r w:rsidRPr="00E13321">
        <w:rPr>
          <w:rFonts w:ascii="Book Antiqua" w:hAnsi="Book Antiqua"/>
          <w:b/>
          <w:bCs/>
          <w:sz w:val="24"/>
          <w:szCs w:val="24"/>
        </w:rPr>
        <w:t xml:space="preserve">URL: </w:t>
      </w:r>
      <w:r w:rsidRPr="00E13321">
        <w:rPr>
          <w:rFonts w:ascii="Book Antiqua" w:hAnsi="Book Antiqua"/>
          <w:sz w:val="24"/>
          <w:szCs w:val="24"/>
        </w:rPr>
        <w:t xml:space="preserve">https://www.wjgnet.com/1948-5204/full/v11/i8/634.htm  </w:t>
      </w:r>
    </w:p>
    <w:p w14:paraId="2DF72ED1" w14:textId="64CD24ED" w:rsidR="0031012A" w:rsidRPr="00E13321" w:rsidRDefault="0031012A" w:rsidP="0031012A">
      <w:pPr>
        <w:spacing w:line="360" w:lineRule="auto"/>
        <w:jc w:val="both"/>
        <w:rPr>
          <w:rFonts w:ascii="Book Antiqua" w:eastAsiaTheme="minorEastAsia" w:hAnsi="Book Antiqua" w:cs="Arial"/>
          <w:b/>
          <w:sz w:val="24"/>
          <w:szCs w:val="24"/>
        </w:rPr>
      </w:pPr>
      <w:r w:rsidRPr="00E13321">
        <w:rPr>
          <w:rFonts w:ascii="Book Antiqua" w:hAnsi="Book Antiqua"/>
          <w:b/>
          <w:bCs/>
          <w:sz w:val="24"/>
          <w:szCs w:val="24"/>
        </w:rPr>
        <w:t xml:space="preserve">DOI: </w:t>
      </w:r>
      <w:r w:rsidRPr="00E13321">
        <w:rPr>
          <w:rFonts w:ascii="Book Antiqua" w:hAnsi="Book Antiqua"/>
          <w:sz w:val="24"/>
          <w:szCs w:val="24"/>
        </w:rPr>
        <w:t>https://dx.doi.org/10.4251/wjgo.v11.i8.634</w:t>
      </w:r>
    </w:p>
    <w:p w14:paraId="7244714F" w14:textId="72B87899" w:rsidR="005813DE" w:rsidRPr="00E13321" w:rsidRDefault="005813DE">
      <w:pPr>
        <w:spacing w:after="0" w:line="360" w:lineRule="auto"/>
        <w:jc w:val="both"/>
        <w:rPr>
          <w:rStyle w:val="highlight"/>
          <w:rFonts w:ascii="Book Antiqua" w:hAnsi="Book Antiqua"/>
          <w:bCs/>
          <w:color w:val="000000"/>
          <w:sz w:val="24"/>
          <w:szCs w:val="24"/>
        </w:rPr>
      </w:pPr>
    </w:p>
    <w:p w14:paraId="46BBE82C" w14:textId="77777777" w:rsidR="005813DE" w:rsidRPr="00E13321" w:rsidRDefault="005813DE">
      <w:pPr>
        <w:spacing w:after="0" w:line="360" w:lineRule="auto"/>
        <w:jc w:val="both"/>
        <w:rPr>
          <w:rFonts w:ascii="Book Antiqua" w:hAnsi="Book Antiqua"/>
          <w:b/>
          <w:bCs/>
          <w:iCs/>
          <w:color w:val="000000"/>
          <w:sz w:val="24"/>
          <w:szCs w:val="24"/>
        </w:rPr>
      </w:pPr>
    </w:p>
    <w:p w14:paraId="31C6BF38" w14:textId="77777777" w:rsidR="005813DE" w:rsidRPr="00E13321" w:rsidRDefault="0088790D">
      <w:pPr>
        <w:spacing w:after="0" w:line="360" w:lineRule="auto"/>
        <w:jc w:val="both"/>
        <w:rPr>
          <w:rFonts w:ascii="Book Antiqua" w:hAnsi="Book Antiqua"/>
          <w:b/>
          <w:bCs/>
          <w:color w:val="000000"/>
          <w:sz w:val="24"/>
          <w:szCs w:val="24"/>
        </w:rPr>
      </w:pPr>
      <w:r w:rsidRPr="00E13321">
        <w:rPr>
          <w:rFonts w:ascii="Book Antiqua" w:hAnsi="Book Antiqua"/>
          <w:b/>
          <w:bCs/>
          <w:caps/>
          <w:color w:val="000000"/>
          <w:sz w:val="24"/>
          <w:szCs w:val="24"/>
        </w:rPr>
        <w:t>Introduction</w:t>
      </w:r>
    </w:p>
    <w:p w14:paraId="30A29C04" w14:textId="77777777" w:rsidR="005813DE" w:rsidRPr="00E13321" w:rsidRDefault="0088790D">
      <w:pPr>
        <w:spacing w:after="0" w:line="360" w:lineRule="auto"/>
        <w:jc w:val="both"/>
        <w:rPr>
          <w:rFonts w:ascii="Book Antiqua" w:hAnsi="Book Antiqua"/>
          <w:color w:val="000000"/>
          <w:sz w:val="24"/>
          <w:szCs w:val="24"/>
        </w:rPr>
      </w:pPr>
      <w:r w:rsidRPr="00E13321">
        <w:rPr>
          <w:rFonts w:ascii="Book Antiqua" w:hAnsi="Book Antiqua"/>
          <w:color w:val="000000"/>
          <w:sz w:val="24"/>
          <w:szCs w:val="24"/>
        </w:rPr>
        <w:t>Gastric cancer (GC) is a major problem of health worldwide. In 2018, 783000 patients died of a GC, making it the third leading cause of cancer death</w:t>
      </w:r>
      <w:r w:rsidRPr="00E13321">
        <w:rPr>
          <w:rFonts w:ascii="Book Antiqua" w:hAnsi="Book Antiqua"/>
          <w:color w:val="000000"/>
          <w:sz w:val="24"/>
          <w:szCs w:val="24"/>
          <w:vertAlign w:val="superscript"/>
        </w:rPr>
        <w:t>[1]</w:t>
      </w:r>
      <w:r w:rsidRPr="00E13321">
        <w:rPr>
          <w:rFonts w:ascii="Book Antiqua" w:hAnsi="Book Antiqua"/>
          <w:color w:val="000000"/>
          <w:spacing w:val="3"/>
          <w:sz w:val="24"/>
          <w:szCs w:val="24"/>
        </w:rPr>
        <w:t>.</w:t>
      </w:r>
      <w:r w:rsidRPr="00E13321">
        <w:rPr>
          <w:rFonts w:ascii="Book Antiqua" w:hAnsi="Book Antiqua"/>
          <w:color w:val="000000"/>
          <w:sz w:val="24"/>
          <w:szCs w:val="24"/>
          <w:vertAlign w:val="superscript"/>
        </w:rPr>
        <w:t xml:space="preserve"> </w:t>
      </w:r>
      <w:r w:rsidRPr="00E13321">
        <w:rPr>
          <w:rFonts w:ascii="Book Antiqua" w:hAnsi="Book Antiqua"/>
          <w:color w:val="000000"/>
          <w:sz w:val="24"/>
          <w:szCs w:val="24"/>
        </w:rPr>
        <w:t>Upon metastatic disease, the prognosis is poor with less than 2 years of median survival, even with new chemotherapeutic approaches. Prognosis is better in localized tumours and surgery can cure about 90% of T1 N0 tumours</w:t>
      </w:r>
      <w:r w:rsidRPr="00E13321">
        <w:rPr>
          <w:rFonts w:ascii="Book Antiqua" w:hAnsi="Book Antiqua"/>
          <w:color w:val="000000"/>
          <w:sz w:val="24"/>
          <w:szCs w:val="24"/>
          <w:vertAlign w:val="superscript"/>
        </w:rPr>
        <w:t>[1]</w:t>
      </w:r>
      <w:r w:rsidRPr="00E13321">
        <w:rPr>
          <w:rFonts w:ascii="Book Antiqua" w:hAnsi="Book Antiqua"/>
          <w:color w:val="000000"/>
          <w:spacing w:val="3"/>
          <w:sz w:val="24"/>
          <w:szCs w:val="24"/>
        </w:rPr>
        <w:t>.</w:t>
      </w:r>
      <w:r w:rsidRPr="00E13321">
        <w:rPr>
          <w:rFonts w:ascii="Book Antiqua" w:hAnsi="Book Antiqua"/>
          <w:color w:val="000000"/>
          <w:sz w:val="24"/>
          <w:szCs w:val="24"/>
        </w:rPr>
        <w:t xml:space="preserve"> For more advanced tumours, the prognosis remains poor. Standard of care involves a perioperative treatment. With such treatment, the 5-year relapse free survival reaches 30%-40%. For a long time, based on MAGIC trial and on FFCD 9703 phase 3 study, the standard treatment was association of fluoropyrimidin plus platin with or without epirubicin</w:t>
      </w:r>
      <w:r w:rsidRPr="00E13321">
        <w:rPr>
          <w:rFonts w:ascii="Book Antiqua" w:hAnsi="Book Antiqua"/>
          <w:color w:val="000000"/>
          <w:sz w:val="24"/>
          <w:szCs w:val="24"/>
          <w:vertAlign w:val="superscript"/>
        </w:rPr>
        <w:t>[2,3]</w:t>
      </w:r>
      <w:r w:rsidRPr="00E13321">
        <w:rPr>
          <w:rFonts w:ascii="Book Antiqua" w:hAnsi="Book Antiqua"/>
          <w:color w:val="000000"/>
          <w:sz w:val="24"/>
          <w:szCs w:val="24"/>
        </w:rPr>
        <w:t>. Such therapies improve 5-year relapse free survival of around 20% with surgery only and around 35% with perioperative chemotherapy.</w:t>
      </w:r>
    </w:p>
    <w:p w14:paraId="694802AB" w14:textId="77777777" w:rsidR="005813DE" w:rsidRPr="00E13321" w:rsidRDefault="0088790D">
      <w:pPr>
        <w:spacing w:after="0" w:line="360" w:lineRule="auto"/>
        <w:ind w:firstLineChars="100" w:firstLine="240"/>
        <w:jc w:val="both"/>
        <w:rPr>
          <w:rFonts w:ascii="Book Antiqua" w:hAnsi="Book Antiqua"/>
          <w:color w:val="000000"/>
          <w:sz w:val="24"/>
          <w:szCs w:val="24"/>
        </w:rPr>
      </w:pPr>
      <w:r w:rsidRPr="00E13321">
        <w:rPr>
          <w:rFonts w:ascii="Book Antiqua" w:hAnsi="Book Antiqua"/>
          <w:color w:val="000000"/>
          <w:sz w:val="24"/>
          <w:szCs w:val="24"/>
        </w:rPr>
        <w:t>Recently, a new combination of platin and taxane improved outcome in patients with metastatic disease. In addition, usage of trastuzumab demonstrated its efficacy in first line of metastatic GC with HER2 overexpressing tumour</w:t>
      </w:r>
      <w:r w:rsidRPr="00E13321">
        <w:rPr>
          <w:rFonts w:ascii="Book Antiqua" w:hAnsi="Book Antiqua"/>
          <w:color w:val="000000"/>
          <w:sz w:val="24"/>
          <w:szCs w:val="24"/>
          <w:vertAlign w:val="superscript"/>
        </w:rPr>
        <w:t>[4]</w:t>
      </w:r>
      <w:r w:rsidRPr="00E13321">
        <w:rPr>
          <w:rFonts w:ascii="Book Antiqua" w:hAnsi="Book Antiqua"/>
          <w:color w:val="000000"/>
          <w:sz w:val="24"/>
          <w:szCs w:val="24"/>
        </w:rPr>
        <w:t>. Such HER2 overexpressing tumour represents around 20% of GCs</w:t>
      </w:r>
      <w:r w:rsidRPr="00E13321">
        <w:rPr>
          <w:rFonts w:ascii="Book Antiqua" w:hAnsi="Book Antiqua"/>
          <w:color w:val="000000"/>
          <w:sz w:val="24"/>
          <w:szCs w:val="24"/>
          <w:vertAlign w:val="superscript"/>
        </w:rPr>
        <w:t>[5]</w:t>
      </w:r>
      <w:r w:rsidRPr="00E13321">
        <w:rPr>
          <w:rFonts w:ascii="Book Antiqua" w:hAnsi="Book Antiqua"/>
          <w:color w:val="000000"/>
          <w:sz w:val="24"/>
          <w:szCs w:val="24"/>
        </w:rPr>
        <w:t>. German cooperative group developed a taxane based chemotherapy protocol called FLOT which was tested in perioperative setting. Such therapy gave better response rates than platin based chemotherapies and improved relapse free survival</w:t>
      </w:r>
      <w:r w:rsidRPr="00E13321">
        <w:rPr>
          <w:rFonts w:ascii="Book Antiqua" w:hAnsi="Book Antiqua"/>
          <w:color w:val="000000"/>
          <w:sz w:val="24"/>
          <w:szCs w:val="24"/>
          <w:vertAlign w:val="superscript"/>
        </w:rPr>
        <w:t>[6,7]</w:t>
      </w:r>
      <w:r w:rsidRPr="00E13321">
        <w:rPr>
          <w:rFonts w:ascii="Book Antiqua" w:eastAsia="Times New Roman" w:hAnsi="Book Antiqua"/>
          <w:color w:val="000000"/>
          <w:sz w:val="24"/>
          <w:szCs w:val="24"/>
          <w:lang w:eastAsia="fr-FR"/>
        </w:rPr>
        <w:t>.</w:t>
      </w:r>
      <w:r w:rsidRPr="00E13321">
        <w:rPr>
          <w:rFonts w:ascii="Book Antiqua" w:hAnsi="Book Antiqua"/>
          <w:color w:val="000000"/>
          <w:sz w:val="24"/>
          <w:szCs w:val="24"/>
        </w:rPr>
        <w:t xml:space="preserve"> In France, an alternative protocol called TeFOX using 5-FU in a 46h continuous infusion at the dose of 2400 mg/m</w:t>
      </w:r>
      <w:r w:rsidRPr="00E13321">
        <w:rPr>
          <w:rFonts w:ascii="Book Antiqua" w:hAnsi="Book Antiqua"/>
          <w:color w:val="000000"/>
          <w:sz w:val="24"/>
          <w:szCs w:val="24"/>
          <w:vertAlign w:val="superscript"/>
        </w:rPr>
        <w:t>2</w:t>
      </w:r>
      <w:r w:rsidRPr="00E13321">
        <w:rPr>
          <w:rFonts w:ascii="Book Antiqua" w:hAnsi="Book Antiqua"/>
          <w:color w:val="000000"/>
          <w:sz w:val="24"/>
          <w:szCs w:val="24"/>
        </w:rPr>
        <w:t>,</w:t>
      </w:r>
      <w:r w:rsidRPr="00E13321">
        <w:rPr>
          <w:rFonts w:ascii="Book Antiqua" w:hAnsi="Book Antiqua"/>
          <w:color w:val="000000"/>
          <w:sz w:val="24"/>
          <w:szCs w:val="24"/>
          <w:vertAlign w:val="superscript"/>
        </w:rPr>
        <w:t xml:space="preserve"> </w:t>
      </w:r>
      <w:r w:rsidRPr="00E13321">
        <w:rPr>
          <w:rFonts w:ascii="Book Antiqua" w:hAnsi="Book Antiqua"/>
          <w:color w:val="000000"/>
          <w:sz w:val="24"/>
          <w:szCs w:val="24"/>
        </w:rPr>
        <w:t>instead of 24 h continuous infusion at the dose of 2600 mg/m</w:t>
      </w:r>
      <w:r w:rsidRPr="00E13321">
        <w:rPr>
          <w:rFonts w:ascii="Book Antiqua" w:hAnsi="Book Antiqua"/>
          <w:color w:val="000000"/>
          <w:sz w:val="24"/>
          <w:szCs w:val="24"/>
          <w:vertAlign w:val="superscript"/>
        </w:rPr>
        <w:t xml:space="preserve">2 </w:t>
      </w:r>
      <w:r w:rsidRPr="00E13321">
        <w:rPr>
          <w:rFonts w:ascii="Book Antiqua" w:hAnsi="Book Antiqua"/>
          <w:color w:val="000000"/>
          <w:sz w:val="24"/>
          <w:szCs w:val="24"/>
        </w:rPr>
        <w:t>in FLOT regimen, was developed in metastatic disease. TeFOX is safe and give impressive response rates in first line metastatic disease</w:t>
      </w:r>
      <w:r w:rsidRPr="00E13321">
        <w:rPr>
          <w:rFonts w:ascii="Book Antiqua" w:hAnsi="Book Antiqua"/>
          <w:color w:val="000000"/>
          <w:sz w:val="24"/>
          <w:szCs w:val="24"/>
          <w:vertAlign w:val="superscript"/>
        </w:rPr>
        <w:t>[8]</w:t>
      </w:r>
      <w:r w:rsidRPr="00E13321">
        <w:rPr>
          <w:rFonts w:ascii="Book Antiqua" w:hAnsi="Book Antiqua"/>
          <w:color w:val="000000"/>
          <w:sz w:val="24"/>
          <w:szCs w:val="24"/>
        </w:rPr>
        <w:t>. This regimen in a retrospective study gave disease control rate of 87.6%, respectively. Median PFS and OS observed in this study were 9.7 months and 14.3 months respectively. In addition, 40% of metastatic patients could have secondary resection. The toxic of the TeFOX regimen is modest with less haematological toxicity than observed with the FLOT regimen</w:t>
      </w:r>
      <w:r w:rsidRPr="00E13321">
        <w:rPr>
          <w:rFonts w:ascii="Book Antiqua" w:hAnsi="Book Antiqua"/>
          <w:color w:val="000000"/>
          <w:sz w:val="24"/>
          <w:szCs w:val="24"/>
          <w:vertAlign w:val="superscript"/>
        </w:rPr>
        <w:t>[8]</w:t>
      </w:r>
      <w:r w:rsidRPr="00E13321">
        <w:rPr>
          <w:rFonts w:ascii="Book Antiqua" w:hAnsi="Book Antiqua"/>
          <w:color w:val="000000"/>
          <w:sz w:val="24"/>
          <w:szCs w:val="24"/>
        </w:rPr>
        <w:t xml:space="preserve">. </w:t>
      </w:r>
    </w:p>
    <w:p w14:paraId="0A9B4353" w14:textId="77777777" w:rsidR="005813DE" w:rsidRPr="00E13321" w:rsidRDefault="0088790D">
      <w:pPr>
        <w:spacing w:after="0" w:line="360" w:lineRule="auto"/>
        <w:ind w:firstLineChars="100" w:firstLine="240"/>
        <w:jc w:val="both"/>
        <w:rPr>
          <w:rFonts w:ascii="Book Antiqua" w:hAnsi="Book Antiqua"/>
          <w:color w:val="000000"/>
          <w:sz w:val="24"/>
          <w:szCs w:val="24"/>
        </w:rPr>
      </w:pPr>
      <w:r w:rsidRPr="00E13321">
        <w:rPr>
          <w:rFonts w:ascii="Book Antiqua" w:hAnsi="Book Antiqua"/>
          <w:color w:val="000000"/>
          <w:sz w:val="24"/>
          <w:szCs w:val="24"/>
        </w:rPr>
        <w:t>Based on these results, neoadjuvant therapy of GC was modified in our centre and patients received TeFOX or TeFOX with trastuzumab if they had a HER2 overexpressing tumour. Our objective is to describe the safety and the efficacy of this protocol.</w:t>
      </w:r>
    </w:p>
    <w:p w14:paraId="01727B88" w14:textId="77777777" w:rsidR="005813DE" w:rsidRPr="00E13321" w:rsidRDefault="005813DE">
      <w:pPr>
        <w:spacing w:after="0" w:line="360" w:lineRule="auto"/>
        <w:jc w:val="both"/>
        <w:rPr>
          <w:rFonts w:ascii="Book Antiqua" w:hAnsi="Book Antiqua"/>
          <w:color w:val="000000"/>
          <w:sz w:val="24"/>
          <w:szCs w:val="24"/>
        </w:rPr>
      </w:pPr>
    </w:p>
    <w:p w14:paraId="1FF9C29C" w14:textId="77777777" w:rsidR="005813DE" w:rsidRPr="00E13321" w:rsidRDefault="0088790D">
      <w:pPr>
        <w:spacing w:after="0" w:line="360" w:lineRule="auto"/>
        <w:jc w:val="both"/>
        <w:rPr>
          <w:rFonts w:ascii="Book Antiqua" w:eastAsia="Times New Roman" w:hAnsi="Book Antiqua"/>
          <w:b/>
          <w:bCs/>
          <w:caps/>
          <w:color w:val="000000"/>
          <w:kern w:val="36"/>
          <w:sz w:val="24"/>
          <w:szCs w:val="24"/>
          <w:lang w:eastAsia="fr-FR"/>
        </w:rPr>
      </w:pPr>
      <w:r w:rsidRPr="00E13321">
        <w:rPr>
          <w:rFonts w:ascii="Book Antiqua" w:eastAsia="Times New Roman" w:hAnsi="Book Antiqua"/>
          <w:b/>
          <w:bCs/>
          <w:caps/>
          <w:color w:val="000000"/>
          <w:kern w:val="36"/>
          <w:sz w:val="24"/>
          <w:szCs w:val="24"/>
          <w:lang w:eastAsia="fr-FR"/>
        </w:rPr>
        <w:t>MATERIALS AND METHODS</w:t>
      </w:r>
    </w:p>
    <w:p w14:paraId="4BABA8F9" w14:textId="77777777" w:rsidR="005813DE" w:rsidRPr="00E13321" w:rsidRDefault="0088790D">
      <w:pPr>
        <w:spacing w:after="0" w:line="360" w:lineRule="auto"/>
        <w:jc w:val="both"/>
        <w:rPr>
          <w:rFonts w:ascii="Book Antiqua" w:hAnsi="Book Antiqua"/>
          <w:b/>
          <w:i/>
          <w:iCs/>
          <w:color w:val="000000"/>
          <w:sz w:val="24"/>
          <w:szCs w:val="24"/>
        </w:rPr>
      </w:pPr>
      <w:r w:rsidRPr="00E13321">
        <w:rPr>
          <w:rFonts w:ascii="Book Antiqua" w:hAnsi="Book Antiqua"/>
          <w:b/>
          <w:i/>
          <w:iCs/>
          <w:color w:val="000000"/>
          <w:sz w:val="24"/>
          <w:szCs w:val="24"/>
        </w:rPr>
        <w:t>Patients</w:t>
      </w:r>
    </w:p>
    <w:p w14:paraId="137E36AF" w14:textId="77777777" w:rsidR="005813DE" w:rsidRPr="00E13321" w:rsidRDefault="0088790D">
      <w:pPr>
        <w:spacing w:after="0" w:line="360" w:lineRule="auto"/>
        <w:jc w:val="both"/>
        <w:rPr>
          <w:rFonts w:ascii="Book Antiqua" w:hAnsi="Book Antiqua"/>
          <w:color w:val="000000"/>
          <w:sz w:val="24"/>
          <w:szCs w:val="24"/>
        </w:rPr>
      </w:pPr>
      <w:r w:rsidRPr="00E13321">
        <w:rPr>
          <w:rFonts w:ascii="Book Antiqua" w:hAnsi="Book Antiqua"/>
          <w:color w:val="000000"/>
          <w:sz w:val="24"/>
          <w:szCs w:val="24"/>
        </w:rPr>
        <w:t>All consecutive patients treated for histologically confirmed, previously untreated, non-metastatic, operable adenocarcinoma of the stomach or gastroesophageal junction between May 15, 2013 and August 29, 2018 in Centre Georges Francois Leclerc, were included. Follow-up ended in December 2018.</w:t>
      </w:r>
    </w:p>
    <w:p w14:paraId="6C0487AD" w14:textId="77777777" w:rsidR="005813DE" w:rsidRPr="00E13321" w:rsidRDefault="0088790D">
      <w:pPr>
        <w:spacing w:after="0" w:line="360" w:lineRule="auto"/>
        <w:ind w:firstLineChars="100" w:firstLine="240"/>
        <w:jc w:val="both"/>
        <w:rPr>
          <w:rStyle w:val="ilfuvd"/>
          <w:rFonts w:ascii="Book Antiqua" w:hAnsi="Book Antiqua"/>
          <w:color w:val="000000"/>
          <w:sz w:val="24"/>
          <w:szCs w:val="24"/>
        </w:rPr>
      </w:pPr>
      <w:r w:rsidRPr="00E13321">
        <w:rPr>
          <w:rFonts w:ascii="Book Antiqua" w:hAnsi="Book Antiqua"/>
          <w:color w:val="000000"/>
          <w:sz w:val="24"/>
          <w:szCs w:val="24"/>
        </w:rPr>
        <w:t xml:space="preserve">Eligibility criteria for inclusion in the study were: (1) local gastric or gastroesophageal junction (GEJ) adenocarcinoma, without metastases detected following CT-scan and TEP-scan; (2) the possibility of curative resection as assessed by a digestive surgery multidisciplinary staff; (3) WHO performance status of 0 or 1; and (4) absence of previous cancer therapy. The study was conducted in accordance with the Declaration of Helsinki. All participating patients fully agreed with the use of their medical records in clinical research. The study was performed in agreement with the </w:t>
      </w:r>
      <w:r w:rsidRPr="00E13321">
        <w:rPr>
          <w:rStyle w:val="ilfuvd"/>
          <w:rFonts w:ascii="Book Antiqua" w:hAnsi="Book Antiqua"/>
          <w:color w:val="000000"/>
          <w:sz w:val="24"/>
          <w:szCs w:val="24"/>
        </w:rPr>
        <w:t>General Data Protection Regulation European law.</w:t>
      </w:r>
    </w:p>
    <w:p w14:paraId="04D5E938" w14:textId="77777777" w:rsidR="005813DE" w:rsidRPr="00E13321" w:rsidRDefault="005813DE">
      <w:pPr>
        <w:spacing w:after="0" w:line="360" w:lineRule="auto"/>
        <w:ind w:firstLineChars="100" w:firstLine="240"/>
        <w:jc w:val="both"/>
        <w:rPr>
          <w:rFonts w:ascii="Book Antiqua" w:hAnsi="Book Antiqua"/>
          <w:color w:val="000000"/>
          <w:sz w:val="24"/>
          <w:szCs w:val="24"/>
        </w:rPr>
      </w:pPr>
    </w:p>
    <w:p w14:paraId="1D60B614" w14:textId="77777777" w:rsidR="005813DE" w:rsidRPr="00E13321" w:rsidRDefault="0088790D">
      <w:pPr>
        <w:spacing w:after="0" w:line="360" w:lineRule="auto"/>
        <w:jc w:val="both"/>
        <w:rPr>
          <w:rFonts w:ascii="Book Antiqua" w:hAnsi="Book Antiqua"/>
          <w:b/>
          <w:i/>
          <w:iCs/>
          <w:color w:val="000000"/>
          <w:sz w:val="24"/>
          <w:szCs w:val="24"/>
        </w:rPr>
      </w:pPr>
      <w:r w:rsidRPr="00E13321">
        <w:rPr>
          <w:rFonts w:ascii="Book Antiqua" w:hAnsi="Book Antiqua"/>
          <w:b/>
          <w:i/>
          <w:iCs/>
          <w:color w:val="000000"/>
          <w:sz w:val="24"/>
          <w:szCs w:val="24"/>
        </w:rPr>
        <w:t>Treatment</w:t>
      </w:r>
    </w:p>
    <w:p w14:paraId="2235E19A" w14:textId="77777777" w:rsidR="005813DE" w:rsidRPr="00E13321" w:rsidRDefault="0088790D">
      <w:pPr>
        <w:spacing w:after="0" w:line="360" w:lineRule="auto"/>
        <w:jc w:val="both"/>
        <w:rPr>
          <w:rFonts w:ascii="Book Antiqua" w:hAnsi="Book Antiqua"/>
          <w:color w:val="000000"/>
          <w:sz w:val="24"/>
          <w:szCs w:val="24"/>
          <w:lang w:val="en-US"/>
        </w:rPr>
      </w:pPr>
      <w:r w:rsidRPr="00E13321">
        <w:rPr>
          <w:rFonts w:ascii="Book Antiqua" w:hAnsi="Book Antiqua"/>
          <w:color w:val="000000"/>
          <w:sz w:val="24"/>
          <w:szCs w:val="24"/>
        </w:rPr>
        <w:t>Treatment consisted of an intravenous injection of TeFOX regimen with or without trastuzumab for patients with HER2 overexpressing tumours. TeFOX consisted of docetaxel (50</w:t>
      </w:r>
      <w:r w:rsidRPr="00E13321">
        <w:rPr>
          <w:rFonts w:ascii="Times New Roman" w:hAnsi="Times New Roman"/>
          <w:color w:val="000000"/>
          <w:sz w:val="24"/>
          <w:szCs w:val="24"/>
        </w:rPr>
        <w:t> </w:t>
      </w:r>
      <w:r w:rsidRPr="00E13321">
        <w:rPr>
          <w:rFonts w:ascii="Book Antiqua" w:hAnsi="Book Antiqua"/>
          <w:color w:val="000000"/>
          <w:sz w:val="24"/>
          <w:szCs w:val="24"/>
        </w:rPr>
        <w:t>mg/m</w:t>
      </w:r>
      <w:r w:rsidRPr="00E13321">
        <w:rPr>
          <w:rFonts w:ascii="Book Antiqua" w:hAnsi="Book Antiqua"/>
          <w:color w:val="000000"/>
          <w:sz w:val="24"/>
          <w:szCs w:val="24"/>
          <w:vertAlign w:val="superscript"/>
        </w:rPr>
        <w:t>2</w:t>
      </w:r>
      <w:r w:rsidRPr="00E13321">
        <w:rPr>
          <w:rFonts w:ascii="Book Antiqua" w:hAnsi="Book Antiqua"/>
          <w:color w:val="000000"/>
          <w:sz w:val="24"/>
          <w:szCs w:val="24"/>
        </w:rPr>
        <w:t>), oxaliplatin (85</w:t>
      </w:r>
      <w:r w:rsidRPr="00E13321">
        <w:rPr>
          <w:rFonts w:ascii="Times New Roman" w:hAnsi="Times New Roman"/>
          <w:color w:val="000000"/>
          <w:sz w:val="24"/>
          <w:szCs w:val="24"/>
        </w:rPr>
        <w:t> </w:t>
      </w:r>
      <w:r w:rsidRPr="00E13321">
        <w:rPr>
          <w:rFonts w:ascii="Book Antiqua" w:hAnsi="Book Antiqua"/>
          <w:color w:val="000000"/>
          <w:sz w:val="24"/>
          <w:szCs w:val="24"/>
        </w:rPr>
        <w:t>mg/m</w:t>
      </w:r>
      <w:r w:rsidRPr="00E13321">
        <w:rPr>
          <w:rFonts w:ascii="Book Antiqua" w:hAnsi="Book Antiqua"/>
          <w:color w:val="000000"/>
          <w:sz w:val="24"/>
          <w:szCs w:val="24"/>
          <w:vertAlign w:val="superscript"/>
        </w:rPr>
        <w:t>2</w:t>
      </w:r>
      <w:r w:rsidRPr="00E13321">
        <w:rPr>
          <w:rFonts w:ascii="Book Antiqua" w:hAnsi="Book Antiqua"/>
          <w:color w:val="000000"/>
          <w:sz w:val="24"/>
          <w:szCs w:val="24"/>
        </w:rPr>
        <w:t>), and leucovorin (400</w:t>
      </w:r>
      <w:r w:rsidRPr="00E13321">
        <w:rPr>
          <w:rFonts w:ascii="Times New Roman" w:hAnsi="Times New Roman"/>
          <w:color w:val="000000"/>
          <w:sz w:val="24"/>
          <w:szCs w:val="24"/>
        </w:rPr>
        <w:t> </w:t>
      </w:r>
      <w:r w:rsidRPr="00E13321">
        <w:rPr>
          <w:rFonts w:ascii="Book Antiqua" w:hAnsi="Book Antiqua"/>
          <w:color w:val="000000"/>
          <w:sz w:val="24"/>
          <w:szCs w:val="24"/>
        </w:rPr>
        <w:t>mg/m</w:t>
      </w:r>
      <w:r w:rsidRPr="00E13321">
        <w:rPr>
          <w:rFonts w:ascii="Book Antiqua" w:hAnsi="Book Antiqua"/>
          <w:color w:val="000000"/>
          <w:sz w:val="24"/>
          <w:szCs w:val="24"/>
          <w:vertAlign w:val="superscript"/>
        </w:rPr>
        <w:t>2</w:t>
      </w:r>
      <w:r w:rsidRPr="00E13321">
        <w:rPr>
          <w:rFonts w:ascii="Book Antiqua" w:hAnsi="Book Antiqua"/>
          <w:color w:val="000000"/>
          <w:sz w:val="24"/>
          <w:szCs w:val="24"/>
        </w:rPr>
        <w:t>) F5U bolus (400</w:t>
      </w:r>
      <w:r w:rsidRPr="00E13321">
        <w:rPr>
          <w:rFonts w:ascii="Times New Roman" w:hAnsi="Times New Roman"/>
          <w:color w:val="000000"/>
          <w:sz w:val="24"/>
          <w:szCs w:val="24"/>
        </w:rPr>
        <w:t> </w:t>
      </w:r>
      <w:r w:rsidRPr="00E13321">
        <w:rPr>
          <w:rFonts w:ascii="Book Antiqua" w:hAnsi="Book Antiqua"/>
          <w:color w:val="000000"/>
          <w:sz w:val="24"/>
          <w:szCs w:val="24"/>
        </w:rPr>
        <w:t>mg/m</w:t>
      </w:r>
      <w:r w:rsidRPr="00E13321">
        <w:rPr>
          <w:rFonts w:ascii="Book Antiqua" w:hAnsi="Book Antiqua"/>
          <w:color w:val="000000"/>
          <w:sz w:val="24"/>
          <w:szCs w:val="24"/>
          <w:vertAlign w:val="superscript"/>
        </w:rPr>
        <w:t>2</w:t>
      </w:r>
      <w:r w:rsidRPr="00E13321">
        <w:rPr>
          <w:rFonts w:ascii="Book Antiqua" w:hAnsi="Book Antiqua"/>
          <w:color w:val="000000"/>
          <w:sz w:val="24"/>
          <w:szCs w:val="24"/>
        </w:rPr>
        <w:t>) on day 1, followed by continuous infusion of 5FU for 46</w:t>
      </w:r>
      <w:r w:rsidRPr="00E13321">
        <w:rPr>
          <w:rFonts w:ascii="Times New Roman" w:hAnsi="Times New Roman"/>
          <w:color w:val="000000"/>
          <w:sz w:val="24"/>
          <w:szCs w:val="24"/>
        </w:rPr>
        <w:t> </w:t>
      </w:r>
      <w:r w:rsidRPr="00E13321">
        <w:rPr>
          <w:rFonts w:ascii="Book Antiqua" w:hAnsi="Book Antiqua"/>
          <w:color w:val="000000"/>
          <w:sz w:val="24"/>
          <w:szCs w:val="24"/>
        </w:rPr>
        <w:t>h (2400</w:t>
      </w:r>
      <w:r w:rsidRPr="00E13321">
        <w:rPr>
          <w:rFonts w:ascii="Times New Roman" w:hAnsi="Times New Roman"/>
          <w:color w:val="000000"/>
          <w:sz w:val="24"/>
          <w:szCs w:val="24"/>
        </w:rPr>
        <w:t> </w:t>
      </w:r>
      <w:r w:rsidRPr="00E13321">
        <w:rPr>
          <w:rFonts w:ascii="Book Antiqua" w:hAnsi="Book Antiqua"/>
          <w:color w:val="000000"/>
          <w:sz w:val="24"/>
          <w:szCs w:val="24"/>
        </w:rPr>
        <w:t>mg/m</w:t>
      </w:r>
      <w:r w:rsidRPr="00E13321">
        <w:rPr>
          <w:rFonts w:ascii="Book Antiqua" w:hAnsi="Book Antiqua"/>
          <w:color w:val="000000"/>
          <w:sz w:val="24"/>
          <w:szCs w:val="24"/>
          <w:vertAlign w:val="superscript"/>
        </w:rPr>
        <w:t>2</w:t>
      </w:r>
      <w:r w:rsidRPr="00E13321">
        <w:rPr>
          <w:rFonts w:ascii="Book Antiqua" w:hAnsi="Book Antiqua"/>
          <w:color w:val="000000"/>
          <w:sz w:val="24"/>
          <w:szCs w:val="24"/>
        </w:rPr>
        <w:t xml:space="preserve">) administered every 2 wk. Trastuzumab was given at 4mg/kg every two weeks. Prophylactic treatments included corticosteroids and antiemetic’s given accordingly to standard recommendations. G-CSF, a hematopoietic factor, was systematically given as a prophylactic treatment in all patients (Filgrastin 34 MUI/d during 4 d, starting the day after the end of 5FU infusion). </w:t>
      </w:r>
      <w:r w:rsidRPr="00E13321">
        <w:rPr>
          <w:rFonts w:ascii="Book Antiqua" w:hAnsi="Book Antiqua"/>
          <w:color w:val="000000"/>
          <w:sz w:val="24"/>
          <w:szCs w:val="24"/>
          <w:lang w:val="en-US"/>
        </w:rPr>
        <w:t xml:space="preserve">The number of cycles of chemotherapy expected was 6 before and after surgery. </w:t>
      </w:r>
      <w:r w:rsidRPr="00E13321">
        <w:rPr>
          <w:rFonts w:ascii="Book Antiqua" w:hAnsi="Book Antiqua"/>
          <w:color w:val="000000"/>
          <w:sz w:val="24"/>
          <w:szCs w:val="24"/>
        </w:rPr>
        <w:t>Dose reductions and treatment discontinuations were performed according to physician decision, based on toxicity.</w:t>
      </w:r>
      <w:r w:rsidRPr="00E13321">
        <w:rPr>
          <w:rFonts w:ascii="Book Antiqua" w:hAnsi="Book Antiqua"/>
          <w:color w:val="000000"/>
          <w:sz w:val="24"/>
          <w:szCs w:val="24"/>
          <w:lang w:val="en-US"/>
        </w:rPr>
        <w:t xml:space="preserve"> </w:t>
      </w:r>
    </w:p>
    <w:p w14:paraId="081C9D9A" w14:textId="77777777" w:rsidR="005813DE" w:rsidRPr="00E13321" w:rsidRDefault="005813DE">
      <w:pPr>
        <w:keepNext/>
        <w:spacing w:after="0" w:line="360" w:lineRule="auto"/>
        <w:jc w:val="both"/>
        <w:rPr>
          <w:rFonts w:ascii="Book Antiqua" w:hAnsi="Book Antiqua"/>
          <w:b/>
          <w:color w:val="000000"/>
          <w:sz w:val="24"/>
          <w:szCs w:val="24"/>
        </w:rPr>
      </w:pPr>
    </w:p>
    <w:p w14:paraId="4CD6C974" w14:textId="77777777" w:rsidR="005813DE" w:rsidRPr="00E13321" w:rsidRDefault="0088790D">
      <w:pPr>
        <w:keepNext/>
        <w:spacing w:after="0" w:line="360" w:lineRule="auto"/>
        <w:jc w:val="both"/>
        <w:rPr>
          <w:rFonts w:ascii="Book Antiqua" w:hAnsi="Book Antiqua"/>
          <w:b/>
          <w:i/>
          <w:iCs/>
          <w:color w:val="000000"/>
          <w:sz w:val="24"/>
          <w:szCs w:val="24"/>
        </w:rPr>
      </w:pPr>
      <w:r w:rsidRPr="00E13321">
        <w:rPr>
          <w:rFonts w:ascii="Book Antiqua" w:hAnsi="Book Antiqua"/>
          <w:b/>
          <w:i/>
          <w:iCs/>
          <w:color w:val="000000"/>
          <w:sz w:val="24"/>
          <w:szCs w:val="24"/>
        </w:rPr>
        <w:t>Safety</w:t>
      </w:r>
    </w:p>
    <w:p w14:paraId="66FB3CEE" w14:textId="77777777" w:rsidR="005813DE" w:rsidRPr="00E13321" w:rsidRDefault="0088790D">
      <w:pPr>
        <w:keepNext/>
        <w:spacing w:after="0" w:line="360" w:lineRule="auto"/>
        <w:jc w:val="both"/>
        <w:rPr>
          <w:rFonts w:ascii="Book Antiqua" w:hAnsi="Book Antiqua"/>
          <w:color w:val="000000"/>
          <w:sz w:val="24"/>
          <w:szCs w:val="24"/>
        </w:rPr>
      </w:pPr>
      <w:r w:rsidRPr="00E13321">
        <w:rPr>
          <w:rFonts w:ascii="Book Antiqua" w:hAnsi="Book Antiqua"/>
          <w:color w:val="000000"/>
          <w:sz w:val="24"/>
          <w:szCs w:val="24"/>
        </w:rPr>
        <w:t>Toxicity was evaluated before each cycle according to the NCI-CTC-AE v5.</w:t>
      </w:r>
    </w:p>
    <w:p w14:paraId="4F5D75D7" w14:textId="77777777" w:rsidR="005813DE" w:rsidRPr="00E13321" w:rsidRDefault="005813DE">
      <w:pPr>
        <w:keepNext/>
        <w:spacing w:after="0" w:line="360" w:lineRule="auto"/>
        <w:jc w:val="both"/>
        <w:rPr>
          <w:rFonts w:ascii="Book Antiqua" w:hAnsi="Book Antiqua"/>
          <w:color w:val="000000"/>
          <w:sz w:val="24"/>
          <w:szCs w:val="24"/>
        </w:rPr>
      </w:pPr>
    </w:p>
    <w:p w14:paraId="4F7E8ADA" w14:textId="77777777" w:rsidR="005813DE" w:rsidRPr="00E13321" w:rsidRDefault="0088790D">
      <w:pPr>
        <w:spacing w:after="0" w:line="360" w:lineRule="auto"/>
        <w:jc w:val="both"/>
        <w:rPr>
          <w:rFonts w:ascii="Book Antiqua" w:hAnsi="Book Antiqua"/>
          <w:b/>
          <w:i/>
          <w:iCs/>
          <w:color w:val="000000"/>
          <w:sz w:val="24"/>
          <w:szCs w:val="24"/>
        </w:rPr>
      </w:pPr>
      <w:r w:rsidRPr="00E13321">
        <w:rPr>
          <w:rFonts w:ascii="Book Antiqua" w:hAnsi="Book Antiqua"/>
          <w:b/>
          <w:i/>
          <w:iCs/>
          <w:color w:val="000000"/>
          <w:sz w:val="24"/>
          <w:szCs w:val="24"/>
        </w:rPr>
        <w:t>Efficacy</w:t>
      </w:r>
    </w:p>
    <w:p w14:paraId="44A1AD8E" w14:textId="77777777" w:rsidR="005813DE" w:rsidRPr="00E13321" w:rsidRDefault="0088790D">
      <w:pPr>
        <w:spacing w:after="0" w:line="360" w:lineRule="auto"/>
        <w:jc w:val="both"/>
        <w:rPr>
          <w:rFonts w:ascii="Book Antiqua" w:hAnsi="Book Antiqua"/>
          <w:color w:val="000000"/>
          <w:sz w:val="24"/>
          <w:szCs w:val="24"/>
        </w:rPr>
      </w:pPr>
      <w:r w:rsidRPr="00E13321">
        <w:rPr>
          <w:rFonts w:ascii="Book Antiqua" w:hAnsi="Book Antiqua"/>
          <w:color w:val="000000"/>
          <w:sz w:val="24"/>
          <w:szCs w:val="24"/>
        </w:rPr>
        <w:t>Efficacy of neoadjuvant chemotherapy was tested using pathological examination. Tumour regression grade was quantified using the Becker classification</w:t>
      </w:r>
      <w:r w:rsidRPr="00E13321">
        <w:rPr>
          <w:rFonts w:ascii="Book Antiqua" w:hAnsi="Book Antiqua"/>
          <w:color w:val="000000"/>
          <w:sz w:val="24"/>
          <w:szCs w:val="24"/>
          <w:vertAlign w:val="superscript"/>
        </w:rPr>
        <w:t>[</w:t>
      </w:r>
      <w:bookmarkStart w:id="138" w:name="bbib9"/>
      <w:r w:rsidRPr="00E13321">
        <w:rPr>
          <w:rFonts w:ascii="Book Antiqua" w:hAnsi="Book Antiqua"/>
          <w:color w:val="000000"/>
          <w:sz w:val="24"/>
          <w:szCs w:val="24"/>
          <w:vertAlign w:val="superscript"/>
        </w:rPr>
        <w:t>9]</w:t>
      </w:r>
      <w:r w:rsidRPr="00E13321">
        <w:rPr>
          <w:rFonts w:ascii="Book Antiqua" w:hAnsi="Book Antiqua"/>
          <w:color w:val="000000"/>
          <w:sz w:val="24"/>
          <w:szCs w:val="24"/>
        </w:rPr>
        <w:t>. This classification gave an estimation of the percentage of vital tumour cells in the tumour core: TRG1a means complete pathological response; TRG1b means subtotal regression with less than 10% of residual tumour cells; TRG2 means partial regression with around to 10% to 50% of viable tumour cells and TRG3 means no or minor regression</w:t>
      </w:r>
      <w:r w:rsidRPr="00E13321">
        <w:rPr>
          <w:rFonts w:ascii="Book Antiqua" w:hAnsi="Book Antiqua"/>
          <w:color w:val="000000"/>
          <w:sz w:val="24"/>
          <w:szCs w:val="24"/>
          <w:vertAlign w:val="superscript"/>
        </w:rPr>
        <w:t>[</w:t>
      </w:r>
      <w:bookmarkEnd w:id="138"/>
      <w:r w:rsidRPr="00E13321">
        <w:rPr>
          <w:rFonts w:ascii="Book Antiqua" w:hAnsi="Book Antiqua"/>
          <w:color w:val="000000"/>
          <w:sz w:val="24"/>
          <w:szCs w:val="24"/>
          <w:vertAlign w:val="superscript"/>
        </w:rPr>
        <w:t>10]</w:t>
      </w:r>
      <w:r w:rsidRPr="00E13321">
        <w:rPr>
          <w:rFonts w:ascii="Book Antiqua" w:hAnsi="Book Antiqua"/>
          <w:color w:val="000000"/>
          <w:sz w:val="24"/>
          <w:szCs w:val="24"/>
        </w:rPr>
        <w:t>.</w:t>
      </w:r>
    </w:p>
    <w:p w14:paraId="098BEAB2" w14:textId="77777777" w:rsidR="005813DE" w:rsidRPr="00E13321" w:rsidRDefault="005813DE">
      <w:pPr>
        <w:spacing w:after="0" w:line="360" w:lineRule="auto"/>
        <w:jc w:val="both"/>
        <w:rPr>
          <w:rFonts w:ascii="Book Antiqua" w:hAnsi="Book Antiqua"/>
          <w:b/>
          <w:color w:val="000000"/>
          <w:sz w:val="24"/>
          <w:szCs w:val="24"/>
        </w:rPr>
      </w:pPr>
    </w:p>
    <w:p w14:paraId="57B7546D" w14:textId="77777777" w:rsidR="005813DE" w:rsidRPr="00E13321" w:rsidRDefault="0088790D">
      <w:pPr>
        <w:spacing w:after="0" w:line="360" w:lineRule="auto"/>
        <w:jc w:val="both"/>
        <w:rPr>
          <w:rFonts w:ascii="Book Antiqua" w:hAnsi="Book Antiqua"/>
          <w:b/>
          <w:i/>
          <w:iCs/>
          <w:color w:val="000000"/>
          <w:sz w:val="24"/>
          <w:szCs w:val="24"/>
        </w:rPr>
      </w:pPr>
      <w:r w:rsidRPr="00E13321">
        <w:rPr>
          <w:rFonts w:ascii="Book Antiqua" w:hAnsi="Book Antiqua"/>
          <w:b/>
          <w:i/>
          <w:iCs/>
          <w:color w:val="000000"/>
          <w:sz w:val="24"/>
          <w:szCs w:val="24"/>
        </w:rPr>
        <w:t>Statistical analysis</w:t>
      </w:r>
    </w:p>
    <w:p w14:paraId="2F2EC86B" w14:textId="77777777" w:rsidR="005813DE" w:rsidRPr="00E13321" w:rsidRDefault="0088790D">
      <w:pPr>
        <w:pStyle w:val="af6"/>
        <w:spacing w:before="0" w:beforeAutospacing="0" w:after="0" w:afterAutospacing="0" w:line="360" w:lineRule="auto"/>
        <w:jc w:val="both"/>
        <w:rPr>
          <w:rFonts w:ascii="Book Antiqua" w:hAnsi="Book Antiqua"/>
          <w:color w:val="000000"/>
        </w:rPr>
      </w:pPr>
      <w:r w:rsidRPr="00E13321">
        <w:rPr>
          <w:rFonts w:ascii="Book Antiqua" w:hAnsi="Book Antiqua"/>
          <w:color w:val="000000"/>
        </w:rPr>
        <w:t>Toxicity and response to neoadjuvant chemotherapy were evaluated in the intent-to-treat population, defined as patients who received at least one cycle of TeFOX with or without trastuzumab. Toxicity of neoadjuvant and adjuvant chemotherapy as well as surgery related toxicities were evaluated. Time to relapse was defined as the time between surgery and the discovery of the first metastatic site. All patients alive without disease relapse at the last follow-up date were censored. Overall survival (OS) was defined as the time between the first cycle of chemotherapy and death (all causes). All patients alive at the last follow-up date were censored. Survival curves were estimated using the Kaplan–Meier method. Median follow-up and its 95% confidence interval (CI) were calculated with the reverse Kaplan–Meier method. All statistical analysis were performed using MedCalc Software.</w:t>
      </w:r>
    </w:p>
    <w:p w14:paraId="30CB7D26" w14:textId="77777777" w:rsidR="005813DE" w:rsidRPr="00E13321" w:rsidRDefault="005813DE">
      <w:pPr>
        <w:spacing w:after="0" w:line="360" w:lineRule="auto"/>
        <w:jc w:val="both"/>
        <w:rPr>
          <w:rFonts w:ascii="Book Antiqua" w:hAnsi="Book Antiqua"/>
          <w:color w:val="000000"/>
          <w:sz w:val="24"/>
          <w:szCs w:val="24"/>
        </w:rPr>
      </w:pPr>
    </w:p>
    <w:p w14:paraId="098CF133" w14:textId="77777777" w:rsidR="005813DE" w:rsidRPr="00E13321" w:rsidRDefault="0088790D">
      <w:pPr>
        <w:spacing w:after="0" w:line="360" w:lineRule="auto"/>
        <w:jc w:val="both"/>
        <w:rPr>
          <w:rFonts w:ascii="Book Antiqua" w:hAnsi="Book Antiqua"/>
          <w:b/>
          <w:bCs/>
          <w:color w:val="000000"/>
          <w:sz w:val="24"/>
          <w:szCs w:val="24"/>
        </w:rPr>
      </w:pPr>
      <w:r w:rsidRPr="00E13321">
        <w:rPr>
          <w:rFonts w:ascii="Book Antiqua" w:hAnsi="Book Antiqua"/>
          <w:b/>
          <w:bCs/>
          <w:caps/>
          <w:color w:val="000000"/>
          <w:sz w:val="24"/>
          <w:szCs w:val="24"/>
        </w:rPr>
        <w:t>Results</w:t>
      </w:r>
    </w:p>
    <w:p w14:paraId="7F0DF58F" w14:textId="77777777" w:rsidR="005813DE" w:rsidRPr="00E13321" w:rsidRDefault="0088790D">
      <w:pPr>
        <w:spacing w:after="0" w:line="360" w:lineRule="auto"/>
        <w:jc w:val="both"/>
        <w:rPr>
          <w:rFonts w:ascii="Book Antiqua" w:hAnsi="Book Antiqua"/>
          <w:b/>
          <w:i/>
          <w:iCs/>
          <w:color w:val="000000"/>
          <w:sz w:val="24"/>
          <w:szCs w:val="24"/>
        </w:rPr>
      </w:pPr>
      <w:r w:rsidRPr="00E13321">
        <w:rPr>
          <w:rFonts w:ascii="Book Antiqua" w:hAnsi="Book Antiqua"/>
          <w:b/>
          <w:i/>
          <w:iCs/>
          <w:color w:val="000000"/>
          <w:sz w:val="24"/>
          <w:szCs w:val="24"/>
        </w:rPr>
        <w:t>Patient characteristics</w:t>
      </w:r>
    </w:p>
    <w:p w14:paraId="55926C74" w14:textId="77777777" w:rsidR="005813DE" w:rsidRPr="00E13321" w:rsidRDefault="0088790D">
      <w:pPr>
        <w:pStyle w:val="p"/>
        <w:spacing w:before="0" w:beforeAutospacing="0" w:after="0" w:afterAutospacing="0" w:line="360" w:lineRule="auto"/>
        <w:jc w:val="both"/>
        <w:rPr>
          <w:rFonts w:ascii="Book Antiqua" w:hAnsi="Book Antiqua"/>
          <w:color w:val="000000"/>
        </w:rPr>
      </w:pPr>
      <w:r w:rsidRPr="00E13321">
        <w:rPr>
          <w:rFonts w:ascii="Book Antiqua" w:hAnsi="Book Antiqua"/>
          <w:color w:val="000000"/>
        </w:rPr>
        <w:t>Between May 15, 2013 and August 29, 2018, 33 patients that received at least one cycle of neoadjuvant chemotherapy for a localized GC, were enrolled. The median age was 63 years. The majority of patients had a WHO performance status of 0. Pre-treatment patient characteristics are shown in Table 1. Only 5 patients have signet ring cell carcinoma. Five patients have HER2 overexpressing tumours and received in addition to TeFOX, trastuzumab during neoadjuvant chemotherapy. Median number of neoadjuvant chemotherapy cycles was 5 (range 2-8). Median number of adjuvant chemotherapy cycles was 3 (range 0-6). Eleven patients underwent transthoracic oesophagectomy, 11 total gastrectomy and 11 subtotal gastrectomy. Following surgery, only 28 patients received adjuvant chemotherapy (2 patients refused further therapy and 3 had a poor performance status following surgery and were excluded from further therapy). The median number of therapy cycles was 4 (range 1-7).</w:t>
      </w:r>
    </w:p>
    <w:p w14:paraId="6D578191" w14:textId="77777777" w:rsidR="005813DE" w:rsidRPr="00E13321" w:rsidRDefault="005813DE">
      <w:pPr>
        <w:spacing w:after="0" w:line="360" w:lineRule="auto"/>
        <w:jc w:val="both"/>
        <w:rPr>
          <w:rFonts w:ascii="Book Antiqua" w:hAnsi="Book Antiqua"/>
          <w:b/>
          <w:color w:val="000000"/>
          <w:sz w:val="24"/>
          <w:szCs w:val="24"/>
        </w:rPr>
      </w:pPr>
    </w:p>
    <w:p w14:paraId="5112994D" w14:textId="77777777" w:rsidR="005813DE" w:rsidRPr="00E13321" w:rsidRDefault="0088790D">
      <w:pPr>
        <w:spacing w:after="0" w:line="360" w:lineRule="auto"/>
        <w:jc w:val="both"/>
        <w:rPr>
          <w:rFonts w:ascii="Book Antiqua" w:hAnsi="Book Antiqua"/>
          <w:b/>
          <w:i/>
          <w:iCs/>
          <w:color w:val="000000"/>
          <w:sz w:val="24"/>
          <w:szCs w:val="24"/>
        </w:rPr>
      </w:pPr>
      <w:r w:rsidRPr="00E13321">
        <w:rPr>
          <w:rFonts w:ascii="Book Antiqua" w:hAnsi="Book Antiqua"/>
          <w:b/>
          <w:i/>
          <w:iCs/>
          <w:color w:val="000000"/>
          <w:sz w:val="24"/>
          <w:szCs w:val="24"/>
        </w:rPr>
        <w:t>Safety</w:t>
      </w:r>
    </w:p>
    <w:p w14:paraId="5190021A" w14:textId="6E3FFF66" w:rsidR="005813DE" w:rsidRPr="00E13321" w:rsidRDefault="0088790D">
      <w:pPr>
        <w:pStyle w:val="ae"/>
        <w:spacing w:after="0" w:line="360" w:lineRule="auto"/>
        <w:jc w:val="both"/>
        <w:rPr>
          <w:rFonts w:ascii="Book Antiqua" w:hAnsi="Book Antiqua"/>
          <w:color w:val="000000"/>
          <w:sz w:val="24"/>
          <w:szCs w:val="24"/>
        </w:rPr>
      </w:pPr>
      <w:r w:rsidRPr="00E13321">
        <w:rPr>
          <w:rFonts w:ascii="Book Antiqua" w:hAnsi="Book Antiqua"/>
          <w:color w:val="000000"/>
          <w:sz w:val="24"/>
          <w:szCs w:val="24"/>
        </w:rPr>
        <w:t xml:space="preserve">There was no treatment-related death. Toxicities of neoadjuvant chemotherapy are described in Table </w:t>
      </w:r>
      <w:r w:rsidRPr="00E13321">
        <w:rPr>
          <w:rFonts w:ascii="Book Antiqua" w:eastAsia="等线 Light" w:hAnsi="Book Antiqua"/>
          <w:sz w:val="24"/>
          <w:szCs w:val="24"/>
        </w:rPr>
        <w:t>2</w:t>
      </w:r>
      <w:r w:rsidRPr="00E13321">
        <w:rPr>
          <w:rFonts w:ascii="Book Antiqua" w:hAnsi="Book Antiqua"/>
          <w:color w:val="000000"/>
          <w:sz w:val="24"/>
          <w:szCs w:val="24"/>
        </w:rPr>
        <w:t xml:space="preserve">. Only 2 patients did not present side effects during neoadjuvant chemotherapy. Ten patients developed grade 3-4 toxicities. The most common grade 3-4 toxicities were asthenia, and peripheral neuropathy which occurred in 19% and 21% of patients respectively. Febrile neutropenia occurred in one patient (3). Dose reduction occurred in seven patients with elimination of docetaxel in 4 patients and oxaliplatin dose reduction in 3 patients. Discontinuation of therapy occurred in 6 patients due to important side effects. Granulocyte colony-stimulating factor (G-CSF) was prophylactically given to all patients. Perioperative medical or </w:t>
      </w:r>
      <w:r w:rsidRPr="00E13321">
        <w:rPr>
          <w:rFonts w:ascii="Book Antiqua" w:eastAsia="等线 Light" w:hAnsi="Book Antiqua"/>
          <w:sz w:val="24"/>
          <w:szCs w:val="24"/>
        </w:rPr>
        <w:t xml:space="preserve">surgical </w:t>
      </w:r>
      <w:r w:rsidRPr="00E13321">
        <w:rPr>
          <w:rFonts w:ascii="Book Antiqua" w:hAnsi="Book Antiqua"/>
          <w:color w:val="000000"/>
          <w:sz w:val="24"/>
          <w:szCs w:val="24"/>
        </w:rPr>
        <w:t xml:space="preserve">grade 3 and 4 complications According to Clavien-Dindo classification within 90 d of surgery were observed in 6 patients. No death was observed in the 90 d post-surgery. The most frequent serious adverse events were </w:t>
      </w:r>
      <w:r w:rsidRPr="00E13321">
        <w:rPr>
          <w:rFonts w:ascii="Book Antiqua" w:eastAsia="等线 Light" w:hAnsi="Book Antiqua"/>
          <w:color w:val="000000"/>
          <w:sz w:val="24"/>
          <w:szCs w:val="24"/>
        </w:rPr>
        <w:t>pneumonia,</w:t>
      </w:r>
      <w:r w:rsidRPr="00E13321">
        <w:rPr>
          <w:rFonts w:ascii="Book Antiqua" w:hAnsi="Book Antiqua"/>
          <w:color w:val="000000"/>
          <w:sz w:val="24"/>
          <w:szCs w:val="24"/>
        </w:rPr>
        <w:t xml:space="preserve"> in 7 patients (21), and abdominal infection, in 5 patients (15). Incidence of surgical and perioperative complications were higher in the group of patients that undergone esophagectomy, with 5 patients within 11 (45) with grade 3 or 4 complications versus 1 with 22 (4) in patients that undergone gastrectomy. Nineteen patients had no or a reduced number of adjuvant chemotherapy cycles and 8 of whom have undergone esophagectomy. Seventeen patients within the 28 that received adjuvant chemotherapy had grade 3 or 4 side effects (60). Occurrence of adverse effects was the unique cause of adjuvant therapy ending (Table 3).</w:t>
      </w:r>
    </w:p>
    <w:p w14:paraId="1CAD8533" w14:textId="77777777" w:rsidR="005813DE" w:rsidRPr="00E13321" w:rsidRDefault="005813DE">
      <w:pPr>
        <w:pStyle w:val="ae"/>
        <w:spacing w:after="0" w:line="360" w:lineRule="auto"/>
        <w:jc w:val="both"/>
        <w:rPr>
          <w:rFonts w:ascii="Book Antiqua" w:hAnsi="Book Antiqua"/>
          <w:color w:val="000000"/>
          <w:sz w:val="24"/>
          <w:szCs w:val="24"/>
        </w:rPr>
      </w:pPr>
    </w:p>
    <w:p w14:paraId="47DBC2A1" w14:textId="77777777" w:rsidR="005813DE" w:rsidRPr="00E13321" w:rsidRDefault="0088790D">
      <w:pPr>
        <w:spacing w:after="0" w:line="360" w:lineRule="auto"/>
        <w:jc w:val="both"/>
        <w:rPr>
          <w:rFonts w:ascii="Book Antiqua" w:hAnsi="Book Antiqua"/>
          <w:b/>
          <w:i/>
          <w:iCs/>
          <w:color w:val="000000"/>
          <w:sz w:val="24"/>
          <w:szCs w:val="24"/>
        </w:rPr>
      </w:pPr>
      <w:r w:rsidRPr="00E13321">
        <w:rPr>
          <w:rFonts w:ascii="Book Antiqua" w:hAnsi="Book Antiqua"/>
          <w:b/>
          <w:i/>
          <w:iCs/>
          <w:color w:val="000000"/>
          <w:sz w:val="24"/>
          <w:szCs w:val="24"/>
        </w:rPr>
        <w:t>Efficacy outcomes</w:t>
      </w:r>
    </w:p>
    <w:p w14:paraId="54C670CE" w14:textId="50DEEB85" w:rsidR="005813DE" w:rsidRPr="00E13321" w:rsidRDefault="0088790D">
      <w:pPr>
        <w:pStyle w:val="p"/>
        <w:spacing w:before="0" w:beforeAutospacing="0" w:after="0" w:afterAutospacing="0" w:line="360" w:lineRule="auto"/>
        <w:jc w:val="both"/>
        <w:rPr>
          <w:rFonts w:ascii="Book Antiqua" w:hAnsi="Book Antiqua"/>
          <w:color w:val="000000"/>
        </w:rPr>
      </w:pPr>
      <w:r w:rsidRPr="00E13321">
        <w:rPr>
          <w:rFonts w:ascii="Book Antiqua" w:hAnsi="Book Antiqua"/>
          <w:color w:val="000000"/>
        </w:rPr>
        <w:t xml:space="preserve">Median follow-up for surviving patients was 32 mo. Surgical and pathological results are presented in Table 4. R0 resection was obtained in 30 out of 33 patients. Only R1 resection was achieved for an esophagectomy and 2 subtotal gastrectomy. We have used Becker regression criteria classification to estimate </w:t>
      </w:r>
      <w:r w:rsidRPr="00E13321">
        <w:rPr>
          <w:rFonts w:ascii="Book Antiqua" w:eastAsia="等线 Light" w:hAnsi="Book Antiqua"/>
        </w:rPr>
        <w:t>tumour regression</w:t>
      </w:r>
      <w:r w:rsidRPr="00E13321">
        <w:rPr>
          <w:rFonts w:ascii="Book Antiqua" w:hAnsi="Book Antiqua"/>
          <w:color w:val="000000"/>
        </w:rPr>
        <w:t xml:space="preserve"> and response rate. We found 12 (36) patients with complete response TRG1a, 8 (24) patients with TRG1b, 4 (13) patients with TRG2 and 9 (27) with TRG3. No particular difference was observed between complete and incomplete responders in term of histological type, tumour stage or number of cycles of neoadjuvant chemotherapies. For HER2 overexpression tumor complete response (TRG1a) was observed in 3 out of five patients. Two-year OS and PFS were respectively 90% and 73%. Median OS and PFS were not reached at data base lock (Figures 1 and 2). We observed 6 metastatic relapses and 1 localized relapse. No relapses were observed in patients with TRG1A histological response.</w:t>
      </w:r>
    </w:p>
    <w:p w14:paraId="5BE27244"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hAnsi="Book Antiqua"/>
          <w:color w:val="000000"/>
          <w:sz w:val="24"/>
          <w:szCs w:val="24"/>
        </w:rPr>
        <w:br w:type="page"/>
      </w:r>
    </w:p>
    <w:p w14:paraId="194675F8" w14:textId="77777777" w:rsidR="005813DE" w:rsidRPr="00E13321" w:rsidRDefault="0088790D">
      <w:pPr>
        <w:pStyle w:val="1"/>
        <w:spacing w:before="0" w:beforeAutospacing="0" w:after="0" w:afterAutospacing="0" w:line="360" w:lineRule="auto"/>
        <w:jc w:val="both"/>
        <w:rPr>
          <w:rFonts w:ascii="Book Antiqua" w:hAnsi="Book Antiqua"/>
          <w:caps/>
          <w:color w:val="000000"/>
          <w:sz w:val="24"/>
          <w:szCs w:val="24"/>
        </w:rPr>
      </w:pPr>
      <w:r w:rsidRPr="00E13321">
        <w:rPr>
          <w:rFonts w:ascii="Book Antiqua" w:hAnsi="Book Antiqua"/>
          <w:caps/>
          <w:color w:val="000000"/>
          <w:sz w:val="24"/>
          <w:szCs w:val="24"/>
        </w:rPr>
        <w:t>Discussion</w:t>
      </w:r>
    </w:p>
    <w:p w14:paraId="3F2867B6" w14:textId="77777777" w:rsidR="005813DE" w:rsidRPr="00E13321" w:rsidRDefault="0088790D">
      <w:pPr>
        <w:spacing w:after="0" w:line="360" w:lineRule="auto"/>
        <w:jc w:val="both"/>
        <w:rPr>
          <w:rFonts w:ascii="Book Antiqua" w:hAnsi="Book Antiqua"/>
          <w:color w:val="000000"/>
          <w:sz w:val="24"/>
          <w:szCs w:val="24"/>
        </w:rPr>
      </w:pPr>
      <w:r w:rsidRPr="00E13321">
        <w:rPr>
          <w:rFonts w:ascii="Book Antiqua" w:hAnsi="Book Antiqua"/>
          <w:color w:val="000000"/>
          <w:sz w:val="24"/>
          <w:szCs w:val="24"/>
        </w:rPr>
        <w:t>This study underlines the safety and feasibility of TeFOX or TeFOX plus trastuzumab regimen for patients with localized GC. Neoadjuvant therapy is the standard of care for localized GC. Recently the FLOT4 study demonstrated the superiority of FLOT perioperative regimen in comparison to ECX regimen</w:t>
      </w:r>
      <w:r w:rsidRPr="00E13321">
        <w:rPr>
          <w:rFonts w:ascii="Book Antiqua" w:hAnsi="Book Antiqua"/>
          <w:color w:val="000000"/>
          <w:sz w:val="24"/>
          <w:szCs w:val="24"/>
          <w:vertAlign w:val="superscript"/>
        </w:rPr>
        <w:t>[6,7]</w:t>
      </w:r>
      <w:r w:rsidRPr="00E13321">
        <w:rPr>
          <w:rFonts w:ascii="Book Antiqua" w:hAnsi="Book Antiqua"/>
          <w:color w:val="000000"/>
          <w:sz w:val="24"/>
          <w:szCs w:val="24"/>
        </w:rPr>
        <w:t>. In particular, while ECX led to 6% TRG1A complete response, the FLOT4 gave rise to 16% of TRG1 (95%CI: 10%-23). These results are comparable with previous studies like OEO5</w:t>
      </w:r>
      <w:bookmarkStart w:id="139" w:name="bbib16"/>
      <w:r w:rsidRPr="00E13321">
        <w:rPr>
          <w:rFonts w:ascii="Book Antiqua" w:hAnsi="Book Antiqua"/>
          <w:color w:val="000000"/>
          <w:sz w:val="24"/>
          <w:szCs w:val="24"/>
          <w:vertAlign w:val="superscript"/>
        </w:rPr>
        <w:t>[11]</w:t>
      </w:r>
      <w:bookmarkEnd w:id="139"/>
      <w:r w:rsidRPr="00E13321">
        <w:rPr>
          <w:rFonts w:ascii="Book Antiqua" w:hAnsi="Book Antiqua"/>
          <w:color w:val="000000"/>
          <w:sz w:val="24"/>
          <w:szCs w:val="24"/>
        </w:rPr>
        <w:t xml:space="preserve"> and ST03 trials</w:t>
      </w:r>
      <w:bookmarkStart w:id="140" w:name="bbib17"/>
      <w:r w:rsidRPr="00E13321">
        <w:rPr>
          <w:rFonts w:ascii="Book Antiqua" w:hAnsi="Book Antiqua"/>
          <w:color w:val="000000"/>
          <w:sz w:val="24"/>
          <w:szCs w:val="24"/>
          <w:vertAlign w:val="superscript"/>
        </w:rPr>
        <w:t>[12]</w:t>
      </w:r>
      <w:bookmarkEnd w:id="140"/>
      <w:r w:rsidRPr="00E13321">
        <w:rPr>
          <w:rFonts w:ascii="Book Antiqua" w:hAnsi="Book Antiqua"/>
          <w:color w:val="000000"/>
          <w:sz w:val="24"/>
          <w:szCs w:val="24"/>
        </w:rPr>
        <w:t xml:space="preserve"> which showed a TRG1a rate of 7% and 8%, respectively. In most clinical trials testing combination of chemotherapies with taxane, the proportion of patients with complete pathological response are similar to the ones obtained with FLOT regimen, with complete responses ranging from 14% to 20%</w:t>
      </w:r>
      <w:r w:rsidRPr="00E13321">
        <w:rPr>
          <w:rFonts w:ascii="Book Antiqua" w:hAnsi="Book Antiqua"/>
          <w:color w:val="000000"/>
          <w:sz w:val="24"/>
          <w:szCs w:val="24"/>
          <w:vertAlign w:val="superscript"/>
        </w:rPr>
        <w:t>[13,14]</w:t>
      </w:r>
      <w:r w:rsidRPr="00E13321">
        <w:rPr>
          <w:rFonts w:ascii="Book Antiqua" w:hAnsi="Book Antiqua"/>
          <w:color w:val="000000"/>
          <w:sz w:val="24"/>
          <w:szCs w:val="24"/>
        </w:rPr>
        <w:t>. In our study, we have observed 36% of TRG1a (95%CI: 19-62). Such data compares favourably to previous trials and suggests that the TeFOX regimen might be at least as efficient as other taxane based regimens. Importantly, relapse rate is small, 21% of relapse (95%CI: 8-43) with a median follow up of more than two years. In FLOT4 trial, the relapse rate at 2 years are 57% and 47% for ECX and FLOT4 regimen</w:t>
      </w:r>
      <w:r w:rsidRPr="00E13321">
        <w:rPr>
          <w:rFonts w:ascii="Book Antiqua" w:hAnsi="Book Antiqua"/>
          <w:color w:val="000000"/>
          <w:sz w:val="24"/>
          <w:szCs w:val="24"/>
          <w:vertAlign w:val="superscript"/>
        </w:rPr>
        <w:t>[6]</w:t>
      </w:r>
      <w:r w:rsidRPr="00E13321">
        <w:rPr>
          <w:rFonts w:ascii="Book Antiqua" w:hAnsi="Book Antiqua"/>
          <w:color w:val="000000"/>
          <w:sz w:val="24"/>
          <w:szCs w:val="24"/>
        </w:rPr>
        <w:t>. Interestingly, no patients with TRG1a had a relapse, suggesting that complete response is a good surrogate to predict absence of recurrence. No clinical variable was associated with complete response or recurrence. Notably, neither singet ring cell presence nor the number of cycles of neoadjuvant chemotherapy were associated with relapse or complete response.</w:t>
      </w:r>
    </w:p>
    <w:p w14:paraId="0C1F88F0" w14:textId="77777777" w:rsidR="005813DE" w:rsidRPr="00E13321" w:rsidRDefault="0088790D">
      <w:pPr>
        <w:pStyle w:val="p"/>
        <w:spacing w:before="0" w:beforeAutospacing="0" w:after="0" w:afterAutospacing="0" w:line="360" w:lineRule="auto"/>
        <w:ind w:firstLineChars="100" w:firstLine="240"/>
        <w:jc w:val="both"/>
        <w:rPr>
          <w:rFonts w:ascii="Book Antiqua" w:hAnsi="Book Antiqua"/>
          <w:color w:val="000000"/>
        </w:rPr>
      </w:pPr>
      <w:r w:rsidRPr="00E13321">
        <w:rPr>
          <w:rFonts w:ascii="Book Antiqua" w:hAnsi="Book Antiqua"/>
          <w:color w:val="000000"/>
        </w:rPr>
        <w:t>In our study, TeFOX perioperative chemotherapy gives rise to grade 3-4 side effects in 30% of the patients (95%CI: 14-55). The main toxicities observed are asthenia and neuropathy. Such results are very similar to the FLOT regimen which induced 34% of grade 3-4 toxicity. In FLOT4 trial, 52% of patients have grade 3-4 neutropenia but in our series only 10% are observed. The difference probably relies on the systematic and prophylactic use of G-CSF. Higher rate of neuropathy was observed in our study. This difference may rely on a higher number of chemotherapy cycles. Similarly, surgery morbidity is comparable to FLOT prospective randomized trial. Not surprisingly, we have observed a higher incidence of complications with esophagectomy. Interestingly, adjuvant treatment could not be started in 5 patients and had to be stopped in 14 patients because of major side effects. The incidence of grade 3-4 side effects reached 60% and required treatment arrest for most patients. Such data suggest a higher toxicity of adjuvant therapy than neoadjuvant therapy.</w:t>
      </w:r>
    </w:p>
    <w:p w14:paraId="30D50E2B" w14:textId="77777777" w:rsidR="005813DE" w:rsidRPr="00E13321" w:rsidRDefault="0088790D">
      <w:pPr>
        <w:pStyle w:val="af6"/>
        <w:spacing w:before="0" w:beforeAutospacing="0" w:after="0" w:afterAutospacing="0" w:line="360" w:lineRule="auto"/>
        <w:ind w:firstLineChars="100" w:firstLine="240"/>
        <w:jc w:val="both"/>
        <w:rPr>
          <w:rFonts w:ascii="Book Antiqua" w:hAnsi="Book Antiqua"/>
          <w:color w:val="000000"/>
        </w:rPr>
      </w:pPr>
      <w:r w:rsidRPr="00E13321">
        <w:rPr>
          <w:rFonts w:ascii="Book Antiqua" w:hAnsi="Book Antiqua"/>
          <w:color w:val="000000"/>
        </w:rPr>
        <w:t>Limitations of our study include the retrospective and monocentric design and a selection of patients with good performance status. However, we believe that such data support that TeFOX results might be comparable to FLOT regimen results and could be used in neoadjuvant setting of localized gastric and gastroesophageal junction cancer.</w:t>
      </w:r>
    </w:p>
    <w:p w14:paraId="788D5D30" w14:textId="77777777" w:rsidR="005813DE" w:rsidRPr="00E13321" w:rsidRDefault="0088790D">
      <w:pPr>
        <w:pStyle w:val="af6"/>
        <w:spacing w:before="0" w:beforeAutospacing="0" w:after="0" w:afterAutospacing="0" w:line="360" w:lineRule="auto"/>
        <w:ind w:firstLineChars="100" w:firstLine="240"/>
        <w:jc w:val="both"/>
        <w:rPr>
          <w:rFonts w:ascii="Book Antiqua" w:hAnsi="Book Antiqua"/>
          <w:color w:val="000000"/>
        </w:rPr>
      </w:pPr>
      <w:r w:rsidRPr="00E13321">
        <w:rPr>
          <w:rFonts w:ascii="Book Antiqua" w:hAnsi="Book Antiqua"/>
          <w:color w:val="000000"/>
        </w:rPr>
        <w:t>In conclusion, our study gives information on safety and efficacy of TeFOX regimen in perioperative setting of localized gastric and gastroesophageal junction cancer. These data support further development in phase II clinical trials.</w:t>
      </w:r>
    </w:p>
    <w:p w14:paraId="623CE4E9" w14:textId="77777777" w:rsidR="005813DE" w:rsidRPr="00E13321" w:rsidRDefault="005813DE">
      <w:pPr>
        <w:pStyle w:val="af6"/>
        <w:spacing w:before="0" w:beforeAutospacing="0" w:after="0" w:afterAutospacing="0" w:line="360" w:lineRule="auto"/>
        <w:jc w:val="both"/>
        <w:rPr>
          <w:rFonts w:ascii="Book Antiqua" w:hAnsi="Book Antiqua"/>
          <w:color w:val="000000"/>
        </w:rPr>
      </w:pPr>
    </w:p>
    <w:p w14:paraId="55269CD4" w14:textId="77777777" w:rsidR="005813DE" w:rsidRPr="00E13321" w:rsidRDefault="0088790D">
      <w:pPr>
        <w:spacing w:after="0" w:line="360" w:lineRule="auto"/>
        <w:jc w:val="both"/>
        <w:rPr>
          <w:rFonts w:ascii="Book Antiqua" w:hAnsi="Book Antiqua"/>
          <w:b/>
          <w:color w:val="000000"/>
          <w:sz w:val="24"/>
          <w:szCs w:val="24"/>
        </w:rPr>
      </w:pPr>
      <w:bookmarkStart w:id="141" w:name="_Hlk10708737"/>
      <w:r w:rsidRPr="00E13321">
        <w:rPr>
          <w:rFonts w:ascii="Book Antiqua" w:hAnsi="Book Antiqua"/>
          <w:b/>
          <w:color w:val="000000"/>
          <w:sz w:val="24"/>
          <w:szCs w:val="24"/>
        </w:rPr>
        <w:t>ARTICLE HIGHLIGHTS</w:t>
      </w:r>
    </w:p>
    <w:p w14:paraId="455B5738" w14:textId="77777777" w:rsidR="005813DE" w:rsidRPr="00E13321" w:rsidRDefault="0088790D">
      <w:pPr>
        <w:spacing w:after="0" w:line="360" w:lineRule="auto"/>
        <w:jc w:val="both"/>
        <w:rPr>
          <w:rFonts w:ascii="Book Antiqua" w:eastAsia="Times New Roman" w:hAnsi="Book Antiqua"/>
          <w:b/>
          <w:bCs/>
          <w:i/>
          <w:iCs/>
          <w:color w:val="000000"/>
          <w:sz w:val="24"/>
          <w:szCs w:val="24"/>
          <w:lang w:val="en-US" w:eastAsia="fr-FR"/>
        </w:rPr>
      </w:pPr>
      <w:bookmarkStart w:id="142" w:name="_Hlk10469424"/>
      <w:bookmarkStart w:id="143" w:name="OLE_LINK198"/>
      <w:bookmarkStart w:id="144" w:name="OLE_LINK60"/>
      <w:bookmarkEnd w:id="141"/>
      <w:r w:rsidRPr="00E13321">
        <w:rPr>
          <w:rFonts w:ascii="Book Antiqua" w:eastAsia="Times New Roman" w:hAnsi="Book Antiqua"/>
          <w:b/>
          <w:bCs/>
          <w:i/>
          <w:iCs/>
          <w:color w:val="000000"/>
          <w:sz w:val="24"/>
          <w:szCs w:val="24"/>
          <w:lang w:val="en-US" w:eastAsia="fr-FR"/>
        </w:rPr>
        <w:t>Research background</w:t>
      </w:r>
    </w:p>
    <w:p w14:paraId="5C2DCFE4" w14:textId="77777777" w:rsidR="005813DE" w:rsidRPr="00E13321" w:rsidRDefault="0088790D">
      <w:pPr>
        <w:spacing w:after="0" w:line="360" w:lineRule="auto"/>
        <w:jc w:val="both"/>
        <w:rPr>
          <w:rFonts w:ascii="Book Antiqua" w:eastAsia="Times New Roman" w:hAnsi="Book Antiqua"/>
          <w:color w:val="000000"/>
          <w:sz w:val="24"/>
          <w:szCs w:val="24"/>
          <w:lang w:val="en-US" w:eastAsia="fr-FR"/>
        </w:rPr>
      </w:pPr>
      <w:r w:rsidRPr="00E13321">
        <w:rPr>
          <w:rFonts w:ascii="Book Antiqua" w:eastAsia="Times New Roman" w:hAnsi="Book Antiqua"/>
          <w:color w:val="000000"/>
          <w:sz w:val="24"/>
          <w:szCs w:val="24"/>
          <w:lang w:val="en-US" w:eastAsia="fr-FR"/>
        </w:rPr>
        <w:t>Localized oeso-</w:t>
      </w:r>
      <w:r w:rsidRPr="00E13321">
        <w:rPr>
          <w:rFonts w:ascii="Book Antiqua" w:hAnsi="Book Antiqua"/>
          <w:color w:val="000000"/>
          <w:sz w:val="24"/>
          <w:szCs w:val="24"/>
        </w:rPr>
        <w:t>gastric cancer</w:t>
      </w:r>
      <w:r w:rsidRPr="00E13321">
        <w:rPr>
          <w:rFonts w:ascii="Book Antiqua" w:eastAsia="Times New Roman" w:hAnsi="Book Antiqua"/>
          <w:color w:val="000000"/>
          <w:sz w:val="24"/>
          <w:szCs w:val="24"/>
          <w:lang w:val="en-US" w:eastAsia="fr-FR"/>
        </w:rPr>
        <w:t xml:space="preserve"> (GC) are treated by perioperative chemotherapy and surgery. The use of taxane seems to improve response rate and outcome.</w:t>
      </w:r>
    </w:p>
    <w:p w14:paraId="648D41C8" w14:textId="77777777" w:rsidR="005813DE" w:rsidRPr="00E13321" w:rsidRDefault="005813DE">
      <w:pPr>
        <w:spacing w:after="0" w:line="360" w:lineRule="auto"/>
        <w:jc w:val="both"/>
        <w:rPr>
          <w:rFonts w:ascii="Book Antiqua" w:eastAsia="Times New Roman" w:hAnsi="Book Antiqua"/>
          <w:color w:val="000000"/>
          <w:sz w:val="24"/>
          <w:szCs w:val="24"/>
          <w:lang w:val="en-US" w:eastAsia="fr-FR"/>
        </w:rPr>
      </w:pPr>
    </w:p>
    <w:p w14:paraId="1A217B56" w14:textId="77777777" w:rsidR="005813DE" w:rsidRPr="00E13321" w:rsidRDefault="0088790D">
      <w:pPr>
        <w:spacing w:after="0" w:line="360" w:lineRule="auto"/>
        <w:jc w:val="both"/>
        <w:rPr>
          <w:rFonts w:ascii="Book Antiqua" w:eastAsia="Times New Roman" w:hAnsi="Book Antiqua"/>
          <w:b/>
          <w:bCs/>
          <w:i/>
          <w:iCs/>
          <w:color w:val="000000"/>
          <w:sz w:val="24"/>
          <w:szCs w:val="24"/>
          <w:lang w:val="en-US" w:eastAsia="fr-FR"/>
        </w:rPr>
      </w:pPr>
      <w:r w:rsidRPr="00E13321">
        <w:rPr>
          <w:rFonts w:ascii="Book Antiqua" w:eastAsia="Times New Roman" w:hAnsi="Book Antiqua"/>
          <w:b/>
          <w:bCs/>
          <w:i/>
          <w:iCs/>
          <w:color w:val="000000"/>
          <w:sz w:val="24"/>
          <w:szCs w:val="24"/>
          <w:lang w:val="en-US" w:eastAsia="fr-FR"/>
        </w:rPr>
        <w:t>Research motivation</w:t>
      </w:r>
    </w:p>
    <w:p w14:paraId="11855861" w14:textId="77777777" w:rsidR="005813DE" w:rsidRPr="00E13321" w:rsidRDefault="0088790D">
      <w:pPr>
        <w:spacing w:after="0" w:line="360" w:lineRule="auto"/>
        <w:jc w:val="both"/>
        <w:rPr>
          <w:rFonts w:ascii="Book Antiqua" w:eastAsia="Times New Roman" w:hAnsi="Book Antiqua"/>
          <w:color w:val="000000"/>
          <w:sz w:val="24"/>
          <w:szCs w:val="24"/>
          <w:lang w:val="en-US" w:eastAsia="fr-FR"/>
        </w:rPr>
      </w:pPr>
      <w:r w:rsidRPr="00E13321">
        <w:rPr>
          <w:rFonts w:ascii="Book Antiqua" w:eastAsia="Times New Roman" w:hAnsi="Book Antiqua"/>
          <w:color w:val="000000"/>
          <w:sz w:val="24"/>
          <w:szCs w:val="24"/>
          <w:lang w:val="en-US" w:eastAsia="fr-FR"/>
        </w:rPr>
        <w:t>Only the efficacy of the german regimen FLOT was previously reports.</w:t>
      </w:r>
    </w:p>
    <w:p w14:paraId="439C3550" w14:textId="77777777" w:rsidR="005813DE" w:rsidRPr="00E13321" w:rsidRDefault="005813DE">
      <w:pPr>
        <w:spacing w:after="0" w:line="360" w:lineRule="auto"/>
        <w:jc w:val="both"/>
        <w:rPr>
          <w:rFonts w:ascii="Book Antiqua" w:eastAsia="Times New Roman" w:hAnsi="Book Antiqua"/>
          <w:color w:val="000000"/>
          <w:sz w:val="24"/>
          <w:szCs w:val="24"/>
          <w:lang w:val="en-US" w:eastAsia="fr-FR"/>
        </w:rPr>
      </w:pPr>
    </w:p>
    <w:p w14:paraId="5AB6211E" w14:textId="77777777" w:rsidR="005813DE" w:rsidRPr="00E13321" w:rsidRDefault="0088790D">
      <w:pPr>
        <w:spacing w:after="0" w:line="360" w:lineRule="auto"/>
        <w:jc w:val="both"/>
        <w:rPr>
          <w:rFonts w:ascii="Book Antiqua" w:eastAsia="Times New Roman" w:hAnsi="Book Antiqua"/>
          <w:b/>
          <w:bCs/>
          <w:i/>
          <w:iCs/>
          <w:color w:val="000000"/>
          <w:sz w:val="24"/>
          <w:szCs w:val="24"/>
          <w:lang w:val="en-US" w:eastAsia="fr-FR"/>
        </w:rPr>
      </w:pPr>
      <w:r w:rsidRPr="00E13321">
        <w:rPr>
          <w:rFonts w:ascii="Book Antiqua" w:eastAsia="Times New Roman" w:hAnsi="Book Antiqua"/>
          <w:b/>
          <w:bCs/>
          <w:i/>
          <w:iCs/>
          <w:color w:val="000000"/>
          <w:sz w:val="24"/>
          <w:szCs w:val="24"/>
          <w:lang w:val="en-US" w:eastAsia="fr-FR"/>
        </w:rPr>
        <w:t>Research objectives</w:t>
      </w:r>
    </w:p>
    <w:p w14:paraId="18215AAF" w14:textId="77777777" w:rsidR="005813DE" w:rsidRPr="00E13321" w:rsidRDefault="0088790D">
      <w:pPr>
        <w:spacing w:after="0" w:line="360" w:lineRule="auto"/>
        <w:jc w:val="both"/>
        <w:rPr>
          <w:rFonts w:ascii="Book Antiqua" w:eastAsia="Times New Roman" w:hAnsi="Book Antiqua"/>
          <w:color w:val="000000"/>
          <w:sz w:val="24"/>
          <w:szCs w:val="24"/>
          <w:lang w:val="en-US" w:eastAsia="fr-FR"/>
        </w:rPr>
      </w:pPr>
      <w:r w:rsidRPr="00E13321">
        <w:rPr>
          <w:rFonts w:ascii="Book Antiqua" w:eastAsia="Times New Roman" w:hAnsi="Book Antiqua"/>
          <w:color w:val="000000"/>
          <w:sz w:val="24"/>
          <w:szCs w:val="24"/>
          <w:lang w:val="en-US" w:eastAsia="fr-FR"/>
        </w:rPr>
        <w:t>To determine the efficacy of the Frence TeFOX regimen.</w:t>
      </w:r>
    </w:p>
    <w:p w14:paraId="52A0BCCC" w14:textId="77777777" w:rsidR="005813DE" w:rsidRPr="00E13321" w:rsidRDefault="005813DE">
      <w:pPr>
        <w:spacing w:after="0" w:line="360" w:lineRule="auto"/>
        <w:jc w:val="both"/>
        <w:rPr>
          <w:rFonts w:ascii="Book Antiqua" w:eastAsia="Times New Roman" w:hAnsi="Book Antiqua"/>
          <w:color w:val="000000"/>
          <w:sz w:val="24"/>
          <w:szCs w:val="24"/>
          <w:lang w:val="en-US" w:eastAsia="fr-FR"/>
        </w:rPr>
      </w:pPr>
    </w:p>
    <w:p w14:paraId="7B77B40C" w14:textId="77777777" w:rsidR="005813DE" w:rsidRPr="00E13321" w:rsidRDefault="0088790D">
      <w:pPr>
        <w:spacing w:after="0" w:line="360" w:lineRule="auto"/>
        <w:jc w:val="both"/>
        <w:rPr>
          <w:rFonts w:ascii="Book Antiqua" w:eastAsia="Times New Roman" w:hAnsi="Book Antiqua"/>
          <w:b/>
          <w:bCs/>
          <w:i/>
          <w:iCs/>
          <w:color w:val="000000"/>
          <w:sz w:val="24"/>
          <w:szCs w:val="24"/>
          <w:lang w:val="en-US" w:eastAsia="fr-FR"/>
        </w:rPr>
      </w:pPr>
      <w:r w:rsidRPr="00E13321">
        <w:rPr>
          <w:rFonts w:ascii="Book Antiqua" w:eastAsia="Times New Roman" w:hAnsi="Book Antiqua"/>
          <w:b/>
          <w:bCs/>
          <w:i/>
          <w:iCs/>
          <w:color w:val="000000"/>
          <w:sz w:val="24"/>
          <w:szCs w:val="24"/>
          <w:lang w:val="en-US" w:eastAsia="fr-FR"/>
        </w:rPr>
        <w:t>Research methods</w:t>
      </w:r>
    </w:p>
    <w:p w14:paraId="3A433DAD" w14:textId="77777777" w:rsidR="005813DE" w:rsidRPr="00E13321" w:rsidRDefault="0088790D">
      <w:pPr>
        <w:spacing w:after="0" w:line="360" w:lineRule="auto"/>
        <w:jc w:val="both"/>
        <w:rPr>
          <w:rFonts w:ascii="Book Antiqua" w:hAnsi="Book Antiqua"/>
          <w:color w:val="000000"/>
          <w:sz w:val="24"/>
          <w:szCs w:val="24"/>
        </w:rPr>
      </w:pPr>
      <w:r w:rsidRPr="00E13321">
        <w:rPr>
          <w:rFonts w:ascii="Book Antiqua" w:hAnsi="Book Antiqua"/>
          <w:color w:val="000000"/>
          <w:sz w:val="24"/>
          <w:szCs w:val="24"/>
        </w:rPr>
        <w:t xml:space="preserve">This retrospective study aims to test efficacy and safety of the perioperative TeFOX regimen given alone in patients with localized GC. </w:t>
      </w:r>
    </w:p>
    <w:p w14:paraId="40A1DF81" w14:textId="77777777" w:rsidR="005813DE" w:rsidRPr="00E13321" w:rsidRDefault="005813DE">
      <w:pPr>
        <w:spacing w:after="0" w:line="360" w:lineRule="auto"/>
        <w:jc w:val="both"/>
        <w:rPr>
          <w:rFonts w:ascii="Book Antiqua" w:hAnsi="Book Antiqua"/>
          <w:color w:val="000000"/>
          <w:sz w:val="24"/>
          <w:szCs w:val="24"/>
        </w:rPr>
      </w:pPr>
    </w:p>
    <w:p w14:paraId="1D08208C" w14:textId="77777777" w:rsidR="005813DE" w:rsidRPr="00E13321" w:rsidRDefault="0088790D">
      <w:pPr>
        <w:spacing w:after="0" w:line="360" w:lineRule="auto"/>
        <w:jc w:val="both"/>
        <w:rPr>
          <w:rFonts w:ascii="Book Antiqua" w:eastAsia="Times New Roman" w:hAnsi="Book Antiqua"/>
          <w:b/>
          <w:bCs/>
          <w:i/>
          <w:iCs/>
          <w:color w:val="000000"/>
          <w:sz w:val="24"/>
          <w:szCs w:val="24"/>
          <w:lang w:val="en-US" w:eastAsia="fr-FR"/>
        </w:rPr>
      </w:pPr>
      <w:r w:rsidRPr="00E13321">
        <w:rPr>
          <w:rFonts w:ascii="Book Antiqua" w:eastAsia="Times New Roman" w:hAnsi="Book Antiqua"/>
          <w:b/>
          <w:bCs/>
          <w:i/>
          <w:iCs/>
          <w:color w:val="000000"/>
          <w:sz w:val="24"/>
          <w:szCs w:val="24"/>
          <w:lang w:val="en-US" w:eastAsia="fr-FR"/>
        </w:rPr>
        <w:t>Research results</w:t>
      </w:r>
    </w:p>
    <w:p w14:paraId="5BD555AD" w14:textId="77777777" w:rsidR="005813DE" w:rsidRPr="00E13321" w:rsidRDefault="0088790D">
      <w:pPr>
        <w:spacing w:after="0" w:line="360" w:lineRule="auto"/>
        <w:jc w:val="both"/>
        <w:rPr>
          <w:rFonts w:ascii="Book Antiqua" w:hAnsi="Book Antiqua"/>
          <w:color w:val="000000"/>
          <w:sz w:val="24"/>
          <w:szCs w:val="24"/>
        </w:rPr>
      </w:pPr>
      <w:r w:rsidRPr="00E13321">
        <w:rPr>
          <w:rFonts w:ascii="Book Antiqua" w:hAnsi="Book Antiqua"/>
          <w:color w:val="000000"/>
          <w:sz w:val="24"/>
          <w:szCs w:val="24"/>
        </w:rPr>
        <w:t xml:space="preserve">Thirty-three consecutive patients were included. Median follow-up of surviving patients was 32 mo. R0 resection was obtained in 30 (91) patients. Twelve patients (36) have a pathological complete response and 8 (24) patients a nearly complete pathological response. </w:t>
      </w:r>
    </w:p>
    <w:p w14:paraId="2244BE3E" w14:textId="77777777" w:rsidR="005813DE" w:rsidRPr="00E13321" w:rsidRDefault="005813DE">
      <w:pPr>
        <w:spacing w:after="0" w:line="360" w:lineRule="auto"/>
        <w:jc w:val="both"/>
        <w:rPr>
          <w:rFonts w:ascii="Book Antiqua" w:hAnsi="Book Antiqua"/>
          <w:color w:val="000000"/>
          <w:sz w:val="24"/>
          <w:szCs w:val="24"/>
        </w:rPr>
      </w:pPr>
    </w:p>
    <w:p w14:paraId="424315AF" w14:textId="77777777" w:rsidR="005813DE" w:rsidRPr="00E13321" w:rsidRDefault="0088790D">
      <w:pPr>
        <w:spacing w:after="0" w:line="360" w:lineRule="auto"/>
        <w:jc w:val="both"/>
        <w:rPr>
          <w:rFonts w:ascii="Book Antiqua" w:eastAsia="Times New Roman" w:hAnsi="Book Antiqua"/>
          <w:b/>
          <w:bCs/>
          <w:i/>
          <w:iCs/>
          <w:color w:val="000000"/>
          <w:sz w:val="24"/>
          <w:szCs w:val="24"/>
          <w:lang w:val="en-US" w:eastAsia="fr-FR"/>
        </w:rPr>
      </w:pPr>
      <w:r w:rsidRPr="00E13321">
        <w:rPr>
          <w:rFonts w:ascii="Book Antiqua" w:eastAsia="Times New Roman" w:hAnsi="Book Antiqua"/>
          <w:b/>
          <w:bCs/>
          <w:i/>
          <w:iCs/>
          <w:color w:val="000000"/>
          <w:sz w:val="24"/>
          <w:szCs w:val="24"/>
          <w:lang w:val="en-US" w:eastAsia="fr-FR"/>
        </w:rPr>
        <w:t>Research conclusions</w:t>
      </w:r>
    </w:p>
    <w:p w14:paraId="22A3A727" w14:textId="77777777" w:rsidR="005813DE" w:rsidRPr="00E13321" w:rsidRDefault="0088790D">
      <w:pPr>
        <w:spacing w:after="0" w:line="360" w:lineRule="auto"/>
        <w:jc w:val="both"/>
        <w:rPr>
          <w:rFonts w:ascii="Book Antiqua" w:hAnsi="Book Antiqua"/>
          <w:color w:val="000000"/>
          <w:sz w:val="24"/>
          <w:szCs w:val="24"/>
        </w:rPr>
      </w:pPr>
      <w:r w:rsidRPr="00E13321">
        <w:rPr>
          <w:rFonts w:ascii="Book Antiqua" w:hAnsi="Book Antiqua"/>
          <w:color w:val="000000"/>
          <w:sz w:val="24"/>
          <w:szCs w:val="24"/>
        </w:rPr>
        <w:t xml:space="preserve">TeFOX regimen could be safely administrated in perioperative treatment of localized GC. </w:t>
      </w:r>
    </w:p>
    <w:p w14:paraId="7B504F11" w14:textId="77777777" w:rsidR="005813DE" w:rsidRPr="00E13321" w:rsidRDefault="005813DE">
      <w:pPr>
        <w:spacing w:after="0" w:line="360" w:lineRule="auto"/>
        <w:jc w:val="both"/>
        <w:rPr>
          <w:rFonts w:ascii="Book Antiqua" w:hAnsi="Book Antiqua"/>
          <w:color w:val="000000"/>
          <w:sz w:val="24"/>
          <w:szCs w:val="24"/>
        </w:rPr>
      </w:pPr>
    </w:p>
    <w:p w14:paraId="52F63F74" w14:textId="77777777" w:rsidR="005813DE" w:rsidRPr="00E13321" w:rsidRDefault="0088790D">
      <w:pPr>
        <w:spacing w:after="0" w:line="360" w:lineRule="auto"/>
        <w:jc w:val="both"/>
        <w:rPr>
          <w:rFonts w:ascii="Book Antiqua" w:eastAsia="Times New Roman" w:hAnsi="Book Antiqua"/>
          <w:b/>
          <w:bCs/>
          <w:i/>
          <w:iCs/>
          <w:color w:val="000000"/>
          <w:sz w:val="24"/>
          <w:szCs w:val="24"/>
          <w:lang w:val="en-US" w:eastAsia="fr-FR"/>
        </w:rPr>
      </w:pPr>
      <w:r w:rsidRPr="00E13321">
        <w:rPr>
          <w:rFonts w:ascii="Book Antiqua" w:eastAsia="Times New Roman" w:hAnsi="Book Antiqua"/>
          <w:b/>
          <w:bCs/>
          <w:i/>
          <w:iCs/>
          <w:color w:val="000000"/>
          <w:sz w:val="24"/>
          <w:szCs w:val="24"/>
          <w:lang w:val="en-US" w:eastAsia="fr-FR"/>
        </w:rPr>
        <w:t>Research perspectives</w:t>
      </w:r>
    </w:p>
    <w:p w14:paraId="4BED1DC8" w14:textId="77777777" w:rsidR="005813DE" w:rsidRPr="00E13321" w:rsidRDefault="0088790D">
      <w:pPr>
        <w:spacing w:after="0" w:line="360" w:lineRule="auto"/>
        <w:jc w:val="both"/>
        <w:rPr>
          <w:rFonts w:ascii="Book Antiqua" w:hAnsi="Book Antiqua"/>
          <w:color w:val="000000"/>
          <w:sz w:val="24"/>
          <w:szCs w:val="24"/>
        </w:rPr>
      </w:pPr>
      <w:r w:rsidRPr="00E13321">
        <w:rPr>
          <w:rFonts w:ascii="Book Antiqua" w:hAnsi="Book Antiqua"/>
          <w:color w:val="000000"/>
          <w:sz w:val="24"/>
          <w:szCs w:val="24"/>
        </w:rPr>
        <w:t>TeFOX and the FLOT regimen have comparable efficacy and safety profiles and could be considered as an alternative regimen.</w:t>
      </w:r>
    </w:p>
    <w:p w14:paraId="629C56EC" w14:textId="77777777" w:rsidR="005813DE" w:rsidRPr="00E13321" w:rsidRDefault="005813DE">
      <w:pPr>
        <w:pStyle w:val="EndNoteBibliography"/>
        <w:spacing w:after="0" w:line="360" w:lineRule="auto"/>
        <w:jc w:val="both"/>
        <w:rPr>
          <w:rFonts w:ascii="Book Antiqua" w:hAnsi="Book Antiqua" w:cs="Times New Roman"/>
          <w:b/>
          <w:color w:val="000000"/>
          <w:sz w:val="24"/>
          <w:szCs w:val="24"/>
        </w:rPr>
      </w:pPr>
    </w:p>
    <w:p w14:paraId="22BF90B3" w14:textId="77777777" w:rsidR="005813DE" w:rsidRPr="00E13321" w:rsidRDefault="0088790D">
      <w:pPr>
        <w:pStyle w:val="EndNoteBibliography"/>
        <w:spacing w:after="0" w:line="360" w:lineRule="auto"/>
        <w:jc w:val="both"/>
        <w:rPr>
          <w:rFonts w:ascii="Book Antiqua" w:hAnsi="Book Antiqua" w:cs="Times New Roman"/>
          <w:b/>
          <w:color w:val="000000"/>
          <w:sz w:val="24"/>
          <w:szCs w:val="24"/>
        </w:rPr>
      </w:pPr>
      <w:r w:rsidRPr="00E13321">
        <w:rPr>
          <w:rFonts w:ascii="Book Antiqua" w:hAnsi="Book Antiqua" w:cs="Times New Roman"/>
          <w:b/>
          <w:color w:val="000000"/>
          <w:sz w:val="24"/>
          <w:szCs w:val="24"/>
        </w:rPr>
        <w:t>REFERENCES</w:t>
      </w:r>
      <w:bookmarkEnd w:id="142"/>
      <w:bookmarkEnd w:id="143"/>
      <w:bookmarkEnd w:id="144"/>
    </w:p>
    <w:p w14:paraId="2A1EEB43" w14:textId="77777777" w:rsidR="005813DE" w:rsidRPr="00E13321" w:rsidRDefault="0088790D">
      <w:pPr>
        <w:widowControl w:val="0"/>
        <w:spacing w:after="0" w:line="360" w:lineRule="auto"/>
        <w:jc w:val="both"/>
        <w:rPr>
          <w:rFonts w:ascii="Book Antiqua" w:hAnsi="Book Antiqua"/>
          <w:color w:val="000000"/>
          <w:kern w:val="2"/>
          <w:sz w:val="24"/>
          <w:szCs w:val="24"/>
          <w:lang w:val="en-US" w:eastAsia="zh-CN"/>
        </w:rPr>
      </w:pPr>
      <w:r w:rsidRPr="00E13321">
        <w:rPr>
          <w:rFonts w:ascii="Book Antiqua" w:hAnsi="Book Antiqua"/>
          <w:color w:val="000000"/>
          <w:kern w:val="2"/>
          <w:sz w:val="24"/>
          <w:szCs w:val="24"/>
          <w:lang w:val="en-US" w:eastAsia="zh-CN"/>
        </w:rPr>
        <w:t xml:space="preserve">1 </w:t>
      </w:r>
      <w:r w:rsidRPr="00E13321">
        <w:rPr>
          <w:rFonts w:ascii="Book Antiqua" w:hAnsi="Book Antiqua"/>
          <w:b/>
          <w:color w:val="000000"/>
          <w:kern w:val="2"/>
          <w:sz w:val="24"/>
          <w:szCs w:val="24"/>
          <w:lang w:val="en-US" w:eastAsia="zh-CN"/>
        </w:rPr>
        <w:t>Ferlay J</w:t>
      </w:r>
      <w:r w:rsidRPr="00E13321">
        <w:rPr>
          <w:rFonts w:ascii="Book Antiqua" w:hAnsi="Book Antiqua"/>
          <w:color w:val="000000"/>
          <w:kern w:val="2"/>
          <w:sz w:val="24"/>
          <w:szCs w:val="24"/>
          <w:lang w:val="en-US" w:eastAsia="zh-CN"/>
        </w:rPr>
        <w:t xml:space="preserve">, Colombet M, Soerjomataram I, Mathers C, Parkin DM, Piñeros M, Znaor A, Bray F. Estimating the global cancer incidence and mortality in 2018: GLOBOCAN sources and methods. </w:t>
      </w:r>
      <w:r w:rsidRPr="00E13321">
        <w:rPr>
          <w:rFonts w:ascii="Book Antiqua" w:hAnsi="Book Antiqua"/>
          <w:i/>
          <w:color w:val="000000"/>
          <w:kern w:val="2"/>
          <w:sz w:val="24"/>
          <w:szCs w:val="24"/>
          <w:lang w:val="en-US" w:eastAsia="zh-CN"/>
        </w:rPr>
        <w:t>Int J Cancer</w:t>
      </w:r>
      <w:r w:rsidRPr="00E13321">
        <w:rPr>
          <w:rFonts w:ascii="Book Antiqua" w:hAnsi="Book Antiqua"/>
          <w:color w:val="000000"/>
          <w:kern w:val="2"/>
          <w:sz w:val="24"/>
          <w:szCs w:val="24"/>
          <w:lang w:val="en-US" w:eastAsia="zh-CN"/>
        </w:rPr>
        <w:t xml:space="preserve"> 2019; </w:t>
      </w:r>
      <w:r w:rsidRPr="00E13321">
        <w:rPr>
          <w:rFonts w:ascii="Book Antiqua" w:hAnsi="Book Antiqua"/>
          <w:b/>
          <w:color w:val="000000"/>
          <w:kern w:val="2"/>
          <w:sz w:val="24"/>
          <w:szCs w:val="24"/>
          <w:lang w:val="en-US" w:eastAsia="zh-CN"/>
        </w:rPr>
        <w:t>144</w:t>
      </w:r>
      <w:r w:rsidRPr="00E13321">
        <w:rPr>
          <w:rFonts w:ascii="Book Antiqua" w:hAnsi="Book Antiqua"/>
          <w:color w:val="000000"/>
          <w:kern w:val="2"/>
          <w:sz w:val="24"/>
          <w:szCs w:val="24"/>
          <w:lang w:val="en-US" w:eastAsia="zh-CN"/>
        </w:rPr>
        <w:t>: 1941-1953 [PMID: 30350310 DOI: 10.1002/ijc.31937]</w:t>
      </w:r>
    </w:p>
    <w:p w14:paraId="7F3420B5" w14:textId="77777777" w:rsidR="005813DE" w:rsidRPr="00E13321" w:rsidRDefault="0088790D">
      <w:pPr>
        <w:widowControl w:val="0"/>
        <w:spacing w:after="0" w:line="360" w:lineRule="auto"/>
        <w:jc w:val="both"/>
        <w:rPr>
          <w:rFonts w:ascii="Book Antiqua" w:hAnsi="Book Antiqua"/>
          <w:color w:val="000000"/>
          <w:kern w:val="2"/>
          <w:sz w:val="24"/>
          <w:szCs w:val="24"/>
          <w:lang w:val="en-US" w:eastAsia="zh-CN"/>
        </w:rPr>
      </w:pPr>
      <w:r w:rsidRPr="00E13321">
        <w:rPr>
          <w:rFonts w:ascii="Book Antiqua" w:hAnsi="Book Antiqua"/>
          <w:color w:val="000000"/>
          <w:kern w:val="2"/>
          <w:sz w:val="24"/>
          <w:szCs w:val="24"/>
          <w:lang w:val="en-US" w:eastAsia="zh-CN"/>
        </w:rPr>
        <w:t xml:space="preserve">2 </w:t>
      </w:r>
      <w:r w:rsidRPr="00E13321">
        <w:rPr>
          <w:rFonts w:ascii="Book Antiqua" w:hAnsi="Book Antiqua"/>
          <w:b/>
          <w:color w:val="000000"/>
          <w:kern w:val="2"/>
          <w:sz w:val="24"/>
          <w:szCs w:val="24"/>
          <w:lang w:val="en-US" w:eastAsia="zh-CN"/>
        </w:rPr>
        <w:t>Cunningham D</w:t>
      </w:r>
      <w:r w:rsidRPr="00E13321">
        <w:rPr>
          <w:rFonts w:ascii="Book Antiqua" w:hAnsi="Book Antiqua"/>
          <w:color w:val="000000"/>
          <w:kern w:val="2"/>
          <w:sz w:val="24"/>
          <w:szCs w:val="24"/>
          <w:lang w:val="en-US" w:eastAsia="zh-CN"/>
        </w:rPr>
        <w:t xml:space="preserve">, Allum WH, Stenning SP, Thompson JN, Van de Velde CJ, Nicolson M, Scarffe JH, Lofts FJ, Falk SJ, Iveson TJ, Smith DB, Langley RE, Verma M, Weeden S, Chua YJ, MAGIC Trial Participants. Perioperative chemotherapy versus surgery alone for resectable gastroesophageal cancer. </w:t>
      </w:r>
      <w:r w:rsidRPr="00E13321">
        <w:rPr>
          <w:rFonts w:ascii="Book Antiqua" w:hAnsi="Book Antiqua"/>
          <w:i/>
          <w:color w:val="000000"/>
          <w:kern w:val="2"/>
          <w:sz w:val="24"/>
          <w:szCs w:val="24"/>
          <w:lang w:val="en-US" w:eastAsia="zh-CN"/>
        </w:rPr>
        <w:t>N Engl J Med</w:t>
      </w:r>
      <w:r w:rsidRPr="00E13321">
        <w:rPr>
          <w:rFonts w:ascii="Book Antiqua" w:hAnsi="Book Antiqua"/>
          <w:color w:val="000000"/>
          <w:kern w:val="2"/>
          <w:sz w:val="24"/>
          <w:szCs w:val="24"/>
          <w:lang w:val="en-US" w:eastAsia="zh-CN"/>
        </w:rPr>
        <w:t xml:space="preserve"> 2006; </w:t>
      </w:r>
      <w:r w:rsidRPr="00E13321">
        <w:rPr>
          <w:rFonts w:ascii="Book Antiqua" w:hAnsi="Book Antiqua"/>
          <w:b/>
          <w:color w:val="000000"/>
          <w:kern w:val="2"/>
          <w:sz w:val="24"/>
          <w:szCs w:val="24"/>
          <w:lang w:val="en-US" w:eastAsia="zh-CN"/>
        </w:rPr>
        <w:t>355</w:t>
      </w:r>
      <w:r w:rsidRPr="00E13321">
        <w:rPr>
          <w:rFonts w:ascii="Book Antiqua" w:hAnsi="Book Antiqua"/>
          <w:color w:val="000000"/>
          <w:kern w:val="2"/>
          <w:sz w:val="24"/>
          <w:szCs w:val="24"/>
          <w:lang w:val="en-US" w:eastAsia="zh-CN"/>
        </w:rPr>
        <w:t>: 11-20 [PMID: 16822992 DOI: 10.1056/NEJMoa055531]</w:t>
      </w:r>
    </w:p>
    <w:p w14:paraId="0DD7C8E0" w14:textId="77777777" w:rsidR="005813DE" w:rsidRPr="00E13321" w:rsidRDefault="0088790D">
      <w:pPr>
        <w:widowControl w:val="0"/>
        <w:spacing w:after="0" w:line="360" w:lineRule="auto"/>
        <w:jc w:val="both"/>
        <w:rPr>
          <w:rFonts w:ascii="Book Antiqua" w:hAnsi="Book Antiqua"/>
          <w:color w:val="000000"/>
          <w:kern w:val="2"/>
          <w:sz w:val="24"/>
          <w:szCs w:val="24"/>
          <w:lang w:val="en-US" w:eastAsia="zh-CN"/>
        </w:rPr>
      </w:pPr>
      <w:r w:rsidRPr="00E13321">
        <w:rPr>
          <w:rFonts w:ascii="Book Antiqua" w:hAnsi="Book Antiqua"/>
          <w:color w:val="000000"/>
          <w:kern w:val="2"/>
          <w:sz w:val="24"/>
          <w:szCs w:val="24"/>
          <w:lang w:val="en-US" w:eastAsia="zh-CN"/>
        </w:rPr>
        <w:t xml:space="preserve">3 </w:t>
      </w:r>
      <w:r w:rsidRPr="00E13321">
        <w:rPr>
          <w:rFonts w:ascii="Book Antiqua" w:hAnsi="Book Antiqua"/>
          <w:b/>
          <w:color w:val="000000"/>
          <w:kern w:val="2"/>
          <w:sz w:val="24"/>
          <w:szCs w:val="24"/>
          <w:lang w:val="en-US" w:eastAsia="zh-CN"/>
        </w:rPr>
        <w:t>Ychou M</w:t>
      </w:r>
      <w:r w:rsidRPr="00E13321">
        <w:rPr>
          <w:rFonts w:ascii="Book Antiqua" w:hAnsi="Book Antiqua"/>
          <w:color w:val="000000"/>
          <w:kern w:val="2"/>
          <w:sz w:val="24"/>
          <w:szCs w:val="24"/>
          <w:lang w:val="en-US" w:eastAsia="zh-CN"/>
        </w:rPr>
        <w:t xml:space="preserve">, Boige V, Pignon JP, Conroy T, Bouché O, Lebreton G, Ducourtieux M, Bedenne L, Fabre JM, Saint-Aubert B, Genève J, Lasser P, Rougier P. Perioperative chemotherapy compared with surgery alone for resectable gastroesophageal adenocarcinoma: an FNCLCC and FFCD multicenter phase III trial. </w:t>
      </w:r>
      <w:r w:rsidRPr="00E13321">
        <w:rPr>
          <w:rFonts w:ascii="Book Antiqua" w:hAnsi="Book Antiqua"/>
          <w:i/>
          <w:color w:val="000000"/>
          <w:kern w:val="2"/>
          <w:sz w:val="24"/>
          <w:szCs w:val="24"/>
          <w:lang w:val="en-US" w:eastAsia="zh-CN"/>
        </w:rPr>
        <w:t>J Clin Oncol</w:t>
      </w:r>
      <w:r w:rsidRPr="00E13321">
        <w:rPr>
          <w:rFonts w:ascii="Book Antiqua" w:hAnsi="Book Antiqua"/>
          <w:color w:val="000000"/>
          <w:kern w:val="2"/>
          <w:sz w:val="24"/>
          <w:szCs w:val="24"/>
          <w:lang w:val="en-US" w:eastAsia="zh-CN"/>
        </w:rPr>
        <w:t xml:space="preserve"> 2011; </w:t>
      </w:r>
      <w:r w:rsidRPr="00E13321">
        <w:rPr>
          <w:rFonts w:ascii="Book Antiqua" w:hAnsi="Book Antiqua"/>
          <w:b/>
          <w:color w:val="000000"/>
          <w:kern w:val="2"/>
          <w:sz w:val="24"/>
          <w:szCs w:val="24"/>
          <w:lang w:val="en-US" w:eastAsia="zh-CN"/>
        </w:rPr>
        <w:t>29</w:t>
      </w:r>
      <w:r w:rsidRPr="00E13321">
        <w:rPr>
          <w:rFonts w:ascii="Book Antiqua" w:hAnsi="Book Antiqua"/>
          <w:color w:val="000000"/>
          <w:kern w:val="2"/>
          <w:sz w:val="24"/>
          <w:szCs w:val="24"/>
          <w:lang w:val="en-US" w:eastAsia="zh-CN"/>
        </w:rPr>
        <w:t>: 1715-1721 [PMID: 21444866 DOI: 10.1200/JCO.2010.33.0597]</w:t>
      </w:r>
    </w:p>
    <w:p w14:paraId="2A41FC70" w14:textId="77777777" w:rsidR="005813DE" w:rsidRPr="00E13321" w:rsidRDefault="0088790D">
      <w:pPr>
        <w:widowControl w:val="0"/>
        <w:spacing w:after="0" w:line="360" w:lineRule="auto"/>
        <w:jc w:val="both"/>
        <w:rPr>
          <w:rFonts w:ascii="Book Antiqua" w:hAnsi="Book Antiqua"/>
          <w:color w:val="000000"/>
          <w:kern w:val="2"/>
          <w:sz w:val="24"/>
          <w:szCs w:val="24"/>
          <w:lang w:val="en-US" w:eastAsia="zh-CN"/>
        </w:rPr>
      </w:pPr>
      <w:r w:rsidRPr="00E13321">
        <w:rPr>
          <w:rFonts w:ascii="Book Antiqua" w:hAnsi="Book Antiqua"/>
          <w:color w:val="000000"/>
          <w:kern w:val="2"/>
          <w:sz w:val="24"/>
          <w:szCs w:val="24"/>
          <w:lang w:val="en-US" w:eastAsia="zh-CN"/>
        </w:rPr>
        <w:t xml:space="preserve">4 </w:t>
      </w:r>
      <w:r w:rsidRPr="00E13321">
        <w:rPr>
          <w:rFonts w:ascii="Book Antiqua" w:hAnsi="Book Antiqua"/>
          <w:b/>
          <w:color w:val="000000"/>
          <w:kern w:val="2"/>
          <w:sz w:val="24"/>
          <w:szCs w:val="24"/>
          <w:lang w:val="en-US" w:eastAsia="zh-CN"/>
        </w:rPr>
        <w:t>Bang YJ</w:t>
      </w:r>
      <w:r w:rsidRPr="00E13321">
        <w:rPr>
          <w:rFonts w:ascii="Book Antiqua" w:hAnsi="Book Antiqua"/>
          <w:color w:val="000000"/>
          <w:kern w:val="2"/>
          <w:sz w:val="24"/>
          <w:szCs w:val="24"/>
          <w:lang w:val="en-US" w:eastAsia="zh-CN"/>
        </w:rPr>
        <w:t xml:space="preserve">, Van Cutsem E, Feyereislova A, Chung HC, Shen L, Sawaki A, Lordick F, Ohtsu A, Omuro Y, Satoh T, Aprile G, Kulikov E, Hill J, Lehle M, Rüschoff J, Kang YK; ToGA Trial Investigators. Trastuzumab in combination with chemotherapy versus chemotherapy alone for treatment of HER2-positive advanced gastric or gastro-oesophageal junction cancer (ToGA): a phase 3, open-label, randomised controlled trial. </w:t>
      </w:r>
      <w:r w:rsidRPr="00E13321">
        <w:rPr>
          <w:rFonts w:ascii="Book Antiqua" w:hAnsi="Book Antiqua"/>
          <w:i/>
          <w:color w:val="000000"/>
          <w:kern w:val="2"/>
          <w:sz w:val="24"/>
          <w:szCs w:val="24"/>
          <w:lang w:val="en-US" w:eastAsia="zh-CN"/>
        </w:rPr>
        <w:t>Lancet</w:t>
      </w:r>
      <w:r w:rsidRPr="00E13321">
        <w:rPr>
          <w:rFonts w:ascii="Book Antiqua" w:hAnsi="Book Antiqua"/>
          <w:color w:val="000000"/>
          <w:kern w:val="2"/>
          <w:sz w:val="24"/>
          <w:szCs w:val="24"/>
          <w:lang w:val="en-US" w:eastAsia="zh-CN"/>
        </w:rPr>
        <w:t xml:space="preserve"> 2010; </w:t>
      </w:r>
      <w:r w:rsidRPr="00E13321">
        <w:rPr>
          <w:rFonts w:ascii="Book Antiqua" w:hAnsi="Book Antiqua"/>
          <w:b/>
          <w:color w:val="000000"/>
          <w:kern w:val="2"/>
          <w:sz w:val="24"/>
          <w:szCs w:val="24"/>
          <w:lang w:val="en-US" w:eastAsia="zh-CN"/>
        </w:rPr>
        <w:t>376</w:t>
      </w:r>
      <w:r w:rsidRPr="00E13321">
        <w:rPr>
          <w:rFonts w:ascii="Book Antiqua" w:hAnsi="Book Antiqua"/>
          <w:color w:val="000000"/>
          <w:kern w:val="2"/>
          <w:sz w:val="24"/>
          <w:szCs w:val="24"/>
          <w:lang w:val="en-US" w:eastAsia="zh-CN"/>
        </w:rPr>
        <w:t>: 687-697 [PMID: 20728210 DOI: 10.1016/S0140-6736(10)61121-X]</w:t>
      </w:r>
    </w:p>
    <w:p w14:paraId="407E1DF8" w14:textId="77777777" w:rsidR="005813DE" w:rsidRPr="00E13321" w:rsidRDefault="0088790D">
      <w:pPr>
        <w:widowControl w:val="0"/>
        <w:spacing w:after="0" w:line="360" w:lineRule="auto"/>
        <w:jc w:val="both"/>
        <w:rPr>
          <w:rFonts w:ascii="Book Antiqua" w:hAnsi="Book Antiqua"/>
          <w:color w:val="000000"/>
          <w:kern w:val="2"/>
          <w:sz w:val="24"/>
          <w:szCs w:val="24"/>
          <w:lang w:val="en-US" w:eastAsia="zh-CN"/>
        </w:rPr>
      </w:pPr>
      <w:r w:rsidRPr="00E13321">
        <w:rPr>
          <w:rFonts w:ascii="Book Antiqua" w:hAnsi="Book Antiqua"/>
          <w:color w:val="000000"/>
          <w:kern w:val="2"/>
          <w:sz w:val="24"/>
          <w:szCs w:val="24"/>
          <w:lang w:val="en-US" w:eastAsia="zh-CN"/>
        </w:rPr>
        <w:t xml:space="preserve">5 </w:t>
      </w:r>
      <w:r w:rsidRPr="00E13321">
        <w:rPr>
          <w:rFonts w:ascii="Book Antiqua" w:hAnsi="Book Antiqua"/>
          <w:b/>
          <w:color w:val="000000"/>
          <w:kern w:val="2"/>
          <w:sz w:val="24"/>
          <w:szCs w:val="24"/>
          <w:lang w:val="en-US" w:eastAsia="zh-CN"/>
        </w:rPr>
        <w:t>Plum PS</w:t>
      </w:r>
      <w:r w:rsidRPr="00E13321">
        <w:rPr>
          <w:rFonts w:ascii="Book Antiqua" w:hAnsi="Book Antiqua"/>
          <w:color w:val="000000"/>
          <w:kern w:val="2"/>
          <w:sz w:val="24"/>
          <w:szCs w:val="24"/>
          <w:lang w:val="en-US" w:eastAsia="zh-CN"/>
        </w:rPr>
        <w:t xml:space="preserve">, Gebauer F, Krämer M, Alakus H, Berlth F, Chon SH, Schiffmann L, Zander T, Büttner R, Hölscher AH, Bruns CJ, Quaas A, Loeser H. HER2/neu (ERBB2) expression and gene amplification correlates with better survival in esophageal adenocarcinoma. </w:t>
      </w:r>
      <w:r w:rsidRPr="00E13321">
        <w:rPr>
          <w:rFonts w:ascii="Book Antiqua" w:hAnsi="Book Antiqua"/>
          <w:i/>
          <w:color w:val="000000"/>
          <w:kern w:val="2"/>
          <w:sz w:val="24"/>
          <w:szCs w:val="24"/>
          <w:lang w:val="en-US" w:eastAsia="zh-CN"/>
        </w:rPr>
        <w:t>BMC Cancer</w:t>
      </w:r>
      <w:r w:rsidRPr="00E13321">
        <w:rPr>
          <w:rFonts w:ascii="Book Antiqua" w:hAnsi="Book Antiqua"/>
          <w:color w:val="000000"/>
          <w:kern w:val="2"/>
          <w:sz w:val="24"/>
          <w:szCs w:val="24"/>
          <w:lang w:val="en-US" w:eastAsia="zh-CN"/>
        </w:rPr>
        <w:t xml:space="preserve"> 2019; </w:t>
      </w:r>
      <w:r w:rsidRPr="00E13321">
        <w:rPr>
          <w:rFonts w:ascii="Book Antiqua" w:hAnsi="Book Antiqua"/>
          <w:b/>
          <w:color w:val="000000"/>
          <w:kern w:val="2"/>
          <w:sz w:val="24"/>
          <w:szCs w:val="24"/>
          <w:lang w:val="en-US" w:eastAsia="zh-CN"/>
        </w:rPr>
        <w:t>19</w:t>
      </w:r>
      <w:r w:rsidRPr="00E13321">
        <w:rPr>
          <w:rFonts w:ascii="Book Antiqua" w:hAnsi="Book Antiqua"/>
          <w:color w:val="000000"/>
          <w:kern w:val="2"/>
          <w:sz w:val="24"/>
          <w:szCs w:val="24"/>
          <w:lang w:val="en-US" w:eastAsia="zh-CN"/>
        </w:rPr>
        <w:t>: 38 [PMID: 30621632 DOI: 10.1186/s12885-018-5242-4]</w:t>
      </w:r>
    </w:p>
    <w:p w14:paraId="41507F4C" w14:textId="77777777" w:rsidR="005813DE" w:rsidRPr="00E13321" w:rsidRDefault="0088790D">
      <w:pPr>
        <w:widowControl w:val="0"/>
        <w:spacing w:after="0" w:line="360" w:lineRule="auto"/>
        <w:jc w:val="both"/>
        <w:rPr>
          <w:rFonts w:ascii="Book Antiqua" w:hAnsi="Book Antiqua"/>
          <w:color w:val="000000"/>
          <w:kern w:val="2"/>
          <w:sz w:val="24"/>
          <w:szCs w:val="24"/>
          <w:lang w:val="en-US" w:eastAsia="zh-CN"/>
        </w:rPr>
      </w:pPr>
      <w:r w:rsidRPr="00E13321">
        <w:rPr>
          <w:rFonts w:ascii="Book Antiqua" w:hAnsi="Book Antiqua"/>
          <w:color w:val="000000"/>
          <w:kern w:val="2"/>
          <w:sz w:val="24"/>
          <w:szCs w:val="24"/>
          <w:lang w:val="en-US" w:eastAsia="zh-CN"/>
        </w:rPr>
        <w:t xml:space="preserve">6 </w:t>
      </w:r>
      <w:r w:rsidRPr="00E13321">
        <w:rPr>
          <w:rFonts w:ascii="Book Antiqua" w:hAnsi="Book Antiqua"/>
          <w:b/>
          <w:color w:val="000000"/>
          <w:kern w:val="2"/>
          <w:sz w:val="24"/>
          <w:szCs w:val="24"/>
          <w:lang w:val="en-US" w:eastAsia="zh-CN"/>
        </w:rPr>
        <w:t>Al-Batran SE</w:t>
      </w:r>
      <w:r w:rsidRPr="00E13321">
        <w:rPr>
          <w:rFonts w:ascii="Book Antiqua" w:hAnsi="Book Antiqua"/>
          <w:color w:val="000000"/>
          <w:kern w:val="2"/>
          <w:sz w:val="24"/>
          <w:szCs w:val="24"/>
          <w:lang w:val="en-US" w:eastAsia="zh-CN"/>
        </w:rPr>
        <w:t xml:space="preserve">, Hofheinz RD, Pauligk C, Kopp HG, Haag GM, Luley KB, Meiler J, Homann N, Lorenzen S, Schmalenberg H, Probst S, Koenigsmann M, Egger M, Prasnikar N, Caca K, Trojan J, Martens UM, Block A, Fischbach W, Mahlberg R, Clemens M, Illerhaus G, Zirlik K, Behringer DM, Schmiegel W, Pohl M, Heike M, Ronellenfitsch U, Schuler M, Bechstein WO, Königsrainer A, Gaiser T, Schirmacher P, Hozaeel W, Reichart A, Goetze TO, Sievert M, Jäger E, Mönig S, Tannapfel A. Histopathological regression after neoadjuvant docetaxel, oxaliplatin, fluorouracil, and leucovorin versus epirubicin, cisplatin, and fluorouracil or capecitabine in patients with resectable gastric or gastro-oesophageal junction adenocarcinoma (FLOT4-AIO): results from the phase 2 part of a multicentre, open-label, randomised phase 2/3 trial. </w:t>
      </w:r>
      <w:r w:rsidRPr="00E13321">
        <w:rPr>
          <w:rFonts w:ascii="Book Antiqua" w:hAnsi="Book Antiqua"/>
          <w:i/>
          <w:color w:val="000000"/>
          <w:kern w:val="2"/>
          <w:sz w:val="24"/>
          <w:szCs w:val="24"/>
          <w:lang w:val="en-US" w:eastAsia="zh-CN"/>
        </w:rPr>
        <w:t>Lancet Oncol</w:t>
      </w:r>
      <w:r w:rsidRPr="00E13321">
        <w:rPr>
          <w:rFonts w:ascii="Book Antiqua" w:hAnsi="Book Antiqua"/>
          <w:color w:val="000000"/>
          <w:kern w:val="2"/>
          <w:sz w:val="24"/>
          <w:szCs w:val="24"/>
          <w:lang w:val="en-US" w:eastAsia="zh-CN"/>
        </w:rPr>
        <w:t xml:space="preserve"> 2016; </w:t>
      </w:r>
      <w:r w:rsidRPr="00E13321">
        <w:rPr>
          <w:rFonts w:ascii="Book Antiqua" w:hAnsi="Book Antiqua"/>
          <w:b/>
          <w:color w:val="000000"/>
          <w:kern w:val="2"/>
          <w:sz w:val="24"/>
          <w:szCs w:val="24"/>
          <w:lang w:val="en-US" w:eastAsia="zh-CN"/>
        </w:rPr>
        <w:t>17</w:t>
      </w:r>
      <w:r w:rsidRPr="00E13321">
        <w:rPr>
          <w:rFonts w:ascii="Book Antiqua" w:hAnsi="Book Antiqua"/>
          <w:color w:val="000000"/>
          <w:kern w:val="2"/>
          <w:sz w:val="24"/>
          <w:szCs w:val="24"/>
          <w:lang w:val="en-US" w:eastAsia="zh-CN"/>
        </w:rPr>
        <w:t>: 1697-1708 [PMID: 27776843 DOI: 10.1016/S1470-2045(16)30531-9]</w:t>
      </w:r>
    </w:p>
    <w:p w14:paraId="48305608" w14:textId="77777777" w:rsidR="005813DE" w:rsidRPr="00E13321" w:rsidRDefault="0088790D">
      <w:pPr>
        <w:widowControl w:val="0"/>
        <w:spacing w:after="0" w:line="360" w:lineRule="auto"/>
        <w:jc w:val="both"/>
        <w:rPr>
          <w:rFonts w:ascii="Book Antiqua" w:hAnsi="Book Antiqua"/>
          <w:color w:val="000000"/>
          <w:kern w:val="2"/>
          <w:sz w:val="24"/>
          <w:szCs w:val="24"/>
          <w:lang w:val="en-US" w:eastAsia="zh-CN"/>
        </w:rPr>
      </w:pPr>
      <w:r w:rsidRPr="00E13321">
        <w:rPr>
          <w:rFonts w:ascii="Book Antiqua" w:hAnsi="Book Antiqua"/>
          <w:color w:val="000000"/>
          <w:kern w:val="2"/>
          <w:sz w:val="24"/>
          <w:szCs w:val="24"/>
          <w:lang w:val="en-US" w:eastAsia="zh-CN"/>
        </w:rPr>
        <w:t xml:space="preserve">7 </w:t>
      </w:r>
      <w:r w:rsidRPr="00E13321">
        <w:rPr>
          <w:rFonts w:ascii="Book Antiqua" w:hAnsi="Book Antiqua"/>
          <w:b/>
          <w:color w:val="000000"/>
          <w:kern w:val="2"/>
          <w:sz w:val="24"/>
          <w:szCs w:val="24"/>
          <w:lang w:val="en-US" w:eastAsia="zh-CN"/>
        </w:rPr>
        <w:t>Al-Batran SE</w:t>
      </w:r>
      <w:r w:rsidRPr="00E13321">
        <w:rPr>
          <w:rFonts w:ascii="Book Antiqua" w:hAnsi="Book Antiqua"/>
          <w:color w:val="000000"/>
          <w:kern w:val="2"/>
          <w:sz w:val="24"/>
          <w:szCs w:val="24"/>
          <w:lang w:val="en-US" w:eastAsia="zh-CN"/>
        </w:rPr>
        <w:t xml:space="preserve">, Homann N, Pauligk C, Goetze TO, Meiler J, Kasper S, Kopp HG, Mayer F, Haag GM, Luley K, Lindig U, Schmiegel W, Pohl M, Stoehlmacher J, Folprecht G, Probst S, Prasnikar N, Fischbach W, Mahlberg R, Trojan J, Koenigsmann M, Martens UM, Thuss-Patience P, Egger M, Block A, Heinemann V, Illerhaus G, Moehler M, Schenk M, Kullmann F, Behringer DM, Heike M, Pink D, Teschendorf C, Löhr C, Bernhard H, Schuch G, Rethwisch V, von Weikersthal LF, Hartmann JT, Kneba M, Daum S, Schulmann K, Weniger J, Belle S, Gaiser T, Oduncu FS, Güntner M, Hozaeel W, Reichart A, Jäger E, Kraus T, Mönig S, Bechstein WO, Schuler M, Schmalenberg H, Hofheinz RD; FLOT4-AIO Investigators. Perioperative chemotherapy with fluorouracil plus leucovorin, oxaliplatin, and docetaxel versus fluorouracil or capecitabine plus cisplatin and epirubicin for locally advanced, resectable gastric or gastro-oesophageal junction adenocarcinoma (FLOT4): a randomised, phase 2/3 trial. </w:t>
      </w:r>
      <w:r w:rsidRPr="00E13321">
        <w:rPr>
          <w:rFonts w:ascii="Book Antiqua" w:hAnsi="Book Antiqua"/>
          <w:i/>
          <w:color w:val="000000"/>
          <w:kern w:val="2"/>
          <w:sz w:val="24"/>
          <w:szCs w:val="24"/>
          <w:lang w:val="en-US" w:eastAsia="zh-CN"/>
        </w:rPr>
        <w:t>Lancet</w:t>
      </w:r>
      <w:r w:rsidRPr="00E13321">
        <w:rPr>
          <w:rFonts w:ascii="Book Antiqua" w:hAnsi="Book Antiqua"/>
          <w:color w:val="000000"/>
          <w:kern w:val="2"/>
          <w:sz w:val="24"/>
          <w:szCs w:val="24"/>
          <w:lang w:val="en-US" w:eastAsia="zh-CN"/>
        </w:rPr>
        <w:t xml:space="preserve"> 2019; </w:t>
      </w:r>
      <w:r w:rsidRPr="00E13321">
        <w:rPr>
          <w:rFonts w:ascii="Book Antiqua" w:hAnsi="Book Antiqua"/>
          <w:b/>
          <w:color w:val="000000"/>
          <w:kern w:val="2"/>
          <w:sz w:val="24"/>
          <w:szCs w:val="24"/>
          <w:lang w:val="en-US" w:eastAsia="zh-CN"/>
        </w:rPr>
        <w:t>393</w:t>
      </w:r>
      <w:r w:rsidRPr="00E13321">
        <w:rPr>
          <w:rFonts w:ascii="Book Antiqua" w:hAnsi="Book Antiqua"/>
          <w:color w:val="000000"/>
          <w:kern w:val="2"/>
          <w:sz w:val="24"/>
          <w:szCs w:val="24"/>
          <w:lang w:val="en-US" w:eastAsia="zh-CN"/>
        </w:rPr>
        <w:t>: 1948-1957 [PMID: 30982686 DOI: 10.1016/S0140-6736(18)32557-1]</w:t>
      </w:r>
    </w:p>
    <w:p w14:paraId="01615F6E" w14:textId="77777777" w:rsidR="005813DE" w:rsidRPr="00E13321" w:rsidRDefault="0088790D">
      <w:pPr>
        <w:widowControl w:val="0"/>
        <w:spacing w:after="0" w:line="360" w:lineRule="auto"/>
        <w:jc w:val="both"/>
        <w:rPr>
          <w:rFonts w:ascii="Book Antiqua" w:hAnsi="Book Antiqua"/>
          <w:color w:val="000000"/>
          <w:kern w:val="2"/>
          <w:sz w:val="24"/>
          <w:szCs w:val="24"/>
          <w:lang w:val="en-US" w:eastAsia="zh-CN"/>
        </w:rPr>
      </w:pPr>
      <w:r w:rsidRPr="00E13321">
        <w:rPr>
          <w:rFonts w:ascii="Book Antiqua" w:hAnsi="Book Antiqua"/>
          <w:color w:val="000000"/>
          <w:kern w:val="2"/>
          <w:sz w:val="24"/>
          <w:szCs w:val="24"/>
          <w:lang w:val="en-US" w:eastAsia="zh-CN"/>
        </w:rPr>
        <w:t xml:space="preserve">8 </w:t>
      </w:r>
      <w:r w:rsidRPr="00E13321">
        <w:rPr>
          <w:rFonts w:ascii="Book Antiqua" w:hAnsi="Book Antiqua"/>
          <w:b/>
          <w:color w:val="000000"/>
          <w:kern w:val="2"/>
          <w:sz w:val="24"/>
          <w:szCs w:val="24"/>
          <w:lang w:val="en-US" w:eastAsia="zh-CN"/>
        </w:rPr>
        <w:t>Pernot S</w:t>
      </w:r>
      <w:r w:rsidRPr="00E13321">
        <w:rPr>
          <w:rFonts w:ascii="Book Antiqua" w:hAnsi="Book Antiqua"/>
          <w:color w:val="000000"/>
          <w:kern w:val="2"/>
          <w:sz w:val="24"/>
          <w:szCs w:val="24"/>
          <w:lang w:val="en-US" w:eastAsia="zh-CN"/>
        </w:rPr>
        <w:t xml:space="preserve">, Dubreuil O, Aparicio T, Le Malicot K, Tougeron D, Lepère C, Lecaille C, Marthey L, Palle J, Bachet JB, Zaanan A, Taieb J. Efficacy of a docetaxel-5FU-oxaliplatin regimen (TEFOX) in first-line treatment of advanced gastric signet ring cell carcinoma: an AGEO multicentre study. </w:t>
      </w:r>
      <w:r w:rsidRPr="00E13321">
        <w:rPr>
          <w:rFonts w:ascii="Book Antiqua" w:hAnsi="Book Antiqua"/>
          <w:i/>
          <w:color w:val="000000"/>
          <w:kern w:val="2"/>
          <w:sz w:val="24"/>
          <w:szCs w:val="24"/>
          <w:lang w:val="en-US" w:eastAsia="zh-CN"/>
        </w:rPr>
        <w:t>Br J Cancer</w:t>
      </w:r>
      <w:r w:rsidRPr="00E13321">
        <w:rPr>
          <w:rFonts w:ascii="Book Antiqua" w:hAnsi="Book Antiqua"/>
          <w:color w:val="000000"/>
          <w:kern w:val="2"/>
          <w:sz w:val="24"/>
          <w:szCs w:val="24"/>
          <w:lang w:val="en-US" w:eastAsia="zh-CN"/>
        </w:rPr>
        <w:t xml:space="preserve"> 2018; </w:t>
      </w:r>
      <w:r w:rsidRPr="00E13321">
        <w:rPr>
          <w:rFonts w:ascii="Book Antiqua" w:hAnsi="Book Antiqua"/>
          <w:b/>
          <w:color w:val="000000"/>
          <w:kern w:val="2"/>
          <w:sz w:val="24"/>
          <w:szCs w:val="24"/>
          <w:lang w:val="en-US" w:eastAsia="zh-CN"/>
        </w:rPr>
        <w:t>119</w:t>
      </w:r>
      <w:r w:rsidRPr="00E13321">
        <w:rPr>
          <w:rFonts w:ascii="Book Antiqua" w:hAnsi="Book Antiqua"/>
          <w:color w:val="000000"/>
          <w:kern w:val="2"/>
          <w:sz w:val="24"/>
          <w:szCs w:val="24"/>
          <w:lang w:val="en-US" w:eastAsia="zh-CN"/>
        </w:rPr>
        <w:t>: 424-428 [PMID: 29872148 DOI: 10.1038/s41416-018-0133-7]</w:t>
      </w:r>
    </w:p>
    <w:p w14:paraId="0F96AF5E" w14:textId="77777777" w:rsidR="005813DE" w:rsidRPr="00E13321" w:rsidRDefault="0088790D">
      <w:pPr>
        <w:widowControl w:val="0"/>
        <w:spacing w:after="0" w:line="360" w:lineRule="auto"/>
        <w:jc w:val="both"/>
        <w:rPr>
          <w:rFonts w:ascii="Book Antiqua" w:hAnsi="Book Antiqua"/>
          <w:color w:val="000000"/>
          <w:kern w:val="2"/>
          <w:sz w:val="24"/>
          <w:szCs w:val="24"/>
          <w:lang w:val="en-US" w:eastAsia="zh-CN"/>
        </w:rPr>
      </w:pPr>
      <w:r w:rsidRPr="00E13321">
        <w:rPr>
          <w:rFonts w:ascii="Book Antiqua" w:hAnsi="Book Antiqua"/>
          <w:color w:val="000000"/>
          <w:kern w:val="2"/>
          <w:sz w:val="24"/>
          <w:szCs w:val="24"/>
          <w:lang w:val="en-US" w:eastAsia="zh-CN"/>
        </w:rPr>
        <w:t xml:space="preserve">9 </w:t>
      </w:r>
      <w:r w:rsidRPr="00E13321">
        <w:rPr>
          <w:rFonts w:ascii="Book Antiqua" w:hAnsi="Book Antiqua"/>
          <w:b/>
          <w:color w:val="000000"/>
          <w:kern w:val="2"/>
          <w:sz w:val="24"/>
          <w:szCs w:val="24"/>
          <w:lang w:val="en-US" w:eastAsia="zh-CN"/>
        </w:rPr>
        <w:t>Becker K</w:t>
      </w:r>
      <w:r w:rsidRPr="00E13321">
        <w:rPr>
          <w:rFonts w:ascii="Book Antiqua" w:hAnsi="Book Antiqua"/>
          <w:color w:val="000000"/>
          <w:kern w:val="2"/>
          <w:sz w:val="24"/>
          <w:szCs w:val="24"/>
          <w:lang w:val="en-US" w:eastAsia="zh-CN"/>
        </w:rPr>
        <w:t xml:space="preserve">, Mueller JD, Schulmacher C, Ott K, Fink U, Busch R, Böttcher K, Siewert JR, Höfler H. Histomorphology and grading of regression in gastric carcinoma treated with neoadjuvant chemotherapy. </w:t>
      </w:r>
      <w:r w:rsidRPr="00E13321">
        <w:rPr>
          <w:rFonts w:ascii="Book Antiqua" w:hAnsi="Book Antiqua"/>
          <w:i/>
          <w:color w:val="000000"/>
          <w:kern w:val="2"/>
          <w:sz w:val="24"/>
          <w:szCs w:val="24"/>
          <w:lang w:val="en-US" w:eastAsia="zh-CN"/>
        </w:rPr>
        <w:t>Cancer</w:t>
      </w:r>
      <w:r w:rsidRPr="00E13321">
        <w:rPr>
          <w:rFonts w:ascii="Book Antiqua" w:hAnsi="Book Antiqua"/>
          <w:color w:val="000000"/>
          <w:kern w:val="2"/>
          <w:sz w:val="24"/>
          <w:szCs w:val="24"/>
          <w:lang w:val="en-US" w:eastAsia="zh-CN"/>
        </w:rPr>
        <w:t xml:space="preserve"> 2003; </w:t>
      </w:r>
      <w:r w:rsidRPr="00E13321">
        <w:rPr>
          <w:rFonts w:ascii="Book Antiqua" w:hAnsi="Book Antiqua"/>
          <w:b/>
          <w:color w:val="000000"/>
          <w:kern w:val="2"/>
          <w:sz w:val="24"/>
          <w:szCs w:val="24"/>
          <w:lang w:val="en-US" w:eastAsia="zh-CN"/>
        </w:rPr>
        <w:t>98</w:t>
      </w:r>
      <w:r w:rsidRPr="00E13321">
        <w:rPr>
          <w:rFonts w:ascii="Book Antiqua" w:hAnsi="Book Antiqua"/>
          <w:color w:val="000000"/>
          <w:kern w:val="2"/>
          <w:sz w:val="24"/>
          <w:szCs w:val="24"/>
          <w:lang w:val="en-US" w:eastAsia="zh-CN"/>
        </w:rPr>
        <w:t>: 1521-1530 [PMID: 14508841 DOI: 10.1002/cncr.11660]</w:t>
      </w:r>
    </w:p>
    <w:p w14:paraId="22D269AA" w14:textId="77777777" w:rsidR="005813DE" w:rsidRPr="00E13321" w:rsidRDefault="0088790D">
      <w:pPr>
        <w:widowControl w:val="0"/>
        <w:spacing w:after="0" w:line="360" w:lineRule="auto"/>
        <w:jc w:val="both"/>
        <w:rPr>
          <w:rFonts w:ascii="Book Antiqua" w:hAnsi="Book Antiqua"/>
          <w:color w:val="000000"/>
          <w:kern w:val="2"/>
          <w:sz w:val="24"/>
          <w:szCs w:val="24"/>
          <w:lang w:val="en-US" w:eastAsia="zh-CN"/>
        </w:rPr>
      </w:pPr>
      <w:r w:rsidRPr="00E13321">
        <w:rPr>
          <w:rFonts w:ascii="Book Antiqua" w:hAnsi="Book Antiqua"/>
          <w:color w:val="000000"/>
          <w:kern w:val="2"/>
          <w:sz w:val="24"/>
          <w:szCs w:val="24"/>
          <w:lang w:val="en-US" w:eastAsia="zh-CN"/>
        </w:rPr>
        <w:t xml:space="preserve">10 </w:t>
      </w:r>
      <w:r w:rsidRPr="00E13321">
        <w:rPr>
          <w:rFonts w:ascii="Book Antiqua" w:hAnsi="Book Antiqua"/>
          <w:b/>
          <w:color w:val="000000"/>
          <w:kern w:val="2"/>
          <w:sz w:val="24"/>
          <w:szCs w:val="24"/>
          <w:lang w:val="en-US" w:eastAsia="zh-CN"/>
        </w:rPr>
        <w:t>Becker K</w:t>
      </w:r>
      <w:r w:rsidRPr="00E13321">
        <w:rPr>
          <w:rFonts w:ascii="Book Antiqua" w:hAnsi="Book Antiqua"/>
          <w:color w:val="000000"/>
          <w:kern w:val="2"/>
          <w:sz w:val="24"/>
          <w:szCs w:val="24"/>
          <w:lang w:val="en-US" w:eastAsia="zh-CN"/>
        </w:rPr>
        <w:t xml:space="preserve">, Langer R, Reim D, Novotny A, Meyer zum Buschenfelde C, Engel J, Friess H, Hofler H. Significance of histopathological tumor regression after neoadjuvant chemotherapy in gastric adenocarcinomas: a summary of 480 cases. </w:t>
      </w:r>
      <w:r w:rsidRPr="00E13321">
        <w:rPr>
          <w:rFonts w:ascii="Book Antiqua" w:hAnsi="Book Antiqua"/>
          <w:i/>
          <w:color w:val="000000"/>
          <w:kern w:val="2"/>
          <w:sz w:val="24"/>
          <w:szCs w:val="24"/>
          <w:lang w:val="en-US" w:eastAsia="zh-CN"/>
        </w:rPr>
        <w:t>Ann Surg</w:t>
      </w:r>
      <w:r w:rsidRPr="00E13321">
        <w:rPr>
          <w:rFonts w:ascii="Book Antiqua" w:hAnsi="Book Antiqua"/>
          <w:color w:val="000000"/>
          <w:kern w:val="2"/>
          <w:sz w:val="24"/>
          <w:szCs w:val="24"/>
          <w:lang w:val="en-US" w:eastAsia="zh-CN"/>
        </w:rPr>
        <w:t xml:space="preserve"> 2011; </w:t>
      </w:r>
      <w:r w:rsidRPr="00E13321">
        <w:rPr>
          <w:rFonts w:ascii="Book Antiqua" w:hAnsi="Book Antiqua"/>
          <w:b/>
          <w:color w:val="000000"/>
          <w:kern w:val="2"/>
          <w:sz w:val="24"/>
          <w:szCs w:val="24"/>
          <w:lang w:val="en-US" w:eastAsia="zh-CN"/>
        </w:rPr>
        <w:t>253</w:t>
      </w:r>
      <w:r w:rsidRPr="00E13321">
        <w:rPr>
          <w:rFonts w:ascii="Book Antiqua" w:hAnsi="Book Antiqua"/>
          <w:color w:val="000000"/>
          <w:kern w:val="2"/>
          <w:sz w:val="24"/>
          <w:szCs w:val="24"/>
          <w:lang w:val="en-US" w:eastAsia="zh-CN"/>
        </w:rPr>
        <w:t>: 934-939 [PMID: 21490451 DOI: 10.1097/SLA.0b013e318216f449]</w:t>
      </w:r>
    </w:p>
    <w:p w14:paraId="7D2C6CCB" w14:textId="77777777" w:rsidR="005813DE" w:rsidRPr="00E13321" w:rsidRDefault="0088790D">
      <w:pPr>
        <w:widowControl w:val="0"/>
        <w:spacing w:after="0" w:line="360" w:lineRule="auto"/>
        <w:jc w:val="both"/>
        <w:rPr>
          <w:rFonts w:ascii="Book Antiqua" w:hAnsi="Book Antiqua"/>
          <w:color w:val="000000"/>
          <w:kern w:val="2"/>
          <w:sz w:val="24"/>
          <w:szCs w:val="24"/>
          <w:lang w:val="en-US" w:eastAsia="zh-CN"/>
        </w:rPr>
      </w:pPr>
      <w:r w:rsidRPr="00E13321">
        <w:rPr>
          <w:rFonts w:ascii="Book Antiqua" w:hAnsi="Book Antiqua"/>
          <w:color w:val="000000"/>
          <w:kern w:val="2"/>
          <w:sz w:val="24"/>
          <w:szCs w:val="24"/>
          <w:lang w:val="en-US" w:eastAsia="zh-CN"/>
        </w:rPr>
        <w:t xml:space="preserve">11 </w:t>
      </w:r>
      <w:r w:rsidRPr="00E13321">
        <w:rPr>
          <w:rFonts w:ascii="Book Antiqua" w:hAnsi="Book Antiqua"/>
          <w:b/>
          <w:color w:val="000000"/>
          <w:kern w:val="2"/>
          <w:sz w:val="24"/>
          <w:szCs w:val="24"/>
          <w:lang w:val="en-US" w:eastAsia="zh-CN"/>
        </w:rPr>
        <w:t>Alderson D</w:t>
      </w:r>
      <w:r w:rsidRPr="00E13321">
        <w:rPr>
          <w:rFonts w:ascii="Book Antiqua" w:hAnsi="Book Antiqua"/>
          <w:color w:val="000000"/>
          <w:kern w:val="2"/>
          <w:sz w:val="24"/>
          <w:szCs w:val="24"/>
          <w:lang w:val="en-US" w:eastAsia="zh-CN"/>
        </w:rPr>
        <w:t xml:space="preserve">, Cunningham D, Nankivell M, Blazeby JM, Griffin SM, Crellin A, Grabsch HI, Langer R, Pritchard S, Okines A, Krysztopik R, Coxon F, Thompson J, Falk S, Robb C, Stenning S, Langley RE. Neoadjuvant cisplatin and fluorouracil versus epirubicin, cisplatin, and capecitabine followed by resection in patients with oesophageal adenocarcinoma (UK MRC OE05): an open-label, randomised phase 3 trial. </w:t>
      </w:r>
      <w:r w:rsidRPr="00E13321">
        <w:rPr>
          <w:rFonts w:ascii="Book Antiqua" w:hAnsi="Book Antiqua"/>
          <w:i/>
          <w:color w:val="000000"/>
          <w:kern w:val="2"/>
          <w:sz w:val="24"/>
          <w:szCs w:val="24"/>
          <w:lang w:val="en-US" w:eastAsia="zh-CN"/>
        </w:rPr>
        <w:t>Lancet Oncol</w:t>
      </w:r>
      <w:r w:rsidRPr="00E13321">
        <w:rPr>
          <w:rFonts w:ascii="Book Antiqua" w:hAnsi="Book Antiqua"/>
          <w:color w:val="000000"/>
          <w:kern w:val="2"/>
          <w:sz w:val="24"/>
          <w:szCs w:val="24"/>
          <w:lang w:val="en-US" w:eastAsia="zh-CN"/>
        </w:rPr>
        <w:t xml:space="preserve"> 2017; </w:t>
      </w:r>
      <w:r w:rsidRPr="00E13321">
        <w:rPr>
          <w:rFonts w:ascii="Book Antiqua" w:hAnsi="Book Antiqua"/>
          <w:b/>
          <w:color w:val="000000"/>
          <w:kern w:val="2"/>
          <w:sz w:val="24"/>
          <w:szCs w:val="24"/>
          <w:lang w:val="en-US" w:eastAsia="zh-CN"/>
        </w:rPr>
        <w:t>18</w:t>
      </w:r>
      <w:r w:rsidRPr="00E13321">
        <w:rPr>
          <w:rFonts w:ascii="Book Antiqua" w:hAnsi="Book Antiqua"/>
          <w:color w:val="000000"/>
          <w:kern w:val="2"/>
          <w:sz w:val="24"/>
          <w:szCs w:val="24"/>
          <w:lang w:val="en-US" w:eastAsia="zh-CN"/>
        </w:rPr>
        <w:t>: 1249-1260 [PMID: 28784312 DOI: 10.1016/S1470-2045(17)30447-3]</w:t>
      </w:r>
    </w:p>
    <w:p w14:paraId="2C569BA0" w14:textId="77777777" w:rsidR="005813DE" w:rsidRPr="00E13321" w:rsidRDefault="0088790D">
      <w:pPr>
        <w:widowControl w:val="0"/>
        <w:spacing w:after="0" w:line="360" w:lineRule="auto"/>
        <w:jc w:val="both"/>
        <w:rPr>
          <w:rFonts w:ascii="Book Antiqua" w:hAnsi="Book Antiqua"/>
          <w:color w:val="000000"/>
          <w:kern w:val="2"/>
          <w:sz w:val="24"/>
          <w:szCs w:val="24"/>
          <w:lang w:val="en-US" w:eastAsia="zh-CN"/>
        </w:rPr>
      </w:pPr>
      <w:r w:rsidRPr="00E13321">
        <w:rPr>
          <w:rFonts w:ascii="Book Antiqua" w:hAnsi="Book Antiqua"/>
          <w:color w:val="000000"/>
          <w:kern w:val="2"/>
          <w:sz w:val="24"/>
          <w:szCs w:val="24"/>
          <w:lang w:val="en-US" w:eastAsia="zh-CN"/>
        </w:rPr>
        <w:t xml:space="preserve">12 </w:t>
      </w:r>
      <w:r w:rsidRPr="00E13321">
        <w:rPr>
          <w:rFonts w:ascii="Book Antiqua" w:hAnsi="Book Antiqua"/>
          <w:b/>
          <w:color w:val="000000"/>
          <w:kern w:val="2"/>
          <w:sz w:val="24"/>
          <w:szCs w:val="24"/>
          <w:lang w:val="en-US" w:eastAsia="zh-CN"/>
        </w:rPr>
        <w:t>Cunningham D</w:t>
      </w:r>
      <w:r w:rsidRPr="00E13321">
        <w:rPr>
          <w:rFonts w:ascii="Book Antiqua" w:hAnsi="Book Antiqua"/>
          <w:color w:val="000000"/>
          <w:kern w:val="2"/>
          <w:sz w:val="24"/>
          <w:szCs w:val="24"/>
          <w:lang w:val="en-US" w:eastAsia="zh-CN"/>
        </w:rPr>
        <w:t xml:space="preserve">, Stenning SP, Smyth EC, Okines AF, Allum WH, Rowley S, Stevenson L, Grabsch HI, Alderson D, Crosby T, Griffin SM, Mansoor W, Coxon FY, Falk SJ, Darby S, Sumpter KA, Blazeby JM, Langley RE. Peri-operative chemotherapy with or without bevacizumab in operable oesophagogastric adenocarcinoma (UK Medical Research Council ST03): primary analysis results of a multicentre, open-label, randomised phase 2-3 trial. </w:t>
      </w:r>
      <w:r w:rsidRPr="00E13321">
        <w:rPr>
          <w:rFonts w:ascii="Book Antiqua" w:hAnsi="Book Antiqua"/>
          <w:i/>
          <w:color w:val="000000"/>
          <w:kern w:val="2"/>
          <w:sz w:val="24"/>
          <w:szCs w:val="24"/>
          <w:lang w:val="en-US" w:eastAsia="zh-CN"/>
        </w:rPr>
        <w:t>Lancet Oncol</w:t>
      </w:r>
      <w:r w:rsidRPr="00E13321">
        <w:rPr>
          <w:rFonts w:ascii="Book Antiqua" w:hAnsi="Book Antiqua"/>
          <w:color w:val="000000"/>
          <w:kern w:val="2"/>
          <w:sz w:val="24"/>
          <w:szCs w:val="24"/>
          <w:lang w:val="en-US" w:eastAsia="zh-CN"/>
        </w:rPr>
        <w:t xml:space="preserve"> 2017; </w:t>
      </w:r>
      <w:r w:rsidRPr="00E13321">
        <w:rPr>
          <w:rFonts w:ascii="Book Antiqua" w:hAnsi="Book Antiqua"/>
          <w:b/>
          <w:color w:val="000000"/>
          <w:kern w:val="2"/>
          <w:sz w:val="24"/>
          <w:szCs w:val="24"/>
          <w:lang w:val="en-US" w:eastAsia="zh-CN"/>
        </w:rPr>
        <w:t>18</w:t>
      </w:r>
      <w:r w:rsidRPr="00E13321">
        <w:rPr>
          <w:rFonts w:ascii="Book Antiqua" w:hAnsi="Book Antiqua"/>
          <w:color w:val="000000"/>
          <w:kern w:val="2"/>
          <w:sz w:val="24"/>
          <w:szCs w:val="24"/>
          <w:lang w:val="en-US" w:eastAsia="zh-CN"/>
        </w:rPr>
        <w:t>: 357-370 [PMID: 28163000 DOI: 10.1016/S1470-2045(17)30043-8]</w:t>
      </w:r>
    </w:p>
    <w:p w14:paraId="119D0C57" w14:textId="77777777" w:rsidR="005813DE" w:rsidRPr="00E13321" w:rsidRDefault="0088790D">
      <w:pPr>
        <w:widowControl w:val="0"/>
        <w:spacing w:after="0" w:line="360" w:lineRule="auto"/>
        <w:jc w:val="both"/>
        <w:rPr>
          <w:rFonts w:ascii="Book Antiqua" w:hAnsi="Book Antiqua"/>
          <w:color w:val="000000"/>
          <w:kern w:val="2"/>
          <w:sz w:val="24"/>
          <w:szCs w:val="24"/>
          <w:lang w:val="en-US" w:eastAsia="zh-CN"/>
        </w:rPr>
      </w:pPr>
      <w:r w:rsidRPr="00E13321">
        <w:rPr>
          <w:rFonts w:ascii="Book Antiqua" w:hAnsi="Book Antiqua"/>
          <w:color w:val="000000"/>
          <w:kern w:val="2"/>
          <w:sz w:val="24"/>
          <w:szCs w:val="24"/>
          <w:lang w:val="en-US" w:eastAsia="zh-CN"/>
        </w:rPr>
        <w:t xml:space="preserve">13 </w:t>
      </w:r>
      <w:r w:rsidRPr="00E13321">
        <w:rPr>
          <w:rFonts w:ascii="Book Antiqua" w:hAnsi="Book Antiqua"/>
          <w:b/>
          <w:color w:val="000000"/>
          <w:kern w:val="2"/>
          <w:sz w:val="24"/>
          <w:szCs w:val="24"/>
          <w:lang w:val="en-US" w:eastAsia="zh-CN"/>
        </w:rPr>
        <w:t>Homann N</w:t>
      </w:r>
      <w:r w:rsidRPr="00E13321">
        <w:rPr>
          <w:rFonts w:ascii="Book Antiqua" w:hAnsi="Book Antiqua"/>
          <w:color w:val="000000"/>
          <w:kern w:val="2"/>
          <w:sz w:val="24"/>
          <w:szCs w:val="24"/>
          <w:lang w:val="en-US" w:eastAsia="zh-CN"/>
        </w:rPr>
        <w:t xml:space="preserve">, Pauligk C, Luley K, Werner Kraus T, Bruch HP, Atmaca A, Noack F, Altmannsberger HM, Jäger E, Al-Batran SE. Pathological complete remission in patients with oesophagogastric cancer receiving preoperative 5-fluorouracil, oxaliplatin and docetaxel. </w:t>
      </w:r>
      <w:r w:rsidRPr="00E13321">
        <w:rPr>
          <w:rFonts w:ascii="Book Antiqua" w:hAnsi="Book Antiqua"/>
          <w:i/>
          <w:color w:val="000000"/>
          <w:kern w:val="2"/>
          <w:sz w:val="24"/>
          <w:szCs w:val="24"/>
          <w:lang w:val="en-US" w:eastAsia="zh-CN"/>
        </w:rPr>
        <w:t>Int J Cancer</w:t>
      </w:r>
      <w:r w:rsidRPr="00E13321">
        <w:rPr>
          <w:rFonts w:ascii="Book Antiqua" w:hAnsi="Book Antiqua"/>
          <w:color w:val="000000"/>
          <w:kern w:val="2"/>
          <w:sz w:val="24"/>
          <w:szCs w:val="24"/>
          <w:lang w:val="en-US" w:eastAsia="zh-CN"/>
        </w:rPr>
        <w:t xml:space="preserve"> 2012; </w:t>
      </w:r>
      <w:r w:rsidRPr="00E13321">
        <w:rPr>
          <w:rFonts w:ascii="Book Antiqua" w:hAnsi="Book Antiqua"/>
          <w:b/>
          <w:color w:val="000000"/>
          <w:kern w:val="2"/>
          <w:sz w:val="24"/>
          <w:szCs w:val="24"/>
          <w:lang w:val="en-US" w:eastAsia="zh-CN"/>
        </w:rPr>
        <w:t>130</w:t>
      </w:r>
      <w:r w:rsidRPr="00E13321">
        <w:rPr>
          <w:rFonts w:ascii="Book Antiqua" w:hAnsi="Book Antiqua"/>
          <w:color w:val="000000"/>
          <w:kern w:val="2"/>
          <w:sz w:val="24"/>
          <w:szCs w:val="24"/>
          <w:lang w:val="en-US" w:eastAsia="zh-CN"/>
        </w:rPr>
        <w:t>: 1706-1713 [PMID: 21618509 DOI: 10.1002/ijc.26180]</w:t>
      </w:r>
    </w:p>
    <w:p w14:paraId="50EF1675" w14:textId="77777777" w:rsidR="005813DE" w:rsidRPr="00E13321" w:rsidRDefault="0088790D">
      <w:pPr>
        <w:widowControl w:val="0"/>
        <w:spacing w:after="0" w:line="360" w:lineRule="auto"/>
        <w:jc w:val="both"/>
        <w:rPr>
          <w:rFonts w:ascii="Book Antiqua" w:hAnsi="Book Antiqua"/>
          <w:color w:val="000000"/>
          <w:kern w:val="2"/>
          <w:sz w:val="24"/>
          <w:szCs w:val="24"/>
          <w:lang w:val="en-US" w:eastAsia="zh-CN"/>
        </w:rPr>
      </w:pPr>
      <w:r w:rsidRPr="00E13321">
        <w:rPr>
          <w:rFonts w:ascii="Book Antiqua" w:hAnsi="Book Antiqua"/>
          <w:color w:val="000000"/>
          <w:kern w:val="2"/>
          <w:sz w:val="24"/>
          <w:szCs w:val="24"/>
          <w:lang w:val="en-US" w:eastAsia="zh-CN"/>
        </w:rPr>
        <w:t xml:space="preserve">14 </w:t>
      </w:r>
      <w:r w:rsidRPr="00E13321">
        <w:rPr>
          <w:rFonts w:ascii="Book Antiqua" w:hAnsi="Book Antiqua"/>
          <w:b/>
          <w:color w:val="000000"/>
          <w:kern w:val="2"/>
          <w:sz w:val="24"/>
          <w:szCs w:val="24"/>
          <w:lang w:val="en-US" w:eastAsia="zh-CN"/>
        </w:rPr>
        <w:t>Schulz C</w:t>
      </w:r>
      <w:r w:rsidRPr="00E13321">
        <w:rPr>
          <w:rFonts w:ascii="Book Antiqua" w:hAnsi="Book Antiqua"/>
          <w:color w:val="000000"/>
          <w:kern w:val="2"/>
          <w:sz w:val="24"/>
          <w:szCs w:val="24"/>
          <w:lang w:val="en-US" w:eastAsia="zh-CN"/>
        </w:rPr>
        <w:t xml:space="preserve">, Kullmann F, Kunzmann V, Fuchs M, Geissler M, Vehling-Kaiser U, Stauder H, Wein A, Al-Batran SE, Kubin T, Schäfer C, Stintzing S, Giessen C, Modest DP, Ridwelski K, Heinemann V. NeoFLOT: Multicenter phase II study of perioperative chemotherapy in resectable adenocarcinoma of the gastroesophageal junction or gastric adenocarcinoma-Very good response predominantly in patients with intestinal type tumors. </w:t>
      </w:r>
      <w:r w:rsidRPr="00E13321">
        <w:rPr>
          <w:rFonts w:ascii="Book Antiqua" w:hAnsi="Book Antiqua"/>
          <w:i/>
          <w:color w:val="000000"/>
          <w:kern w:val="2"/>
          <w:sz w:val="24"/>
          <w:szCs w:val="24"/>
          <w:lang w:val="en-US" w:eastAsia="zh-CN"/>
        </w:rPr>
        <w:t>Int J Cancer</w:t>
      </w:r>
      <w:r w:rsidRPr="00E13321">
        <w:rPr>
          <w:rFonts w:ascii="Book Antiqua" w:hAnsi="Book Antiqua"/>
          <w:color w:val="000000"/>
          <w:kern w:val="2"/>
          <w:sz w:val="24"/>
          <w:szCs w:val="24"/>
          <w:lang w:val="en-US" w:eastAsia="zh-CN"/>
        </w:rPr>
        <w:t xml:space="preserve"> 2015; </w:t>
      </w:r>
      <w:r w:rsidRPr="00E13321">
        <w:rPr>
          <w:rFonts w:ascii="Book Antiqua" w:hAnsi="Book Antiqua"/>
          <w:b/>
          <w:color w:val="000000"/>
          <w:kern w:val="2"/>
          <w:sz w:val="24"/>
          <w:szCs w:val="24"/>
          <w:lang w:val="en-US" w:eastAsia="zh-CN"/>
        </w:rPr>
        <w:t>137</w:t>
      </w:r>
      <w:r w:rsidRPr="00E13321">
        <w:rPr>
          <w:rFonts w:ascii="Book Antiqua" w:hAnsi="Book Antiqua"/>
          <w:color w:val="000000"/>
          <w:kern w:val="2"/>
          <w:sz w:val="24"/>
          <w:szCs w:val="24"/>
          <w:lang w:val="en-US" w:eastAsia="zh-CN"/>
        </w:rPr>
        <w:t>: 678-685 [PMID: 25530271 DOI: 10.1002/ijc.29403]</w:t>
      </w:r>
    </w:p>
    <w:p w14:paraId="7F3D70D3" w14:textId="524B8943" w:rsidR="005813DE" w:rsidRPr="00E13321" w:rsidRDefault="0088790D" w:rsidP="00E13321">
      <w:pPr>
        <w:suppressAutoHyphens/>
        <w:wordWrap w:val="0"/>
        <w:spacing w:after="0" w:line="360" w:lineRule="auto"/>
        <w:jc w:val="right"/>
        <w:rPr>
          <w:rFonts w:ascii="Book Antiqua" w:hAnsi="Book Antiqua" w:cs="Mangal"/>
          <w:color w:val="000000"/>
          <w:sz w:val="24"/>
          <w:lang w:val="it-IT" w:bidi="hi-IN"/>
        </w:rPr>
      </w:pPr>
      <w:bookmarkStart w:id="145" w:name="OLE_LINK480"/>
      <w:bookmarkStart w:id="146" w:name="OLE_LINK502"/>
      <w:bookmarkStart w:id="147" w:name="OLE_LINK2090"/>
      <w:bookmarkStart w:id="148" w:name="OLE_LINK2200"/>
      <w:bookmarkStart w:id="149" w:name="OLE_LINK2199"/>
      <w:bookmarkStart w:id="150" w:name="OLE_LINK2198"/>
      <w:bookmarkStart w:id="151" w:name="OLE_LINK2162"/>
      <w:bookmarkStart w:id="152" w:name="OLE_LINK1963"/>
      <w:bookmarkStart w:id="153" w:name="OLE_LINK1962"/>
      <w:bookmarkStart w:id="154" w:name="OLE_LINK1812"/>
      <w:bookmarkStart w:id="155" w:name="OLE_LINK1811"/>
      <w:bookmarkStart w:id="156" w:name="OLE_LINK1807"/>
      <w:bookmarkStart w:id="157" w:name="OLE_LINK1806"/>
      <w:bookmarkStart w:id="158" w:name="OLE_LINK1636"/>
      <w:bookmarkStart w:id="159" w:name="OLE_LINK1845"/>
      <w:bookmarkStart w:id="160" w:name="OLE_LINK1844"/>
      <w:bookmarkStart w:id="161" w:name="OLE_LINK1843"/>
      <w:bookmarkStart w:id="162" w:name="OLE_LINK1803"/>
      <w:bookmarkStart w:id="163" w:name="OLE_LINK1802"/>
      <w:bookmarkStart w:id="164" w:name="OLE_LINK1801"/>
      <w:bookmarkStart w:id="165" w:name="OLE_LINK1800"/>
      <w:bookmarkStart w:id="166" w:name="OLE_LINK1282"/>
      <w:bookmarkStart w:id="167" w:name="OLE_LINK1266"/>
      <w:bookmarkStart w:id="168" w:name="OLE_LINK1264"/>
      <w:bookmarkStart w:id="169" w:name="OLE_LINK1261"/>
      <w:bookmarkStart w:id="170" w:name="OLE_LINK1260"/>
      <w:bookmarkStart w:id="171" w:name="OLE_LINK1044"/>
      <w:bookmarkStart w:id="172" w:name="OLE_LINK1043"/>
      <w:bookmarkStart w:id="173" w:name="OLE_LINK1039"/>
      <w:bookmarkStart w:id="174" w:name="OLE_LINK1038"/>
      <w:bookmarkStart w:id="175" w:name="OLE_LINK1036"/>
      <w:bookmarkStart w:id="176" w:name="OLE_LINK1035"/>
      <w:bookmarkStart w:id="177" w:name="OLE_LINK987"/>
      <w:bookmarkStart w:id="178" w:name="OLE_LINK947"/>
      <w:bookmarkStart w:id="179" w:name="OLE_LINK946"/>
      <w:bookmarkStart w:id="180" w:name="OLE_LINK945"/>
      <w:bookmarkStart w:id="181" w:name="OLE_LINK1127"/>
      <w:bookmarkStart w:id="182" w:name="OLE_LINK962"/>
      <w:bookmarkStart w:id="183" w:name="OLE_LINK959"/>
      <w:bookmarkStart w:id="184" w:name="OLE_LINK1185"/>
      <w:bookmarkStart w:id="185" w:name="OLE_LINK1159"/>
      <w:bookmarkStart w:id="186" w:name="OLE_LINK1158"/>
      <w:bookmarkStart w:id="187" w:name="OLE_LINK1157"/>
      <w:bookmarkStart w:id="188" w:name="OLE_LINK1156"/>
      <w:bookmarkStart w:id="189" w:name="OLE_LINK1065"/>
      <w:bookmarkStart w:id="190" w:name="OLE_LINK1064"/>
      <w:bookmarkStart w:id="191" w:name="OLE_LINK1023"/>
      <w:bookmarkStart w:id="192" w:name="OLE_LINK1022"/>
      <w:bookmarkStart w:id="193" w:name="OLE_LINK1021"/>
      <w:r w:rsidRPr="00E13321">
        <w:rPr>
          <w:rFonts w:ascii="Book Antiqua" w:eastAsia="Lucida Sans Unicode" w:hAnsi="Book Antiqua" w:cs="Arial"/>
          <w:b/>
          <w:color w:val="000000"/>
          <w:lang w:val="it-IT" w:eastAsia="hi-IN" w:bidi="hi-IN"/>
        </w:rPr>
        <w:t>P-Reviewer</w:t>
      </w:r>
      <w:r w:rsidRPr="00E13321">
        <w:rPr>
          <w:rFonts w:ascii="Book Antiqua" w:hAnsi="Book Antiqua" w:cs="Arial"/>
          <w:b/>
          <w:color w:val="000000"/>
          <w:lang w:val="it-IT" w:bidi="hi-IN"/>
        </w:rPr>
        <w:t>:</w:t>
      </w:r>
      <w:r w:rsidRPr="00E13321">
        <w:rPr>
          <w:rFonts w:ascii="Book Antiqua" w:hAnsi="Book Antiqua"/>
          <w:color w:val="000000"/>
        </w:rPr>
        <w:t xml:space="preserve"> Alkan A, Quero L </w:t>
      </w:r>
      <w:r w:rsidRPr="00E13321">
        <w:rPr>
          <w:rFonts w:ascii="Book Antiqua" w:eastAsia="Lucida Sans Unicode" w:hAnsi="Book Antiqua" w:cs="Mangal"/>
          <w:b/>
          <w:bCs/>
          <w:color w:val="000000"/>
          <w:lang w:val="it-IT" w:eastAsia="hi-IN" w:bidi="hi-IN"/>
        </w:rPr>
        <w:t>S-Editor</w:t>
      </w:r>
      <w:r w:rsidRPr="00E13321">
        <w:rPr>
          <w:rFonts w:ascii="Book Antiqua" w:hAnsi="Book Antiqua" w:cs="Mangal"/>
          <w:b/>
          <w:bCs/>
          <w:color w:val="000000"/>
          <w:lang w:val="it-IT" w:bidi="hi-IN"/>
        </w:rPr>
        <w:t>:</w:t>
      </w:r>
      <w:r w:rsidRPr="00E13321">
        <w:rPr>
          <w:rFonts w:ascii="Book Antiqua" w:eastAsia="Lucida Sans Unicode" w:hAnsi="Book Antiqua" w:cs="Mangal"/>
          <w:bCs/>
          <w:color w:val="000000"/>
          <w:lang w:val="it-IT" w:eastAsia="hi-IN" w:bidi="hi-IN"/>
        </w:rPr>
        <w:t xml:space="preserve"> </w:t>
      </w:r>
      <w:r w:rsidRPr="00E13321">
        <w:rPr>
          <w:rFonts w:ascii="Book Antiqua" w:hAnsi="Book Antiqua" w:cs="Mangal"/>
          <w:bCs/>
          <w:color w:val="000000"/>
          <w:lang w:val="it-IT" w:bidi="hi-IN"/>
        </w:rPr>
        <w:t>Ma YJ</w:t>
      </w:r>
      <w:r w:rsidRPr="00E13321">
        <w:rPr>
          <w:rFonts w:ascii="Book Antiqua" w:eastAsia="Lucida Sans Unicode" w:hAnsi="Book Antiqua" w:cs="Mangal"/>
          <w:b/>
          <w:bCs/>
          <w:color w:val="000000"/>
          <w:lang w:val="it-IT" w:eastAsia="hi-IN" w:bidi="hi-IN"/>
        </w:rPr>
        <w:t xml:space="preserve"> L-Editor</w:t>
      </w:r>
      <w:r w:rsidRPr="00E13321">
        <w:rPr>
          <w:rFonts w:ascii="Book Antiqua" w:hAnsi="Book Antiqua" w:cs="Mangal"/>
          <w:b/>
          <w:bCs/>
          <w:color w:val="000000"/>
          <w:lang w:val="it-IT" w:bidi="hi-IN"/>
        </w:rPr>
        <w:t xml:space="preserve">: </w:t>
      </w:r>
      <w:r w:rsidRPr="00E13321">
        <w:rPr>
          <w:rFonts w:ascii="Book Antiqua" w:eastAsia="Lucida Sans Unicode" w:hAnsi="Book Antiqua" w:cs="Mangal"/>
          <w:b/>
          <w:bCs/>
          <w:color w:val="000000"/>
          <w:lang w:val="it-IT" w:eastAsia="hi-IN" w:bidi="hi-IN"/>
        </w:rPr>
        <w:t xml:space="preserve"> </w:t>
      </w:r>
      <w:r w:rsidR="00E13321">
        <w:rPr>
          <w:rFonts w:ascii="Book Antiqua" w:eastAsia="Lucida Sans Unicode" w:hAnsi="Book Antiqua" w:cs="Mangal"/>
          <w:color w:val="000000"/>
          <w:lang w:val="it-IT" w:eastAsia="hi-IN" w:bidi="hi-IN"/>
        </w:rPr>
        <w:t xml:space="preserve">A </w:t>
      </w:r>
      <w:r w:rsidRPr="00E13321">
        <w:rPr>
          <w:rFonts w:ascii="Book Antiqua" w:eastAsia="Lucida Sans Unicode" w:hAnsi="Book Antiqua" w:cs="Mangal"/>
          <w:b/>
          <w:bCs/>
          <w:color w:val="000000"/>
          <w:lang w:val="it-IT" w:eastAsia="hi-IN" w:bidi="hi-IN"/>
        </w:rPr>
        <w:t>E-Editor</w:t>
      </w:r>
      <w:r w:rsidRPr="00E13321">
        <w:rPr>
          <w:rFonts w:ascii="Book Antiqua" w:hAnsi="Book Antiqua" w:cs="Mangal"/>
          <w:b/>
          <w:bCs/>
          <w:color w:val="000000"/>
          <w:lang w:val="it-IT" w:bidi="hi-IN"/>
        </w:rPr>
        <w:t>:</w:t>
      </w:r>
      <w:r w:rsidR="001F3ABF" w:rsidRPr="001F3ABF">
        <w:rPr>
          <w:rFonts w:ascii="Book Antiqua" w:hAnsi="Book Antiqua"/>
          <w:bCs/>
          <w:color w:val="000000"/>
          <w:sz w:val="24"/>
          <w:szCs w:val="24"/>
        </w:rPr>
        <w:t xml:space="preserve"> </w:t>
      </w:r>
      <w:r w:rsidR="001F3ABF">
        <w:rPr>
          <w:rFonts w:ascii="Book Antiqua" w:hAnsi="Book Antiqua"/>
          <w:bCs/>
          <w:color w:val="000000"/>
          <w:sz w:val="24"/>
          <w:szCs w:val="24"/>
        </w:rPr>
        <w:t>Qi LL</w:t>
      </w:r>
      <w:bookmarkStart w:id="194" w:name="_GoBack"/>
      <w:bookmarkEnd w:id="194"/>
    </w:p>
    <w:p w14:paraId="731E4530" w14:textId="77777777" w:rsidR="005813DE" w:rsidRPr="00E13321" w:rsidRDefault="005813DE">
      <w:pPr>
        <w:suppressAutoHyphens/>
        <w:spacing w:after="0" w:line="360" w:lineRule="auto"/>
        <w:rPr>
          <w:rFonts w:ascii="Book Antiqua" w:hAnsi="Book Antiqua" w:cs="Mangal"/>
          <w:b/>
          <w:bCs/>
          <w:color w:val="000000"/>
          <w:lang w:val="it-IT" w:eastAsia="pt-BR" w:bidi="hi-IN"/>
        </w:rPr>
      </w:pPr>
    </w:p>
    <w:p w14:paraId="6B512A10" w14:textId="77777777" w:rsidR="005813DE" w:rsidRPr="00E13321" w:rsidRDefault="0088790D">
      <w:pPr>
        <w:shd w:val="clear" w:color="auto" w:fill="FFFFFF"/>
        <w:snapToGrid w:val="0"/>
        <w:spacing w:after="0" w:line="360" w:lineRule="auto"/>
        <w:rPr>
          <w:rFonts w:ascii="Book Antiqua" w:hAnsi="Book Antiqua" w:cs="Helvetica"/>
          <w:b/>
          <w:color w:val="000000"/>
        </w:rPr>
      </w:pPr>
      <w:r w:rsidRPr="00E13321">
        <w:rPr>
          <w:rFonts w:ascii="Book Antiqua" w:hAnsi="Book Antiqua" w:cs="Helvetica"/>
          <w:b/>
          <w:color w:val="000000"/>
        </w:rPr>
        <w:t xml:space="preserve">Specialty type: </w:t>
      </w:r>
      <w:r w:rsidRPr="00E13321">
        <w:rPr>
          <w:rFonts w:ascii="Book Antiqua" w:eastAsia="微软雅黑" w:hAnsi="Book Antiqua" w:cs="宋体"/>
          <w:color w:val="000000"/>
        </w:rPr>
        <w:t>Gastroenterology and hepatology</w:t>
      </w:r>
    </w:p>
    <w:p w14:paraId="23C789BF" w14:textId="77777777" w:rsidR="005813DE" w:rsidRPr="00E13321" w:rsidRDefault="0088790D">
      <w:pPr>
        <w:shd w:val="clear" w:color="auto" w:fill="FFFFFF"/>
        <w:snapToGrid w:val="0"/>
        <w:spacing w:after="0" w:line="360" w:lineRule="auto"/>
        <w:rPr>
          <w:rFonts w:ascii="Book Antiqua" w:hAnsi="Book Antiqua" w:cs="Helvetica"/>
          <w:b/>
          <w:color w:val="000000"/>
          <w:lang w:val="en-US"/>
        </w:rPr>
      </w:pPr>
      <w:r w:rsidRPr="00E13321">
        <w:rPr>
          <w:rFonts w:ascii="Book Antiqua" w:hAnsi="Book Antiqua" w:cs="Helvetica"/>
          <w:b/>
          <w:color w:val="000000"/>
        </w:rPr>
        <w:t xml:space="preserve">Country of origin: </w:t>
      </w:r>
      <w:r w:rsidRPr="00E13321">
        <w:rPr>
          <w:rFonts w:ascii="Book Antiqua" w:hAnsi="Book Antiqua" w:cs="Helvetica"/>
          <w:color w:val="000000"/>
        </w:rPr>
        <w:t>France</w:t>
      </w:r>
    </w:p>
    <w:p w14:paraId="38FC2773" w14:textId="77777777" w:rsidR="005813DE" w:rsidRPr="00E13321" w:rsidRDefault="0088790D">
      <w:pPr>
        <w:shd w:val="clear" w:color="auto" w:fill="FFFFFF"/>
        <w:snapToGrid w:val="0"/>
        <w:spacing w:after="0" w:line="360" w:lineRule="auto"/>
        <w:rPr>
          <w:rFonts w:ascii="Book Antiqua" w:hAnsi="Book Antiqua" w:cs="Helvetica"/>
          <w:b/>
          <w:color w:val="000000"/>
        </w:rPr>
      </w:pPr>
      <w:r w:rsidRPr="00E13321">
        <w:rPr>
          <w:rFonts w:ascii="Book Antiqua" w:hAnsi="Book Antiqua" w:cs="Helvetica"/>
          <w:b/>
          <w:color w:val="000000"/>
        </w:rPr>
        <w:t>Peer-review report classification</w:t>
      </w:r>
    </w:p>
    <w:p w14:paraId="3C82300F" w14:textId="77777777" w:rsidR="005813DE" w:rsidRPr="00E13321" w:rsidRDefault="0088790D">
      <w:pPr>
        <w:shd w:val="clear" w:color="auto" w:fill="FFFFFF"/>
        <w:snapToGrid w:val="0"/>
        <w:spacing w:after="0" w:line="360" w:lineRule="auto"/>
        <w:rPr>
          <w:rFonts w:ascii="Book Antiqua" w:hAnsi="Book Antiqua" w:cs="Helvetica"/>
          <w:color w:val="000000"/>
        </w:rPr>
      </w:pPr>
      <w:r w:rsidRPr="00E13321">
        <w:rPr>
          <w:rFonts w:ascii="Book Antiqua" w:hAnsi="Book Antiqua" w:cs="Helvetica"/>
          <w:color w:val="000000"/>
        </w:rPr>
        <w:t>Grade A (Excellent): 0</w:t>
      </w:r>
    </w:p>
    <w:p w14:paraId="697A7BA6" w14:textId="77777777" w:rsidR="005813DE" w:rsidRPr="00E13321" w:rsidRDefault="0088790D">
      <w:pPr>
        <w:shd w:val="clear" w:color="auto" w:fill="FFFFFF"/>
        <w:snapToGrid w:val="0"/>
        <w:spacing w:after="0" w:line="360" w:lineRule="auto"/>
        <w:rPr>
          <w:rFonts w:ascii="Book Antiqua" w:hAnsi="Book Antiqua" w:cs="Helvetica"/>
          <w:color w:val="000000"/>
        </w:rPr>
      </w:pPr>
      <w:r w:rsidRPr="00E13321">
        <w:rPr>
          <w:rFonts w:ascii="Book Antiqua" w:hAnsi="Book Antiqua" w:cs="Helvetica"/>
          <w:color w:val="000000"/>
        </w:rPr>
        <w:t>Grade B (Very good): B</w:t>
      </w:r>
    </w:p>
    <w:p w14:paraId="1AE68518" w14:textId="77777777" w:rsidR="005813DE" w:rsidRPr="00E13321" w:rsidRDefault="0088790D">
      <w:pPr>
        <w:shd w:val="clear" w:color="auto" w:fill="FFFFFF"/>
        <w:snapToGrid w:val="0"/>
        <w:spacing w:after="0" w:line="360" w:lineRule="auto"/>
        <w:rPr>
          <w:rFonts w:ascii="Book Antiqua" w:hAnsi="Book Antiqua" w:cs="Helvetica"/>
          <w:color w:val="000000"/>
        </w:rPr>
      </w:pPr>
      <w:r w:rsidRPr="00E13321">
        <w:rPr>
          <w:rFonts w:ascii="Book Antiqua" w:hAnsi="Book Antiqua" w:cs="Helvetica"/>
          <w:color w:val="000000"/>
        </w:rPr>
        <w:t>Grade C (Good): C</w:t>
      </w:r>
    </w:p>
    <w:p w14:paraId="188CB1E1" w14:textId="77777777" w:rsidR="005813DE" w:rsidRPr="00E13321" w:rsidRDefault="0088790D">
      <w:pPr>
        <w:shd w:val="clear" w:color="auto" w:fill="FFFFFF"/>
        <w:snapToGrid w:val="0"/>
        <w:spacing w:after="0" w:line="360" w:lineRule="auto"/>
        <w:rPr>
          <w:rFonts w:ascii="Book Antiqua" w:hAnsi="Book Antiqua" w:cs="Helvetica"/>
          <w:color w:val="000000"/>
        </w:rPr>
      </w:pPr>
      <w:r w:rsidRPr="00E13321">
        <w:rPr>
          <w:rFonts w:ascii="Book Antiqua" w:hAnsi="Book Antiqua" w:cs="Helvetica"/>
          <w:color w:val="000000"/>
        </w:rPr>
        <w:t xml:space="preserve">Grade D (Fair): </w:t>
      </w:r>
      <w:bookmarkEnd w:id="145"/>
      <w:bookmarkEnd w:id="146"/>
      <w:r w:rsidRPr="00E13321">
        <w:rPr>
          <w:rFonts w:ascii="Book Antiqua" w:hAnsi="Book Antiqua" w:cs="Helvetica"/>
          <w:color w:val="000000"/>
        </w:rPr>
        <w:t>0</w:t>
      </w:r>
    </w:p>
    <w:p w14:paraId="6890B524" w14:textId="77777777" w:rsidR="005813DE" w:rsidRPr="00E13321" w:rsidRDefault="0088790D">
      <w:pPr>
        <w:shd w:val="clear" w:color="auto" w:fill="FFFFFF"/>
        <w:snapToGrid w:val="0"/>
        <w:spacing w:after="0" w:line="360" w:lineRule="auto"/>
        <w:rPr>
          <w:rFonts w:ascii="Book Antiqua" w:hAnsi="Book Antiqua" w:cs="Helvetica"/>
          <w:color w:val="000000"/>
        </w:rPr>
      </w:pPr>
      <w:r w:rsidRPr="00E13321">
        <w:rPr>
          <w:rFonts w:ascii="Book Antiqua" w:hAnsi="Book Antiqua" w:cs="Helvetica"/>
          <w:color w:val="000000"/>
        </w:rPr>
        <w:t xml:space="preserve">Grade E (Poor): </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E13321">
        <w:rPr>
          <w:rFonts w:ascii="Book Antiqua" w:hAnsi="Book Antiqua" w:cs="Helvetica"/>
          <w:color w:val="000000"/>
        </w:rPr>
        <w:t>0</w:t>
      </w:r>
    </w:p>
    <w:p w14:paraId="12820CF5" w14:textId="77777777" w:rsidR="005813DE" w:rsidRPr="00E13321" w:rsidRDefault="005813DE">
      <w:pPr>
        <w:pStyle w:val="Titre1"/>
        <w:spacing w:before="0" w:beforeAutospacing="0" w:after="0" w:afterAutospacing="0" w:line="360" w:lineRule="auto"/>
        <w:jc w:val="both"/>
        <w:rPr>
          <w:rFonts w:ascii="Book Antiqua" w:eastAsia="等线" w:hAnsi="Book Antiqua"/>
          <w:color w:val="000000"/>
          <w:lang w:eastAsia="zh-CN"/>
        </w:rPr>
      </w:pPr>
    </w:p>
    <w:p w14:paraId="2237D58B" w14:textId="77777777" w:rsidR="005813DE" w:rsidRPr="00E13321" w:rsidRDefault="0088790D">
      <w:pPr>
        <w:pStyle w:val="p"/>
        <w:spacing w:before="0" w:beforeAutospacing="0" w:after="0" w:afterAutospacing="0" w:line="360" w:lineRule="auto"/>
        <w:jc w:val="both"/>
        <w:rPr>
          <w:rFonts w:ascii="Book Antiqua" w:hAnsi="Book Antiqua"/>
          <w:b/>
          <w:color w:val="000000"/>
        </w:rPr>
      </w:pPr>
      <w:r w:rsidRPr="00E13321">
        <w:rPr>
          <w:rFonts w:ascii="Book Antiqua" w:hAnsi="Book Antiqua"/>
          <w:b/>
          <w:color w:val="000000"/>
        </w:rPr>
        <w:t>Table 1 Baseline characteristics of included patients [</w:t>
      </w:r>
      <w:r w:rsidRPr="00E13321">
        <w:rPr>
          <w:rFonts w:ascii="Book Antiqua" w:hAnsi="Book Antiqua"/>
          <w:b/>
          <w:i/>
          <w:iCs/>
          <w:color w:val="000000"/>
        </w:rPr>
        <w:t>n</w:t>
      </w:r>
      <w:r w:rsidRPr="00E13321">
        <w:rPr>
          <w:rFonts w:ascii="Book Antiqua" w:hAnsi="Book Antiqua"/>
          <w:b/>
          <w:color w:val="000000"/>
        </w:rPr>
        <w:t xml:space="preserve"> = 33, </w:t>
      </w:r>
      <w:r w:rsidRPr="00E13321">
        <w:rPr>
          <w:rFonts w:ascii="Book Antiqua" w:hAnsi="Book Antiqua"/>
          <w:b/>
          <w:i/>
          <w:iCs/>
          <w:color w:val="000000"/>
        </w:rPr>
        <w:t>n</w:t>
      </w:r>
      <w:r w:rsidRPr="00E13321">
        <w:rPr>
          <w:rFonts w:ascii="Book Antiqua" w:hAnsi="Book Antiqua"/>
          <w:b/>
          <w:color w:val="000000"/>
        </w:rPr>
        <w:t xml:space="preserve"> (%)]</w:t>
      </w:r>
    </w:p>
    <w:tbl>
      <w:tblPr>
        <w:tblW w:w="0" w:type="auto"/>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5"/>
        <w:gridCol w:w="4455"/>
        <w:gridCol w:w="1985"/>
      </w:tblGrid>
      <w:tr w:rsidR="005813DE" w:rsidRPr="00E13321" w14:paraId="06A02CC3" w14:textId="77777777">
        <w:trPr>
          <w:tblCellSpacing w:w="15" w:type="dxa"/>
        </w:trPr>
        <w:tc>
          <w:tcPr>
            <w:tcW w:w="4491" w:type="dxa"/>
            <w:gridSpan w:val="2"/>
            <w:tcBorders>
              <w:top w:val="single" w:sz="4" w:space="0" w:color="auto"/>
            </w:tcBorders>
            <w:vAlign w:val="center"/>
          </w:tcPr>
          <w:p w14:paraId="5307F45C"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Age (yr)</w:t>
            </w:r>
          </w:p>
        </w:tc>
        <w:tc>
          <w:tcPr>
            <w:tcW w:w="1940" w:type="dxa"/>
            <w:tcBorders>
              <w:top w:val="single" w:sz="4" w:space="0" w:color="auto"/>
            </w:tcBorders>
            <w:vAlign w:val="center"/>
          </w:tcPr>
          <w:p w14:paraId="73365678"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63 (41–80)</w:t>
            </w:r>
          </w:p>
        </w:tc>
      </w:tr>
      <w:tr w:rsidR="005813DE" w:rsidRPr="00E13321" w14:paraId="25FC7F17" w14:textId="77777777">
        <w:trPr>
          <w:tblCellSpacing w:w="15" w:type="dxa"/>
        </w:trPr>
        <w:tc>
          <w:tcPr>
            <w:tcW w:w="36" w:type="dxa"/>
            <w:vAlign w:val="center"/>
          </w:tcPr>
          <w:p w14:paraId="49E1EF5C" w14:textId="77777777" w:rsidR="005813DE" w:rsidRPr="00E13321" w:rsidRDefault="005813DE">
            <w:pPr>
              <w:spacing w:after="0" w:line="360" w:lineRule="auto"/>
              <w:jc w:val="both"/>
              <w:rPr>
                <w:rFonts w:ascii="Book Antiqua" w:eastAsia="Times New Roman" w:hAnsi="Book Antiqua"/>
                <w:color w:val="000000"/>
                <w:sz w:val="24"/>
                <w:szCs w:val="24"/>
                <w:lang w:eastAsia="fr-FR"/>
              </w:rPr>
            </w:pPr>
          </w:p>
        </w:tc>
        <w:tc>
          <w:tcPr>
            <w:tcW w:w="4425" w:type="dxa"/>
            <w:vAlign w:val="center"/>
          </w:tcPr>
          <w:p w14:paraId="7BA870F0"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Sex</w:t>
            </w:r>
          </w:p>
          <w:p w14:paraId="0801A333"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 xml:space="preserve"> Male</w:t>
            </w:r>
          </w:p>
        </w:tc>
        <w:tc>
          <w:tcPr>
            <w:tcW w:w="1940" w:type="dxa"/>
            <w:vAlign w:val="center"/>
          </w:tcPr>
          <w:p w14:paraId="41DE8051" w14:textId="77777777" w:rsidR="005813DE" w:rsidRPr="00E13321" w:rsidRDefault="005813DE">
            <w:pPr>
              <w:spacing w:after="0" w:line="360" w:lineRule="auto"/>
              <w:jc w:val="both"/>
              <w:rPr>
                <w:rFonts w:ascii="Book Antiqua" w:eastAsia="Times New Roman" w:hAnsi="Book Antiqua"/>
                <w:color w:val="000000"/>
                <w:sz w:val="24"/>
                <w:szCs w:val="24"/>
                <w:lang w:eastAsia="fr-FR"/>
              </w:rPr>
            </w:pPr>
          </w:p>
          <w:p w14:paraId="0FED8463"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28 (84)</w:t>
            </w:r>
          </w:p>
        </w:tc>
      </w:tr>
      <w:tr w:rsidR="005813DE" w:rsidRPr="00E13321" w14:paraId="4A61B112" w14:textId="77777777">
        <w:trPr>
          <w:tblCellSpacing w:w="15" w:type="dxa"/>
        </w:trPr>
        <w:tc>
          <w:tcPr>
            <w:tcW w:w="36" w:type="dxa"/>
            <w:vAlign w:val="center"/>
          </w:tcPr>
          <w:p w14:paraId="62A466E0" w14:textId="77777777" w:rsidR="005813DE" w:rsidRPr="00E13321" w:rsidRDefault="005813DE">
            <w:pPr>
              <w:spacing w:after="0" w:line="360" w:lineRule="auto"/>
              <w:jc w:val="both"/>
              <w:rPr>
                <w:rFonts w:ascii="Book Antiqua" w:eastAsia="Times New Roman" w:hAnsi="Book Antiqua"/>
                <w:color w:val="000000"/>
                <w:sz w:val="24"/>
                <w:szCs w:val="24"/>
                <w:lang w:eastAsia="fr-FR"/>
              </w:rPr>
            </w:pPr>
          </w:p>
        </w:tc>
        <w:tc>
          <w:tcPr>
            <w:tcW w:w="4425" w:type="dxa"/>
            <w:vAlign w:val="center"/>
          </w:tcPr>
          <w:p w14:paraId="580B9131"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 xml:space="preserve"> Female</w:t>
            </w:r>
          </w:p>
        </w:tc>
        <w:tc>
          <w:tcPr>
            <w:tcW w:w="1940" w:type="dxa"/>
            <w:vAlign w:val="center"/>
          </w:tcPr>
          <w:p w14:paraId="4ECDDB44"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5 (16)</w:t>
            </w:r>
          </w:p>
        </w:tc>
      </w:tr>
      <w:tr w:rsidR="005813DE" w:rsidRPr="00E13321" w14:paraId="3EF1C00B" w14:textId="77777777">
        <w:trPr>
          <w:tblCellSpacing w:w="15" w:type="dxa"/>
        </w:trPr>
        <w:tc>
          <w:tcPr>
            <w:tcW w:w="36" w:type="dxa"/>
            <w:vAlign w:val="center"/>
          </w:tcPr>
          <w:p w14:paraId="20D2D290" w14:textId="77777777" w:rsidR="005813DE" w:rsidRPr="00E13321" w:rsidRDefault="005813DE">
            <w:pPr>
              <w:spacing w:after="0" w:line="360" w:lineRule="auto"/>
              <w:jc w:val="both"/>
              <w:rPr>
                <w:rFonts w:ascii="Book Antiqua" w:eastAsia="Times New Roman" w:hAnsi="Book Antiqua"/>
                <w:bCs/>
                <w:color w:val="000000"/>
                <w:sz w:val="24"/>
                <w:szCs w:val="24"/>
                <w:lang w:eastAsia="fr-FR"/>
              </w:rPr>
            </w:pPr>
          </w:p>
        </w:tc>
        <w:tc>
          <w:tcPr>
            <w:tcW w:w="4425" w:type="dxa"/>
            <w:vAlign w:val="center"/>
          </w:tcPr>
          <w:p w14:paraId="52E49BAE"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WHO performance status</w:t>
            </w:r>
          </w:p>
        </w:tc>
        <w:tc>
          <w:tcPr>
            <w:tcW w:w="1940" w:type="dxa"/>
            <w:vAlign w:val="center"/>
          </w:tcPr>
          <w:p w14:paraId="273532FC" w14:textId="77777777" w:rsidR="005813DE" w:rsidRPr="00E13321" w:rsidRDefault="005813DE">
            <w:pPr>
              <w:spacing w:after="0" w:line="360" w:lineRule="auto"/>
              <w:jc w:val="both"/>
              <w:rPr>
                <w:rFonts w:ascii="Book Antiqua" w:eastAsia="Times New Roman" w:hAnsi="Book Antiqua"/>
                <w:color w:val="000000"/>
                <w:sz w:val="24"/>
                <w:szCs w:val="24"/>
                <w:lang w:eastAsia="fr-FR"/>
              </w:rPr>
            </w:pPr>
          </w:p>
        </w:tc>
      </w:tr>
      <w:tr w:rsidR="005813DE" w:rsidRPr="00E13321" w14:paraId="273E795D" w14:textId="77777777">
        <w:trPr>
          <w:tblCellSpacing w:w="15" w:type="dxa"/>
        </w:trPr>
        <w:tc>
          <w:tcPr>
            <w:tcW w:w="36" w:type="dxa"/>
            <w:vAlign w:val="center"/>
          </w:tcPr>
          <w:p w14:paraId="5B613F4F" w14:textId="77777777" w:rsidR="005813DE" w:rsidRPr="00E13321" w:rsidRDefault="005813DE">
            <w:pPr>
              <w:spacing w:after="0" w:line="360" w:lineRule="auto"/>
              <w:jc w:val="both"/>
              <w:rPr>
                <w:rFonts w:ascii="Book Antiqua" w:eastAsia="Times New Roman" w:hAnsi="Book Antiqua"/>
                <w:color w:val="000000"/>
                <w:sz w:val="24"/>
                <w:szCs w:val="24"/>
                <w:lang w:eastAsia="fr-FR"/>
              </w:rPr>
            </w:pPr>
          </w:p>
        </w:tc>
        <w:tc>
          <w:tcPr>
            <w:tcW w:w="4425" w:type="dxa"/>
            <w:vAlign w:val="center"/>
          </w:tcPr>
          <w:p w14:paraId="3CC6A752"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 xml:space="preserve">  0</w:t>
            </w:r>
          </w:p>
        </w:tc>
        <w:tc>
          <w:tcPr>
            <w:tcW w:w="1940" w:type="dxa"/>
            <w:vAlign w:val="center"/>
          </w:tcPr>
          <w:p w14:paraId="2C0DC4AA"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20 (60)</w:t>
            </w:r>
          </w:p>
        </w:tc>
      </w:tr>
      <w:tr w:rsidR="005813DE" w:rsidRPr="00E13321" w14:paraId="7F2FB97F" w14:textId="77777777">
        <w:trPr>
          <w:tblCellSpacing w:w="15" w:type="dxa"/>
        </w:trPr>
        <w:tc>
          <w:tcPr>
            <w:tcW w:w="36" w:type="dxa"/>
            <w:vAlign w:val="center"/>
          </w:tcPr>
          <w:p w14:paraId="22C2A2D4" w14:textId="77777777" w:rsidR="005813DE" w:rsidRPr="00E13321" w:rsidRDefault="005813DE">
            <w:pPr>
              <w:spacing w:after="0" w:line="360" w:lineRule="auto"/>
              <w:jc w:val="both"/>
              <w:rPr>
                <w:rFonts w:ascii="Book Antiqua" w:eastAsia="Times New Roman" w:hAnsi="Book Antiqua"/>
                <w:color w:val="000000"/>
                <w:sz w:val="24"/>
                <w:szCs w:val="24"/>
                <w:lang w:eastAsia="fr-FR"/>
              </w:rPr>
            </w:pPr>
          </w:p>
        </w:tc>
        <w:tc>
          <w:tcPr>
            <w:tcW w:w="4425" w:type="dxa"/>
            <w:vAlign w:val="center"/>
          </w:tcPr>
          <w:p w14:paraId="1FED61C7"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 xml:space="preserve">  1</w:t>
            </w:r>
          </w:p>
        </w:tc>
        <w:tc>
          <w:tcPr>
            <w:tcW w:w="1940" w:type="dxa"/>
            <w:vAlign w:val="center"/>
          </w:tcPr>
          <w:p w14:paraId="70CCE30F"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13 (40)</w:t>
            </w:r>
          </w:p>
        </w:tc>
      </w:tr>
      <w:tr w:rsidR="005813DE" w:rsidRPr="00E13321" w14:paraId="68C22EB2" w14:textId="77777777">
        <w:trPr>
          <w:tblCellSpacing w:w="15" w:type="dxa"/>
        </w:trPr>
        <w:tc>
          <w:tcPr>
            <w:tcW w:w="36" w:type="dxa"/>
            <w:vAlign w:val="center"/>
          </w:tcPr>
          <w:p w14:paraId="64EC3180" w14:textId="77777777" w:rsidR="005813DE" w:rsidRPr="00E13321" w:rsidRDefault="005813DE">
            <w:pPr>
              <w:spacing w:after="0" w:line="360" w:lineRule="auto"/>
              <w:jc w:val="both"/>
              <w:rPr>
                <w:rFonts w:ascii="Book Antiqua" w:eastAsia="Times New Roman" w:hAnsi="Book Antiqua"/>
                <w:b/>
                <w:bCs/>
                <w:color w:val="000000"/>
                <w:sz w:val="24"/>
                <w:szCs w:val="24"/>
                <w:lang w:eastAsia="fr-FR"/>
              </w:rPr>
            </w:pPr>
          </w:p>
        </w:tc>
        <w:tc>
          <w:tcPr>
            <w:tcW w:w="4425" w:type="dxa"/>
            <w:vAlign w:val="center"/>
          </w:tcPr>
          <w:p w14:paraId="5433D8C9"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Denutrition</w:t>
            </w:r>
          </w:p>
          <w:p w14:paraId="64107654"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 xml:space="preserve">  &gt; 10% weight loss</w:t>
            </w:r>
          </w:p>
        </w:tc>
        <w:tc>
          <w:tcPr>
            <w:tcW w:w="1940" w:type="dxa"/>
            <w:vAlign w:val="center"/>
          </w:tcPr>
          <w:p w14:paraId="66985027" w14:textId="77777777" w:rsidR="005813DE" w:rsidRPr="00E13321" w:rsidRDefault="005813DE">
            <w:pPr>
              <w:spacing w:after="0" w:line="360" w:lineRule="auto"/>
              <w:jc w:val="both"/>
              <w:rPr>
                <w:rFonts w:ascii="Book Antiqua" w:eastAsia="Times New Roman" w:hAnsi="Book Antiqua"/>
                <w:color w:val="000000"/>
                <w:sz w:val="24"/>
                <w:szCs w:val="24"/>
                <w:lang w:eastAsia="fr-FR"/>
              </w:rPr>
            </w:pPr>
          </w:p>
          <w:p w14:paraId="7C47C7A0"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10 (30)</w:t>
            </w:r>
          </w:p>
        </w:tc>
      </w:tr>
      <w:tr w:rsidR="005813DE" w:rsidRPr="00E13321" w14:paraId="49AFA1B5" w14:textId="77777777">
        <w:trPr>
          <w:tblCellSpacing w:w="15" w:type="dxa"/>
        </w:trPr>
        <w:tc>
          <w:tcPr>
            <w:tcW w:w="36" w:type="dxa"/>
            <w:vAlign w:val="center"/>
          </w:tcPr>
          <w:p w14:paraId="7C866051" w14:textId="77777777" w:rsidR="005813DE" w:rsidRPr="00E13321" w:rsidRDefault="005813DE">
            <w:pPr>
              <w:spacing w:after="0" w:line="360" w:lineRule="auto"/>
              <w:jc w:val="both"/>
              <w:rPr>
                <w:rFonts w:ascii="Book Antiqua" w:eastAsia="Times New Roman" w:hAnsi="Book Antiqua"/>
                <w:color w:val="000000"/>
                <w:sz w:val="24"/>
                <w:szCs w:val="24"/>
                <w:lang w:eastAsia="fr-FR"/>
              </w:rPr>
            </w:pPr>
          </w:p>
        </w:tc>
        <w:tc>
          <w:tcPr>
            <w:tcW w:w="4425" w:type="dxa"/>
            <w:vAlign w:val="center"/>
          </w:tcPr>
          <w:p w14:paraId="4A29F4B8"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Localization</w:t>
            </w:r>
          </w:p>
          <w:p w14:paraId="469E02E5"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 xml:space="preserve"> Gastric</w:t>
            </w:r>
          </w:p>
        </w:tc>
        <w:tc>
          <w:tcPr>
            <w:tcW w:w="1940" w:type="dxa"/>
            <w:vAlign w:val="center"/>
          </w:tcPr>
          <w:p w14:paraId="36E1F30B" w14:textId="77777777" w:rsidR="005813DE" w:rsidRPr="00E13321" w:rsidRDefault="005813DE">
            <w:pPr>
              <w:spacing w:after="0" w:line="360" w:lineRule="auto"/>
              <w:jc w:val="both"/>
              <w:rPr>
                <w:rFonts w:ascii="Book Antiqua" w:eastAsia="Times New Roman" w:hAnsi="Book Antiqua"/>
                <w:color w:val="000000"/>
                <w:sz w:val="24"/>
                <w:szCs w:val="24"/>
                <w:lang w:eastAsia="fr-FR"/>
              </w:rPr>
            </w:pPr>
          </w:p>
          <w:p w14:paraId="1535BD66"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15 (45)</w:t>
            </w:r>
          </w:p>
        </w:tc>
      </w:tr>
      <w:tr w:rsidR="005813DE" w:rsidRPr="00E13321" w14:paraId="574F02A7" w14:textId="77777777">
        <w:trPr>
          <w:tblCellSpacing w:w="15" w:type="dxa"/>
        </w:trPr>
        <w:tc>
          <w:tcPr>
            <w:tcW w:w="36" w:type="dxa"/>
            <w:vAlign w:val="center"/>
          </w:tcPr>
          <w:p w14:paraId="71DB8AAC" w14:textId="77777777" w:rsidR="005813DE" w:rsidRPr="00E13321" w:rsidRDefault="005813DE">
            <w:pPr>
              <w:spacing w:after="0" w:line="360" w:lineRule="auto"/>
              <w:jc w:val="both"/>
              <w:rPr>
                <w:rFonts w:ascii="Book Antiqua" w:eastAsia="Times New Roman" w:hAnsi="Book Antiqua"/>
                <w:color w:val="000000"/>
                <w:sz w:val="24"/>
                <w:szCs w:val="24"/>
                <w:lang w:eastAsia="fr-FR"/>
              </w:rPr>
            </w:pPr>
          </w:p>
        </w:tc>
        <w:tc>
          <w:tcPr>
            <w:tcW w:w="4425" w:type="dxa"/>
            <w:vAlign w:val="center"/>
          </w:tcPr>
          <w:p w14:paraId="0E63D43C"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 xml:space="preserve"> Gastro-oesophageal junction Siewert I</w:t>
            </w:r>
          </w:p>
        </w:tc>
        <w:tc>
          <w:tcPr>
            <w:tcW w:w="1940" w:type="dxa"/>
            <w:vAlign w:val="center"/>
          </w:tcPr>
          <w:p w14:paraId="26D1BD11"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12 (35)</w:t>
            </w:r>
          </w:p>
        </w:tc>
      </w:tr>
      <w:tr w:rsidR="005813DE" w:rsidRPr="00E13321" w14:paraId="33BF5D28" w14:textId="77777777">
        <w:trPr>
          <w:tblCellSpacing w:w="15" w:type="dxa"/>
        </w:trPr>
        <w:tc>
          <w:tcPr>
            <w:tcW w:w="36" w:type="dxa"/>
            <w:vAlign w:val="center"/>
          </w:tcPr>
          <w:p w14:paraId="0D259378" w14:textId="77777777" w:rsidR="005813DE" w:rsidRPr="00E13321" w:rsidRDefault="005813DE">
            <w:pPr>
              <w:spacing w:after="0" w:line="360" w:lineRule="auto"/>
              <w:jc w:val="both"/>
              <w:rPr>
                <w:rFonts w:ascii="Book Antiqua" w:eastAsia="Times New Roman" w:hAnsi="Book Antiqua"/>
                <w:color w:val="000000"/>
                <w:sz w:val="24"/>
                <w:szCs w:val="24"/>
                <w:lang w:eastAsia="fr-FR"/>
              </w:rPr>
            </w:pPr>
          </w:p>
        </w:tc>
        <w:tc>
          <w:tcPr>
            <w:tcW w:w="4425" w:type="dxa"/>
            <w:vAlign w:val="center"/>
          </w:tcPr>
          <w:p w14:paraId="75970B0D"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 xml:space="preserve"> Gastro-oesophageal junction Siewert II</w:t>
            </w:r>
          </w:p>
        </w:tc>
        <w:tc>
          <w:tcPr>
            <w:tcW w:w="1940" w:type="dxa"/>
            <w:vAlign w:val="center"/>
          </w:tcPr>
          <w:p w14:paraId="3E8FF539"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3 (10)</w:t>
            </w:r>
          </w:p>
        </w:tc>
      </w:tr>
      <w:tr w:rsidR="005813DE" w:rsidRPr="00E13321" w14:paraId="129350AC" w14:textId="77777777">
        <w:trPr>
          <w:tblCellSpacing w:w="15" w:type="dxa"/>
        </w:trPr>
        <w:tc>
          <w:tcPr>
            <w:tcW w:w="36" w:type="dxa"/>
            <w:vAlign w:val="center"/>
          </w:tcPr>
          <w:p w14:paraId="4F658C04" w14:textId="77777777" w:rsidR="005813DE" w:rsidRPr="00E13321" w:rsidRDefault="005813DE">
            <w:pPr>
              <w:spacing w:after="0" w:line="360" w:lineRule="auto"/>
              <w:jc w:val="both"/>
              <w:rPr>
                <w:rFonts w:ascii="Book Antiqua" w:eastAsia="Times New Roman" w:hAnsi="Book Antiqua"/>
                <w:color w:val="000000"/>
                <w:sz w:val="24"/>
                <w:szCs w:val="24"/>
                <w:lang w:eastAsia="fr-FR"/>
              </w:rPr>
            </w:pPr>
          </w:p>
        </w:tc>
        <w:tc>
          <w:tcPr>
            <w:tcW w:w="4425" w:type="dxa"/>
            <w:vAlign w:val="center"/>
          </w:tcPr>
          <w:p w14:paraId="05B9500C"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 xml:space="preserve"> Gastro-oesophageal junction Siewert III</w:t>
            </w:r>
          </w:p>
        </w:tc>
        <w:tc>
          <w:tcPr>
            <w:tcW w:w="1940" w:type="dxa"/>
            <w:vAlign w:val="center"/>
          </w:tcPr>
          <w:p w14:paraId="314080A0"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3 (10)</w:t>
            </w:r>
          </w:p>
        </w:tc>
      </w:tr>
      <w:tr w:rsidR="005813DE" w:rsidRPr="00E13321" w14:paraId="101F381E" w14:textId="77777777">
        <w:trPr>
          <w:tblCellSpacing w:w="15" w:type="dxa"/>
        </w:trPr>
        <w:tc>
          <w:tcPr>
            <w:tcW w:w="36" w:type="dxa"/>
            <w:vAlign w:val="center"/>
          </w:tcPr>
          <w:p w14:paraId="388A8218" w14:textId="77777777" w:rsidR="005813DE" w:rsidRPr="00E13321" w:rsidRDefault="005813DE">
            <w:pPr>
              <w:spacing w:after="0" w:line="360" w:lineRule="auto"/>
              <w:jc w:val="both"/>
              <w:rPr>
                <w:rFonts w:ascii="Book Antiqua" w:eastAsia="Times New Roman" w:hAnsi="Book Antiqua"/>
                <w:color w:val="000000"/>
                <w:sz w:val="24"/>
                <w:szCs w:val="24"/>
                <w:lang w:eastAsia="fr-FR"/>
              </w:rPr>
            </w:pPr>
          </w:p>
        </w:tc>
        <w:tc>
          <w:tcPr>
            <w:tcW w:w="4425" w:type="dxa"/>
            <w:vAlign w:val="center"/>
          </w:tcPr>
          <w:p w14:paraId="34ADA19F"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Surgery</w:t>
            </w:r>
          </w:p>
        </w:tc>
        <w:tc>
          <w:tcPr>
            <w:tcW w:w="1940" w:type="dxa"/>
            <w:vAlign w:val="center"/>
          </w:tcPr>
          <w:p w14:paraId="041E0E82" w14:textId="77777777" w:rsidR="005813DE" w:rsidRPr="00E13321" w:rsidRDefault="005813DE">
            <w:pPr>
              <w:spacing w:after="0" w:line="360" w:lineRule="auto"/>
              <w:jc w:val="both"/>
              <w:rPr>
                <w:rFonts w:ascii="Book Antiqua" w:eastAsia="Times New Roman" w:hAnsi="Book Antiqua"/>
                <w:color w:val="000000"/>
                <w:sz w:val="24"/>
                <w:szCs w:val="24"/>
                <w:lang w:eastAsia="fr-FR"/>
              </w:rPr>
            </w:pPr>
          </w:p>
        </w:tc>
      </w:tr>
      <w:tr w:rsidR="005813DE" w:rsidRPr="00E13321" w14:paraId="55727BA9" w14:textId="77777777">
        <w:trPr>
          <w:tblCellSpacing w:w="15" w:type="dxa"/>
        </w:trPr>
        <w:tc>
          <w:tcPr>
            <w:tcW w:w="36" w:type="dxa"/>
            <w:vAlign w:val="center"/>
          </w:tcPr>
          <w:p w14:paraId="18B894CB" w14:textId="77777777" w:rsidR="005813DE" w:rsidRPr="00E13321" w:rsidRDefault="005813DE">
            <w:pPr>
              <w:spacing w:after="0" w:line="360" w:lineRule="auto"/>
              <w:jc w:val="both"/>
              <w:rPr>
                <w:rFonts w:ascii="Book Antiqua" w:eastAsia="Times New Roman" w:hAnsi="Book Antiqua"/>
                <w:color w:val="000000"/>
                <w:sz w:val="24"/>
                <w:szCs w:val="24"/>
                <w:lang w:eastAsia="fr-FR"/>
              </w:rPr>
            </w:pPr>
          </w:p>
        </w:tc>
        <w:tc>
          <w:tcPr>
            <w:tcW w:w="4425" w:type="dxa"/>
            <w:vAlign w:val="center"/>
          </w:tcPr>
          <w:p w14:paraId="7C30E491" w14:textId="77777777" w:rsidR="005813DE" w:rsidRPr="00E13321" w:rsidRDefault="0088790D">
            <w:pPr>
              <w:spacing w:after="0" w:line="360" w:lineRule="auto"/>
              <w:ind w:firstLineChars="50" w:firstLine="120"/>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Lewis Santy</w:t>
            </w:r>
          </w:p>
        </w:tc>
        <w:tc>
          <w:tcPr>
            <w:tcW w:w="1940" w:type="dxa"/>
            <w:vAlign w:val="center"/>
          </w:tcPr>
          <w:p w14:paraId="7ABD910C"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11 (33)</w:t>
            </w:r>
          </w:p>
        </w:tc>
      </w:tr>
      <w:tr w:rsidR="005813DE" w:rsidRPr="00E13321" w14:paraId="28965BCD" w14:textId="77777777">
        <w:trPr>
          <w:tblCellSpacing w:w="15" w:type="dxa"/>
        </w:trPr>
        <w:tc>
          <w:tcPr>
            <w:tcW w:w="36" w:type="dxa"/>
            <w:vAlign w:val="center"/>
          </w:tcPr>
          <w:p w14:paraId="23FED771" w14:textId="77777777" w:rsidR="005813DE" w:rsidRPr="00E13321" w:rsidRDefault="005813DE">
            <w:pPr>
              <w:spacing w:after="0" w:line="360" w:lineRule="auto"/>
              <w:jc w:val="both"/>
              <w:rPr>
                <w:rFonts w:ascii="Book Antiqua" w:eastAsia="Times New Roman" w:hAnsi="Book Antiqua"/>
                <w:color w:val="000000"/>
                <w:sz w:val="24"/>
                <w:szCs w:val="24"/>
                <w:lang w:eastAsia="fr-FR"/>
              </w:rPr>
            </w:pPr>
          </w:p>
        </w:tc>
        <w:tc>
          <w:tcPr>
            <w:tcW w:w="4425" w:type="dxa"/>
            <w:vAlign w:val="center"/>
          </w:tcPr>
          <w:p w14:paraId="029BC3C0" w14:textId="77777777" w:rsidR="005813DE" w:rsidRPr="00E13321" w:rsidRDefault="0088790D">
            <w:pPr>
              <w:spacing w:after="0" w:line="360" w:lineRule="auto"/>
              <w:ind w:firstLineChars="50" w:firstLine="120"/>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Total Gastrectomy</w:t>
            </w:r>
          </w:p>
        </w:tc>
        <w:tc>
          <w:tcPr>
            <w:tcW w:w="1940" w:type="dxa"/>
            <w:vAlign w:val="center"/>
          </w:tcPr>
          <w:p w14:paraId="2CB14AFB"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11 (33)</w:t>
            </w:r>
          </w:p>
        </w:tc>
      </w:tr>
      <w:tr w:rsidR="005813DE" w:rsidRPr="00E13321" w14:paraId="5E67B57F" w14:textId="77777777">
        <w:trPr>
          <w:tblCellSpacing w:w="15" w:type="dxa"/>
        </w:trPr>
        <w:tc>
          <w:tcPr>
            <w:tcW w:w="36" w:type="dxa"/>
            <w:vAlign w:val="center"/>
          </w:tcPr>
          <w:p w14:paraId="2B4C7F12" w14:textId="77777777" w:rsidR="005813DE" w:rsidRPr="00E13321" w:rsidRDefault="005813DE">
            <w:pPr>
              <w:spacing w:after="0" w:line="360" w:lineRule="auto"/>
              <w:jc w:val="both"/>
              <w:rPr>
                <w:rFonts w:ascii="Book Antiqua" w:eastAsia="Times New Roman" w:hAnsi="Book Antiqua"/>
                <w:color w:val="000000"/>
                <w:sz w:val="24"/>
                <w:szCs w:val="24"/>
                <w:lang w:eastAsia="fr-FR"/>
              </w:rPr>
            </w:pPr>
          </w:p>
        </w:tc>
        <w:tc>
          <w:tcPr>
            <w:tcW w:w="4425" w:type="dxa"/>
            <w:vAlign w:val="center"/>
          </w:tcPr>
          <w:p w14:paraId="30B3A6D6" w14:textId="77777777" w:rsidR="005813DE" w:rsidRPr="00E13321" w:rsidRDefault="0088790D">
            <w:pPr>
              <w:spacing w:after="0" w:line="360" w:lineRule="auto"/>
              <w:ind w:firstLineChars="50" w:firstLine="120"/>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Subtotal Gastrectomy</w:t>
            </w:r>
          </w:p>
        </w:tc>
        <w:tc>
          <w:tcPr>
            <w:tcW w:w="1940" w:type="dxa"/>
            <w:vAlign w:val="center"/>
          </w:tcPr>
          <w:p w14:paraId="77143CA6"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11 (33)</w:t>
            </w:r>
          </w:p>
        </w:tc>
      </w:tr>
      <w:tr w:rsidR="005813DE" w:rsidRPr="00E13321" w14:paraId="40102025" w14:textId="77777777">
        <w:trPr>
          <w:tblCellSpacing w:w="15" w:type="dxa"/>
        </w:trPr>
        <w:tc>
          <w:tcPr>
            <w:tcW w:w="36" w:type="dxa"/>
            <w:vAlign w:val="center"/>
          </w:tcPr>
          <w:p w14:paraId="4BAAB974" w14:textId="77777777" w:rsidR="005813DE" w:rsidRPr="00E13321" w:rsidRDefault="005813DE">
            <w:pPr>
              <w:spacing w:after="0" w:line="360" w:lineRule="auto"/>
              <w:jc w:val="both"/>
              <w:rPr>
                <w:rFonts w:ascii="Book Antiqua" w:eastAsia="Times New Roman" w:hAnsi="Book Antiqua"/>
                <w:color w:val="000000"/>
                <w:sz w:val="24"/>
                <w:szCs w:val="24"/>
                <w:lang w:eastAsia="fr-FR"/>
              </w:rPr>
            </w:pPr>
          </w:p>
        </w:tc>
        <w:tc>
          <w:tcPr>
            <w:tcW w:w="4425" w:type="dxa"/>
            <w:vAlign w:val="center"/>
          </w:tcPr>
          <w:p w14:paraId="6F997BB1"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Clinical tumour stage</w:t>
            </w:r>
          </w:p>
          <w:p w14:paraId="6E2B2C5C"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 xml:space="preserve"> cT3/T4</w:t>
            </w:r>
          </w:p>
        </w:tc>
        <w:tc>
          <w:tcPr>
            <w:tcW w:w="1940" w:type="dxa"/>
            <w:vAlign w:val="center"/>
          </w:tcPr>
          <w:p w14:paraId="0951B764" w14:textId="77777777" w:rsidR="005813DE" w:rsidRPr="00E13321" w:rsidRDefault="005813DE">
            <w:pPr>
              <w:spacing w:after="0" w:line="360" w:lineRule="auto"/>
              <w:jc w:val="both"/>
              <w:rPr>
                <w:rFonts w:ascii="Book Antiqua" w:eastAsia="Times New Roman" w:hAnsi="Book Antiqua"/>
                <w:color w:val="000000"/>
                <w:sz w:val="24"/>
                <w:szCs w:val="24"/>
                <w:lang w:eastAsia="fr-FR"/>
              </w:rPr>
            </w:pPr>
          </w:p>
          <w:p w14:paraId="1EF53572"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7 (81)</w:t>
            </w:r>
          </w:p>
        </w:tc>
      </w:tr>
      <w:tr w:rsidR="005813DE" w:rsidRPr="00E13321" w14:paraId="2080FA6F" w14:textId="77777777">
        <w:trPr>
          <w:tblCellSpacing w:w="15" w:type="dxa"/>
        </w:trPr>
        <w:tc>
          <w:tcPr>
            <w:tcW w:w="36" w:type="dxa"/>
            <w:vAlign w:val="center"/>
          </w:tcPr>
          <w:p w14:paraId="45ADFB17" w14:textId="77777777" w:rsidR="005813DE" w:rsidRPr="00E13321" w:rsidRDefault="005813DE">
            <w:pPr>
              <w:spacing w:after="0" w:line="360" w:lineRule="auto"/>
              <w:jc w:val="both"/>
              <w:rPr>
                <w:rFonts w:ascii="Book Antiqua" w:eastAsia="Times New Roman" w:hAnsi="Book Antiqua"/>
                <w:color w:val="000000"/>
                <w:sz w:val="24"/>
                <w:szCs w:val="24"/>
                <w:lang w:eastAsia="fr-FR"/>
              </w:rPr>
            </w:pPr>
          </w:p>
        </w:tc>
        <w:tc>
          <w:tcPr>
            <w:tcW w:w="4425" w:type="dxa"/>
            <w:vAlign w:val="center"/>
          </w:tcPr>
          <w:p w14:paraId="3E867E6B"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 xml:space="preserve"> cT1/T2</w:t>
            </w:r>
          </w:p>
        </w:tc>
        <w:tc>
          <w:tcPr>
            <w:tcW w:w="1940" w:type="dxa"/>
            <w:vAlign w:val="center"/>
          </w:tcPr>
          <w:p w14:paraId="48AC9946"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5 (18)</w:t>
            </w:r>
          </w:p>
        </w:tc>
      </w:tr>
      <w:tr w:rsidR="005813DE" w:rsidRPr="00E13321" w14:paraId="1083F6C6" w14:textId="77777777">
        <w:trPr>
          <w:tblCellSpacing w:w="15" w:type="dxa"/>
        </w:trPr>
        <w:tc>
          <w:tcPr>
            <w:tcW w:w="36" w:type="dxa"/>
            <w:vAlign w:val="center"/>
          </w:tcPr>
          <w:p w14:paraId="0F142C4D" w14:textId="77777777" w:rsidR="005813DE" w:rsidRPr="00E13321" w:rsidRDefault="005813DE">
            <w:pPr>
              <w:spacing w:after="0" w:line="360" w:lineRule="auto"/>
              <w:jc w:val="both"/>
              <w:rPr>
                <w:rFonts w:ascii="Book Antiqua" w:eastAsia="Times New Roman" w:hAnsi="Book Antiqua"/>
                <w:color w:val="000000"/>
                <w:sz w:val="24"/>
                <w:szCs w:val="24"/>
                <w:lang w:eastAsia="fr-FR"/>
              </w:rPr>
            </w:pPr>
          </w:p>
        </w:tc>
        <w:tc>
          <w:tcPr>
            <w:tcW w:w="4425" w:type="dxa"/>
            <w:vAlign w:val="center"/>
          </w:tcPr>
          <w:p w14:paraId="13F42D63"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 xml:space="preserve"> cTx</w:t>
            </w:r>
          </w:p>
        </w:tc>
        <w:tc>
          <w:tcPr>
            <w:tcW w:w="1940" w:type="dxa"/>
            <w:vAlign w:val="center"/>
          </w:tcPr>
          <w:p w14:paraId="197DF746"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21 (1)</w:t>
            </w:r>
          </w:p>
        </w:tc>
      </w:tr>
      <w:tr w:rsidR="005813DE" w:rsidRPr="00E13321" w14:paraId="220C3B9C" w14:textId="77777777">
        <w:trPr>
          <w:tblCellSpacing w:w="15" w:type="dxa"/>
        </w:trPr>
        <w:tc>
          <w:tcPr>
            <w:tcW w:w="36" w:type="dxa"/>
            <w:vAlign w:val="center"/>
          </w:tcPr>
          <w:p w14:paraId="319EC234" w14:textId="77777777" w:rsidR="005813DE" w:rsidRPr="00E13321" w:rsidRDefault="005813DE">
            <w:pPr>
              <w:spacing w:after="0" w:line="360" w:lineRule="auto"/>
              <w:jc w:val="both"/>
              <w:rPr>
                <w:rFonts w:ascii="Book Antiqua" w:eastAsia="Times New Roman" w:hAnsi="Book Antiqua"/>
                <w:color w:val="000000"/>
                <w:sz w:val="24"/>
                <w:szCs w:val="24"/>
                <w:lang w:eastAsia="fr-FR"/>
              </w:rPr>
            </w:pPr>
          </w:p>
        </w:tc>
        <w:tc>
          <w:tcPr>
            <w:tcW w:w="4425" w:type="dxa"/>
            <w:vAlign w:val="center"/>
          </w:tcPr>
          <w:p w14:paraId="328D082D"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 xml:space="preserve"> cN+</w:t>
            </w:r>
          </w:p>
        </w:tc>
        <w:tc>
          <w:tcPr>
            <w:tcW w:w="1940" w:type="dxa"/>
            <w:vAlign w:val="center"/>
          </w:tcPr>
          <w:p w14:paraId="677F8488"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22 (77)</w:t>
            </w:r>
          </w:p>
        </w:tc>
      </w:tr>
      <w:tr w:rsidR="005813DE" w:rsidRPr="00E13321" w14:paraId="08540A05" w14:textId="77777777">
        <w:trPr>
          <w:tblCellSpacing w:w="15" w:type="dxa"/>
        </w:trPr>
        <w:tc>
          <w:tcPr>
            <w:tcW w:w="36" w:type="dxa"/>
            <w:vAlign w:val="center"/>
          </w:tcPr>
          <w:p w14:paraId="4A57A038" w14:textId="77777777" w:rsidR="005813DE" w:rsidRPr="00E13321" w:rsidRDefault="005813DE">
            <w:pPr>
              <w:spacing w:after="0" w:line="360" w:lineRule="auto"/>
              <w:jc w:val="both"/>
              <w:rPr>
                <w:rFonts w:ascii="Book Antiqua" w:eastAsia="Times New Roman" w:hAnsi="Book Antiqua"/>
                <w:color w:val="000000"/>
                <w:sz w:val="24"/>
                <w:szCs w:val="24"/>
                <w:lang w:eastAsia="fr-FR"/>
              </w:rPr>
            </w:pPr>
          </w:p>
        </w:tc>
        <w:tc>
          <w:tcPr>
            <w:tcW w:w="4425" w:type="dxa"/>
            <w:vAlign w:val="center"/>
          </w:tcPr>
          <w:p w14:paraId="1EAA684D"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 xml:space="preserve"> cN–</w:t>
            </w:r>
          </w:p>
        </w:tc>
        <w:tc>
          <w:tcPr>
            <w:tcW w:w="1940" w:type="dxa"/>
            <w:vAlign w:val="center"/>
          </w:tcPr>
          <w:p w14:paraId="0A70114A"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8 (23)</w:t>
            </w:r>
          </w:p>
        </w:tc>
      </w:tr>
      <w:tr w:rsidR="005813DE" w:rsidRPr="00E13321" w14:paraId="2D452074" w14:textId="77777777">
        <w:trPr>
          <w:tblCellSpacing w:w="15" w:type="dxa"/>
        </w:trPr>
        <w:tc>
          <w:tcPr>
            <w:tcW w:w="36" w:type="dxa"/>
            <w:vAlign w:val="center"/>
          </w:tcPr>
          <w:p w14:paraId="1B1115E5" w14:textId="77777777" w:rsidR="005813DE" w:rsidRPr="00E13321" w:rsidRDefault="005813DE">
            <w:pPr>
              <w:spacing w:after="0" w:line="360" w:lineRule="auto"/>
              <w:jc w:val="both"/>
              <w:rPr>
                <w:rFonts w:ascii="Book Antiqua" w:eastAsia="Times New Roman" w:hAnsi="Book Antiqua"/>
                <w:color w:val="000000"/>
                <w:sz w:val="24"/>
                <w:szCs w:val="24"/>
                <w:lang w:eastAsia="fr-FR"/>
              </w:rPr>
            </w:pPr>
          </w:p>
        </w:tc>
        <w:tc>
          <w:tcPr>
            <w:tcW w:w="4425" w:type="dxa"/>
            <w:vAlign w:val="center"/>
          </w:tcPr>
          <w:p w14:paraId="7981AEE1"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Histological type</w:t>
            </w:r>
          </w:p>
          <w:p w14:paraId="7F1EF2E2"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 xml:space="preserve"> Intestinal</w:t>
            </w:r>
          </w:p>
        </w:tc>
        <w:tc>
          <w:tcPr>
            <w:tcW w:w="1940" w:type="dxa"/>
            <w:vAlign w:val="center"/>
          </w:tcPr>
          <w:p w14:paraId="6158BFC3" w14:textId="77777777" w:rsidR="005813DE" w:rsidRPr="00E13321" w:rsidRDefault="005813DE">
            <w:pPr>
              <w:spacing w:after="0" w:line="360" w:lineRule="auto"/>
              <w:jc w:val="both"/>
              <w:rPr>
                <w:rFonts w:ascii="Book Antiqua" w:eastAsia="Times New Roman" w:hAnsi="Book Antiqua"/>
                <w:color w:val="000000"/>
                <w:sz w:val="24"/>
                <w:szCs w:val="24"/>
                <w:lang w:eastAsia="fr-FR"/>
              </w:rPr>
            </w:pPr>
          </w:p>
          <w:p w14:paraId="24C178D4"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28 (84)</w:t>
            </w:r>
          </w:p>
        </w:tc>
      </w:tr>
      <w:tr w:rsidR="005813DE" w:rsidRPr="00E13321" w14:paraId="01ECA92A" w14:textId="77777777">
        <w:trPr>
          <w:tblCellSpacing w:w="15" w:type="dxa"/>
        </w:trPr>
        <w:tc>
          <w:tcPr>
            <w:tcW w:w="36" w:type="dxa"/>
            <w:vAlign w:val="center"/>
          </w:tcPr>
          <w:p w14:paraId="4FFAC7E6" w14:textId="77777777" w:rsidR="005813DE" w:rsidRPr="00E13321" w:rsidRDefault="005813DE">
            <w:pPr>
              <w:spacing w:after="0" w:line="360" w:lineRule="auto"/>
              <w:jc w:val="both"/>
              <w:rPr>
                <w:rFonts w:ascii="Book Antiqua" w:eastAsia="Times New Roman" w:hAnsi="Book Antiqua"/>
                <w:color w:val="000000"/>
                <w:sz w:val="24"/>
                <w:szCs w:val="24"/>
                <w:lang w:eastAsia="fr-FR"/>
              </w:rPr>
            </w:pPr>
          </w:p>
        </w:tc>
        <w:tc>
          <w:tcPr>
            <w:tcW w:w="4425" w:type="dxa"/>
            <w:vAlign w:val="center"/>
          </w:tcPr>
          <w:p w14:paraId="62D3A083"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 xml:space="preserve"> Singet Ring cells</w:t>
            </w:r>
          </w:p>
        </w:tc>
        <w:tc>
          <w:tcPr>
            <w:tcW w:w="1940" w:type="dxa"/>
            <w:vAlign w:val="center"/>
          </w:tcPr>
          <w:p w14:paraId="6BC1B93F"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5 (16)</w:t>
            </w:r>
          </w:p>
        </w:tc>
      </w:tr>
      <w:tr w:rsidR="005813DE" w:rsidRPr="00E13321" w14:paraId="72F2FEC5" w14:textId="77777777">
        <w:trPr>
          <w:tblCellSpacing w:w="15" w:type="dxa"/>
        </w:trPr>
        <w:tc>
          <w:tcPr>
            <w:tcW w:w="36" w:type="dxa"/>
            <w:tcBorders>
              <w:bottom w:val="single" w:sz="4" w:space="0" w:color="auto"/>
            </w:tcBorders>
            <w:vAlign w:val="center"/>
          </w:tcPr>
          <w:p w14:paraId="6F226CB9" w14:textId="77777777" w:rsidR="005813DE" w:rsidRPr="00E13321" w:rsidRDefault="005813DE">
            <w:pPr>
              <w:spacing w:after="0" w:line="360" w:lineRule="auto"/>
              <w:jc w:val="both"/>
              <w:rPr>
                <w:rFonts w:ascii="Book Antiqua" w:eastAsia="Times New Roman" w:hAnsi="Book Antiqua"/>
                <w:color w:val="000000"/>
                <w:sz w:val="24"/>
                <w:szCs w:val="24"/>
                <w:lang w:eastAsia="fr-FR"/>
              </w:rPr>
            </w:pPr>
          </w:p>
        </w:tc>
        <w:tc>
          <w:tcPr>
            <w:tcW w:w="4425" w:type="dxa"/>
            <w:tcBorders>
              <w:bottom w:val="single" w:sz="4" w:space="0" w:color="auto"/>
            </w:tcBorders>
            <w:vAlign w:val="center"/>
          </w:tcPr>
          <w:p w14:paraId="16B1E574"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 xml:space="preserve"> HER2 overexpressing</w:t>
            </w:r>
          </w:p>
        </w:tc>
        <w:tc>
          <w:tcPr>
            <w:tcW w:w="1940" w:type="dxa"/>
            <w:tcBorders>
              <w:bottom w:val="single" w:sz="4" w:space="0" w:color="auto"/>
            </w:tcBorders>
            <w:vAlign w:val="center"/>
          </w:tcPr>
          <w:p w14:paraId="41BC6171"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5 (16)</w:t>
            </w:r>
          </w:p>
        </w:tc>
      </w:tr>
    </w:tbl>
    <w:p w14:paraId="6F24B9C9" w14:textId="77777777" w:rsidR="005813DE" w:rsidRPr="00E13321" w:rsidRDefault="005813DE">
      <w:pPr>
        <w:pStyle w:val="p"/>
        <w:spacing w:before="0" w:beforeAutospacing="0" w:after="0" w:afterAutospacing="0" w:line="360" w:lineRule="auto"/>
        <w:jc w:val="both"/>
        <w:rPr>
          <w:rFonts w:ascii="Book Antiqua" w:hAnsi="Book Antiqua"/>
          <w:color w:val="000000"/>
        </w:rPr>
      </w:pPr>
    </w:p>
    <w:p w14:paraId="6EF83559"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hAnsi="Book Antiqua"/>
          <w:color w:val="000000"/>
          <w:sz w:val="24"/>
          <w:szCs w:val="24"/>
        </w:rPr>
        <w:br w:type="page"/>
      </w:r>
    </w:p>
    <w:p w14:paraId="432395BC" w14:textId="77777777" w:rsidR="005813DE" w:rsidRPr="00E13321" w:rsidRDefault="0088790D">
      <w:pPr>
        <w:pStyle w:val="p"/>
        <w:tabs>
          <w:tab w:val="left" w:pos="6190"/>
        </w:tabs>
        <w:spacing w:before="0" w:beforeAutospacing="0" w:after="0" w:afterAutospacing="0" w:line="360" w:lineRule="auto"/>
        <w:jc w:val="both"/>
        <w:rPr>
          <w:rFonts w:ascii="Book Antiqua" w:hAnsi="Book Antiqua"/>
          <w:color w:val="000000"/>
        </w:rPr>
      </w:pPr>
      <w:r w:rsidRPr="00E13321">
        <w:rPr>
          <w:rFonts w:ascii="Book Antiqua" w:hAnsi="Book Antiqua"/>
          <w:b/>
          <w:color w:val="000000"/>
        </w:rPr>
        <w:t>Table 2</w:t>
      </w:r>
      <w:r w:rsidRPr="00E13321">
        <w:rPr>
          <w:rFonts w:ascii="Book Antiqua" w:hAnsi="Book Antiqua"/>
          <w:color w:val="000000"/>
        </w:rPr>
        <w:t xml:space="preserve"> </w:t>
      </w:r>
      <w:r w:rsidRPr="00E13321">
        <w:rPr>
          <w:rFonts w:ascii="Book Antiqua" w:hAnsi="Book Antiqua"/>
          <w:b/>
          <w:bCs/>
          <w:color w:val="000000"/>
        </w:rPr>
        <w:t>Neoadjuvant chemotherapy adverse events</w:t>
      </w:r>
      <w:r w:rsidRPr="00E13321">
        <w:rPr>
          <w:rFonts w:ascii="Book Antiqua" w:hAnsi="Book Antiqua"/>
          <w:color w:val="000000"/>
        </w:rPr>
        <w:tab/>
      </w:r>
    </w:p>
    <w:tbl>
      <w:tblPr>
        <w:tblW w:w="0" w:type="auto"/>
        <w:tblCellSpacing w:w="15" w:type="dxa"/>
        <w:tblInd w:w="-45" w:type="dxa"/>
        <w:tblBorders>
          <w:top w:val="single" w:sz="4" w:space="0" w:color="auto"/>
          <w:bottom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158"/>
        <w:gridCol w:w="760"/>
        <w:gridCol w:w="1660"/>
        <w:gridCol w:w="2126"/>
      </w:tblGrid>
      <w:tr w:rsidR="005813DE" w:rsidRPr="00E13321" w14:paraId="2DC06C74" w14:textId="77777777">
        <w:trPr>
          <w:tblHeader/>
          <w:tblCellSpacing w:w="15" w:type="dxa"/>
        </w:trPr>
        <w:tc>
          <w:tcPr>
            <w:tcW w:w="2113" w:type="dxa"/>
            <w:tcBorders>
              <w:top w:val="nil"/>
              <w:bottom w:val="single" w:sz="4" w:space="0" w:color="auto"/>
            </w:tcBorders>
            <w:vAlign w:val="center"/>
          </w:tcPr>
          <w:p w14:paraId="4734379F" w14:textId="77777777" w:rsidR="005813DE" w:rsidRPr="00E13321" w:rsidRDefault="0088790D">
            <w:pPr>
              <w:spacing w:after="0" w:line="360" w:lineRule="auto"/>
              <w:jc w:val="both"/>
              <w:rPr>
                <w:rFonts w:ascii="Book Antiqua" w:eastAsia="Times New Roman" w:hAnsi="Book Antiqua"/>
                <w:b/>
                <w:bCs/>
                <w:color w:val="000000"/>
                <w:sz w:val="24"/>
                <w:szCs w:val="24"/>
                <w:lang w:eastAsia="fr-FR"/>
              </w:rPr>
            </w:pPr>
            <w:r w:rsidRPr="00E13321">
              <w:rPr>
                <w:rFonts w:ascii="Book Antiqua" w:eastAsia="Times New Roman" w:hAnsi="Book Antiqua"/>
                <w:b/>
                <w:bCs/>
                <w:color w:val="000000"/>
                <w:sz w:val="24"/>
                <w:szCs w:val="24"/>
                <w:lang w:eastAsia="fr-FR"/>
              </w:rPr>
              <w:t xml:space="preserve">Maximal toxicity </w:t>
            </w:r>
          </w:p>
        </w:tc>
        <w:tc>
          <w:tcPr>
            <w:tcW w:w="730" w:type="dxa"/>
            <w:tcBorders>
              <w:top w:val="nil"/>
              <w:bottom w:val="single" w:sz="4" w:space="0" w:color="auto"/>
            </w:tcBorders>
            <w:vAlign w:val="center"/>
          </w:tcPr>
          <w:p w14:paraId="39469EF0" w14:textId="77777777" w:rsidR="005813DE" w:rsidRPr="00E13321" w:rsidRDefault="0088790D">
            <w:pPr>
              <w:spacing w:after="0" w:line="360" w:lineRule="auto"/>
              <w:jc w:val="both"/>
              <w:rPr>
                <w:rFonts w:ascii="Book Antiqua" w:eastAsia="Times New Roman" w:hAnsi="Book Antiqua"/>
                <w:b/>
                <w:bCs/>
                <w:color w:val="000000"/>
                <w:sz w:val="24"/>
                <w:szCs w:val="24"/>
                <w:lang w:eastAsia="fr-FR"/>
              </w:rPr>
            </w:pPr>
            <w:r w:rsidRPr="00E13321">
              <w:rPr>
                <w:rFonts w:ascii="Book Antiqua" w:eastAsia="Times New Roman" w:hAnsi="Book Antiqua"/>
                <w:b/>
                <w:bCs/>
                <w:color w:val="000000"/>
                <w:sz w:val="24"/>
                <w:szCs w:val="24"/>
                <w:lang w:eastAsia="fr-FR"/>
              </w:rPr>
              <w:t xml:space="preserve">All </w:t>
            </w:r>
          </w:p>
        </w:tc>
        <w:tc>
          <w:tcPr>
            <w:tcW w:w="1630" w:type="dxa"/>
            <w:tcBorders>
              <w:top w:val="nil"/>
              <w:bottom w:val="single" w:sz="4" w:space="0" w:color="auto"/>
            </w:tcBorders>
          </w:tcPr>
          <w:p w14:paraId="654C1E4C" w14:textId="77777777" w:rsidR="005813DE" w:rsidRPr="00E13321" w:rsidRDefault="005813DE">
            <w:pPr>
              <w:spacing w:after="0" w:line="360" w:lineRule="auto"/>
              <w:jc w:val="both"/>
              <w:rPr>
                <w:rFonts w:ascii="Book Antiqua" w:eastAsia="Times New Roman" w:hAnsi="Book Antiqua"/>
                <w:b/>
                <w:bCs/>
                <w:color w:val="000000"/>
                <w:sz w:val="24"/>
                <w:szCs w:val="24"/>
                <w:lang w:eastAsia="fr-FR"/>
              </w:rPr>
            </w:pPr>
          </w:p>
        </w:tc>
        <w:tc>
          <w:tcPr>
            <w:tcW w:w="2081" w:type="dxa"/>
            <w:tcBorders>
              <w:top w:val="nil"/>
              <w:bottom w:val="single" w:sz="4" w:space="0" w:color="auto"/>
            </w:tcBorders>
            <w:vAlign w:val="center"/>
          </w:tcPr>
          <w:p w14:paraId="343343E5" w14:textId="77777777" w:rsidR="005813DE" w:rsidRPr="00E13321" w:rsidRDefault="0088790D">
            <w:pPr>
              <w:spacing w:after="0" w:line="360" w:lineRule="auto"/>
              <w:jc w:val="both"/>
              <w:rPr>
                <w:rFonts w:ascii="Book Antiqua" w:eastAsia="Times New Roman" w:hAnsi="Book Antiqua"/>
                <w:b/>
                <w:bCs/>
                <w:color w:val="000000"/>
                <w:sz w:val="24"/>
                <w:szCs w:val="24"/>
                <w:lang w:eastAsia="fr-FR"/>
              </w:rPr>
            </w:pPr>
            <w:r w:rsidRPr="00E13321">
              <w:rPr>
                <w:rFonts w:ascii="Book Antiqua" w:eastAsia="Times New Roman" w:hAnsi="Book Antiqua"/>
                <w:b/>
                <w:bCs/>
                <w:color w:val="000000"/>
                <w:sz w:val="24"/>
                <w:szCs w:val="24"/>
                <w:lang w:eastAsia="fr-FR"/>
              </w:rPr>
              <w:t xml:space="preserve">Grade 3/4 </w:t>
            </w:r>
          </w:p>
        </w:tc>
      </w:tr>
      <w:tr w:rsidR="005813DE" w:rsidRPr="00E13321" w14:paraId="0E76F16F" w14:textId="77777777">
        <w:trPr>
          <w:tblCellSpacing w:w="15" w:type="dxa"/>
        </w:trPr>
        <w:tc>
          <w:tcPr>
            <w:tcW w:w="2113" w:type="dxa"/>
            <w:vAlign w:val="center"/>
          </w:tcPr>
          <w:p w14:paraId="4A0D63D3"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 xml:space="preserve">All </w:t>
            </w:r>
          </w:p>
        </w:tc>
        <w:tc>
          <w:tcPr>
            <w:tcW w:w="730" w:type="dxa"/>
            <w:vAlign w:val="center"/>
          </w:tcPr>
          <w:p w14:paraId="7EBB6CA4"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31 (92)</w:t>
            </w:r>
          </w:p>
        </w:tc>
        <w:tc>
          <w:tcPr>
            <w:tcW w:w="1630" w:type="dxa"/>
          </w:tcPr>
          <w:p w14:paraId="7743CB5B" w14:textId="77777777" w:rsidR="005813DE" w:rsidRPr="00E13321" w:rsidRDefault="005813DE">
            <w:pPr>
              <w:spacing w:after="0" w:line="360" w:lineRule="auto"/>
              <w:jc w:val="both"/>
              <w:rPr>
                <w:rFonts w:ascii="Book Antiqua" w:eastAsia="Times New Roman" w:hAnsi="Book Antiqua"/>
                <w:color w:val="000000"/>
                <w:sz w:val="24"/>
                <w:szCs w:val="24"/>
                <w:lang w:eastAsia="fr-FR"/>
              </w:rPr>
            </w:pPr>
          </w:p>
        </w:tc>
        <w:tc>
          <w:tcPr>
            <w:tcW w:w="2081" w:type="dxa"/>
            <w:vAlign w:val="center"/>
          </w:tcPr>
          <w:p w14:paraId="7EDD64F4"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10 (30)</w:t>
            </w:r>
          </w:p>
        </w:tc>
      </w:tr>
      <w:tr w:rsidR="005813DE" w:rsidRPr="00E13321" w14:paraId="7E09309F" w14:textId="77777777">
        <w:trPr>
          <w:tblCellSpacing w:w="15" w:type="dxa"/>
        </w:trPr>
        <w:tc>
          <w:tcPr>
            <w:tcW w:w="2113" w:type="dxa"/>
            <w:vAlign w:val="center"/>
          </w:tcPr>
          <w:p w14:paraId="0418EE7E"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 xml:space="preserve">Neutropenia </w:t>
            </w:r>
          </w:p>
        </w:tc>
        <w:tc>
          <w:tcPr>
            <w:tcW w:w="730" w:type="dxa"/>
            <w:vAlign w:val="center"/>
          </w:tcPr>
          <w:p w14:paraId="4B820FF8"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3 (10)</w:t>
            </w:r>
          </w:p>
        </w:tc>
        <w:tc>
          <w:tcPr>
            <w:tcW w:w="1630" w:type="dxa"/>
          </w:tcPr>
          <w:p w14:paraId="57AB7FC6" w14:textId="77777777" w:rsidR="005813DE" w:rsidRPr="00E13321" w:rsidRDefault="005813DE">
            <w:pPr>
              <w:spacing w:after="0" w:line="360" w:lineRule="auto"/>
              <w:jc w:val="both"/>
              <w:rPr>
                <w:rFonts w:ascii="Book Antiqua" w:eastAsia="Times New Roman" w:hAnsi="Book Antiqua"/>
                <w:color w:val="000000"/>
                <w:sz w:val="24"/>
                <w:szCs w:val="24"/>
                <w:lang w:eastAsia="fr-FR"/>
              </w:rPr>
            </w:pPr>
          </w:p>
        </w:tc>
        <w:tc>
          <w:tcPr>
            <w:tcW w:w="2081" w:type="dxa"/>
            <w:vAlign w:val="center"/>
          </w:tcPr>
          <w:p w14:paraId="6951B13C"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1(3)</w:t>
            </w:r>
          </w:p>
        </w:tc>
      </w:tr>
      <w:tr w:rsidR="005813DE" w:rsidRPr="00E13321" w14:paraId="530CC515" w14:textId="77777777">
        <w:trPr>
          <w:tblCellSpacing w:w="15" w:type="dxa"/>
        </w:trPr>
        <w:tc>
          <w:tcPr>
            <w:tcW w:w="2113" w:type="dxa"/>
            <w:vAlign w:val="center"/>
          </w:tcPr>
          <w:p w14:paraId="419B3E32"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 xml:space="preserve">Febrile neutropenia </w:t>
            </w:r>
          </w:p>
        </w:tc>
        <w:tc>
          <w:tcPr>
            <w:tcW w:w="730" w:type="dxa"/>
            <w:vAlign w:val="center"/>
          </w:tcPr>
          <w:p w14:paraId="7BADD682"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1 (3)</w:t>
            </w:r>
          </w:p>
        </w:tc>
        <w:tc>
          <w:tcPr>
            <w:tcW w:w="1630" w:type="dxa"/>
          </w:tcPr>
          <w:p w14:paraId="570B2AF7" w14:textId="77777777" w:rsidR="005813DE" w:rsidRPr="00E13321" w:rsidRDefault="005813DE">
            <w:pPr>
              <w:spacing w:after="0" w:line="360" w:lineRule="auto"/>
              <w:jc w:val="both"/>
              <w:rPr>
                <w:rFonts w:ascii="Book Antiqua" w:eastAsia="Times New Roman" w:hAnsi="Book Antiqua"/>
                <w:color w:val="000000"/>
                <w:sz w:val="24"/>
                <w:szCs w:val="24"/>
                <w:lang w:eastAsia="fr-FR"/>
              </w:rPr>
            </w:pPr>
          </w:p>
        </w:tc>
        <w:tc>
          <w:tcPr>
            <w:tcW w:w="2081" w:type="dxa"/>
            <w:vAlign w:val="center"/>
          </w:tcPr>
          <w:p w14:paraId="627C3BBE"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1 (3)</w:t>
            </w:r>
          </w:p>
        </w:tc>
      </w:tr>
      <w:tr w:rsidR="005813DE" w:rsidRPr="00E13321" w14:paraId="28EFD774" w14:textId="77777777">
        <w:trPr>
          <w:tblCellSpacing w:w="15" w:type="dxa"/>
        </w:trPr>
        <w:tc>
          <w:tcPr>
            <w:tcW w:w="2113" w:type="dxa"/>
            <w:vAlign w:val="center"/>
          </w:tcPr>
          <w:p w14:paraId="2BF1A766"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 xml:space="preserve">Anaemia </w:t>
            </w:r>
          </w:p>
        </w:tc>
        <w:tc>
          <w:tcPr>
            <w:tcW w:w="730" w:type="dxa"/>
            <w:vAlign w:val="center"/>
          </w:tcPr>
          <w:p w14:paraId="70AFB5B0"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2 (6)</w:t>
            </w:r>
          </w:p>
        </w:tc>
        <w:tc>
          <w:tcPr>
            <w:tcW w:w="1630" w:type="dxa"/>
          </w:tcPr>
          <w:p w14:paraId="1FDA25A3" w14:textId="77777777" w:rsidR="005813DE" w:rsidRPr="00E13321" w:rsidRDefault="005813DE">
            <w:pPr>
              <w:spacing w:after="0" w:line="360" w:lineRule="auto"/>
              <w:jc w:val="both"/>
              <w:rPr>
                <w:rFonts w:ascii="Book Antiqua" w:eastAsia="Times New Roman" w:hAnsi="Book Antiqua"/>
                <w:color w:val="000000"/>
                <w:sz w:val="24"/>
                <w:szCs w:val="24"/>
                <w:lang w:eastAsia="fr-FR"/>
              </w:rPr>
            </w:pPr>
          </w:p>
        </w:tc>
        <w:tc>
          <w:tcPr>
            <w:tcW w:w="2081" w:type="dxa"/>
            <w:vAlign w:val="center"/>
          </w:tcPr>
          <w:p w14:paraId="0EE2AC12"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0%</w:t>
            </w:r>
          </w:p>
        </w:tc>
      </w:tr>
      <w:tr w:rsidR="005813DE" w:rsidRPr="00E13321" w14:paraId="2FD048E7" w14:textId="77777777">
        <w:trPr>
          <w:tblCellSpacing w:w="15" w:type="dxa"/>
        </w:trPr>
        <w:tc>
          <w:tcPr>
            <w:tcW w:w="2113" w:type="dxa"/>
            <w:vAlign w:val="center"/>
          </w:tcPr>
          <w:p w14:paraId="1429375D"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 xml:space="preserve">Thrombocytopenia </w:t>
            </w:r>
          </w:p>
        </w:tc>
        <w:tc>
          <w:tcPr>
            <w:tcW w:w="730" w:type="dxa"/>
            <w:vAlign w:val="center"/>
          </w:tcPr>
          <w:p w14:paraId="0C3DA36F"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2 (6)</w:t>
            </w:r>
          </w:p>
        </w:tc>
        <w:tc>
          <w:tcPr>
            <w:tcW w:w="1630" w:type="dxa"/>
          </w:tcPr>
          <w:p w14:paraId="33B39917" w14:textId="77777777" w:rsidR="005813DE" w:rsidRPr="00E13321" w:rsidRDefault="005813DE">
            <w:pPr>
              <w:spacing w:after="0" w:line="360" w:lineRule="auto"/>
              <w:jc w:val="both"/>
              <w:rPr>
                <w:rFonts w:ascii="Book Antiqua" w:eastAsia="Times New Roman" w:hAnsi="Book Antiqua"/>
                <w:color w:val="000000"/>
                <w:sz w:val="24"/>
                <w:szCs w:val="24"/>
                <w:lang w:eastAsia="fr-FR"/>
              </w:rPr>
            </w:pPr>
          </w:p>
        </w:tc>
        <w:tc>
          <w:tcPr>
            <w:tcW w:w="2081" w:type="dxa"/>
            <w:vAlign w:val="center"/>
          </w:tcPr>
          <w:p w14:paraId="0C04D0F0"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0%</w:t>
            </w:r>
          </w:p>
        </w:tc>
      </w:tr>
      <w:tr w:rsidR="005813DE" w:rsidRPr="00E13321" w14:paraId="51A8C49C" w14:textId="77777777">
        <w:trPr>
          <w:tblCellSpacing w:w="15" w:type="dxa"/>
        </w:trPr>
        <w:tc>
          <w:tcPr>
            <w:tcW w:w="2113" w:type="dxa"/>
            <w:vAlign w:val="center"/>
          </w:tcPr>
          <w:p w14:paraId="648984DB"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 xml:space="preserve">Neurotoxicity </w:t>
            </w:r>
          </w:p>
        </w:tc>
        <w:tc>
          <w:tcPr>
            <w:tcW w:w="730" w:type="dxa"/>
            <w:vAlign w:val="center"/>
          </w:tcPr>
          <w:p w14:paraId="0ABAB594"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21 (63)</w:t>
            </w:r>
          </w:p>
        </w:tc>
        <w:tc>
          <w:tcPr>
            <w:tcW w:w="1630" w:type="dxa"/>
          </w:tcPr>
          <w:p w14:paraId="37D4B772" w14:textId="77777777" w:rsidR="005813DE" w:rsidRPr="00E13321" w:rsidRDefault="005813DE">
            <w:pPr>
              <w:spacing w:after="0" w:line="360" w:lineRule="auto"/>
              <w:jc w:val="both"/>
              <w:rPr>
                <w:rFonts w:ascii="Book Antiqua" w:eastAsia="Times New Roman" w:hAnsi="Book Antiqua"/>
                <w:color w:val="000000"/>
                <w:sz w:val="24"/>
                <w:szCs w:val="24"/>
                <w:lang w:eastAsia="fr-FR"/>
              </w:rPr>
            </w:pPr>
          </w:p>
        </w:tc>
        <w:tc>
          <w:tcPr>
            <w:tcW w:w="2081" w:type="dxa"/>
            <w:vAlign w:val="center"/>
          </w:tcPr>
          <w:p w14:paraId="768E7198"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7 (21)</w:t>
            </w:r>
          </w:p>
        </w:tc>
      </w:tr>
      <w:tr w:rsidR="005813DE" w:rsidRPr="00E13321" w14:paraId="13C6C7BC" w14:textId="77777777">
        <w:trPr>
          <w:tblCellSpacing w:w="15" w:type="dxa"/>
        </w:trPr>
        <w:tc>
          <w:tcPr>
            <w:tcW w:w="2113" w:type="dxa"/>
            <w:vAlign w:val="center"/>
          </w:tcPr>
          <w:p w14:paraId="528B8031"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 xml:space="preserve">Nausea </w:t>
            </w:r>
          </w:p>
        </w:tc>
        <w:tc>
          <w:tcPr>
            <w:tcW w:w="730" w:type="dxa"/>
            <w:vAlign w:val="center"/>
          </w:tcPr>
          <w:p w14:paraId="4CC1CABE"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7 (21)</w:t>
            </w:r>
          </w:p>
        </w:tc>
        <w:tc>
          <w:tcPr>
            <w:tcW w:w="1630" w:type="dxa"/>
          </w:tcPr>
          <w:p w14:paraId="418BA6ED" w14:textId="77777777" w:rsidR="005813DE" w:rsidRPr="00E13321" w:rsidRDefault="005813DE">
            <w:pPr>
              <w:spacing w:after="0" w:line="360" w:lineRule="auto"/>
              <w:jc w:val="both"/>
              <w:rPr>
                <w:rFonts w:ascii="Book Antiqua" w:eastAsia="Times New Roman" w:hAnsi="Book Antiqua"/>
                <w:color w:val="000000"/>
                <w:sz w:val="24"/>
                <w:szCs w:val="24"/>
                <w:lang w:eastAsia="fr-FR"/>
              </w:rPr>
            </w:pPr>
          </w:p>
        </w:tc>
        <w:tc>
          <w:tcPr>
            <w:tcW w:w="2081" w:type="dxa"/>
            <w:vAlign w:val="center"/>
          </w:tcPr>
          <w:p w14:paraId="258FAC03"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0%</w:t>
            </w:r>
          </w:p>
        </w:tc>
      </w:tr>
      <w:tr w:rsidR="005813DE" w:rsidRPr="00E13321" w14:paraId="215292D7" w14:textId="77777777">
        <w:trPr>
          <w:tblCellSpacing w:w="15" w:type="dxa"/>
        </w:trPr>
        <w:tc>
          <w:tcPr>
            <w:tcW w:w="2113" w:type="dxa"/>
            <w:vAlign w:val="center"/>
          </w:tcPr>
          <w:p w14:paraId="4BE92634"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 xml:space="preserve">Asthenia </w:t>
            </w:r>
          </w:p>
        </w:tc>
        <w:tc>
          <w:tcPr>
            <w:tcW w:w="730" w:type="dxa"/>
            <w:vAlign w:val="center"/>
          </w:tcPr>
          <w:p w14:paraId="4A6B677D"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12 (36)</w:t>
            </w:r>
          </w:p>
        </w:tc>
        <w:tc>
          <w:tcPr>
            <w:tcW w:w="1630" w:type="dxa"/>
          </w:tcPr>
          <w:p w14:paraId="156E1502" w14:textId="77777777" w:rsidR="005813DE" w:rsidRPr="00E13321" w:rsidRDefault="005813DE">
            <w:pPr>
              <w:spacing w:after="0" w:line="360" w:lineRule="auto"/>
              <w:jc w:val="both"/>
              <w:rPr>
                <w:rFonts w:ascii="Book Antiqua" w:eastAsia="Times New Roman" w:hAnsi="Book Antiqua"/>
                <w:color w:val="000000"/>
                <w:sz w:val="24"/>
                <w:szCs w:val="24"/>
                <w:lang w:eastAsia="fr-FR"/>
              </w:rPr>
            </w:pPr>
          </w:p>
        </w:tc>
        <w:tc>
          <w:tcPr>
            <w:tcW w:w="2081" w:type="dxa"/>
            <w:vAlign w:val="center"/>
          </w:tcPr>
          <w:p w14:paraId="3B28A519"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6 (19)</w:t>
            </w:r>
          </w:p>
        </w:tc>
      </w:tr>
      <w:tr w:rsidR="005813DE" w:rsidRPr="00E13321" w14:paraId="26000E5B" w14:textId="77777777">
        <w:trPr>
          <w:tblCellSpacing w:w="15" w:type="dxa"/>
        </w:trPr>
        <w:tc>
          <w:tcPr>
            <w:tcW w:w="2113" w:type="dxa"/>
            <w:vAlign w:val="center"/>
          </w:tcPr>
          <w:p w14:paraId="77D80503"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 xml:space="preserve">Vomiting </w:t>
            </w:r>
          </w:p>
        </w:tc>
        <w:tc>
          <w:tcPr>
            <w:tcW w:w="730" w:type="dxa"/>
            <w:vAlign w:val="center"/>
          </w:tcPr>
          <w:p w14:paraId="35454C29"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2 (6)</w:t>
            </w:r>
          </w:p>
        </w:tc>
        <w:tc>
          <w:tcPr>
            <w:tcW w:w="1630" w:type="dxa"/>
          </w:tcPr>
          <w:p w14:paraId="3E879557" w14:textId="77777777" w:rsidR="005813DE" w:rsidRPr="00E13321" w:rsidRDefault="005813DE">
            <w:pPr>
              <w:spacing w:after="0" w:line="360" w:lineRule="auto"/>
              <w:jc w:val="both"/>
              <w:rPr>
                <w:rFonts w:ascii="Book Antiqua" w:eastAsia="Times New Roman" w:hAnsi="Book Antiqua"/>
                <w:color w:val="000000"/>
                <w:sz w:val="24"/>
                <w:szCs w:val="24"/>
                <w:lang w:eastAsia="fr-FR"/>
              </w:rPr>
            </w:pPr>
          </w:p>
        </w:tc>
        <w:tc>
          <w:tcPr>
            <w:tcW w:w="2081" w:type="dxa"/>
            <w:vAlign w:val="center"/>
          </w:tcPr>
          <w:p w14:paraId="7278F947"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0%</w:t>
            </w:r>
          </w:p>
        </w:tc>
      </w:tr>
      <w:tr w:rsidR="005813DE" w:rsidRPr="00E13321" w14:paraId="380817BC" w14:textId="77777777">
        <w:trPr>
          <w:tblCellSpacing w:w="15" w:type="dxa"/>
        </w:trPr>
        <w:tc>
          <w:tcPr>
            <w:tcW w:w="2113" w:type="dxa"/>
            <w:vAlign w:val="center"/>
          </w:tcPr>
          <w:p w14:paraId="6B3392BF"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 xml:space="preserve">Mucositis </w:t>
            </w:r>
          </w:p>
        </w:tc>
        <w:tc>
          <w:tcPr>
            <w:tcW w:w="730" w:type="dxa"/>
            <w:vAlign w:val="center"/>
          </w:tcPr>
          <w:p w14:paraId="3491937C"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4 (12)</w:t>
            </w:r>
          </w:p>
        </w:tc>
        <w:tc>
          <w:tcPr>
            <w:tcW w:w="1630" w:type="dxa"/>
          </w:tcPr>
          <w:p w14:paraId="4FD3DDAE" w14:textId="77777777" w:rsidR="005813DE" w:rsidRPr="00E13321" w:rsidRDefault="005813DE">
            <w:pPr>
              <w:spacing w:after="0" w:line="360" w:lineRule="auto"/>
              <w:jc w:val="both"/>
              <w:rPr>
                <w:rFonts w:ascii="Book Antiqua" w:eastAsia="Times New Roman" w:hAnsi="Book Antiqua"/>
                <w:color w:val="000000"/>
                <w:sz w:val="24"/>
                <w:szCs w:val="24"/>
                <w:lang w:eastAsia="fr-FR"/>
              </w:rPr>
            </w:pPr>
          </w:p>
        </w:tc>
        <w:tc>
          <w:tcPr>
            <w:tcW w:w="2081" w:type="dxa"/>
            <w:vAlign w:val="center"/>
          </w:tcPr>
          <w:p w14:paraId="0DEC29B1"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2 (6)</w:t>
            </w:r>
          </w:p>
        </w:tc>
      </w:tr>
      <w:tr w:rsidR="005813DE" w:rsidRPr="00E13321" w14:paraId="10300608" w14:textId="77777777">
        <w:trPr>
          <w:tblCellSpacing w:w="15" w:type="dxa"/>
        </w:trPr>
        <w:tc>
          <w:tcPr>
            <w:tcW w:w="2113" w:type="dxa"/>
            <w:vAlign w:val="center"/>
          </w:tcPr>
          <w:p w14:paraId="29835620"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 xml:space="preserve">Diarrhoea </w:t>
            </w:r>
          </w:p>
        </w:tc>
        <w:tc>
          <w:tcPr>
            <w:tcW w:w="730" w:type="dxa"/>
            <w:vAlign w:val="center"/>
          </w:tcPr>
          <w:p w14:paraId="2E8BC066"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12 (36)</w:t>
            </w:r>
          </w:p>
        </w:tc>
        <w:tc>
          <w:tcPr>
            <w:tcW w:w="1630" w:type="dxa"/>
          </w:tcPr>
          <w:p w14:paraId="4260DA6D" w14:textId="77777777" w:rsidR="005813DE" w:rsidRPr="00E13321" w:rsidRDefault="005813DE">
            <w:pPr>
              <w:spacing w:after="0" w:line="360" w:lineRule="auto"/>
              <w:jc w:val="both"/>
              <w:rPr>
                <w:rFonts w:ascii="Book Antiqua" w:eastAsia="Times New Roman" w:hAnsi="Book Antiqua"/>
                <w:color w:val="000000"/>
                <w:sz w:val="24"/>
                <w:szCs w:val="24"/>
                <w:lang w:eastAsia="fr-FR"/>
              </w:rPr>
            </w:pPr>
          </w:p>
        </w:tc>
        <w:tc>
          <w:tcPr>
            <w:tcW w:w="2081" w:type="dxa"/>
            <w:vAlign w:val="center"/>
          </w:tcPr>
          <w:p w14:paraId="18A86B7B"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3 (10)</w:t>
            </w:r>
          </w:p>
        </w:tc>
      </w:tr>
      <w:tr w:rsidR="005813DE" w:rsidRPr="00E13321" w14:paraId="2F7C20E2" w14:textId="77777777">
        <w:trPr>
          <w:tblCellSpacing w:w="15" w:type="dxa"/>
        </w:trPr>
        <w:tc>
          <w:tcPr>
            <w:tcW w:w="2113" w:type="dxa"/>
            <w:vAlign w:val="center"/>
          </w:tcPr>
          <w:p w14:paraId="1D642B2A"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 xml:space="preserve">Allergic reaction </w:t>
            </w:r>
          </w:p>
        </w:tc>
        <w:tc>
          <w:tcPr>
            <w:tcW w:w="730" w:type="dxa"/>
            <w:vAlign w:val="center"/>
          </w:tcPr>
          <w:p w14:paraId="26D89DF6"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1(3)</w:t>
            </w:r>
          </w:p>
        </w:tc>
        <w:tc>
          <w:tcPr>
            <w:tcW w:w="1630" w:type="dxa"/>
          </w:tcPr>
          <w:p w14:paraId="5F30A694" w14:textId="77777777" w:rsidR="005813DE" w:rsidRPr="00E13321" w:rsidRDefault="005813DE">
            <w:pPr>
              <w:spacing w:after="0" w:line="360" w:lineRule="auto"/>
              <w:jc w:val="both"/>
              <w:rPr>
                <w:rFonts w:ascii="Book Antiqua" w:eastAsia="Times New Roman" w:hAnsi="Book Antiqua"/>
                <w:color w:val="000000"/>
                <w:sz w:val="24"/>
                <w:szCs w:val="24"/>
                <w:lang w:eastAsia="fr-FR"/>
              </w:rPr>
            </w:pPr>
          </w:p>
        </w:tc>
        <w:tc>
          <w:tcPr>
            <w:tcW w:w="2081" w:type="dxa"/>
            <w:vAlign w:val="center"/>
          </w:tcPr>
          <w:p w14:paraId="68736F27"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1 (3)</w:t>
            </w:r>
          </w:p>
        </w:tc>
      </w:tr>
    </w:tbl>
    <w:p w14:paraId="48063F4A"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hAnsi="Book Antiqua"/>
          <w:color w:val="000000"/>
          <w:sz w:val="24"/>
          <w:szCs w:val="24"/>
        </w:rPr>
        <w:br w:type="page"/>
      </w:r>
    </w:p>
    <w:p w14:paraId="32B6D4C6" w14:textId="77777777" w:rsidR="005813DE" w:rsidRPr="00E13321" w:rsidRDefault="005813DE">
      <w:pPr>
        <w:pStyle w:val="p"/>
        <w:tabs>
          <w:tab w:val="left" w:pos="6190"/>
        </w:tabs>
        <w:spacing w:before="0" w:beforeAutospacing="0" w:after="0" w:afterAutospacing="0" w:line="360" w:lineRule="auto"/>
        <w:jc w:val="both"/>
        <w:rPr>
          <w:rFonts w:ascii="Book Antiqua" w:hAnsi="Book Antiqua"/>
          <w:color w:val="000000"/>
        </w:rPr>
      </w:pPr>
    </w:p>
    <w:p w14:paraId="2B0D7012" w14:textId="77777777" w:rsidR="005813DE" w:rsidRPr="00E13321" w:rsidRDefault="0088790D">
      <w:pPr>
        <w:pStyle w:val="p"/>
        <w:spacing w:before="0" w:beforeAutospacing="0" w:after="0" w:afterAutospacing="0" w:line="360" w:lineRule="auto"/>
        <w:jc w:val="both"/>
        <w:rPr>
          <w:rFonts w:ascii="Book Antiqua" w:hAnsi="Book Antiqua"/>
          <w:color w:val="000000"/>
        </w:rPr>
      </w:pPr>
      <w:r w:rsidRPr="00E13321">
        <w:rPr>
          <w:rFonts w:ascii="Book Antiqua" w:hAnsi="Book Antiqua"/>
          <w:b/>
          <w:color w:val="000000"/>
        </w:rPr>
        <w:t>Table 3</w:t>
      </w:r>
      <w:r w:rsidRPr="00E13321">
        <w:rPr>
          <w:rFonts w:ascii="Book Antiqua" w:hAnsi="Book Antiqua"/>
          <w:b/>
          <w:bCs/>
          <w:color w:val="000000"/>
        </w:rPr>
        <w:t xml:space="preserve"> Serious adverse events during perioperative time (</w:t>
      </w:r>
      <w:r w:rsidRPr="00E13321">
        <w:rPr>
          <w:rFonts w:ascii="Book Antiqua" w:hAnsi="Book Antiqua"/>
          <w:b/>
          <w:bCs/>
          <w:i/>
          <w:iCs/>
          <w:color w:val="000000"/>
        </w:rPr>
        <w:t>n</w:t>
      </w:r>
      <w:r w:rsidRPr="00E13321">
        <w:rPr>
          <w:rFonts w:ascii="Book Antiqua" w:hAnsi="Book Antiqua"/>
          <w:b/>
          <w:bCs/>
          <w:color w:val="000000"/>
        </w:rPr>
        <w:t xml:space="preserve"> = 33)</w:t>
      </w:r>
    </w:p>
    <w:tbl>
      <w:tblPr>
        <w:tblW w:w="0" w:type="auto"/>
        <w:tblCellSpacing w:w="15" w:type="dxa"/>
        <w:tblInd w:w="-45" w:type="dxa"/>
        <w:tblBorders>
          <w:top w:val="single" w:sz="4" w:space="0" w:color="auto"/>
          <w:bottom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48"/>
        <w:gridCol w:w="7545"/>
        <w:gridCol w:w="1663"/>
      </w:tblGrid>
      <w:tr w:rsidR="005813DE" w:rsidRPr="00E13321" w14:paraId="1F325EE7" w14:textId="77777777">
        <w:trPr>
          <w:tblCellSpacing w:w="15" w:type="dxa"/>
        </w:trPr>
        <w:tc>
          <w:tcPr>
            <w:tcW w:w="7648" w:type="dxa"/>
            <w:gridSpan w:val="2"/>
            <w:vAlign w:val="center"/>
          </w:tcPr>
          <w:p w14:paraId="3D912899"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Patients with at least one grade 3-4 adverse event during perioperative time</w:t>
            </w:r>
          </w:p>
        </w:tc>
        <w:tc>
          <w:tcPr>
            <w:tcW w:w="1618" w:type="dxa"/>
            <w:vAlign w:val="center"/>
          </w:tcPr>
          <w:p w14:paraId="04CF490E"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6 (18)</w:t>
            </w:r>
          </w:p>
        </w:tc>
      </w:tr>
      <w:tr w:rsidR="005813DE" w:rsidRPr="00E13321" w14:paraId="6D0F94F0" w14:textId="77777777">
        <w:trPr>
          <w:tblCellSpacing w:w="15" w:type="dxa"/>
        </w:trPr>
        <w:tc>
          <w:tcPr>
            <w:tcW w:w="103" w:type="dxa"/>
            <w:vAlign w:val="center"/>
          </w:tcPr>
          <w:p w14:paraId="6A6F7BF6" w14:textId="77777777" w:rsidR="005813DE" w:rsidRPr="00E13321" w:rsidRDefault="005813DE">
            <w:pPr>
              <w:spacing w:after="0" w:line="360" w:lineRule="auto"/>
              <w:jc w:val="both"/>
              <w:rPr>
                <w:rFonts w:ascii="Book Antiqua" w:eastAsia="Times New Roman" w:hAnsi="Book Antiqua"/>
                <w:color w:val="000000"/>
                <w:sz w:val="24"/>
                <w:szCs w:val="24"/>
                <w:lang w:eastAsia="fr-FR"/>
              </w:rPr>
            </w:pPr>
          </w:p>
        </w:tc>
        <w:tc>
          <w:tcPr>
            <w:tcW w:w="7515" w:type="dxa"/>
            <w:vAlign w:val="center"/>
          </w:tcPr>
          <w:p w14:paraId="51F38779"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Medical complication</w:t>
            </w:r>
          </w:p>
        </w:tc>
        <w:tc>
          <w:tcPr>
            <w:tcW w:w="1618" w:type="dxa"/>
            <w:vAlign w:val="center"/>
          </w:tcPr>
          <w:p w14:paraId="06A11782"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7 (21)</w:t>
            </w:r>
          </w:p>
        </w:tc>
      </w:tr>
      <w:tr w:rsidR="005813DE" w:rsidRPr="00E13321" w14:paraId="3D295800" w14:textId="77777777">
        <w:trPr>
          <w:tblCellSpacing w:w="15" w:type="dxa"/>
        </w:trPr>
        <w:tc>
          <w:tcPr>
            <w:tcW w:w="103" w:type="dxa"/>
            <w:vAlign w:val="center"/>
          </w:tcPr>
          <w:p w14:paraId="09D1BCAB" w14:textId="77777777" w:rsidR="005813DE" w:rsidRPr="00E13321" w:rsidRDefault="005813DE">
            <w:pPr>
              <w:spacing w:after="0" w:line="360" w:lineRule="auto"/>
              <w:jc w:val="both"/>
              <w:rPr>
                <w:rFonts w:ascii="Book Antiqua" w:eastAsia="Times New Roman" w:hAnsi="Book Antiqua"/>
                <w:color w:val="000000"/>
                <w:sz w:val="24"/>
                <w:szCs w:val="24"/>
                <w:lang w:eastAsia="fr-FR"/>
              </w:rPr>
            </w:pPr>
          </w:p>
        </w:tc>
        <w:tc>
          <w:tcPr>
            <w:tcW w:w="7515" w:type="dxa"/>
            <w:vAlign w:val="center"/>
          </w:tcPr>
          <w:p w14:paraId="4E3F9ACD"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Anastomotic leak</w:t>
            </w:r>
          </w:p>
        </w:tc>
        <w:tc>
          <w:tcPr>
            <w:tcW w:w="1618" w:type="dxa"/>
            <w:vAlign w:val="center"/>
          </w:tcPr>
          <w:p w14:paraId="79228A87"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2 (6)</w:t>
            </w:r>
          </w:p>
        </w:tc>
      </w:tr>
      <w:tr w:rsidR="005813DE" w:rsidRPr="00E13321" w14:paraId="164F3482" w14:textId="77777777">
        <w:trPr>
          <w:tblCellSpacing w:w="15" w:type="dxa"/>
        </w:trPr>
        <w:tc>
          <w:tcPr>
            <w:tcW w:w="103" w:type="dxa"/>
            <w:vAlign w:val="center"/>
          </w:tcPr>
          <w:p w14:paraId="7621D4AF" w14:textId="77777777" w:rsidR="005813DE" w:rsidRPr="00E13321" w:rsidRDefault="005813DE">
            <w:pPr>
              <w:spacing w:after="0" w:line="360" w:lineRule="auto"/>
              <w:jc w:val="both"/>
              <w:rPr>
                <w:rFonts w:ascii="Book Antiqua" w:eastAsia="Times New Roman" w:hAnsi="Book Antiqua"/>
                <w:color w:val="000000"/>
                <w:sz w:val="24"/>
                <w:szCs w:val="24"/>
                <w:lang w:eastAsia="fr-FR"/>
              </w:rPr>
            </w:pPr>
          </w:p>
        </w:tc>
        <w:tc>
          <w:tcPr>
            <w:tcW w:w="7515" w:type="dxa"/>
            <w:vAlign w:val="center"/>
          </w:tcPr>
          <w:p w14:paraId="0AE931DE"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Wound healing disorder</w:t>
            </w:r>
          </w:p>
        </w:tc>
        <w:tc>
          <w:tcPr>
            <w:tcW w:w="1618" w:type="dxa"/>
            <w:vAlign w:val="center"/>
          </w:tcPr>
          <w:p w14:paraId="2F2AC187"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1 (3)</w:t>
            </w:r>
          </w:p>
        </w:tc>
      </w:tr>
      <w:tr w:rsidR="005813DE" w:rsidRPr="00E13321" w14:paraId="794B681E" w14:textId="77777777">
        <w:trPr>
          <w:tblCellSpacing w:w="15" w:type="dxa"/>
        </w:trPr>
        <w:tc>
          <w:tcPr>
            <w:tcW w:w="103" w:type="dxa"/>
            <w:vAlign w:val="center"/>
          </w:tcPr>
          <w:p w14:paraId="779E183E" w14:textId="77777777" w:rsidR="005813DE" w:rsidRPr="00E13321" w:rsidRDefault="005813DE">
            <w:pPr>
              <w:spacing w:after="0" w:line="360" w:lineRule="auto"/>
              <w:jc w:val="both"/>
              <w:rPr>
                <w:rFonts w:ascii="Book Antiqua" w:eastAsia="Times New Roman" w:hAnsi="Book Antiqua"/>
                <w:color w:val="000000"/>
                <w:sz w:val="24"/>
                <w:szCs w:val="24"/>
                <w:lang w:eastAsia="fr-FR"/>
              </w:rPr>
            </w:pPr>
          </w:p>
        </w:tc>
        <w:tc>
          <w:tcPr>
            <w:tcW w:w="7515" w:type="dxa"/>
            <w:vAlign w:val="center"/>
          </w:tcPr>
          <w:p w14:paraId="07150B7F"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Pneumonia</w:t>
            </w:r>
          </w:p>
        </w:tc>
        <w:tc>
          <w:tcPr>
            <w:tcW w:w="1618" w:type="dxa"/>
            <w:vAlign w:val="center"/>
          </w:tcPr>
          <w:p w14:paraId="4D66BC1C"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7 (21)</w:t>
            </w:r>
          </w:p>
        </w:tc>
      </w:tr>
      <w:tr w:rsidR="005813DE" w:rsidRPr="00E13321" w14:paraId="407BA85F" w14:textId="77777777">
        <w:trPr>
          <w:tblCellSpacing w:w="15" w:type="dxa"/>
        </w:trPr>
        <w:tc>
          <w:tcPr>
            <w:tcW w:w="103" w:type="dxa"/>
            <w:vAlign w:val="center"/>
          </w:tcPr>
          <w:p w14:paraId="5CE640F5" w14:textId="77777777" w:rsidR="005813DE" w:rsidRPr="00E13321" w:rsidRDefault="005813DE">
            <w:pPr>
              <w:spacing w:after="0" w:line="360" w:lineRule="auto"/>
              <w:jc w:val="both"/>
              <w:rPr>
                <w:rFonts w:ascii="Book Antiqua" w:eastAsia="Times New Roman" w:hAnsi="Book Antiqua"/>
                <w:color w:val="000000"/>
                <w:sz w:val="24"/>
                <w:szCs w:val="24"/>
                <w:lang w:eastAsia="fr-FR"/>
              </w:rPr>
            </w:pPr>
          </w:p>
        </w:tc>
        <w:tc>
          <w:tcPr>
            <w:tcW w:w="7515" w:type="dxa"/>
            <w:vAlign w:val="center"/>
          </w:tcPr>
          <w:p w14:paraId="0856CCCD"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Pleural complication</w:t>
            </w:r>
          </w:p>
        </w:tc>
        <w:tc>
          <w:tcPr>
            <w:tcW w:w="1618" w:type="dxa"/>
            <w:vAlign w:val="center"/>
          </w:tcPr>
          <w:p w14:paraId="04FB8721"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1 (3)</w:t>
            </w:r>
          </w:p>
        </w:tc>
      </w:tr>
      <w:tr w:rsidR="005813DE" w:rsidRPr="00E13321" w14:paraId="2FD46500" w14:textId="77777777">
        <w:trPr>
          <w:tblCellSpacing w:w="15" w:type="dxa"/>
        </w:trPr>
        <w:tc>
          <w:tcPr>
            <w:tcW w:w="103" w:type="dxa"/>
            <w:vAlign w:val="center"/>
          </w:tcPr>
          <w:p w14:paraId="62F724DE" w14:textId="77777777" w:rsidR="005813DE" w:rsidRPr="00E13321" w:rsidRDefault="005813DE">
            <w:pPr>
              <w:spacing w:after="0" w:line="360" w:lineRule="auto"/>
              <w:jc w:val="both"/>
              <w:rPr>
                <w:rFonts w:ascii="Book Antiqua" w:eastAsia="Times New Roman" w:hAnsi="Book Antiqua"/>
                <w:color w:val="000000"/>
                <w:sz w:val="24"/>
                <w:szCs w:val="24"/>
                <w:lang w:eastAsia="fr-FR"/>
              </w:rPr>
            </w:pPr>
          </w:p>
        </w:tc>
        <w:tc>
          <w:tcPr>
            <w:tcW w:w="7515" w:type="dxa"/>
            <w:vAlign w:val="center"/>
          </w:tcPr>
          <w:p w14:paraId="3E4E491E"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Sepsis and infection</w:t>
            </w:r>
          </w:p>
        </w:tc>
        <w:tc>
          <w:tcPr>
            <w:tcW w:w="1618" w:type="dxa"/>
            <w:vAlign w:val="center"/>
          </w:tcPr>
          <w:p w14:paraId="5C57D006"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5 (15)</w:t>
            </w:r>
          </w:p>
        </w:tc>
      </w:tr>
      <w:tr w:rsidR="005813DE" w:rsidRPr="00E13321" w14:paraId="53E74C17" w14:textId="77777777">
        <w:trPr>
          <w:tblCellSpacing w:w="15" w:type="dxa"/>
        </w:trPr>
        <w:tc>
          <w:tcPr>
            <w:tcW w:w="103" w:type="dxa"/>
            <w:vAlign w:val="center"/>
          </w:tcPr>
          <w:p w14:paraId="02337D48" w14:textId="77777777" w:rsidR="005813DE" w:rsidRPr="00E13321" w:rsidRDefault="005813DE">
            <w:pPr>
              <w:spacing w:after="0" w:line="360" w:lineRule="auto"/>
              <w:jc w:val="both"/>
              <w:rPr>
                <w:rFonts w:ascii="Book Antiqua" w:eastAsia="Times New Roman" w:hAnsi="Book Antiqua"/>
                <w:color w:val="000000"/>
                <w:sz w:val="24"/>
                <w:szCs w:val="24"/>
                <w:lang w:eastAsia="fr-FR"/>
              </w:rPr>
            </w:pPr>
          </w:p>
        </w:tc>
        <w:tc>
          <w:tcPr>
            <w:tcW w:w="7515" w:type="dxa"/>
            <w:vAlign w:val="center"/>
          </w:tcPr>
          <w:p w14:paraId="0C59E330"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Intestinal occlusion</w:t>
            </w:r>
          </w:p>
        </w:tc>
        <w:tc>
          <w:tcPr>
            <w:tcW w:w="1618" w:type="dxa"/>
            <w:vAlign w:val="center"/>
          </w:tcPr>
          <w:p w14:paraId="6F6D6C79"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2 (6)</w:t>
            </w:r>
          </w:p>
        </w:tc>
      </w:tr>
      <w:tr w:rsidR="005813DE" w:rsidRPr="00E13321" w14:paraId="5FDD9464" w14:textId="77777777">
        <w:trPr>
          <w:tblCellSpacing w:w="15" w:type="dxa"/>
        </w:trPr>
        <w:tc>
          <w:tcPr>
            <w:tcW w:w="103" w:type="dxa"/>
            <w:vAlign w:val="center"/>
          </w:tcPr>
          <w:p w14:paraId="6B5EFFDF" w14:textId="77777777" w:rsidR="005813DE" w:rsidRPr="00E13321" w:rsidRDefault="005813DE">
            <w:pPr>
              <w:spacing w:after="0" w:line="360" w:lineRule="auto"/>
              <w:jc w:val="both"/>
              <w:rPr>
                <w:rFonts w:ascii="Book Antiqua" w:eastAsia="Times New Roman" w:hAnsi="Book Antiqua"/>
                <w:color w:val="000000"/>
                <w:sz w:val="24"/>
                <w:szCs w:val="24"/>
                <w:lang w:eastAsia="fr-FR"/>
              </w:rPr>
            </w:pPr>
          </w:p>
        </w:tc>
        <w:tc>
          <w:tcPr>
            <w:tcW w:w="7515" w:type="dxa"/>
            <w:vAlign w:val="center"/>
          </w:tcPr>
          <w:p w14:paraId="368AEEF8"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Bleeding</w:t>
            </w:r>
          </w:p>
        </w:tc>
        <w:tc>
          <w:tcPr>
            <w:tcW w:w="1618" w:type="dxa"/>
            <w:vAlign w:val="center"/>
          </w:tcPr>
          <w:p w14:paraId="0AFE7BBC"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1</w:t>
            </w:r>
          </w:p>
        </w:tc>
      </w:tr>
    </w:tbl>
    <w:p w14:paraId="5292A9E7"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hAnsi="Book Antiqua"/>
          <w:color w:val="000000"/>
          <w:sz w:val="24"/>
          <w:szCs w:val="24"/>
        </w:rPr>
        <w:br w:type="page"/>
      </w:r>
    </w:p>
    <w:p w14:paraId="5F8CDA22"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b/>
          <w:color w:val="000000"/>
          <w:sz w:val="24"/>
          <w:szCs w:val="24"/>
          <w:lang w:eastAsia="fr-FR"/>
        </w:rPr>
        <w:t xml:space="preserve">Table 4 </w:t>
      </w:r>
      <w:r w:rsidRPr="00E13321">
        <w:rPr>
          <w:rFonts w:ascii="Book Antiqua" w:eastAsia="Times New Roman" w:hAnsi="Book Antiqua"/>
          <w:b/>
          <w:bCs/>
          <w:color w:val="000000"/>
          <w:sz w:val="24"/>
          <w:szCs w:val="24"/>
          <w:lang w:eastAsia="fr-FR"/>
        </w:rPr>
        <w:t xml:space="preserve">Surgical and pathological results </w:t>
      </w:r>
      <w:r w:rsidRPr="00E13321">
        <w:rPr>
          <w:rFonts w:ascii="Book Antiqua" w:hAnsi="Book Antiqua"/>
          <w:b/>
          <w:bCs/>
          <w:color w:val="000000"/>
        </w:rPr>
        <w:t>(</w:t>
      </w:r>
      <w:r w:rsidRPr="00E13321">
        <w:rPr>
          <w:rFonts w:ascii="Book Antiqua" w:eastAsia="Times New Roman" w:hAnsi="Book Antiqua"/>
          <w:b/>
          <w:bCs/>
          <w:i/>
          <w:iCs/>
          <w:color w:val="000000"/>
          <w:sz w:val="24"/>
          <w:szCs w:val="24"/>
          <w:lang w:eastAsia="fr-FR"/>
        </w:rPr>
        <w:t>n</w:t>
      </w:r>
      <w:r w:rsidRPr="00E13321">
        <w:rPr>
          <w:rFonts w:ascii="Book Antiqua" w:eastAsia="Times New Roman" w:hAnsi="Book Antiqua"/>
          <w:b/>
          <w:bCs/>
          <w:color w:val="000000"/>
          <w:sz w:val="24"/>
          <w:szCs w:val="24"/>
          <w:lang w:eastAsia="fr-FR"/>
        </w:rPr>
        <w:t xml:space="preserve"> = 33</w:t>
      </w:r>
      <w:r w:rsidRPr="00E13321">
        <w:rPr>
          <w:rFonts w:ascii="Book Antiqua" w:hAnsi="Book Antiqua"/>
          <w:b/>
          <w:bCs/>
          <w:color w:val="000000"/>
        </w:rPr>
        <w:t>)</w:t>
      </w:r>
    </w:p>
    <w:tbl>
      <w:tblPr>
        <w:tblW w:w="0" w:type="auto"/>
        <w:tblCellSpacing w:w="15" w:type="dxa"/>
        <w:tblInd w:w="-45" w:type="dxa"/>
        <w:tblBorders>
          <w:top w:val="single" w:sz="4" w:space="0" w:color="auto"/>
          <w:bottom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745"/>
        <w:gridCol w:w="775"/>
      </w:tblGrid>
      <w:tr w:rsidR="005813DE" w:rsidRPr="00E13321" w14:paraId="51C25AC3" w14:textId="77777777">
        <w:trPr>
          <w:tblCellSpacing w:w="15" w:type="dxa"/>
        </w:trPr>
        <w:tc>
          <w:tcPr>
            <w:tcW w:w="2700" w:type="dxa"/>
            <w:vAlign w:val="center"/>
          </w:tcPr>
          <w:p w14:paraId="399934AD"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Type of surgery</w:t>
            </w:r>
          </w:p>
          <w:p w14:paraId="4586A105"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 xml:space="preserve"> Subtotal gastrectomy</w:t>
            </w:r>
          </w:p>
          <w:p w14:paraId="58DC244B"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 xml:space="preserve"> Total gastrectomy</w:t>
            </w:r>
          </w:p>
          <w:p w14:paraId="1069252B"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 xml:space="preserve"> Oesophagectomy</w:t>
            </w:r>
          </w:p>
        </w:tc>
        <w:tc>
          <w:tcPr>
            <w:tcW w:w="730" w:type="dxa"/>
            <w:vAlign w:val="center"/>
          </w:tcPr>
          <w:p w14:paraId="2CC3A6E2" w14:textId="77777777" w:rsidR="005813DE" w:rsidRPr="00E13321" w:rsidRDefault="005813DE">
            <w:pPr>
              <w:spacing w:after="0" w:line="360" w:lineRule="auto"/>
              <w:jc w:val="both"/>
              <w:rPr>
                <w:rFonts w:ascii="Book Antiqua" w:eastAsia="Times New Roman" w:hAnsi="Book Antiqua"/>
                <w:color w:val="000000"/>
                <w:sz w:val="24"/>
                <w:szCs w:val="24"/>
                <w:lang w:eastAsia="fr-FR"/>
              </w:rPr>
            </w:pPr>
          </w:p>
          <w:p w14:paraId="68E5F1C8"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11 (33)</w:t>
            </w:r>
          </w:p>
          <w:p w14:paraId="58798303"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11 (33)</w:t>
            </w:r>
          </w:p>
          <w:p w14:paraId="48A3DF82"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11 (33)</w:t>
            </w:r>
          </w:p>
        </w:tc>
      </w:tr>
      <w:tr w:rsidR="005813DE" w:rsidRPr="00E13321" w14:paraId="57C2F708" w14:textId="77777777">
        <w:trPr>
          <w:tblCellSpacing w:w="15" w:type="dxa"/>
        </w:trPr>
        <w:tc>
          <w:tcPr>
            <w:tcW w:w="2700" w:type="dxa"/>
            <w:vAlign w:val="center"/>
          </w:tcPr>
          <w:p w14:paraId="2820D132"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Resection Grade</w:t>
            </w:r>
          </w:p>
          <w:p w14:paraId="0E06234A"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 xml:space="preserve"> R0</w:t>
            </w:r>
          </w:p>
          <w:p w14:paraId="1C84833C"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 xml:space="preserve"> R1</w:t>
            </w:r>
          </w:p>
        </w:tc>
        <w:tc>
          <w:tcPr>
            <w:tcW w:w="730" w:type="dxa"/>
            <w:vAlign w:val="center"/>
          </w:tcPr>
          <w:p w14:paraId="22AB54DD" w14:textId="77777777" w:rsidR="005813DE" w:rsidRPr="00E13321" w:rsidRDefault="005813DE">
            <w:pPr>
              <w:spacing w:after="0" w:line="360" w:lineRule="auto"/>
              <w:jc w:val="both"/>
              <w:rPr>
                <w:rFonts w:ascii="Book Antiqua" w:eastAsia="Times New Roman" w:hAnsi="Book Antiqua"/>
                <w:color w:val="000000"/>
                <w:sz w:val="24"/>
                <w:szCs w:val="24"/>
                <w:lang w:eastAsia="fr-FR"/>
              </w:rPr>
            </w:pPr>
          </w:p>
          <w:p w14:paraId="21E36160"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30 (90)</w:t>
            </w:r>
          </w:p>
          <w:p w14:paraId="2B1B7778"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3 (10)</w:t>
            </w:r>
          </w:p>
        </w:tc>
      </w:tr>
      <w:tr w:rsidR="005813DE" w:rsidRPr="00E13321" w14:paraId="5342112E" w14:textId="77777777">
        <w:trPr>
          <w:tblCellSpacing w:w="15" w:type="dxa"/>
        </w:trPr>
        <w:tc>
          <w:tcPr>
            <w:tcW w:w="2700" w:type="dxa"/>
            <w:vAlign w:val="center"/>
          </w:tcPr>
          <w:p w14:paraId="6D8BCFD6" w14:textId="61E82610"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Complete (TRG 1a)</w:t>
            </w:r>
            <w:bookmarkStart w:id="195" w:name="btbl3fn2"/>
            <w:r w:rsidRPr="00E13321">
              <w:rPr>
                <w:rFonts w:ascii="Book Antiqua" w:eastAsia="Times New Roman" w:hAnsi="Book Antiqua"/>
                <w:color w:val="000000"/>
                <w:sz w:val="24"/>
                <w:szCs w:val="24"/>
                <w:u w:val="single"/>
                <w:vertAlign w:val="superscript"/>
                <w:lang w:eastAsia="fr-FR"/>
              </w:rPr>
              <w:t>†</w:t>
            </w:r>
            <w:bookmarkEnd w:id="195"/>
          </w:p>
        </w:tc>
        <w:tc>
          <w:tcPr>
            <w:tcW w:w="730" w:type="dxa"/>
            <w:vAlign w:val="center"/>
          </w:tcPr>
          <w:p w14:paraId="27B12E18"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12 (36)</w:t>
            </w:r>
          </w:p>
        </w:tc>
      </w:tr>
      <w:tr w:rsidR="005813DE" w:rsidRPr="00E13321" w14:paraId="4302FF21" w14:textId="77777777">
        <w:trPr>
          <w:tblCellSpacing w:w="15" w:type="dxa"/>
        </w:trPr>
        <w:tc>
          <w:tcPr>
            <w:tcW w:w="2700" w:type="dxa"/>
            <w:vAlign w:val="center"/>
          </w:tcPr>
          <w:p w14:paraId="2899EFF9"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Subtotal (TRG 1b)</w:t>
            </w:r>
          </w:p>
        </w:tc>
        <w:tc>
          <w:tcPr>
            <w:tcW w:w="730" w:type="dxa"/>
            <w:vAlign w:val="center"/>
          </w:tcPr>
          <w:p w14:paraId="3497EA44"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8 (24)</w:t>
            </w:r>
          </w:p>
        </w:tc>
      </w:tr>
      <w:tr w:rsidR="005813DE" w:rsidRPr="00E13321" w14:paraId="133DFE06" w14:textId="77777777">
        <w:trPr>
          <w:tblCellSpacing w:w="15" w:type="dxa"/>
        </w:trPr>
        <w:tc>
          <w:tcPr>
            <w:tcW w:w="2700" w:type="dxa"/>
            <w:vAlign w:val="center"/>
          </w:tcPr>
          <w:p w14:paraId="65027951"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Partial (TRG 2)</w:t>
            </w:r>
          </w:p>
        </w:tc>
        <w:tc>
          <w:tcPr>
            <w:tcW w:w="730" w:type="dxa"/>
            <w:vAlign w:val="center"/>
          </w:tcPr>
          <w:p w14:paraId="2AF4FA95"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4 (13)</w:t>
            </w:r>
          </w:p>
        </w:tc>
      </w:tr>
      <w:tr w:rsidR="005813DE" w:rsidRPr="00E13321" w14:paraId="6A04D62B" w14:textId="77777777">
        <w:trPr>
          <w:tblCellSpacing w:w="15" w:type="dxa"/>
        </w:trPr>
        <w:tc>
          <w:tcPr>
            <w:tcW w:w="2700" w:type="dxa"/>
            <w:vAlign w:val="center"/>
          </w:tcPr>
          <w:p w14:paraId="4C46E221"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Minimal or none (TRG 3)</w:t>
            </w:r>
          </w:p>
        </w:tc>
        <w:tc>
          <w:tcPr>
            <w:tcW w:w="730" w:type="dxa"/>
            <w:vAlign w:val="center"/>
          </w:tcPr>
          <w:p w14:paraId="565DDD6F"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9 (27)</w:t>
            </w:r>
          </w:p>
        </w:tc>
      </w:tr>
      <w:tr w:rsidR="005813DE" w:rsidRPr="00E13321" w14:paraId="08970374" w14:textId="77777777">
        <w:trPr>
          <w:tblCellSpacing w:w="15" w:type="dxa"/>
        </w:trPr>
        <w:tc>
          <w:tcPr>
            <w:tcW w:w="2700" w:type="dxa"/>
            <w:vAlign w:val="center"/>
          </w:tcPr>
          <w:p w14:paraId="56993092"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 xml:space="preserve">yN0 </w:t>
            </w:r>
          </w:p>
        </w:tc>
        <w:tc>
          <w:tcPr>
            <w:tcW w:w="730" w:type="dxa"/>
            <w:vAlign w:val="center"/>
          </w:tcPr>
          <w:p w14:paraId="4DE94208"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21 (63)</w:t>
            </w:r>
          </w:p>
        </w:tc>
      </w:tr>
      <w:tr w:rsidR="005813DE" w:rsidRPr="00E13321" w14:paraId="70B4CC68" w14:textId="77777777">
        <w:trPr>
          <w:tblCellSpacing w:w="15" w:type="dxa"/>
        </w:trPr>
        <w:tc>
          <w:tcPr>
            <w:tcW w:w="2700" w:type="dxa"/>
            <w:vAlign w:val="center"/>
          </w:tcPr>
          <w:p w14:paraId="246C24C0"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yN 1</w:t>
            </w:r>
          </w:p>
        </w:tc>
        <w:tc>
          <w:tcPr>
            <w:tcW w:w="730" w:type="dxa"/>
            <w:vAlign w:val="center"/>
          </w:tcPr>
          <w:p w14:paraId="63CAA8A6"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6 (19)</w:t>
            </w:r>
          </w:p>
        </w:tc>
      </w:tr>
      <w:tr w:rsidR="005813DE" w:rsidRPr="00E13321" w14:paraId="45BAB9F9" w14:textId="77777777">
        <w:trPr>
          <w:tblCellSpacing w:w="15" w:type="dxa"/>
        </w:trPr>
        <w:tc>
          <w:tcPr>
            <w:tcW w:w="2700" w:type="dxa"/>
            <w:vAlign w:val="center"/>
          </w:tcPr>
          <w:p w14:paraId="6312A565"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yN2</w:t>
            </w:r>
          </w:p>
        </w:tc>
        <w:tc>
          <w:tcPr>
            <w:tcW w:w="730" w:type="dxa"/>
            <w:vAlign w:val="center"/>
          </w:tcPr>
          <w:p w14:paraId="5D5FF805"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eastAsia="Times New Roman" w:hAnsi="Book Antiqua"/>
                <w:color w:val="000000"/>
                <w:sz w:val="24"/>
                <w:szCs w:val="24"/>
                <w:lang w:eastAsia="fr-FR"/>
              </w:rPr>
              <w:t>6 (19)</w:t>
            </w:r>
          </w:p>
        </w:tc>
      </w:tr>
    </w:tbl>
    <w:p w14:paraId="277D5D5A" w14:textId="77777777" w:rsidR="005813DE" w:rsidRPr="00E13321" w:rsidRDefault="005813DE">
      <w:pPr>
        <w:pStyle w:val="p"/>
        <w:spacing w:before="0" w:beforeAutospacing="0" w:after="0" w:afterAutospacing="0" w:line="360" w:lineRule="auto"/>
        <w:jc w:val="both"/>
        <w:rPr>
          <w:rFonts w:ascii="Book Antiqua" w:hAnsi="Book Antiqua"/>
          <w:color w:val="000000"/>
        </w:rPr>
      </w:pPr>
    </w:p>
    <w:p w14:paraId="0F72FBA6" w14:textId="77777777" w:rsidR="005813DE" w:rsidRPr="00E13321" w:rsidRDefault="0088790D">
      <w:pPr>
        <w:spacing w:after="0" w:line="360" w:lineRule="auto"/>
        <w:jc w:val="both"/>
        <w:rPr>
          <w:rFonts w:ascii="Book Antiqua" w:eastAsia="Times New Roman" w:hAnsi="Book Antiqua"/>
          <w:color w:val="000000"/>
          <w:sz w:val="24"/>
          <w:szCs w:val="24"/>
          <w:lang w:eastAsia="fr-FR"/>
        </w:rPr>
      </w:pPr>
      <w:r w:rsidRPr="00E13321">
        <w:rPr>
          <w:rFonts w:ascii="Book Antiqua" w:hAnsi="Book Antiqua"/>
          <w:color w:val="000000"/>
          <w:sz w:val="24"/>
          <w:szCs w:val="24"/>
        </w:rPr>
        <w:br w:type="page"/>
      </w:r>
    </w:p>
    <w:p w14:paraId="492CBA63" w14:textId="71829CD0" w:rsidR="005813DE" w:rsidRPr="00E13321" w:rsidRDefault="005B2B3C">
      <w:pPr>
        <w:pStyle w:val="p"/>
        <w:spacing w:before="0" w:beforeAutospacing="0" w:after="0" w:afterAutospacing="0" w:line="360" w:lineRule="auto"/>
        <w:jc w:val="both"/>
        <w:rPr>
          <w:rFonts w:ascii="Book Antiqua" w:hAnsi="Book Antiqua"/>
          <w:color w:val="000000"/>
        </w:rPr>
      </w:pPr>
      <w:r w:rsidRPr="00E13321">
        <w:rPr>
          <w:rFonts w:ascii="Book Antiqua" w:hAnsi="Book Antiqua"/>
          <w:noProof/>
          <w:color w:val="000000"/>
          <w:lang w:val="fr-FR"/>
        </w:rPr>
        <w:drawing>
          <wp:inline distT="0" distB="0" distL="0" distR="0" wp14:anchorId="68487CA0" wp14:editId="3066C439">
            <wp:extent cx="4057650" cy="3324225"/>
            <wp:effectExtent l="0" t="0" r="0" b="0"/>
            <wp:docPr id="1"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7650" cy="3324225"/>
                    </a:xfrm>
                    <a:prstGeom prst="rect">
                      <a:avLst/>
                    </a:prstGeom>
                    <a:noFill/>
                    <a:ln>
                      <a:noFill/>
                    </a:ln>
                  </pic:spPr>
                </pic:pic>
              </a:graphicData>
            </a:graphic>
          </wp:inline>
        </w:drawing>
      </w:r>
    </w:p>
    <w:p w14:paraId="53F752D0" w14:textId="77777777" w:rsidR="005813DE" w:rsidRPr="00E13321" w:rsidRDefault="0088790D">
      <w:pPr>
        <w:pStyle w:val="p"/>
        <w:spacing w:before="0" w:beforeAutospacing="0" w:after="0" w:afterAutospacing="0" w:line="360" w:lineRule="auto"/>
        <w:jc w:val="both"/>
        <w:rPr>
          <w:rFonts w:ascii="Book Antiqua" w:hAnsi="Book Antiqua"/>
          <w:color w:val="000000"/>
        </w:rPr>
      </w:pPr>
      <w:r w:rsidRPr="00E13321">
        <w:rPr>
          <w:rFonts w:ascii="Book Antiqua" w:hAnsi="Book Antiqua"/>
          <w:b/>
          <w:color w:val="000000"/>
        </w:rPr>
        <w:t xml:space="preserve">Figure 1 </w:t>
      </w:r>
      <w:r w:rsidRPr="00E13321">
        <w:rPr>
          <w:rFonts w:ascii="Book Antiqua" w:hAnsi="Book Antiqua"/>
          <w:b/>
          <w:bCs/>
          <w:color w:val="000000"/>
        </w:rPr>
        <w:t>Time to relapse for all included patients.</w:t>
      </w:r>
    </w:p>
    <w:p w14:paraId="5230D026" w14:textId="77777777" w:rsidR="005813DE" w:rsidRPr="00E13321" w:rsidRDefault="005813DE">
      <w:pPr>
        <w:pStyle w:val="p"/>
        <w:spacing w:before="0" w:beforeAutospacing="0" w:after="0" w:afterAutospacing="0" w:line="360" w:lineRule="auto"/>
        <w:jc w:val="both"/>
        <w:rPr>
          <w:rFonts w:ascii="Book Antiqua" w:hAnsi="Book Antiqua"/>
          <w:color w:val="000000"/>
        </w:rPr>
      </w:pPr>
    </w:p>
    <w:p w14:paraId="35AE32CC" w14:textId="196CCB94" w:rsidR="005813DE" w:rsidRPr="00E13321" w:rsidRDefault="005B2B3C">
      <w:pPr>
        <w:pStyle w:val="p"/>
        <w:spacing w:before="0" w:beforeAutospacing="0" w:after="0" w:afterAutospacing="0" w:line="360" w:lineRule="auto"/>
        <w:jc w:val="both"/>
        <w:rPr>
          <w:rFonts w:ascii="Book Antiqua" w:hAnsi="Book Antiqua"/>
          <w:color w:val="000000"/>
        </w:rPr>
      </w:pPr>
      <w:r w:rsidRPr="00E13321">
        <w:rPr>
          <w:rFonts w:ascii="Book Antiqua" w:hAnsi="Book Antiqua"/>
          <w:noProof/>
          <w:color w:val="000000"/>
          <w:lang w:val="fr-FR"/>
        </w:rPr>
        <w:drawing>
          <wp:inline distT="0" distB="0" distL="0" distR="0" wp14:anchorId="3FE1F83E" wp14:editId="24137499">
            <wp:extent cx="4181475" cy="3305175"/>
            <wp:effectExtent l="0" t="0" r="0" b="0"/>
            <wp:docPr id="2"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1475" cy="3305175"/>
                    </a:xfrm>
                    <a:prstGeom prst="rect">
                      <a:avLst/>
                    </a:prstGeom>
                    <a:noFill/>
                    <a:ln>
                      <a:noFill/>
                    </a:ln>
                  </pic:spPr>
                </pic:pic>
              </a:graphicData>
            </a:graphic>
          </wp:inline>
        </w:drawing>
      </w:r>
    </w:p>
    <w:p w14:paraId="76DF92A6" w14:textId="77777777" w:rsidR="005813DE" w:rsidRDefault="0088790D">
      <w:pPr>
        <w:pStyle w:val="p"/>
        <w:spacing w:before="0" w:beforeAutospacing="0" w:after="0" w:afterAutospacing="0" w:line="360" w:lineRule="auto"/>
        <w:jc w:val="both"/>
        <w:rPr>
          <w:rFonts w:ascii="Book Antiqua" w:hAnsi="Book Antiqua"/>
          <w:color w:val="000000"/>
        </w:rPr>
      </w:pPr>
      <w:r w:rsidRPr="00E13321">
        <w:rPr>
          <w:rFonts w:ascii="Book Antiqua" w:hAnsi="Book Antiqua"/>
          <w:b/>
          <w:color w:val="000000"/>
        </w:rPr>
        <w:t>Figure 2</w:t>
      </w:r>
      <w:r w:rsidRPr="00E13321">
        <w:rPr>
          <w:rFonts w:ascii="Book Antiqua" w:hAnsi="Book Antiqua"/>
          <w:b/>
          <w:bCs/>
          <w:color w:val="000000"/>
        </w:rPr>
        <w:t xml:space="preserve"> Overall survival for all included patients.</w:t>
      </w:r>
    </w:p>
    <w:p w14:paraId="7A09E2A3" w14:textId="77777777" w:rsidR="0088790D" w:rsidRDefault="0088790D">
      <w:pPr>
        <w:pStyle w:val="p"/>
        <w:spacing w:before="0" w:beforeAutospacing="0" w:after="0" w:afterAutospacing="0" w:line="360" w:lineRule="auto"/>
        <w:jc w:val="both"/>
        <w:rPr>
          <w:rFonts w:ascii="Book Antiqua" w:hAnsi="Book Antiqua"/>
          <w:color w:val="000000"/>
        </w:rPr>
      </w:pPr>
    </w:p>
    <w:sectPr w:rsidR="0088790D">
      <w:footerReference w:type="default" r:id="rId8"/>
      <w:pgSz w:w="11906" w:h="16838"/>
      <w:pgMar w:top="1417" w:right="1417" w:bottom="1417" w:left="1417" w:header="708"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C2FCF" w14:textId="77777777" w:rsidR="004E4E2E" w:rsidRDefault="004E4E2E">
      <w:pPr>
        <w:spacing w:after="0" w:line="240" w:lineRule="auto"/>
      </w:pPr>
      <w:r>
        <w:separator/>
      </w:r>
    </w:p>
  </w:endnote>
  <w:endnote w:type="continuationSeparator" w:id="0">
    <w:p w14:paraId="20DB0CA3" w14:textId="77777777" w:rsidR="004E4E2E" w:rsidRDefault="004E4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altName w:val="Microsoft YaHei"/>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dvTimes">
    <w:altName w:val="MingLiU"/>
    <w:charset w:val="88"/>
    <w:family w:val="auto"/>
    <w:pitch w:val="default"/>
    <w:sig w:usb0="00000000" w:usb1="00000000" w:usb2="00000010" w:usb3="00000000" w:csb0="001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58C34" w14:textId="77777777" w:rsidR="005813DE" w:rsidRDefault="0088790D">
    <w:pPr>
      <w:pStyle w:val="af0"/>
      <w:jc w:val="right"/>
    </w:pPr>
    <w:r>
      <w:fldChar w:fldCharType="begin"/>
    </w:r>
    <w:r>
      <w:instrText>PAGE   \* MERGEFORMAT</w:instrText>
    </w:r>
    <w:r>
      <w:fldChar w:fldCharType="separate"/>
    </w:r>
    <w:r>
      <w:rPr>
        <w:lang w:val="fr-FR"/>
      </w:rPr>
      <w:t>19</w:t>
    </w:r>
    <w:r>
      <w:fldChar w:fldCharType="end"/>
    </w:r>
  </w:p>
  <w:p w14:paraId="23D09257" w14:textId="77777777" w:rsidR="005813DE" w:rsidRDefault="005813D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81FA4" w14:textId="77777777" w:rsidR="004E4E2E" w:rsidRDefault="004E4E2E">
      <w:pPr>
        <w:spacing w:after="0" w:line="240" w:lineRule="auto"/>
      </w:pPr>
      <w:r>
        <w:separator/>
      </w:r>
    </w:p>
  </w:footnote>
  <w:footnote w:type="continuationSeparator" w:id="0">
    <w:p w14:paraId="5BDFF2D6" w14:textId="77777777" w:rsidR="004E4E2E" w:rsidRDefault="004E4E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defaultTabStop w:val="708"/>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FAB"/>
    <w:rsid w:val="00011B55"/>
    <w:rsid w:val="00013D8C"/>
    <w:rsid w:val="00020487"/>
    <w:rsid w:val="00024FD1"/>
    <w:rsid w:val="00027034"/>
    <w:rsid w:val="00041969"/>
    <w:rsid w:val="0004536C"/>
    <w:rsid w:val="00056559"/>
    <w:rsid w:val="000669EB"/>
    <w:rsid w:val="0006727F"/>
    <w:rsid w:val="00074AB5"/>
    <w:rsid w:val="000770F5"/>
    <w:rsid w:val="00085A2B"/>
    <w:rsid w:val="0009110F"/>
    <w:rsid w:val="00096A97"/>
    <w:rsid w:val="000A5631"/>
    <w:rsid w:val="000B2640"/>
    <w:rsid w:val="000B4796"/>
    <w:rsid w:val="000C179E"/>
    <w:rsid w:val="000C334C"/>
    <w:rsid w:val="000D0972"/>
    <w:rsid w:val="000D23A1"/>
    <w:rsid w:val="000E7532"/>
    <w:rsid w:val="000F5150"/>
    <w:rsid w:val="000F5CDF"/>
    <w:rsid w:val="00125B39"/>
    <w:rsid w:val="00131235"/>
    <w:rsid w:val="00166E1D"/>
    <w:rsid w:val="00171BCB"/>
    <w:rsid w:val="001732F3"/>
    <w:rsid w:val="00176EAD"/>
    <w:rsid w:val="0018642C"/>
    <w:rsid w:val="001870C9"/>
    <w:rsid w:val="00190CC9"/>
    <w:rsid w:val="001A2B76"/>
    <w:rsid w:val="001A6A6E"/>
    <w:rsid w:val="001B27DE"/>
    <w:rsid w:val="001C4707"/>
    <w:rsid w:val="001D2CCD"/>
    <w:rsid w:val="001E1A09"/>
    <w:rsid w:val="001F31FD"/>
    <w:rsid w:val="001F3ABF"/>
    <w:rsid w:val="00201A83"/>
    <w:rsid w:val="00210325"/>
    <w:rsid w:val="00212FF0"/>
    <w:rsid w:val="00220704"/>
    <w:rsid w:val="00224717"/>
    <w:rsid w:val="00225DE7"/>
    <w:rsid w:val="0023012A"/>
    <w:rsid w:val="00236389"/>
    <w:rsid w:val="00243C8D"/>
    <w:rsid w:val="00256C77"/>
    <w:rsid w:val="00272845"/>
    <w:rsid w:val="00272B50"/>
    <w:rsid w:val="00277E42"/>
    <w:rsid w:val="00285BB9"/>
    <w:rsid w:val="00295DB7"/>
    <w:rsid w:val="002A49A2"/>
    <w:rsid w:val="002A671C"/>
    <w:rsid w:val="002B2576"/>
    <w:rsid w:val="002D53CC"/>
    <w:rsid w:val="0031012A"/>
    <w:rsid w:val="003245F5"/>
    <w:rsid w:val="003276D1"/>
    <w:rsid w:val="00335D7D"/>
    <w:rsid w:val="00351F84"/>
    <w:rsid w:val="00362D74"/>
    <w:rsid w:val="00391C7B"/>
    <w:rsid w:val="00396B0C"/>
    <w:rsid w:val="003A10A2"/>
    <w:rsid w:val="003A2879"/>
    <w:rsid w:val="003A4BDF"/>
    <w:rsid w:val="003B1FD4"/>
    <w:rsid w:val="003B3333"/>
    <w:rsid w:val="003C6576"/>
    <w:rsid w:val="003E6AA5"/>
    <w:rsid w:val="003F1A02"/>
    <w:rsid w:val="003F41C9"/>
    <w:rsid w:val="003F4567"/>
    <w:rsid w:val="00402E38"/>
    <w:rsid w:val="00416EF8"/>
    <w:rsid w:val="00430B8C"/>
    <w:rsid w:val="004310A2"/>
    <w:rsid w:val="00431754"/>
    <w:rsid w:val="00436883"/>
    <w:rsid w:val="00441EFB"/>
    <w:rsid w:val="00452828"/>
    <w:rsid w:val="0046294C"/>
    <w:rsid w:val="00462A83"/>
    <w:rsid w:val="00467846"/>
    <w:rsid w:val="0047051E"/>
    <w:rsid w:val="0047479E"/>
    <w:rsid w:val="004765AB"/>
    <w:rsid w:val="00485E4C"/>
    <w:rsid w:val="00490D8F"/>
    <w:rsid w:val="00492B44"/>
    <w:rsid w:val="004A4D78"/>
    <w:rsid w:val="004B28B5"/>
    <w:rsid w:val="004B42E0"/>
    <w:rsid w:val="004B674C"/>
    <w:rsid w:val="004C3F60"/>
    <w:rsid w:val="004C58B9"/>
    <w:rsid w:val="004D6D28"/>
    <w:rsid w:val="004D70A9"/>
    <w:rsid w:val="004E0481"/>
    <w:rsid w:val="004E4E2E"/>
    <w:rsid w:val="00501DB9"/>
    <w:rsid w:val="005117C0"/>
    <w:rsid w:val="00515FDF"/>
    <w:rsid w:val="00526DDB"/>
    <w:rsid w:val="00530033"/>
    <w:rsid w:val="005362CB"/>
    <w:rsid w:val="00542B95"/>
    <w:rsid w:val="005813DE"/>
    <w:rsid w:val="00582E89"/>
    <w:rsid w:val="00585C54"/>
    <w:rsid w:val="00585CDB"/>
    <w:rsid w:val="00592881"/>
    <w:rsid w:val="005A0D06"/>
    <w:rsid w:val="005B2B3C"/>
    <w:rsid w:val="005C21F4"/>
    <w:rsid w:val="005C335A"/>
    <w:rsid w:val="005D1952"/>
    <w:rsid w:val="005D5ED7"/>
    <w:rsid w:val="005D6CB5"/>
    <w:rsid w:val="005F25D5"/>
    <w:rsid w:val="005F5CA0"/>
    <w:rsid w:val="005F65AF"/>
    <w:rsid w:val="006117A0"/>
    <w:rsid w:val="006177E5"/>
    <w:rsid w:val="00630CB6"/>
    <w:rsid w:val="0063479B"/>
    <w:rsid w:val="00635429"/>
    <w:rsid w:val="00635FC6"/>
    <w:rsid w:val="0068154F"/>
    <w:rsid w:val="00695DD8"/>
    <w:rsid w:val="006975A7"/>
    <w:rsid w:val="006A4433"/>
    <w:rsid w:val="006B4CF2"/>
    <w:rsid w:val="006C411A"/>
    <w:rsid w:val="006C641C"/>
    <w:rsid w:val="006E3265"/>
    <w:rsid w:val="006E49FC"/>
    <w:rsid w:val="006F6BD5"/>
    <w:rsid w:val="00717444"/>
    <w:rsid w:val="00725D0B"/>
    <w:rsid w:val="007262E4"/>
    <w:rsid w:val="007345B3"/>
    <w:rsid w:val="00740DEE"/>
    <w:rsid w:val="0074646B"/>
    <w:rsid w:val="00756340"/>
    <w:rsid w:val="007803F3"/>
    <w:rsid w:val="00780C62"/>
    <w:rsid w:val="00784A63"/>
    <w:rsid w:val="00796305"/>
    <w:rsid w:val="007A1134"/>
    <w:rsid w:val="007B2BA8"/>
    <w:rsid w:val="007B4569"/>
    <w:rsid w:val="007B4850"/>
    <w:rsid w:val="007C71D6"/>
    <w:rsid w:val="007D370C"/>
    <w:rsid w:val="007D3B77"/>
    <w:rsid w:val="007D644E"/>
    <w:rsid w:val="007F0FAB"/>
    <w:rsid w:val="00822625"/>
    <w:rsid w:val="00833E15"/>
    <w:rsid w:val="008469A6"/>
    <w:rsid w:val="00856EA9"/>
    <w:rsid w:val="008747C2"/>
    <w:rsid w:val="00886675"/>
    <w:rsid w:val="0088790D"/>
    <w:rsid w:val="00890D10"/>
    <w:rsid w:val="008A4AD4"/>
    <w:rsid w:val="008A5E82"/>
    <w:rsid w:val="008B0592"/>
    <w:rsid w:val="008C1482"/>
    <w:rsid w:val="008C3092"/>
    <w:rsid w:val="008C350E"/>
    <w:rsid w:val="008D1D53"/>
    <w:rsid w:val="008E1448"/>
    <w:rsid w:val="008E417E"/>
    <w:rsid w:val="008F07AD"/>
    <w:rsid w:val="009235BE"/>
    <w:rsid w:val="00923F30"/>
    <w:rsid w:val="009279DF"/>
    <w:rsid w:val="00932C5B"/>
    <w:rsid w:val="00936642"/>
    <w:rsid w:val="009379F3"/>
    <w:rsid w:val="00955854"/>
    <w:rsid w:val="009765C2"/>
    <w:rsid w:val="009827F5"/>
    <w:rsid w:val="00992227"/>
    <w:rsid w:val="00992A86"/>
    <w:rsid w:val="009A6F94"/>
    <w:rsid w:val="009B31D7"/>
    <w:rsid w:val="009C1008"/>
    <w:rsid w:val="009E333E"/>
    <w:rsid w:val="009F5205"/>
    <w:rsid w:val="00A27D66"/>
    <w:rsid w:val="00A33003"/>
    <w:rsid w:val="00A42D96"/>
    <w:rsid w:val="00A43BAF"/>
    <w:rsid w:val="00A5692B"/>
    <w:rsid w:val="00A675A5"/>
    <w:rsid w:val="00AA7270"/>
    <w:rsid w:val="00AB771D"/>
    <w:rsid w:val="00AE30FC"/>
    <w:rsid w:val="00AE3152"/>
    <w:rsid w:val="00B00675"/>
    <w:rsid w:val="00B006FC"/>
    <w:rsid w:val="00B362F9"/>
    <w:rsid w:val="00B36EAC"/>
    <w:rsid w:val="00B40C89"/>
    <w:rsid w:val="00B4456D"/>
    <w:rsid w:val="00B52484"/>
    <w:rsid w:val="00B531F7"/>
    <w:rsid w:val="00B61ECF"/>
    <w:rsid w:val="00B63F8F"/>
    <w:rsid w:val="00B77043"/>
    <w:rsid w:val="00B8503D"/>
    <w:rsid w:val="00B91C4A"/>
    <w:rsid w:val="00B92F40"/>
    <w:rsid w:val="00BA7165"/>
    <w:rsid w:val="00BC011F"/>
    <w:rsid w:val="00BC5BE5"/>
    <w:rsid w:val="00BD4ECE"/>
    <w:rsid w:val="00BD538D"/>
    <w:rsid w:val="00BD5679"/>
    <w:rsid w:val="00C05549"/>
    <w:rsid w:val="00C145E3"/>
    <w:rsid w:val="00C15774"/>
    <w:rsid w:val="00C22CF6"/>
    <w:rsid w:val="00C26B9C"/>
    <w:rsid w:val="00C440EC"/>
    <w:rsid w:val="00C52A0D"/>
    <w:rsid w:val="00C64C41"/>
    <w:rsid w:val="00C660EA"/>
    <w:rsid w:val="00C70C7D"/>
    <w:rsid w:val="00C74E38"/>
    <w:rsid w:val="00C852BA"/>
    <w:rsid w:val="00C864AF"/>
    <w:rsid w:val="00C92F42"/>
    <w:rsid w:val="00CB4DB4"/>
    <w:rsid w:val="00CC39E9"/>
    <w:rsid w:val="00CC444B"/>
    <w:rsid w:val="00CC5504"/>
    <w:rsid w:val="00CD5784"/>
    <w:rsid w:val="00CE37EF"/>
    <w:rsid w:val="00CE62B0"/>
    <w:rsid w:val="00CF2A15"/>
    <w:rsid w:val="00CF4690"/>
    <w:rsid w:val="00CF7DE7"/>
    <w:rsid w:val="00D04F6A"/>
    <w:rsid w:val="00D04F76"/>
    <w:rsid w:val="00D11C8E"/>
    <w:rsid w:val="00D27822"/>
    <w:rsid w:val="00D32B45"/>
    <w:rsid w:val="00D32EA1"/>
    <w:rsid w:val="00D3495F"/>
    <w:rsid w:val="00D427CD"/>
    <w:rsid w:val="00D45D56"/>
    <w:rsid w:val="00D47F81"/>
    <w:rsid w:val="00D73044"/>
    <w:rsid w:val="00D739E8"/>
    <w:rsid w:val="00D73F5F"/>
    <w:rsid w:val="00D7537E"/>
    <w:rsid w:val="00D83A64"/>
    <w:rsid w:val="00D8463E"/>
    <w:rsid w:val="00D91845"/>
    <w:rsid w:val="00DA0703"/>
    <w:rsid w:val="00DC1833"/>
    <w:rsid w:val="00DC5F53"/>
    <w:rsid w:val="00DD5907"/>
    <w:rsid w:val="00DE538B"/>
    <w:rsid w:val="00DF1F93"/>
    <w:rsid w:val="00E012C6"/>
    <w:rsid w:val="00E04D96"/>
    <w:rsid w:val="00E13321"/>
    <w:rsid w:val="00E1382A"/>
    <w:rsid w:val="00E36FC9"/>
    <w:rsid w:val="00E4391A"/>
    <w:rsid w:val="00E51405"/>
    <w:rsid w:val="00E52648"/>
    <w:rsid w:val="00E64D92"/>
    <w:rsid w:val="00E73C8F"/>
    <w:rsid w:val="00E77AC9"/>
    <w:rsid w:val="00EA5361"/>
    <w:rsid w:val="00EB14E0"/>
    <w:rsid w:val="00EC472C"/>
    <w:rsid w:val="00EC7F77"/>
    <w:rsid w:val="00ED010D"/>
    <w:rsid w:val="00ED18B7"/>
    <w:rsid w:val="00ED4E4D"/>
    <w:rsid w:val="00EF4627"/>
    <w:rsid w:val="00EF5BE5"/>
    <w:rsid w:val="00F022BE"/>
    <w:rsid w:val="00F028C0"/>
    <w:rsid w:val="00F15405"/>
    <w:rsid w:val="00F216D4"/>
    <w:rsid w:val="00F22F3F"/>
    <w:rsid w:val="00F26BF9"/>
    <w:rsid w:val="00F52883"/>
    <w:rsid w:val="00F53618"/>
    <w:rsid w:val="00F605B3"/>
    <w:rsid w:val="00F811A1"/>
    <w:rsid w:val="00F84635"/>
    <w:rsid w:val="00F9568E"/>
    <w:rsid w:val="00FC0635"/>
    <w:rsid w:val="00FD007C"/>
    <w:rsid w:val="00FD32E2"/>
    <w:rsid w:val="00FE4E29"/>
    <w:rsid w:val="3A8D2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3DE5814"/>
  <w15:chartTrackingRefBased/>
  <w15:docId w15:val="{2F1FC067-F1E6-44D7-AFDC-5F2582BD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等线"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val="en-GB" w:eastAsia="en-US"/>
    </w:rPr>
  </w:style>
  <w:style w:type="paragraph" w:styleId="1">
    <w:name w:val="heading 1"/>
    <w:basedOn w:val="a"/>
    <w:next w:val="a"/>
    <w:link w:val="10"/>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paragraph" w:styleId="3">
    <w:name w:val="heading 3"/>
    <w:basedOn w:val="a"/>
    <w:next w:val="a"/>
    <w:link w:val="30"/>
    <w:uiPriority w:val="9"/>
    <w:qFormat/>
    <w:pPr>
      <w:keepNext/>
      <w:keepLines/>
      <w:spacing w:before="40" w:after="0"/>
      <w:outlineLvl w:val="2"/>
    </w:pPr>
    <w:rPr>
      <w:rFonts w:ascii="Calibri Light" w:eastAsia="等线 Light" w:hAnsi="Calibri Light"/>
      <w:color w:val="1E4D78"/>
      <w:sz w:val="24"/>
      <w:szCs w:val="24"/>
    </w:rPr>
  </w:style>
  <w:style w:type="paragraph" w:styleId="4">
    <w:name w:val="heading 4"/>
    <w:basedOn w:val="a"/>
    <w:next w:val="a"/>
    <w:link w:val="40"/>
    <w:uiPriority w:val="9"/>
    <w:qFormat/>
    <w:pPr>
      <w:keepNext/>
      <w:keepLines/>
      <w:spacing w:before="40" w:after="0"/>
      <w:outlineLvl w:val="3"/>
    </w:pPr>
    <w:rPr>
      <w:rFonts w:ascii="Calibri Light" w:eastAsia="等线 Light" w:hAnsi="Calibri Light"/>
      <w:i/>
      <w:iCs/>
      <w:color w:val="2E75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qFormat/>
    <w:rPr>
      <w:sz w:val="16"/>
      <w:szCs w:val="16"/>
    </w:rPr>
  </w:style>
  <w:style w:type="character" w:styleId="a4">
    <w:name w:val="Emphasis"/>
    <w:basedOn w:val="a0"/>
    <w:uiPriority w:val="20"/>
    <w:qFormat/>
    <w:rPr>
      <w:i/>
      <w:iCs/>
    </w:rPr>
  </w:style>
  <w:style w:type="character" w:styleId="a5">
    <w:name w:val="FollowedHyperlink"/>
    <w:basedOn w:val="a0"/>
    <w:uiPriority w:val="99"/>
    <w:unhideWhenUsed/>
    <w:rPr>
      <w:color w:val="954F72"/>
      <w:u w:val="single"/>
    </w:rPr>
  </w:style>
  <w:style w:type="character" w:styleId="a6">
    <w:name w:val="Hyperlink"/>
    <w:basedOn w:val="a0"/>
    <w:uiPriority w:val="99"/>
    <w:unhideWhenUsed/>
    <w:qFormat/>
    <w:rPr>
      <w:color w:val="0000FF"/>
      <w:u w:val="single"/>
    </w:rPr>
  </w:style>
  <w:style w:type="character" w:styleId="a7">
    <w:name w:val="Strong"/>
    <w:basedOn w:val="a0"/>
    <w:uiPriority w:val="22"/>
    <w:qFormat/>
    <w:rPr>
      <w:b/>
      <w:bCs/>
    </w:rPr>
  </w:style>
  <w:style w:type="character" w:customStyle="1" w:styleId="11">
    <w:name w:val="未处理的提及1"/>
    <w:basedOn w:val="a0"/>
    <w:uiPriority w:val="99"/>
    <w:unhideWhenUsed/>
    <w:rPr>
      <w:color w:val="605E5C"/>
      <w:shd w:val="clear" w:color="auto" w:fill="E1DFDD"/>
    </w:rPr>
  </w:style>
  <w:style w:type="character" w:customStyle="1" w:styleId="a8">
    <w:name w:val="批注主题 字符"/>
    <w:basedOn w:val="a9"/>
    <w:link w:val="aa"/>
    <w:uiPriority w:val="99"/>
    <w:semiHidden/>
    <w:rPr>
      <w:b/>
      <w:bCs/>
      <w:sz w:val="20"/>
      <w:szCs w:val="20"/>
      <w:lang w:val="en-US"/>
    </w:rPr>
  </w:style>
  <w:style w:type="character" w:customStyle="1" w:styleId="jrnl">
    <w:name w:val="jrnl"/>
    <w:basedOn w:val="a0"/>
  </w:style>
  <w:style w:type="character" w:customStyle="1" w:styleId="10">
    <w:name w:val="标题 1 字符"/>
    <w:basedOn w:val="a0"/>
    <w:link w:val="1"/>
    <w:uiPriority w:val="9"/>
    <w:rPr>
      <w:rFonts w:ascii="Times New Roman" w:eastAsia="Times New Roman" w:hAnsi="Times New Roman" w:cs="Times New Roman"/>
      <w:b/>
      <w:bCs/>
      <w:kern w:val="36"/>
      <w:sz w:val="48"/>
      <w:szCs w:val="48"/>
      <w:lang w:eastAsia="fr-FR"/>
    </w:rPr>
  </w:style>
  <w:style w:type="character" w:customStyle="1" w:styleId="12">
    <w:name w:val="纯文本 字符1"/>
    <w:link w:val="ab"/>
    <w:qFormat/>
    <w:rPr>
      <w:rFonts w:ascii="宋体" w:eastAsia="宋体" w:hAnsi="Courier New" w:cs="Courier New"/>
      <w:kern w:val="2"/>
      <w:sz w:val="21"/>
      <w:szCs w:val="21"/>
      <w:lang w:val="en-US" w:eastAsia="zh-CN"/>
    </w:rPr>
  </w:style>
  <w:style w:type="character" w:customStyle="1" w:styleId="ac">
    <w:name w:val="页眉 字符"/>
    <w:basedOn w:val="a0"/>
    <w:link w:val="ad"/>
    <w:uiPriority w:val="99"/>
    <w:qFormat/>
    <w:rPr>
      <w:lang w:val="en-US"/>
    </w:rPr>
  </w:style>
  <w:style w:type="character" w:customStyle="1" w:styleId="a9">
    <w:name w:val="批注文字 字符"/>
    <w:basedOn w:val="a0"/>
    <w:link w:val="ae"/>
    <w:uiPriority w:val="99"/>
    <w:rPr>
      <w:sz w:val="20"/>
      <w:szCs w:val="20"/>
      <w:lang w:val="en-US"/>
    </w:rPr>
  </w:style>
  <w:style w:type="character" w:customStyle="1" w:styleId="al-author-name">
    <w:name w:val="al-author-name"/>
    <w:basedOn w:val="a0"/>
  </w:style>
  <w:style w:type="character" w:customStyle="1" w:styleId="30">
    <w:name w:val="标题 3 字符"/>
    <w:basedOn w:val="a0"/>
    <w:link w:val="3"/>
    <w:uiPriority w:val="9"/>
    <w:rPr>
      <w:rFonts w:ascii="Calibri Light" w:eastAsia="等线 Light" w:hAnsi="Calibri Light" w:cs="Times New Roman"/>
      <w:color w:val="1E4D78"/>
      <w:sz w:val="24"/>
      <w:szCs w:val="24"/>
    </w:rPr>
  </w:style>
  <w:style w:type="character" w:customStyle="1" w:styleId="af">
    <w:name w:val="页脚 字符"/>
    <w:basedOn w:val="a0"/>
    <w:link w:val="af0"/>
    <w:uiPriority w:val="99"/>
    <w:qFormat/>
    <w:rPr>
      <w:lang w:val="en-US"/>
    </w:rPr>
  </w:style>
  <w:style w:type="character" w:customStyle="1" w:styleId="af1">
    <w:name w:val="批注框文本 字符"/>
    <w:basedOn w:val="a0"/>
    <w:link w:val="af2"/>
    <w:uiPriority w:val="99"/>
    <w:semiHidden/>
    <w:qFormat/>
    <w:rPr>
      <w:rFonts w:ascii="Segoe UI" w:hAnsi="Segoe UI" w:cs="Segoe UI"/>
      <w:sz w:val="18"/>
      <w:szCs w:val="18"/>
      <w:lang w:val="en-US"/>
    </w:rPr>
  </w:style>
  <w:style w:type="character" w:customStyle="1" w:styleId="40">
    <w:name w:val="标题 4 字符"/>
    <w:basedOn w:val="a0"/>
    <w:link w:val="4"/>
    <w:uiPriority w:val="9"/>
    <w:rPr>
      <w:rFonts w:ascii="Calibri Light" w:eastAsia="等线 Light" w:hAnsi="Calibri Light" w:cs="Times New Roman"/>
      <w:i/>
      <w:iCs/>
      <w:color w:val="2E75B5"/>
    </w:rPr>
  </w:style>
  <w:style w:type="character" w:customStyle="1" w:styleId="highlight">
    <w:name w:val="highlight"/>
    <w:basedOn w:val="a0"/>
  </w:style>
  <w:style w:type="character" w:customStyle="1" w:styleId="orcid-id-https">
    <w:name w:val="orcid-id-https"/>
    <w:basedOn w:val="a0"/>
  </w:style>
  <w:style w:type="character" w:customStyle="1" w:styleId="af3">
    <w:name w:val="纯文本 字符"/>
    <w:basedOn w:val="a0"/>
    <w:uiPriority w:val="99"/>
    <w:semiHidden/>
    <w:qFormat/>
    <w:rPr>
      <w:rFonts w:ascii="等线" w:hAnsi="Courier New" w:cs="Courier New"/>
      <w:lang w:val="en-GB"/>
    </w:rPr>
  </w:style>
  <w:style w:type="character" w:customStyle="1" w:styleId="ilfuvd">
    <w:name w:val="ilfuvd"/>
    <w:basedOn w:val="a0"/>
    <w:qFormat/>
  </w:style>
  <w:style w:type="character" w:customStyle="1" w:styleId="Char">
    <w:name w:val="批注文字 Char"/>
    <w:uiPriority w:val="99"/>
    <w:locked/>
    <w:rPr>
      <w:kern w:val="2"/>
      <w:sz w:val="21"/>
    </w:rPr>
  </w:style>
  <w:style w:type="character" w:customStyle="1" w:styleId="af4">
    <w:name w:val="标题 字符"/>
    <w:basedOn w:val="a0"/>
    <w:link w:val="af5"/>
    <w:uiPriority w:val="10"/>
    <w:rPr>
      <w:rFonts w:ascii="Calibri Light" w:eastAsia="等线 Light" w:hAnsi="Calibri Light" w:cs="Times New Roman"/>
      <w:spacing w:val="-10"/>
      <w:kern w:val="28"/>
      <w:sz w:val="56"/>
      <w:szCs w:val="56"/>
    </w:rPr>
  </w:style>
  <w:style w:type="character" w:customStyle="1" w:styleId="label">
    <w:name w:val="label"/>
    <w:basedOn w:val="a0"/>
  </w:style>
  <w:style w:type="character" w:customStyle="1" w:styleId="EndNoteBibliographyChar">
    <w:name w:val="EndNote Bibliography Char"/>
    <w:link w:val="EndNoteBibliography"/>
    <w:rPr>
      <w:rFonts w:ascii="Tahoma" w:eastAsia="微软雅黑" w:hAnsi="Tahoma" w:cs="Tahoma"/>
      <w:lang w:val="en-US" w:eastAsia="zh-CN"/>
    </w:rPr>
  </w:style>
  <w:style w:type="character" w:customStyle="1" w:styleId="visually-hidden">
    <w:name w:val="visually-hidden"/>
    <w:basedOn w:val="a0"/>
  </w:style>
  <w:style w:type="paragraph" w:styleId="af0">
    <w:name w:val="footer"/>
    <w:basedOn w:val="a"/>
    <w:link w:val="af"/>
    <w:uiPriority w:val="99"/>
    <w:unhideWhenUsed/>
    <w:qFormat/>
    <w:pPr>
      <w:tabs>
        <w:tab w:val="center" w:pos="4536"/>
        <w:tab w:val="right" w:pos="9072"/>
      </w:tabs>
      <w:spacing w:after="0" w:line="240" w:lineRule="auto"/>
    </w:pPr>
  </w:style>
  <w:style w:type="paragraph" w:styleId="af5">
    <w:name w:val="Title"/>
    <w:basedOn w:val="a"/>
    <w:next w:val="a"/>
    <w:link w:val="af4"/>
    <w:uiPriority w:val="10"/>
    <w:qFormat/>
    <w:pPr>
      <w:spacing w:after="0" w:line="240" w:lineRule="auto"/>
      <w:contextualSpacing/>
    </w:pPr>
    <w:rPr>
      <w:rFonts w:ascii="Calibri Light" w:eastAsia="等线 Light" w:hAnsi="Calibri Light"/>
      <w:spacing w:val="-10"/>
      <w:kern w:val="28"/>
      <w:sz w:val="56"/>
      <w:szCs w:val="56"/>
    </w:rPr>
  </w:style>
  <w:style w:type="paragraph" w:styleId="af6">
    <w:name w:val="Normal (Web)"/>
    <w:basedOn w:val="a"/>
    <w:uiPriority w:val="99"/>
    <w:unhideWhenUsed/>
    <w:pPr>
      <w:spacing w:before="100" w:beforeAutospacing="1" w:after="100" w:afterAutospacing="1" w:line="240" w:lineRule="auto"/>
    </w:pPr>
    <w:rPr>
      <w:rFonts w:ascii="Times New Roman" w:eastAsia="Times New Roman" w:hAnsi="Times New Roman"/>
      <w:sz w:val="24"/>
      <w:szCs w:val="24"/>
      <w:lang w:eastAsia="fr-FR"/>
    </w:rPr>
  </w:style>
  <w:style w:type="paragraph" w:styleId="ad">
    <w:name w:val="header"/>
    <w:basedOn w:val="a"/>
    <w:link w:val="ac"/>
    <w:uiPriority w:val="99"/>
    <w:unhideWhenUsed/>
    <w:qFormat/>
    <w:pPr>
      <w:tabs>
        <w:tab w:val="center" w:pos="4536"/>
        <w:tab w:val="right" w:pos="9072"/>
      </w:tabs>
      <w:spacing w:after="0" w:line="240" w:lineRule="auto"/>
    </w:pPr>
  </w:style>
  <w:style w:type="paragraph" w:styleId="aa">
    <w:name w:val="annotation subject"/>
    <w:basedOn w:val="ae"/>
    <w:next w:val="ae"/>
    <w:link w:val="a8"/>
    <w:uiPriority w:val="99"/>
    <w:unhideWhenUsed/>
    <w:rPr>
      <w:b/>
      <w:bCs/>
    </w:rPr>
  </w:style>
  <w:style w:type="paragraph" w:styleId="af2">
    <w:name w:val="Balloon Text"/>
    <w:basedOn w:val="a"/>
    <w:link w:val="af1"/>
    <w:uiPriority w:val="99"/>
    <w:unhideWhenUsed/>
    <w:pPr>
      <w:spacing w:after="0" w:line="240" w:lineRule="auto"/>
    </w:pPr>
    <w:rPr>
      <w:rFonts w:ascii="Segoe UI" w:hAnsi="Segoe UI" w:cs="Segoe UI"/>
      <w:sz w:val="18"/>
      <w:szCs w:val="18"/>
    </w:rPr>
  </w:style>
  <w:style w:type="paragraph" w:styleId="ab">
    <w:name w:val="Plain Text"/>
    <w:basedOn w:val="a"/>
    <w:link w:val="12"/>
    <w:qFormat/>
    <w:pPr>
      <w:widowControl w:val="0"/>
      <w:spacing w:after="0" w:line="240" w:lineRule="auto"/>
      <w:jc w:val="both"/>
    </w:pPr>
    <w:rPr>
      <w:rFonts w:ascii="宋体" w:eastAsia="宋体" w:hAnsi="Courier New" w:cs="Courier New"/>
      <w:kern w:val="2"/>
      <w:sz w:val="21"/>
      <w:szCs w:val="21"/>
      <w:lang w:val="en-US" w:eastAsia="zh-CN"/>
    </w:rPr>
  </w:style>
  <w:style w:type="paragraph" w:styleId="ae">
    <w:name w:val="annotation text"/>
    <w:basedOn w:val="a"/>
    <w:link w:val="a9"/>
    <w:uiPriority w:val="99"/>
    <w:unhideWhenUsed/>
    <w:qFormat/>
    <w:pPr>
      <w:spacing w:line="240" w:lineRule="auto"/>
    </w:pPr>
    <w:rPr>
      <w:sz w:val="20"/>
      <w:szCs w:val="20"/>
    </w:rPr>
  </w:style>
  <w:style w:type="paragraph" w:customStyle="1" w:styleId="details">
    <w:name w:val="details"/>
    <w:basedOn w:val="a"/>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BodyA">
    <w:name w:val="Body A"/>
    <w:qFormat/>
    <w:rPr>
      <w:rFonts w:eastAsia="Calibri" w:cs="Calibri"/>
      <w:color w:val="000000"/>
      <w:sz w:val="22"/>
      <w:szCs w:val="22"/>
      <w:lang w:eastAsia="en-AU"/>
    </w:rPr>
  </w:style>
  <w:style w:type="paragraph" w:customStyle="1" w:styleId="article-section-content">
    <w:name w:val="article-section-content"/>
    <w:basedOn w:val="a"/>
    <w:pPr>
      <w:spacing w:before="100" w:beforeAutospacing="1" w:after="100" w:afterAutospacing="1" w:line="240" w:lineRule="auto"/>
    </w:pPr>
    <w:rPr>
      <w:rFonts w:ascii="Times New Roman" w:eastAsia="Times New Roman" w:hAnsi="Times New Roman"/>
      <w:sz w:val="24"/>
      <w:szCs w:val="24"/>
      <w:lang w:val="fr-FR" w:eastAsia="fr-FR"/>
    </w:rPr>
  </w:style>
  <w:style w:type="paragraph" w:styleId="af7">
    <w:name w:val="List Paragraph"/>
    <w:basedOn w:val="a"/>
    <w:uiPriority w:val="34"/>
    <w:qFormat/>
    <w:pPr>
      <w:ind w:left="720"/>
      <w:contextualSpacing/>
    </w:pPr>
  </w:style>
  <w:style w:type="paragraph" w:customStyle="1" w:styleId="EndNoteBibliography">
    <w:name w:val="EndNote Bibliography"/>
    <w:basedOn w:val="a"/>
    <w:link w:val="EndNoteBibliographyChar"/>
    <w:qFormat/>
    <w:pPr>
      <w:adjustRightInd w:val="0"/>
      <w:snapToGrid w:val="0"/>
      <w:spacing w:after="200" w:line="240" w:lineRule="auto"/>
      <w:jc w:val="center"/>
    </w:pPr>
    <w:rPr>
      <w:rFonts w:ascii="Tahoma" w:eastAsia="微软雅黑" w:hAnsi="Tahoma" w:cs="Tahoma"/>
      <w:lang w:val="en-US" w:eastAsia="zh-CN"/>
    </w:rPr>
  </w:style>
  <w:style w:type="paragraph" w:customStyle="1" w:styleId="13">
    <w:name w:val="修订1"/>
    <w:uiPriority w:val="99"/>
    <w:semiHidden/>
    <w:qFormat/>
    <w:rPr>
      <w:sz w:val="22"/>
      <w:szCs w:val="22"/>
      <w:lang w:val="en-GB" w:eastAsia="en-US"/>
    </w:rPr>
  </w:style>
  <w:style w:type="paragraph" w:customStyle="1" w:styleId="Titre1">
    <w:name w:val="Titre1"/>
    <w:basedOn w:val="a"/>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p">
    <w:name w:val="p"/>
    <w:basedOn w:val="a"/>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14">
    <w:name w:val="标题1"/>
    <w:basedOn w:val="a"/>
    <w:pPr>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desc">
    <w:name w:val="desc"/>
    <w:basedOn w:val="a"/>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Titre2">
    <w:name w:val="Titre2"/>
    <w:basedOn w:val="a"/>
    <w:qFormat/>
    <w:pPr>
      <w:spacing w:before="100" w:beforeAutospacing="1" w:after="100" w:afterAutospacing="1" w:line="240" w:lineRule="auto"/>
    </w:pPr>
    <w:rPr>
      <w:rFonts w:ascii="Times New Roman" w:eastAsia="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4110</Words>
  <Characters>23433</Characters>
  <Application>Microsoft Office Word</Application>
  <DocSecurity>0</DocSecurity>
  <Lines>195</Lines>
  <Paragraphs>54</Paragraphs>
  <ScaleCrop>false</ScaleCrop>
  <Company/>
  <LinksUpToDate>false</LinksUpToDate>
  <CharactersWithSpaces>27489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ghiringhelli</dc:creator>
  <cp:keywords/>
  <cp:lastModifiedBy>吴 云晓健</cp:lastModifiedBy>
  <cp:revision>8</cp:revision>
  <dcterms:created xsi:type="dcterms:W3CDTF">2019-08-15T09:13:00Z</dcterms:created>
  <dcterms:modified xsi:type="dcterms:W3CDTF">2019-08-15T09:21:00Z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