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6F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bookmarkStart w:id="0" w:name="_Hlk10708186"/>
      <w:r w:rsidRPr="00DA2B25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Name of Journal: </w:t>
      </w:r>
      <w:r w:rsidR="00066558" w:rsidRPr="00DA2B25">
        <w:rPr>
          <w:rFonts w:ascii="Book Antiqua" w:hAnsi="Book Antiqua"/>
          <w:b/>
          <w:i/>
          <w:color w:val="000000"/>
          <w:sz w:val="24"/>
          <w:szCs w:val="24"/>
          <w:lang w:val="en-US"/>
        </w:rPr>
        <w:t>World Journal of Hematology</w:t>
      </w:r>
    </w:p>
    <w:p w:rsidR="00255A6F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val="en-US"/>
        </w:rPr>
      </w:pPr>
      <w:r w:rsidRPr="00DA2B25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Manuscript NO</w:t>
      </w:r>
      <w:r w:rsidRPr="00DA2B25">
        <w:rPr>
          <w:rFonts w:ascii="Book Antiqua" w:hAnsi="Book Antiqua" w:cs="Arial"/>
          <w:b/>
          <w:color w:val="000000"/>
          <w:sz w:val="24"/>
          <w:szCs w:val="24"/>
          <w:lang w:val="en-US"/>
        </w:rPr>
        <w:t>: 47557</w:t>
      </w:r>
    </w:p>
    <w:p w:rsidR="00255A6F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/>
          <w:sz w:val="24"/>
          <w:szCs w:val="24"/>
          <w:lang w:val="en-US"/>
        </w:rPr>
      </w:pPr>
      <w:r w:rsidRPr="00DA2B25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Manuscript Type: </w:t>
      </w:r>
      <w:r w:rsidRPr="00DA2B25">
        <w:rPr>
          <w:rFonts w:ascii="Book Antiqua" w:hAnsi="Book Antiqua"/>
          <w:b/>
          <w:caps/>
          <w:color w:val="000000"/>
          <w:sz w:val="24"/>
          <w:szCs w:val="24"/>
          <w:lang w:val="en-US"/>
        </w:rPr>
        <w:t>Minireviews</w:t>
      </w:r>
    </w:p>
    <w:p w:rsidR="00B9008F" w:rsidRPr="00DA2B25" w:rsidRDefault="00B9008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/>
          <w:sz w:val="24"/>
          <w:szCs w:val="24"/>
          <w:lang w:val="en-US"/>
        </w:rPr>
      </w:pPr>
    </w:p>
    <w:p w:rsidR="00F4668E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bookmarkStart w:id="1" w:name="_Hlk25583269"/>
      <w:bookmarkEnd w:id="0"/>
      <w:r w:rsidRPr="00DA2B25">
        <w:rPr>
          <w:rFonts w:ascii="Book Antiqua" w:hAnsi="Book Antiqua"/>
          <w:b/>
          <w:sz w:val="24"/>
          <w:szCs w:val="24"/>
          <w:lang w:val="en-US"/>
        </w:rPr>
        <w:t xml:space="preserve">Adult </w:t>
      </w:r>
      <w:r w:rsidR="00A16717" w:rsidRPr="00DA2B25">
        <w:rPr>
          <w:rFonts w:ascii="Book Antiqua" w:hAnsi="Book Antiqua"/>
          <w:b/>
          <w:sz w:val="24"/>
          <w:szCs w:val="24"/>
          <w:lang w:val="en-US"/>
        </w:rPr>
        <w:t>L</w:t>
      </w:r>
      <w:r w:rsidR="005050F2" w:rsidRPr="00DA2B25">
        <w:rPr>
          <w:rFonts w:ascii="Book Antiqua" w:hAnsi="Book Antiqua"/>
          <w:b/>
          <w:sz w:val="24"/>
          <w:szCs w:val="24"/>
          <w:lang w:val="en-US"/>
        </w:rPr>
        <w:t xml:space="preserve">angerhans cell </w:t>
      </w:r>
      <w:proofErr w:type="spellStart"/>
      <w:r w:rsidR="005050F2" w:rsidRPr="00DA2B25">
        <w:rPr>
          <w:rFonts w:ascii="Book Antiqua" w:hAnsi="Book Antiqua"/>
          <w:b/>
          <w:sz w:val="24"/>
          <w:szCs w:val="24"/>
          <w:lang w:val="en-US"/>
        </w:rPr>
        <w:t>hi</w:t>
      </w:r>
      <w:r w:rsidRPr="00DA2B25">
        <w:rPr>
          <w:rFonts w:ascii="Book Antiqua" w:hAnsi="Book Antiqua"/>
          <w:b/>
          <w:sz w:val="24"/>
          <w:szCs w:val="24"/>
          <w:lang w:val="en-US"/>
        </w:rPr>
        <w:t>stiocytosis</w:t>
      </w:r>
      <w:proofErr w:type="spellEnd"/>
      <w:r w:rsidRPr="00DA2B25">
        <w:rPr>
          <w:rFonts w:ascii="Book Antiqua" w:hAnsi="Book Antiqua"/>
          <w:b/>
          <w:sz w:val="24"/>
          <w:szCs w:val="24"/>
          <w:lang w:val="en-US"/>
        </w:rPr>
        <w:t xml:space="preserve"> and immunomodulatory drugs: </w:t>
      </w:r>
      <w:r w:rsidR="005050F2" w:rsidRPr="00DA2B25">
        <w:rPr>
          <w:rFonts w:ascii="Book Antiqua" w:hAnsi="Book Antiqua"/>
          <w:b/>
          <w:sz w:val="24"/>
          <w:szCs w:val="24"/>
          <w:lang w:val="en-US"/>
        </w:rPr>
        <w:t>R</w:t>
      </w:r>
      <w:r w:rsidRPr="00DA2B25">
        <w:rPr>
          <w:rFonts w:ascii="Book Antiqua" w:hAnsi="Book Antiqua"/>
          <w:b/>
          <w:sz w:val="24"/>
          <w:szCs w:val="24"/>
          <w:lang w:val="en-US"/>
        </w:rPr>
        <w:t xml:space="preserve">eview and analysis of </w:t>
      </w:r>
      <w:r w:rsidR="0025401E" w:rsidRPr="00DA2B25">
        <w:rPr>
          <w:rFonts w:ascii="Book Antiqua" w:hAnsi="Book Antiqua"/>
          <w:b/>
          <w:sz w:val="24"/>
          <w:szCs w:val="24"/>
          <w:lang w:val="en-US"/>
        </w:rPr>
        <w:t>thirty-four</w:t>
      </w:r>
      <w:r w:rsidRPr="00DA2B25">
        <w:rPr>
          <w:rFonts w:ascii="Book Antiqua" w:hAnsi="Book Antiqua"/>
          <w:b/>
          <w:sz w:val="24"/>
          <w:szCs w:val="24"/>
          <w:lang w:val="en-US"/>
        </w:rPr>
        <w:t xml:space="preserve"> case reports</w:t>
      </w:r>
    </w:p>
    <w:bookmarkEnd w:id="1"/>
    <w:p w:rsidR="006A343F" w:rsidRPr="00DA2B25" w:rsidRDefault="006A343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208FD" w:rsidRPr="00DA2B25" w:rsidRDefault="008036ED" w:rsidP="00B9008F">
      <w:pPr>
        <w:pStyle w:val="BodyA"/>
        <w:adjustRightInd w:val="0"/>
        <w:snapToGrid w:val="0"/>
        <w:spacing w:line="360" w:lineRule="auto"/>
        <w:jc w:val="both"/>
        <w:rPr>
          <w:rFonts w:ascii="Book Antiqua" w:eastAsia="宋体" w:hAnsi="Book Antiqua" w:cs="Book Antiqua"/>
          <w:bCs/>
          <w:color w:val="auto"/>
          <w:sz w:val="24"/>
          <w:szCs w:val="24"/>
          <w:lang w:eastAsia="zh-CN"/>
        </w:rPr>
      </w:pPr>
      <w:bookmarkStart w:id="2" w:name="_Hlk10470151"/>
      <w:r w:rsidRPr="00DA2B25">
        <w:rPr>
          <w:rFonts w:ascii="Book Antiqua" w:hAnsi="Book Antiqua"/>
          <w:sz w:val="24"/>
          <w:szCs w:val="24"/>
        </w:rPr>
        <w:t>Mauro</w:t>
      </w:r>
      <w:r w:rsidRPr="00DA2B25">
        <w:rPr>
          <w:rFonts w:ascii="Book Antiqua" w:eastAsia="Times New Roman" w:hAnsi="Book Antiqua" w:cs="Times New Roman"/>
          <w:sz w:val="24"/>
          <w:szCs w:val="24"/>
        </w:rPr>
        <w:t xml:space="preserve"> E </w:t>
      </w:r>
      <w:r w:rsidRPr="00DA2B25">
        <w:rPr>
          <w:rFonts w:ascii="Book Antiqua" w:eastAsia="等线" w:hAnsi="Book Antiqua" w:cs="Times New Roman"/>
          <w:i/>
          <w:iCs/>
          <w:sz w:val="24"/>
          <w:szCs w:val="24"/>
          <w:lang w:eastAsia="zh-CN"/>
        </w:rPr>
        <w:t>et</w:t>
      </w:r>
      <w:r w:rsidRPr="00DA2B25">
        <w:rPr>
          <w:rFonts w:ascii="Book Antiqua" w:eastAsia="Times New Roman" w:hAnsi="Book Antiqua" w:cs="Times New Roman"/>
          <w:i/>
          <w:iCs/>
          <w:sz w:val="24"/>
          <w:szCs w:val="24"/>
        </w:rPr>
        <w:t xml:space="preserve"> al.</w:t>
      </w:r>
      <w:r w:rsidRPr="00DA2B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bookmarkStart w:id="3" w:name="OLE_LINK7"/>
      <w:bookmarkStart w:id="4" w:name="OLE_LINK8"/>
      <w:r w:rsidR="000E6EBF" w:rsidRPr="00DA2B25">
        <w:rPr>
          <w:rFonts w:ascii="Book Antiqua" w:eastAsia="Times New Roman" w:hAnsi="Book Antiqua" w:cs="Times New Roman"/>
          <w:sz w:val="24"/>
          <w:szCs w:val="24"/>
        </w:rPr>
        <w:t xml:space="preserve">Immunomodulatory drugs in </w:t>
      </w:r>
      <w:r w:rsidR="00E70346" w:rsidRPr="00DA2B25">
        <w:rPr>
          <w:rFonts w:ascii="Book Antiqua" w:eastAsia="Times New Roman" w:hAnsi="Book Antiqua" w:cs="Times New Roman"/>
          <w:sz w:val="24"/>
          <w:szCs w:val="24"/>
        </w:rPr>
        <w:t>LCH</w:t>
      </w:r>
      <w:bookmarkEnd w:id="3"/>
      <w:bookmarkEnd w:id="4"/>
    </w:p>
    <w:bookmarkEnd w:id="2"/>
    <w:p w:rsidR="00311ED7" w:rsidRPr="00DA2B25" w:rsidRDefault="00311ED7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732EE5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A2B25">
        <w:rPr>
          <w:rFonts w:ascii="Book Antiqua" w:hAnsi="Book Antiqua"/>
          <w:sz w:val="24"/>
          <w:szCs w:val="24"/>
        </w:rPr>
        <w:t>Endri Mauro, Piero Maria Stefani, Filippo Gherlinzoni</w:t>
      </w:r>
    </w:p>
    <w:p w:rsidR="006A343F" w:rsidRPr="00DA2B25" w:rsidRDefault="006A343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4668E" w:rsidRPr="00DA2B25" w:rsidRDefault="008036E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A2B25">
        <w:rPr>
          <w:rFonts w:ascii="Book Antiqua" w:hAnsi="Book Antiqua"/>
          <w:b/>
          <w:bCs/>
          <w:sz w:val="24"/>
          <w:szCs w:val="24"/>
        </w:rPr>
        <w:t>Endri Mauro, Piero Maria Stefani, Filippo Gherlinzoni,</w:t>
      </w:r>
      <w:r w:rsidRPr="00DA2B25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</w:rPr>
        <w:t>Hematology Unit, Ca’Foncello Hospital, Treviso 31100</w:t>
      </w:r>
      <w:r w:rsidRPr="00DA2B25">
        <w:rPr>
          <w:rFonts w:ascii="Book Antiqua" w:hAnsi="Book Antiqua"/>
          <w:sz w:val="24"/>
          <w:szCs w:val="24"/>
        </w:rPr>
        <w:t>,</w:t>
      </w:r>
      <w:r w:rsidR="000E6EBF" w:rsidRPr="00DA2B25">
        <w:rPr>
          <w:rFonts w:ascii="Book Antiqua" w:hAnsi="Book Antiqua"/>
          <w:sz w:val="24"/>
          <w:szCs w:val="24"/>
        </w:rPr>
        <w:t xml:space="preserve"> Italy</w:t>
      </w:r>
    </w:p>
    <w:p w:rsidR="006A343F" w:rsidRPr="00DA2B25" w:rsidRDefault="006A343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0F03B5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bookmarkStart w:id="5" w:name="_Hlk10469900"/>
      <w:r w:rsidRPr="00DA2B25">
        <w:rPr>
          <w:rFonts w:ascii="Book Antiqua" w:hAnsi="Book Antiqua"/>
          <w:b/>
          <w:color w:val="222222"/>
          <w:sz w:val="24"/>
          <w:szCs w:val="24"/>
          <w:lang w:eastAsia="es-HN"/>
        </w:rPr>
        <w:t xml:space="preserve">ORCID number: </w:t>
      </w:r>
      <w:r w:rsidR="00D81B5F" w:rsidRPr="00DA2B25">
        <w:rPr>
          <w:rFonts w:ascii="Book Antiqua" w:hAnsi="Book Antiqua"/>
          <w:sz w:val="24"/>
          <w:szCs w:val="24"/>
          <w:lang w:eastAsia="es-HN"/>
        </w:rPr>
        <w:t xml:space="preserve">Endri Mauro </w:t>
      </w:r>
      <w:r w:rsidR="00BF3140" w:rsidRPr="00DA2B25">
        <w:rPr>
          <w:rFonts w:ascii="Book Antiqua" w:hAnsi="Book Antiqua"/>
          <w:sz w:val="24"/>
          <w:szCs w:val="24"/>
          <w:lang w:eastAsia="es-HN"/>
        </w:rPr>
        <w:t>(</w:t>
      </w:r>
      <w:r w:rsidR="00D81B5F" w:rsidRPr="00DA2B25">
        <w:rPr>
          <w:rFonts w:ascii="Book Antiqua" w:hAnsi="Book Antiqua"/>
          <w:sz w:val="24"/>
          <w:szCs w:val="24"/>
        </w:rPr>
        <w:t>0000-0002-4521-0998</w:t>
      </w:r>
      <w:r w:rsidR="00BF3140" w:rsidRPr="00DA2B25">
        <w:rPr>
          <w:rFonts w:ascii="Book Antiqua" w:hAnsi="Book Antiqua"/>
          <w:sz w:val="24"/>
          <w:szCs w:val="24"/>
          <w:lang w:eastAsia="es-HN"/>
        </w:rPr>
        <w:t>)</w:t>
      </w:r>
      <w:r w:rsidR="00D81B5F" w:rsidRPr="00DA2B25">
        <w:rPr>
          <w:rFonts w:ascii="Book Antiqua" w:hAnsi="Book Antiqua"/>
          <w:sz w:val="24"/>
          <w:szCs w:val="24"/>
        </w:rPr>
        <w:t>;</w:t>
      </w:r>
      <w:r w:rsidR="001F496F" w:rsidRPr="00DA2B25">
        <w:rPr>
          <w:rFonts w:ascii="Book Antiqua" w:hAnsi="Book Antiqua"/>
          <w:sz w:val="24"/>
          <w:szCs w:val="24"/>
        </w:rPr>
        <w:t xml:space="preserve"> </w:t>
      </w:r>
      <w:r w:rsidR="00D81B5F" w:rsidRPr="00DA2B25">
        <w:rPr>
          <w:rFonts w:ascii="Book Antiqua" w:hAnsi="Book Antiqua"/>
          <w:sz w:val="24"/>
          <w:szCs w:val="24"/>
        </w:rPr>
        <w:t>Piero Maria Stefani</w:t>
      </w:r>
      <w:r w:rsidR="001F496F" w:rsidRPr="00DA2B25">
        <w:rPr>
          <w:rFonts w:ascii="Book Antiqua" w:hAnsi="Book Antiqua"/>
          <w:sz w:val="24"/>
          <w:szCs w:val="24"/>
        </w:rPr>
        <w:t xml:space="preserve"> (0000-0003-3764-2165)</w:t>
      </w:r>
      <w:r w:rsidR="00D81B5F" w:rsidRPr="00DA2B25">
        <w:rPr>
          <w:rFonts w:ascii="Book Antiqua" w:hAnsi="Book Antiqua"/>
          <w:sz w:val="24"/>
          <w:szCs w:val="24"/>
        </w:rPr>
        <w:t>;</w:t>
      </w:r>
      <w:r w:rsidR="001F496F" w:rsidRPr="00DA2B25">
        <w:rPr>
          <w:rFonts w:ascii="Book Antiqua" w:hAnsi="Book Antiqua"/>
          <w:sz w:val="24"/>
          <w:szCs w:val="24"/>
        </w:rPr>
        <w:t xml:space="preserve"> Filippo Gherlinzoni (0000-0002-9136-2108).</w:t>
      </w:r>
    </w:p>
    <w:p w:rsidR="00311ED7" w:rsidRPr="00DA2B25" w:rsidRDefault="00311ED7" w:rsidP="00B900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color w:val="222222"/>
          <w:sz w:val="24"/>
          <w:szCs w:val="24"/>
          <w:lang w:val="it-IT" w:eastAsia="es-HN"/>
        </w:rPr>
      </w:pPr>
    </w:p>
    <w:bookmarkEnd w:id="5"/>
    <w:p w:rsidR="00311ED7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Author contributions:</w:t>
      </w:r>
      <w:r w:rsidR="000208FD" w:rsidRPr="00DA2B25">
        <w:rPr>
          <w:rFonts w:ascii="Book Antiqua" w:hAnsi="Book Antiqua"/>
          <w:sz w:val="24"/>
          <w:szCs w:val="24"/>
          <w:lang w:val="en-US"/>
        </w:rPr>
        <w:t xml:space="preserve"> Mauro </w:t>
      </w:r>
      <w:r w:rsidR="00D81B5F" w:rsidRPr="00DA2B25">
        <w:rPr>
          <w:rFonts w:ascii="Book Antiqua" w:hAnsi="Book Antiqua"/>
          <w:sz w:val="24"/>
          <w:szCs w:val="24"/>
          <w:lang w:val="en-US"/>
        </w:rPr>
        <w:t xml:space="preserve">E </w:t>
      </w:r>
      <w:r w:rsidR="000208FD" w:rsidRPr="00DA2B25">
        <w:rPr>
          <w:rFonts w:ascii="Book Antiqua" w:hAnsi="Book Antiqua"/>
          <w:sz w:val="24"/>
          <w:szCs w:val="24"/>
          <w:lang w:val="en-US"/>
        </w:rPr>
        <w:t>designed the paper, performed the research and wrote the manuscript; Stefani</w:t>
      </w:r>
      <w:r w:rsidR="00D81B5F" w:rsidRPr="00DA2B25">
        <w:rPr>
          <w:rFonts w:ascii="Book Antiqua" w:hAnsi="Book Antiqua"/>
          <w:sz w:val="24"/>
          <w:szCs w:val="24"/>
          <w:lang w:val="en-US"/>
        </w:rPr>
        <w:t xml:space="preserve"> PM</w:t>
      </w:r>
      <w:r w:rsidR="000208FD" w:rsidRPr="00DA2B25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0208FD" w:rsidRPr="00DA2B25">
        <w:rPr>
          <w:rFonts w:ascii="Book Antiqua" w:hAnsi="Book Antiqua"/>
          <w:sz w:val="24"/>
          <w:szCs w:val="24"/>
          <w:lang w:val="en-US"/>
        </w:rPr>
        <w:t>Gherlinzoni</w:t>
      </w:r>
      <w:proofErr w:type="spellEnd"/>
      <w:r w:rsidR="00D81B5F" w:rsidRPr="00DA2B25">
        <w:rPr>
          <w:rFonts w:ascii="Book Antiqua" w:hAnsi="Book Antiqua"/>
          <w:sz w:val="24"/>
          <w:szCs w:val="24"/>
          <w:lang w:val="en-US"/>
        </w:rPr>
        <w:t xml:space="preserve"> F</w:t>
      </w:r>
      <w:r w:rsidR="000208FD" w:rsidRPr="00DA2B25">
        <w:rPr>
          <w:rFonts w:ascii="Book Antiqua" w:hAnsi="Book Antiqua"/>
          <w:sz w:val="24"/>
          <w:szCs w:val="24"/>
          <w:lang w:val="en-US"/>
        </w:rPr>
        <w:t xml:space="preserve"> analyzed the data; all authors contributed to this manuscript.</w:t>
      </w:r>
    </w:p>
    <w:p w:rsidR="000208FD" w:rsidRPr="008A5683" w:rsidRDefault="000208F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311ED7" w:rsidRPr="00DA2B25" w:rsidRDefault="000208FD" w:rsidP="00B9008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val="en-US"/>
        </w:rPr>
      </w:pPr>
      <w:bookmarkStart w:id="6" w:name="_Hlk10708405"/>
      <w:r w:rsidRPr="00DA2B25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val="en-US"/>
        </w:rPr>
        <w:t xml:space="preserve">Conflict-of-interest statement: </w:t>
      </w:r>
      <w:r w:rsidRPr="00DA2B25">
        <w:rPr>
          <w:rFonts w:ascii="Book Antiqua" w:hAnsi="Book Antiqua" w:cs="TimesNewRomanPS-BoldItalicMT"/>
          <w:bCs/>
          <w:iCs/>
          <w:color w:val="000000"/>
          <w:sz w:val="24"/>
          <w:szCs w:val="24"/>
          <w:lang w:val="en-US"/>
        </w:rPr>
        <w:t>Authors declare no conflict</w:t>
      </w:r>
      <w:r w:rsidR="007B10DD" w:rsidRPr="00DA2B25">
        <w:rPr>
          <w:rFonts w:ascii="Book Antiqua" w:hAnsi="Book Antiqua" w:cs="TimesNewRomanPS-BoldItalicMT"/>
          <w:bCs/>
          <w:iCs/>
          <w:color w:val="000000"/>
          <w:sz w:val="24"/>
          <w:szCs w:val="24"/>
          <w:lang w:val="en-US"/>
        </w:rPr>
        <w:t>s</w:t>
      </w:r>
      <w:r w:rsidRPr="00DA2B25">
        <w:rPr>
          <w:rFonts w:ascii="Book Antiqua" w:hAnsi="Book Antiqua" w:cs="TimesNewRomanPS-BoldItalicMT"/>
          <w:bCs/>
          <w:iCs/>
          <w:color w:val="000000"/>
          <w:sz w:val="24"/>
          <w:szCs w:val="24"/>
          <w:lang w:val="en-US"/>
        </w:rPr>
        <w:t xml:space="preserve"> of interest for this article</w:t>
      </w:r>
      <w:r w:rsidRPr="00DA2B25">
        <w:rPr>
          <w:rFonts w:ascii="Book Antiqua" w:hAnsi="Book Antiqua"/>
          <w:color w:val="333333"/>
          <w:sz w:val="24"/>
          <w:szCs w:val="24"/>
          <w:shd w:val="clear" w:color="auto" w:fill="FFFFFF"/>
          <w:lang w:val="en-US"/>
        </w:rPr>
        <w:t>.</w:t>
      </w:r>
    </w:p>
    <w:bookmarkEnd w:id="6"/>
    <w:p w:rsidR="00311ED7" w:rsidRPr="00DA2B25" w:rsidRDefault="00311ED7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81B5F" w:rsidRPr="00DA2B25" w:rsidRDefault="00D81B5F" w:rsidP="00D81B5F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 w:eastAsia="zh-CN"/>
        </w:rPr>
      </w:pPr>
      <w:bookmarkStart w:id="7" w:name="OLE_LINK25"/>
      <w:bookmarkStart w:id="8" w:name="OLE_LINK26"/>
      <w:bookmarkStart w:id="9" w:name="OLE_LINK375"/>
      <w:bookmarkStart w:id="10" w:name="OLE_LINK32"/>
      <w:bookmarkStart w:id="11" w:name="OLE_LINK381"/>
      <w:bookmarkStart w:id="12" w:name="OLE_LINK413"/>
      <w:bookmarkStart w:id="13" w:name="OLE_LINK61"/>
      <w:bookmarkStart w:id="14" w:name="OLE_LINK615"/>
      <w:bookmarkStart w:id="15" w:name="OLE_LINK69"/>
      <w:bookmarkStart w:id="16" w:name="OLE_LINK140"/>
      <w:bookmarkStart w:id="17" w:name="OLE_LINK29"/>
      <w:bookmarkStart w:id="18" w:name="OLE_LINK17"/>
      <w:bookmarkStart w:id="19" w:name="OLE_LINK36"/>
      <w:r w:rsidRPr="00DA2B25">
        <w:rPr>
          <w:rFonts w:ascii="Book Antiqua" w:eastAsia="宋体" w:hAnsi="Book Antiqua"/>
          <w:b/>
          <w:color w:val="000000"/>
          <w:sz w:val="24"/>
          <w:szCs w:val="24"/>
          <w:lang w:val="en-US" w:eastAsia="zh-CN"/>
        </w:rPr>
        <w:t xml:space="preserve">Open-Access: </w:t>
      </w:r>
      <w:r w:rsidRPr="00DA2B25">
        <w:rPr>
          <w:rFonts w:ascii="Book Antiqua" w:eastAsia="宋体" w:hAnsi="Book Antiqua"/>
          <w:color w:val="000000"/>
          <w:sz w:val="24"/>
          <w:szCs w:val="24"/>
          <w:lang w:val="en-US" w:eastAsia="zh-CN"/>
        </w:rPr>
        <w:t xml:space="preserve">This is an </w:t>
      </w:r>
      <w:r w:rsidRPr="00DA2B2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open-access article that was </w:t>
      </w:r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selected by an in-house editor and fully peer-reviewed by external reviewers. It is </w:t>
      </w:r>
      <w:r w:rsidRPr="00DA2B25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distributed in accordance with </w:t>
      </w:r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DA2B25">
        <w:rPr>
          <w:rFonts w:ascii="Book Antiqua" w:eastAsia="宋体" w:hAnsi="Book Antiqua"/>
          <w:color w:val="0000FF"/>
          <w:sz w:val="24"/>
          <w:szCs w:val="24"/>
          <w:u w:val="single"/>
          <w:lang w:val="en-US" w:eastAsia="zh-CN"/>
        </w:rPr>
        <w:t>http://creativecommons.org/licenses/by-nc/4.0/</w:t>
      </w:r>
    </w:p>
    <w:p w:rsidR="00D81B5F" w:rsidRPr="00DA2B25" w:rsidRDefault="00D81B5F" w:rsidP="00D81B5F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 w:eastAsia="zh-CN"/>
        </w:rPr>
      </w:pPr>
    </w:p>
    <w:p w:rsidR="00D81B5F" w:rsidRPr="00DA2B25" w:rsidRDefault="00D81B5F" w:rsidP="00D81B5F">
      <w:pPr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pl-PL"/>
        </w:rPr>
      </w:pPr>
      <w:bookmarkStart w:id="20" w:name="OLE_LINK11"/>
      <w:r w:rsidRPr="00DA2B25">
        <w:rPr>
          <w:rFonts w:ascii="Book Antiqua" w:eastAsia="宋体" w:hAnsi="Book Antiqua"/>
          <w:b/>
          <w:bCs/>
          <w:sz w:val="24"/>
          <w:szCs w:val="24"/>
          <w:lang w:val="en-US" w:eastAsia="pl-PL"/>
        </w:rPr>
        <w:t>Manuscript source:</w:t>
      </w:r>
      <w:r w:rsidRPr="00DA2B25">
        <w:rPr>
          <w:rFonts w:ascii="Book Antiqua" w:eastAsia="宋体" w:hAnsi="Book Antiqua"/>
          <w:b/>
          <w:bCs/>
          <w:sz w:val="24"/>
          <w:szCs w:val="24"/>
          <w:lang w:val="en-US" w:eastAsia="zh-CN"/>
        </w:rPr>
        <w:t xml:space="preserve"> </w:t>
      </w:r>
      <w:r w:rsidRPr="00DA2B25">
        <w:rPr>
          <w:rFonts w:ascii="Book Antiqua" w:eastAsia="宋体" w:hAnsi="Book Antiqua"/>
          <w:bCs/>
          <w:sz w:val="24"/>
          <w:szCs w:val="24"/>
          <w:lang w:val="en-US" w:eastAsia="pl-PL"/>
        </w:rPr>
        <w:t>Unsolicited manuscript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r w:rsidRPr="00DA2B25">
        <w:rPr>
          <w:rFonts w:ascii="Book Antiqua" w:eastAsia="宋体" w:hAnsi="Book Antiqua"/>
          <w:bCs/>
          <w:sz w:val="24"/>
          <w:szCs w:val="24"/>
          <w:lang w:val="en-US" w:eastAsia="pl-PL"/>
        </w:rPr>
        <w:t xml:space="preserve"> </w:t>
      </w:r>
      <w:bookmarkEnd w:id="17"/>
      <w:bookmarkEnd w:id="18"/>
    </w:p>
    <w:bookmarkEnd w:id="19"/>
    <w:p w:rsidR="00D81B5F" w:rsidRPr="00DA2B25" w:rsidRDefault="00D81B5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81B5F" w:rsidRPr="00DA2B25" w:rsidRDefault="00D81B5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6A343F" w:rsidRPr="00DA2B25" w:rsidRDefault="00311ED7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 xml:space="preserve">Corresponding author: </w:t>
      </w:r>
      <w:proofErr w:type="spellStart"/>
      <w:r w:rsidR="00832C44" w:rsidRPr="00DA2B25">
        <w:rPr>
          <w:rFonts w:ascii="Book Antiqua" w:hAnsi="Book Antiqua"/>
          <w:b/>
          <w:bCs/>
          <w:sz w:val="24"/>
          <w:szCs w:val="24"/>
          <w:lang w:val="en-US"/>
        </w:rPr>
        <w:t>Endri</w:t>
      </w:r>
      <w:proofErr w:type="spellEnd"/>
      <w:r w:rsidR="00832C44" w:rsidRPr="00DA2B25">
        <w:rPr>
          <w:rFonts w:ascii="Book Antiqua" w:hAnsi="Book Antiqua"/>
          <w:b/>
          <w:bCs/>
          <w:sz w:val="24"/>
          <w:szCs w:val="24"/>
          <w:lang w:val="en-US"/>
        </w:rPr>
        <w:t xml:space="preserve"> Mauro, </w:t>
      </w:r>
      <w:r w:rsidR="00D81B5F" w:rsidRPr="00DA2B25">
        <w:rPr>
          <w:rFonts w:ascii="Book Antiqua" w:hAnsi="Book Antiqua"/>
          <w:b/>
          <w:bCs/>
          <w:sz w:val="24"/>
          <w:szCs w:val="24"/>
          <w:lang w:val="en-US"/>
        </w:rPr>
        <w:t>PhD, Doctor,</w:t>
      </w:r>
      <w:r w:rsidR="006803B4" w:rsidRPr="00DA2B25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832C44" w:rsidRPr="00DA2B25">
        <w:rPr>
          <w:rFonts w:ascii="Book Antiqua" w:hAnsi="Book Antiqua"/>
          <w:sz w:val="24"/>
          <w:szCs w:val="24"/>
          <w:lang w:val="en-US"/>
        </w:rPr>
        <w:t xml:space="preserve">Hematology Unit, </w:t>
      </w:r>
      <w:proofErr w:type="spellStart"/>
      <w:r w:rsidR="00832C44" w:rsidRPr="00DA2B25">
        <w:rPr>
          <w:rFonts w:ascii="Book Antiqua" w:hAnsi="Book Antiqua"/>
          <w:sz w:val="24"/>
          <w:szCs w:val="24"/>
          <w:lang w:val="en-US"/>
        </w:rPr>
        <w:t>Ca’Foncello</w:t>
      </w:r>
      <w:proofErr w:type="spellEnd"/>
      <w:r w:rsidR="00832C44" w:rsidRPr="00DA2B25">
        <w:rPr>
          <w:rFonts w:ascii="Book Antiqua" w:hAnsi="Book Antiqua"/>
          <w:sz w:val="24"/>
          <w:szCs w:val="24"/>
          <w:lang w:val="en-US"/>
        </w:rPr>
        <w:t xml:space="preserve"> Hospital,</w:t>
      </w:r>
      <w:r w:rsidR="00D81B5F" w:rsidRPr="00DA2B25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</w:rPr>
        <w:t>Piazzale Ospedale 1, Treviso 31100</w:t>
      </w:r>
      <w:r w:rsidR="00D81B5F" w:rsidRPr="00DA2B25">
        <w:rPr>
          <w:rFonts w:ascii="Book Antiqua" w:hAnsi="Book Antiqua"/>
          <w:sz w:val="24"/>
          <w:szCs w:val="24"/>
        </w:rPr>
        <w:t>,</w:t>
      </w:r>
      <w:r w:rsidR="000E6EBF" w:rsidRPr="00DA2B25">
        <w:rPr>
          <w:rFonts w:ascii="Book Antiqua" w:hAnsi="Book Antiqua"/>
          <w:sz w:val="24"/>
          <w:szCs w:val="24"/>
        </w:rPr>
        <w:t xml:space="preserve"> Italy</w:t>
      </w:r>
      <w:r w:rsidR="007B10DD" w:rsidRPr="00DA2B25">
        <w:rPr>
          <w:rFonts w:ascii="Book Antiqua" w:hAnsi="Book Antiqua"/>
          <w:sz w:val="24"/>
          <w:szCs w:val="24"/>
        </w:rPr>
        <w:t>.</w:t>
      </w:r>
      <w:r w:rsidR="00D81B5F" w:rsidRPr="00DA2B25">
        <w:rPr>
          <w:rFonts w:ascii="Book Antiqua" w:hAnsi="Book Antiqua"/>
          <w:sz w:val="24"/>
          <w:szCs w:val="24"/>
        </w:rPr>
        <w:t xml:space="preserve"> </w:t>
      </w:r>
      <w:r w:rsidR="00D81B5F" w:rsidRPr="00DA2B25">
        <w:rPr>
          <w:rFonts w:ascii="Book Antiqua" w:hAnsi="Book Antiqua"/>
          <w:sz w:val="24"/>
          <w:szCs w:val="24"/>
          <w:lang w:val="en-US"/>
        </w:rPr>
        <w:t>endri76@libero.it</w:t>
      </w:r>
    </w:p>
    <w:p w:rsidR="006A343F" w:rsidRPr="00DA2B25" w:rsidRDefault="00D81B5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A2B25">
        <w:rPr>
          <w:rFonts w:ascii="Book Antiqua" w:hAnsi="Book Antiqua"/>
          <w:b/>
          <w:bCs/>
          <w:sz w:val="24"/>
          <w:szCs w:val="24"/>
        </w:rPr>
        <w:t>Telep</w:t>
      </w:r>
      <w:r w:rsidR="000E6EBF" w:rsidRPr="00DA2B25">
        <w:rPr>
          <w:rFonts w:ascii="Book Antiqua" w:hAnsi="Book Antiqua"/>
          <w:b/>
          <w:bCs/>
          <w:sz w:val="24"/>
          <w:szCs w:val="24"/>
        </w:rPr>
        <w:t>hone</w:t>
      </w:r>
      <w:r w:rsidRPr="00DA2B25">
        <w:rPr>
          <w:rFonts w:ascii="Book Antiqua" w:hAnsi="Book Antiqua"/>
          <w:b/>
          <w:bCs/>
          <w:sz w:val="24"/>
          <w:szCs w:val="24"/>
        </w:rPr>
        <w:t>:</w:t>
      </w:r>
      <w:r w:rsidR="000E6EBF" w:rsidRPr="00DA2B25">
        <w:rPr>
          <w:rFonts w:ascii="Book Antiqua" w:hAnsi="Book Antiqua"/>
          <w:sz w:val="24"/>
          <w:szCs w:val="24"/>
        </w:rPr>
        <w:t xml:space="preserve"> +39-42</w:t>
      </w:r>
      <w:r w:rsidRPr="00DA2B25">
        <w:rPr>
          <w:rFonts w:ascii="Book Antiqua" w:hAnsi="Book Antiqua"/>
          <w:sz w:val="24"/>
          <w:szCs w:val="24"/>
        </w:rPr>
        <w:t>-</w:t>
      </w:r>
      <w:r w:rsidR="000E6EBF" w:rsidRPr="00DA2B25">
        <w:rPr>
          <w:rFonts w:ascii="Book Antiqua" w:hAnsi="Book Antiqua"/>
          <w:sz w:val="24"/>
          <w:szCs w:val="24"/>
        </w:rPr>
        <w:t>2322609</w:t>
      </w:r>
    </w:p>
    <w:p w:rsidR="006A343F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b/>
          <w:bCs/>
          <w:sz w:val="24"/>
          <w:szCs w:val="24"/>
          <w:lang w:val="en-US"/>
        </w:rPr>
        <w:t>F</w:t>
      </w:r>
      <w:r w:rsidR="00D81B5F" w:rsidRPr="00DA2B25">
        <w:rPr>
          <w:rFonts w:ascii="Book Antiqua" w:hAnsi="Book Antiqua"/>
          <w:b/>
          <w:bCs/>
          <w:sz w:val="24"/>
          <w:szCs w:val="24"/>
          <w:lang w:val="en-US"/>
        </w:rPr>
        <w:t>ax: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+39-42</w:t>
      </w:r>
      <w:r w:rsidR="00D81B5F" w:rsidRPr="00DA2B25">
        <w:rPr>
          <w:rFonts w:ascii="Book Antiqua" w:hAnsi="Book Antiqua"/>
          <w:sz w:val="24"/>
          <w:szCs w:val="24"/>
          <w:lang w:val="en-US"/>
        </w:rPr>
        <w:t>-</w:t>
      </w:r>
      <w:r w:rsidRPr="00DA2B25">
        <w:rPr>
          <w:rFonts w:ascii="Book Antiqua" w:hAnsi="Book Antiqua"/>
          <w:sz w:val="24"/>
          <w:szCs w:val="24"/>
          <w:lang w:val="en-US"/>
        </w:rPr>
        <w:t>2322542</w:t>
      </w:r>
    </w:p>
    <w:p w:rsidR="00355AC4" w:rsidRPr="00DA2B25" w:rsidRDefault="00355AC4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D81B5F" w:rsidRPr="00DA2B25" w:rsidRDefault="00D81B5F" w:rsidP="00D81B5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US" w:eastAsia="zh-CN"/>
        </w:rPr>
      </w:pPr>
      <w:bookmarkStart w:id="21" w:name="OLE_LINK14"/>
      <w:bookmarkStart w:id="22" w:name="OLE_LINK16"/>
      <w:bookmarkStart w:id="23" w:name="OLE_LINK51"/>
      <w:bookmarkStart w:id="24" w:name="OLE_LINK27"/>
      <w:bookmarkStart w:id="25" w:name="OLE_LINK382"/>
      <w:bookmarkStart w:id="26" w:name="OLE_LINK30"/>
      <w:bookmarkStart w:id="27" w:name="OLE_LINK376"/>
      <w:bookmarkStart w:id="28" w:name="OLE_LINK35"/>
      <w:bookmarkStart w:id="29" w:name="OLE_LINK64"/>
      <w:bookmarkStart w:id="30" w:name="OLE_LINK616"/>
      <w:bookmarkStart w:id="31" w:name="OLE_LINK141"/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 xml:space="preserve">Received: </w:t>
      </w:r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>Ma</w:t>
      </w:r>
      <w:r w:rsidR="00AA477A" w:rsidRPr="00DA2B25">
        <w:rPr>
          <w:rFonts w:ascii="Book Antiqua" w:eastAsia="宋体" w:hAnsi="Book Antiqua"/>
          <w:sz w:val="24"/>
          <w:szCs w:val="24"/>
          <w:lang w:val="en-US" w:eastAsia="zh-CN"/>
        </w:rPr>
        <w:t>rch</w:t>
      </w:r>
      <w:r w:rsidRPr="00DA2B25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AA477A" w:rsidRPr="00DA2B25">
        <w:rPr>
          <w:rFonts w:ascii="Book Antiqua" w:hAnsi="Book Antiqua"/>
          <w:sz w:val="24"/>
          <w:szCs w:val="24"/>
          <w:lang w:val="en-US" w:eastAsia="zh-CN"/>
        </w:rPr>
        <w:t>18</w:t>
      </w:r>
      <w:r w:rsidRPr="00DA2B25">
        <w:rPr>
          <w:rFonts w:ascii="Book Antiqua" w:hAnsi="Book Antiqua"/>
          <w:sz w:val="24"/>
          <w:szCs w:val="24"/>
          <w:lang w:val="en-US" w:eastAsia="zh-CN"/>
        </w:rPr>
        <w:t>, 2019</w:t>
      </w:r>
    </w:p>
    <w:p w:rsidR="00D81B5F" w:rsidRPr="00DA2B25" w:rsidRDefault="00D81B5F" w:rsidP="00D81B5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>Peer-review started:</w:t>
      </w:r>
      <w:r w:rsidRPr="00DA2B25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="00AA477A" w:rsidRPr="00DA2B25">
        <w:rPr>
          <w:rFonts w:ascii="Book Antiqua" w:eastAsia="宋体" w:hAnsi="Book Antiqua"/>
          <w:sz w:val="24"/>
          <w:szCs w:val="24"/>
          <w:lang w:val="en-US" w:eastAsia="zh-CN"/>
        </w:rPr>
        <w:t>March</w:t>
      </w:r>
      <w:r w:rsidR="00AA477A" w:rsidRPr="00DA2B25">
        <w:rPr>
          <w:rFonts w:ascii="Book Antiqua" w:hAnsi="Book Antiqua"/>
          <w:sz w:val="24"/>
          <w:szCs w:val="24"/>
          <w:lang w:val="en-US" w:eastAsia="zh-CN"/>
        </w:rPr>
        <w:t xml:space="preserve"> 19</w:t>
      </w:r>
      <w:r w:rsidRPr="00DA2B25">
        <w:rPr>
          <w:rFonts w:ascii="Book Antiqua" w:hAnsi="Book Antiqua"/>
          <w:sz w:val="24"/>
          <w:szCs w:val="24"/>
          <w:lang w:val="en-US" w:eastAsia="zh-CN"/>
        </w:rPr>
        <w:t>, 2019</w:t>
      </w:r>
    </w:p>
    <w:p w:rsidR="00D81B5F" w:rsidRPr="00DA2B25" w:rsidRDefault="00D81B5F" w:rsidP="00D81B5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>First decision:</w:t>
      </w:r>
      <w:r w:rsidRPr="00DA2B25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="00AA477A" w:rsidRPr="00DA2B25">
        <w:rPr>
          <w:rFonts w:ascii="Book Antiqua" w:eastAsia="宋体" w:hAnsi="Book Antiqua"/>
          <w:sz w:val="24"/>
          <w:szCs w:val="24"/>
          <w:lang w:val="en-US" w:eastAsia="zh-CN"/>
        </w:rPr>
        <w:t>September</w:t>
      </w:r>
      <w:r w:rsidRPr="00DA2B25">
        <w:rPr>
          <w:rFonts w:ascii="Book Antiqua" w:hAnsi="Book Antiqua"/>
          <w:sz w:val="24"/>
          <w:szCs w:val="24"/>
          <w:lang w:val="en-US" w:eastAsia="zh-CN"/>
        </w:rPr>
        <w:t xml:space="preserve"> 1</w:t>
      </w:r>
      <w:r w:rsidR="00AA477A" w:rsidRPr="00DA2B25">
        <w:rPr>
          <w:rFonts w:ascii="Book Antiqua" w:hAnsi="Book Antiqua"/>
          <w:sz w:val="24"/>
          <w:szCs w:val="24"/>
          <w:lang w:val="en-US" w:eastAsia="zh-CN"/>
        </w:rPr>
        <w:t>7</w:t>
      </w:r>
      <w:r w:rsidRPr="00DA2B25">
        <w:rPr>
          <w:rFonts w:ascii="Book Antiqua" w:hAnsi="Book Antiqua"/>
          <w:sz w:val="24"/>
          <w:szCs w:val="24"/>
          <w:lang w:val="en-US" w:eastAsia="zh-CN"/>
        </w:rPr>
        <w:t>, 2019</w:t>
      </w:r>
    </w:p>
    <w:p w:rsidR="00D81B5F" w:rsidRPr="00DA2B25" w:rsidRDefault="00D81B5F" w:rsidP="00D81B5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 xml:space="preserve">Revised: </w:t>
      </w:r>
      <w:r w:rsidR="00B4439A" w:rsidRPr="00DA2B25">
        <w:rPr>
          <w:rFonts w:ascii="Book Antiqua" w:eastAsia="宋体" w:hAnsi="Book Antiqua"/>
          <w:sz w:val="24"/>
          <w:szCs w:val="24"/>
          <w:lang w:val="en-US" w:eastAsia="zh-CN"/>
        </w:rPr>
        <w:t>October</w:t>
      </w:r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B4439A" w:rsidRPr="00DA2B25">
        <w:rPr>
          <w:rFonts w:ascii="Book Antiqua" w:eastAsia="宋体" w:hAnsi="Book Antiqua"/>
          <w:sz w:val="24"/>
          <w:szCs w:val="24"/>
          <w:lang w:val="en-US" w:eastAsia="zh-CN"/>
        </w:rPr>
        <w:t>26</w:t>
      </w:r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>, 2019</w:t>
      </w:r>
    </w:p>
    <w:p w:rsidR="00D81B5F" w:rsidRPr="00DA2B25" w:rsidRDefault="00D81B5F" w:rsidP="00D81B5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 xml:space="preserve">Accepted: </w:t>
      </w:r>
      <w:r w:rsidR="006803B4"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>December 6, 2019</w:t>
      </w:r>
    </w:p>
    <w:p w:rsidR="00D81B5F" w:rsidRPr="00DA2B25" w:rsidRDefault="00D81B5F" w:rsidP="00D81B5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>Article in press:</w:t>
      </w:r>
      <w:r w:rsidR="003105B3"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 xml:space="preserve"> December 6, 2019</w:t>
      </w:r>
    </w:p>
    <w:p w:rsidR="00D81B5F" w:rsidRPr="00DA2B25" w:rsidRDefault="00D81B5F" w:rsidP="00D81B5F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>Published online:</w:t>
      </w:r>
      <w:bookmarkEnd w:id="21"/>
      <w:bookmarkEnd w:id="22"/>
      <w:bookmarkEnd w:id="23"/>
      <w:bookmarkEnd w:id="24"/>
      <w:bookmarkEnd w:id="25"/>
      <w:r w:rsidR="003105B3"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 xml:space="preserve"> December </w:t>
      </w:r>
      <w:r w:rsidR="003105B3" w:rsidRPr="00DA2B25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20, </w:t>
      </w:r>
      <w:r w:rsidR="003105B3"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>19</w:t>
      </w:r>
    </w:p>
    <w:bookmarkEnd w:id="26"/>
    <w:bookmarkEnd w:id="27"/>
    <w:bookmarkEnd w:id="28"/>
    <w:bookmarkEnd w:id="29"/>
    <w:bookmarkEnd w:id="30"/>
    <w:bookmarkEnd w:id="31"/>
    <w:p w:rsidR="00C85581" w:rsidRPr="00DA2B25" w:rsidRDefault="00D81B5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DA2B25">
        <w:rPr>
          <w:rFonts w:ascii="Book Antiqua" w:hAnsi="Book Antiqua"/>
          <w:b/>
          <w:bCs/>
          <w:sz w:val="24"/>
          <w:szCs w:val="24"/>
          <w:lang w:val="en-US"/>
        </w:rPr>
        <w:br w:type="page"/>
      </w:r>
      <w:r w:rsidR="000E6EBF" w:rsidRPr="00DA2B25">
        <w:rPr>
          <w:rFonts w:ascii="Book Antiqua" w:hAnsi="Book Antiqua"/>
          <w:b/>
          <w:bCs/>
          <w:sz w:val="24"/>
          <w:szCs w:val="24"/>
          <w:lang w:val="en-US"/>
        </w:rPr>
        <w:t>Abstract</w:t>
      </w:r>
    </w:p>
    <w:p w:rsidR="00A84B98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 xml:space="preserve">Langerhans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cell</w:t>
      </w:r>
      <w:r w:rsidR="005F50C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7B10DD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(LCH) is a rare neoplastic disease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in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dendritic cells. LCH is classified as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either a </w:t>
      </w:r>
      <w:r w:rsidRPr="00DA2B25">
        <w:rPr>
          <w:rFonts w:ascii="Book Antiqua" w:hAnsi="Book Antiqua"/>
          <w:sz w:val="24"/>
          <w:szCs w:val="24"/>
          <w:lang w:val="en-US"/>
        </w:rPr>
        <w:t>single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-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system (SS)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or </w:t>
      </w:r>
      <w:r w:rsidRPr="00DA2B25">
        <w:rPr>
          <w:rFonts w:ascii="Book Antiqua" w:hAnsi="Book Antiqua"/>
          <w:sz w:val="24"/>
          <w:szCs w:val="24"/>
          <w:lang w:val="en-US"/>
        </w:rPr>
        <w:t>multisystem (MS)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disease</w:t>
      </w:r>
      <w:r w:rsidRPr="00DA2B25">
        <w:rPr>
          <w:rFonts w:ascii="Book Antiqua" w:hAnsi="Book Antiqua"/>
          <w:sz w:val="24"/>
          <w:szCs w:val="24"/>
          <w:lang w:val="en-US"/>
        </w:rPr>
        <w:t>. There is no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t a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standard </w:t>
      </w:r>
      <w:r w:rsidR="00F97038" w:rsidRPr="00DA2B25">
        <w:rPr>
          <w:rFonts w:ascii="Book Antiqua" w:hAnsi="Book Antiqua"/>
          <w:sz w:val="24"/>
          <w:szCs w:val="24"/>
          <w:lang w:val="en-US"/>
        </w:rPr>
        <w:t>first-line</w:t>
      </w:r>
      <w:r w:rsidR="005F50C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97038" w:rsidRPr="00DA2B25">
        <w:rPr>
          <w:rFonts w:ascii="Book Antiqua" w:hAnsi="Book Antiqua"/>
          <w:sz w:val="24"/>
          <w:szCs w:val="24"/>
          <w:lang w:val="en-US"/>
        </w:rPr>
        <w:t>treatment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for LCH</w:t>
      </w:r>
      <w:r w:rsidR="006C1EC1" w:rsidRPr="00DA2B25">
        <w:rPr>
          <w:rFonts w:ascii="Book Antiqua" w:hAnsi="Book Antiqua"/>
          <w:sz w:val="24"/>
          <w:szCs w:val="24"/>
          <w:lang w:val="en-US"/>
        </w:rPr>
        <w:t xml:space="preserve"> in adults</w:t>
      </w:r>
      <w:r w:rsidRPr="00DA2B25">
        <w:rPr>
          <w:rFonts w:ascii="Book Antiqua" w:hAnsi="Book Antiqua"/>
          <w:sz w:val="24"/>
          <w:szCs w:val="24"/>
          <w:lang w:val="en-US"/>
        </w:rPr>
        <w:t>. We analyzed the efficacy and safety of immunomodulatory drugs (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>)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by searching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PubMed/MEDLINE for case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reports previously</w:t>
      </w:r>
      <w:r w:rsidR="005F50C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97038" w:rsidRPr="00DA2B25">
        <w:rPr>
          <w:rFonts w:ascii="Book Antiqua" w:hAnsi="Book Antiqua"/>
          <w:sz w:val="24"/>
          <w:szCs w:val="24"/>
          <w:lang w:val="en-US"/>
        </w:rPr>
        <w:t>published</w:t>
      </w:r>
      <w:r w:rsidRPr="00DA2B25">
        <w:rPr>
          <w:rFonts w:ascii="Book Antiqua" w:hAnsi="Book Antiqua"/>
          <w:sz w:val="24"/>
          <w:szCs w:val="24"/>
          <w:lang w:val="en-US"/>
        </w:rPr>
        <w:t>. The clinical response (</w:t>
      </w:r>
      <w:proofErr w:type="spellStart"/>
      <w:r w:rsidR="007B10DD" w:rsidRPr="00DA2B25">
        <w:rPr>
          <w:rFonts w:ascii="Book Antiqua" w:hAnsi="Book Antiqua"/>
          <w:sz w:val="24"/>
          <w:szCs w:val="24"/>
          <w:lang w:val="en-US"/>
        </w:rPr>
        <w:t>non</w:t>
      </w:r>
      <w:r w:rsidRPr="00DA2B25">
        <w:rPr>
          <w:rFonts w:ascii="Book Antiqua" w:hAnsi="Book Antiqua"/>
          <w:sz w:val="24"/>
          <w:szCs w:val="24"/>
          <w:lang w:val="en-US"/>
        </w:rPr>
        <w:t>active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6C1EC1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or active disease </w:t>
      </w:r>
      <w:r w:rsidR="00F97038" w:rsidRPr="00DA2B25">
        <w:rPr>
          <w:rFonts w:ascii="Book Antiqua" w:hAnsi="Book Antiqua"/>
          <w:sz w:val="24"/>
          <w:szCs w:val="24"/>
          <w:lang w:val="en-US"/>
        </w:rPr>
        <w:t>that regressed</w:t>
      </w:r>
      <w:r w:rsidRPr="00DA2B25">
        <w:rPr>
          <w:rFonts w:ascii="Book Antiqua" w:hAnsi="Book Antiqua"/>
          <w:sz w:val="24"/>
          <w:szCs w:val="24"/>
          <w:lang w:val="en-US"/>
        </w:rPr>
        <w:t>) was 94% in SS and 53% in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C1EC1" w:rsidRPr="00DA2B25">
        <w:rPr>
          <w:rFonts w:ascii="Book Antiqua" w:hAnsi="Book Antiqua"/>
          <w:sz w:val="24"/>
          <w:szCs w:val="24"/>
          <w:lang w:val="en-US"/>
        </w:rPr>
        <w:t xml:space="preserve">MS.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should only </w:t>
      </w:r>
      <w:r w:rsidR="005F50C5" w:rsidRPr="00DA2B25">
        <w:rPr>
          <w:rFonts w:ascii="Book Antiqua" w:hAnsi="Book Antiqua"/>
          <w:sz w:val="24"/>
          <w:szCs w:val="24"/>
          <w:lang w:val="en-US"/>
        </w:rPr>
        <w:t xml:space="preserve">be </w:t>
      </w:r>
      <w:r w:rsidRPr="00DA2B25">
        <w:rPr>
          <w:rFonts w:ascii="Book Antiqua" w:hAnsi="Book Antiqua"/>
          <w:sz w:val="24"/>
          <w:szCs w:val="24"/>
          <w:lang w:val="en-US"/>
        </w:rPr>
        <w:t>considered for adults with cutaneous SS involvement;</w:t>
      </w:r>
      <w:r w:rsidR="005F50C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>in MS,</w:t>
      </w:r>
      <w:r w:rsidR="00E9569C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>they should be used only for patients not eligible for more aggressive treatments.</w:t>
      </w:r>
    </w:p>
    <w:p w:rsidR="00A611A1" w:rsidRPr="00DA2B25" w:rsidRDefault="00A611A1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627053" w:rsidRPr="00DA2B25" w:rsidRDefault="000208F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b/>
          <w:bCs/>
          <w:sz w:val="24"/>
          <w:szCs w:val="24"/>
          <w:lang w:val="en-US"/>
        </w:rPr>
        <w:t xml:space="preserve">Key words: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Langerhans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cell</w:t>
      </w:r>
      <w:r w:rsidR="005F50C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7B10DD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; </w:t>
      </w:r>
      <w:r w:rsidR="00E9569C" w:rsidRPr="00DA2B25">
        <w:rPr>
          <w:rFonts w:ascii="Book Antiqua" w:hAnsi="Book Antiqua"/>
          <w:sz w:val="24"/>
          <w:szCs w:val="24"/>
          <w:lang w:val="en-US"/>
        </w:rPr>
        <w:t>I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mmunomodulatory drugs; </w:t>
      </w:r>
      <w:r w:rsidR="00E9569C" w:rsidRPr="00DA2B25">
        <w:rPr>
          <w:rFonts w:ascii="Book Antiqua" w:hAnsi="Book Antiqua"/>
          <w:sz w:val="24"/>
          <w:szCs w:val="24"/>
          <w:lang w:val="en-US"/>
        </w:rPr>
        <w:t>T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halidomide; </w:t>
      </w:r>
      <w:proofErr w:type="spellStart"/>
      <w:r w:rsidR="00E9569C" w:rsidRPr="00DA2B25">
        <w:rPr>
          <w:rFonts w:ascii="Book Antiqua" w:hAnsi="Book Antiqua"/>
          <w:sz w:val="24"/>
          <w:szCs w:val="24"/>
          <w:lang w:val="en-US"/>
        </w:rPr>
        <w:t>Lenalidomide</w:t>
      </w:r>
      <w:bookmarkStart w:id="32" w:name="_Hlk10468991"/>
      <w:proofErr w:type="spellEnd"/>
    </w:p>
    <w:p w:rsidR="005050F2" w:rsidRPr="00DA2B25" w:rsidRDefault="005050F2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050F2" w:rsidRPr="00DA2B25" w:rsidRDefault="005050F2" w:rsidP="005050F2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 w:eastAsia="zh-CN"/>
        </w:rPr>
      </w:pPr>
      <w:bookmarkStart w:id="33" w:name="OLE_LINK43"/>
      <w:bookmarkStart w:id="34" w:name="OLE_LINK44"/>
      <w:bookmarkStart w:id="35" w:name="OLE_LINK67"/>
      <w:bookmarkStart w:id="36" w:name="OLE_LINK65"/>
      <w:bookmarkStart w:id="37" w:name="OLE_LINK71"/>
      <w:bookmarkStart w:id="38" w:name="OLE_LINK58"/>
      <w:bookmarkStart w:id="39" w:name="OLE_LINK59"/>
      <w:bookmarkStart w:id="40" w:name="OLE_LINK24"/>
      <w:proofErr w:type="gramStart"/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>© The Author(s) 2019.</w:t>
      </w:r>
      <w:proofErr w:type="gramEnd"/>
      <w:r w:rsidRPr="00DA2B25">
        <w:rPr>
          <w:rFonts w:ascii="Book Antiqua" w:eastAsia="宋体" w:hAnsi="Book Antiqua"/>
          <w:b/>
          <w:sz w:val="24"/>
          <w:szCs w:val="24"/>
          <w:lang w:val="en-US" w:eastAsia="zh-CN"/>
        </w:rPr>
        <w:t xml:space="preserve"> </w:t>
      </w:r>
      <w:proofErr w:type="gramStart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Published by </w:t>
      </w:r>
      <w:proofErr w:type="spellStart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>Baishideng</w:t>
      </w:r>
      <w:proofErr w:type="spellEnd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 Publishing Group Inc.</w:t>
      </w:r>
      <w:proofErr w:type="gramEnd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 All rights reserved.</w:t>
      </w:r>
      <w:bookmarkEnd w:id="33"/>
      <w:bookmarkEnd w:id="34"/>
      <w:bookmarkEnd w:id="35"/>
      <w:bookmarkEnd w:id="36"/>
      <w:bookmarkEnd w:id="37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</w:p>
    <w:bookmarkEnd w:id="38"/>
    <w:bookmarkEnd w:id="39"/>
    <w:bookmarkEnd w:id="40"/>
    <w:p w:rsidR="00627053" w:rsidRPr="00DA2B25" w:rsidRDefault="00627053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3C3C3C"/>
          <w:sz w:val="24"/>
          <w:szCs w:val="24"/>
          <w:lang w:val="en-US"/>
        </w:rPr>
      </w:pPr>
    </w:p>
    <w:p w:rsidR="00A611A1" w:rsidRPr="00DA2B25" w:rsidRDefault="00F871B1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3C3C3C"/>
          <w:sz w:val="24"/>
          <w:szCs w:val="24"/>
          <w:lang w:val="en-US"/>
        </w:rPr>
      </w:pPr>
      <w:r w:rsidRPr="00DA2B25">
        <w:rPr>
          <w:rFonts w:ascii="Book Antiqua" w:hAnsi="Book Antiqua" w:cs="Tahoma"/>
          <w:b/>
          <w:color w:val="222222"/>
          <w:sz w:val="24"/>
          <w:szCs w:val="24"/>
          <w:lang w:val="en-US"/>
        </w:rPr>
        <w:t>Core tip</w:t>
      </w:r>
      <w:r w:rsidR="001D6C74" w:rsidRPr="00DA2B25">
        <w:rPr>
          <w:rFonts w:ascii="Book Antiqua" w:hAnsi="Book Antiqua" w:cs="Tahoma"/>
          <w:b/>
          <w:color w:val="222222"/>
          <w:sz w:val="24"/>
          <w:szCs w:val="24"/>
          <w:lang w:val="en-US"/>
        </w:rPr>
        <w:t>:</w:t>
      </w:r>
      <w:r w:rsidR="001D6C74" w:rsidRPr="00DA2B25">
        <w:rPr>
          <w:rFonts w:ascii="Book Antiqua" w:hAnsi="Book Antiqua" w:hint="eastAsia"/>
          <w:color w:val="3C3C3C"/>
          <w:sz w:val="24"/>
          <w:szCs w:val="24"/>
          <w:lang w:val="en-US" w:eastAsia="zh-CN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Langerhans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cell </w:t>
      </w:r>
      <w:proofErr w:type="spellStart"/>
      <w:r w:rsidR="007B10DD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(LCH) is a rare neoplastic disease derived from dendritic cells that is seen in children as well as in adults. There is no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t a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standard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first-line </w:t>
      </w:r>
      <w:r w:rsidR="00F97038" w:rsidRPr="00DA2B25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in adults; no prospective trials have been undertaken on this population, and chemotherapy schedules are often reported from pediatric experiences with suboptimal efficacy and a higher toxicity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in adults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than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in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children. Immunomodulatory drugs</w:t>
      </w:r>
      <w:r w:rsidR="008A0D34" w:rsidRPr="00DA2B25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 w:rsidR="008A0D34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8A0D34" w:rsidRPr="00DA2B25">
        <w:rPr>
          <w:rFonts w:ascii="Book Antiqua" w:hAnsi="Book Antiqua"/>
          <w:sz w:val="24"/>
          <w:szCs w:val="24"/>
          <w:lang w:val="en-US"/>
        </w:rPr>
        <w:t>)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 as less toxic therapeutic options, have been considered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for treating LCH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.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We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analyze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d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the efficacy and safety of </w:t>
      </w:r>
      <w:proofErr w:type="spellStart"/>
      <w:r w:rsidR="008A0D34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in adults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with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LCH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from previously published research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.</w:t>
      </w:r>
    </w:p>
    <w:p w:rsidR="005050F2" w:rsidRPr="00DA2B25" w:rsidRDefault="005050F2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050F2" w:rsidRPr="00DA2B25" w:rsidRDefault="005050F2" w:rsidP="005050F2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bCs/>
          <w:sz w:val="24"/>
          <w:szCs w:val="24"/>
          <w:lang w:val="en-US" w:eastAsia="zh-CN"/>
        </w:rPr>
      </w:pPr>
      <w:bookmarkStart w:id="41" w:name="OLE_LINK1144"/>
      <w:r w:rsidRPr="00DA2B25">
        <w:rPr>
          <w:rFonts w:ascii="Book Antiqua" w:hAnsi="Book Antiqua"/>
          <w:sz w:val="24"/>
          <w:szCs w:val="24"/>
        </w:rPr>
        <w:t>Mauro</w:t>
      </w:r>
      <w:r w:rsidR="00475991" w:rsidRPr="00DA2B25">
        <w:rPr>
          <w:rFonts w:ascii="Book Antiqua" w:hAnsi="Book Antiqua"/>
          <w:sz w:val="24"/>
          <w:szCs w:val="24"/>
        </w:rPr>
        <w:t xml:space="preserve"> E</w:t>
      </w:r>
      <w:r w:rsidRPr="00DA2B25">
        <w:rPr>
          <w:rFonts w:ascii="Book Antiqua" w:hAnsi="Book Antiqua"/>
          <w:sz w:val="24"/>
          <w:szCs w:val="24"/>
        </w:rPr>
        <w:t>,</w:t>
      </w:r>
      <w:r w:rsidR="0020189E" w:rsidRPr="00DA2B25">
        <w:rPr>
          <w:rFonts w:ascii="Book Antiqua" w:hAnsi="Book Antiqua"/>
          <w:sz w:val="24"/>
          <w:szCs w:val="24"/>
        </w:rPr>
        <w:t xml:space="preserve"> </w:t>
      </w:r>
      <w:r w:rsidRPr="00DA2B25">
        <w:rPr>
          <w:rFonts w:ascii="Book Antiqua" w:hAnsi="Book Antiqua"/>
          <w:sz w:val="24"/>
          <w:szCs w:val="24"/>
        </w:rPr>
        <w:t>Stefani</w:t>
      </w:r>
      <w:r w:rsidR="00475991" w:rsidRPr="00DA2B25">
        <w:rPr>
          <w:rFonts w:ascii="Book Antiqua" w:hAnsi="Book Antiqua"/>
          <w:sz w:val="24"/>
          <w:szCs w:val="24"/>
        </w:rPr>
        <w:t xml:space="preserve"> </w:t>
      </w:r>
      <w:r w:rsidR="0057241D" w:rsidRPr="00DA2B25">
        <w:rPr>
          <w:rFonts w:ascii="Book Antiqua" w:hAnsi="Book Antiqua"/>
          <w:sz w:val="24"/>
          <w:szCs w:val="24"/>
          <w:lang w:val="en-US"/>
        </w:rPr>
        <w:t>P</w:t>
      </w:r>
      <w:r w:rsidR="00475991" w:rsidRPr="00DA2B25">
        <w:rPr>
          <w:rFonts w:ascii="Book Antiqua" w:hAnsi="Book Antiqua"/>
          <w:sz w:val="24"/>
          <w:szCs w:val="24"/>
        </w:rPr>
        <w:t>M</w:t>
      </w:r>
      <w:r w:rsidRPr="00DA2B25">
        <w:rPr>
          <w:rFonts w:ascii="Book Antiqua" w:hAnsi="Book Antiqua"/>
          <w:sz w:val="24"/>
          <w:szCs w:val="24"/>
        </w:rPr>
        <w:t>, Gherlinzoni</w:t>
      </w:r>
      <w:r w:rsidR="00475991" w:rsidRPr="00DA2B25">
        <w:rPr>
          <w:rFonts w:ascii="Book Antiqua" w:hAnsi="Book Antiqua"/>
          <w:sz w:val="24"/>
          <w:szCs w:val="24"/>
        </w:rPr>
        <w:t xml:space="preserve"> F</w:t>
      </w:r>
      <w:r w:rsidRPr="00DA2B25">
        <w:rPr>
          <w:rFonts w:ascii="Book Antiqua" w:hAnsi="Book Antiqua"/>
          <w:sz w:val="24"/>
          <w:szCs w:val="24"/>
        </w:rPr>
        <w:t xml:space="preserve">. </w:t>
      </w:r>
      <w:bookmarkStart w:id="42" w:name="OLE_LINK9"/>
      <w:bookmarkStart w:id="43" w:name="OLE_LINK10"/>
      <w:r w:rsidR="000666ED" w:rsidRPr="00DA2B25">
        <w:rPr>
          <w:rFonts w:ascii="Book Antiqua" w:hAnsi="Book Antiqua"/>
          <w:bCs/>
          <w:sz w:val="24"/>
          <w:szCs w:val="24"/>
          <w:lang w:val="en-US"/>
        </w:rPr>
        <w:t xml:space="preserve">Adult </w:t>
      </w:r>
      <w:r w:rsidR="00937C08" w:rsidRPr="00DA2B25">
        <w:rPr>
          <w:rFonts w:ascii="Book Antiqua" w:hAnsi="Book Antiqua"/>
          <w:bCs/>
          <w:sz w:val="24"/>
          <w:szCs w:val="24"/>
          <w:lang w:val="en-US"/>
        </w:rPr>
        <w:t>L</w:t>
      </w:r>
      <w:r w:rsidR="000666ED" w:rsidRPr="00DA2B25">
        <w:rPr>
          <w:rFonts w:ascii="Book Antiqua" w:hAnsi="Book Antiqua"/>
          <w:bCs/>
          <w:sz w:val="24"/>
          <w:szCs w:val="24"/>
          <w:lang w:val="en-US"/>
        </w:rPr>
        <w:t xml:space="preserve">angerhans cell </w:t>
      </w:r>
      <w:proofErr w:type="spellStart"/>
      <w:r w:rsidR="000666ED" w:rsidRPr="00DA2B25">
        <w:rPr>
          <w:rFonts w:ascii="Book Antiqua" w:hAnsi="Book Antiqua"/>
          <w:bCs/>
          <w:sz w:val="24"/>
          <w:szCs w:val="24"/>
          <w:lang w:val="en-US"/>
        </w:rPr>
        <w:t>histiocytosis</w:t>
      </w:r>
      <w:proofErr w:type="spellEnd"/>
      <w:r w:rsidR="000666ED" w:rsidRPr="00DA2B25">
        <w:rPr>
          <w:rFonts w:ascii="Book Antiqua" w:hAnsi="Book Antiqua"/>
          <w:bCs/>
          <w:sz w:val="24"/>
          <w:szCs w:val="24"/>
          <w:lang w:val="en-US"/>
        </w:rPr>
        <w:t xml:space="preserve"> and immunomodulatory drugs: Review and analysis of </w:t>
      </w:r>
      <w:r w:rsidR="0025401E" w:rsidRPr="00DA2B25">
        <w:rPr>
          <w:rFonts w:ascii="Book Antiqua" w:hAnsi="Book Antiqua"/>
          <w:bCs/>
          <w:sz w:val="24"/>
          <w:szCs w:val="24"/>
          <w:lang w:val="en-US"/>
        </w:rPr>
        <w:t>thirty-four</w:t>
      </w:r>
      <w:r w:rsidR="000666ED" w:rsidRPr="00DA2B25">
        <w:rPr>
          <w:rFonts w:ascii="Book Antiqua" w:hAnsi="Book Antiqua"/>
          <w:bCs/>
          <w:sz w:val="24"/>
          <w:szCs w:val="24"/>
          <w:lang w:val="en-US"/>
        </w:rPr>
        <w:t xml:space="preserve"> case reports</w:t>
      </w:r>
      <w:bookmarkEnd w:id="42"/>
      <w:bookmarkEnd w:id="43"/>
      <w:r w:rsidRPr="00DA2B25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Pr="00DA2B25">
        <w:rPr>
          <w:rFonts w:ascii="Book Antiqua" w:hAnsi="Book Antiqua"/>
          <w:bCs/>
          <w:i/>
          <w:iCs/>
          <w:sz w:val="24"/>
          <w:szCs w:val="24"/>
          <w:lang w:val="en-US"/>
        </w:rPr>
        <w:t xml:space="preserve">World J </w:t>
      </w:r>
      <w:proofErr w:type="spellStart"/>
      <w:r w:rsidRPr="00DA2B25">
        <w:rPr>
          <w:rFonts w:ascii="Book Antiqua" w:hAnsi="Book Antiqua"/>
          <w:bCs/>
          <w:i/>
          <w:iCs/>
          <w:sz w:val="24"/>
          <w:szCs w:val="24"/>
          <w:lang w:val="en-US"/>
        </w:rPr>
        <w:t>Hematol</w:t>
      </w:r>
      <w:proofErr w:type="spellEnd"/>
      <w:r w:rsidRPr="00DA2B25">
        <w:rPr>
          <w:rFonts w:ascii="Book Antiqua" w:hAnsi="Book Antiqua"/>
          <w:bCs/>
          <w:sz w:val="24"/>
          <w:szCs w:val="24"/>
          <w:lang w:val="en-US"/>
        </w:rPr>
        <w:t xml:space="preserve"> 2019; </w:t>
      </w:r>
      <w:r w:rsidR="003105B3" w:rsidRPr="00DA2B25">
        <w:rPr>
          <w:rFonts w:ascii="Book Antiqua" w:hAnsi="Book Antiqua" w:hint="eastAsia"/>
          <w:bCs/>
          <w:sz w:val="24"/>
          <w:szCs w:val="24"/>
          <w:lang w:val="en-US" w:eastAsia="zh-CN"/>
        </w:rPr>
        <w:t>8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 xml:space="preserve">(1): </w:t>
      </w:r>
      <w:r w:rsidR="008A5683">
        <w:rPr>
          <w:rFonts w:ascii="Book Antiqua" w:hAnsi="Book Antiqua" w:hint="eastAsia"/>
          <w:bCs/>
          <w:sz w:val="24"/>
          <w:szCs w:val="24"/>
          <w:lang w:val="en-US" w:eastAsia="zh-CN"/>
        </w:rPr>
        <w:t>1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>-</w:t>
      </w:r>
      <w:r w:rsidR="008A5683">
        <w:rPr>
          <w:rFonts w:ascii="Book Antiqua" w:hAnsi="Book Antiqua" w:hint="eastAsia"/>
          <w:bCs/>
          <w:sz w:val="24"/>
          <w:szCs w:val="24"/>
          <w:lang w:val="en-US" w:eastAsia="zh-CN"/>
        </w:rPr>
        <w:t>8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 xml:space="preserve"> URL: https://www.wjgnet.com/2218-6204/full/v</w:t>
      </w:r>
      <w:r w:rsidR="003105B3" w:rsidRPr="00DA2B25">
        <w:rPr>
          <w:rFonts w:ascii="Book Antiqua" w:hAnsi="Book Antiqua" w:hint="eastAsia"/>
          <w:bCs/>
          <w:sz w:val="24"/>
          <w:szCs w:val="24"/>
          <w:lang w:val="en-US" w:eastAsia="zh-CN"/>
        </w:rPr>
        <w:t>8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>/i1/</w:t>
      </w:r>
      <w:r w:rsidR="008A5683">
        <w:rPr>
          <w:rFonts w:ascii="Book Antiqua" w:hAnsi="Book Antiqua" w:hint="eastAsia"/>
          <w:bCs/>
          <w:sz w:val="24"/>
          <w:szCs w:val="24"/>
          <w:lang w:val="en-US" w:eastAsia="zh-CN"/>
        </w:rPr>
        <w:t>1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>.htm DOI: https://dx.doi.org/10.5315/wj</w:t>
      </w:r>
      <w:r w:rsidR="003105B3" w:rsidRPr="00DA2B25">
        <w:rPr>
          <w:rFonts w:ascii="Book Antiqua" w:hAnsi="Book Antiqua" w:hint="eastAsia"/>
          <w:bCs/>
          <w:sz w:val="24"/>
          <w:szCs w:val="24"/>
          <w:lang w:val="en-US" w:eastAsia="zh-CN"/>
        </w:rPr>
        <w:t>h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>.v</w:t>
      </w:r>
      <w:r w:rsidR="003105B3" w:rsidRPr="00DA2B25">
        <w:rPr>
          <w:rFonts w:ascii="Book Antiqua" w:hAnsi="Book Antiqua" w:hint="eastAsia"/>
          <w:bCs/>
          <w:sz w:val="24"/>
          <w:szCs w:val="24"/>
          <w:lang w:val="en-US" w:eastAsia="zh-CN"/>
        </w:rPr>
        <w:t>8</w:t>
      </w:r>
      <w:r w:rsidR="003105B3" w:rsidRPr="00DA2B25">
        <w:rPr>
          <w:rFonts w:ascii="Book Antiqua" w:hAnsi="Book Antiqua"/>
          <w:bCs/>
          <w:sz w:val="24"/>
          <w:szCs w:val="24"/>
          <w:lang w:val="en-US"/>
        </w:rPr>
        <w:t>.i1.</w:t>
      </w:r>
      <w:r w:rsidR="008A5683">
        <w:rPr>
          <w:rFonts w:ascii="Book Antiqua" w:hAnsi="Book Antiqua" w:hint="eastAsia"/>
          <w:bCs/>
          <w:sz w:val="24"/>
          <w:szCs w:val="24"/>
          <w:lang w:val="en-US" w:eastAsia="zh-CN"/>
        </w:rPr>
        <w:t>1</w:t>
      </w:r>
      <w:bookmarkStart w:id="44" w:name="_GoBack"/>
      <w:bookmarkEnd w:id="44"/>
    </w:p>
    <w:bookmarkEnd w:id="41"/>
    <w:p w:rsidR="00F4668E" w:rsidRPr="00DA2B25" w:rsidRDefault="005050F2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 w:cs="Tahoma"/>
          <w:b/>
          <w:color w:val="222222"/>
          <w:sz w:val="24"/>
          <w:szCs w:val="24"/>
          <w:lang w:val="en-US"/>
        </w:rPr>
        <w:br w:type="page"/>
      </w:r>
      <w:bookmarkEnd w:id="32"/>
      <w:r w:rsidR="007E27DD" w:rsidRPr="00DA2B25">
        <w:rPr>
          <w:rFonts w:ascii="Book Antiqua" w:hAnsi="Book Antiqua"/>
          <w:b/>
          <w:sz w:val="24"/>
          <w:szCs w:val="24"/>
          <w:lang w:val="en-US"/>
        </w:rPr>
        <w:t>INTRODUCTION</w:t>
      </w:r>
    </w:p>
    <w:p w:rsidR="0066229E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 xml:space="preserve">Langerhans cell </w:t>
      </w:r>
      <w:proofErr w:type="spellStart"/>
      <w:r w:rsidR="007B10DD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(LCH) is a rare neoplastic disease derived from dendritic cells that is seen in children as well as in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adults</w:t>
      </w:r>
      <w:r w:rsidR="00311ED7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311ED7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The LCH incidence is estimated to be 1-2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cases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per million in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adults</w:t>
      </w:r>
      <w:r w:rsidR="0026742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6742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2,3]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The diagnosis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of LCH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is based on histologic and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immunophenotypic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evaluation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s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of lesions: </w:t>
      </w:r>
      <w:r w:rsidR="007E27DD" w:rsidRPr="00DA2B25">
        <w:rPr>
          <w:rFonts w:ascii="Book Antiqua" w:hAnsi="Book Antiqua"/>
          <w:sz w:val="24"/>
          <w:szCs w:val="24"/>
          <w:lang w:val="en-US"/>
        </w:rPr>
        <w:t>I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n particular, evidence of Langerhans cell infiltrates with </w:t>
      </w:r>
      <w:proofErr w:type="gramStart"/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a </w:t>
      </w:r>
      <w:r w:rsidRPr="00DA2B25">
        <w:rPr>
          <w:rFonts w:ascii="Book Antiqua" w:hAnsi="Book Antiqua"/>
          <w:sz w:val="24"/>
          <w:szCs w:val="24"/>
          <w:lang w:val="en-US"/>
        </w:rPr>
        <w:t>positivity</w:t>
      </w:r>
      <w:proofErr w:type="gramEnd"/>
      <w:r w:rsidRPr="00DA2B25">
        <w:rPr>
          <w:rFonts w:ascii="Book Antiqua" w:hAnsi="Book Antiqua"/>
          <w:sz w:val="24"/>
          <w:szCs w:val="24"/>
          <w:lang w:val="en-US"/>
        </w:rPr>
        <w:t xml:space="preserve"> for CD1a and/or CD207 (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Langerin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)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as seen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on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an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optical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microscope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or the presence of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Birbeck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granules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as seen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on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an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electronic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microscope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Multiple organs may be involved in generating a broad spectrum of clinical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manifestations</w:t>
      </w:r>
      <w:r w:rsidR="0026742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6742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4,5]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from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a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skin rash to an explosive disseminated disease. In particular, the disease may affect organs or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organ </w:t>
      </w:r>
      <w:r w:rsidRPr="00DA2B25">
        <w:rPr>
          <w:rFonts w:ascii="Book Antiqua" w:hAnsi="Book Antiqua"/>
          <w:sz w:val="24"/>
          <w:szCs w:val="24"/>
          <w:lang w:val="en-US"/>
        </w:rPr>
        <w:t>systems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, especially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>bone, skin, pituitary gland, lymph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nodes, liver, spleen, gut, central nervous system (CNS), bone marrow,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Pr="00DA2B25">
        <w:rPr>
          <w:rFonts w:ascii="Book Antiqua" w:hAnsi="Book Antiqua"/>
          <w:sz w:val="24"/>
          <w:szCs w:val="24"/>
          <w:lang w:val="en-US"/>
        </w:rPr>
        <w:t>lungs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with focal or multifocal infiltrates</w:t>
      </w:r>
      <w:r w:rsidR="0026742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[1,6]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that results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in different outcomes. The expert panel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on behalf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of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>Euro-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Histio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>-Net classified the disease as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 either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single system LCH (SS-LCH)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or </w:t>
      </w:r>
      <w:r w:rsidRPr="00DA2B25">
        <w:rPr>
          <w:rFonts w:ascii="Book Antiqua" w:hAnsi="Book Antiqua"/>
          <w:sz w:val="24"/>
          <w:szCs w:val="24"/>
          <w:lang w:val="en-US"/>
        </w:rPr>
        <w:t>multisystem LCH (MS-LCH) (two or more organs/system involved) with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 or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without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>involvement of high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-</w:t>
      </w:r>
      <w:r w:rsidRPr="00DA2B25">
        <w:rPr>
          <w:rFonts w:ascii="Book Antiqua" w:hAnsi="Book Antiqua"/>
          <w:sz w:val="24"/>
          <w:szCs w:val="24"/>
          <w:lang w:val="en-US"/>
        </w:rPr>
        <w:t>risk organs such as bone marrow, spleen, liver or CNS</w:t>
      </w:r>
      <w:r w:rsidR="0026742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[6]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Recently, mutations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in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the BRAF gene have been reported in approximately 50% of cases, representing a breakthrough in understanding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the pathogenesis of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LCH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7-9]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In particular, BRAF mutations induce constitutive activation of downstream </w:t>
      </w:r>
      <w:r w:rsidR="008A0D34" w:rsidRPr="00DA2B25">
        <w:rPr>
          <w:rFonts w:ascii="Book Antiqua" w:hAnsi="Book Antiqua"/>
          <w:sz w:val="24"/>
          <w:szCs w:val="24"/>
          <w:lang w:val="en-US"/>
        </w:rPr>
        <w:t>mitogen-activated protein kinase (</w:t>
      </w:r>
      <w:r w:rsidRPr="00DA2B25">
        <w:rPr>
          <w:rFonts w:ascii="Book Antiqua" w:hAnsi="Book Antiqua"/>
          <w:sz w:val="24"/>
          <w:szCs w:val="24"/>
          <w:lang w:val="en-US"/>
        </w:rPr>
        <w:t>MAPK</w:t>
      </w:r>
      <w:r w:rsidR="008A0D34" w:rsidRPr="00DA2B25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Pr="00DA2B25">
        <w:rPr>
          <w:rFonts w:ascii="Book Antiqua" w:hAnsi="Book Antiqua"/>
          <w:sz w:val="24"/>
          <w:szCs w:val="24"/>
          <w:lang w:val="en-US"/>
        </w:rPr>
        <w:t>/</w:t>
      </w:r>
      <w:r w:rsidR="008A0D34" w:rsidRPr="00DA2B25">
        <w:rPr>
          <w:rFonts w:ascii="Book Antiqua" w:hAnsi="Book Antiqua"/>
          <w:sz w:val="24"/>
          <w:szCs w:val="24"/>
          <w:lang w:val="en-US"/>
        </w:rPr>
        <w:t xml:space="preserve">extracellular signal-regulated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kinases, offering new therapeutic targets for the MAPK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pathway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9]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Based on multifocal or focal LCH and on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the involvement at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special sites, the treatment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changes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6]</w:t>
      </w:r>
      <w:r w:rsidRPr="00DA2B25">
        <w:rPr>
          <w:rFonts w:ascii="Book Antiqua" w:hAnsi="Book Antiqua"/>
          <w:sz w:val="24"/>
          <w:szCs w:val="24"/>
          <w:lang w:val="en-US"/>
        </w:rPr>
        <w:t>. However, there is no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t a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standard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for first-line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treatment for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adults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 with LCH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; no prospective trials have been undertaken on this population, and the therapy schedules are often reported from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>pediatric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experiences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1,6,10]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Therefore, the treatment depends on the extent and severity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of the disease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at onset. In particular,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the pediatric treatment schedule for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vinblastine in combination with a prednisone has been </w:t>
      </w:r>
      <w:r w:rsidR="00ED6DDA" w:rsidRPr="00DA2B25">
        <w:rPr>
          <w:rFonts w:ascii="Book Antiqua" w:hAnsi="Book Antiqua"/>
          <w:sz w:val="24"/>
          <w:szCs w:val="24"/>
          <w:lang w:val="en-US"/>
        </w:rPr>
        <w:t xml:space="preserve">used in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adults but has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a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suboptimal efficacy and higher toxicity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in adults </w:t>
      </w:r>
      <w:r w:rsidRPr="00DA2B25">
        <w:rPr>
          <w:rFonts w:ascii="Book Antiqua" w:hAnsi="Book Antiqua"/>
          <w:sz w:val="24"/>
          <w:szCs w:val="24"/>
          <w:lang w:val="en-US"/>
        </w:rPr>
        <w:t>than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 in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children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11]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Other therapeutic approaches for MS-LCH adults include monotherapy with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cladribine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cytarabine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, etoposide or </w:t>
      </w:r>
      <w:proofErr w:type="spellStart"/>
      <w:r w:rsidR="00A5547D" w:rsidRPr="00DA2B25">
        <w:rPr>
          <w:rFonts w:ascii="Book Antiqua" w:hAnsi="Book Antiqua"/>
          <w:sz w:val="24"/>
          <w:szCs w:val="24"/>
          <w:lang w:val="en-US"/>
        </w:rPr>
        <w:t>polychemotherapy</w:t>
      </w:r>
      <w:proofErr w:type="spellEnd"/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regimens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11-14]</w:t>
      </w:r>
      <w:r w:rsidR="001C4FED" w:rsidRPr="00DA2B25">
        <w:rPr>
          <w:rFonts w:ascii="Book Antiqua" w:hAnsi="Book Antiqua"/>
          <w:sz w:val="24"/>
          <w:szCs w:val="24"/>
          <w:lang w:val="en-US"/>
        </w:rPr>
        <w:t>.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1C4FED" w:rsidRPr="00DA2B25">
        <w:rPr>
          <w:rFonts w:ascii="Book Antiqua" w:hAnsi="Book Antiqua"/>
          <w:sz w:val="24"/>
          <w:szCs w:val="24"/>
          <w:lang w:val="en-US"/>
        </w:rPr>
        <w:t>According to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the</w:t>
      </w:r>
      <w:r w:rsidR="001C4FED" w:rsidRPr="00DA2B25">
        <w:rPr>
          <w:rFonts w:ascii="Book Antiqua" w:hAnsi="Book Antiqua"/>
          <w:sz w:val="24"/>
          <w:szCs w:val="24"/>
          <w:lang w:val="en-US"/>
        </w:rPr>
        <w:t xml:space="preserve"> expert panel of Euro-</w:t>
      </w:r>
      <w:proofErr w:type="spellStart"/>
      <w:r w:rsidR="001C4FED" w:rsidRPr="00DA2B25">
        <w:rPr>
          <w:rFonts w:ascii="Book Antiqua" w:hAnsi="Book Antiqua"/>
          <w:sz w:val="24"/>
          <w:szCs w:val="24"/>
          <w:lang w:val="en-US"/>
        </w:rPr>
        <w:t>Histio</w:t>
      </w:r>
      <w:proofErr w:type="spellEnd"/>
      <w:r w:rsidR="001C4FED" w:rsidRPr="00DA2B25">
        <w:rPr>
          <w:rFonts w:ascii="Book Antiqua" w:hAnsi="Book Antiqua"/>
          <w:sz w:val="24"/>
          <w:szCs w:val="24"/>
          <w:lang w:val="en-US"/>
        </w:rPr>
        <w:t>-Net, recommendations for first</w:t>
      </w:r>
      <w:r w:rsidRPr="00DA2B25">
        <w:rPr>
          <w:rFonts w:ascii="Book Antiqua" w:hAnsi="Book Antiqua"/>
          <w:sz w:val="24"/>
          <w:szCs w:val="24"/>
          <w:lang w:val="en-US"/>
        </w:rPr>
        <w:t>-</w:t>
      </w:r>
      <w:r w:rsidR="001C4FED" w:rsidRPr="00DA2B25">
        <w:rPr>
          <w:rFonts w:ascii="Book Antiqua" w:hAnsi="Book Antiqua"/>
          <w:sz w:val="24"/>
          <w:szCs w:val="24"/>
          <w:lang w:val="en-US"/>
        </w:rPr>
        <w:t>line therapy are summarized in Table 1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[6]</w:t>
      </w:r>
      <w:r w:rsidRPr="00DA2B25">
        <w:rPr>
          <w:rFonts w:ascii="Book Antiqua" w:hAnsi="Book Antiqua"/>
          <w:sz w:val="24"/>
          <w:szCs w:val="24"/>
          <w:lang w:val="en-US"/>
        </w:rPr>
        <w:t>. Among the therapeutic options with activity against LCH, immunomodulatory drugs (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>) have been taken into account. In LCH, a variety of cytokines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IL-1, IL-10, interferon gamma, granulocyte-macrophage colony stimulating factor and tumor necrosis factor alpha (TNF-</w:t>
      </w:r>
      <w:r w:rsidR="005A55B4" w:rsidRPr="00DA2B25">
        <w:rPr>
          <w:rFonts w:ascii="Book Antiqua" w:hAnsi="Book Antiqua"/>
          <w:sz w:val="24"/>
          <w:szCs w:val="24"/>
          <w:lang w:val="en-US"/>
        </w:rPr>
        <w:t>α</w:t>
      </w:r>
      <w:r w:rsidRPr="00DA2B25">
        <w:rPr>
          <w:rFonts w:ascii="Book Antiqua" w:hAnsi="Book Antiqua"/>
          <w:sz w:val="24"/>
          <w:szCs w:val="24"/>
          <w:lang w:val="en-US"/>
        </w:rPr>
        <w:t>)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, are expressed at high levels and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play key role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s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in the pathogenesis of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disease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15]</w:t>
      </w:r>
      <w:r w:rsidRPr="00DA2B25">
        <w:rPr>
          <w:rFonts w:ascii="Book Antiqua" w:hAnsi="Book Antiqua"/>
          <w:sz w:val="24"/>
          <w:szCs w:val="24"/>
          <w:lang w:val="en-US"/>
        </w:rPr>
        <w:t>.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TNF-alpha is considered the major promoter for Langerhans cell proliferation and production from hematopoietic stem cells, and its expression is modulated by </w:t>
      </w:r>
      <w:proofErr w:type="spellStart"/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16]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Here, we analyzed the efficacy and safety of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in LCH.</w:t>
      </w:r>
    </w:p>
    <w:p w:rsidR="00355AC4" w:rsidRPr="00DA2B25" w:rsidRDefault="00355AC4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66229E" w:rsidRPr="00DA2B25" w:rsidRDefault="007E27D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PATIENTS AND METHODS</w:t>
      </w:r>
    </w:p>
    <w:p w:rsidR="00C60EE2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>To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 summarize the current experience of </w:t>
      </w:r>
      <w:proofErr w:type="spellStart"/>
      <w:r w:rsidR="008F29CE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 as </w:t>
      </w:r>
      <w:r w:rsidR="00C3494A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C3494A" w:rsidRPr="00DA2B25">
        <w:rPr>
          <w:rFonts w:ascii="Book Antiqua" w:hAnsi="Book Antiqua"/>
          <w:sz w:val="24"/>
          <w:szCs w:val="24"/>
          <w:lang w:val="en-US"/>
        </w:rPr>
        <w:t xml:space="preserve">for 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LCH, we conducted a PubMed/MEDLINE search for case reports and case series from 1987 until 2018. The search items used were </w:t>
      </w:r>
      <w:r w:rsidR="001D6C74" w:rsidRPr="00DA2B25">
        <w:rPr>
          <w:rFonts w:ascii="Book Antiqua" w:hAnsi="Book Antiqua"/>
          <w:sz w:val="24"/>
          <w:szCs w:val="24"/>
          <w:lang w:val="en-US"/>
        </w:rPr>
        <w:t>LCH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8A0D34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, thalidomide, </w:t>
      </w:r>
      <w:r w:rsidR="00C3494A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="008F29CE" w:rsidRPr="00DA2B25">
        <w:rPr>
          <w:rFonts w:ascii="Book Antiqua" w:hAnsi="Book Antiqua"/>
          <w:sz w:val="24"/>
          <w:szCs w:val="24"/>
          <w:lang w:val="en-US"/>
        </w:rPr>
        <w:t>lenalidomide</w:t>
      </w:r>
      <w:proofErr w:type="spellEnd"/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; </w:t>
      </w:r>
      <w:r w:rsidR="00C3494A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limits set were case reports, human, 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English, French and German languages. A total of 53 articles were found. Review articles, pediatric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cases 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8F29CE" w:rsidRPr="00DA2B25">
        <w:rPr>
          <w:rFonts w:ascii="Book Antiqua" w:hAnsi="Book Antiqua"/>
          <w:i/>
          <w:iCs/>
          <w:sz w:val="24"/>
          <w:szCs w:val="24"/>
          <w:lang w:val="en-US"/>
        </w:rPr>
        <w:t>in vitro</w:t>
      </w:r>
      <w:r w:rsidR="008F29CE" w:rsidRPr="00DA2B25">
        <w:rPr>
          <w:rFonts w:ascii="Book Antiqua" w:hAnsi="Book Antiqua"/>
          <w:sz w:val="24"/>
          <w:szCs w:val="24"/>
          <w:lang w:val="en-US"/>
        </w:rPr>
        <w:t xml:space="preserve"> analyses were excluded. A total of 29 articles about case reports or case series were </w:t>
      </w:r>
      <w:proofErr w:type="gramStart"/>
      <w:r w:rsidR="008F29CE" w:rsidRPr="00DA2B25">
        <w:rPr>
          <w:rFonts w:ascii="Book Antiqua" w:hAnsi="Book Antiqua"/>
          <w:sz w:val="24"/>
          <w:szCs w:val="24"/>
          <w:lang w:val="en-US"/>
        </w:rPr>
        <w:t>found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10,17-44]</w:t>
      </w:r>
      <w:r w:rsidR="00FA26A5" w:rsidRPr="00DA2B25">
        <w:rPr>
          <w:rFonts w:ascii="Book Antiqua" w:hAnsi="Book Antiqua"/>
          <w:sz w:val="24"/>
          <w:szCs w:val="24"/>
          <w:lang w:val="en-US"/>
        </w:rPr>
        <w:t>.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A26A5" w:rsidRPr="00DA2B25">
        <w:rPr>
          <w:rFonts w:ascii="Book Antiqua" w:hAnsi="Book Antiqua"/>
          <w:sz w:val="24"/>
          <w:szCs w:val="24"/>
          <w:lang w:val="en-US"/>
        </w:rPr>
        <w:t>Six patients treated with thalidomide were included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in the</w:t>
      </w:r>
      <w:r w:rsidR="00FA26A5" w:rsidRPr="00DA2B25">
        <w:rPr>
          <w:rFonts w:ascii="Book Antiqua" w:hAnsi="Book Antiqua"/>
          <w:sz w:val="24"/>
          <w:szCs w:val="24"/>
          <w:lang w:val="en-US"/>
        </w:rPr>
        <w:t xml:space="preserve"> study for 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a </w:t>
      </w:r>
      <w:r w:rsidR="00FA26A5" w:rsidRPr="00DA2B25">
        <w:rPr>
          <w:rFonts w:ascii="Book Antiqua" w:hAnsi="Book Antiqua"/>
          <w:sz w:val="24"/>
          <w:szCs w:val="24"/>
          <w:lang w:val="en-US"/>
        </w:rPr>
        <w:t xml:space="preserve">toxicity and efficacy </w:t>
      </w:r>
      <w:proofErr w:type="gramStart"/>
      <w:r w:rsidR="00FA26A5" w:rsidRPr="00DA2B25">
        <w:rPr>
          <w:rFonts w:ascii="Book Antiqua" w:hAnsi="Book Antiqua"/>
          <w:sz w:val="24"/>
          <w:szCs w:val="24"/>
          <w:lang w:val="en-US"/>
        </w:rPr>
        <w:t>analysis</w:t>
      </w:r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C4FED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45]</w:t>
      </w:r>
      <w:r w:rsidR="002847BB" w:rsidRPr="00DA2B25">
        <w:rPr>
          <w:rFonts w:ascii="Book Antiqua" w:hAnsi="Book Antiqua"/>
          <w:sz w:val="24"/>
          <w:szCs w:val="24"/>
          <w:lang w:val="en-US"/>
        </w:rPr>
        <w:t>.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2847BB" w:rsidRPr="00DA2B25">
        <w:rPr>
          <w:rFonts w:ascii="Book Antiqua" w:hAnsi="Book Antiqua"/>
          <w:sz w:val="24"/>
          <w:szCs w:val="24"/>
          <w:lang w:val="en-US"/>
        </w:rPr>
        <w:t xml:space="preserve">According to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2847BB" w:rsidRPr="00DA2B25">
        <w:rPr>
          <w:rFonts w:ascii="Book Antiqua" w:hAnsi="Book Antiqua"/>
          <w:sz w:val="24"/>
          <w:szCs w:val="24"/>
          <w:lang w:val="en-US"/>
        </w:rPr>
        <w:t xml:space="preserve">Writing Group of the </w:t>
      </w:r>
      <w:proofErr w:type="spellStart"/>
      <w:r w:rsidR="002847BB" w:rsidRPr="00DA2B25">
        <w:rPr>
          <w:rFonts w:ascii="Book Antiqua" w:hAnsi="Book Antiqua"/>
          <w:sz w:val="24"/>
          <w:szCs w:val="24"/>
          <w:lang w:val="en-US"/>
        </w:rPr>
        <w:t>Histiocyte</w:t>
      </w:r>
      <w:proofErr w:type="spellEnd"/>
      <w:r w:rsidR="002847BB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2847BB" w:rsidRPr="00DA2B25">
        <w:rPr>
          <w:rFonts w:ascii="Book Antiqua" w:hAnsi="Book Antiqua"/>
          <w:sz w:val="24"/>
          <w:szCs w:val="24"/>
          <w:lang w:val="en-US"/>
        </w:rPr>
        <w:t>Society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46]</w:t>
      </w:r>
      <w:r w:rsidR="00C11F8F" w:rsidRPr="00DA2B25">
        <w:rPr>
          <w:rFonts w:ascii="Book Antiqua" w:hAnsi="Book Antiqua"/>
          <w:sz w:val="24"/>
          <w:szCs w:val="24"/>
          <w:lang w:val="en-US"/>
        </w:rPr>
        <w:t xml:space="preserve"> and recommendations from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 the</w:t>
      </w:r>
      <w:r w:rsidR="00C11F8F" w:rsidRPr="00DA2B25">
        <w:rPr>
          <w:rFonts w:ascii="Book Antiqua" w:hAnsi="Book Antiqua"/>
          <w:sz w:val="24"/>
          <w:szCs w:val="24"/>
          <w:lang w:val="en-US"/>
        </w:rPr>
        <w:t xml:space="preserve"> Euro-</w:t>
      </w:r>
      <w:proofErr w:type="spellStart"/>
      <w:r w:rsidR="00C11F8F" w:rsidRPr="00DA2B25">
        <w:rPr>
          <w:rFonts w:ascii="Book Antiqua" w:hAnsi="Book Antiqua"/>
          <w:sz w:val="24"/>
          <w:szCs w:val="24"/>
          <w:lang w:val="en-US"/>
        </w:rPr>
        <w:t>Histio</w:t>
      </w:r>
      <w:proofErr w:type="spellEnd"/>
      <w:r w:rsidR="00C11F8F" w:rsidRPr="00DA2B25">
        <w:rPr>
          <w:rFonts w:ascii="Book Antiqua" w:hAnsi="Book Antiqua"/>
          <w:sz w:val="24"/>
          <w:szCs w:val="24"/>
          <w:lang w:val="en-US"/>
        </w:rPr>
        <w:t>-Net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[6]</w:t>
      </w:r>
      <w:r w:rsidR="00EE4544" w:rsidRPr="00DA2B25">
        <w:rPr>
          <w:rFonts w:ascii="Book Antiqua" w:hAnsi="Book Antiqua"/>
          <w:sz w:val="24"/>
          <w:szCs w:val="24"/>
          <w:lang w:val="en-US"/>
        </w:rPr>
        <w:t>,</w:t>
      </w:r>
      <w:r w:rsidR="001D3360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247E2A" w:rsidRPr="00DA2B25">
        <w:rPr>
          <w:rFonts w:ascii="Book Antiqua" w:hAnsi="Book Antiqua"/>
          <w:sz w:val="24"/>
          <w:szCs w:val="24"/>
          <w:lang w:val="en-US"/>
        </w:rPr>
        <w:t>in all collected cases</w:t>
      </w:r>
      <w:r w:rsidRPr="00DA2B25">
        <w:rPr>
          <w:rFonts w:ascii="Book Antiqua" w:hAnsi="Book Antiqua"/>
          <w:sz w:val="24"/>
          <w:szCs w:val="24"/>
          <w:lang w:val="en-US"/>
        </w:rPr>
        <w:t>,</w:t>
      </w:r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 the </w:t>
      </w:r>
      <w:r w:rsidRPr="00DA2B25">
        <w:rPr>
          <w:rFonts w:ascii="Book Antiqua" w:hAnsi="Book Antiqua"/>
          <w:sz w:val="24"/>
          <w:szCs w:val="24"/>
          <w:lang w:val="en-US"/>
        </w:rPr>
        <w:t>histopathological</w:t>
      </w:r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 diagnosis was made with positivity of CD1a and/or </w:t>
      </w:r>
      <w:proofErr w:type="spellStart"/>
      <w:r w:rsidR="00247E2A" w:rsidRPr="00DA2B25">
        <w:rPr>
          <w:rFonts w:ascii="Book Antiqua" w:hAnsi="Book Antiqua"/>
          <w:sz w:val="24"/>
          <w:szCs w:val="24"/>
          <w:lang w:val="en-US"/>
        </w:rPr>
        <w:t>Langherin</w:t>
      </w:r>
      <w:proofErr w:type="spellEnd"/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 (CD207) or the presence of </w:t>
      </w:r>
      <w:proofErr w:type="spellStart"/>
      <w:r w:rsidR="00247E2A" w:rsidRPr="00DA2B25">
        <w:rPr>
          <w:rFonts w:ascii="Book Antiqua" w:hAnsi="Book Antiqua"/>
          <w:sz w:val="24"/>
          <w:szCs w:val="24"/>
          <w:lang w:val="en-US"/>
        </w:rPr>
        <w:t>Birbeck</w:t>
      </w:r>
      <w:proofErr w:type="spellEnd"/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 granules on electronic microscopy. All patients were treated with </w:t>
      </w:r>
      <w:proofErr w:type="spellStart"/>
      <w:r w:rsidR="00247E2A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. Moreover, evaluating every single case, we stratified the disease as SS-LCH or MS-LCH. Briefly: SS-LCH 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is defined as having </w:t>
      </w:r>
      <w:r w:rsidR="00247E2A" w:rsidRPr="00DA2B25">
        <w:rPr>
          <w:rFonts w:ascii="Book Antiqua" w:hAnsi="Book Antiqua"/>
          <w:sz w:val="24"/>
          <w:szCs w:val="24"/>
          <w:lang w:val="en-US"/>
        </w:rPr>
        <w:t>one organ or system involved (in particular</w:t>
      </w:r>
      <w:r w:rsidRPr="00DA2B25">
        <w:rPr>
          <w:rFonts w:ascii="Book Antiqua" w:hAnsi="Book Antiqua"/>
          <w:sz w:val="24"/>
          <w:szCs w:val="24"/>
          <w:lang w:val="en-US"/>
        </w:rPr>
        <w:t>,</w:t>
      </w:r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 bone with single or multiple lesions, skin, lymph node, </w:t>
      </w:r>
      <w:r w:rsidR="00EE4544" w:rsidRPr="00DA2B25">
        <w:rPr>
          <w:rFonts w:ascii="Book Antiqua" w:hAnsi="Book Antiqua"/>
          <w:sz w:val="24"/>
          <w:szCs w:val="24"/>
          <w:lang w:val="en-US"/>
        </w:rPr>
        <w:t>hypothalamic</w:t>
      </w:r>
      <w:r w:rsidR="00247E2A" w:rsidRPr="00DA2B25">
        <w:rPr>
          <w:rFonts w:ascii="Book Antiqua" w:hAnsi="Book Antiqua"/>
          <w:sz w:val="24"/>
          <w:szCs w:val="24"/>
          <w:lang w:val="en-US"/>
        </w:rPr>
        <w:t>-</w:t>
      </w:r>
      <w:r w:rsidRPr="00DA2B25">
        <w:rPr>
          <w:rFonts w:ascii="Book Antiqua" w:hAnsi="Book Antiqua"/>
          <w:sz w:val="24"/>
          <w:szCs w:val="24"/>
          <w:lang w:val="en-US"/>
        </w:rPr>
        <w:t>pituitary/</w:t>
      </w:r>
      <w:r w:rsidR="00247E2A" w:rsidRPr="00DA2B25">
        <w:rPr>
          <w:rFonts w:ascii="Book Antiqua" w:hAnsi="Book Antiqua"/>
          <w:sz w:val="24"/>
          <w:szCs w:val="24"/>
          <w:lang w:val="en-US"/>
        </w:rPr>
        <w:t>CNS, lungs or other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 system</w:t>
      </w:r>
      <w:r w:rsidR="00247E2A" w:rsidRPr="00DA2B25">
        <w:rPr>
          <w:rFonts w:ascii="Book Antiqua" w:hAnsi="Book Antiqua"/>
          <w:sz w:val="24"/>
          <w:szCs w:val="24"/>
          <w:lang w:val="en-US"/>
        </w:rPr>
        <w:t>s),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 and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247E2A" w:rsidRPr="00DA2B25">
        <w:rPr>
          <w:rFonts w:ascii="Book Antiqua" w:hAnsi="Book Antiqua"/>
          <w:sz w:val="24"/>
          <w:szCs w:val="24"/>
          <w:lang w:val="en-US"/>
        </w:rPr>
        <w:t xml:space="preserve">MS-LCH </w:t>
      </w:r>
      <w:r w:rsidR="00EE4544" w:rsidRPr="00DA2B25">
        <w:rPr>
          <w:rFonts w:ascii="Book Antiqua" w:hAnsi="Book Antiqua"/>
          <w:sz w:val="24"/>
          <w:szCs w:val="24"/>
          <w:lang w:val="en-US"/>
        </w:rPr>
        <w:t xml:space="preserve">is defined as having </w:t>
      </w:r>
      <w:r w:rsidR="00247E2A" w:rsidRPr="00DA2B25">
        <w:rPr>
          <w:rFonts w:ascii="Book Antiqua" w:hAnsi="Book Antiqua"/>
          <w:sz w:val="24"/>
          <w:szCs w:val="24"/>
          <w:lang w:val="en-US"/>
        </w:rPr>
        <w:t>two or more organs or systems involved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[6]</w:t>
      </w:r>
      <w:r w:rsidR="005736AC" w:rsidRPr="00DA2B25">
        <w:rPr>
          <w:rFonts w:ascii="Book Antiqua" w:hAnsi="Book Antiqua"/>
          <w:sz w:val="24"/>
          <w:szCs w:val="24"/>
          <w:lang w:val="en-US"/>
        </w:rPr>
        <w:t>.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5736AC" w:rsidRPr="00DA2B25">
        <w:rPr>
          <w:rFonts w:ascii="Book Antiqua" w:hAnsi="Book Antiqua"/>
          <w:sz w:val="24"/>
          <w:szCs w:val="24"/>
          <w:lang w:val="en-US"/>
        </w:rPr>
        <w:t xml:space="preserve">To </w:t>
      </w:r>
      <w:r w:rsidRPr="00DA2B25">
        <w:rPr>
          <w:rFonts w:ascii="Book Antiqua" w:hAnsi="Book Antiqua"/>
          <w:sz w:val="24"/>
          <w:szCs w:val="24"/>
          <w:lang w:val="en-US"/>
        </w:rPr>
        <w:t>assess</w:t>
      </w:r>
      <w:r w:rsidR="005736AC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5736AC" w:rsidRPr="00DA2B25">
        <w:rPr>
          <w:rFonts w:ascii="Book Antiqua" w:hAnsi="Book Antiqua"/>
          <w:sz w:val="24"/>
          <w:szCs w:val="24"/>
          <w:lang w:val="en-US"/>
        </w:rPr>
        <w:t>disease state after treatment, we applied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the HS criteria</w:t>
      </w:r>
      <w:r w:rsidR="005736AC" w:rsidRPr="00DA2B25">
        <w:rPr>
          <w:rFonts w:ascii="Book Antiqua" w:hAnsi="Book Antiqua"/>
          <w:sz w:val="24"/>
          <w:szCs w:val="24"/>
          <w:lang w:val="en-US"/>
        </w:rPr>
        <w:t xml:space="preserve"> to every case </w:t>
      </w:r>
      <w:proofErr w:type="gramStart"/>
      <w:r w:rsidR="005736AC" w:rsidRPr="00DA2B25">
        <w:rPr>
          <w:rFonts w:ascii="Book Antiqua" w:hAnsi="Book Antiqua"/>
          <w:sz w:val="24"/>
          <w:szCs w:val="24"/>
          <w:lang w:val="en-US"/>
        </w:rPr>
        <w:t>description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47]</w:t>
      </w:r>
      <w:r w:rsidR="00987F36" w:rsidRPr="00DA2B25">
        <w:rPr>
          <w:rFonts w:ascii="Book Antiqua" w:hAnsi="Book Antiqua"/>
          <w:sz w:val="24"/>
          <w:szCs w:val="24"/>
          <w:lang w:val="en-US"/>
        </w:rPr>
        <w:t>. Briefly</w:t>
      </w:r>
      <w:r w:rsidRPr="00DA2B25">
        <w:rPr>
          <w:rFonts w:ascii="Book Antiqua" w:hAnsi="Book Antiqua"/>
          <w:sz w:val="24"/>
          <w:szCs w:val="24"/>
          <w:lang w:val="en-US"/>
        </w:rPr>
        <w:t>,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 if the authors reported that all signs and symptoms were resolved, we considered the described </w:t>
      </w:r>
      <w:r w:rsidR="008D5693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as having a </w:t>
      </w:r>
      <w:proofErr w:type="spellStart"/>
      <w:r w:rsidR="00987F36" w:rsidRPr="00DA2B25">
        <w:rPr>
          <w:rFonts w:ascii="Book Antiqua" w:hAnsi="Book Antiqua"/>
          <w:sz w:val="24"/>
          <w:szCs w:val="24"/>
          <w:lang w:val="en-US"/>
        </w:rPr>
        <w:t>nonactive</w:t>
      </w:r>
      <w:proofErr w:type="spellEnd"/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 disease (NAD)</w:t>
      </w:r>
      <w:r w:rsidRPr="00DA2B25">
        <w:rPr>
          <w:rFonts w:ascii="Book Antiqua" w:hAnsi="Book Antiqua"/>
          <w:sz w:val="24"/>
          <w:szCs w:val="24"/>
          <w:lang w:val="en-US"/>
        </w:rPr>
        <w:t>;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 otherwise,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8D5693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were classified as having active disease (AD). AD was further subdivided into regressive </w:t>
      </w:r>
      <w:r w:rsidR="00BE1340" w:rsidRPr="00DA2B25">
        <w:rPr>
          <w:rFonts w:ascii="Book Antiqua" w:hAnsi="Book Antiqua"/>
          <w:sz w:val="24"/>
          <w:szCs w:val="24"/>
          <w:lang w:val="en-US"/>
        </w:rPr>
        <w:t>[</w:t>
      </w:r>
      <w:r w:rsidR="00E32924" w:rsidRPr="00DA2B25">
        <w:rPr>
          <w:rFonts w:ascii="Book Antiqua" w:hAnsi="Book Antiqua" w:cs="Arial"/>
          <w:sz w:val="24"/>
          <w:szCs w:val="24"/>
          <w:lang w:val="en-US"/>
        </w:rPr>
        <w:t>active disease regressive</w:t>
      </w:r>
      <w:r w:rsidR="00E32924" w:rsidRPr="00DA2B25">
        <w:rPr>
          <w:rFonts w:ascii="Book Antiqua" w:hAnsi="Book Antiqua"/>
          <w:sz w:val="24"/>
          <w:szCs w:val="24"/>
          <w:lang w:val="en-US"/>
        </w:rPr>
        <w:t xml:space="preserve"> (</w:t>
      </w:r>
      <w:r w:rsidR="00987F36" w:rsidRPr="00DA2B25">
        <w:rPr>
          <w:rFonts w:ascii="Book Antiqua" w:hAnsi="Book Antiqua"/>
          <w:sz w:val="24"/>
          <w:szCs w:val="24"/>
          <w:lang w:val="en-US"/>
        </w:rPr>
        <w:t>AD</w:t>
      </w:r>
      <w:r w:rsidR="00E32924" w:rsidRPr="00DA2B25">
        <w:rPr>
          <w:rFonts w:ascii="Book Antiqua" w:hAnsi="Book Antiqua"/>
          <w:sz w:val="24"/>
          <w:szCs w:val="24"/>
          <w:lang w:val="en-US"/>
        </w:rPr>
        <w:t>R)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; 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improvement 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in the </w:t>
      </w:r>
      <w:r w:rsidR="00987F36" w:rsidRPr="00DA2B25">
        <w:rPr>
          <w:rFonts w:ascii="Book Antiqua" w:hAnsi="Book Antiqua"/>
          <w:sz w:val="24"/>
          <w:szCs w:val="24"/>
          <w:lang w:val="en-US"/>
        </w:rPr>
        <w:t>symptoms or signs, with no new lesions</w:t>
      </w:r>
      <w:r w:rsidR="00E32924" w:rsidRPr="00DA2B25">
        <w:rPr>
          <w:rFonts w:ascii="Book Antiqua" w:hAnsi="Book Antiqua"/>
          <w:sz w:val="24"/>
          <w:szCs w:val="24"/>
          <w:lang w:val="en-US"/>
        </w:rPr>
        <w:t>]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, stable 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[</w:t>
      </w:r>
      <w:r w:rsidR="004C299D" w:rsidRPr="00DA2B25">
        <w:rPr>
          <w:rFonts w:ascii="Book Antiqua" w:hAnsi="Book Antiqua" w:cs="Arial"/>
          <w:sz w:val="24"/>
          <w:szCs w:val="24"/>
          <w:lang w:val="en-US"/>
        </w:rPr>
        <w:t>Active disease stable</w:t>
      </w:r>
      <w:r w:rsidR="004C299D" w:rsidRPr="00DA2B25">
        <w:rPr>
          <w:rFonts w:ascii="Book Antiqua" w:hAnsi="Book Antiqua"/>
          <w:sz w:val="24"/>
          <w:szCs w:val="24"/>
          <w:lang w:val="en-US"/>
        </w:rPr>
        <w:t xml:space="preserve"> (</w:t>
      </w:r>
      <w:r w:rsidR="00A5547D" w:rsidRPr="00DA2B25">
        <w:rPr>
          <w:rFonts w:ascii="Book Antiqua" w:hAnsi="Book Antiqua"/>
          <w:sz w:val="24"/>
          <w:szCs w:val="24"/>
          <w:lang w:val="en-US"/>
        </w:rPr>
        <w:t>A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DS)</w:t>
      </w:r>
      <w:r w:rsidR="00A5547D" w:rsidRPr="00DA2B25">
        <w:rPr>
          <w:rFonts w:ascii="Book Antiqua" w:hAnsi="Book Antiqua"/>
          <w:sz w:val="24"/>
          <w:szCs w:val="24"/>
          <w:lang w:val="en-US"/>
        </w:rPr>
        <w:t xml:space="preserve">; </w:t>
      </w:r>
      <w:r w:rsidR="00987F36" w:rsidRPr="00DA2B25">
        <w:rPr>
          <w:rFonts w:ascii="Book Antiqua" w:hAnsi="Book Antiqua"/>
          <w:sz w:val="24"/>
          <w:szCs w:val="24"/>
          <w:lang w:val="en-US"/>
        </w:rPr>
        <w:t>persistence of symptoms or signs, with no new lesions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]</w:t>
      </w:r>
      <w:r w:rsidR="00987F36" w:rsidRPr="00DA2B25">
        <w:rPr>
          <w:rFonts w:ascii="Book Antiqua" w:hAnsi="Book Antiqua"/>
          <w:sz w:val="24"/>
          <w:szCs w:val="24"/>
          <w:lang w:val="en-US"/>
        </w:rPr>
        <w:t>, or progressive disease (PD</w:t>
      </w:r>
      <w:r w:rsidR="005A55B4" w:rsidRPr="00DA2B25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="005A55B4" w:rsidRPr="00DA2B25">
        <w:rPr>
          <w:rFonts w:ascii="Book Antiqua" w:hAnsi="Book Antiqua"/>
          <w:sz w:val="24"/>
          <w:szCs w:val="24"/>
          <w:lang w:val="en-US" w:eastAsia="zh-CN"/>
        </w:rPr>
        <w:t xml:space="preserve"> (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progression and/or </w:t>
      </w:r>
      <w:r w:rsidRPr="00DA2B25">
        <w:rPr>
          <w:rFonts w:ascii="Book Antiqua" w:hAnsi="Book Antiqua"/>
          <w:sz w:val="24"/>
          <w:szCs w:val="24"/>
          <w:lang w:val="en-US"/>
        </w:rPr>
        <w:t>appearance</w:t>
      </w:r>
      <w:r w:rsidR="00987F36" w:rsidRPr="00DA2B25">
        <w:rPr>
          <w:rFonts w:ascii="Book Antiqua" w:hAnsi="Book Antiqua"/>
          <w:sz w:val="24"/>
          <w:szCs w:val="24"/>
          <w:lang w:val="en-US"/>
        </w:rPr>
        <w:t xml:space="preserve"> of new lesions).</w:t>
      </w:r>
    </w:p>
    <w:p w:rsidR="00355AC4" w:rsidRPr="00DA2B25" w:rsidRDefault="00355AC4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60EE2" w:rsidRPr="00DA2B25" w:rsidRDefault="007E27D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RESULTS</w:t>
      </w:r>
    </w:p>
    <w:p w:rsidR="00987F36" w:rsidRPr="00DA2B25" w:rsidRDefault="002D47A6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>A total of 34 patients (21 female and 13 male)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were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included in this study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, including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17 SS-LCH and 17 MS-LCH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. Detailed information of each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patient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is displayed in </w:t>
      </w:r>
      <w:r w:rsidR="00E444FF" w:rsidRPr="00DA2B25">
        <w:rPr>
          <w:rFonts w:ascii="Book Antiqua" w:hAnsi="Book Antiqua"/>
          <w:sz w:val="24"/>
          <w:szCs w:val="24"/>
          <w:lang w:val="en-US"/>
        </w:rPr>
        <w:t>T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able 2. The mean age at diagnosis was 45.3 years (range 20-73). The skin or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muco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cutaneous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involvement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was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reported in 32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Pr="00DA2B25">
        <w:rPr>
          <w:rFonts w:ascii="Book Antiqua" w:hAnsi="Book Antiqua"/>
          <w:sz w:val="24"/>
          <w:szCs w:val="24"/>
          <w:lang w:val="en-US"/>
        </w:rPr>
        <w:t>(94%)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, and these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were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considered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as having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only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single organ represented in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SS-LCH group. In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addition, the following involved areas were reported: the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genital/perineal zone in 22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trunk in 10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groins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in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9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>,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axillary involvement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in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7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scalp in 5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>,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buccal/mucosal involvement in 5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face in 4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nails in 3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neck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in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2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external auditory meatus in 1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D84C05" w:rsidRPr="00DA2B25">
        <w:rPr>
          <w:rFonts w:ascii="Book Antiqua" w:hAnsi="Book Antiqua"/>
          <w:sz w:val="24"/>
          <w:szCs w:val="24"/>
          <w:lang w:val="en-US"/>
        </w:rPr>
        <w:t>retroauricular</w:t>
      </w:r>
      <w:proofErr w:type="spellEnd"/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 zone 1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feet 1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. The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other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 organ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s</w:t>
      </w:r>
      <w:r w:rsidR="00D84C0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involved </w:t>
      </w:r>
      <w:r w:rsidR="00E444FF" w:rsidRPr="00DA2B25">
        <w:rPr>
          <w:rFonts w:ascii="Book Antiqua" w:hAnsi="Book Antiqua"/>
          <w:sz w:val="24"/>
          <w:szCs w:val="24"/>
          <w:lang w:val="en-US"/>
        </w:rPr>
        <w:t>are reported in T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able 3. Thalidomide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was used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in 32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patients,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="000C56BE" w:rsidRPr="00DA2B25">
        <w:rPr>
          <w:rFonts w:ascii="Book Antiqua" w:hAnsi="Book Antiqua"/>
          <w:sz w:val="24"/>
          <w:szCs w:val="24"/>
          <w:lang w:val="en-US"/>
        </w:rPr>
        <w:t>lenalidomide</w:t>
      </w:r>
      <w:proofErr w:type="spellEnd"/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was used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in 2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. In 14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7E27DD" w:rsidRPr="00DA2B25">
        <w:rPr>
          <w:rFonts w:ascii="Book Antiqua" w:hAnsi="Book Antiqua"/>
          <w:sz w:val="24"/>
          <w:szCs w:val="24"/>
          <w:lang w:val="en-US" w:eastAsia="zh-CN"/>
        </w:rPr>
        <w:t>[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7 SS-LCH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(</w:t>
      </w:r>
      <w:r w:rsidR="000C56BE" w:rsidRPr="00DA2B25">
        <w:rPr>
          <w:rFonts w:ascii="Book Antiqua" w:hAnsi="Book Antiqua"/>
          <w:sz w:val="24"/>
          <w:szCs w:val="24"/>
          <w:lang w:val="en-US"/>
        </w:rPr>
        <w:t>20.5%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)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and 7 MS-LCH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(</w:t>
      </w:r>
      <w:r w:rsidR="000C56BE" w:rsidRPr="00DA2B25">
        <w:rPr>
          <w:rFonts w:ascii="Book Antiqua" w:hAnsi="Book Antiqua"/>
          <w:sz w:val="24"/>
          <w:szCs w:val="24"/>
          <w:lang w:val="en-US"/>
        </w:rPr>
        <w:t>20.5%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)</w:t>
      </w:r>
      <w:r w:rsidR="007E27DD" w:rsidRPr="00DA2B25">
        <w:rPr>
          <w:rFonts w:ascii="Book Antiqua" w:hAnsi="Book Antiqua"/>
          <w:sz w:val="24"/>
          <w:szCs w:val="24"/>
          <w:lang w:val="en-US"/>
        </w:rPr>
        <w:t>]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thalidomide was the first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-</w:t>
      </w:r>
      <w:r w:rsidR="000C56BE" w:rsidRPr="00DA2B25">
        <w:rPr>
          <w:rFonts w:ascii="Book Antiqua" w:hAnsi="Book Antiqua"/>
          <w:sz w:val="24"/>
          <w:szCs w:val="24"/>
          <w:lang w:val="en-US"/>
        </w:rPr>
        <w:t>line therapy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while in 20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>(58.8%)</w:t>
      </w:r>
      <w:r w:rsidR="00A06E7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C56BE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were the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therapy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that followed treatment with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>steroids, radiotherapy, surgery and chemotherapy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. The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details of treatment type</w:t>
      </w:r>
      <w:r w:rsidR="00D14638" w:rsidRPr="00DA2B25">
        <w:rPr>
          <w:rFonts w:ascii="Book Antiqua" w:hAnsi="Book Antiqua"/>
          <w:sz w:val="24"/>
          <w:szCs w:val="24"/>
          <w:lang w:val="en-US"/>
        </w:rPr>
        <w:t>s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E444FF" w:rsidRPr="00DA2B25">
        <w:rPr>
          <w:rFonts w:ascii="Book Antiqua" w:hAnsi="Book Antiqua"/>
          <w:sz w:val="24"/>
          <w:szCs w:val="24"/>
          <w:lang w:val="en-US"/>
        </w:rPr>
        <w:t>are summarized in T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able 4. The mean thalidomide dosage was 155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mg/</w:t>
      </w:r>
      <w:r w:rsidR="007E27DD" w:rsidRPr="00DA2B25">
        <w:rPr>
          <w:rFonts w:ascii="Book Antiqua" w:hAnsi="Book Antiqua"/>
          <w:sz w:val="24"/>
          <w:szCs w:val="24"/>
          <w:lang w:val="en-US"/>
        </w:rPr>
        <w:t>d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(range 50-500 mg),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D14638" w:rsidRPr="00DA2B25">
        <w:rPr>
          <w:rFonts w:ascii="Book Antiqua" w:hAnsi="Book Antiqua"/>
          <w:sz w:val="24"/>
          <w:szCs w:val="24"/>
          <w:lang w:val="en-US"/>
        </w:rPr>
        <w:t xml:space="preserve">the mean </w:t>
      </w:r>
      <w:proofErr w:type="spellStart"/>
      <w:r w:rsidR="000C56BE" w:rsidRPr="00DA2B25">
        <w:rPr>
          <w:rFonts w:ascii="Book Antiqua" w:hAnsi="Book Antiqua"/>
          <w:sz w:val="24"/>
          <w:szCs w:val="24"/>
          <w:lang w:val="en-US"/>
        </w:rPr>
        <w:t>lenaldomide</w:t>
      </w:r>
      <w:proofErr w:type="spellEnd"/>
      <w:r w:rsidR="00D14638" w:rsidRPr="00DA2B25">
        <w:rPr>
          <w:rFonts w:ascii="Book Antiqua" w:hAnsi="Book Antiqua"/>
          <w:sz w:val="24"/>
          <w:szCs w:val="24"/>
          <w:lang w:val="en-US"/>
        </w:rPr>
        <w:t xml:space="preserve"> dosage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was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25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mg/</w:t>
      </w:r>
      <w:r w:rsidR="007E27DD" w:rsidRPr="00DA2B25">
        <w:rPr>
          <w:rFonts w:ascii="Book Antiqua" w:hAnsi="Book Antiqua"/>
          <w:sz w:val="24"/>
          <w:szCs w:val="24"/>
          <w:lang w:val="en-US"/>
        </w:rPr>
        <w:t>d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in case</w:t>
      </w:r>
      <w:r w:rsidR="00D14638" w:rsidRPr="00DA2B25">
        <w:rPr>
          <w:rFonts w:ascii="Book Antiqua" w:hAnsi="Book Antiqua"/>
          <w:sz w:val="24"/>
          <w:szCs w:val="24"/>
          <w:lang w:val="en-US"/>
        </w:rPr>
        <w:t xml:space="preserve"> study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of </w:t>
      </w:r>
      <w:r w:rsidR="0090209E" w:rsidRPr="00DA2B25">
        <w:rPr>
          <w:rFonts w:ascii="Book Antiqua" w:hAnsi="Book Antiqua"/>
          <w:sz w:val="24"/>
          <w:szCs w:val="24"/>
        </w:rPr>
        <w:t>Szturz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141FB4" w:rsidRPr="00DA2B25">
        <w:rPr>
          <w:rFonts w:ascii="Book Antiqua" w:hAnsi="Book Antiqua"/>
          <w:i/>
          <w:sz w:val="24"/>
          <w:szCs w:val="24"/>
          <w:lang w:val="en-US"/>
        </w:rPr>
        <w:t>et al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[41]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and 10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mg/</w:t>
      </w:r>
      <w:r w:rsidR="007E27DD" w:rsidRPr="00DA2B25">
        <w:rPr>
          <w:rFonts w:ascii="Book Antiqua" w:hAnsi="Book Antiqua"/>
          <w:sz w:val="24"/>
          <w:szCs w:val="24"/>
          <w:lang w:val="en-US"/>
        </w:rPr>
        <w:t>d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in the </w:t>
      </w:r>
      <w:r w:rsidR="000C56BE" w:rsidRPr="00DA2B25">
        <w:rPr>
          <w:rFonts w:ascii="Book Antiqua" w:hAnsi="Book Antiqua"/>
          <w:sz w:val="24"/>
          <w:szCs w:val="24"/>
          <w:lang w:val="en-US"/>
        </w:rPr>
        <w:t>case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 study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by</w:t>
      </w:r>
      <w:r w:rsidR="000C56BE" w:rsidRPr="00DA2B25">
        <w:rPr>
          <w:rFonts w:ascii="Book Antiqua" w:hAnsi="Book Antiqua"/>
          <w:sz w:val="24"/>
          <w:szCs w:val="24"/>
          <w:lang w:val="en-US"/>
        </w:rPr>
        <w:t xml:space="preserve"> El-Safadi </w:t>
      </w:r>
      <w:r w:rsidR="00141FB4" w:rsidRPr="00DA2B25">
        <w:rPr>
          <w:rFonts w:ascii="Book Antiqua" w:hAnsi="Book Antiqua"/>
          <w:i/>
          <w:sz w:val="24"/>
          <w:szCs w:val="24"/>
          <w:lang w:val="en-US"/>
        </w:rPr>
        <w:t>et al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[24]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.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The mean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duration </w:t>
      </w:r>
      <w:r w:rsidR="00A06E7D" w:rsidRPr="00DA2B25">
        <w:rPr>
          <w:rFonts w:ascii="Book Antiqua" w:hAnsi="Book Antiqua"/>
          <w:sz w:val="24"/>
          <w:szCs w:val="24"/>
          <w:lang w:val="en-US"/>
        </w:rPr>
        <w:t xml:space="preserve">of therapy with </w:t>
      </w:r>
      <w:proofErr w:type="spellStart"/>
      <w:r w:rsidR="00960C37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was 10.7 </w:t>
      </w:r>
      <w:r w:rsidR="00141FB4" w:rsidRPr="00DA2B25">
        <w:rPr>
          <w:rFonts w:ascii="Book Antiqua" w:hAnsi="Book Antiqua"/>
          <w:sz w:val="24"/>
          <w:szCs w:val="24"/>
          <w:lang w:val="en-US"/>
        </w:rPr>
        <w:t>mo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.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Regarding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adverse events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the authors reported fatigue/somnolence in 9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(22.5%), neuropathy in 6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(15%), constipation in 1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patient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(2.5%),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thrombosis in 1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(2.5%), skin rash in 1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(2.5%)</w:t>
      </w:r>
      <w:r w:rsidR="00141FB4" w:rsidRPr="00DA2B25">
        <w:rPr>
          <w:rFonts w:ascii="Book Antiqua" w:hAnsi="Book Antiqua"/>
          <w:sz w:val="24"/>
          <w:szCs w:val="24"/>
          <w:lang w:val="en-US"/>
        </w:rPr>
        <w:t>,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and neutropenia in 1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patient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(2.5%).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Regarding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outcome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s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, considering NAD and ADR, the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overall response rate was 73.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5%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AD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S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was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reported in 20.5% of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and PD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was reported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in 6% of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. In the SS-LCH group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16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(94%) achieved NAD/AD</w:t>
      </w:r>
      <w:r w:rsidR="00E32924" w:rsidRPr="00DA2B25">
        <w:rPr>
          <w:rFonts w:ascii="Book Antiqua" w:hAnsi="Book Antiqua"/>
          <w:sz w:val="24"/>
          <w:szCs w:val="24"/>
          <w:lang w:val="en-US"/>
        </w:rPr>
        <w:t>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and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42AE3" w:rsidRPr="00DA2B25">
        <w:rPr>
          <w:rFonts w:ascii="Book Antiqua" w:hAnsi="Book Antiqua"/>
          <w:sz w:val="24"/>
          <w:szCs w:val="24"/>
          <w:lang w:val="en-US"/>
        </w:rPr>
        <w:t xml:space="preserve">one patient (6%) achieved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PD; in the MS-LCH group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9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42AE3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(53%) achieved NAD/AD</w:t>
      </w:r>
      <w:r w:rsidR="00E32924" w:rsidRPr="00DA2B25">
        <w:rPr>
          <w:rFonts w:ascii="Book Antiqua" w:hAnsi="Book Antiqua"/>
          <w:sz w:val="24"/>
          <w:szCs w:val="24"/>
          <w:lang w:val="en-US"/>
        </w:rPr>
        <w:t>R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,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7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42AE3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(41%) achieved </w:t>
      </w:r>
      <w:proofErr w:type="gramStart"/>
      <w:r w:rsidR="00960C37" w:rsidRPr="00DA2B25">
        <w:rPr>
          <w:rFonts w:ascii="Book Antiqua" w:hAnsi="Book Antiqua"/>
          <w:sz w:val="24"/>
          <w:szCs w:val="24"/>
          <w:lang w:val="en-US"/>
        </w:rPr>
        <w:t>a</w:t>
      </w:r>
      <w:proofErr w:type="gramEnd"/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AD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S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and one </w:t>
      </w:r>
      <w:r w:rsidR="00F42AE3" w:rsidRPr="00DA2B25">
        <w:rPr>
          <w:rFonts w:ascii="Book Antiqua" w:hAnsi="Book Antiqua"/>
          <w:sz w:val="24"/>
          <w:szCs w:val="24"/>
          <w:lang w:val="en-US"/>
        </w:rPr>
        <w:t>patient had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PD (Figure 1). After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starting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therapy, the follow-up was evaluable in 30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42AE3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with any response (NAD/AD</w:t>
      </w:r>
      <w:r w:rsidR="00E32924" w:rsidRPr="00DA2B25">
        <w:rPr>
          <w:rFonts w:ascii="Book Antiqua" w:hAnsi="Book Antiqua"/>
          <w:sz w:val="24"/>
          <w:szCs w:val="24"/>
          <w:lang w:val="en-US"/>
        </w:rPr>
        <w:t>R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/AD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S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/PD) </w:t>
      </w:r>
      <w:r w:rsidR="00F42AE3" w:rsidRPr="00DA2B25">
        <w:rPr>
          <w:rFonts w:ascii="Book Antiqua" w:hAnsi="Book Antiqua"/>
          <w:sz w:val="24"/>
          <w:szCs w:val="24"/>
          <w:lang w:val="en-US"/>
        </w:rPr>
        <w:t xml:space="preserve">at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a mean of 11.6 </w:t>
      </w:r>
      <w:proofErr w:type="spellStart"/>
      <w:proofErr w:type="gramStart"/>
      <w:r w:rsidR="00141FB4" w:rsidRPr="00DA2B25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proofErr w:type="gramEnd"/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(range 3-60). During follow-up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7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42AE3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(23.3%) (2 SS-LCH and 5 MS-LCH) were referred for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other</w:t>
      </w:r>
      <w:r w:rsidR="00960C37" w:rsidRPr="00DA2B25">
        <w:rPr>
          <w:rFonts w:ascii="Book Antiqua" w:hAnsi="Book Antiqua"/>
          <w:sz w:val="24"/>
          <w:szCs w:val="24"/>
          <w:lang w:val="en-US"/>
        </w:rPr>
        <w:t xml:space="preserve"> cytotoxic regimens because of relapse or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subo</w:t>
      </w:r>
      <w:r w:rsidR="00960C37" w:rsidRPr="00DA2B25">
        <w:rPr>
          <w:rFonts w:ascii="Book Antiqua" w:hAnsi="Book Antiqua"/>
          <w:sz w:val="24"/>
          <w:szCs w:val="24"/>
          <w:lang w:val="en-US"/>
        </w:rPr>
        <w:t>ptimal disease control.</w:t>
      </w:r>
    </w:p>
    <w:p w:rsidR="00DE603D" w:rsidRPr="00DA2B25" w:rsidRDefault="00DE603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2697D" w:rsidRPr="00DA2B25" w:rsidRDefault="00141FB4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DISCUSSION</w:t>
      </w:r>
    </w:p>
    <w:p w:rsidR="005C377F" w:rsidRPr="00DA2B25" w:rsidRDefault="00EA4EAD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 xml:space="preserve">Because of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>rarity of LCH, there are no standard therapies for adults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and no prospective trials have been undertaken on this setting population. According to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>standard pediatric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treatment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A2B25">
        <w:rPr>
          <w:rFonts w:ascii="Book Antiqua" w:hAnsi="Book Antiqua"/>
          <w:sz w:val="24"/>
          <w:szCs w:val="24"/>
          <w:lang w:val="en-US"/>
        </w:rPr>
        <w:t>vinblastine/prednisone treatment experience has been employed in adults; however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suboptimal efficacy and near universal toxicity have been </w:t>
      </w:r>
      <w:proofErr w:type="gramStart"/>
      <w:r w:rsidRPr="00DA2B25">
        <w:rPr>
          <w:rFonts w:ascii="Book Antiqua" w:hAnsi="Book Antiqua"/>
          <w:sz w:val="24"/>
          <w:szCs w:val="24"/>
          <w:lang w:val="en-US"/>
        </w:rPr>
        <w:t>reported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11]</w:t>
      </w:r>
      <w:r w:rsidR="00240485" w:rsidRPr="00DA2B25">
        <w:rPr>
          <w:rFonts w:ascii="Book Antiqua" w:hAnsi="Book Antiqua"/>
          <w:sz w:val="24"/>
          <w:szCs w:val="24"/>
          <w:lang w:val="en-US"/>
        </w:rPr>
        <w:t>. More recently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 in a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retrospective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 study, 35 adults (28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with MS-LCH)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were </w:t>
      </w:r>
      <w:r w:rsidR="00240485" w:rsidRPr="00DA2B25">
        <w:rPr>
          <w:rFonts w:ascii="Book Antiqua" w:hAnsi="Book Antiqua"/>
          <w:sz w:val="24"/>
          <w:szCs w:val="24"/>
          <w:lang w:val="en-US"/>
        </w:rPr>
        <w:t>treated with vinblastine and steroids as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a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 first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-</w:t>
      </w:r>
      <w:r w:rsidR="00240485" w:rsidRPr="00DA2B25">
        <w:rPr>
          <w:rFonts w:ascii="Book Antiqua" w:hAnsi="Book Antiqua"/>
          <w:sz w:val="24"/>
          <w:szCs w:val="24"/>
          <w:lang w:val="en-US"/>
        </w:rPr>
        <w:t>line therapy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 achieving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an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 overall response rate of 71</w:t>
      </w:r>
      <w:proofErr w:type="gramStart"/>
      <w:r w:rsidR="00240485" w:rsidRPr="00DA2B25">
        <w:rPr>
          <w:rFonts w:ascii="Book Antiqua" w:hAnsi="Book Antiqua"/>
          <w:sz w:val="24"/>
          <w:szCs w:val="24"/>
          <w:lang w:val="en-US"/>
        </w:rPr>
        <w:t>%</w:t>
      </w:r>
      <w:r w:rsidR="00EB1EB7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EB1EB7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48].</w:t>
      </w:r>
      <w:r w:rsidR="00324B64" w:rsidRPr="00DA2B25">
        <w:rPr>
          <w:rFonts w:ascii="Book Antiqua" w:hAnsi="Book Antiqua"/>
          <w:sz w:val="24"/>
          <w:szCs w:val="24"/>
          <w:lang w:val="en-US"/>
        </w:rPr>
        <w:t xml:space="preserve"> In this study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324B64" w:rsidRPr="00DA2B25">
        <w:rPr>
          <w:rFonts w:ascii="Book Antiqua" w:hAnsi="Book Antiqua"/>
          <w:sz w:val="24"/>
          <w:szCs w:val="24"/>
          <w:lang w:val="en-US"/>
        </w:rPr>
        <w:t xml:space="preserve"> neutropenia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was </w:t>
      </w:r>
      <w:r w:rsidR="00324B64" w:rsidRPr="00DA2B25">
        <w:rPr>
          <w:rFonts w:ascii="Book Antiqua" w:hAnsi="Book Antiqua"/>
          <w:sz w:val="24"/>
          <w:szCs w:val="24"/>
          <w:lang w:val="en-US"/>
        </w:rPr>
        <w:t xml:space="preserve">reported in 17% of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324B64" w:rsidRPr="00DA2B25">
        <w:rPr>
          <w:rFonts w:ascii="Book Antiqua" w:hAnsi="Book Antiqua"/>
          <w:sz w:val="24"/>
          <w:szCs w:val="24"/>
          <w:lang w:val="en-US"/>
        </w:rPr>
        <w:t xml:space="preserve">, peripheral sensitive neuropathy (grade 2) in 26% of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324B64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324B64" w:rsidRPr="00DA2B25">
        <w:rPr>
          <w:rFonts w:ascii="Book Antiqua" w:hAnsi="Book Antiqua"/>
          <w:sz w:val="24"/>
          <w:szCs w:val="24"/>
          <w:lang w:val="en-US"/>
        </w:rPr>
        <w:t xml:space="preserve">peripheral motor neuropathy (grade 2) in 3% of </w:t>
      </w:r>
      <w:proofErr w:type="gramStart"/>
      <w:r w:rsidR="00F8140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48]</w:t>
      </w:r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. As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an </w:t>
      </w:r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alternative choice to vinblastine,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other</w:t>
      </w:r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 drugs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 such as </w:t>
      </w:r>
      <w:proofErr w:type="spellStart"/>
      <w:r w:rsidR="009D06FD" w:rsidRPr="00DA2B25">
        <w:rPr>
          <w:rFonts w:ascii="Book Antiqua" w:hAnsi="Book Antiqua"/>
          <w:sz w:val="24"/>
          <w:szCs w:val="24"/>
          <w:lang w:val="en-US"/>
        </w:rPr>
        <w:t>cladribine</w:t>
      </w:r>
      <w:proofErr w:type="spellEnd"/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 and cytosine </w:t>
      </w:r>
      <w:proofErr w:type="spellStart"/>
      <w:r w:rsidR="009D06FD" w:rsidRPr="00DA2B25">
        <w:rPr>
          <w:rFonts w:ascii="Book Antiqua" w:hAnsi="Book Antiqua"/>
          <w:sz w:val="24"/>
          <w:szCs w:val="24"/>
          <w:lang w:val="en-US"/>
        </w:rPr>
        <w:t>arabinoside</w:t>
      </w:r>
      <w:proofErr w:type="spellEnd"/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 (ARA-c)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D06FD" w:rsidRPr="00DA2B25">
        <w:rPr>
          <w:rFonts w:ascii="Book Antiqua" w:hAnsi="Book Antiqua"/>
          <w:sz w:val="24"/>
          <w:szCs w:val="24"/>
          <w:lang w:val="en-US"/>
        </w:rPr>
        <w:t xml:space="preserve"> have been considered in </w:t>
      </w:r>
      <w:proofErr w:type="gramStart"/>
      <w:r w:rsidR="009D06FD" w:rsidRPr="00DA2B25">
        <w:rPr>
          <w:rFonts w:ascii="Book Antiqua" w:hAnsi="Book Antiqua"/>
          <w:sz w:val="24"/>
          <w:szCs w:val="24"/>
          <w:lang w:val="en-US"/>
        </w:rPr>
        <w:t>adults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1,11]</w:t>
      </w:r>
      <w:r w:rsidR="0090256A" w:rsidRPr="00DA2B25">
        <w:rPr>
          <w:rFonts w:ascii="Book Antiqua" w:hAnsi="Book Antiqua"/>
          <w:sz w:val="24"/>
          <w:szCs w:val="24"/>
          <w:lang w:val="en-US"/>
        </w:rPr>
        <w:t>.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0256A" w:rsidRPr="00DA2B25">
        <w:rPr>
          <w:rFonts w:ascii="Book Antiqua" w:hAnsi="Book Antiqua"/>
          <w:sz w:val="24"/>
          <w:szCs w:val="24"/>
          <w:lang w:val="en-US"/>
        </w:rPr>
        <w:t>In particular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90256A" w:rsidRPr="00DA2B25">
        <w:rPr>
          <w:rFonts w:ascii="Book Antiqua" w:hAnsi="Book Antiqua"/>
          <w:sz w:val="24"/>
          <w:szCs w:val="24"/>
          <w:lang w:val="en-US"/>
        </w:rPr>
        <w:t>Saven</w:t>
      </w:r>
      <w:proofErr w:type="spellEnd"/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141FB4" w:rsidRPr="00DA2B25">
        <w:rPr>
          <w:rFonts w:ascii="Book Antiqua" w:hAnsi="Book Antiqua"/>
          <w:i/>
          <w:iCs/>
          <w:sz w:val="24"/>
          <w:szCs w:val="24"/>
          <w:lang w:val="en-US"/>
        </w:rPr>
        <w:t xml:space="preserve">et </w:t>
      </w:r>
      <w:proofErr w:type="gramStart"/>
      <w:r w:rsidR="00141FB4" w:rsidRPr="00DA2B25">
        <w:rPr>
          <w:rFonts w:ascii="Book Antiqua" w:hAnsi="Book Antiqua"/>
          <w:i/>
          <w:iCs/>
          <w:sz w:val="24"/>
          <w:szCs w:val="24"/>
          <w:lang w:val="en-US"/>
        </w:rPr>
        <w:t>al</w:t>
      </w:r>
      <w:r w:rsidR="00141FB4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7550E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14</w:t>
      </w:r>
      <w:r w:rsidR="00141FB4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]</w:t>
      </w:r>
      <w:r w:rsidR="00141FB4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conducted phase II trials with </w:t>
      </w:r>
      <w:proofErr w:type="spellStart"/>
      <w:r w:rsidR="0090256A" w:rsidRPr="00DA2B25">
        <w:rPr>
          <w:rFonts w:ascii="Book Antiqua" w:hAnsi="Book Antiqua"/>
          <w:sz w:val="24"/>
          <w:szCs w:val="24"/>
          <w:lang w:val="en-US"/>
        </w:rPr>
        <w:t>cladribine</w:t>
      </w:r>
      <w:proofErr w:type="spellEnd"/>
      <w:r w:rsidR="00F8140F" w:rsidRPr="00DA2B25">
        <w:rPr>
          <w:rFonts w:ascii="Book Antiqua" w:hAnsi="Book Antiqua"/>
          <w:sz w:val="24"/>
          <w:szCs w:val="24"/>
          <w:lang w:val="en-US"/>
        </w:rPr>
        <w:t>;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in total, 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13 patients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were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enrolled with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an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overall response rate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of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75%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with </w:t>
      </w:r>
      <w:r w:rsidR="0090256A" w:rsidRPr="00DA2B25">
        <w:rPr>
          <w:rFonts w:ascii="Book Antiqua" w:hAnsi="Book Antiqua"/>
          <w:sz w:val="24"/>
          <w:szCs w:val="24"/>
          <w:lang w:val="en-US"/>
        </w:rPr>
        <w:t>not only skin involvement but also soft tissues, lymph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nodes</w:t>
      </w:r>
      <w:r w:rsidR="0090256A" w:rsidRPr="00DA2B25">
        <w:rPr>
          <w:rFonts w:ascii="Book Antiqua" w:hAnsi="Book Antiqua"/>
          <w:sz w:val="24"/>
          <w:szCs w:val="24"/>
          <w:lang w:val="en-US"/>
        </w:rPr>
        <w:t>, bones and pulmonary sites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.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90256A" w:rsidRPr="00DA2B25">
        <w:rPr>
          <w:rFonts w:ascii="Book Antiqua" w:hAnsi="Book Antiqua"/>
          <w:sz w:val="24"/>
          <w:szCs w:val="24"/>
          <w:lang w:val="en-US"/>
        </w:rPr>
        <w:t xml:space="preserve">principal acute toxicity was hematologic with seven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0256A" w:rsidRPr="00DA2B25">
        <w:rPr>
          <w:rFonts w:ascii="Book Antiqua" w:hAnsi="Book Antiqua"/>
          <w:sz w:val="24"/>
          <w:szCs w:val="24"/>
          <w:lang w:val="en-US"/>
        </w:rPr>
        <w:t>experiencing grade 3 or 4 neutropenia</w:t>
      </w:r>
      <w:r w:rsidR="00F54032" w:rsidRPr="00DA2B25">
        <w:rPr>
          <w:rFonts w:ascii="Book Antiqua" w:hAnsi="Book Antiqua"/>
          <w:sz w:val="24"/>
          <w:szCs w:val="24"/>
          <w:lang w:val="en-US"/>
        </w:rPr>
        <w:t>. On other hand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,</w:t>
      </w:r>
      <w:r w:rsidR="00F54032" w:rsidRPr="00DA2B25">
        <w:rPr>
          <w:rFonts w:ascii="Book Antiqua" w:hAnsi="Book Antiqua"/>
          <w:sz w:val="24"/>
          <w:szCs w:val="24"/>
          <w:lang w:val="en-US"/>
        </w:rPr>
        <w:t xml:space="preserve"> Cantu </w:t>
      </w:r>
      <w:r w:rsidR="00141FB4" w:rsidRPr="00DA2B25">
        <w:rPr>
          <w:rFonts w:ascii="Book Antiqua" w:hAnsi="Book Antiqua"/>
          <w:i/>
          <w:sz w:val="24"/>
          <w:szCs w:val="24"/>
          <w:lang w:val="en-US"/>
        </w:rPr>
        <w:t>et al</w:t>
      </w:r>
      <w:r w:rsidR="005C377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[11]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54032" w:rsidRPr="00DA2B25">
        <w:rPr>
          <w:rFonts w:ascii="Book Antiqua" w:hAnsi="Book Antiqua"/>
          <w:sz w:val="24"/>
          <w:szCs w:val="24"/>
          <w:lang w:val="en-US"/>
        </w:rPr>
        <w:t>reported a retrospective study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in which</w:t>
      </w:r>
      <w:r w:rsidR="00F54032" w:rsidRPr="00DA2B25">
        <w:rPr>
          <w:rFonts w:ascii="Book Antiqua" w:hAnsi="Book Antiqua"/>
          <w:sz w:val="24"/>
          <w:szCs w:val="24"/>
          <w:lang w:val="en-US"/>
        </w:rPr>
        <w:t xml:space="preserve"> the poor response rate of ARA-c (21%) and the number of grade 3-4 toxic events (20%) were lowest of the three regimens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shown</w:t>
      </w:r>
      <w:r w:rsidR="00F54032" w:rsidRPr="00DA2B25">
        <w:rPr>
          <w:rFonts w:ascii="Book Antiqua" w:hAnsi="Book Antiqua"/>
          <w:sz w:val="24"/>
          <w:szCs w:val="24"/>
          <w:lang w:val="en-US"/>
        </w:rPr>
        <w:t xml:space="preserve"> in the study (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vinblastine</w:t>
      </w:r>
      <w:r w:rsidR="00F54032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F8140F" w:rsidRPr="00DA2B25">
        <w:rPr>
          <w:rFonts w:ascii="Book Antiqua" w:hAnsi="Book Antiqua"/>
          <w:sz w:val="24"/>
          <w:szCs w:val="24"/>
          <w:lang w:val="en-US"/>
        </w:rPr>
        <w:t>cladribin</w:t>
      </w:r>
      <w:proofErr w:type="spellEnd"/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54032" w:rsidRPr="00DA2B25">
        <w:rPr>
          <w:rFonts w:ascii="Book Antiqua" w:hAnsi="Book Antiqua"/>
          <w:sz w:val="24"/>
          <w:szCs w:val="24"/>
          <w:lang w:val="en-US"/>
        </w:rPr>
        <w:t>and ARA-c) in patients with bone involvement</w:t>
      </w:r>
      <w:r w:rsidR="00240485" w:rsidRPr="00DA2B25">
        <w:rPr>
          <w:rFonts w:ascii="Book Antiqua" w:hAnsi="Book Antiqua"/>
          <w:sz w:val="24"/>
          <w:szCs w:val="24"/>
          <w:lang w:val="en-US"/>
        </w:rPr>
        <w:t>.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240485" w:rsidRPr="00DA2B25">
        <w:rPr>
          <w:rFonts w:ascii="Book Antiqua" w:hAnsi="Book Antiqua"/>
          <w:sz w:val="24"/>
          <w:szCs w:val="24"/>
          <w:lang w:val="en-US"/>
        </w:rPr>
        <w:t>Retrospective analyses of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the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 MACOP-B regimen (</w:t>
      </w:r>
      <w:proofErr w:type="spellStart"/>
      <w:r w:rsidR="00F8140F" w:rsidRPr="00DA2B25">
        <w:rPr>
          <w:rFonts w:ascii="Book Antiqua" w:hAnsi="Book Antiqua"/>
          <w:sz w:val="24"/>
          <w:szCs w:val="24"/>
          <w:lang w:val="en-US"/>
        </w:rPr>
        <w:t>methorexate</w:t>
      </w:r>
      <w:proofErr w:type="spellEnd"/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doxorubicin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F8140F" w:rsidRPr="00DA2B25">
        <w:rPr>
          <w:rFonts w:ascii="Book Antiqua" w:hAnsi="Book Antiqua"/>
          <w:sz w:val="24"/>
          <w:szCs w:val="24"/>
          <w:lang w:val="en-US"/>
        </w:rPr>
        <w:t>cyclosphamide</w:t>
      </w:r>
      <w:proofErr w:type="spellEnd"/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vincristine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,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prednisone</w:t>
      </w:r>
      <w:r w:rsidR="005C377F" w:rsidRPr="00DA2B25">
        <w:rPr>
          <w:rFonts w:ascii="Book Antiqua" w:hAnsi="Book Antiqua"/>
          <w:sz w:val="24"/>
          <w:szCs w:val="24"/>
          <w:lang w:val="en-US"/>
        </w:rPr>
        <w:t>,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bleomycin</w:t>
      </w:r>
      <w:r w:rsidR="00240485" w:rsidRPr="00DA2B25">
        <w:rPr>
          <w:rFonts w:ascii="Book Antiqua" w:hAnsi="Book Antiqua"/>
          <w:sz w:val="24"/>
          <w:szCs w:val="24"/>
          <w:lang w:val="en-US"/>
        </w:rPr>
        <w:t xml:space="preserve">) have shown high </w:t>
      </w:r>
      <w:proofErr w:type="gramStart"/>
      <w:r w:rsidR="00240485" w:rsidRPr="00DA2B25">
        <w:rPr>
          <w:rFonts w:ascii="Book Antiqua" w:hAnsi="Book Antiqua"/>
          <w:sz w:val="24"/>
          <w:szCs w:val="24"/>
          <w:lang w:val="en-US"/>
        </w:rPr>
        <w:t>efficacy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13]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63267" w:rsidRPr="00DA2B25">
        <w:rPr>
          <w:rFonts w:ascii="Book Antiqua" w:hAnsi="Book Antiqua"/>
          <w:sz w:val="24"/>
          <w:szCs w:val="24"/>
          <w:lang w:val="en-US"/>
        </w:rPr>
        <w:t>in adults with LCH. However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this intensive treatment should be reserved for very severe cases. The BRAF-V600E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mutation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gene discovery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paved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the way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for 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targeted therapies such as BRAF or MEK inhibitors in patients with </w:t>
      </w:r>
      <w:proofErr w:type="gramStart"/>
      <w:r w:rsidR="00D63267" w:rsidRPr="00DA2B25">
        <w:rPr>
          <w:rFonts w:ascii="Book Antiqua" w:hAnsi="Book Antiqua"/>
          <w:sz w:val="24"/>
          <w:szCs w:val="24"/>
          <w:lang w:val="en-US"/>
        </w:rPr>
        <w:t>LCH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17550E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49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]</w:t>
      </w:r>
      <w:r w:rsidR="00D63267" w:rsidRPr="00DA2B25">
        <w:rPr>
          <w:rFonts w:ascii="Book Antiqua" w:hAnsi="Book Antiqua"/>
          <w:sz w:val="24"/>
          <w:szCs w:val="24"/>
          <w:lang w:val="en-US"/>
        </w:rPr>
        <w:t>.</w:t>
      </w:r>
      <w:r w:rsidR="007B10DD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63267" w:rsidRPr="00DA2B25">
        <w:rPr>
          <w:rFonts w:ascii="Book Antiqua" w:hAnsi="Book Antiqua"/>
          <w:sz w:val="24"/>
          <w:szCs w:val="24"/>
          <w:lang w:val="en-US"/>
        </w:rPr>
        <w:t>In particular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D63267" w:rsidRPr="00DA2B25">
        <w:rPr>
          <w:rFonts w:ascii="Book Antiqua" w:hAnsi="Book Antiqua"/>
          <w:sz w:val="24"/>
          <w:szCs w:val="24"/>
          <w:lang w:val="en-US"/>
        </w:rPr>
        <w:t>vemurafenib</w:t>
      </w:r>
      <w:proofErr w:type="spellEnd"/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is the first selective BRAF inhibitor approved by the </w:t>
      </w:r>
      <w:r w:rsidR="0090209E" w:rsidRPr="00DA2B25">
        <w:rPr>
          <w:rFonts w:ascii="Book Antiqua" w:hAnsi="Book Antiqua"/>
          <w:sz w:val="24"/>
          <w:szCs w:val="24"/>
          <w:lang w:val="en-US"/>
        </w:rPr>
        <w:t>United States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0209E" w:rsidRPr="00DA2B25">
        <w:rPr>
          <w:rFonts w:ascii="Book Antiqua" w:hAnsi="Book Antiqua"/>
          <w:sz w:val="24"/>
          <w:szCs w:val="24"/>
          <w:lang w:val="en-US"/>
        </w:rPr>
        <w:t xml:space="preserve">Food and Drug </w:t>
      </w:r>
      <w:r w:rsidR="0090209E" w:rsidRPr="00DA2B25">
        <w:rPr>
          <w:rFonts w:ascii="Book Antiqua" w:hAnsi="Book Antiqua"/>
          <w:sz w:val="24"/>
          <w:szCs w:val="24"/>
        </w:rPr>
        <w:t>Administration</w:t>
      </w:r>
      <w:r w:rsidR="0090209E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for malignant melanomas where BRAF mutations are expressed. However, in melanoma trials, </w:t>
      </w:r>
      <w:proofErr w:type="spellStart"/>
      <w:r w:rsidR="00D63267" w:rsidRPr="00DA2B25">
        <w:rPr>
          <w:rFonts w:ascii="Book Antiqua" w:hAnsi="Book Antiqua"/>
          <w:sz w:val="24"/>
          <w:szCs w:val="24"/>
          <w:lang w:val="en-US"/>
        </w:rPr>
        <w:t>vemurafenib</w:t>
      </w:r>
      <w:proofErr w:type="spellEnd"/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was </w:t>
      </w:r>
      <w:r w:rsidR="00D63267" w:rsidRPr="00DA2B25">
        <w:rPr>
          <w:rFonts w:ascii="Book Antiqua" w:hAnsi="Book Antiqua"/>
          <w:sz w:val="24"/>
          <w:szCs w:val="24"/>
          <w:lang w:val="en-US"/>
        </w:rPr>
        <w:t>associated with considerable toxicity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including secondary squamous cell carcinoma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in over 30% of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;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moreover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 the optimal dosage and duration of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this </w:t>
      </w:r>
      <w:r w:rsidR="00D63267" w:rsidRPr="00DA2B25">
        <w:rPr>
          <w:rFonts w:ascii="Book Antiqua" w:hAnsi="Book Antiqua"/>
          <w:sz w:val="24"/>
          <w:szCs w:val="24"/>
          <w:lang w:val="en-US"/>
        </w:rPr>
        <w:t xml:space="preserve">treatment require further </w:t>
      </w:r>
      <w:proofErr w:type="gramStart"/>
      <w:r w:rsidR="00D63267" w:rsidRPr="00DA2B25">
        <w:rPr>
          <w:rFonts w:ascii="Book Antiqua" w:hAnsi="Book Antiqua"/>
          <w:sz w:val="24"/>
          <w:szCs w:val="24"/>
          <w:lang w:val="en-US"/>
        </w:rPr>
        <w:t>investigation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5</w:t>
      </w:r>
      <w:r w:rsidR="0017550E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0</w:t>
      </w:r>
      <w:r w:rsidR="002B618F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]</w:t>
      </w:r>
      <w:r w:rsidR="006D0E5A" w:rsidRPr="00DA2B25">
        <w:rPr>
          <w:rFonts w:ascii="Book Antiqua" w:hAnsi="Book Antiqua"/>
          <w:sz w:val="24"/>
          <w:szCs w:val="24"/>
          <w:lang w:val="en-US"/>
        </w:rPr>
        <w:t>. A variety of cytokines are expressed in LCH lesions. In particular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6D0E5A" w:rsidRPr="00DA2B25">
        <w:rPr>
          <w:rFonts w:ascii="Book Antiqua" w:hAnsi="Book Antiqua"/>
          <w:sz w:val="24"/>
          <w:szCs w:val="24"/>
          <w:lang w:val="en-US"/>
        </w:rPr>
        <w:t xml:space="preserve"> high levels of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D0E5A" w:rsidRPr="00DA2B25">
        <w:rPr>
          <w:rFonts w:ascii="Book Antiqua" w:hAnsi="Book Antiqua"/>
          <w:sz w:val="24"/>
          <w:szCs w:val="24"/>
          <w:lang w:val="en-US"/>
        </w:rPr>
        <w:t xml:space="preserve">IL-1, IL-10 and TNF-αhave been </w:t>
      </w:r>
      <w:proofErr w:type="gramStart"/>
      <w:r w:rsidR="006D0E5A" w:rsidRPr="00DA2B25">
        <w:rPr>
          <w:rFonts w:ascii="Book Antiqua" w:hAnsi="Book Antiqua"/>
          <w:sz w:val="24"/>
          <w:szCs w:val="24"/>
          <w:lang w:val="en-US"/>
        </w:rPr>
        <w:t>reported</w:t>
      </w:r>
      <w:r w:rsidR="00574701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574701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15</w:t>
      </w:r>
      <w:r w:rsidR="008C3635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]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spellStart"/>
      <w:r w:rsidR="009E6FE9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such as thalidomide and </w:t>
      </w:r>
      <w:proofErr w:type="spellStart"/>
      <w:r w:rsidR="009E6FE9" w:rsidRPr="00DA2B25">
        <w:rPr>
          <w:rFonts w:ascii="Book Antiqua" w:hAnsi="Book Antiqua"/>
          <w:sz w:val="24"/>
          <w:szCs w:val="24"/>
          <w:lang w:val="en-US"/>
        </w:rPr>
        <w:t>lenalidomide</w:t>
      </w:r>
      <w:proofErr w:type="spellEnd"/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(an analogue of thalidomide) are cytokine modulators</w:t>
      </w:r>
      <w:r w:rsidR="000866FE" w:rsidRPr="00DA2B25">
        <w:rPr>
          <w:rFonts w:ascii="Book Antiqua" w:hAnsi="Book Antiqua"/>
          <w:sz w:val="24"/>
          <w:szCs w:val="24"/>
          <w:lang w:val="en-US"/>
        </w:rPr>
        <w:t>, especially for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9E6FE9" w:rsidRPr="00DA2B25">
        <w:rPr>
          <w:rFonts w:ascii="Book Antiqua" w:hAnsi="Book Antiqua"/>
          <w:sz w:val="24"/>
          <w:szCs w:val="24"/>
          <w:lang w:val="en-US"/>
        </w:rPr>
        <w:t>inhibition of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9E6FE9" w:rsidRPr="00DA2B25">
        <w:rPr>
          <w:rFonts w:ascii="Book Antiqua" w:hAnsi="Book Antiqua"/>
          <w:sz w:val="24"/>
          <w:szCs w:val="24"/>
          <w:lang w:val="en-US"/>
        </w:rPr>
        <w:t>TNF-α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;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therefore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these drugs have been considered feasible candidates for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the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treatment of LCH. However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evaluation of the 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efficacy and safety of </w:t>
      </w:r>
      <w:proofErr w:type="spellStart"/>
      <w:r w:rsidR="009E6FE9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in LCH are limited mostly to case reports. To our knowledge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the study of McClain </w:t>
      </w:r>
      <w:r w:rsidR="009E6FE9" w:rsidRPr="00DA2B25">
        <w:rPr>
          <w:rFonts w:ascii="Book Antiqua" w:hAnsi="Book Antiqua"/>
          <w:i/>
          <w:iCs/>
          <w:sz w:val="24"/>
          <w:szCs w:val="24"/>
          <w:lang w:val="en-US"/>
        </w:rPr>
        <w:t xml:space="preserve">et </w:t>
      </w:r>
      <w:proofErr w:type="gramStart"/>
      <w:r w:rsidR="009E6FE9" w:rsidRPr="00DA2B25">
        <w:rPr>
          <w:rFonts w:ascii="Book Antiqua" w:hAnsi="Book Antiqua"/>
          <w:i/>
          <w:iCs/>
          <w:sz w:val="24"/>
          <w:szCs w:val="24"/>
          <w:lang w:val="en-US"/>
        </w:rPr>
        <w:t>al</w:t>
      </w:r>
      <w:r w:rsidR="00BB0370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BB0370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10]</w:t>
      </w:r>
      <w:r w:rsidR="009E6FE9" w:rsidRPr="00DA2B25">
        <w:rPr>
          <w:rFonts w:ascii="Book Antiqua" w:hAnsi="Book Antiqua"/>
          <w:sz w:val="24"/>
          <w:szCs w:val="24"/>
          <w:lang w:val="en-US"/>
        </w:rPr>
        <w:t xml:space="preserve"> is the only phase II trial using thalidomide for LCH</w:t>
      </w:r>
      <w:r w:rsidR="006359E4" w:rsidRPr="00DA2B25">
        <w:rPr>
          <w:rFonts w:ascii="Book Antiqua" w:hAnsi="Book Antiqua"/>
          <w:sz w:val="24"/>
          <w:szCs w:val="24"/>
          <w:lang w:val="en-US"/>
        </w:rPr>
        <w:t>.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359E4" w:rsidRPr="00DA2B25">
        <w:rPr>
          <w:rFonts w:ascii="Book Antiqua" w:hAnsi="Book Antiqua"/>
          <w:sz w:val="24"/>
          <w:szCs w:val="24"/>
          <w:lang w:val="en-US"/>
        </w:rPr>
        <w:t>In this study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 the authors enrolled 16 patients: 12 pediatric patients (age</w:t>
      </w:r>
      <w:r w:rsidR="000866FE" w:rsidRPr="00DA2B25">
        <w:rPr>
          <w:rFonts w:ascii="Book Antiqua" w:hAnsi="Book Antiqua"/>
          <w:sz w:val="24"/>
          <w:szCs w:val="24"/>
          <w:lang w:val="en-US"/>
        </w:rPr>
        <w:t>s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 from birth to 3 years) and 4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adult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 patients (age</w:t>
      </w:r>
      <w:r w:rsidR="000866FE" w:rsidRPr="00DA2B25">
        <w:rPr>
          <w:rFonts w:ascii="Book Antiqua" w:hAnsi="Book Antiqua"/>
          <w:sz w:val="24"/>
          <w:szCs w:val="24"/>
          <w:lang w:val="en-US"/>
        </w:rPr>
        <w:t>s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 from 34</w:t>
      </w:r>
      <w:r w:rsidR="005C377F" w:rsidRPr="00DA2B25">
        <w:rPr>
          <w:rFonts w:ascii="Book Antiqua" w:hAnsi="Book Antiqua"/>
          <w:sz w:val="24"/>
          <w:szCs w:val="24"/>
          <w:lang w:val="en-US"/>
        </w:rPr>
        <w:t xml:space="preserve"> years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 to 46 years). Moreover, in 2004, Sander and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cow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orkers reported a cutaneous LCH case successfully treated with thalidomide and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reported 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ten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cases 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published in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6359E4" w:rsidRPr="00DA2B25">
        <w:rPr>
          <w:rFonts w:ascii="Book Antiqua" w:hAnsi="Book Antiqua"/>
          <w:sz w:val="24"/>
          <w:szCs w:val="24"/>
          <w:lang w:val="en-US"/>
        </w:rPr>
        <w:t xml:space="preserve">literature with similar clinical </w:t>
      </w:r>
      <w:proofErr w:type="gramStart"/>
      <w:r w:rsidR="006359E4" w:rsidRPr="00DA2B25">
        <w:rPr>
          <w:rFonts w:ascii="Book Antiqua" w:hAnsi="Book Antiqua"/>
          <w:sz w:val="24"/>
          <w:szCs w:val="24"/>
          <w:lang w:val="en-US"/>
        </w:rPr>
        <w:t>features</w:t>
      </w:r>
      <w:r w:rsidR="00B01CFA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B01CFA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37]</w:t>
      </w:r>
      <w:r w:rsidR="00DA39E6" w:rsidRPr="00DA2B25">
        <w:rPr>
          <w:rFonts w:ascii="Book Antiqua" w:hAnsi="Book Antiqua"/>
          <w:sz w:val="24"/>
          <w:szCs w:val="24"/>
          <w:lang w:val="en-US"/>
        </w:rPr>
        <w:t>. In 2013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DA39E6" w:rsidRPr="00DA2B25">
        <w:rPr>
          <w:rFonts w:ascii="Book Antiqua" w:hAnsi="Book Antiqua"/>
          <w:sz w:val="24"/>
          <w:szCs w:val="24"/>
          <w:lang w:val="en-US"/>
        </w:rPr>
        <w:t xml:space="preserve"> European panel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of </w:t>
      </w:r>
      <w:r w:rsidR="00DA39E6" w:rsidRPr="00DA2B25">
        <w:rPr>
          <w:rFonts w:ascii="Book Antiqua" w:hAnsi="Book Antiqua"/>
          <w:sz w:val="24"/>
          <w:szCs w:val="24"/>
          <w:lang w:val="en-US"/>
        </w:rPr>
        <w:t xml:space="preserve">experts established recommendations about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DA39E6" w:rsidRPr="00DA2B25">
        <w:rPr>
          <w:rFonts w:ascii="Book Antiqua" w:hAnsi="Book Antiqua"/>
          <w:sz w:val="24"/>
          <w:szCs w:val="24"/>
          <w:lang w:val="en-US"/>
        </w:rPr>
        <w:t>diagnosis and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DA39E6" w:rsidRPr="00DA2B25">
        <w:rPr>
          <w:rFonts w:ascii="Book Antiqua" w:hAnsi="Book Antiqua"/>
          <w:sz w:val="24"/>
          <w:szCs w:val="24"/>
          <w:lang w:val="en-US"/>
        </w:rPr>
        <w:t>therapy</w:t>
      </w:r>
      <w:r w:rsidR="00B01CFA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B01CFA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6]</w:t>
      </w:r>
      <w:r w:rsidR="000112B9" w:rsidRPr="00DA2B25">
        <w:rPr>
          <w:rFonts w:ascii="Book Antiqua" w:hAnsi="Book Antiqua"/>
          <w:sz w:val="24"/>
          <w:szCs w:val="24"/>
          <w:lang w:val="en-US"/>
        </w:rPr>
        <w:t>. Grades of treatment recommendations were based on non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-</w:t>
      </w:r>
      <w:r w:rsidR="000112B9" w:rsidRPr="00DA2B25">
        <w:rPr>
          <w:rFonts w:ascii="Book Antiqua" w:hAnsi="Book Antiqua"/>
          <w:sz w:val="24"/>
          <w:szCs w:val="24"/>
          <w:lang w:val="en-US"/>
        </w:rPr>
        <w:t>analytic studies (for example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0112B9" w:rsidRPr="00DA2B25">
        <w:rPr>
          <w:rFonts w:ascii="Book Antiqua" w:hAnsi="Book Antiqua"/>
          <w:sz w:val="24"/>
          <w:szCs w:val="24"/>
          <w:lang w:val="en-US"/>
        </w:rPr>
        <w:t xml:space="preserve"> case reports, case series, small retrospective studies,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="000112B9" w:rsidRPr="00DA2B25">
        <w:rPr>
          <w:rFonts w:ascii="Book Antiqua" w:hAnsi="Book Antiqua"/>
          <w:sz w:val="24"/>
          <w:szCs w:val="24"/>
          <w:lang w:val="en-US"/>
        </w:rPr>
        <w:t>expert opinion</w:t>
      </w:r>
      <w:r w:rsidR="000866FE" w:rsidRPr="00DA2B25">
        <w:rPr>
          <w:rFonts w:ascii="Book Antiqua" w:hAnsi="Book Antiqua"/>
          <w:sz w:val="24"/>
          <w:szCs w:val="24"/>
          <w:lang w:val="en-US"/>
        </w:rPr>
        <w:t>s</w:t>
      </w:r>
      <w:r w:rsidR="000112B9" w:rsidRPr="00DA2B25">
        <w:rPr>
          <w:rFonts w:ascii="Book Antiqua" w:hAnsi="Book Antiqua"/>
          <w:sz w:val="24"/>
          <w:szCs w:val="24"/>
          <w:lang w:val="en-US"/>
        </w:rPr>
        <w:t xml:space="preserve">).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>After reviewing</w:t>
      </w:r>
      <w:r w:rsidR="000112B9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gramStart"/>
      <w:r w:rsidR="000112B9" w:rsidRPr="00DA2B25">
        <w:rPr>
          <w:rFonts w:ascii="Book Antiqua" w:hAnsi="Book Antiqua"/>
          <w:sz w:val="24"/>
          <w:szCs w:val="24"/>
          <w:lang w:val="en-US"/>
        </w:rPr>
        <w:t>literature</w:t>
      </w:r>
      <w:r w:rsidR="00B01CFA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[</w:t>
      </w:r>
      <w:proofErr w:type="gramEnd"/>
      <w:r w:rsidR="00B01CFA" w:rsidRPr="00DA2B25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10,37]</w:t>
      </w:r>
      <w:r w:rsidR="000866FE" w:rsidRPr="00DA2B25">
        <w:rPr>
          <w:rFonts w:ascii="Book Antiqua" w:hAnsi="Book Antiqua"/>
          <w:sz w:val="24"/>
          <w:szCs w:val="24"/>
          <w:lang w:val="en-US"/>
        </w:rPr>
        <w:t>,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thalidomide was advised for LCH with mild symptoms in skin or soft tissue multifocal single system without risk organs involved. We performed a literature search for case reports on LCH treated with </w:t>
      </w:r>
      <w:proofErr w:type="spellStart"/>
      <w:r w:rsidR="0062746A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and found 34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cases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from 1987 to 2018. In our study, 94% of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with SS-LCH achieved the best response (NAD/AD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R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) (Figure 1).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In total,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50% of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reported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were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MS-LCH (Table 3)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;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in this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analysis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the response rate </w:t>
      </w:r>
      <w:r w:rsidR="000866FE" w:rsidRPr="00DA2B25">
        <w:rPr>
          <w:rFonts w:ascii="Book Antiqua" w:hAnsi="Book Antiqua"/>
          <w:sz w:val="24"/>
          <w:szCs w:val="24"/>
          <w:lang w:val="en-US"/>
        </w:rPr>
        <w:t xml:space="preserve">for </w:t>
      </w:r>
      <w:r w:rsidR="00E90D34" w:rsidRPr="00DA2B25">
        <w:rPr>
          <w:rFonts w:ascii="Book Antiqua" w:hAnsi="Book Antiqua"/>
          <w:sz w:val="24"/>
          <w:szCs w:val="24"/>
          <w:lang w:val="en-US"/>
        </w:rPr>
        <w:t xml:space="preserve">patients with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NAD/AD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R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was 53%</w:t>
      </w:r>
      <w:r w:rsidR="00E90D34" w:rsidRPr="00DA2B25">
        <w:rPr>
          <w:rFonts w:ascii="Book Antiqua" w:hAnsi="Book Antiqua"/>
          <w:sz w:val="24"/>
          <w:szCs w:val="24"/>
          <w:lang w:val="en-US"/>
        </w:rPr>
        <w:t>,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and AD</w:t>
      </w:r>
      <w:r w:rsidR="004C299D" w:rsidRPr="00DA2B25">
        <w:rPr>
          <w:rFonts w:ascii="Book Antiqua" w:hAnsi="Book Antiqua"/>
          <w:sz w:val="24"/>
          <w:szCs w:val="24"/>
          <w:lang w:val="en-US"/>
        </w:rPr>
        <w:t>S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was</w:t>
      </w:r>
      <w:r w:rsidR="00E90D34" w:rsidRPr="00DA2B25">
        <w:rPr>
          <w:rFonts w:ascii="Book Antiqua" w:hAnsi="Book Antiqua"/>
          <w:sz w:val="24"/>
          <w:szCs w:val="24"/>
          <w:lang w:val="en-US"/>
        </w:rPr>
        <w:t xml:space="preserve"> found in</w:t>
      </w:r>
      <w:r w:rsidR="00F8140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41% of </w:t>
      </w:r>
      <w:r w:rsidR="00F8140F" w:rsidRPr="00DA2B25">
        <w:rPr>
          <w:rFonts w:ascii="Book Antiqua" w:hAnsi="Book Antiqua"/>
          <w:sz w:val="24"/>
          <w:szCs w:val="24"/>
          <w:lang w:val="en-US"/>
        </w:rPr>
        <w:t>the patients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. After somnolence, neuropathy is the most reported adverse event (16% of </w:t>
      </w:r>
      <w:r w:rsidR="000402FC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).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In addition to the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previously reported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 studies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recommendations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from panel experts, we confirm in a larger setting of patients that </w:t>
      </w:r>
      <w:proofErr w:type="spellStart"/>
      <w:r w:rsidR="0062746A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should be considered for treating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adult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patients with only </w:t>
      </w:r>
      <w:proofErr w:type="spellStart"/>
      <w:r w:rsidR="00DD287C" w:rsidRPr="00DA2B25">
        <w:rPr>
          <w:rFonts w:ascii="Book Antiqua" w:hAnsi="Book Antiqua"/>
          <w:sz w:val="24"/>
          <w:szCs w:val="24"/>
          <w:lang w:val="en-US"/>
        </w:rPr>
        <w:t>muco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cutaneous</w:t>
      </w:r>
      <w:proofErr w:type="spellEnd"/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involvement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;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however,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in the MS-LCH group, as expected, the </w:t>
      </w:r>
      <w:proofErr w:type="spellStart"/>
      <w:r w:rsidR="0062746A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show a lower response rate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.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Therefore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other therapeutic approaches such as ARA-c, </w:t>
      </w:r>
      <w:proofErr w:type="spellStart"/>
      <w:r w:rsidR="000402FC" w:rsidRPr="00DA2B25">
        <w:rPr>
          <w:rFonts w:ascii="Book Antiqua" w:hAnsi="Book Antiqua"/>
          <w:sz w:val="24"/>
          <w:szCs w:val="24"/>
          <w:lang w:val="en-US"/>
        </w:rPr>
        <w:t>cladribin</w:t>
      </w:r>
      <w:proofErr w:type="spellEnd"/>
      <w:r w:rsidR="000402FC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or </w:t>
      </w:r>
      <w:r w:rsidR="000402FC" w:rsidRPr="00DA2B25">
        <w:rPr>
          <w:rFonts w:ascii="Book Antiqua" w:hAnsi="Book Antiqua"/>
          <w:sz w:val="24"/>
          <w:szCs w:val="24"/>
          <w:lang w:val="en-US"/>
        </w:rPr>
        <w:t xml:space="preserve">vinblastine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are recommended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. In conclusion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,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62746A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are a validated alternative to cytotoxic chemotherapeutic agents in most patients with SS-LCH; on other hand, considering the response rate in our study (53%) in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patients with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MS-LCH, </w:t>
      </w:r>
      <w:proofErr w:type="spellStart"/>
      <w:r w:rsidR="00DD287C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could be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an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evaluable choice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for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the treatment only in </w:t>
      </w:r>
      <w:r w:rsidR="006124B8" w:rsidRPr="00DA2B25">
        <w:rPr>
          <w:rFonts w:ascii="Book Antiqua" w:hAnsi="Book Antiqua"/>
          <w:sz w:val="24"/>
          <w:szCs w:val="24"/>
          <w:lang w:val="en-US"/>
        </w:rPr>
        <w:t xml:space="preserve">a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limited</w:t>
      </w:r>
      <w:r w:rsidR="006124B8" w:rsidRPr="00DA2B25">
        <w:rPr>
          <w:rFonts w:ascii="Book Antiqua" w:hAnsi="Book Antiqua"/>
          <w:sz w:val="24"/>
          <w:szCs w:val="24"/>
          <w:lang w:val="en-US"/>
        </w:rPr>
        <w:t xml:space="preserve"> number of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>patients</w:t>
      </w:r>
      <w:r w:rsidR="006124B8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based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on age, compliance,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performance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status, expected toxicities, previous treatments, neuropathy or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other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com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orbidities that make the patients not eligible for more aggressive treatments. Our study has several limitations. A publication bias toward more interesting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 and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/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or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severe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cases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and successfully treated </w:t>
      </w:r>
      <w:r w:rsidR="00CC5AD1" w:rsidRPr="00DA2B25">
        <w:rPr>
          <w:rFonts w:ascii="Book Antiqua" w:hAnsi="Book Antiqua"/>
          <w:sz w:val="24"/>
          <w:szCs w:val="24"/>
          <w:lang w:val="en-US"/>
        </w:rPr>
        <w:t xml:space="preserve">cases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may lead to an over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-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 or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>under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estimation of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the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 xml:space="preserve">efficacy and safety </w:t>
      </w:r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of </w:t>
      </w:r>
      <w:proofErr w:type="spellStart"/>
      <w:r w:rsidR="00DD287C"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="00DD287C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62746A" w:rsidRPr="00DA2B25">
        <w:rPr>
          <w:rFonts w:ascii="Book Antiqua" w:hAnsi="Book Antiqua"/>
          <w:sz w:val="24"/>
          <w:szCs w:val="24"/>
          <w:lang w:val="en-US"/>
        </w:rPr>
        <w:t>in LCH. Prospective research for optimal treatment strategies for LCH should be warranted, albeit difficult to conduct for epidemiological reasons.</w:t>
      </w:r>
    </w:p>
    <w:p w:rsidR="00A55FCF" w:rsidRPr="00DA2B25" w:rsidRDefault="00A55FC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55FCF" w:rsidRPr="00DA2B25" w:rsidRDefault="00A55FCF" w:rsidP="00A55FC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CONCLUSION</w:t>
      </w:r>
    </w:p>
    <w:p w:rsidR="00A55FCF" w:rsidRPr="00DA2B25" w:rsidRDefault="00A55FCF" w:rsidP="00A55FC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 xml:space="preserve">Different therapeutic strategies have been proposed for treatment of LCH in adults. The efficacy and safety of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have been reported in the treatment of multifocal SS-LCH (in particular </w:t>
      </w:r>
      <w:r w:rsidRPr="00DA2B25">
        <w:rPr>
          <w:rFonts w:ascii="Book Antiqua" w:eastAsia="Times New Roman" w:hAnsi="Book Antiqua"/>
          <w:sz w:val="24"/>
          <w:szCs w:val="24"/>
          <w:lang w:val="en-US"/>
        </w:rPr>
        <w:t>skin or soft tissue if symptomatic)</w:t>
      </w:r>
      <w:r w:rsidRPr="00DA2B25">
        <w:rPr>
          <w:rFonts w:ascii="Book Antiqua" w:hAnsi="Book Antiqua"/>
          <w:sz w:val="24"/>
          <w:szCs w:val="24"/>
          <w:lang w:val="en-US"/>
        </w:rPr>
        <w:t>. However</w:t>
      </w:r>
      <w:r w:rsidR="004E6003" w:rsidRPr="00DA2B2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DA2B25">
        <w:rPr>
          <w:rFonts w:ascii="Book Antiqua" w:hAnsi="Book Antiqua"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hAnsi="Book Antiqua"/>
          <w:sz w:val="24"/>
          <w:szCs w:val="24"/>
          <w:lang w:val="en-US"/>
        </w:rPr>
        <w:t xml:space="preserve"> could play a key role also in MS-LCH only in a limited setting of patients not eligible for more aggressive schedules.</w:t>
      </w:r>
    </w:p>
    <w:p w:rsidR="00DE152B" w:rsidRPr="00DA2B25" w:rsidRDefault="005C377F" w:rsidP="00DE152B">
      <w:pPr>
        <w:pStyle w:val="EndNoteBibliography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A2B25">
        <w:rPr>
          <w:rFonts w:ascii="Book Antiqua" w:hAnsi="Book Antiqua"/>
          <w:sz w:val="24"/>
          <w:szCs w:val="24"/>
        </w:rPr>
        <w:br w:type="page"/>
      </w:r>
      <w:bookmarkStart w:id="45" w:name="OLE_LINK60"/>
      <w:bookmarkStart w:id="46" w:name="OLE_LINK198"/>
      <w:bookmarkStart w:id="47" w:name="_Hlk10469424"/>
      <w:r w:rsidR="00DE152B" w:rsidRPr="00DA2B25">
        <w:rPr>
          <w:rFonts w:ascii="Book Antiqua" w:hAnsi="Book Antiqua"/>
          <w:b/>
          <w:sz w:val="24"/>
          <w:szCs w:val="24"/>
        </w:rPr>
        <w:t>REFERENCES</w:t>
      </w:r>
      <w:bookmarkEnd w:id="45"/>
      <w:bookmarkEnd w:id="46"/>
      <w:bookmarkEnd w:id="47"/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1 </w:t>
      </w:r>
      <w:r w:rsidRPr="00DA2B25">
        <w:rPr>
          <w:rFonts w:ascii="Book Antiqua" w:hAnsi="Book Antiqua"/>
          <w:b/>
          <w:bCs/>
        </w:rPr>
        <w:t>Allen CE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Ladisch</w:t>
      </w:r>
      <w:proofErr w:type="spellEnd"/>
      <w:r w:rsidRPr="00DA2B25">
        <w:rPr>
          <w:rFonts w:ascii="Book Antiqua" w:hAnsi="Book Antiqua"/>
        </w:rPr>
        <w:t xml:space="preserve"> S, McClain KL.</w:t>
      </w:r>
      <w:proofErr w:type="gramEnd"/>
      <w:r w:rsidRPr="00DA2B25">
        <w:rPr>
          <w:rFonts w:ascii="Book Antiqua" w:hAnsi="Book Antiqua"/>
        </w:rPr>
        <w:t xml:space="preserve"> How I treat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r w:rsidRPr="00DA2B25">
        <w:rPr>
          <w:rFonts w:ascii="Book Antiqua" w:hAnsi="Book Antiqua"/>
          <w:i/>
          <w:iCs/>
        </w:rPr>
        <w:t>Blood</w:t>
      </w:r>
      <w:r w:rsidRPr="00DA2B25">
        <w:rPr>
          <w:rFonts w:ascii="Book Antiqua" w:hAnsi="Book Antiqua"/>
        </w:rPr>
        <w:t xml:space="preserve"> 2015; </w:t>
      </w:r>
      <w:r w:rsidRPr="00DA2B25">
        <w:rPr>
          <w:rFonts w:ascii="Book Antiqua" w:hAnsi="Book Antiqua"/>
          <w:b/>
          <w:bCs/>
        </w:rPr>
        <w:t>126</w:t>
      </w:r>
      <w:r w:rsidRPr="00DA2B25">
        <w:rPr>
          <w:rFonts w:ascii="Book Antiqua" w:hAnsi="Book Antiqua"/>
        </w:rPr>
        <w:t>: 26-35 [PMID: 25827831 DOI: 10.1182/blood-2014-12-569301]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 </w:t>
      </w:r>
      <w:r w:rsidRPr="00DA2B25">
        <w:rPr>
          <w:rFonts w:ascii="Book Antiqua" w:hAnsi="Book Antiqua"/>
          <w:b/>
          <w:bCs/>
        </w:rPr>
        <w:t>Goyal G</w:t>
      </w:r>
      <w:r w:rsidRPr="00DA2B25">
        <w:rPr>
          <w:rFonts w:ascii="Book Antiqua" w:hAnsi="Book Antiqua"/>
        </w:rPr>
        <w:t xml:space="preserve">, Shah MV, Hook CC, </w:t>
      </w:r>
      <w:proofErr w:type="spellStart"/>
      <w:r w:rsidRPr="00DA2B25">
        <w:rPr>
          <w:rFonts w:ascii="Book Antiqua" w:hAnsi="Book Antiqua"/>
        </w:rPr>
        <w:t>Wolanskyj</w:t>
      </w:r>
      <w:proofErr w:type="spellEnd"/>
      <w:r w:rsidRPr="00DA2B25">
        <w:rPr>
          <w:rFonts w:ascii="Book Antiqua" w:hAnsi="Book Antiqua"/>
        </w:rPr>
        <w:t xml:space="preserve"> AP, Call TG, </w:t>
      </w:r>
      <w:proofErr w:type="spellStart"/>
      <w:r w:rsidRPr="00DA2B25">
        <w:rPr>
          <w:rFonts w:ascii="Book Antiqua" w:hAnsi="Book Antiqua"/>
        </w:rPr>
        <w:t>Rech</w:t>
      </w:r>
      <w:proofErr w:type="spellEnd"/>
      <w:r w:rsidRPr="00DA2B25">
        <w:rPr>
          <w:rFonts w:ascii="Book Antiqua" w:hAnsi="Book Antiqua"/>
        </w:rPr>
        <w:t xml:space="preserve"> KL, Go RS. Adult disseminated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incidence, racial disparities and long-term outcomes. </w:t>
      </w:r>
      <w:r w:rsidRPr="00DA2B25">
        <w:rPr>
          <w:rFonts w:ascii="Book Antiqua" w:hAnsi="Book Antiqua"/>
          <w:i/>
          <w:iCs/>
        </w:rPr>
        <w:t xml:space="preserve">Br J </w:t>
      </w:r>
      <w:proofErr w:type="spellStart"/>
      <w:r w:rsidRPr="00DA2B25">
        <w:rPr>
          <w:rFonts w:ascii="Book Antiqua" w:hAnsi="Book Antiqua"/>
          <w:i/>
          <w:iCs/>
        </w:rPr>
        <w:t>Haematol</w:t>
      </w:r>
      <w:proofErr w:type="spellEnd"/>
      <w:r w:rsidRPr="00DA2B25">
        <w:rPr>
          <w:rFonts w:ascii="Book Antiqua" w:hAnsi="Book Antiqua"/>
        </w:rPr>
        <w:t xml:space="preserve"> 2018; </w:t>
      </w:r>
      <w:r w:rsidRPr="00DA2B25">
        <w:rPr>
          <w:rFonts w:ascii="Book Antiqua" w:hAnsi="Book Antiqua"/>
          <w:b/>
          <w:bCs/>
        </w:rPr>
        <w:t>182</w:t>
      </w:r>
      <w:r w:rsidRPr="00DA2B25">
        <w:rPr>
          <w:rFonts w:ascii="Book Antiqua" w:hAnsi="Book Antiqua"/>
        </w:rPr>
        <w:t>: 579-581 [PMID: 28653448 DOI: 10.1111/bjh.14818]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 </w:t>
      </w:r>
      <w:r w:rsidRPr="00DA2B25">
        <w:rPr>
          <w:rFonts w:ascii="Book Antiqua" w:hAnsi="Book Antiqua"/>
          <w:b/>
          <w:bCs/>
        </w:rPr>
        <w:t>Baumgartner I</w:t>
      </w:r>
      <w:r w:rsidRPr="00DA2B25">
        <w:rPr>
          <w:rFonts w:ascii="Book Antiqua" w:hAnsi="Book Antiqua"/>
        </w:rPr>
        <w:t xml:space="preserve">, von </w:t>
      </w:r>
      <w:proofErr w:type="spellStart"/>
      <w:r w:rsidRPr="00DA2B25">
        <w:rPr>
          <w:rFonts w:ascii="Book Antiqua" w:hAnsi="Book Antiqua"/>
        </w:rPr>
        <w:t>Hochstetter</w:t>
      </w:r>
      <w:proofErr w:type="spellEnd"/>
      <w:r w:rsidRPr="00DA2B25">
        <w:rPr>
          <w:rFonts w:ascii="Book Antiqua" w:hAnsi="Book Antiqua"/>
        </w:rPr>
        <w:t xml:space="preserve"> A, Baumert B, </w:t>
      </w:r>
      <w:proofErr w:type="spellStart"/>
      <w:r w:rsidRPr="00DA2B25">
        <w:rPr>
          <w:rFonts w:ascii="Book Antiqua" w:hAnsi="Book Antiqua"/>
        </w:rPr>
        <w:t>Luetolf</w:t>
      </w:r>
      <w:proofErr w:type="spellEnd"/>
      <w:r w:rsidRPr="00DA2B25">
        <w:rPr>
          <w:rFonts w:ascii="Book Antiqua" w:hAnsi="Book Antiqua"/>
        </w:rPr>
        <w:t xml:space="preserve"> U, </w:t>
      </w:r>
      <w:proofErr w:type="spellStart"/>
      <w:r w:rsidRPr="00DA2B25">
        <w:rPr>
          <w:rFonts w:ascii="Book Antiqua" w:hAnsi="Book Antiqua"/>
        </w:rPr>
        <w:t>Follath</w:t>
      </w:r>
      <w:proofErr w:type="spellEnd"/>
      <w:r w:rsidRPr="00DA2B25">
        <w:rPr>
          <w:rFonts w:ascii="Book Antiqua" w:hAnsi="Book Antiqua"/>
        </w:rPr>
        <w:t xml:space="preserve"> F. Langerhans'-cell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in adults. </w:t>
      </w:r>
      <w:r w:rsidRPr="00DA2B25">
        <w:rPr>
          <w:rFonts w:ascii="Book Antiqua" w:hAnsi="Book Antiqua"/>
          <w:i/>
          <w:iCs/>
        </w:rPr>
        <w:t xml:space="preserve">Med </w:t>
      </w:r>
      <w:proofErr w:type="spellStart"/>
      <w:r w:rsidRPr="00DA2B25">
        <w:rPr>
          <w:rFonts w:ascii="Book Antiqua" w:hAnsi="Book Antiqua"/>
          <w:i/>
          <w:iCs/>
        </w:rPr>
        <w:t>Pediatr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Oncol</w:t>
      </w:r>
      <w:proofErr w:type="spellEnd"/>
      <w:r w:rsidRPr="00DA2B25">
        <w:rPr>
          <w:rFonts w:ascii="Book Antiqua" w:hAnsi="Book Antiqua"/>
        </w:rPr>
        <w:t xml:space="preserve"> 1997; </w:t>
      </w:r>
      <w:r w:rsidRPr="00DA2B25">
        <w:rPr>
          <w:rFonts w:ascii="Book Antiqua" w:hAnsi="Book Antiqua"/>
          <w:b/>
          <w:bCs/>
        </w:rPr>
        <w:t>28</w:t>
      </w:r>
      <w:r w:rsidRPr="00DA2B25">
        <w:rPr>
          <w:rFonts w:ascii="Book Antiqua" w:hAnsi="Book Antiqua"/>
        </w:rPr>
        <w:t>: 9-14 [PMID: 8950330 DOI: 10.1002</w:t>
      </w:r>
      <w:proofErr w:type="gramStart"/>
      <w:r w:rsidRPr="00DA2B25">
        <w:rPr>
          <w:rFonts w:ascii="Book Antiqua" w:hAnsi="Book Antiqua"/>
        </w:rPr>
        <w:t>/(</w:t>
      </w:r>
      <w:proofErr w:type="spellStart"/>
      <w:proofErr w:type="gramEnd"/>
      <w:r w:rsidRPr="00DA2B25">
        <w:rPr>
          <w:rFonts w:ascii="Book Antiqua" w:hAnsi="Book Antiqua"/>
        </w:rPr>
        <w:t>sici</w:t>
      </w:r>
      <w:proofErr w:type="spellEnd"/>
      <w:r w:rsidRPr="00DA2B25">
        <w:rPr>
          <w:rFonts w:ascii="Book Antiqua" w:hAnsi="Book Antiqua"/>
        </w:rPr>
        <w:t>)1096-911x(199701)28:1&lt;9:aid-mpo3&gt;3.0.co;2-p]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4 </w:t>
      </w:r>
      <w:r w:rsidRPr="00DA2B25">
        <w:rPr>
          <w:rFonts w:ascii="Book Antiqua" w:hAnsi="Book Antiqua"/>
          <w:b/>
          <w:bCs/>
        </w:rPr>
        <w:t>Lau SK</w:t>
      </w:r>
      <w:r w:rsidRPr="00DA2B25">
        <w:rPr>
          <w:rFonts w:ascii="Book Antiqua" w:hAnsi="Book Antiqua"/>
        </w:rPr>
        <w:t>, Chu PG, Weiss LM.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proofErr w:type="gramStart"/>
      <w:r w:rsidRPr="00DA2B25">
        <w:rPr>
          <w:rFonts w:ascii="Book Antiqua" w:hAnsi="Book Antiqua"/>
        </w:rPr>
        <w:t>Immunohistochemical</w:t>
      </w:r>
      <w:proofErr w:type="spellEnd"/>
      <w:r w:rsidRPr="00DA2B25">
        <w:rPr>
          <w:rFonts w:ascii="Book Antiqua" w:hAnsi="Book Antiqua"/>
        </w:rPr>
        <w:t xml:space="preserve"> expression of </w:t>
      </w:r>
      <w:proofErr w:type="spellStart"/>
      <w:r w:rsidRPr="00DA2B25">
        <w:rPr>
          <w:rFonts w:ascii="Book Antiqua" w:hAnsi="Book Antiqua"/>
        </w:rPr>
        <w:t>Langerin</w:t>
      </w:r>
      <w:proofErr w:type="spellEnd"/>
      <w:r w:rsidRPr="00DA2B25">
        <w:rPr>
          <w:rFonts w:ascii="Book Antiqua" w:hAnsi="Book Antiqua"/>
        </w:rPr>
        <w:t xml:space="preserve"> in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and non-Langerhans cell histiocytic disorders.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 xml:space="preserve">Am J </w:t>
      </w:r>
      <w:proofErr w:type="spellStart"/>
      <w:r w:rsidRPr="00DA2B25">
        <w:rPr>
          <w:rFonts w:ascii="Book Antiqua" w:hAnsi="Book Antiqua"/>
          <w:i/>
          <w:iCs/>
        </w:rPr>
        <w:t>Surg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Pathol</w:t>
      </w:r>
      <w:proofErr w:type="spellEnd"/>
      <w:r w:rsidRPr="00DA2B25">
        <w:rPr>
          <w:rFonts w:ascii="Book Antiqua" w:hAnsi="Book Antiqua"/>
        </w:rPr>
        <w:t xml:space="preserve"> 2008; </w:t>
      </w:r>
      <w:r w:rsidRPr="00DA2B25">
        <w:rPr>
          <w:rFonts w:ascii="Book Antiqua" w:hAnsi="Book Antiqua"/>
          <w:b/>
          <w:bCs/>
        </w:rPr>
        <w:t>32</w:t>
      </w:r>
      <w:r w:rsidRPr="00DA2B25">
        <w:rPr>
          <w:rFonts w:ascii="Book Antiqua" w:hAnsi="Book Antiqua"/>
        </w:rPr>
        <w:t>: 615-619 [PMID: 18277880 DOI: 10.1097/PAS.0b013e31815b212b]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5 </w:t>
      </w:r>
      <w:proofErr w:type="spellStart"/>
      <w:r w:rsidRPr="00DA2B25">
        <w:rPr>
          <w:rFonts w:ascii="Book Antiqua" w:hAnsi="Book Antiqua"/>
          <w:b/>
          <w:bCs/>
        </w:rPr>
        <w:t>Valladeau</w:t>
      </w:r>
      <w:proofErr w:type="spellEnd"/>
      <w:r w:rsidRPr="00DA2B25">
        <w:rPr>
          <w:rFonts w:ascii="Book Antiqua" w:hAnsi="Book Antiqua"/>
          <w:b/>
          <w:bCs/>
        </w:rPr>
        <w:t xml:space="preserve"> J</w:t>
      </w:r>
      <w:r w:rsidRPr="00DA2B25">
        <w:rPr>
          <w:rFonts w:ascii="Book Antiqua" w:hAnsi="Book Antiqua"/>
        </w:rPr>
        <w:t xml:space="preserve">, Ravel O, </w:t>
      </w:r>
      <w:proofErr w:type="spellStart"/>
      <w:r w:rsidRPr="00DA2B25">
        <w:rPr>
          <w:rFonts w:ascii="Book Antiqua" w:hAnsi="Book Antiqua"/>
        </w:rPr>
        <w:t>Dezutter-Dambuyant</w:t>
      </w:r>
      <w:proofErr w:type="spellEnd"/>
      <w:r w:rsidRPr="00DA2B25">
        <w:rPr>
          <w:rFonts w:ascii="Book Antiqua" w:hAnsi="Book Antiqua"/>
        </w:rPr>
        <w:t xml:space="preserve"> C, Moore K, </w:t>
      </w:r>
      <w:proofErr w:type="spellStart"/>
      <w:r w:rsidRPr="00DA2B25">
        <w:rPr>
          <w:rFonts w:ascii="Book Antiqua" w:hAnsi="Book Antiqua"/>
        </w:rPr>
        <w:t>Kleijmeer</w:t>
      </w:r>
      <w:proofErr w:type="spellEnd"/>
      <w:r w:rsidRPr="00DA2B25">
        <w:rPr>
          <w:rFonts w:ascii="Book Antiqua" w:hAnsi="Book Antiqua"/>
        </w:rPr>
        <w:t xml:space="preserve"> M, Liu Y, </w:t>
      </w:r>
      <w:proofErr w:type="spellStart"/>
      <w:r w:rsidRPr="00DA2B25">
        <w:rPr>
          <w:rFonts w:ascii="Book Antiqua" w:hAnsi="Book Antiqua"/>
        </w:rPr>
        <w:t>Duvert</w:t>
      </w:r>
      <w:proofErr w:type="spellEnd"/>
      <w:r w:rsidRPr="00DA2B25">
        <w:rPr>
          <w:rFonts w:ascii="Book Antiqua" w:hAnsi="Book Antiqua"/>
        </w:rPr>
        <w:t xml:space="preserve">-Frances V, Vincent C, Schmitt D, </w:t>
      </w:r>
      <w:proofErr w:type="spellStart"/>
      <w:r w:rsidRPr="00DA2B25">
        <w:rPr>
          <w:rFonts w:ascii="Book Antiqua" w:hAnsi="Book Antiqua"/>
        </w:rPr>
        <w:t>Davoust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Caux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Lebecque</w:t>
      </w:r>
      <w:proofErr w:type="spellEnd"/>
      <w:r w:rsidRPr="00DA2B25">
        <w:rPr>
          <w:rFonts w:ascii="Book Antiqua" w:hAnsi="Book Antiqua"/>
        </w:rPr>
        <w:t xml:space="preserve"> S, </w:t>
      </w:r>
      <w:proofErr w:type="spellStart"/>
      <w:r w:rsidRPr="00DA2B25">
        <w:rPr>
          <w:rFonts w:ascii="Book Antiqua" w:hAnsi="Book Antiqua"/>
        </w:rPr>
        <w:t>Saeland</w:t>
      </w:r>
      <w:proofErr w:type="spellEnd"/>
      <w:r w:rsidRPr="00DA2B25">
        <w:rPr>
          <w:rFonts w:ascii="Book Antiqua" w:hAnsi="Book Antiqua"/>
        </w:rPr>
        <w:t xml:space="preserve"> S. </w:t>
      </w:r>
      <w:proofErr w:type="spellStart"/>
      <w:r w:rsidRPr="00DA2B25">
        <w:rPr>
          <w:rFonts w:ascii="Book Antiqua" w:hAnsi="Book Antiqua"/>
        </w:rPr>
        <w:t>Langerin</w:t>
      </w:r>
      <w:proofErr w:type="spellEnd"/>
      <w:r w:rsidRPr="00DA2B25">
        <w:rPr>
          <w:rFonts w:ascii="Book Antiqua" w:hAnsi="Book Antiqua"/>
        </w:rPr>
        <w:t xml:space="preserve">, a novel C-type lectin specific to Langerhans cells, is an endocytic receptor that induces the formation of </w:t>
      </w:r>
      <w:proofErr w:type="spellStart"/>
      <w:r w:rsidRPr="00DA2B25">
        <w:rPr>
          <w:rFonts w:ascii="Book Antiqua" w:hAnsi="Book Antiqua"/>
        </w:rPr>
        <w:t>Birbeck</w:t>
      </w:r>
      <w:proofErr w:type="spellEnd"/>
      <w:r w:rsidRPr="00DA2B25">
        <w:rPr>
          <w:rFonts w:ascii="Book Antiqua" w:hAnsi="Book Antiqua"/>
        </w:rPr>
        <w:t xml:space="preserve"> granules. </w:t>
      </w:r>
      <w:r w:rsidRPr="00DA2B25">
        <w:rPr>
          <w:rFonts w:ascii="Book Antiqua" w:hAnsi="Book Antiqua"/>
          <w:i/>
          <w:iCs/>
        </w:rPr>
        <w:t>Immunity</w:t>
      </w:r>
      <w:r w:rsidRPr="00DA2B25">
        <w:rPr>
          <w:rFonts w:ascii="Book Antiqua" w:hAnsi="Book Antiqua"/>
        </w:rPr>
        <w:t xml:space="preserve"> 2000; </w:t>
      </w:r>
      <w:r w:rsidRPr="00DA2B25">
        <w:rPr>
          <w:rFonts w:ascii="Book Antiqua" w:hAnsi="Book Antiqua"/>
          <w:b/>
          <w:bCs/>
        </w:rPr>
        <w:t>12</w:t>
      </w:r>
      <w:r w:rsidRPr="00DA2B25">
        <w:rPr>
          <w:rFonts w:ascii="Book Antiqua" w:hAnsi="Book Antiqua"/>
        </w:rPr>
        <w:t>: 71-81 [PMID: 10661407 DOI: 10.1016/s1074-7613(00)80160-0]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6 </w:t>
      </w:r>
      <w:proofErr w:type="spellStart"/>
      <w:r w:rsidRPr="00DA2B25">
        <w:rPr>
          <w:rFonts w:ascii="Book Antiqua" w:hAnsi="Book Antiqua"/>
          <w:b/>
          <w:bCs/>
        </w:rPr>
        <w:t>Girschikofsky</w:t>
      </w:r>
      <w:proofErr w:type="spellEnd"/>
      <w:r w:rsidRPr="00DA2B25">
        <w:rPr>
          <w:rFonts w:ascii="Book Antiqua" w:hAnsi="Book Antiqua"/>
          <w:b/>
          <w:bCs/>
        </w:rPr>
        <w:t xml:space="preserve"> M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Arico</w:t>
      </w:r>
      <w:proofErr w:type="spellEnd"/>
      <w:r w:rsidRPr="00DA2B25">
        <w:rPr>
          <w:rFonts w:ascii="Book Antiqua" w:hAnsi="Book Antiqua"/>
        </w:rPr>
        <w:t xml:space="preserve"> M, Castillo D, Chu A, </w:t>
      </w:r>
      <w:proofErr w:type="spellStart"/>
      <w:r w:rsidRPr="00DA2B25">
        <w:rPr>
          <w:rFonts w:ascii="Book Antiqua" w:hAnsi="Book Antiqua"/>
        </w:rPr>
        <w:t>Doberauer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Fichter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Haroche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Kaltsas</w:t>
      </w:r>
      <w:proofErr w:type="spellEnd"/>
      <w:r w:rsidRPr="00DA2B25">
        <w:rPr>
          <w:rFonts w:ascii="Book Antiqua" w:hAnsi="Book Antiqua"/>
        </w:rPr>
        <w:t xml:space="preserve"> GA, </w:t>
      </w:r>
      <w:proofErr w:type="spellStart"/>
      <w:r w:rsidRPr="00DA2B25">
        <w:rPr>
          <w:rFonts w:ascii="Book Antiqua" w:hAnsi="Book Antiqua"/>
        </w:rPr>
        <w:t>Makras</w:t>
      </w:r>
      <w:proofErr w:type="spellEnd"/>
      <w:r w:rsidRPr="00DA2B25">
        <w:rPr>
          <w:rFonts w:ascii="Book Antiqua" w:hAnsi="Book Antiqua"/>
        </w:rPr>
        <w:t xml:space="preserve"> P, Marzano AV, de </w:t>
      </w:r>
      <w:proofErr w:type="spellStart"/>
      <w:r w:rsidRPr="00DA2B25">
        <w:rPr>
          <w:rFonts w:ascii="Book Antiqua" w:hAnsi="Book Antiqua"/>
        </w:rPr>
        <w:t>Menthon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Micke</w:t>
      </w:r>
      <w:proofErr w:type="spellEnd"/>
      <w:r w:rsidRPr="00DA2B25">
        <w:rPr>
          <w:rFonts w:ascii="Book Antiqua" w:hAnsi="Book Antiqua"/>
        </w:rPr>
        <w:t xml:space="preserve"> O, </w:t>
      </w:r>
      <w:proofErr w:type="spellStart"/>
      <w:r w:rsidRPr="00DA2B25">
        <w:rPr>
          <w:rFonts w:ascii="Book Antiqua" w:hAnsi="Book Antiqua"/>
        </w:rPr>
        <w:t>Passoni</w:t>
      </w:r>
      <w:proofErr w:type="spellEnd"/>
      <w:r w:rsidRPr="00DA2B25">
        <w:rPr>
          <w:rFonts w:ascii="Book Antiqua" w:hAnsi="Book Antiqua"/>
        </w:rPr>
        <w:t xml:space="preserve"> E, </w:t>
      </w:r>
      <w:proofErr w:type="spellStart"/>
      <w:r w:rsidRPr="00DA2B25">
        <w:rPr>
          <w:rFonts w:ascii="Book Antiqua" w:hAnsi="Book Antiqua"/>
        </w:rPr>
        <w:t>Seegenschmiedt</w:t>
      </w:r>
      <w:proofErr w:type="spellEnd"/>
      <w:r w:rsidRPr="00DA2B25">
        <w:rPr>
          <w:rFonts w:ascii="Book Antiqua" w:hAnsi="Book Antiqua"/>
        </w:rPr>
        <w:t xml:space="preserve"> HM, Tazi A, McClain KL. Management of adult patients with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: recommendations from an expert panel on behalf of Euro-</w:t>
      </w:r>
      <w:proofErr w:type="spellStart"/>
      <w:r w:rsidRPr="00DA2B25">
        <w:rPr>
          <w:rFonts w:ascii="Book Antiqua" w:hAnsi="Book Antiqua"/>
        </w:rPr>
        <w:t>Histio</w:t>
      </w:r>
      <w:proofErr w:type="spellEnd"/>
      <w:r w:rsidRPr="00DA2B25">
        <w:rPr>
          <w:rFonts w:ascii="Book Antiqua" w:hAnsi="Book Antiqua"/>
        </w:rPr>
        <w:t xml:space="preserve">-Net. </w:t>
      </w:r>
      <w:proofErr w:type="spellStart"/>
      <w:r w:rsidRPr="00DA2B25">
        <w:rPr>
          <w:rFonts w:ascii="Book Antiqua" w:hAnsi="Book Antiqua"/>
          <w:i/>
          <w:iCs/>
        </w:rPr>
        <w:t>Orphanet</w:t>
      </w:r>
      <w:proofErr w:type="spellEnd"/>
      <w:r w:rsidRPr="00DA2B25">
        <w:rPr>
          <w:rFonts w:ascii="Book Antiqua" w:hAnsi="Book Antiqua"/>
          <w:i/>
          <w:iCs/>
        </w:rPr>
        <w:t xml:space="preserve"> J Rare Dis</w:t>
      </w:r>
      <w:r w:rsidRPr="00DA2B25">
        <w:rPr>
          <w:rFonts w:ascii="Book Antiqua" w:hAnsi="Book Antiqua"/>
        </w:rPr>
        <w:t xml:space="preserve"> 2013; </w:t>
      </w:r>
      <w:r w:rsidRPr="00DA2B25">
        <w:rPr>
          <w:rFonts w:ascii="Book Antiqua" w:hAnsi="Book Antiqua"/>
          <w:b/>
          <w:bCs/>
        </w:rPr>
        <w:t>8</w:t>
      </w:r>
      <w:r w:rsidRPr="00DA2B25">
        <w:rPr>
          <w:rFonts w:ascii="Book Antiqua" w:hAnsi="Book Antiqua"/>
        </w:rPr>
        <w:t>: 72 [PMID: 23672541 DOI: 10.1186/1750-1172-8-72]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7 </w:t>
      </w:r>
      <w:proofErr w:type="spellStart"/>
      <w:r w:rsidRPr="00DA2B25">
        <w:rPr>
          <w:rFonts w:ascii="Book Antiqua" w:hAnsi="Book Antiqua"/>
          <w:b/>
          <w:bCs/>
        </w:rPr>
        <w:t>Badalian</w:t>
      </w:r>
      <w:proofErr w:type="spellEnd"/>
      <w:r w:rsidRPr="00DA2B25">
        <w:rPr>
          <w:rFonts w:ascii="Book Antiqua" w:hAnsi="Book Antiqua"/>
          <w:b/>
          <w:bCs/>
        </w:rPr>
        <w:t>-Very G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Vergilio</w:t>
      </w:r>
      <w:proofErr w:type="spellEnd"/>
      <w:r w:rsidRPr="00DA2B25">
        <w:rPr>
          <w:rFonts w:ascii="Book Antiqua" w:hAnsi="Book Antiqua"/>
        </w:rPr>
        <w:t xml:space="preserve"> JA, </w:t>
      </w:r>
      <w:proofErr w:type="spellStart"/>
      <w:r w:rsidRPr="00DA2B25">
        <w:rPr>
          <w:rFonts w:ascii="Book Antiqua" w:hAnsi="Book Antiqua"/>
        </w:rPr>
        <w:t>Degar</w:t>
      </w:r>
      <w:proofErr w:type="spellEnd"/>
      <w:r w:rsidRPr="00DA2B25">
        <w:rPr>
          <w:rFonts w:ascii="Book Antiqua" w:hAnsi="Book Antiqua"/>
        </w:rPr>
        <w:t xml:space="preserve"> BA, </w:t>
      </w:r>
      <w:proofErr w:type="spellStart"/>
      <w:r w:rsidRPr="00DA2B25">
        <w:rPr>
          <w:rFonts w:ascii="Book Antiqua" w:hAnsi="Book Antiqua"/>
        </w:rPr>
        <w:t>MacConaill</w:t>
      </w:r>
      <w:proofErr w:type="spellEnd"/>
      <w:r w:rsidRPr="00DA2B25">
        <w:rPr>
          <w:rFonts w:ascii="Book Antiqua" w:hAnsi="Book Antiqua"/>
        </w:rPr>
        <w:t xml:space="preserve"> LE, </w:t>
      </w:r>
      <w:proofErr w:type="spellStart"/>
      <w:r w:rsidRPr="00DA2B25">
        <w:rPr>
          <w:rFonts w:ascii="Book Antiqua" w:hAnsi="Book Antiqua"/>
        </w:rPr>
        <w:t>Brandner</w:t>
      </w:r>
      <w:proofErr w:type="spellEnd"/>
      <w:r w:rsidRPr="00DA2B25">
        <w:rPr>
          <w:rFonts w:ascii="Book Antiqua" w:hAnsi="Book Antiqua"/>
        </w:rPr>
        <w:t xml:space="preserve"> B, </w:t>
      </w:r>
      <w:proofErr w:type="spellStart"/>
      <w:r w:rsidRPr="00DA2B25">
        <w:rPr>
          <w:rFonts w:ascii="Book Antiqua" w:hAnsi="Book Antiqua"/>
        </w:rPr>
        <w:t>Calicchio</w:t>
      </w:r>
      <w:proofErr w:type="spellEnd"/>
      <w:r w:rsidRPr="00DA2B25">
        <w:rPr>
          <w:rFonts w:ascii="Book Antiqua" w:hAnsi="Book Antiqua"/>
        </w:rPr>
        <w:t xml:space="preserve"> ML, </w:t>
      </w:r>
      <w:proofErr w:type="spellStart"/>
      <w:r w:rsidRPr="00DA2B25">
        <w:rPr>
          <w:rFonts w:ascii="Book Antiqua" w:hAnsi="Book Antiqua"/>
        </w:rPr>
        <w:t>Kuo</w:t>
      </w:r>
      <w:proofErr w:type="spellEnd"/>
      <w:r w:rsidRPr="00DA2B25">
        <w:rPr>
          <w:rFonts w:ascii="Book Antiqua" w:hAnsi="Book Antiqua"/>
        </w:rPr>
        <w:t xml:space="preserve"> FC, </w:t>
      </w:r>
      <w:proofErr w:type="spellStart"/>
      <w:r w:rsidRPr="00DA2B25">
        <w:rPr>
          <w:rFonts w:ascii="Book Antiqua" w:hAnsi="Book Antiqua"/>
        </w:rPr>
        <w:t>Ligon</w:t>
      </w:r>
      <w:proofErr w:type="spellEnd"/>
      <w:r w:rsidRPr="00DA2B25">
        <w:rPr>
          <w:rFonts w:ascii="Book Antiqua" w:hAnsi="Book Antiqua"/>
        </w:rPr>
        <w:t xml:space="preserve"> AH, Stevenson KE, Kehoe SM, Garraway LA, Hahn WC, Meyerson M, Fleming MD, Rollins BJ. Recurrent BRAF mutations in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r w:rsidRPr="00DA2B25">
        <w:rPr>
          <w:rFonts w:ascii="Book Antiqua" w:hAnsi="Book Antiqua"/>
          <w:i/>
          <w:iCs/>
        </w:rPr>
        <w:t>Blood</w:t>
      </w:r>
      <w:r w:rsidRPr="00DA2B25">
        <w:rPr>
          <w:rFonts w:ascii="Book Antiqua" w:hAnsi="Book Antiqua"/>
        </w:rPr>
        <w:t xml:space="preserve"> 2010; </w:t>
      </w:r>
      <w:r w:rsidRPr="00DA2B25">
        <w:rPr>
          <w:rFonts w:ascii="Book Antiqua" w:hAnsi="Book Antiqua"/>
          <w:b/>
          <w:bCs/>
        </w:rPr>
        <w:t>116</w:t>
      </w:r>
      <w:r w:rsidRPr="00DA2B25">
        <w:rPr>
          <w:rFonts w:ascii="Book Antiqua" w:hAnsi="Book Antiqua"/>
        </w:rPr>
        <w:t>: 1919-1923 [PMID: 20519626 DOI: 10.1182/blood-2010-04-279083]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8 </w:t>
      </w:r>
      <w:proofErr w:type="spellStart"/>
      <w:r w:rsidRPr="00DA2B25">
        <w:rPr>
          <w:rFonts w:ascii="Book Antiqua" w:hAnsi="Book Antiqua"/>
          <w:b/>
          <w:bCs/>
        </w:rPr>
        <w:t>Berres</w:t>
      </w:r>
      <w:proofErr w:type="spellEnd"/>
      <w:r w:rsidRPr="00DA2B25">
        <w:rPr>
          <w:rFonts w:ascii="Book Antiqua" w:hAnsi="Book Antiqua"/>
          <w:b/>
          <w:bCs/>
        </w:rPr>
        <w:t xml:space="preserve"> ML</w:t>
      </w:r>
      <w:r w:rsidRPr="00DA2B25">
        <w:rPr>
          <w:rFonts w:ascii="Book Antiqua" w:hAnsi="Book Antiqua"/>
        </w:rPr>
        <w:t xml:space="preserve">, Lim KP, Peters T, Price J, Takizawa H, Salmon H, </w:t>
      </w:r>
      <w:proofErr w:type="spellStart"/>
      <w:r w:rsidRPr="00DA2B25">
        <w:rPr>
          <w:rFonts w:ascii="Book Antiqua" w:hAnsi="Book Antiqua"/>
        </w:rPr>
        <w:t>Idoyaga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Ruzo</w:t>
      </w:r>
      <w:proofErr w:type="spellEnd"/>
      <w:r w:rsidRPr="00DA2B25">
        <w:rPr>
          <w:rFonts w:ascii="Book Antiqua" w:hAnsi="Book Antiqua"/>
        </w:rPr>
        <w:t xml:space="preserve"> A, </w:t>
      </w:r>
      <w:proofErr w:type="spellStart"/>
      <w:r w:rsidRPr="00DA2B25">
        <w:rPr>
          <w:rFonts w:ascii="Book Antiqua" w:hAnsi="Book Antiqua"/>
        </w:rPr>
        <w:t>Lupo</w:t>
      </w:r>
      <w:proofErr w:type="spellEnd"/>
      <w:r w:rsidRPr="00DA2B25">
        <w:rPr>
          <w:rFonts w:ascii="Book Antiqua" w:hAnsi="Book Antiqua"/>
        </w:rPr>
        <w:t xml:space="preserve"> PJ, Hicks MJ, Shih A, </w:t>
      </w:r>
      <w:proofErr w:type="spellStart"/>
      <w:r w:rsidRPr="00DA2B25">
        <w:rPr>
          <w:rFonts w:ascii="Book Antiqua" w:hAnsi="Book Antiqua"/>
        </w:rPr>
        <w:t>Simko</w:t>
      </w:r>
      <w:proofErr w:type="spellEnd"/>
      <w:r w:rsidRPr="00DA2B25">
        <w:rPr>
          <w:rFonts w:ascii="Book Antiqua" w:hAnsi="Book Antiqua"/>
        </w:rPr>
        <w:t xml:space="preserve"> SJ, Abhyankar H, Chakraborty R, </w:t>
      </w:r>
      <w:proofErr w:type="spellStart"/>
      <w:r w:rsidRPr="00DA2B25">
        <w:rPr>
          <w:rFonts w:ascii="Book Antiqua" w:hAnsi="Book Antiqua"/>
        </w:rPr>
        <w:t>Leboeuf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Beltrão</w:t>
      </w:r>
      <w:proofErr w:type="spellEnd"/>
      <w:r w:rsidRPr="00DA2B25">
        <w:rPr>
          <w:rFonts w:ascii="Book Antiqua" w:hAnsi="Book Antiqua"/>
        </w:rPr>
        <w:t xml:space="preserve"> M, Lira SA, </w:t>
      </w:r>
      <w:proofErr w:type="spellStart"/>
      <w:r w:rsidRPr="00DA2B25">
        <w:rPr>
          <w:rFonts w:ascii="Book Antiqua" w:hAnsi="Book Antiqua"/>
        </w:rPr>
        <w:t>Heym</w:t>
      </w:r>
      <w:proofErr w:type="spellEnd"/>
      <w:r w:rsidRPr="00DA2B25">
        <w:rPr>
          <w:rFonts w:ascii="Book Antiqua" w:hAnsi="Book Antiqua"/>
        </w:rPr>
        <w:t xml:space="preserve"> KM, Bigley V, Collin M, </w:t>
      </w:r>
      <w:proofErr w:type="spellStart"/>
      <w:r w:rsidRPr="00DA2B25">
        <w:rPr>
          <w:rFonts w:ascii="Book Antiqua" w:hAnsi="Book Antiqua"/>
        </w:rPr>
        <w:t>Manz</w:t>
      </w:r>
      <w:proofErr w:type="spellEnd"/>
      <w:r w:rsidRPr="00DA2B25">
        <w:rPr>
          <w:rFonts w:ascii="Book Antiqua" w:hAnsi="Book Antiqua"/>
        </w:rPr>
        <w:t xml:space="preserve"> MG, McClain K, </w:t>
      </w:r>
      <w:proofErr w:type="spellStart"/>
      <w:r w:rsidRPr="00DA2B25">
        <w:rPr>
          <w:rFonts w:ascii="Book Antiqua" w:hAnsi="Book Antiqua"/>
        </w:rPr>
        <w:t>Merad</w:t>
      </w:r>
      <w:proofErr w:type="spellEnd"/>
      <w:r w:rsidRPr="00DA2B25">
        <w:rPr>
          <w:rFonts w:ascii="Book Antiqua" w:hAnsi="Book Antiqua"/>
        </w:rPr>
        <w:t xml:space="preserve"> M, Allen CE. BRAF-V600E expression in precursor versus differentiated dendritic cells defines clinically distinct LCH risk groups. </w:t>
      </w:r>
      <w:r w:rsidRPr="00DA2B25">
        <w:rPr>
          <w:rFonts w:ascii="Book Antiqua" w:hAnsi="Book Antiqua"/>
          <w:i/>
          <w:iCs/>
        </w:rPr>
        <w:t xml:space="preserve">J </w:t>
      </w:r>
      <w:proofErr w:type="spellStart"/>
      <w:r w:rsidRPr="00DA2B25">
        <w:rPr>
          <w:rFonts w:ascii="Book Antiqua" w:hAnsi="Book Antiqua"/>
          <w:i/>
          <w:iCs/>
        </w:rPr>
        <w:t>Exp</w:t>
      </w:r>
      <w:proofErr w:type="spellEnd"/>
      <w:r w:rsidRPr="00DA2B25">
        <w:rPr>
          <w:rFonts w:ascii="Book Antiqua" w:hAnsi="Book Antiqua"/>
          <w:i/>
          <w:iCs/>
        </w:rPr>
        <w:t xml:space="preserve"> Med</w:t>
      </w:r>
      <w:r w:rsidRPr="00DA2B25">
        <w:rPr>
          <w:rFonts w:ascii="Book Antiqua" w:hAnsi="Book Antiqua"/>
        </w:rPr>
        <w:t xml:space="preserve"> 2014; </w:t>
      </w:r>
      <w:r w:rsidRPr="00DA2B25">
        <w:rPr>
          <w:rFonts w:ascii="Book Antiqua" w:hAnsi="Book Antiqua"/>
          <w:b/>
          <w:bCs/>
        </w:rPr>
        <w:t>211</w:t>
      </w:r>
      <w:r w:rsidRPr="00DA2B25">
        <w:rPr>
          <w:rFonts w:ascii="Book Antiqua" w:hAnsi="Book Antiqua"/>
        </w:rPr>
        <w:t>: 669-683 [PMID: 24638167 DOI: 10.1084/jem.20130977]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9 </w:t>
      </w:r>
      <w:r w:rsidRPr="00DA2B25">
        <w:rPr>
          <w:rFonts w:ascii="Book Antiqua" w:hAnsi="Book Antiqua"/>
          <w:b/>
          <w:bCs/>
        </w:rPr>
        <w:t>Diamond EL</w:t>
      </w:r>
      <w:r w:rsidRPr="00DA2B25">
        <w:rPr>
          <w:rFonts w:ascii="Book Antiqua" w:hAnsi="Book Antiqua"/>
        </w:rPr>
        <w:t xml:space="preserve">, Durham BH, </w:t>
      </w:r>
      <w:proofErr w:type="spellStart"/>
      <w:r w:rsidRPr="00DA2B25">
        <w:rPr>
          <w:rFonts w:ascii="Book Antiqua" w:hAnsi="Book Antiqua"/>
        </w:rPr>
        <w:t>Haroche</w:t>
      </w:r>
      <w:proofErr w:type="spellEnd"/>
      <w:r w:rsidRPr="00DA2B25">
        <w:rPr>
          <w:rFonts w:ascii="Book Antiqua" w:hAnsi="Book Antiqua"/>
        </w:rPr>
        <w:t xml:space="preserve"> J, Yao Z, Ma J, Parikh SA, Wang Z, Choi J, Kim E, Cohen-</w:t>
      </w:r>
      <w:proofErr w:type="spellStart"/>
      <w:r w:rsidRPr="00DA2B25">
        <w:rPr>
          <w:rFonts w:ascii="Book Antiqua" w:hAnsi="Book Antiqua"/>
        </w:rPr>
        <w:t>Aubart</w:t>
      </w:r>
      <w:proofErr w:type="spellEnd"/>
      <w:r w:rsidRPr="00DA2B25">
        <w:rPr>
          <w:rFonts w:ascii="Book Antiqua" w:hAnsi="Book Antiqua"/>
        </w:rPr>
        <w:t xml:space="preserve"> F, Lee SC, Gao Y, </w:t>
      </w:r>
      <w:proofErr w:type="spellStart"/>
      <w:r w:rsidRPr="00DA2B25">
        <w:rPr>
          <w:rFonts w:ascii="Book Antiqua" w:hAnsi="Book Antiqua"/>
        </w:rPr>
        <w:t>Micol</w:t>
      </w:r>
      <w:proofErr w:type="spellEnd"/>
      <w:r w:rsidRPr="00DA2B25">
        <w:rPr>
          <w:rFonts w:ascii="Book Antiqua" w:hAnsi="Book Antiqua"/>
        </w:rPr>
        <w:t xml:space="preserve"> JB, Campbell P, Walsh MP, Sylvester B, </w:t>
      </w:r>
      <w:proofErr w:type="spellStart"/>
      <w:r w:rsidRPr="00DA2B25">
        <w:rPr>
          <w:rFonts w:ascii="Book Antiqua" w:hAnsi="Book Antiqua"/>
        </w:rPr>
        <w:t>Dolgalev</w:t>
      </w:r>
      <w:proofErr w:type="spellEnd"/>
      <w:r w:rsidRPr="00DA2B25">
        <w:rPr>
          <w:rFonts w:ascii="Book Antiqua" w:hAnsi="Book Antiqua"/>
        </w:rPr>
        <w:t xml:space="preserve"> I, </w:t>
      </w:r>
      <w:proofErr w:type="spellStart"/>
      <w:r w:rsidRPr="00DA2B25">
        <w:rPr>
          <w:rFonts w:ascii="Book Antiqua" w:hAnsi="Book Antiqua"/>
        </w:rPr>
        <w:t>Aminova</w:t>
      </w:r>
      <w:proofErr w:type="spellEnd"/>
      <w:r w:rsidRPr="00DA2B25">
        <w:rPr>
          <w:rFonts w:ascii="Book Antiqua" w:hAnsi="Book Antiqua"/>
        </w:rPr>
        <w:t xml:space="preserve"> O, </w:t>
      </w:r>
      <w:proofErr w:type="spellStart"/>
      <w:r w:rsidRPr="00DA2B25">
        <w:rPr>
          <w:rFonts w:ascii="Book Antiqua" w:hAnsi="Book Antiqua"/>
        </w:rPr>
        <w:t>Heguy</w:t>
      </w:r>
      <w:proofErr w:type="spellEnd"/>
      <w:r w:rsidRPr="00DA2B25">
        <w:rPr>
          <w:rFonts w:ascii="Book Antiqua" w:hAnsi="Book Antiqua"/>
        </w:rPr>
        <w:t xml:space="preserve"> A, </w:t>
      </w:r>
      <w:proofErr w:type="spellStart"/>
      <w:r w:rsidRPr="00DA2B25">
        <w:rPr>
          <w:rFonts w:ascii="Book Antiqua" w:hAnsi="Book Antiqua"/>
        </w:rPr>
        <w:t>Zappile</w:t>
      </w:r>
      <w:proofErr w:type="spellEnd"/>
      <w:r w:rsidRPr="00DA2B25">
        <w:rPr>
          <w:rFonts w:ascii="Book Antiqua" w:hAnsi="Book Antiqua"/>
        </w:rPr>
        <w:t xml:space="preserve"> P, </w:t>
      </w:r>
      <w:proofErr w:type="spellStart"/>
      <w:r w:rsidRPr="00DA2B25">
        <w:rPr>
          <w:rFonts w:ascii="Book Antiqua" w:hAnsi="Book Antiqua"/>
        </w:rPr>
        <w:t>Nakitandwe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Ganzel</w:t>
      </w:r>
      <w:proofErr w:type="spellEnd"/>
      <w:r w:rsidRPr="00DA2B25">
        <w:rPr>
          <w:rFonts w:ascii="Book Antiqua" w:hAnsi="Book Antiqua"/>
        </w:rPr>
        <w:t xml:space="preserve"> C, Dalton JD, Ellison DW, Estrada-</w:t>
      </w:r>
      <w:proofErr w:type="spellStart"/>
      <w:r w:rsidRPr="00DA2B25">
        <w:rPr>
          <w:rFonts w:ascii="Book Antiqua" w:hAnsi="Book Antiqua"/>
        </w:rPr>
        <w:t>Veras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Lacouture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Gahl</w:t>
      </w:r>
      <w:proofErr w:type="spellEnd"/>
      <w:r w:rsidRPr="00DA2B25">
        <w:rPr>
          <w:rFonts w:ascii="Book Antiqua" w:hAnsi="Book Antiqua"/>
        </w:rPr>
        <w:t xml:space="preserve"> WA, Stephens PJ, Miller VA, Ross JS, Ali SM, Briggs SR, </w:t>
      </w:r>
      <w:proofErr w:type="spellStart"/>
      <w:r w:rsidRPr="00DA2B25">
        <w:rPr>
          <w:rFonts w:ascii="Book Antiqua" w:hAnsi="Book Antiqua"/>
        </w:rPr>
        <w:t>Fasan</w:t>
      </w:r>
      <w:proofErr w:type="spellEnd"/>
      <w:r w:rsidRPr="00DA2B25">
        <w:rPr>
          <w:rFonts w:ascii="Book Antiqua" w:hAnsi="Book Antiqua"/>
        </w:rPr>
        <w:t xml:space="preserve"> O, Block J, </w:t>
      </w:r>
      <w:proofErr w:type="spellStart"/>
      <w:r w:rsidRPr="00DA2B25">
        <w:rPr>
          <w:rFonts w:ascii="Book Antiqua" w:hAnsi="Book Antiqua"/>
        </w:rPr>
        <w:t>Héritier</w:t>
      </w:r>
      <w:proofErr w:type="spellEnd"/>
      <w:r w:rsidRPr="00DA2B25">
        <w:rPr>
          <w:rFonts w:ascii="Book Antiqua" w:hAnsi="Book Antiqua"/>
        </w:rPr>
        <w:t xml:space="preserve"> S, </w:t>
      </w:r>
      <w:proofErr w:type="spellStart"/>
      <w:r w:rsidRPr="00DA2B25">
        <w:rPr>
          <w:rFonts w:ascii="Book Antiqua" w:hAnsi="Book Antiqua"/>
        </w:rPr>
        <w:t>Donadieu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Solit</w:t>
      </w:r>
      <w:proofErr w:type="spellEnd"/>
      <w:r w:rsidRPr="00DA2B25">
        <w:rPr>
          <w:rFonts w:ascii="Book Antiqua" w:hAnsi="Book Antiqua"/>
        </w:rPr>
        <w:t xml:space="preserve"> DB, Hyman DM, </w:t>
      </w:r>
      <w:proofErr w:type="spellStart"/>
      <w:r w:rsidRPr="00DA2B25">
        <w:rPr>
          <w:rFonts w:ascii="Book Antiqua" w:hAnsi="Book Antiqua"/>
        </w:rPr>
        <w:t>Baselga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Janku</w:t>
      </w:r>
      <w:proofErr w:type="spellEnd"/>
      <w:r w:rsidRPr="00DA2B25">
        <w:rPr>
          <w:rFonts w:ascii="Book Antiqua" w:hAnsi="Book Antiqua"/>
        </w:rPr>
        <w:t xml:space="preserve"> F, Taylor BS, Park CY, </w:t>
      </w:r>
      <w:proofErr w:type="spellStart"/>
      <w:r w:rsidRPr="00DA2B25">
        <w:rPr>
          <w:rFonts w:ascii="Book Antiqua" w:hAnsi="Book Antiqua"/>
        </w:rPr>
        <w:t>Amoura</w:t>
      </w:r>
      <w:proofErr w:type="spellEnd"/>
      <w:r w:rsidRPr="00DA2B25">
        <w:rPr>
          <w:rFonts w:ascii="Book Antiqua" w:hAnsi="Book Antiqua"/>
        </w:rPr>
        <w:t xml:space="preserve"> Z, </w:t>
      </w:r>
      <w:proofErr w:type="spellStart"/>
      <w:r w:rsidRPr="00DA2B25">
        <w:rPr>
          <w:rFonts w:ascii="Book Antiqua" w:hAnsi="Book Antiqua"/>
        </w:rPr>
        <w:t>Dogan</w:t>
      </w:r>
      <w:proofErr w:type="spellEnd"/>
      <w:r w:rsidRPr="00DA2B25">
        <w:rPr>
          <w:rFonts w:ascii="Book Antiqua" w:hAnsi="Book Antiqua"/>
        </w:rPr>
        <w:t xml:space="preserve"> A, Emile JF, Rosen N, Gruber TA, Abdel-</w:t>
      </w:r>
      <w:proofErr w:type="spellStart"/>
      <w:r w:rsidRPr="00DA2B25">
        <w:rPr>
          <w:rFonts w:ascii="Book Antiqua" w:hAnsi="Book Antiqua"/>
        </w:rPr>
        <w:t>Wahab</w:t>
      </w:r>
      <w:proofErr w:type="spellEnd"/>
      <w:r w:rsidRPr="00DA2B25">
        <w:rPr>
          <w:rFonts w:ascii="Book Antiqua" w:hAnsi="Book Antiqua"/>
        </w:rPr>
        <w:t xml:space="preserve"> O. Diverse and Targetable Kinase Alterations Drive Histiocytic Neoplasms. </w:t>
      </w:r>
      <w:r w:rsidRPr="00DA2B25">
        <w:rPr>
          <w:rFonts w:ascii="Book Antiqua" w:hAnsi="Book Antiqua"/>
          <w:i/>
          <w:iCs/>
        </w:rPr>
        <w:t xml:space="preserve">Cancer </w:t>
      </w:r>
      <w:proofErr w:type="spellStart"/>
      <w:r w:rsidRPr="00DA2B25">
        <w:rPr>
          <w:rFonts w:ascii="Book Antiqua" w:hAnsi="Book Antiqua"/>
          <w:i/>
          <w:iCs/>
        </w:rPr>
        <w:t>Discov</w:t>
      </w:r>
      <w:proofErr w:type="spellEnd"/>
      <w:r w:rsidRPr="00DA2B25">
        <w:rPr>
          <w:rFonts w:ascii="Book Antiqua" w:hAnsi="Book Antiqua"/>
        </w:rPr>
        <w:t xml:space="preserve"> 2016; </w:t>
      </w:r>
      <w:r w:rsidRPr="00DA2B25">
        <w:rPr>
          <w:rFonts w:ascii="Book Antiqua" w:hAnsi="Book Antiqua"/>
          <w:b/>
          <w:bCs/>
        </w:rPr>
        <w:t>6</w:t>
      </w:r>
      <w:r w:rsidRPr="00DA2B25">
        <w:rPr>
          <w:rFonts w:ascii="Book Antiqua" w:hAnsi="Book Antiqua"/>
        </w:rPr>
        <w:t>: 154-165 [PMID: 26566875 DOI: 10.1158/2159-8290.CD-15-0913]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10 </w:t>
      </w:r>
      <w:r w:rsidRPr="00DA2B25">
        <w:rPr>
          <w:rFonts w:ascii="Book Antiqua" w:hAnsi="Book Antiqua"/>
          <w:b/>
          <w:bCs/>
        </w:rPr>
        <w:t>McClain KL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Kozinetz</w:t>
      </w:r>
      <w:proofErr w:type="spellEnd"/>
      <w:r w:rsidRPr="00DA2B25">
        <w:rPr>
          <w:rFonts w:ascii="Book Antiqua" w:hAnsi="Book Antiqua"/>
        </w:rPr>
        <w:t xml:space="preserve"> CA. </w:t>
      </w:r>
      <w:proofErr w:type="gramStart"/>
      <w:r w:rsidRPr="00DA2B25">
        <w:rPr>
          <w:rFonts w:ascii="Book Antiqua" w:hAnsi="Book Antiqua"/>
        </w:rPr>
        <w:t xml:space="preserve">A phase II trial using thalidomide for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Pediatr</w:t>
      </w:r>
      <w:proofErr w:type="spellEnd"/>
      <w:r w:rsidRPr="00DA2B25">
        <w:rPr>
          <w:rFonts w:ascii="Book Antiqua" w:hAnsi="Book Antiqua"/>
          <w:i/>
          <w:iCs/>
        </w:rPr>
        <w:t xml:space="preserve"> Blood Cancer</w:t>
      </w:r>
      <w:r w:rsidRPr="00DA2B25">
        <w:rPr>
          <w:rFonts w:ascii="Book Antiqua" w:hAnsi="Book Antiqua"/>
        </w:rPr>
        <w:t xml:space="preserve"> 2007; </w:t>
      </w:r>
      <w:r w:rsidRPr="00DA2B25">
        <w:rPr>
          <w:rFonts w:ascii="Book Antiqua" w:hAnsi="Book Antiqua"/>
          <w:b/>
          <w:bCs/>
        </w:rPr>
        <w:t>48</w:t>
      </w:r>
      <w:r w:rsidRPr="00DA2B25">
        <w:rPr>
          <w:rFonts w:ascii="Book Antiqua" w:hAnsi="Book Antiqua"/>
        </w:rPr>
        <w:t>: 44-49 [PMID: 16333818 DOI: 10.1002/pbc.20578]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11 </w:t>
      </w:r>
      <w:r w:rsidRPr="00DA2B25">
        <w:rPr>
          <w:rFonts w:ascii="Book Antiqua" w:hAnsi="Book Antiqua"/>
          <w:b/>
          <w:bCs/>
        </w:rPr>
        <w:t>Cantu MA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Lupo</w:t>
      </w:r>
      <w:proofErr w:type="spellEnd"/>
      <w:r w:rsidRPr="00DA2B25">
        <w:rPr>
          <w:rFonts w:ascii="Book Antiqua" w:hAnsi="Book Antiqua"/>
        </w:rPr>
        <w:t xml:space="preserve"> PJ, </w:t>
      </w:r>
      <w:proofErr w:type="spellStart"/>
      <w:r w:rsidRPr="00DA2B25">
        <w:rPr>
          <w:rFonts w:ascii="Book Antiqua" w:hAnsi="Book Antiqua"/>
        </w:rPr>
        <w:t>Bilgi</w:t>
      </w:r>
      <w:proofErr w:type="spellEnd"/>
      <w:r w:rsidRPr="00DA2B25">
        <w:rPr>
          <w:rFonts w:ascii="Book Antiqua" w:hAnsi="Book Antiqua"/>
        </w:rPr>
        <w:t xml:space="preserve"> M, Hicks MJ, Allen CE, McClain KL. Optimal therapy for adults with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bone lesions. </w:t>
      </w:r>
      <w:proofErr w:type="spellStart"/>
      <w:r w:rsidRPr="00DA2B25">
        <w:rPr>
          <w:rFonts w:ascii="Book Antiqua" w:hAnsi="Book Antiqua"/>
          <w:i/>
          <w:iCs/>
        </w:rPr>
        <w:t>PLoS</w:t>
      </w:r>
      <w:proofErr w:type="spellEnd"/>
      <w:r w:rsidRPr="00DA2B25">
        <w:rPr>
          <w:rFonts w:ascii="Book Antiqua" w:hAnsi="Book Antiqua"/>
          <w:i/>
          <w:iCs/>
        </w:rPr>
        <w:t xml:space="preserve"> One</w:t>
      </w:r>
      <w:r w:rsidRPr="00DA2B25">
        <w:rPr>
          <w:rFonts w:ascii="Book Antiqua" w:hAnsi="Book Antiqua"/>
        </w:rPr>
        <w:t xml:space="preserve"> 2012; </w:t>
      </w:r>
      <w:r w:rsidRPr="00DA2B25">
        <w:rPr>
          <w:rFonts w:ascii="Book Antiqua" w:hAnsi="Book Antiqua"/>
          <w:b/>
          <w:bCs/>
        </w:rPr>
        <w:t>7</w:t>
      </w:r>
      <w:r w:rsidRPr="00DA2B25">
        <w:rPr>
          <w:rFonts w:ascii="Book Antiqua" w:hAnsi="Book Antiqua"/>
        </w:rPr>
        <w:t>: e43257 [PMID: 22916233 DOI: 10.1371/journal.pone.0043257]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12 </w:t>
      </w:r>
      <w:proofErr w:type="spellStart"/>
      <w:r w:rsidRPr="00DA2B25">
        <w:rPr>
          <w:rFonts w:ascii="Book Antiqua" w:hAnsi="Book Antiqua"/>
          <w:b/>
          <w:bCs/>
        </w:rPr>
        <w:t>Simko</w:t>
      </w:r>
      <w:proofErr w:type="spellEnd"/>
      <w:r w:rsidRPr="00DA2B25">
        <w:rPr>
          <w:rFonts w:ascii="Book Antiqua" w:hAnsi="Book Antiqua"/>
          <w:b/>
          <w:bCs/>
        </w:rPr>
        <w:t xml:space="preserve"> SJ</w:t>
      </w:r>
      <w:r w:rsidRPr="00DA2B25">
        <w:rPr>
          <w:rFonts w:ascii="Book Antiqua" w:hAnsi="Book Antiqua"/>
        </w:rPr>
        <w:t xml:space="preserve">, McClain KL, Allen CE. Up-front therapy for LCH: is it time to test an alternative to vinblastine/prednisone? </w:t>
      </w:r>
      <w:r w:rsidRPr="00DA2B25">
        <w:rPr>
          <w:rFonts w:ascii="Book Antiqua" w:hAnsi="Book Antiqua"/>
          <w:i/>
          <w:iCs/>
        </w:rPr>
        <w:t xml:space="preserve">Br J </w:t>
      </w:r>
      <w:proofErr w:type="spellStart"/>
      <w:r w:rsidRPr="00DA2B25">
        <w:rPr>
          <w:rFonts w:ascii="Book Antiqua" w:hAnsi="Book Antiqua"/>
          <w:i/>
          <w:iCs/>
        </w:rPr>
        <w:t>Haematol</w:t>
      </w:r>
      <w:proofErr w:type="spellEnd"/>
      <w:r w:rsidRPr="00DA2B25">
        <w:rPr>
          <w:rFonts w:ascii="Book Antiqua" w:hAnsi="Book Antiqua"/>
        </w:rPr>
        <w:t xml:space="preserve"> 2015; </w:t>
      </w:r>
      <w:r w:rsidRPr="00DA2B25">
        <w:rPr>
          <w:rFonts w:ascii="Book Antiqua" w:hAnsi="Book Antiqua"/>
          <w:b/>
          <w:bCs/>
        </w:rPr>
        <w:t>169</w:t>
      </w:r>
      <w:r w:rsidRPr="00DA2B25">
        <w:rPr>
          <w:rFonts w:ascii="Book Antiqua" w:hAnsi="Book Antiqua"/>
        </w:rPr>
        <w:t>: 299-301 [PMID: 25400231 DOI: 10.1111/bjh.13208]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13 </w:t>
      </w:r>
      <w:proofErr w:type="spellStart"/>
      <w:r w:rsidRPr="00DA2B25">
        <w:rPr>
          <w:rFonts w:ascii="Book Antiqua" w:hAnsi="Book Antiqua"/>
          <w:b/>
          <w:bCs/>
        </w:rPr>
        <w:t>Derenzini</w:t>
      </w:r>
      <w:proofErr w:type="spellEnd"/>
      <w:r w:rsidRPr="00DA2B25">
        <w:rPr>
          <w:rFonts w:ascii="Book Antiqua" w:hAnsi="Book Antiqua"/>
          <w:b/>
          <w:bCs/>
        </w:rPr>
        <w:t xml:space="preserve"> E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Fina</w:t>
      </w:r>
      <w:proofErr w:type="spellEnd"/>
      <w:r w:rsidRPr="00DA2B25">
        <w:rPr>
          <w:rFonts w:ascii="Book Antiqua" w:hAnsi="Book Antiqua"/>
        </w:rPr>
        <w:t xml:space="preserve"> MP, </w:t>
      </w:r>
      <w:proofErr w:type="spellStart"/>
      <w:r w:rsidRPr="00DA2B25">
        <w:rPr>
          <w:rFonts w:ascii="Book Antiqua" w:hAnsi="Book Antiqua"/>
        </w:rPr>
        <w:t>Stefoni</w:t>
      </w:r>
      <w:proofErr w:type="spellEnd"/>
      <w:r w:rsidRPr="00DA2B25">
        <w:rPr>
          <w:rFonts w:ascii="Book Antiqua" w:hAnsi="Book Antiqua"/>
        </w:rPr>
        <w:t xml:space="preserve"> V, Pellegrini C, </w:t>
      </w:r>
      <w:proofErr w:type="spellStart"/>
      <w:r w:rsidRPr="00DA2B25">
        <w:rPr>
          <w:rFonts w:ascii="Book Antiqua" w:hAnsi="Book Antiqua"/>
        </w:rPr>
        <w:t>Venturini</w:t>
      </w:r>
      <w:proofErr w:type="spellEnd"/>
      <w:r w:rsidRPr="00DA2B25">
        <w:rPr>
          <w:rFonts w:ascii="Book Antiqua" w:hAnsi="Book Antiqua"/>
        </w:rPr>
        <w:t xml:space="preserve"> F, Broccoli A, </w:t>
      </w:r>
      <w:proofErr w:type="spellStart"/>
      <w:r w:rsidRPr="00DA2B25">
        <w:rPr>
          <w:rFonts w:ascii="Book Antiqua" w:hAnsi="Book Antiqua"/>
        </w:rPr>
        <w:t>Gandolfi</w:t>
      </w:r>
      <w:proofErr w:type="spellEnd"/>
      <w:r w:rsidRPr="00DA2B25">
        <w:rPr>
          <w:rFonts w:ascii="Book Antiqua" w:hAnsi="Book Antiqua"/>
        </w:rPr>
        <w:t xml:space="preserve"> L, </w:t>
      </w:r>
      <w:proofErr w:type="spellStart"/>
      <w:r w:rsidRPr="00DA2B25">
        <w:rPr>
          <w:rFonts w:ascii="Book Antiqua" w:hAnsi="Book Antiqua"/>
        </w:rPr>
        <w:t>Pileri</w:t>
      </w:r>
      <w:proofErr w:type="spellEnd"/>
      <w:r w:rsidRPr="00DA2B25">
        <w:rPr>
          <w:rFonts w:ascii="Book Antiqua" w:hAnsi="Book Antiqua"/>
        </w:rPr>
        <w:t xml:space="preserve"> S, Fanti S, </w:t>
      </w:r>
      <w:proofErr w:type="spellStart"/>
      <w:r w:rsidRPr="00DA2B25">
        <w:rPr>
          <w:rFonts w:ascii="Book Antiqua" w:hAnsi="Book Antiqua"/>
        </w:rPr>
        <w:t>Lopci</w:t>
      </w:r>
      <w:proofErr w:type="spellEnd"/>
      <w:r w:rsidRPr="00DA2B25">
        <w:rPr>
          <w:rFonts w:ascii="Book Antiqua" w:hAnsi="Book Antiqua"/>
        </w:rPr>
        <w:t xml:space="preserve"> E, </w:t>
      </w:r>
      <w:proofErr w:type="spellStart"/>
      <w:r w:rsidRPr="00DA2B25">
        <w:rPr>
          <w:rFonts w:ascii="Book Antiqua" w:hAnsi="Book Antiqua"/>
        </w:rPr>
        <w:t>Castellucci</w:t>
      </w:r>
      <w:proofErr w:type="spellEnd"/>
      <w:r w:rsidRPr="00DA2B25">
        <w:rPr>
          <w:rFonts w:ascii="Book Antiqua" w:hAnsi="Book Antiqua"/>
        </w:rPr>
        <w:t xml:space="preserve"> P, </w:t>
      </w:r>
      <w:proofErr w:type="spellStart"/>
      <w:r w:rsidRPr="00DA2B25">
        <w:rPr>
          <w:rFonts w:ascii="Book Antiqua" w:hAnsi="Book Antiqua"/>
        </w:rPr>
        <w:t>Agostinelli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Baccarani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Zinzani</w:t>
      </w:r>
      <w:proofErr w:type="spellEnd"/>
      <w:r w:rsidRPr="00DA2B25">
        <w:rPr>
          <w:rFonts w:ascii="Book Antiqua" w:hAnsi="Book Antiqua"/>
        </w:rPr>
        <w:t xml:space="preserve"> PL. MACOP-B regimen in the treatment of adult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experience on seven patients. </w:t>
      </w:r>
      <w:r w:rsidRPr="00DA2B25">
        <w:rPr>
          <w:rFonts w:ascii="Book Antiqua" w:hAnsi="Book Antiqua"/>
          <w:i/>
          <w:iCs/>
        </w:rPr>
        <w:t xml:space="preserve">Ann </w:t>
      </w:r>
      <w:proofErr w:type="spellStart"/>
      <w:r w:rsidRPr="00DA2B25">
        <w:rPr>
          <w:rFonts w:ascii="Book Antiqua" w:hAnsi="Book Antiqua"/>
          <w:i/>
          <w:iCs/>
        </w:rPr>
        <w:t>Oncol</w:t>
      </w:r>
      <w:proofErr w:type="spellEnd"/>
      <w:r w:rsidRPr="00DA2B25">
        <w:rPr>
          <w:rFonts w:ascii="Book Antiqua" w:hAnsi="Book Antiqua"/>
        </w:rPr>
        <w:t xml:space="preserve"> 2010; </w:t>
      </w:r>
      <w:r w:rsidRPr="00DA2B25">
        <w:rPr>
          <w:rFonts w:ascii="Book Antiqua" w:hAnsi="Book Antiqua"/>
          <w:b/>
          <w:bCs/>
        </w:rPr>
        <w:t>21</w:t>
      </w:r>
      <w:r w:rsidRPr="00DA2B25">
        <w:rPr>
          <w:rFonts w:ascii="Book Antiqua" w:hAnsi="Book Antiqua"/>
        </w:rPr>
        <w:t>: 1173-1178 [PMID: 19861578 DOI: 10.1093/</w:t>
      </w:r>
      <w:proofErr w:type="spellStart"/>
      <w:r w:rsidRPr="00DA2B25">
        <w:rPr>
          <w:rFonts w:ascii="Book Antiqua" w:hAnsi="Book Antiqua"/>
        </w:rPr>
        <w:t>annonc</w:t>
      </w:r>
      <w:proofErr w:type="spellEnd"/>
      <w:r w:rsidRPr="00DA2B25">
        <w:rPr>
          <w:rFonts w:ascii="Book Antiqua" w:hAnsi="Book Antiqua"/>
        </w:rPr>
        <w:t>/mdp455]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14 </w:t>
      </w:r>
      <w:proofErr w:type="spellStart"/>
      <w:r w:rsidRPr="00DA2B25">
        <w:rPr>
          <w:rFonts w:ascii="Book Antiqua" w:hAnsi="Book Antiqua"/>
          <w:b/>
          <w:bCs/>
        </w:rPr>
        <w:t>Saven</w:t>
      </w:r>
      <w:proofErr w:type="spellEnd"/>
      <w:r w:rsidRPr="00DA2B25">
        <w:rPr>
          <w:rFonts w:ascii="Book Antiqua" w:hAnsi="Book Antiqua"/>
          <w:b/>
          <w:bCs/>
        </w:rPr>
        <w:t xml:space="preserve"> A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Burian</w:t>
      </w:r>
      <w:proofErr w:type="spellEnd"/>
      <w:r w:rsidRPr="00DA2B25">
        <w:rPr>
          <w:rFonts w:ascii="Book Antiqua" w:hAnsi="Book Antiqua"/>
        </w:rPr>
        <w:t xml:space="preserve"> C. </w:t>
      </w:r>
      <w:proofErr w:type="spellStart"/>
      <w:r w:rsidRPr="00DA2B25">
        <w:rPr>
          <w:rFonts w:ascii="Book Antiqua" w:hAnsi="Book Antiqua"/>
        </w:rPr>
        <w:t>Cladribine</w:t>
      </w:r>
      <w:proofErr w:type="spellEnd"/>
      <w:r w:rsidRPr="00DA2B25">
        <w:rPr>
          <w:rFonts w:ascii="Book Antiqua" w:hAnsi="Book Antiqua"/>
        </w:rPr>
        <w:t xml:space="preserve"> activity in adult </w:t>
      </w:r>
      <w:proofErr w:type="spellStart"/>
      <w:r w:rsidRPr="00DA2B25">
        <w:rPr>
          <w:rFonts w:ascii="Book Antiqua" w:hAnsi="Book Antiqua"/>
        </w:rPr>
        <w:t>langerhans</w:t>
      </w:r>
      <w:proofErr w:type="spellEnd"/>
      <w:r w:rsidRPr="00DA2B25">
        <w:rPr>
          <w:rFonts w:ascii="Book Antiqua" w:hAnsi="Book Antiqua"/>
        </w:rPr>
        <w:t xml:space="preserve">-cell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>Blood</w:t>
      </w:r>
      <w:r w:rsidRPr="00DA2B25">
        <w:rPr>
          <w:rFonts w:ascii="Book Antiqua" w:hAnsi="Book Antiqua"/>
        </w:rPr>
        <w:t xml:space="preserve"> 1999; </w:t>
      </w:r>
      <w:r w:rsidRPr="00DA2B25">
        <w:rPr>
          <w:rFonts w:ascii="Book Antiqua" w:hAnsi="Book Antiqua"/>
          <w:b/>
          <w:bCs/>
        </w:rPr>
        <w:t>93</w:t>
      </w:r>
      <w:r w:rsidRPr="00DA2B25">
        <w:rPr>
          <w:rFonts w:ascii="Book Antiqua" w:hAnsi="Book Antiqua"/>
        </w:rPr>
        <w:t>: 4125-4130 [PMID: 10361109 DOI: 10.1182/blood.V93.12.4125]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15 </w:t>
      </w:r>
      <w:proofErr w:type="spellStart"/>
      <w:r w:rsidRPr="00DA2B25">
        <w:rPr>
          <w:rFonts w:ascii="Book Antiqua" w:hAnsi="Book Antiqua"/>
          <w:b/>
          <w:bCs/>
        </w:rPr>
        <w:t>Egeler</w:t>
      </w:r>
      <w:proofErr w:type="spellEnd"/>
      <w:r w:rsidRPr="00DA2B25">
        <w:rPr>
          <w:rFonts w:ascii="Book Antiqua" w:hAnsi="Book Antiqua"/>
          <w:b/>
          <w:bCs/>
        </w:rPr>
        <w:t xml:space="preserve"> RM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Favara</w:t>
      </w:r>
      <w:proofErr w:type="spellEnd"/>
      <w:r w:rsidRPr="00DA2B25">
        <w:rPr>
          <w:rFonts w:ascii="Book Antiqua" w:hAnsi="Book Antiqua"/>
        </w:rPr>
        <w:t xml:space="preserve"> BE, van </w:t>
      </w:r>
      <w:proofErr w:type="spellStart"/>
      <w:r w:rsidRPr="00DA2B25">
        <w:rPr>
          <w:rFonts w:ascii="Book Antiqua" w:hAnsi="Book Antiqua"/>
        </w:rPr>
        <w:t>Meurs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Laman</w:t>
      </w:r>
      <w:proofErr w:type="spellEnd"/>
      <w:r w:rsidRPr="00DA2B25">
        <w:rPr>
          <w:rFonts w:ascii="Book Antiqua" w:hAnsi="Book Antiqua"/>
        </w:rPr>
        <w:t xml:space="preserve"> JD, Claassen E. Differential In situ cytokine profiles of Langerhans-like cells and T cells in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abundant expression of cytokines relevant to disease and treatment. </w:t>
      </w:r>
      <w:r w:rsidRPr="00DA2B25">
        <w:rPr>
          <w:rFonts w:ascii="Book Antiqua" w:hAnsi="Book Antiqua"/>
          <w:i/>
          <w:iCs/>
        </w:rPr>
        <w:t>Blood</w:t>
      </w:r>
      <w:r w:rsidRPr="00DA2B25">
        <w:rPr>
          <w:rFonts w:ascii="Book Antiqua" w:hAnsi="Book Antiqua"/>
        </w:rPr>
        <w:t xml:space="preserve"> 1999; </w:t>
      </w:r>
      <w:r w:rsidRPr="00DA2B25">
        <w:rPr>
          <w:rFonts w:ascii="Book Antiqua" w:hAnsi="Book Antiqua"/>
          <w:b/>
          <w:bCs/>
        </w:rPr>
        <w:t>94</w:t>
      </w:r>
      <w:r w:rsidRPr="00DA2B25">
        <w:rPr>
          <w:rFonts w:ascii="Book Antiqua" w:hAnsi="Book Antiqua"/>
        </w:rPr>
        <w:t>: 4195-4201 [PMID: 10590064]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16 </w:t>
      </w:r>
      <w:proofErr w:type="spellStart"/>
      <w:r w:rsidRPr="00DA2B25">
        <w:rPr>
          <w:rFonts w:ascii="Book Antiqua" w:hAnsi="Book Antiqua"/>
          <w:b/>
          <w:bCs/>
        </w:rPr>
        <w:t>Caux</w:t>
      </w:r>
      <w:proofErr w:type="spellEnd"/>
      <w:r w:rsidRPr="00DA2B25">
        <w:rPr>
          <w:rFonts w:ascii="Book Antiqua" w:hAnsi="Book Antiqua"/>
          <w:b/>
          <w:bCs/>
        </w:rPr>
        <w:t xml:space="preserve"> C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Dezutter-Dambuyant</w:t>
      </w:r>
      <w:proofErr w:type="spellEnd"/>
      <w:r w:rsidRPr="00DA2B25">
        <w:rPr>
          <w:rFonts w:ascii="Book Antiqua" w:hAnsi="Book Antiqua"/>
        </w:rPr>
        <w:t xml:space="preserve"> C, Schmitt D, </w:t>
      </w:r>
      <w:proofErr w:type="spellStart"/>
      <w:r w:rsidRPr="00DA2B25">
        <w:rPr>
          <w:rFonts w:ascii="Book Antiqua" w:hAnsi="Book Antiqua"/>
        </w:rPr>
        <w:t>Banchereau</w:t>
      </w:r>
      <w:proofErr w:type="spellEnd"/>
      <w:r w:rsidRPr="00DA2B25">
        <w:rPr>
          <w:rFonts w:ascii="Book Antiqua" w:hAnsi="Book Antiqua"/>
        </w:rPr>
        <w:t xml:space="preserve"> J. GM-CSF and TNF-alpha cooperate in the generation of dendritic Langerhans cells. </w:t>
      </w:r>
      <w:r w:rsidRPr="00DA2B25">
        <w:rPr>
          <w:rFonts w:ascii="Book Antiqua" w:hAnsi="Book Antiqua"/>
          <w:i/>
          <w:iCs/>
        </w:rPr>
        <w:t>Nature</w:t>
      </w:r>
      <w:r w:rsidRPr="00DA2B25">
        <w:rPr>
          <w:rFonts w:ascii="Book Antiqua" w:hAnsi="Book Antiqua"/>
        </w:rPr>
        <w:t xml:space="preserve"> 1992; </w:t>
      </w:r>
      <w:r w:rsidRPr="00DA2B25">
        <w:rPr>
          <w:rFonts w:ascii="Book Antiqua" w:hAnsi="Book Antiqua"/>
          <w:b/>
          <w:bCs/>
        </w:rPr>
        <w:t>360</w:t>
      </w:r>
      <w:r w:rsidRPr="00DA2B25">
        <w:rPr>
          <w:rFonts w:ascii="Book Antiqua" w:hAnsi="Book Antiqua"/>
        </w:rPr>
        <w:t>: 258-261 [PMID: 1279441 DOI: 10.1038/360258a0]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17 </w:t>
      </w:r>
      <w:proofErr w:type="spellStart"/>
      <w:r w:rsidRPr="00DA2B25">
        <w:rPr>
          <w:rFonts w:ascii="Book Antiqua" w:hAnsi="Book Antiqua"/>
          <w:b/>
          <w:bCs/>
        </w:rPr>
        <w:t>Alioua</w:t>
      </w:r>
      <w:proofErr w:type="spellEnd"/>
      <w:r w:rsidRPr="00DA2B25">
        <w:rPr>
          <w:rFonts w:ascii="Book Antiqua" w:hAnsi="Book Antiqua"/>
          <w:b/>
          <w:bCs/>
        </w:rPr>
        <w:t xml:space="preserve"> Z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Hjira</w:t>
      </w:r>
      <w:proofErr w:type="spellEnd"/>
      <w:r w:rsidRPr="00DA2B25">
        <w:rPr>
          <w:rFonts w:ascii="Book Antiqua" w:hAnsi="Book Antiqua"/>
        </w:rPr>
        <w:t xml:space="preserve"> N, </w:t>
      </w:r>
      <w:proofErr w:type="spellStart"/>
      <w:r w:rsidRPr="00DA2B25">
        <w:rPr>
          <w:rFonts w:ascii="Book Antiqua" w:hAnsi="Book Antiqua"/>
        </w:rPr>
        <w:t>Oumakhir</w:t>
      </w:r>
      <w:proofErr w:type="spellEnd"/>
      <w:r w:rsidRPr="00DA2B25">
        <w:rPr>
          <w:rFonts w:ascii="Book Antiqua" w:hAnsi="Book Antiqua"/>
        </w:rPr>
        <w:t xml:space="preserve"> S, </w:t>
      </w:r>
      <w:proofErr w:type="spellStart"/>
      <w:r w:rsidRPr="00DA2B25">
        <w:rPr>
          <w:rFonts w:ascii="Book Antiqua" w:hAnsi="Book Antiqua"/>
        </w:rPr>
        <w:t>Frikh</w:t>
      </w:r>
      <w:proofErr w:type="spellEnd"/>
      <w:r w:rsidRPr="00DA2B25">
        <w:rPr>
          <w:rFonts w:ascii="Book Antiqua" w:hAnsi="Book Antiqua"/>
        </w:rPr>
        <w:t xml:space="preserve"> R, </w:t>
      </w:r>
      <w:proofErr w:type="spellStart"/>
      <w:r w:rsidRPr="00DA2B25">
        <w:rPr>
          <w:rFonts w:ascii="Book Antiqua" w:hAnsi="Book Antiqua"/>
        </w:rPr>
        <w:t>Ghfir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Rimani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Sedrati</w:t>
      </w:r>
      <w:proofErr w:type="spellEnd"/>
      <w:r w:rsidRPr="00DA2B25">
        <w:rPr>
          <w:rFonts w:ascii="Book Antiqua" w:hAnsi="Book Antiqua"/>
        </w:rPr>
        <w:t xml:space="preserve"> O. [Thalidomide in adult multisystem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a case report]. </w:t>
      </w:r>
      <w:r w:rsidRPr="00DA2B25">
        <w:rPr>
          <w:rFonts w:ascii="Book Antiqua" w:hAnsi="Book Antiqua"/>
          <w:i/>
          <w:iCs/>
        </w:rPr>
        <w:t>Rev Med Interne</w:t>
      </w:r>
      <w:r w:rsidRPr="00DA2B25">
        <w:rPr>
          <w:rFonts w:ascii="Book Antiqua" w:hAnsi="Book Antiqua"/>
        </w:rPr>
        <w:t xml:space="preserve"> 2006; </w:t>
      </w:r>
      <w:r w:rsidRPr="00DA2B25">
        <w:rPr>
          <w:rFonts w:ascii="Book Antiqua" w:hAnsi="Book Antiqua"/>
          <w:b/>
          <w:bCs/>
        </w:rPr>
        <w:t>27</w:t>
      </w:r>
      <w:r w:rsidRPr="00DA2B25">
        <w:rPr>
          <w:rFonts w:ascii="Book Antiqua" w:hAnsi="Book Antiqua"/>
        </w:rPr>
        <w:t>: 633-636 [PMID: 16631279 DOI: 10.1016/j.revmed.2006.01.022]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18 </w:t>
      </w:r>
      <w:r w:rsidRPr="00DA2B25">
        <w:rPr>
          <w:rFonts w:ascii="Book Antiqua" w:hAnsi="Book Antiqua"/>
          <w:b/>
          <w:bCs/>
        </w:rPr>
        <w:t xml:space="preserve">Ruiz </w:t>
      </w:r>
      <w:proofErr w:type="spellStart"/>
      <w:r w:rsidRPr="00DA2B25">
        <w:rPr>
          <w:rFonts w:ascii="Book Antiqua" w:hAnsi="Book Antiqua"/>
          <w:b/>
          <w:bCs/>
        </w:rPr>
        <w:t>Beguerie</w:t>
      </w:r>
      <w:proofErr w:type="spellEnd"/>
      <w:r w:rsidRPr="00DA2B25">
        <w:rPr>
          <w:rFonts w:ascii="Book Antiqua" w:hAnsi="Book Antiqua"/>
          <w:b/>
          <w:bCs/>
        </w:rPr>
        <w:t xml:space="preserve"> J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Fernández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Stringa</w:t>
      </w:r>
      <w:proofErr w:type="spellEnd"/>
      <w:r w:rsidRPr="00DA2B25">
        <w:rPr>
          <w:rFonts w:ascii="Book Antiqua" w:hAnsi="Book Antiqua"/>
        </w:rPr>
        <w:t xml:space="preserve"> MF, Anaya J. Vulvar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and thalidomide: an effective treatment option. </w:t>
      </w:r>
      <w:proofErr w:type="spellStart"/>
      <w:r w:rsidRPr="00DA2B25">
        <w:rPr>
          <w:rFonts w:ascii="Book Antiqua" w:hAnsi="Book Antiqua"/>
          <w:i/>
          <w:iCs/>
        </w:rPr>
        <w:t>Int</w:t>
      </w:r>
      <w:proofErr w:type="spellEnd"/>
      <w:r w:rsidRPr="00DA2B25">
        <w:rPr>
          <w:rFonts w:ascii="Book Antiqua" w:hAnsi="Book Antiqua"/>
          <w:i/>
          <w:iCs/>
        </w:rPr>
        <w:t xml:space="preserve"> J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2017; </w:t>
      </w:r>
      <w:r w:rsidRPr="00DA2B25">
        <w:rPr>
          <w:rFonts w:ascii="Book Antiqua" w:hAnsi="Book Antiqua"/>
          <w:b/>
          <w:bCs/>
        </w:rPr>
        <w:t>56</w:t>
      </w:r>
      <w:r w:rsidRPr="00DA2B25">
        <w:rPr>
          <w:rFonts w:ascii="Book Antiqua" w:hAnsi="Book Antiqua"/>
        </w:rPr>
        <w:t>: 324-326 [PMID: 27778317 DOI: 10.1111/ijd.13377]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19 </w:t>
      </w:r>
      <w:proofErr w:type="spellStart"/>
      <w:r w:rsidRPr="00DA2B25">
        <w:rPr>
          <w:rFonts w:ascii="Book Antiqua" w:hAnsi="Book Antiqua"/>
          <w:b/>
          <w:bCs/>
        </w:rPr>
        <w:t>Bensaid</w:t>
      </w:r>
      <w:proofErr w:type="spellEnd"/>
      <w:r w:rsidRPr="00DA2B25">
        <w:rPr>
          <w:rFonts w:ascii="Book Antiqua" w:hAnsi="Book Antiqua"/>
          <w:b/>
          <w:bCs/>
        </w:rPr>
        <w:t xml:space="preserve"> P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Machet</w:t>
      </w:r>
      <w:proofErr w:type="spellEnd"/>
      <w:r w:rsidRPr="00DA2B25">
        <w:rPr>
          <w:rFonts w:ascii="Book Antiqua" w:hAnsi="Book Antiqua"/>
        </w:rPr>
        <w:t xml:space="preserve"> L, </w:t>
      </w:r>
      <w:proofErr w:type="spellStart"/>
      <w:r w:rsidRPr="00DA2B25">
        <w:rPr>
          <w:rFonts w:ascii="Book Antiqua" w:hAnsi="Book Antiqua"/>
        </w:rPr>
        <w:t>Vaillant</w:t>
      </w:r>
      <w:proofErr w:type="spellEnd"/>
      <w:r w:rsidRPr="00DA2B25">
        <w:rPr>
          <w:rFonts w:ascii="Book Antiqua" w:hAnsi="Book Antiqua"/>
        </w:rPr>
        <w:t xml:space="preserve"> L, </w:t>
      </w:r>
      <w:proofErr w:type="spellStart"/>
      <w:r w:rsidRPr="00DA2B25">
        <w:rPr>
          <w:rFonts w:ascii="Book Antiqua" w:hAnsi="Book Antiqua"/>
        </w:rPr>
        <w:t>Machet</w:t>
      </w:r>
      <w:proofErr w:type="spellEnd"/>
      <w:r w:rsidRPr="00DA2B25">
        <w:rPr>
          <w:rFonts w:ascii="Book Antiqua" w:hAnsi="Book Antiqua"/>
        </w:rPr>
        <w:t xml:space="preserve"> MC, Scotto B, </w:t>
      </w:r>
      <w:proofErr w:type="spellStart"/>
      <w:r w:rsidRPr="00DA2B25">
        <w:rPr>
          <w:rFonts w:ascii="Book Antiqua" w:hAnsi="Book Antiqua"/>
        </w:rPr>
        <w:t>Lorette</w:t>
      </w:r>
      <w:proofErr w:type="spellEnd"/>
      <w:r w:rsidRPr="00DA2B25">
        <w:rPr>
          <w:rFonts w:ascii="Book Antiqua" w:hAnsi="Book Antiqua"/>
        </w:rPr>
        <w:t xml:space="preserve"> G. Langerhans-cell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in the adult: regressive parotid involvement following thalidomide therapy. </w:t>
      </w:r>
      <w:r w:rsidRPr="00DA2B25">
        <w:rPr>
          <w:rFonts w:ascii="Book Antiqua" w:hAnsi="Book Antiqua"/>
          <w:i/>
          <w:iCs/>
        </w:rPr>
        <w:t xml:space="preserve">Ann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Venereol</w:t>
      </w:r>
      <w:proofErr w:type="spellEnd"/>
      <w:r w:rsidRPr="00DA2B25">
        <w:rPr>
          <w:rFonts w:ascii="Book Antiqua" w:hAnsi="Book Antiqua"/>
        </w:rPr>
        <w:t xml:space="preserve"> 1992; </w:t>
      </w:r>
      <w:r w:rsidRPr="00DA2B25">
        <w:rPr>
          <w:rFonts w:ascii="Book Antiqua" w:hAnsi="Book Antiqua"/>
          <w:b/>
          <w:bCs/>
        </w:rPr>
        <w:t>119</w:t>
      </w:r>
      <w:r w:rsidRPr="00DA2B25">
        <w:rPr>
          <w:rFonts w:ascii="Book Antiqua" w:hAnsi="Book Antiqua"/>
        </w:rPr>
        <w:t>: 281-283 [PMID: 1530241]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20 </w:t>
      </w:r>
      <w:proofErr w:type="spellStart"/>
      <w:r w:rsidRPr="00DA2B25">
        <w:rPr>
          <w:rFonts w:ascii="Book Antiqua" w:hAnsi="Book Antiqua"/>
          <w:b/>
          <w:bCs/>
        </w:rPr>
        <w:t>Broekaert</w:t>
      </w:r>
      <w:proofErr w:type="spellEnd"/>
      <w:r w:rsidRPr="00DA2B25">
        <w:rPr>
          <w:rFonts w:ascii="Book Antiqua" w:hAnsi="Book Antiqua"/>
          <w:b/>
          <w:bCs/>
        </w:rPr>
        <w:t xml:space="preserve"> SM</w:t>
      </w:r>
      <w:r w:rsidRPr="00DA2B25">
        <w:rPr>
          <w:rFonts w:ascii="Book Antiqua" w:hAnsi="Book Antiqua"/>
        </w:rPr>
        <w:t xml:space="preserve">, Metzler G, </w:t>
      </w:r>
      <w:proofErr w:type="spellStart"/>
      <w:r w:rsidRPr="00DA2B25">
        <w:rPr>
          <w:rFonts w:ascii="Book Antiqua" w:hAnsi="Book Antiqua"/>
        </w:rPr>
        <w:t>Burgdorf</w:t>
      </w:r>
      <w:proofErr w:type="spellEnd"/>
      <w:r w:rsidRPr="00DA2B25">
        <w:rPr>
          <w:rFonts w:ascii="Book Antiqua" w:hAnsi="Book Antiqua"/>
        </w:rPr>
        <w:t xml:space="preserve"> W, </w:t>
      </w:r>
      <w:proofErr w:type="spellStart"/>
      <w:r w:rsidRPr="00DA2B25">
        <w:rPr>
          <w:rFonts w:ascii="Book Antiqua" w:hAnsi="Book Antiqua"/>
        </w:rPr>
        <w:t>Röcken</w:t>
      </w:r>
      <w:proofErr w:type="spellEnd"/>
      <w:r w:rsidRPr="00DA2B25">
        <w:rPr>
          <w:rFonts w:ascii="Book Antiqua" w:hAnsi="Book Antiqua"/>
        </w:rPr>
        <w:t xml:space="preserve"> M, Schaller M. Multisystem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successful treatment with thalidomide. </w:t>
      </w:r>
      <w:r w:rsidRPr="00DA2B25">
        <w:rPr>
          <w:rFonts w:ascii="Book Antiqua" w:hAnsi="Book Antiqua"/>
          <w:i/>
          <w:iCs/>
        </w:rPr>
        <w:t xml:space="preserve">Am J </w:t>
      </w:r>
      <w:proofErr w:type="spellStart"/>
      <w:r w:rsidRPr="00DA2B25">
        <w:rPr>
          <w:rFonts w:ascii="Book Antiqua" w:hAnsi="Book Antiqua"/>
          <w:i/>
          <w:iCs/>
        </w:rPr>
        <w:t>Clin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2007; </w:t>
      </w:r>
      <w:r w:rsidRPr="00DA2B25">
        <w:rPr>
          <w:rFonts w:ascii="Book Antiqua" w:hAnsi="Book Antiqua"/>
          <w:b/>
          <w:bCs/>
        </w:rPr>
        <w:t>8</w:t>
      </w:r>
      <w:r w:rsidRPr="00DA2B25">
        <w:rPr>
          <w:rFonts w:ascii="Book Antiqua" w:hAnsi="Book Antiqua"/>
        </w:rPr>
        <w:t>: 311-314 [PMID: 17902734 DOI: 10.2165/00128071-200708050-00007]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21 </w:t>
      </w:r>
      <w:proofErr w:type="spellStart"/>
      <w:r w:rsidRPr="00DA2B25">
        <w:rPr>
          <w:rFonts w:ascii="Book Antiqua" w:hAnsi="Book Antiqua"/>
          <w:b/>
          <w:bCs/>
        </w:rPr>
        <w:t>Bouyssou</w:t>
      </w:r>
      <w:proofErr w:type="spellEnd"/>
      <w:r w:rsidRPr="00DA2B25">
        <w:rPr>
          <w:rFonts w:ascii="Book Antiqua" w:hAnsi="Book Antiqua"/>
          <w:b/>
          <w:bCs/>
        </w:rPr>
        <w:t>-Gauthier ML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Bedane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Jaccard</w:t>
      </w:r>
      <w:proofErr w:type="spellEnd"/>
      <w:r w:rsidRPr="00DA2B25">
        <w:rPr>
          <w:rFonts w:ascii="Book Antiqua" w:hAnsi="Book Antiqua"/>
        </w:rPr>
        <w:t xml:space="preserve"> A, Dang PM, </w:t>
      </w:r>
      <w:proofErr w:type="spellStart"/>
      <w:r w:rsidRPr="00DA2B25">
        <w:rPr>
          <w:rFonts w:ascii="Book Antiqua" w:hAnsi="Book Antiqua"/>
        </w:rPr>
        <w:t>Labrousse</w:t>
      </w:r>
      <w:proofErr w:type="spellEnd"/>
      <w:r w:rsidRPr="00DA2B25">
        <w:rPr>
          <w:rFonts w:ascii="Book Antiqua" w:hAnsi="Book Antiqua"/>
        </w:rPr>
        <w:t xml:space="preserve"> F, </w:t>
      </w:r>
      <w:proofErr w:type="spellStart"/>
      <w:r w:rsidRPr="00DA2B25">
        <w:rPr>
          <w:rFonts w:ascii="Book Antiqua" w:hAnsi="Book Antiqua"/>
        </w:rPr>
        <w:t>Leboutet</w:t>
      </w:r>
      <w:proofErr w:type="spellEnd"/>
      <w:r w:rsidRPr="00DA2B25">
        <w:rPr>
          <w:rFonts w:ascii="Book Antiqua" w:hAnsi="Book Antiqua"/>
        </w:rPr>
        <w:t xml:space="preserve"> MJ, Bernard P, </w:t>
      </w:r>
      <w:proofErr w:type="spellStart"/>
      <w:r w:rsidRPr="00DA2B25">
        <w:rPr>
          <w:rFonts w:ascii="Book Antiqua" w:hAnsi="Book Antiqua"/>
        </w:rPr>
        <w:t>Bonnetblanc</w:t>
      </w:r>
      <w:proofErr w:type="spellEnd"/>
      <w:r w:rsidRPr="00DA2B25">
        <w:rPr>
          <w:rFonts w:ascii="Book Antiqua" w:hAnsi="Book Antiqua"/>
        </w:rPr>
        <w:t xml:space="preserve"> JM. </w:t>
      </w:r>
      <w:proofErr w:type="gramStart"/>
      <w:r w:rsidRPr="00DA2B25">
        <w:rPr>
          <w:rFonts w:ascii="Book Antiqua" w:hAnsi="Book Antiqua"/>
        </w:rPr>
        <w:t>[</w:t>
      </w:r>
      <w:proofErr w:type="spellStart"/>
      <w:r w:rsidRPr="00DA2B25">
        <w:rPr>
          <w:rFonts w:ascii="Book Antiqua" w:hAnsi="Book Antiqua"/>
        </w:rPr>
        <w:t>Multicentric</w:t>
      </w:r>
      <w:proofErr w:type="spell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with hematological involvement].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 xml:space="preserve">Ann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Venereol</w:t>
      </w:r>
      <w:proofErr w:type="spellEnd"/>
      <w:r w:rsidRPr="00DA2B25">
        <w:rPr>
          <w:rFonts w:ascii="Book Antiqua" w:hAnsi="Book Antiqua"/>
        </w:rPr>
        <w:t xml:space="preserve"> 1996; </w:t>
      </w:r>
      <w:r w:rsidRPr="00DA2B25">
        <w:rPr>
          <w:rFonts w:ascii="Book Antiqua" w:hAnsi="Book Antiqua"/>
          <w:b/>
          <w:bCs/>
        </w:rPr>
        <w:t>123</w:t>
      </w:r>
      <w:r w:rsidRPr="00DA2B25">
        <w:rPr>
          <w:rFonts w:ascii="Book Antiqua" w:hAnsi="Book Antiqua"/>
        </w:rPr>
        <w:t>: 460-463 [PMID: 9033715]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22 </w:t>
      </w:r>
      <w:proofErr w:type="spellStart"/>
      <w:r w:rsidRPr="00DA2B25">
        <w:rPr>
          <w:rFonts w:ascii="Book Antiqua" w:hAnsi="Book Antiqua"/>
          <w:b/>
          <w:bCs/>
        </w:rPr>
        <w:t>Claudon</w:t>
      </w:r>
      <w:proofErr w:type="spellEnd"/>
      <w:r w:rsidRPr="00DA2B25">
        <w:rPr>
          <w:rFonts w:ascii="Book Antiqua" w:hAnsi="Book Antiqua"/>
          <w:b/>
          <w:bCs/>
        </w:rPr>
        <w:t xml:space="preserve"> A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Dietemann</w:t>
      </w:r>
      <w:proofErr w:type="spellEnd"/>
      <w:r w:rsidRPr="00DA2B25">
        <w:rPr>
          <w:rFonts w:ascii="Book Antiqua" w:hAnsi="Book Antiqua"/>
        </w:rPr>
        <w:t xml:space="preserve"> JL, Hamman De </w:t>
      </w:r>
      <w:proofErr w:type="spellStart"/>
      <w:r w:rsidRPr="00DA2B25">
        <w:rPr>
          <w:rFonts w:ascii="Book Antiqua" w:hAnsi="Book Antiqua"/>
        </w:rPr>
        <w:t>Compte</w:t>
      </w:r>
      <w:proofErr w:type="spellEnd"/>
      <w:r w:rsidRPr="00DA2B25">
        <w:rPr>
          <w:rFonts w:ascii="Book Antiqua" w:hAnsi="Book Antiqua"/>
        </w:rPr>
        <w:t xml:space="preserve"> A, Hassler P. [Interest in thalidomide in </w:t>
      </w:r>
      <w:proofErr w:type="spellStart"/>
      <w:r w:rsidRPr="00DA2B25">
        <w:rPr>
          <w:rFonts w:ascii="Book Antiqua" w:hAnsi="Book Antiqua"/>
        </w:rPr>
        <w:t>cutaneo</w:t>
      </w:r>
      <w:proofErr w:type="spellEnd"/>
      <w:r w:rsidRPr="00DA2B25">
        <w:rPr>
          <w:rFonts w:ascii="Book Antiqua" w:hAnsi="Book Antiqua"/>
        </w:rPr>
        <w:t xml:space="preserve">-mucous and </w:t>
      </w:r>
      <w:proofErr w:type="spellStart"/>
      <w:r w:rsidRPr="00DA2B25">
        <w:rPr>
          <w:rFonts w:ascii="Book Antiqua" w:hAnsi="Book Antiqua"/>
        </w:rPr>
        <w:t>hypothalamo-hypophyseal</w:t>
      </w:r>
      <w:proofErr w:type="spellEnd"/>
      <w:r w:rsidRPr="00DA2B25">
        <w:rPr>
          <w:rFonts w:ascii="Book Antiqua" w:hAnsi="Book Antiqua"/>
        </w:rPr>
        <w:t xml:space="preserve"> involvement of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].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>Rev Med Interne</w:t>
      </w:r>
      <w:r w:rsidRPr="00DA2B25">
        <w:rPr>
          <w:rFonts w:ascii="Book Antiqua" w:hAnsi="Book Antiqua"/>
        </w:rPr>
        <w:t xml:space="preserve"> 2002; </w:t>
      </w:r>
      <w:r w:rsidRPr="00DA2B25">
        <w:rPr>
          <w:rFonts w:ascii="Book Antiqua" w:hAnsi="Book Antiqua"/>
          <w:b/>
          <w:bCs/>
        </w:rPr>
        <w:t>23</w:t>
      </w:r>
      <w:r w:rsidRPr="00DA2B25">
        <w:rPr>
          <w:rFonts w:ascii="Book Antiqua" w:hAnsi="Book Antiqua"/>
        </w:rPr>
        <w:t>: 651-656 [PMID: 12162220 DOI: 10.1016/s0248-8663(02)00627-6]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23 </w:t>
      </w:r>
      <w:proofErr w:type="spellStart"/>
      <w:r w:rsidRPr="00DA2B25">
        <w:rPr>
          <w:rFonts w:ascii="Book Antiqua" w:hAnsi="Book Antiqua"/>
          <w:b/>
          <w:bCs/>
        </w:rPr>
        <w:t>Dallafior</w:t>
      </w:r>
      <w:proofErr w:type="spellEnd"/>
      <w:r w:rsidRPr="00DA2B25">
        <w:rPr>
          <w:rFonts w:ascii="Book Antiqua" w:hAnsi="Book Antiqua"/>
          <w:b/>
          <w:bCs/>
        </w:rPr>
        <w:t xml:space="preserve"> S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Pugin</w:t>
      </w:r>
      <w:proofErr w:type="spellEnd"/>
      <w:r w:rsidRPr="00DA2B25">
        <w:rPr>
          <w:rFonts w:ascii="Book Antiqua" w:hAnsi="Book Antiqua"/>
        </w:rPr>
        <w:t xml:space="preserve"> P, </w:t>
      </w:r>
      <w:proofErr w:type="spellStart"/>
      <w:r w:rsidRPr="00DA2B25">
        <w:rPr>
          <w:rFonts w:ascii="Book Antiqua" w:hAnsi="Book Antiqua"/>
        </w:rPr>
        <w:t>Cerny</w:t>
      </w:r>
      <w:proofErr w:type="spellEnd"/>
      <w:r w:rsidRPr="00DA2B25">
        <w:rPr>
          <w:rFonts w:ascii="Book Antiqua" w:hAnsi="Book Antiqua"/>
        </w:rPr>
        <w:t xml:space="preserve"> T, </w:t>
      </w:r>
      <w:proofErr w:type="spellStart"/>
      <w:r w:rsidRPr="00DA2B25">
        <w:rPr>
          <w:rFonts w:ascii="Book Antiqua" w:hAnsi="Book Antiqua"/>
        </w:rPr>
        <w:t>Betticher</w:t>
      </w:r>
      <w:proofErr w:type="spellEnd"/>
      <w:r w:rsidRPr="00DA2B25">
        <w:rPr>
          <w:rFonts w:ascii="Book Antiqua" w:hAnsi="Book Antiqua"/>
        </w:rPr>
        <w:t xml:space="preserve"> D, </w:t>
      </w:r>
      <w:proofErr w:type="spellStart"/>
      <w:r w:rsidRPr="00DA2B25">
        <w:rPr>
          <w:rFonts w:ascii="Book Antiqua" w:hAnsi="Book Antiqua"/>
        </w:rPr>
        <w:t>Saurat</w:t>
      </w:r>
      <w:proofErr w:type="spellEnd"/>
      <w:r w:rsidRPr="00DA2B25">
        <w:rPr>
          <w:rFonts w:ascii="Book Antiqua" w:hAnsi="Book Antiqua"/>
        </w:rPr>
        <w:t xml:space="preserve"> JH, Hauser C. [Successful treatment of a case of cutaneous Langerhans cell granulomatosis with 2-chlorodeoxyadenosine and thalidomide]. </w:t>
      </w:r>
      <w:proofErr w:type="spellStart"/>
      <w:r w:rsidRPr="00DA2B25">
        <w:rPr>
          <w:rFonts w:ascii="Book Antiqua" w:hAnsi="Book Antiqua"/>
          <w:i/>
          <w:iCs/>
        </w:rPr>
        <w:t>Hautarzt</w:t>
      </w:r>
      <w:proofErr w:type="spellEnd"/>
      <w:r w:rsidRPr="00DA2B25">
        <w:rPr>
          <w:rFonts w:ascii="Book Antiqua" w:hAnsi="Book Antiqua"/>
        </w:rPr>
        <w:t xml:space="preserve"> 1995; </w:t>
      </w:r>
      <w:r w:rsidRPr="00DA2B25">
        <w:rPr>
          <w:rFonts w:ascii="Book Antiqua" w:hAnsi="Book Antiqua"/>
          <w:b/>
          <w:bCs/>
        </w:rPr>
        <w:t>46</w:t>
      </w:r>
      <w:r w:rsidRPr="00DA2B25">
        <w:rPr>
          <w:rFonts w:ascii="Book Antiqua" w:hAnsi="Book Antiqua"/>
        </w:rPr>
        <w:t>: 553-560 [PMID: 7558825 DOI: 10.1007/s001050050298]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24 </w:t>
      </w:r>
      <w:r w:rsidRPr="00DA2B25">
        <w:rPr>
          <w:rFonts w:ascii="Book Antiqua" w:hAnsi="Book Antiqua"/>
          <w:b/>
          <w:bCs/>
        </w:rPr>
        <w:t>El-Safadi S</w:t>
      </w:r>
      <w:r w:rsidRPr="00DA2B25">
        <w:rPr>
          <w:rFonts w:ascii="Book Antiqua" w:hAnsi="Book Antiqua"/>
        </w:rPr>
        <w:t xml:space="preserve">, Dreyer T, </w:t>
      </w:r>
      <w:proofErr w:type="spellStart"/>
      <w:r w:rsidRPr="00DA2B25">
        <w:rPr>
          <w:rFonts w:ascii="Book Antiqua" w:hAnsi="Book Antiqua"/>
        </w:rPr>
        <w:t>Oehmke</w:t>
      </w:r>
      <w:proofErr w:type="spellEnd"/>
      <w:r w:rsidRPr="00DA2B25">
        <w:rPr>
          <w:rFonts w:ascii="Book Antiqua" w:hAnsi="Book Antiqua"/>
        </w:rPr>
        <w:t xml:space="preserve"> F, </w:t>
      </w:r>
      <w:proofErr w:type="spellStart"/>
      <w:proofErr w:type="gramStart"/>
      <w:r w:rsidRPr="00DA2B25">
        <w:rPr>
          <w:rFonts w:ascii="Book Antiqua" w:hAnsi="Book Antiqua"/>
        </w:rPr>
        <w:t>Muenstedt</w:t>
      </w:r>
      <w:proofErr w:type="spellEnd"/>
      <w:proofErr w:type="gramEnd"/>
      <w:r w:rsidRPr="00DA2B25">
        <w:rPr>
          <w:rFonts w:ascii="Book Antiqua" w:hAnsi="Book Antiqua"/>
        </w:rPr>
        <w:t xml:space="preserve"> K. Management of adult primary vulvar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review of the literature and a case history. </w:t>
      </w:r>
      <w:proofErr w:type="spellStart"/>
      <w:r w:rsidRPr="00DA2B25">
        <w:rPr>
          <w:rFonts w:ascii="Book Antiqua" w:hAnsi="Book Antiqua"/>
          <w:i/>
          <w:iCs/>
        </w:rPr>
        <w:t>Eur</w:t>
      </w:r>
      <w:proofErr w:type="spellEnd"/>
      <w:r w:rsidRPr="00DA2B25">
        <w:rPr>
          <w:rFonts w:ascii="Book Antiqua" w:hAnsi="Book Antiqua"/>
          <w:i/>
          <w:iCs/>
        </w:rPr>
        <w:t xml:space="preserve"> J </w:t>
      </w:r>
      <w:proofErr w:type="spellStart"/>
      <w:r w:rsidRPr="00DA2B25">
        <w:rPr>
          <w:rFonts w:ascii="Book Antiqua" w:hAnsi="Book Antiqua"/>
          <w:i/>
          <w:iCs/>
        </w:rPr>
        <w:t>Obstet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Gynecol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Reprod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Biol</w:t>
      </w:r>
      <w:proofErr w:type="spellEnd"/>
      <w:r w:rsidRPr="00DA2B25">
        <w:rPr>
          <w:rFonts w:ascii="Book Antiqua" w:hAnsi="Book Antiqua"/>
        </w:rPr>
        <w:t xml:space="preserve"> 2012; </w:t>
      </w:r>
      <w:r w:rsidRPr="00DA2B25">
        <w:rPr>
          <w:rFonts w:ascii="Book Antiqua" w:hAnsi="Book Antiqua"/>
          <w:b/>
          <w:bCs/>
        </w:rPr>
        <w:t>163</w:t>
      </w:r>
      <w:r w:rsidRPr="00DA2B25">
        <w:rPr>
          <w:rFonts w:ascii="Book Antiqua" w:hAnsi="Book Antiqua"/>
        </w:rPr>
        <w:t>: 123-128 [PMID: 22464205 DOI: 10.1016/j.ejogrb.2012.03.010]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25 </w:t>
      </w:r>
      <w:proofErr w:type="spellStart"/>
      <w:r w:rsidRPr="00DA2B25">
        <w:rPr>
          <w:rFonts w:ascii="Book Antiqua" w:hAnsi="Book Antiqua"/>
          <w:b/>
          <w:bCs/>
        </w:rPr>
        <w:t>Fernandes</w:t>
      </w:r>
      <w:proofErr w:type="spellEnd"/>
      <w:r w:rsidRPr="00DA2B25">
        <w:rPr>
          <w:rFonts w:ascii="Book Antiqua" w:hAnsi="Book Antiqua"/>
          <w:b/>
          <w:bCs/>
        </w:rPr>
        <w:t xml:space="preserve"> LB</w:t>
      </w:r>
      <w:r w:rsidRPr="00DA2B25">
        <w:rPr>
          <w:rFonts w:ascii="Book Antiqua" w:hAnsi="Book Antiqua"/>
        </w:rPr>
        <w:t xml:space="preserve">, Guerra JG, Costa MB, </w:t>
      </w:r>
      <w:proofErr w:type="spellStart"/>
      <w:r w:rsidRPr="00DA2B25">
        <w:rPr>
          <w:rFonts w:ascii="Book Antiqua" w:hAnsi="Book Antiqua"/>
        </w:rPr>
        <w:t>Paiva</w:t>
      </w:r>
      <w:proofErr w:type="spellEnd"/>
      <w:r w:rsidRPr="00DA2B25">
        <w:rPr>
          <w:rFonts w:ascii="Book Antiqua" w:hAnsi="Book Antiqua"/>
        </w:rPr>
        <w:t xml:space="preserve"> IG, Duran FP, </w:t>
      </w:r>
      <w:proofErr w:type="spellStart"/>
      <w:r w:rsidRPr="00DA2B25">
        <w:rPr>
          <w:rFonts w:ascii="Book Antiqua" w:hAnsi="Book Antiqua"/>
        </w:rPr>
        <w:t>Jacó</w:t>
      </w:r>
      <w:proofErr w:type="spellEnd"/>
      <w:r w:rsidRPr="00DA2B25">
        <w:rPr>
          <w:rFonts w:ascii="Book Antiqua" w:hAnsi="Book Antiqua"/>
        </w:rPr>
        <w:t xml:space="preserve"> DN. Langerhans cells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with vulvar involvement and responding to thalidomide therapy--case report. </w:t>
      </w:r>
      <w:proofErr w:type="gramStart"/>
      <w:r w:rsidRPr="00DA2B25">
        <w:rPr>
          <w:rFonts w:ascii="Book Antiqua" w:hAnsi="Book Antiqua"/>
          <w:i/>
          <w:iCs/>
        </w:rPr>
        <w:t>An</w:t>
      </w:r>
      <w:proofErr w:type="gramEnd"/>
      <w:r w:rsidRPr="00DA2B25">
        <w:rPr>
          <w:rFonts w:ascii="Book Antiqua" w:hAnsi="Book Antiqua"/>
          <w:i/>
          <w:iCs/>
        </w:rPr>
        <w:t xml:space="preserve"> Bras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2011; </w:t>
      </w:r>
      <w:r w:rsidRPr="00DA2B25">
        <w:rPr>
          <w:rFonts w:ascii="Book Antiqua" w:hAnsi="Book Antiqua"/>
          <w:b/>
          <w:bCs/>
        </w:rPr>
        <w:t>86</w:t>
      </w:r>
      <w:r w:rsidRPr="00DA2B25">
        <w:rPr>
          <w:rFonts w:ascii="Book Antiqua" w:hAnsi="Book Antiqua"/>
        </w:rPr>
        <w:t>: S78-S81 [PMID: 22068778 DOI: 10.1590/s0365-05962011000700020]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26 </w:t>
      </w:r>
      <w:proofErr w:type="spellStart"/>
      <w:r w:rsidRPr="00DA2B25">
        <w:rPr>
          <w:rFonts w:ascii="Book Antiqua" w:hAnsi="Book Antiqua"/>
          <w:b/>
          <w:bCs/>
        </w:rPr>
        <w:t>Gerlach</w:t>
      </w:r>
      <w:proofErr w:type="spellEnd"/>
      <w:r w:rsidRPr="00DA2B25">
        <w:rPr>
          <w:rFonts w:ascii="Book Antiqua" w:hAnsi="Book Antiqua"/>
          <w:b/>
          <w:bCs/>
        </w:rPr>
        <w:t xml:space="preserve"> B</w:t>
      </w:r>
      <w:r w:rsidRPr="00DA2B25">
        <w:rPr>
          <w:rFonts w:ascii="Book Antiqua" w:hAnsi="Book Antiqua"/>
        </w:rPr>
        <w:t xml:space="preserve">, Stein A, Fischer R, </w:t>
      </w:r>
      <w:proofErr w:type="spellStart"/>
      <w:r w:rsidRPr="00DA2B25">
        <w:rPr>
          <w:rFonts w:ascii="Book Antiqua" w:hAnsi="Book Antiqua"/>
        </w:rPr>
        <w:t>Wozel</w:t>
      </w:r>
      <w:proofErr w:type="spellEnd"/>
      <w:r w:rsidRPr="00DA2B25">
        <w:rPr>
          <w:rFonts w:ascii="Book Antiqua" w:hAnsi="Book Antiqua"/>
        </w:rPr>
        <w:t xml:space="preserve"> G, </w:t>
      </w:r>
      <w:proofErr w:type="spellStart"/>
      <w:r w:rsidRPr="00DA2B25">
        <w:rPr>
          <w:rFonts w:ascii="Book Antiqua" w:hAnsi="Book Antiqua"/>
        </w:rPr>
        <w:t>Dittert</w:t>
      </w:r>
      <w:proofErr w:type="spellEnd"/>
      <w:r w:rsidRPr="00DA2B25">
        <w:rPr>
          <w:rFonts w:ascii="Book Antiqua" w:hAnsi="Book Antiqua"/>
        </w:rPr>
        <w:t xml:space="preserve"> DD, Richter G.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in the elderly. </w:t>
      </w:r>
      <w:proofErr w:type="spellStart"/>
      <w:r w:rsidRPr="00DA2B25">
        <w:rPr>
          <w:rFonts w:ascii="Book Antiqua" w:hAnsi="Book Antiqua"/>
          <w:i/>
          <w:iCs/>
        </w:rPr>
        <w:t>Hautarzt</w:t>
      </w:r>
      <w:proofErr w:type="spellEnd"/>
      <w:r w:rsidRPr="00DA2B25">
        <w:rPr>
          <w:rFonts w:ascii="Book Antiqua" w:hAnsi="Book Antiqua"/>
        </w:rPr>
        <w:t xml:space="preserve"> 1998; </w:t>
      </w:r>
      <w:r w:rsidRPr="00DA2B25">
        <w:rPr>
          <w:rFonts w:ascii="Book Antiqua" w:hAnsi="Book Antiqua"/>
          <w:b/>
          <w:bCs/>
        </w:rPr>
        <w:t>49</w:t>
      </w:r>
      <w:r w:rsidRPr="00DA2B25">
        <w:rPr>
          <w:rFonts w:ascii="Book Antiqua" w:hAnsi="Book Antiqua"/>
        </w:rPr>
        <w:t>: 23-30 [PMID: 9522189 DOI: 10.1007/s001050050696]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27 </w:t>
      </w:r>
      <w:proofErr w:type="spellStart"/>
      <w:r w:rsidRPr="00DA2B25">
        <w:rPr>
          <w:rFonts w:ascii="Book Antiqua" w:hAnsi="Book Antiqua"/>
          <w:b/>
          <w:bCs/>
        </w:rPr>
        <w:t>Gnassia</w:t>
      </w:r>
      <w:proofErr w:type="spellEnd"/>
      <w:r w:rsidRPr="00DA2B25">
        <w:rPr>
          <w:rFonts w:ascii="Book Antiqua" w:hAnsi="Book Antiqua"/>
          <w:b/>
          <w:bCs/>
        </w:rPr>
        <w:t xml:space="preserve"> A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Gnassia</w:t>
      </w:r>
      <w:proofErr w:type="spellEnd"/>
      <w:r w:rsidRPr="00DA2B25">
        <w:rPr>
          <w:rFonts w:ascii="Book Antiqua" w:hAnsi="Book Antiqua"/>
        </w:rPr>
        <w:t xml:space="preserve"> R, </w:t>
      </w:r>
      <w:proofErr w:type="spellStart"/>
      <w:r w:rsidRPr="00DA2B25">
        <w:rPr>
          <w:rFonts w:ascii="Book Antiqua" w:hAnsi="Book Antiqua"/>
        </w:rPr>
        <w:t>Bovalent</w:t>
      </w:r>
      <w:proofErr w:type="spellEnd"/>
      <w:r w:rsidRPr="00DA2B25">
        <w:rPr>
          <w:rFonts w:ascii="Book Antiqua" w:hAnsi="Book Antiqua"/>
        </w:rPr>
        <w:t xml:space="preserve"> D, Puissant A, Goudal H. </w:t>
      </w:r>
      <w:proofErr w:type="spellStart"/>
      <w:r w:rsidRPr="00DA2B25">
        <w:rPr>
          <w:rFonts w:ascii="Book Antiqua" w:hAnsi="Book Antiqua"/>
        </w:rPr>
        <w:t>Histiocytosys</w:t>
      </w:r>
      <w:proofErr w:type="spellEnd"/>
      <w:r w:rsidRPr="00DA2B25">
        <w:rPr>
          <w:rFonts w:ascii="Book Antiqua" w:hAnsi="Book Antiqua"/>
        </w:rPr>
        <w:t xml:space="preserve"> X avec “</w:t>
      </w:r>
      <w:proofErr w:type="spellStart"/>
      <w:r w:rsidRPr="00DA2B25">
        <w:rPr>
          <w:rFonts w:ascii="Book Antiqua" w:hAnsi="Book Antiqua"/>
        </w:rPr>
        <w:t>granulome</w:t>
      </w:r>
      <w:proofErr w:type="spell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</w:rPr>
        <w:t>eosinophile</w:t>
      </w:r>
      <w:proofErr w:type="spellEnd"/>
      <w:r w:rsidRPr="00DA2B25">
        <w:rPr>
          <w:rFonts w:ascii="Book Antiqua" w:hAnsi="Book Antiqua"/>
        </w:rPr>
        <w:t xml:space="preserve"> vulvar”: effect </w:t>
      </w:r>
      <w:proofErr w:type="spellStart"/>
      <w:r w:rsidRPr="00DA2B25">
        <w:rPr>
          <w:rFonts w:ascii="Book Antiqua" w:hAnsi="Book Antiqua"/>
        </w:rPr>
        <w:t>spectaculaire</w:t>
      </w:r>
      <w:proofErr w:type="spellEnd"/>
      <w:r w:rsidRPr="00DA2B25">
        <w:rPr>
          <w:rFonts w:ascii="Book Antiqua" w:hAnsi="Book Antiqua"/>
        </w:rPr>
        <w:t xml:space="preserve"> du thalidomide. Ann </w:t>
      </w:r>
      <w:proofErr w:type="spellStart"/>
      <w:r w:rsidRPr="00DA2B25">
        <w:rPr>
          <w:rFonts w:ascii="Book Antiqua" w:hAnsi="Book Antiqua"/>
        </w:rPr>
        <w:t>Dermatol</w:t>
      </w:r>
      <w:proofErr w:type="spell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</w:rPr>
        <w:t>Vénéréol</w:t>
      </w:r>
      <w:proofErr w:type="spellEnd"/>
      <w:r w:rsidRPr="00DA2B25">
        <w:rPr>
          <w:rFonts w:ascii="Book Antiqua" w:hAnsi="Book Antiqua"/>
        </w:rPr>
        <w:t xml:space="preserve"> 1987; 114: 1387-1389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28 </w:t>
      </w:r>
      <w:proofErr w:type="spellStart"/>
      <w:r w:rsidRPr="00DA2B25">
        <w:rPr>
          <w:rFonts w:ascii="Book Antiqua" w:hAnsi="Book Antiqua"/>
          <w:b/>
          <w:bCs/>
        </w:rPr>
        <w:t>Kolde</w:t>
      </w:r>
      <w:proofErr w:type="spellEnd"/>
      <w:r w:rsidRPr="00DA2B25">
        <w:rPr>
          <w:rFonts w:ascii="Book Antiqua" w:hAnsi="Book Antiqua"/>
          <w:b/>
          <w:bCs/>
        </w:rPr>
        <w:t xml:space="preserve"> G</w:t>
      </w:r>
      <w:r w:rsidRPr="00DA2B25">
        <w:rPr>
          <w:rFonts w:ascii="Book Antiqua" w:hAnsi="Book Antiqua"/>
        </w:rPr>
        <w:t xml:space="preserve">, Schulze P, </w:t>
      </w:r>
      <w:proofErr w:type="spellStart"/>
      <w:r w:rsidRPr="00DA2B25">
        <w:rPr>
          <w:rFonts w:ascii="Book Antiqua" w:hAnsi="Book Antiqua"/>
        </w:rPr>
        <w:t>Sterry</w:t>
      </w:r>
      <w:proofErr w:type="spellEnd"/>
      <w:r w:rsidRPr="00DA2B25">
        <w:rPr>
          <w:rFonts w:ascii="Book Antiqua" w:hAnsi="Book Antiqua"/>
        </w:rPr>
        <w:t xml:space="preserve"> W. Mixed response to thalidomide therapy in adults: two cases of multisystem Langerhans'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proofErr w:type="spellStart"/>
      <w:r w:rsidRPr="00DA2B25">
        <w:rPr>
          <w:rFonts w:ascii="Book Antiqua" w:hAnsi="Book Antiqua"/>
          <w:i/>
          <w:iCs/>
        </w:rPr>
        <w:t>Acta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Venereol</w:t>
      </w:r>
      <w:proofErr w:type="spellEnd"/>
      <w:r w:rsidRPr="00DA2B25">
        <w:rPr>
          <w:rFonts w:ascii="Book Antiqua" w:hAnsi="Book Antiqua"/>
        </w:rPr>
        <w:t xml:space="preserve"> 2002; </w:t>
      </w:r>
      <w:r w:rsidRPr="00DA2B25">
        <w:rPr>
          <w:rFonts w:ascii="Book Antiqua" w:hAnsi="Book Antiqua"/>
          <w:b/>
          <w:bCs/>
        </w:rPr>
        <w:t>82</w:t>
      </w:r>
      <w:r w:rsidRPr="00DA2B25">
        <w:rPr>
          <w:rFonts w:ascii="Book Antiqua" w:hAnsi="Book Antiqua"/>
        </w:rPr>
        <w:t>: 384-386 [PMID: 12430744 DOI: 10.1080/000155502320624186]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29 </w:t>
      </w:r>
      <w:r w:rsidRPr="00DA2B25">
        <w:rPr>
          <w:rFonts w:ascii="Book Antiqua" w:hAnsi="Book Antiqua"/>
          <w:b/>
          <w:bCs/>
        </w:rPr>
        <w:t>Lair G</w:t>
      </w:r>
      <w:r w:rsidRPr="00DA2B25">
        <w:rPr>
          <w:rFonts w:ascii="Book Antiqua" w:hAnsi="Book Antiqua"/>
        </w:rPr>
        <w:t xml:space="preserve">, Marie I, </w:t>
      </w:r>
      <w:proofErr w:type="spellStart"/>
      <w:r w:rsidRPr="00DA2B25">
        <w:rPr>
          <w:rFonts w:ascii="Book Antiqua" w:hAnsi="Book Antiqua"/>
        </w:rPr>
        <w:t>Cailleux</w:t>
      </w:r>
      <w:proofErr w:type="spellEnd"/>
      <w:r w:rsidRPr="00DA2B25">
        <w:rPr>
          <w:rFonts w:ascii="Book Antiqua" w:hAnsi="Book Antiqua"/>
        </w:rPr>
        <w:t xml:space="preserve"> N, Blot E, </w:t>
      </w:r>
      <w:proofErr w:type="spellStart"/>
      <w:r w:rsidRPr="00DA2B25">
        <w:rPr>
          <w:rFonts w:ascii="Book Antiqua" w:hAnsi="Book Antiqua"/>
        </w:rPr>
        <w:t>Boullié</w:t>
      </w:r>
      <w:proofErr w:type="spellEnd"/>
      <w:r w:rsidRPr="00DA2B25">
        <w:rPr>
          <w:rFonts w:ascii="Book Antiqua" w:hAnsi="Book Antiqua"/>
        </w:rPr>
        <w:t xml:space="preserve"> MC, </w:t>
      </w:r>
      <w:proofErr w:type="spellStart"/>
      <w:r w:rsidRPr="00DA2B25">
        <w:rPr>
          <w:rFonts w:ascii="Book Antiqua" w:hAnsi="Book Antiqua"/>
        </w:rPr>
        <w:t>Courville</w:t>
      </w:r>
      <w:proofErr w:type="spellEnd"/>
      <w:r w:rsidRPr="00DA2B25">
        <w:rPr>
          <w:rFonts w:ascii="Book Antiqua" w:hAnsi="Book Antiqua"/>
        </w:rPr>
        <w:t xml:space="preserve"> P, </w:t>
      </w:r>
      <w:proofErr w:type="spellStart"/>
      <w:r w:rsidRPr="00DA2B25">
        <w:rPr>
          <w:rFonts w:ascii="Book Antiqua" w:hAnsi="Book Antiqua"/>
        </w:rPr>
        <w:t>Lauret</w:t>
      </w:r>
      <w:proofErr w:type="spellEnd"/>
      <w:r w:rsidRPr="00DA2B25">
        <w:rPr>
          <w:rFonts w:ascii="Book Antiqua" w:hAnsi="Book Antiqua"/>
        </w:rPr>
        <w:t xml:space="preserve"> P, Lévesque H, Courtois H. [Langerhans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in adults: cutaneous and mucous lesion regression after treatment with thalidomide]. </w:t>
      </w:r>
      <w:r w:rsidRPr="00DA2B25">
        <w:rPr>
          <w:rFonts w:ascii="Book Antiqua" w:hAnsi="Book Antiqua"/>
          <w:i/>
          <w:iCs/>
        </w:rPr>
        <w:t>Rev Med Interne</w:t>
      </w:r>
      <w:r w:rsidRPr="00DA2B25">
        <w:rPr>
          <w:rFonts w:ascii="Book Antiqua" w:hAnsi="Book Antiqua"/>
        </w:rPr>
        <w:t xml:space="preserve"> 1998; </w:t>
      </w:r>
      <w:r w:rsidRPr="00DA2B25">
        <w:rPr>
          <w:rFonts w:ascii="Book Antiqua" w:hAnsi="Book Antiqua"/>
          <w:b/>
          <w:bCs/>
        </w:rPr>
        <w:t>19</w:t>
      </w:r>
      <w:r w:rsidRPr="00DA2B25">
        <w:rPr>
          <w:rFonts w:ascii="Book Antiqua" w:hAnsi="Book Antiqua"/>
        </w:rPr>
        <w:t>: 196-198 [PMID: 9775141 DOI: 10.1016/s0248-8663(97)80720-5]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30 </w:t>
      </w:r>
      <w:r w:rsidRPr="00DA2B25">
        <w:rPr>
          <w:rFonts w:ascii="Book Antiqua" w:hAnsi="Book Antiqua"/>
          <w:b/>
          <w:bCs/>
        </w:rPr>
        <w:t>Li R</w:t>
      </w:r>
      <w:r w:rsidRPr="00DA2B25">
        <w:rPr>
          <w:rFonts w:ascii="Book Antiqua" w:hAnsi="Book Antiqua"/>
        </w:rPr>
        <w:t xml:space="preserve">, Lin T, </w:t>
      </w:r>
      <w:proofErr w:type="spellStart"/>
      <w:r w:rsidRPr="00DA2B25">
        <w:rPr>
          <w:rFonts w:ascii="Book Antiqua" w:hAnsi="Book Antiqua"/>
        </w:rPr>
        <w:t>Gu</w:t>
      </w:r>
      <w:proofErr w:type="spellEnd"/>
      <w:r w:rsidRPr="00DA2B25">
        <w:rPr>
          <w:rFonts w:ascii="Book Antiqua" w:hAnsi="Book Antiqua"/>
        </w:rPr>
        <w:t xml:space="preserve"> H, Zhou Z. Successful thalidomide treatment of adult solitary perianal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proofErr w:type="spellStart"/>
      <w:r w:rsidRPr="00DA2B25">
        <w:rPr>
          <w:rFonts w:ascii="Book Antiqua" w:hAnsi="Book Antiqua"/>
          <w:i/>
          <w:iCs/>
        </w:rPr>
        <w:t>Eur</w:t>
      </w:r>
      <w:proofErr w:type="spellEnd"/>
      <w:r w:rsidRPr="00DA2B25">
        <w:rPr>
          <w:rFonts w:ascii="Book Antiqua" w:hAnsi="Book Antiqua"/>
          <w:i/>
          <w:iCs/>
        </w:rPr>
        <w:t xml:space="preserve"> J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2010; </w:t>
      </w:r>
      <w:r w:rsidRPr="00DA2B25">
        <w:rPr>
          <w:rFonts w:ascii="Book Antiqua" w:hAnsi="Book Antiqua"/>
          <w:b/>
          <w:bCs/>
        </w:rPr>
        <w:t>20</w:t>
      </w:r>
      <w:r w:rsidRPr="00DA2B25">
        <w:rPr>
          <w:rFonts w:ascii="Book Antiqua" w:hAnsi="Book Antiqua"/>
        </w:rPr>
        <w:t>: 391-392 [PMID: 20146969 DOI: 10.1684/ejd.2010.0905]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31 </w:t>
      </w:r>
      <w:r w:rsidRPr="00DA2B25">
        <w:rPr>
          <w:rFonts w:ascii="Book Antiqua" w:hAnsi="Book Antiqua"/>
          <w:b/>
          <w:bCs/>
        </w:rPr>
        <w:t>Mauro E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Fraulini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Rigolin</w:t>
      </w:r>
      <w:proofErr w:type="spellEnd"/>
      <w:r w:rsidRPr="00DA2B25">
        <w:rPr>
          <w:rFonts w:ascii="Book Antiqua" w:hAnsi="Book Antiqua"/>
        </w:rPr>
        <w:t xml:space="preserve"> GM, </w:t>
      </w:r>
      <w:proofErr w:type="spellStart"/>
      <w:r w:rsidRPr="00DA2B25">
        <w:rPr>
          <w:rFonts w:ascii="Book Antiqua" w:hAnsi="Book Antiqua"/>
        </w:rPr>
        <w:t>Galeotti</w:t>
      </w:r>
      <w:proofErr w:type="spellEnd"/>
      <w:r w:rsidRPr="00DA2B25">
        <w:rPr>
          <w:rFonts w:ascii="Book Antiqua" w:hAnsi="Book Antiqua"/>
        </w:rPr>
        <w:t xml:space="preserve"> R, </w:t>
      </w:r>
      <w:proofErr w:type="spellStart"/>
      <w:r w:rsidRPr="00DA2B25">
        <w:rPr>
          <w:rFonts w:ascii="Book Antiqua" w:hAnsi="Book Antiqua"/>
        </w:rPr>
        <w:t>Spanedda</w:t>
      </w:r>
      <w:proofErr w:type="spellEnd"/>
      <w:r w:rsidRPr="00DA2B25">
        <w:rPr>
          <w:rFonts w:ascii="Book Antiqua" w:hAnsi="Book Antiqua"/>
        </w:rPr>
        <w:t xml:space="preserve"> R, </w:t>
      </w:r>
      <w:proofErr w:type="spellStart"/>
      <w:r w:rsidRPr="00DA2B25">
        <w:rPr>
          <w:rFonts w:ascii="Book Antiqua" w:hAnsi="Book Antiqua"/>
        </w:rPr>
        <w:t>Castoldi</w:t>
      </w:r>
      <w:proofErr w:type="spellEnd"/>
      <w:r w:rsidRPr="00DA2B25">
        <w:rPr>
          <w:rFonts w:ascii="Book Antiqua" w:hAnsi="Book Antiqua"/>
        </w:rPr>
        <w:t xml:space="preserve"> G. A case of disseminated Langerhans'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treated with thalidomide. </w:t>
      </w:r>
      <w:proofErr w:type="spellStart"/>
      <w:r w:rsidRPr="00DA2B25">
        <w:rPr>
          <w:rFonts w:ascii="Book Antiqua" w:hAnsi="Book Antiqua"/>
          <w:i/>
          <w:iCs/>
        </w:rPr>
        <w:t>Eur</w:t>
      </w:r>
      <w:proofErr w:type="spellEnd"/>
      <w:r w:rsidRPr="00DA2B25">
        <w:rPr>
          <w:rFonts w:ascii="Book Antiqua" w:hAnsi="Book Antiqua"/>
          <w:i/>
          <w:iCs/>
        </w:rPr>
        <w:t xml:space="preserve"> J </w:t>
      </w:r>
      <w:proofErr w:type="spellStart"/>
      <w:r w:rsidRPr="00DA2B25">
        <w:rPr>
          <w:rFonts w:ascii="Book Antiqua" w:hAnsi="Book Antiqua"/>
          <w:i/>
          <w:iCs/>
        </w:rPr>
        <w:t>Haematol</w:t>
      </w:r>
      <w:proofErr w:type="spellEnd"/>
      <w:r w:rsidRPr="00DA2B25">
        <w:rPr>
          <w:rFonts w:ascii="Book Antiqua" w:hAnsi="Book Antiqua"/>
        </w:rPr>
        <w:t xml:space="preserve"> 2005; </w:t>
      </w:r>
      <w:r w:rsidRPr="00DA2B25">
        <w:rPr>
          <w:rFonts w:ascii="Book Antiqua" w:hAnsi="Book Antiqua"/>
          <w:b/>
          <w:bCs/>
        </w:rPr>
        <w:t>74</w:t>
      </w:r>
      <w:r w:rsidRPr="00DA2B25">
        <w:rPr>
          <w:rFonts w:ascii="Book Antiqua" w:hAnsi="Book Antiqua"/>
        </w:rPr>
        <w:t>: 172-174 [PMID: 15654911 DOI: 10.1111/j.1600-0609.2004.00358.x]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32 </w:t>
      </w:r>
      <w:proofErr w:type="spellStart"/>
      <w:r w:rsidRPr="00DA2B25">
        <w:rPr>
          <w:rFonts w:ascii="Book Antiqua" w:hAnsi="Book Antiqua"/>
          <w:b/>
          <w:bCs/>
        </w:rPr>
        <w:t>Meunier</w:t>
      </w:r>
      <w:proofErr w:type="spellEnd"/>
      <w:r w:rsidRPr="00DA2B25">
        <w:rPr>
          <w:rFonts w:ascii="Book Antiqua" w:hAnsi="Book Antiqua"/>
          <w:b/>
          <w:bCs/>
        </w:rPr>
        <w:t xml:space="preserve"> L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Marck</w:t>
      </w:r>
      <w:proofErr w:type="spellEnd"/>
      <w:r w:rsidRPr="00DA2B25">
        <w:rPr>
          <w:rFonts w:ascii="Book Antiqua" w:hAnsi="Book Antiqua"/>
        </w:rPr>
        <w:t xml:space="preserve"> Y, </w:t>
      </w:r>
      <w:proofErr w:type="spellStart"/>
      <w:r w:rsidRPr="00DA2B25">
        <w:rPr>
          <w:rFonts w:ascii="Book Antiqua" w:hAnsi="Book Antiqua"/>
        </w:rPr>
        <w:t>Ribeyre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Meynadier</w:t>
      </w:r>
      <w:proofErr w:type="spellEnd"/>
      <w:r w:rsidRPr="00DA2B25">
        <w:rPr>
          <w:rFonts w:ascii="Book Antiqua" w:hAnsi="Book Antiqua"/>
        </w:rPr>
        <w:t xml:space="preserve"> J. Adult cutaneous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remission with thalidomide treatment. </w:t>
      </w:r>
      <w:r w:rsidRPr="00DA2B25">
        <w:rPr>
          <w:rFonts w:ascii="Book Antiqua" w:hAnsi="Book Antiqua"/>
          <w:i/>
          <w:iCs/>
        </w:rPr>
        <w:t xml:space="preserve">Br J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1995; </w:t>
      </w:r>
      <w:r w:rsidRPr="00DA2B25">
        <w:rPr>
          <w:rFonts w:ascii="Book Antiqua" w:hAnsi="Book Antiqua"/>
          <w:b/>
          <w:bCs/>
        </w:rPr>
        <w:t>132</w:t>
      </w:r>
      <w:r w:rsidRPr="00DA2B25">
        <w:rPr>
          <w:rFonts w:ascii="Book Antiqua" w:hAnsi="Book Antiqua"/>
        </w:rPr>
        <w:t>: 168 [PMID: 7756144 DOI: 10.1111/j.1365-2133.1995.tb08659.x]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33 </w:t>
      </w:r>
      <w:r w:rsidRPr="00DA2B25">
        <w:rPr>
          <w:rFonts w:ascii="Book Antiqua" w:hAnsi="Book Antiqua"/>
          <w:b/>
          <w:bCs/>
        </w:rPr>
        <w:t>Misery L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Larbre</w:t>
      </w:r>
      <w:proofErr w:type="spellEnd"/>
      <w:r w:rsidRPr="00DA2B25">
        <w:rPr>
          <w:rFonts w:ascii="Book Antiqua" w:hAnsi="Book Antiqua"/>
        </w:rPr>
        <w:t xml:space="preserve"> B, </w:t>
      </w:r>
      <w:proofErr w:type="spellStart"/>
      <w:r w:rsidRPr="00DA2B25">
        <w:rPr>
          <w:rFonts w:ascii="Book Antiqua" w:hAnsi="Book Antiqua"/>
        </w:rPr>
        <w:t>Lyonnet</w:t>
      </w:r>
      <w:proofErr w:type="spellEnd"/>
      <w:r w:rsidRPr="00DA2B25">
        <w:rPr>
          <w:rFonts w:ascii="Book Antiqua" w:hAnsi="Book Antiqua"/>
        </w:rPr>
        <w:t xml:space="preserve"> S, Faure M, </w:t>
      </w:r>
      <w:proofErr w:type="spellStart"/>
      <w:r w:rsidRPr="00DA2B25">
        <w:rPr>
          <w:rFonts w:ascii="Book Antiqua" w:hAnsi="Book Antiqua"/>
        </w:rPr>
        <w:t>Thivolet</w:t>
      </w:r>
      <w:proofErr w:type="spellEnd"/>
      <w:r w:rsidRPr="00DA2B25">
        <w:rPr>
          <w:rFonts w:ascii="Book Antiqua" w:hAnsi="Book Antiqua"/>
        </w:rPr>
        <w:t xml:space="preserve"> J. Remission of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with thalidomide treatment.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Clin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Exp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1993; </w:t>
      </w:r>
      <w:r w:rsidRPr="00DA2B25">
        <w:rPr>
          <w:rFonts w:ascii="Book Antiqua" w:hAnsi="Book Antiqua"/>
          <w:b/>
          <w:bCs/>
        </w:rPr>
        <w:t>18</w:t>
      </w:r>
      <w:r w:rsidRPr="00DA2B25">
        <w:rPr>
          <w:rFonts w:ascii="Book Antiqua" w:hAnsi="Book Antiqua"/>
        </w:rPr>
        <w:t>: 487 [PMID: 8252782 DOI: 10.1111/j.1365-2230.1993.tb02262.x]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34 </w:t>
      </w:r>
      <w:proofErr w:type="spellStart"/>
      <w:r w:rsidRPr="00DA2B25">
        <w:rPr>
          <w:rFonts w:ascii="Book Antiqua" w:hAnsi="Book Antiqua"/>
          <w:b/>
          <w:bCs/>
        </w:rPr>
        <w:t>Moravvej</w:t>
      </w:r>
      <w:proofErr w:type="spellEnd"/>
      <w:r w:rsidRPr="00DA2B25">
        <w:rPr>
          <w:rFonts w:ascii="Book Antiqua" w:hAnsi="Book Antiqua"/>
          <w:b/>
          <w:bCs/>
        </w:rPr>
        <w:t xml:space="preserve"> H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Yousefi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Barikbin</w:t>
      </w:r>
      <w:proofErr w:type="spellEnd"/>
      <w:r w:rsidRPr="00DA2B25">
        <w:rPr>
          <w:rFonts w:ascii="Book Antiqua" w:hAnsi="Book Antiqua"/>
        </w:rPr>
        <w:t xml:space="preserve"> B. </w:t>
      </w:r>
      <w:proofErr w:type="gramStart"/>
      <w:r w:rsidRPr="00DA2B25">
        <w:rPr>
          <w:rFonts w:ascii="Book Antiqua" w:hAnsi="Book Antiqua"/>
        </w:rPr>
        <w:t xml:space="preserve">An unusual case of adult disseminated cutaneous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  <w:i/>
          <w:iCs/>
        </w:rPr>
        <w:t xml:space="preserve"> Online J</w:t>
      </w:r>
      <w:r w:rsidRPr="00DA2B25">
        <w:rPr>
          <w:rFonts w:ascii="Book Antiqua" w:hAnsi="Book Antiqua"/>
        </w:rPr>
        <w:t xml:space="preserve"> 2006; </w:t>
      </w:r>
      <w:r w:rsidRPr="00DA2B25">
        <w:rPr>
          <w:rFonts w:ascii="Book Antiqua" w:hAnsi="Book Antiqua"/>
          <w:b/>
          <w:bCs/>
        </w:rPr>
        <w:t>12</w:t>
      </w:r>
      <w:r w:rsidRPr="00DA2B25">
        <w:rPr>
          <w:rFonts w:ascii="Book Antiqua" w:hAnsi="Book Antiqua"/>
        </w:rPr>
        <w:t>: 13 [PMID: 17083893]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35 </w:t>
      </w:r>
      <w:proofErr w:type="spellStart"/>
      <w:r w:rsidRPr="00DA2B25">
        <w:rPr>
          <w:rFonts w:ascii="Book Antiqua" w:hAnsi="Book Antiqua"/>
          <w:b/>
          <w:bCs/>
        </w:rPr>
        <w:t>Mortazavi</w:t>
      </w:r>
      <w:proofErr w:type="spellEnd"/>
      <w:r w:rsidRPr="00DA2B25">
        <w:rPr>
          <w:rFonts w:ascii="Book Antiqua" w:hAnsi="Book Antiqua"/>
          <w:b/>
          <w:bCs/>
        </w:rPr>
        <w:t xml:space="preserve"> H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Ehsani</w:t>
      </w:r>
      <w:proofErr w:type="spellEnd"/>
      <w:r w:rsidRPr="00DA2B25">
        <w:rPr>
          <w:rFonts w:ascii="Book Antiqua" w:hAnsi="Book Antiqua"/>
        </w:rPr>
        <w:t xml:space="preserve"> A, </w:t>
      </w:r>
      <w:proofErr w:type="spellStart"/>
      <w:r w:rsidRPr="00DA2B25">
        <w:rPr>
          <w:rFonts w:ascii="Book Antiqua" w:hAnsi="Book Antiqua"/>
        </w:rPr>
        <w:t>Namazi</w:t>
      </w:r>
      <w:proofErr w:type="spellEnd"/>
      <w:r w:rsidRPr="00DA2B25">
        <w:rPr>
          <w:rFonts w:ascii="Book Antiqua" w:hAnsi="Book Antiqua"/>
        </w:rPr>
        <w:t xml:space="preserve"> MR, Hosseini M. Langerhans'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  <w:i/>
          <w:iCs/>
        </w:rPr>
        <w:t xml:space="preserve"> Online J</w:t>
      </w:r>
      <w:r w:rsidRPr="00DA2B25">
        <w:rPr>
          <w:rFonts w:ascii="Book Antiqua" w:hAnsi="Book Antiqua"/>
        </w:rPr>
        <w:t xml:space="preserve"> 2002; </w:t>
      </w:r>
      <w:r w:rsidRPr="00DA2B25">
        <w:rPr>
          <w:rFonts w:ascii="Book Antiqua" w:hAnsi="Book Antiqua"/>
          <w:b/>
          <w:bCs/>
        </w:rPr>
        <w:t>8</w:t>
      </w:r>
      <w:r w:rsidRPr="00DA2B25">
        <w:rPr>
          <w:rFonts w:ascii="Book Antiqua" w:hAnsi="Book Antiqua"/>
        </w:rPr>
        <w:t>: 18 [PMID: 12546773]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36 </w:t>
      </w:r>
      <w:proofErr w:type="spellStart"/>
      <w:r w:rsidRPr="00DA2B25">
        <w:rPr>
          <w:rFonts w:ascii="Book Antiqua" w:hAnsi="Book Antiqua"/>
          <w:b/>
          <w:bCs/>
        </w:rPr>
        <w:t>Padula</w:t>
      </w:r>
      <w:proofErr w:type="spellEnd"/>
      <w:r w:rsidRPr="00DA2B25">
        <w:rPr>
          <w:rFonts w:ascii="Book Antiqua" w:hAnsi="Book Antiqua"/>
          <w:b/>
          <w:bCs/>
        </w:rPr>
        <w:t xml:space="preserve"> A</w:t>
      </w:r>
      <w:r w:rsidRPr="00DA2B25">
        <w:rPr>
          <w:rFonts w:ascii="Book Antiqua" w:hAnsi="Book Antiqua"/>
        </w:rPr>
        <w:t xml:space="preserve">, Medeiros LJ, Silva EG, </w:t>
      </w:r>
      <w:proofErr w:type="spellStart"/>
      <w:r w:rsidRPr="00DA2B25">
        <w:rPr>
          <w:rFonts w:ascii="Book Antiqua" w:hAnsi="Book Antiqua"/>
        </w:rPr>
        <w:t>Deavers</w:t>
      </w:r>
      <w:proofErr w:type="spellEnd"/>
      <w:r w:rsidRPr="00DA2B25">
        <w:rPr>
          <w:rFonts w:ascii="Book Antiqua" w:hAnsi="Book Antiqua"/>
        </w:rPr>
        <w:t xml:space="preserve"> MT. Isolated vulvar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report of two cases. </w:t>
      </w:r>
      <w:proofErr w:type="spellStart"/>
      <w:r w:rsidRPr="00DA2B25">
        <w:rPr>
          <w:rFonts w:ascii="Book Antiqua" w:hAnsi="Book Antiqua"/>
          <w:i/>
          <w:iCs/>
        </w:rPr>
        <w:t>Int</w:t>
      </w:r>
      <w:proofErr w:type="spellEnd"/>
      <w:r w:rsidRPr="00DA2B25">
        <w:rPr>
          <w:rFonts w:ascii="Book Antiqua" w:hAnsi="Book Antiqua"/>
          <w:i/>
          <w:iCs/>
        </w:rPr>
        <w:t xml:space="preserve"> J </w:t>
      </w:r>
      <w:proofErr w:type="spellStart"/>
      <w:r w:rsidRPr="00DA2B25">
        <w:rPr>
          <w:rFonts w:ascii="Book Antiqua" w:hAnsi="Book Antiqua"/>
          <w:i/>
          <w:iCs/>
        </w:rPr>
        <w:t>Gynecol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Pathol</w:t>
      </w:r>
      <w:proofErr w:type="spellEnd"/>
      <w:r w:rsidRPr="00DA2B25">
        <w:rPr>
          <w:rFonts w:ascii="Book Antiqua" w:hAnsi="Book Antiqua"/>
        </w:rPr>
        <w:t xml:space="preserve"> 2004; </w:t>
      </w:r>
      <w:r w:rsidRPr="00DA2B25">
        <w:rPr>
          <w:rFonts w:ascii="Book Antiqua" w:hAnsi="Book Antiqua"/>
          <w:b/>
          <w:bCs/>
        </w:rPr>
        <w:t>23</w:t>
      </w:r>
      <w:r w:rsidRPr="00DA2B25">
        <w:rPr>
          <w:rFonts w:ascii="Book Antiqua" w:hAnsi="Book Antiqua"/>
        </w:rPr>
        <w:t>: 278-283 [PMID: 15213605 DOI: 10.1097/01.pgp.0000130042.31203.b0]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37 </w:t>
      </w:r>
      <w:r w:rsidRPr="00DA2B25">
        <w:rPr>
          <w:rFonts w:ascii="Book Antiqua" w:hAnsi="Book Antiqua"/>
          <w:b/>
          <w:bCs/>
        </w:rPr>
        <w:t>Sander CS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Kaatz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Elsner</w:t>
      </w:r>
      <w:proofErr w:type="spellEnd"/>
      <w:r w:rsidRPr="00DA2B25">
        <w:rPr>
          <w:rFonts w:ascii="Book Antiqua" w:hAnsi="Book Antiqua"/>
        </w:rPr>
        <w:t xml:space="preserve"> P. Successful treatment of cutaneous </w:t>
      </w:r>
      <w:proofErr w:type="spellStart"/>
      <w:r w:rsidRPr="00DA2B25">
        <w:rPr>
          <w:rFonts w:ascii="Book Antiqua" w:hAnsi="Book Antiqua"/>
        </w:rPr>
        <w:t>langerhans</w:t>
      </w:r>
      <w:proofErr w:type="spellEnd"/>
      <w:r w:rsidRPr="00DA2B25">
        <w:rPr>
          <w:rFonts w:ascii="Book Antiqua" w:hAnsi="Book Antiqua"/>
        </w:rPr>
        <w:t xml:space="preserve">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with thalidomide.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>Dermatology</w:t>
      </w:r>
      <w:r w:rsidRPr="00DA2B25">
        <w:rPr>
          <w:rFonts w:ascii="Book Antiqua" w:hAnsi="Book Antiqua"/>
        </w:rPr>
        <w:t xml:space="preserve"> 2004; </w:t>
      </w:r>
      <w:r w:rsidRPr="00DA2B25">
        <w:rPr>
          <w:rFonts w:ascii="Book Antiqua" w:hAnsi="Book Antiqua"/>
          <w:b/>
          <w:bCs/>
        </w:rPr>
        <w:t>208</w:t>
      </w:r>
      <w:r w:rsidRPr="00DA2B25">
        <w:rPr>
          <w:rFonts w:ascii="Book Antiqua" w:hAnsi="Book Antiqua"/>
        </w:rPr>
        <w:t>: 149-152 [PMID: 15057007 DOI: 10.1159/000076491]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38 </w:t>
      </w:r>
      <w:proofErr w:type="spellStart"/>
      <w:r w:rsidRPr="00DA2B25">
        <w:rPr>
          <w:rFonts w:ascii="Book Antiqua" w:hAnsi="Book Antiqua"/>
          <w:b/>
          <w:bCs/>
        </w:rPr>
        <w:t>Santillan</w:t>
      </w:r>
      <w:proofErr w:type="spellEnd"/>
      <w:r w:rsidRPr="00DA2B25">
        <w:rPr>
          <w:rFonts w:ascii="Book Antiqua" w:hAnsi="Book Antiqua"/>
          <w:b/>
          <w:bCs/>
        </w:rPr>
        <w:t xml:space="preserve"> A</w:t>
      </w:r>
      <w:r w:rsidRPr="00DA2B25">
        <w:rPr>
          <w:rFonts w:ascii="Book Antiqua" w:hAnsi="Book Antiqua"/>
        </w:rPr>
        <w:t xml:space="preserve">, Montero AJ, Kavanagh JJ, Liu J, Ramirez PT. Vulvar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a case report and review of the literature. </w:t>
      </w:r>
      <w:proofErr w:type="spellStart"/>
      <w:r w:rsidRPr="00DA2B25">
        <w:rPr>
          <w:rFonts w:ascii="Book Antiqua" w:hAnsi="Book Antiqua"/>
          <w:i/>
          <w:iCs/>
        </w:rPr>
        <w:t>Gynecol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Oncol</w:t>
      </w:r>
      <w:proofErr w:type="spellEnd"/>
      <w:r w:rsidRPr="00DA2B25">
        <w:rPr>
          <w:rFonts w:ascii="Book Antiqua" w:hAnsi="Book Antiqua"/>
        </w:rPr>
        <w:t xml:space="preserve"> 2003; </w:t>
      </w:r>
      <w:r w:rsidRPr="00DA2B25">
        <w:rPr>
          <w:rFonts w:ascii="Book Antiqua" w:hAnsi="Book Antiqua"/>
          <w:b/>
          <w:bCs/>
        </w:rPr>
        <w:t>91</w:t>
      </w:r>
      <w:r w:rsidRPr="00DA2B25">
        <w:rPr>
          <w:rFonts w:ascii="Book Antiqua" w:hAnsi="Book Antiqua"/>
        </w:rPr>
        <w:t>: 241-246 [PMID: 14529688 DOI: 10.1016/s0090-8258(03)00370-6]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39 </w:t>
      </w:r>
      <w:proofErr w:type="spellStart"/>
      <w:r w:rsidRPr="00DA2B25">
        <w:rPr>
          <w:rFonts w:ascii="Book Antiqua" w:hAnsi="Book Antiqua"/>
          <w:b/>
          <w:bCs/>
        </w:rPr>
        <w:t>Shahidi-Dadras</w:t>
      </w:r>
      <w:proofErr w:type="spellEnd"/>
      <w:r w:rsidRPr="00DA2B25">
        <w:rPr>
          <w:rFonts w:ascii="Book Antiqua" w:hAnsi="Book Antiqua"/>
          <w:b/>
          <w:bCs/>
        </w:rPr>
        <w:t xml:space="preserve"> M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Saeedi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Shakoei</w:t>
      </w:r>
      <w:proofErr w:type="spellEnd"/>
      <w:r w:rsidRPr="00DA2B25">
        <w:rPr>
          <w:rFonts w:ascii="Book Antiqua" w:hAnsi="Book Antiqua"/>
        </w:rPr>
        <w:t xml:space="preserve"> S, </w:t>
      </w:r>
      <w:proofErr w:type="spellStart"/>
      <w:r w:rsidRPr="00DA2B25">
        <w:rPr>
          <w:rFonts w:ascii="Book Antiqua" w:hAnsi="Book Antiqua"/>
        </w:rPr>
        <w:t>Ayatollahi</w:t>
      </w:r>
      <w:proofErr w:type="spellEnd"/>
      <w:r w:rsidRPr="00DA2B25">
        <w:rPr>
          <w:rFonts w:ascii="Book Antiqua" w:hAnsi="Book Antiqua"/>
        </w:rPr>
        <w:t xml:space="preserve"> A.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an uncommon presentation, successfully treated by thalidomide. </w:t>
      </w:r>
      <w:r w:rsidRPr="00DA2B25">
        <w:rPr>
          <w:rFonts w:ascii="Book Antiqua" w:hAnsi="Book Antiqua"/>
          <w:i/>
          <w:iCs/>
        </w:rPr>
        <w:t xml:space="preserve">Indian J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Venereol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Leprol</w:t>
      </w:r>
      <w:proofErr w:type="spellEnd"/>
      <w:r w:rsidRPr="00DA2B25">
        <w:rPr>
          <w:rFonts w:ascii="Book Antiqua" w:hAnsi="Book Antiqua"/>
        </w:rPr>
        <w:t xml:space="preserve"> 2011; </w:t>
      </w:r>
      <w:r w:rsidRPr="00DA2B25">
        <w:rPr>
          <w:rFonts w:ascii="Book Antiqua" w:hAnsi="Book Antiqua"/>
          <w:b/>
          <w:bCs/>
        </w:rPr>
        <w:t>77</w:t>
      </w:r>
      <w:r w:rsidRPr="00DA2B25">
        <w:rPr>
          <w:rFonts w:ascii="Book Antiqua" w:hAnsi="Book Antiqua"/>
        </w:rPr>
        <w:t>: 587-590 [PMID: 21860158 DOI: 10.4103/0378-6323.84064]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40 </w:t>
      </w:r>
      <w:proofErr w:type="spellStart"/>
      <w:r w:rsidRPr="00DA2B25">
        <w:rPr>
          <w:rFonts w:ascii="Book Antiqua" w:hAnsi="Book Antiqua"/>
          <w:b/>
          <w:bCs/>
        </w:rPr>
        <w:t>Subramaniyan</w:t>
      </w:r>
      <w:proofErr w:type="spellEnd"/>
      <w:r w:rsidRPr="00DA2B25">
        <w:rPr>
          <w:rFonts w:ascii="Book Antiqua" w:hAnsi="Book Antiqua"/>
          <w:b/>
          <w:bCs/>
        </w:rPr>
        <w:t xml:space="preserve"> R</w:t>
      </w:r>
      <w:r w:rsidRPr="00DA2B25">
        <w:rPr>
          <w:rFonts w:ascii="Book Antiqua" w:hAnsi="Book Antiqua"/>
        </w:rPr>
        <w:t xml:space="preserve">, Ramachandran R, </w:t>
      </w:r>
      <w:proofErr w:type="spellStart"/>
      <w:r w:rsidRPr="00DA2B25">
        <w:rPr>
          <w:rFonts w:ascii="Book Antiqua" w:hAnsi="Book Antiqua"/>
        </w:rPr>
        <w:t>Rajangam</w:t>
      </w:r>
      <w:proofErr w:type="spellEnd"/>
      <w:r w:rsidRPr="00DA2B25">
        <w:rPr>
          <w:rFonts w:ascii="Book Antiqua" w:hAnsi="Book Antiqua"/>
        </w:rPr>
        <w:t xml:space="preserve"> G, </w:t>
      </w:r>
      <w:proofErr w:type="spellStart"/>
      <w:r w:rsidRPr="00DA2B25">
        <w:rPr>
          <w:rFonts w:ascii="Book Antiqua" w:hAnsi="Book Antiqua"/>
        </w:rPr>
        <w:t>Donaparthi</w:t>
      </w:r>
      <w:proofErr w:type="spellEnd"/>
      <w:r w:rsidRPr="00DA2B25">
        <w:rPr>
          <w:rFonts w:ascii="Book Antiqua" w:hAnsi="Book Antiqua"/>
        </w:rPr>
        <w:t xml:space="preserve"> N. Purely cutaneous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presenting as an ulcer on the chin in an elderly man successfully treated with thalidomide. </w:t>
      </w:r>
      <w:r w:rsidRPr="00DA2B25">
        <w:rPr>
          <w:rFonts w:ascii="Book Antiqua" w:hAnsi="Book Antiqua"/>
          <w:i/>
          <w:iCs/>
        </w:rPr>
        <w:t xml:space="preserve">Indian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  <w:i/>
          <w:iCs/>
        </w:rPr>
        <w:t xml:space="preserve"> Online J</w:t>
      </w:r>
      <w:r w:rsidRPr="00DA2B25">
        <w:rPr>
          <w:rFonts w:ascii="Book Antiqua" w:hAnsi="Book Antiqua"/>
        </w:rPr>
        <w:t xml:space="preserve"> 2015; </w:t>
      </w:r>
      <w:r w:rsidRPr="00DA2B25">
        <w:rPr>
          <w:rFonts w:ascii="Book Antiqua" w:hAnsi="Book Antiqua"/>
          <w:b/>
          <w:bCs/>
        </w:rPr>
        <w:t>6</w:t>
      </w:r>
      <w:r w:rsidRPr="00DA2B25">
        <w:rPr>
          <w:rFonts w:ascii="Book Antiqua" w:hAnsi="Book Antiqua"/>
        </w:rPr>
        <w:t>: 407-409 [PMID: 26753141 DOI: 10.4103/2229-5178.169743]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41 </w:t>
      </w:r>
      <w:proofErr w:type="spellStart"/>
      <w:r w:rsidRPr="00DA2B25">
        <w:rPr>
          <w:rFonts w:ascii="Book Antiqua" w:hAnsi="Book Antiqua"/>
          <w:b/>
          <w:bCs/>
        </w:rPr>
        <w:t>Szturz</w:t>
      </w:r>
      <w:proofErr w:type="spellEnd"/>
      <w:r w:rsidRPr="00DA2B25">
        <w:rPr>
          <w:rFonts w:ascii="Book Antiqua" w:hAnsi="Book Antiqua"/>
          <w:b/>
          <w:bCs/>
        </w:rPr>
        <w:t xml:space="preserve"> P</w:t>
      </w:r>
      <w:r w:rsidRPr="00DA2B25">
        <w:rPr>
          <w:rFonts w:ascii="Book Antiqua" w:hAnsi="Book Antiqua"/>
        </w:rPr>
        <w:t xml:space="preserve">, Adam Z, </w:t>
      </w:r>
      <w:proofErr w:type="spellStart"/>
      <w:r w:rsidRPr="00DA2B25">
        <w:rPr>
          <w:rFonts w:ascii="Book Antiqua" w:hAnsi="Book Antiqua"/>
        </w:rPr>
        <w:t>Rehák</w:t>
      </w:r>
      <w:proofErr w:type="spellEnd"/>
      <w:r w:rsidRPr="00DA2B25">
        <w:rPr>
          <w:rFonts w:ascii="Book Antiqua" w:hAnsi="Book Antiqua"/>
        </w:rPr>
        <w:t xml:space="preserve"> Z, </w:t>
      </w:r>
      <w:proofErr w:type="spellStart"/>
      <w:r w:rsidRPr="00DA2B25">
        <w:rPr>
          <w:rFonts w:ascii="Book Antiqua" w:hAnsi="Book Antiqua"/>
        </w:rPr>
        <w:t>Koukalová</w:t>
      </w:r>
      <w:proofErr w:type="spellEnd"/>
      <w:r w:rsidRPr="00DA2B25">
        <w:rPr>
          <w:rFonts w:ascii="Book Antiqua" w:hAnsi="Book Antiqua"/>
        </w:rPr>
        <w:t xml:space="preserve"> R, </w:t>
      </w:r>
      <w:proofErr w:type="spellStart"/>
      <w:r w:rsidRPr="00DA2B25">
        <w:rPr>
          <w:rFonts w:ascii="Book Antiqua" w:hAnsi="Book Antiqua"/>
        </w:rPr>
        <w:t>Slaisová</w:t>
      </w:r>
      <w:proofErr w:type="spellEnd"/>
      <w:r w:rsidRPr="00DA2B25">
        <w:rPr>
          <w:rFonts w:ascii="Book Antiqua" w:hAnsi="Book Antiqua"/>
        </w:rPr>
        <w:t xml:space="preserve"> R, </w:t>
      </w:r>
      <w:proofErr w:type="spellStart"/>
      <w:r w:rsidRPr="00DA2B25">
        <w:rPr>
          <w:rFonts w:ascii="Book Antiqua" w:hAnsi="Book Antiqua"/>
        </w:rPr>
        <w:t>Stehlíková</w:t>
      </w:r>
      <w:proofErr w:type="spellEnd"/>
      <w:r w:rsidRPr="00DA2B25">
        <w:rPr>
          <w:rFonts w:ascii="Book Antiqua" w:hAnsi="Book Antiqua"/>
        </w:rPr>
        <w:t xml:space="preserve"> O, </w:t>
      </w:r>
      <w:proofErr w:type="spellStart"/>
      <w:r w:rsidRPr="00DA2B25">
        <w:rPr>
          <w:rFonts w:ascii="Book Antiqua" w:hAnsi="Book Antiqua"/>
        </w:rPr>
        <w:t>Chovancová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Klabusay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Krej</w:t>
      </w:r>
      <w:r w:rsidRPr="00DA2B25">
        <w:rPr>
          <w:rFonts w:ascii="Book Antiqua" w:hAnsi="Book Antiqua" w:cs="Cambria"/>
        </w:rPr>
        <w:t>č</w:t>
      </w:r>
      <w:r w:rsidRPr="00DA2B25">
        <w:rPr>
          <w:rFonts w:ascii="Book Antiqua" w:hAnsi="Book Antiqua"/>
        </w:rPr>
        <w:t>í</w:t>
      </w:r>
      <w:proofErr w:type="spellEnd"/>
      <w:r w:rsidRPr="00DA2B25">
        <w:rPr>
          <w:rFonts w:ascii="Book Antiqua" w:hAnsi="Book Antiqua"/>
        </w:rPr>
        <w:t xml:space="preserve"> M, Pour L, </w:t>
      </w:r>
      <w:proofErr w:type="spellStart"/>
      <w:r w:rsidRPr="00DA2B25">
        <w:rPr>
          <w:rFonts w:ascii="Book Antiqua" w:hAnsi="Book Antiqua"/>
        </w:rPr>
        <w:t>Hájek</w:t>
      </w:r>
      <w:proofErr w:type="spellEnd"/>
      <w:r w:rsidRPr="00DA2B25">
        <w:rPr>
          <w:rFonts w:ascii="Book Antiqua" w:hAnsi="Book Antiqua"/>
        </w:rPr>
        <w:t xml:space="preserve"> R, Mayer J. </w:t>
      </w:r>
      <w:proofErr w:type="spellStart"/>
      <w:r w:rsidRPr="00DA2B25">
        <w:rPr>
          <w:rFonts w:ascii="Book Antiqua" w:hAnsi="Book Antiqua"/>
        </w:rPr>
        <w:t>Lenalidomide</w:t>
      </w:r>
      <w:proofErr w:type="spellEnd"/>
      <w:r w:rsidRPr="00DA2B25">
        <w:rPr>
          <w:rFonts w:ascii="Book Antiqua" w:hAnsi="Book Antiqua"/>
        </w:rPr>
        <w:t xml:space="preserve"> proved effective in multisystem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proofErr w:type="spellStart"/>
      <w:r w:rsidRPr="00DA2B25">
        <w:rPr>
          <w:rFonts w:ascii="Book Antiqua" w:hAnsi="Book Antiqua"/>
          <w:i/>
          <w:iCs/>
        </w:rPr>
        <w:t>Acta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Oncol</w:t>
      </w:r>
      <w:proofErr w:type="spellEnd"/>
      <w:r w:rsidRPr="00DA2B25">
        <w:rPr>
          <w:rFonts w:ascii="Book Antiqua" w:hAnsi="Book Antiqua"/>
        </w:rPr>
        <w:t xml:space="preserve"> 2012; </w:t>
      </w:r>
      <w:r w:rsidRPr="00DA2B25">
        <w:rPr>
          <w:rFonts w:ascii="Book Antiqua" w:hAnsi="Book Antiqua"/>
          <w:b/>
          <w:bCs/>
        </w:rPr>
        <w:t>51</w:t>
      </w:r>
      <w:r w:rsidRPr="00DA2B25">
        <w:rPr>
          <w:rFonts w:ascii="Book Antiqua" w:hAnsi="Book Antiqua"/>
        </w:rPr>
        <w:t>: 412-415 [PMID: 22103591 DOI: 10.3109/0284186X.2011.631581]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42 </w:t>
      </w:r>
      <w:r w:rsidRPr="00DA2B25">
        <w:rPr>
          <w:rFonts w:ascii="Book Antiqua" w:hAnsi="Book Antiqua"/>
          <w:b/>
          <w:bCs/>
        </w:rPr>
        <w:t>Thomas L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Ducros</w:t>
      </w:r>
      <w:proofErr w:type="spellEnd"/>
      <w:r w:rsidRPr="00DA2B25">
        <w:rPr>
          <w:rFonts w:ascii="Book Antiqua" w:hAnsi="Book Antiqua"/>
        </w:rPr>
        <w:t xml:space="preserve"> B, </w:t>
      </w:r>
      <w:proofErr w:type="spellStart"/>
      <w:r w:rsidRPr="00DA2B25">
        <w:rPr>
          <w:rFonts w:ascii="Book Antiqua" w:hAnsi="Book Antiqua"/>
        </w:rPr>
        <w:t>Secchi</w:t>
      </w:r>
      <w:proofErr w:type="spellEnd"/>
      <w:r w:rsidRPr="00DA2B25">
        <w:rPr>
          <w:rFonts w:ascii="Book Antiqua" w:hAnsi="Book Antiqua"/>
        </w:rPr>
        <w:t xml:space="preserve"> T, </w:t>
      </w:r>
      <w:proofErr w:type="spellStart"/>
      <w:r w:rsidRPr="00DA2B25">
        <w:rPr>
          <w:rFonts w:ascii="Book Antiqua" w:hAnsi="Book Antiqua"/>
        </w:rPr>
        <w:t>Balme</w:t>
      </w:r>
      <w:proofErr w:type="spellEnd"/>
      <w:r w:rsidRPr="00DA2B25">
        <w:rPr>
          <w:rFonts w:ascii="Book Antiqua" w:hAnsi="Book Antiqua"/>
        </w:rPr>
        <w:t xml:space="preserve"> B, Moulin G. Successful treatment of adult's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with thalidomide.</w:t>
      </w:r>
      <w:proofErr w:type="gramEnd"/>
      <w:r w:rsidRPr="00DA2B25">
        <w:rPr>
          <w:rFonts w:ascii="Book Antiqua" w:hAnsi="Book Antiqua"/>
        </w:rPr>
        <w:t xml:space="preserve"> </w:t>
      </w:r>
      <w:proofErr w:type="gramStart"/>
      <w:r w:rsidRPr="00DA2B25">
        <w:rPr>
          <w:rFonts w:ascii="Book Antiqua" w:hAnsi="Book Antiqua"/>
        </w:rPr>
        <w:t>Report of two cases and literature review.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 xml:space="preserve">Arch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1993; </w:t>
      </w:r>
      <w:r w:rsidRPr="00DA2B25">
        <w:rPr>
          <w:rFonts w:ascii="Book Antiqua" w:hAnsi="Book Antiqua"/>
          <w:b/>
          <w:bCs/>
        </w:rPr>
        <w:t>129</w:t>
      </w:r>
      <w:r w:rsidRPr="00DA2B25">
        <w:rPr>
          <w:rFonts w:ascii="Book Antiqua" w:hAnsi="Book Antiqua"/>
        </w:rPr>
        <w:t>: 1261-1264 [PMID: 8215489 DOI: 10.1001/archderm.1993.01680310031004]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43 </w:t>
      </w:r>
      <w:proofErr w:type="spellStart"/>
      <w:r w:rsidRPr="00DA2B25">
        <w:rPr>
          <w:rFonts w:ascii="Book Antiqua" w:hAnsi="Book Antiqua"/>
          <w:b/>
          <w:bCs/>
        </w:rPr>
        <w:t>Viraben</w:t>
      </w:r>
      <w:proofErr w:type="spellEnd"/>
      <w:r w:rsidRPr="00DA2B25">
        <w:rPr>
          <w:rFonts w:ascii="Book Antiqua" w:hAnsi="Book Antiqua"/>
          <w:b/>
          <w:bCs/>
        </w:rPr>
        <w:t xml:space="preserve"> R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Dupre</w:t>
      </w:r>
      <w:proofErr w:type="spellEnd"/>
      <w:r w:rsidRPr="00DA2B25">
        <w:rPr>
          <w:rFonts w:ascii="Book Antiqua" w:hAnsi="Book Antiqua"/>
        </w:rPr>
        <w:t xml:space="preserve"> A, </w:t>
      </w:r>
      <w:proofErr w:type="spellStart"/>
      <w:r w:rsidRPr="00DA2B25">
        <w:rPr>
          <w:rFonts w:ascii="Book Antiqua" w:hAnsi="Book Antiqua"/>
        </w:rPr>
        <w:t>Gorguet</w:t>
      </w:r>
      <w:proofErr w:type="spellEnd"/>
      <w:r w:rsidRPr="00DA2B25">
        <w:rPr>
          <w:rFonts w:ascii="Book Antiqua" w:hAnsi="Book Antiqua"/>
        </w:rPr>
        <w:t xml:space="preserve"> B. Pure cutaneous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resembling sinus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Clin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Exp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Dermatol</w:t>
      </w:r>
      <w:proofErr w:type="spellEnd"/>
      <w:r w:rsidRPr="00DA2B25">
        <w:rPr>
          <w:rFonts w:ascii="Book Antiqua" w:hAnsi="Book Antiqua"/>
        </w:rPr>
        <w:t xml:space="preserve"> 1988; </w:t>
      </w:r>
      <w:r w:rsidRPr="00DA2B25">
        <w:rPr>
          <w:rFonts w:ascii="Book Antiqua" w:hAnsi="Book Antiqua"/>
          <w:b/>
          <w:bCs/>
        </w:rPr>
        <w:t>13</w:t>
      </w:r>
      <w:r w:rsidRPr="00DA2B25">
        <w:rPr>
          <w:rFonts w:ascii="Book Antiqua" w:hAnsi="Book Antiqua"/>
        </w:rPr>
        <w:t>: 197-199 [PMID: 3246081 DOI: 10.1111/j.1365-2230.1988.tb01970.x]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44 </w:t>
      </w:r>
      <w:proofErr w:type="spellStart"/>
      <w:r w:rsidRPr="00DA2B25">
        <w:rPr>
          <w:rFonts w:ascii="Book Antiqua" w:hAnsi="Book Antiqua"/>
          <w:b/>
          <w:bCs/>
        </w:rPr>
        <w:t>Wollina</w:t>
      </w:r>
      <w:proofErr w:type="spellEnd"/>
      <w:r w:rsidRPr="00DA2B25">
        <w:rPr>
          <w:rFonts w:ascii="Book Antiqua" w:hAnsi="Book Antiqua"/>
          <w:b/>
          <w:bCs/>
        </w:rPr>
        <w:t xml:space="preserve"> U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Kaatz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Krönert</w:t>
      </w:r>
      <w:proofErr w:type="spellEnd"/>
      <w:r w:rsidRPr="00DA2B25">
        <w:rPr>
          <w:rFonts w:ascii="Book Antiqua" w:hAnsi="Book Antiqua"/>
        </w:rPr>
        <w:t xml:space="preserve"> C, </w:t>
      </w:r>
      <w:proofErr w:type="spellStart"/>
      <w:r w:rsidRPr="00DA2B25">
        <w:rPr>
          <w:rFonts w:ascii="Book Antiqua" w:hAnsi="Book Antiqua"/>
        </w:rPr>
        <w:t>Schönlebe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Schmalenberg</w:t>
      </w:r>
      <w:proofErr w:type="spellEnd"/>
      <w:r w:rsidRPr="00DA2B25">
        <w:rPr>
          <w:rFonts w:ascii="Book Antiqua" w:hAnsi="Book Antiqua"/>
        </w:rPr>
        <w:t xml:space="preserve"> H, Schreiber G, </w:t>
      </w:r>
      <w:proofErr w:type="spellStart"/>
      <w:r w:rsidRPr="00DA2B25">
        <w:rPr>
          <w:rFonts w:ascii="Book Antiqua" w:hAnsi="Book Antiqua"/>
        </w:rPr>
        <w:t>Köstler</w:t>
      </w:r>
      <w:proofErr w:type="spellEnd"/>
      <w:r w:rsidRPr="00DA2B25">
        <w:rPr>
          <w:rFonts w:ascii="Book Antiqua" w:hAnsi="Book Antiqua"/>
        </w:rPr>
        <w:t xml:space="preserve"> E, </w:t>
      </w:r>
      <w:proofErr w:type="spellStart"/>
      <w:r w:rsidRPr="00DA2B25">
        <w:rPr>
          <w:rFonts w:ascii="Book Antiqua" w:hAnsi="Book Antiqua"/>
        </w:rPr>
        <w:t>Haroske</w:t>
      </w:r>
      <w:proofErr w:type="spellEnd"/>
      <w:r w:rsidRPr="00DA2B25">
        <w:rPr>
          <w:rFonts w:ascii="Book Antiqua" w:hAnsi="Book Antiqua"/>
        </w:rPr>
        <w:t xml:space="preserve"> G. Cutaneous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with subsequent development of </w:t>
      </w:r>
      <w:proofErr w:type="spellStart"/>
      <w:r w:rsidRPr="00DA2B25">
        <w:rPr>
          <w:rFonts w:ascii="Book Antiqua" w:hAnsi="Book Antiqua"/>
        </w:rPr>
        <w:t>haematological</w:t>
      </w:r>
      <w:proofErr w:type="spellEnd"/>
      <w:r w:rsidRPr="00DA2B25">
        <w:rPr>
          <w:rFonts w:ascii="Book Antiqua" w:hAnsi="Book Antiqua"/>
        </w:rPr>
        <w:t xml:space="preserve"> malignancies. </w:t>
      </w:r>
      <w:proofErr w:type="gramStart"/>
      <w:r w:rsidRPr="00DA2B25">
        <w:rPr>
          <w:rFonts w:ascii="Book Antiqua" w:hAnsi="Book Antiqua"/>
        </w:rPr>
        <w:t>Report of two cases.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Acta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Dermatovenerol</w:t>
      </w:r>
      <w:proofErr w:type="spellEnd"/>
      <w:r w:rsidRPr="00DA2B25">
        <w:rPr>
          <w:rFonts w:ascii="Book Antiqua" w:hAnsi="Book Antiqua"/>
          <w:i/>
          <w:iCs/>
        </w:rPr>
        <w:t xml:space="preserve"> Alp </w:t>
      </w:r>
      <w:proofErr w:type="spellStart"/>
      <w:r w:rsidRPr="00DA2B25">
        <w:rPr>
          <w:rFonts w:ascii="Book Antiqua" w:hAnsi="Book Antiqua"/>
          <w:i/>
          <w:iCs/>
        </w:rPr>
        <w:t>Pannonica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Adriat</w:t>
      </w:r>
      <w:proofErr w:type="spellEnd"/>
      <w:r w:rsidRPr="00DA2B25">
        <w:rPr>
          <w:rFonts w:ascii="Book Antiqua" w:hAnsi="Book Antiqua"/>
        </w:rPr>
        <w:t xml:space="preserve"> 2006; </w:t>
      </w:r>
      <w:r w:rsidRPr="00DA2B25">
        <w:rPr>
          <w:rFonts w:ascii="Book Antiqua" w:hAnsi="Book Antiqua"/>
          <w:b/>
          <w:bCs/>
        </w:rPr>
        <w:t>15</w:t>
      </w:r>
      <w:r w:rsidRPr="00DA2B25">
        <w:rPr>
          <w:rFonts w:ascii="Book Antiqua" w:hAnsi="Book Antiqua"/>
        </w:rPr>
        <w:t>: 79-84 [PMID: 16998607]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45 </w:t>
      </w:r>
      <w:proofErr w:type="spellStart"/>
      <w:r w:rsidRPr="00DA2B25">
        <w:rPr>
          <w:rFonts w:ascii="Book Antiqua" w:hAnsi="Book Antiqua"/>
          <w:b/>
          <w:bCs/>
        </w:rPr>
        <w:t>Crickx</w:t>
      </w:r>
      <w:proofErr w:type="spellEnd"/>
      <w:r w:rsidRPr="00DA2B25">
        <w:rPr>
          <w:rFonts w:ascii="Book Antiqua" w:hAnsi="Book Antiqua"/>
          <w:b/>
          <w:bCs/>
        </w:rPr>
        <w:t xml:space="preserve"> E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Bouaziz</w:t>
      </w:r>
      <w:proofErr w:type="spellEnd"/>
      <w:r w:rsidRPr="00DA2B25">
        <w:rPr>
          <w:rFonts w:ascii="Book Antiqua" w:hAnsi="Book Antiqua"/>
        </w:rPr>
        <w:t xml:space="preserve"> JD, </w:t>
      </w:r>
      <w:proofErr w:type="spellStart"/>
      <w:r w:rsidRPr="00DA2B25">
        <w:rPr>
          <w:rFonts w:ascii="Book Antiqua" w:hAnsi="Book Antiqua"/>
        </w:rPr>
        <w:t>Lorillon</w:t>
      </w:r>
      <w:proofErr w:type="spellEnd"/>
      <w:r w:rsidRPr="00DA2B25">
        <w:rPr>
          <w:rFonts w:ascii="Book Antiqua" w:hAnsi="Book Antiqua"/>
        </w:rPr>
        <w:t xml:space="preserve"> G, de </w:t>
      </w:r>
      <w:proofErr w:type="spellStart"/>
      <w:r w:rsidRPr="00DA2B25">
        <w:rPr>
          <w:rFonts w:ascii="Book Antiqua" w:hAnsi="Book Antiqua"/>
        </w:rPr>
        <w:t>Menthon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Cordoliani</w:t>
      </w:r>
      <w:proofErr w:type="spellEnd"/>
      <w:r w:rsidRPr="00DA2B25">
        <w:rPr>
          <w:rFonts w:ascii="Book Antiqua" w:hAnsi="Book Antiqua"/>
        </w:rPr>
        <w:t xml:space="preserve"> F, </w:t>
      </w:r>
      <w:proofErr w:type="spellStart"/>
      <w:r w:rsidRPr="00DA2B25">
        <w:rPr>
          <w:rFonts w:ascii="Book Antiqua" w:hAnsi="Book Antiqua"/>
        </w:rPr>
        <w:t>Bugnet</w:t>
      </w:r>
      <w:proofErr w:type="spellEnd"/>
      <w:r w:rsidRPr="00DA2B25">
        <w:rPr>
          <w:rFonts w:ascii="Book Antiqua" w:hAnsi="Book Antiqua"/>
        </w:rPr>
        <w:t xml:space="preserve"> E, Bagot M, </w:t>
      </w:r>
      <w:proofErr w:type="spellStart"/>
      <w:r w:rsidRPr="00DA2B25">
        <w:rPr>
          <w:rFonts w:ascii="Book Antiqua" w:hAnsi="Book Antiqua"/>
        </w:rPr>
        <w:t>Rybojad</w:t>
      </w:r>
      <w:proofErr w:type="spellEnd"/>
      <w:r w:rsidRPr="00DA2B25">
        <w:rPr>
          <w:rFonts w:ascii="Book Antiqua" w:hAnsi="Book Antiqua"/>
        </w:rPr>
        <w:t xml:space="preserve"> M, </w:t>
      </w:r>
      <w:proofErr w:type="spellStart"/>
      <w:r w:rsidRPr="00DA2B25">
        <w:rPr>
          <w:rFonts w:ascii="Book Antiqua" w:hAnsi="Book Antiqua"/>
        </w:rPr>
        <w:t>Mourah</w:t>
      </w:r>
      <w:proofErr w:type="spellEnd"/>
      <w:r w:rsidRPr="00DA2B25">
        <w:rPr>
          <w:rFonts w:ascii="Book Antiqua" w:hAnsi="Book Antiqua"/>
        </w:rPr>
        <w:t xml:space="preserve"> S, Tazi A. Clinical Spectrum, Quality of Life, BRAF Mutation Status and Treatment of Skin Involvement in Adult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. </w:t>
      </w:r>
      <w:proofErr w:type="spellStart"/>
      <w:r w:rsidRPr="00DA2B25">
        <w:rPr>
          <w:rFonts w:ascii="Book Antiqua" w:hAnsi="Book Antiqua"/>
          <w:i/>
          <w:iCs/>
        </w:rPr>
        <w:t>Acta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Derm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Venereol</w:t>
      </w:r>
      <w:proofErr w:type="spellEnd"/>
      <w:r w:rsidRPr="00DA2B25">
        <w:rPr>
          <w:rFonts w:ascii="Book Antiqua" w:hAnsi="Book Antiqua"/>
        </w:rPr>
        <w:t xml:space="preserve"> 2017; </w:t>
      </w:r>
      <w:r w:rsidRPr="00DA2B25">
        <w:rPr>
          <w:rFonts w:ascii="Book Antiqua" w:hAnsi="Book Antiqua"/>
          <w:b/>
          <w:bCs/>
        </w:rPr>
        <w:t>97</w:t>
      </w:r>
      <w:r w:rsidRPr="00DA2B25">
        <w:rPr>
          <w:rFonts w:ascii="Book Antiqua" w:hAnsi="Book Antiqua"/>
        </w:rPr>
        <w:t>: 838-842 [PMID: 28421232 DOI: 10.2340/00015555-2674]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46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syndromes in children.</w:t>
      </w:r>
      <w:proofErr w:type="gramEnd"/>
      <w:r w:rsidRPr="00DA2B25">
        <w:rPr>
          <w:rFonts w:ascii="Book Antiqua" w:hAnsi="Book Antiqua"/>
        </w:rPr>
        <w:t xml:space="preserve"> </w:t>
      </w:r>
      <w:proofErr w:type="gramStart"/>
      <w:r w:rsidRPr="00DA2B25">
        <w:rPr>
          <w:rFonts w:ascii="Book Antiqua" w:hAnsi="Book Antiqua"/>
        </w:rPr>
        <w:t xml:space="preserve">Writing Group of the </w:t>
      </w:r>
      <w:proofErr w:type="spellStart"/>
      <w:r w:rsidRPr="00DA2B25">
        <w:rPr>
          <w:rFonts w:ascii="Book Antiqua" w:hAnsi="Book Antiqua"/>
        </w:rPr>
        <w:t>Histiocyte</w:t>
      </w:r>
      <w:proofErr w:type="spellEnd"/>
      <w:r w:rsidRPr="00DA2B25">
        <w:rPr>
          <w:rFonts w:ascii="Book Antiqua" w:hAnsi="Book Antiqua"/>
        </w:rPr>
        <w:t xml:space="preserve"> Society.</w:t>
      </w:r>
      <w:proofErr w:type="gramEnd"/>
      <w:r w:rsidRPr="00DA2B25">
        <w:rPr>
          <w:rFonts w:ascii="Book Antiqua" w:hAnsi="Book Antiqua"/>
        </w:rPr>
        <w:t xml:space="preserve"> </w:t>
      </w:r>
      <w:r w:rsidRPr="00DA2B25">
        <w:rPr>
          <w:rFonts w:ascii="Book Antiqua" w:hAnsi="Book Antiqua"/>
          <w:i/>
          <w:iCs/>
        </w:rPr>
        <w:t>Lancet</w:t>
      </w:r>
      <w:r w:rsidRPr="00DA2B25">
        <w:rPr>
          <w:rFonts w:ascii="Book Antiqua" w:hAnsi="Book Antiqua"/>
        </w:rPr>
        <w:t xml:space="preserve"> 1987; </w:t>
      </w:r>
      <w:r w:rsidRPr="00DA2B25">
        <w:rPr>
          <w:rFonts w:ascii="Book Antiqua" w:hAnsi="Book Antiqua"/>
          <w:b/>
          <w:bCs/>
        </w:rPr>
        <w:t>1</w:t>
      </w:r>
      <w:r w:rsidRPr="00DA2B25">
        <w:rPr>
          <w:rFonts w:ascii="Book Antiqua" w:hAnsi="Book Antiqua"/>
        </w:rPr>
        <w:t>: 208-209 [PMID: 2880029 DOI: 10.1016/S0140-6736(87)90016-X]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DA2B25">
        <w:rPr>
          <w:rFonts w:ascii="Book Antiqua" w:hAnsi="Book Antiqua"/>
        </w:rPr>
        <w:t xml:space="preserve">47 </w:t>
      </w:r>
      <w:r w:rsidRPr="00DA2B25">
        <w:rPr>
          <w:rFonts w:ascii="Book Antiqua" w:hAnsi="Book Antiqua"/>
          <w:b/>
          <w:bCs/>
        </w:rPr>
        <w:t>Broadbent V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Gadner</w:t>
      </w:r>
      <w:proofErr w:type="spellEnd"/>
      <w:r w:rsidRPr="00DA2B25">
        <w:rPr>
          <w:rFonts w:ascii="Book Antiqua" w:hAnsi="Book Antiqua"/>
        </w:rPr>
        <w:t xml:space="preserve"> H. Current therapy for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>.</w:t>
      </w:r>
      <w:proofErr w:type="gramEnd"/>
      <w:r w:rsidRPr="00DA2B25">
        <w:rPr>
          <w:rFonts w:ascii="Book Antiqua" w:hAnsi="Book Antiqua"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Hematol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Oncol</w:t>
      </w:r>
      <w:proofErr w:type="spellEnd"/>
      <w:r w:rsidRPr="00DA2B25">
        <w:rPr>
          <w:rFonts w:ascii="Book Antiqua" w:hAnsi="Book Antiqua"/>
          <w:i/>
          <w:iCs/>
        </w:rPr>
        <w:t xml:space="preserve"> </w:t>
      </w:r>
      <w:proofErr w:type="spellStart"/>
      <w:r w:rsidRPr="00DA2B25">
        <w:rPr>
          <w:rFonts w:ascii="Book Antiqua" w:hAnsi="Book Antiqua"/>
          <w:i/>
          <w:iCs/>
        </w:rPr>
        <w:t>Clin</w:t>
      </w:r>
      <w:proofErr w:type="spellEnd"/>
      <w:r w:rsidRPr="00DA2B25">
        <w:rPr>
          <w:rFonts w:ascii="Book Antiqua" w:hAnsi="Book Antiqua"/>
          <w:i/>
          <w:iCs/>
        </w:rPr>
        <w:t xml:space="preserve"> North Am</w:t>
      </w:r>
      <w:r w:rsidRPr="00DA2B25">
        <w:rPr>
          <w:rFonts w:ascii="Book Antiqua" w:hAnsi="Book Antiqua"/>
        </w:rPr>
        <w:t xml:space="preserve"> 1998; </w:t>
      </w:r>
      <w:r w:rsidRPr="00DA2B25">
        <w:rPr>
          <w:rFonts w:ascii="Book Antiqua" w:hAnsi="Book Antiqua"/>
          <w:b/>
          <w:bCs/>
        </w:rPr>
        <w:t>12</w:t>
      </w:r>
      <w:r w:rsidRPr="00DA2B25">
        <w:rPr>
          <w:rFonts w:ascii="Book Antiqua" w:hAnsi="Book Antiqua"/>
        </w:rPr>
        <w:t>: 327-338 [PMID: 9561903 DOI: 10.1016/S0889-8588(05)70513-X]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48 </w:t>
      </w:r>
      <w:r w:rsidRPr="00DA2B25">
        <w:rPr>
          <w:rFonts w:ascii="Book Antiqua" w:hAnsi="Book Antiqua"/>
          <w:b/>
          <w:bCs/>
        </w:rPr>
        <w:t>Tazi A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Lorillon</w:t>
      </w:r>
      <w:proofErr w:type="spellEnd"/>
      <w:r w:rsidRPr="00DA2B25">
        <w:rPr>
          <w:rFonts w:ascii="Book Antiqua" w:hAnsi="Book Antiqua"/>
        </w:rPr>
        <w:t xml:space="preserve"> G, </w:t>
      </w:r>
      <w:proofErr w:type="spellStart"/>
      <w:r w:rsidRPr="00DA2B25">
        <w:rPr>
          <w:rFonts w:ascii="Book Antiqua" w:hAnsi="Book Antiqua"/>
        </w:rPr>
        <w:t>Haroche</w:t>
      </w:r>
      <w:proofErr w:type="spellEnd"/>
      <w:r w:rsidRPr="00DA2B25">
        <w:rPr>
          <w:rFonts w:ascii="Book Antiqua" w:hAnsi="Book Antiqua"/>
        </w:rPr>
        <w:t xml:space="preserve"> J, Neel A, Dominique S, </w:t>
      </w:r>
      <w:proofErr w:type="spellStart"/>
      <w:r w:rsidRPr="00DA2B25">
        <w:rPr>
          <w:rFonts w:ascii="Book Antiqua" w:hAnsi="Book Antiqua"/>
        </w:rPr>
        <w:t>Aouba</w:t>
      </w:r>
      <w:proofErr w:type="spellEnd"/>
      <w:r w:rsidRPr="00DA2B25">
        <w:rPr>
          <w:rFonts w:ascii="Book Antiqua" w:hAnsi="Book Antiqua"/>
        </w:rPr>
        <w:t xml:space="preserve"> A, </w:t>
      </w:r>
      <w:proofErr w:type="spellStart"/>
      <w:r w:rsidRPr="00DA2B25">
        <w:rPr>
          <w:rFonts w:ascii="Book Antiqua" w:hAnsi="Book Antiqua"/>
        </w:rPr>
        <w:t>Bouaziz</w:t>
      </w:r>
      <w:proofErr w:type="spellEnd"/>
      <w:r w:rsidRPr="00DA2B25">
        <w:rPr>
          <w:rFonts w:ascii="Book Antiqua" w:hAnsi="Book Antiqua"/>
        </w:rPr>
        <w:t xml:space="preserve"> JD, de </w:t>
      </w:r>
      <w:proofErr w:type="spellStart"/>
      <w:r w:rsidRPr="00DA2B25">
        <w:rPr>
          <w:rFonts w:ascii="Book Antiqua" w:hAnsi="Book Antiqua"/>
        </w:rPr>
        <w:t>Margerie</w:t>
      </w:r>
      <w:proofErr w:type="spellEnd"/>
      <w:r w:rsidRPr="00DA2B25">
        <w:rPr>
          <w:rFonts w:ascii="Book Antiqua" w:hAnsi="Book Antiqua"/>
        </w:rPr>
        <w:t xml:space="preserve">-Melon C, </w:t>
      </w:r>
      <w:proofErr w:type="spellStart"/>
      <w:r w:rsidRPr="00DA2B25">
        <w:rPr>
          <w:rFonts w:ascii="Book Antiqua" w:hAnsi="Book Antiqua"/>
        </w:rPr>
        <w:t>Bugnet</w:t>
      </w:r>
      <w:proofErr w:type="spellEnd"/>
      <w:r w:rsidRPr="00DA2B25">
        <w:rPr>
          <w:rFonts w:ascii="Book Antiqua" w:hAnsi="Book Antiqua"/>
        </w:rPr>
        <w:t xml:space="preserve"> E, </w:t>
      </w:r>
      <w:proofErr w:type="spellStart"/>
      <w:r w:rsidRPr="00DA2B25">
        <w:rPr>
          <w:rFonts w:ascii="Book Antiqua" w:hAnsi="Book Antiqua"/>
        </w:rPr>
        <w:t>Cottin</w:t>
      </w:r>
      <w:proofErr w:type="spellEnd"/>
      <w:r w:rsidRPr="00DA2B25">
        <w:rPr>
          <w:rFonts w:ascii="Book Antiqua" w:hAnsi="Book Antiqua"/>
        </w:rPr>
        <w:t xml:space="preserve"> V, </w:t>
      </w:r>
      <w:proofErr w:type="spellStart"/>
      <w:r w:rsidRPr="00DA2B25">
        <w:rPr>
          <w:rFonts w:ascii="Book Antiqua" w:hAnsi="Book Antiqua"/>
        </w:rPr>
        <w:t>Comont</w:t>
      </w:r>
      <w:proofErr w:type="spellEnd"/>
      <w:r w:rsidRPr="00DA2B25">
        <w:rPr>
          <w:rFonts w:ascii="Book Antiqua" w:hAnsi="Book Antiqua"/>
        </w:rPr>
        <w:t xml:space="preserve"> T, </w:t>
      </w:r>
      <w:proofErr w:type="spellStart"/>
      <w:r w:rsidRPr="00DA2B25">
        <w:rPr>
          <w:rFonts w:ascii="Book Antiqua" w:hAnsi="Book Antiqua"/>
        </w:rPr>
        <w:t>Lavigne</w:t>
      </w:r>
      <w:proofErr w:type="spellEnd"/>
      <w:r w:rsidRPr="00DA2B25">
        <w:rPr>
          <w:rFonts w:ascii="Book Antiqua" w:hAnsi="Book Antiqua"/>
        </w:rPr>
        <w:t xml:space="preserve"> C, Kahn JE, </w:t>
      </w:r>
      <w:proofErr w:type="spellStart"/>
      <w:r w:rsidRPr="00DA2B25">
        <w:rPr>
          <w:rFonts w:ascii="Book Antiqua" w:hAnsi="Book Antiqua"/>
        </w:rPr>
        <w:t>Donadieu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Chevret</w:t>
      </w:r>
      <w:proofErr w:type="spellEnd"/>
      <w:r w:rsidRPr="00DA2B25">
        <w:rPr>
          <w:rFonts w:ascii="Book Antiqua" w:hAnsi="Book Antiqua"/>
        </w:rPr>
        <w:t xml:space="preserve"> S. Vinblastine chemotherapy in adult patients with </w:t>
      </w:r>
      <w:proofErr w:type="spellStart"/>
      <w:r w:rsidRPr="00DA2B25">
        <w:rPr>
          <w:rFonts w:ascii="Book Antiqua" w:hAnsi="Book Antiqua"/>
        </w:rPr>
        <w:t>langerhans</w:t>
      </w:r>
      <w:proofErr w:type="spellEnd"/>
      <w:r w:rsidRPr="00DA2B25">
        <w:rPr>
          <w:rFonts w:ascii="Book Antiqua" w:hAnsi="Book Antiqua"/>
        </w:rPr>
        <w:t xml:space="preserve">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: a multicenter retrospective study. </w:t>
      </w:r>
      <w:proofErr w:type="spellStart"/>
      <w:r w:rsidRPr="00DA2B25">
        <w:rPr>
          <w:rFonts w:ascii="Book Antiqua" w:hAnsi="Book Antiqua"/>
          <w:i/>
          <w:iCs/>
        </w:rPr>
        <w:t>Orphanet</w:t>
      </w:r>
      <w:proofErr w:type="spellEnd"/>
      <w:r w:rsidRPr="00DA2B25">
        <w:rPr>
          <w:rFonts w:ascii="Book Antiqua" w:hAnsi="Book Antiqua"/>
          <w:i/>
          <w:iCs/>
        </w:rPr>
        <w:t xml:space="preserve"> J Rare Dis</w:t>
      </w:r>
      <w:r w:rsidRPr="00DA2B25">
        <w:rPr>
          <w:rFonts w:ascii="Book Antiqua" w:hAnsi="Book Antiqua"/>
        </w:rPr>
        <w:t xml:space="preserve"> 2017; </w:t>
      </w:r>
      <w:r w:rsidRPr="00DA2B25">
        <w:rPr>
          <w:rFonts w:ascii="Book Antiqua" w:hAnsi="Book Antiqua"/>
          <w:b/>
          <w:bCs/>
        </w:rPr>
        <w:t>12</w:t>
      </w:r>
      <w:r w:rsidRPr="00DA2B25">
        <w:rPr>
          <w:rFonts w:ascii="Book Antiqua" w:hAnsi="Book Antiqua"/>
        </w:rPr>
        <w:t>: 95 [PMID: 28532436 DOI: 10.1186/s13023-017-0651-z]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49 </w:t>
      </w:r>
      <w:proofErr w:type="spellStart"/>
      <w:r w:rsidRPr="00DA2B25">
        <w:rPr>
          <w:rFonts w:ascii="Book Antiqua" w:hAnsi="Book Antiqua"/>
          <w:b/>
          <w:bCs/>
        </w:rPr>
        <w:t>Haroche</w:t>
      </w:r>
      <w:proofErr w:type="spellEnd"/>
      <w:r w:rsidRPr="00DA2B25">
        <w:rPr>
          <w:rFonts w:ascii="Book Antiqua" w:hAnsi="Book Antiqua"/>
          <w:b/>
          <w:bCs/>
        </w:rPr>
        <w:t xml:space="preserve"> J</w:t>
      </w:r>
      <w:r w:rsidRPr="00DA2B25">
        <w:rPr>
          <w:rFonts w:ascii="Book Antiqua" w:hAnsi="Book Antiqua"/>
        </w:rPr>
        <w:t>, Cohen-</w:t>
      </w:r>
      <w:proofErr w:type="spellStart"/>
      <w:r w:rsidRPr="00DA2B25">
        <w:rPr>
          <w:rFonts w:ascii="Book Antiqua" w:hAnsi="Book Antiqua"/>
        </w:rPr>
        <w:t>Aubart</w:t>
      </w:r>
      <w:proofErr w:type="spellEnd"/>
      <w:r w:rsidRPr="00DA2B25">
        <w:rPr>
          <w:rFonts w:ascii="Book Antiqua" w:hAnsi="Book Antiqua"/>
        </w:rPr>
        <w:t xml:space="preserve"> F, Emile JF, Arnaud L, </w:t>
      </w:r>
      <w:proofErr w:type="spellStart"/>
      <w:r w:rsidRPr="00DA2B25">
        <w:rPr>
          <w:rFonts w:ascii="Book Antiqua" w:hAnsi="Book Antiqua"/>
        </w:rPr>
        <w:t>Maksud</w:t>
      </w:r>
      <w:proofErr w:type="spellEnd"/>
      <w:r w:rsidRPr="00DA2B25">
        <w:rPr>
          <w:rFonts w:ascii="Book Antiqua" w:hAnsi="Book Antiqua"/>
        </w:rPr>
        <w:t xml:space="preserve"> P, Charlotte F, </w:t>
      </w:r>
      <w:proofErr w:type="spellStart"/>
      <w:r w:rsidRPr="00DA2B25">
        <w:rPr>
          <w:rFonts w:ascii="Book Antiqua" w:hAnsi="Book Antiqua"/>
        </w:rPr>
        <w:t>Cluzel</w:t>
      </w:r>
      <w:proofErr w:type="spellEnd"/>
      <w:r w:rsidRPr="00DA2B25">
        <w:rPr>
          <w:rFonts w:ascii="Book Antiqua" w:hAnsi="Book Antiqua"/>
        </w:rPr>
        <w:t xml:space="preserve"> P, Drier A, </w:t>
      </w:r>
      <w:proofErr w:type="spellStart"/>
      <w:r w:rsidRPr="00DA2B25">
        <w:rPr>
          <w:rFonts w:ascii="Book Antiqua" w:hAnsi="Book Antiqua"/>
        </w:rPr>
        <w:t>Hervier</w:t>
      </w:r>
      <w:proofErr w:type="spellEnd"/>
      <w:r w:rsidRPr="00DA2B25">
        <w:rPr>
          <w:rFonts w:ascii="Book Antiqua" w:hAnsi="Book Antiqua"/>
        </w:rPr>
        <w:t xml:space="preserve"> B, </w:t>
      </w:r>
      <w:proofErr w:type="spellStart"/>
      <w:r w:rsidRPr="00DA2B25">
        <w:rPr>
          <w:rFonts w:ascii="Book Antiqua" w:hAnsi="Book Antiqua"/>
        </w:rPr>
        <w:t>Benameur</w:t>
      </w:r>
      <w:proofErr w:type="spellEnd"/>
      <w:r w:rsidRPr="00DA2B25">
        <w:rPr>
          <w:rFonts w:ascii="Book Antiqua" w:hAnsi="Book Antiqua"/>
        </w:rPr>
        <w:t xml:space="preserve"> N, </w:t>
      </w:r>
      <w:proofErr w:type="spellStart"/>
      <w:r w:rsidRPr="00DA2B25">
        <w:rPr>
          <w:rFonts w:ascii="Book Antiqua" w:hAnsi="Book Antiqua"/>
        </w:rPr>
        <w:t>Besnard</w:t>
      </w:r>
      <w:proofErr w:type="spellEnd"/>
      <w:r w:rsidRPr="00DA2B25">
        <w:rPr>
          <w:rFonts w:ascii="Book Antiqua" w:hAnsi="Book Antiqua"/>
        </w:rPr>
        <w:t xml:space="preserve"> S, </w:t>
      </w:r>
      <w:proofErr w:type="spellStart"/>
      <w:r w:rsidRPr="00DA2B25">
        <w:rPr>
          <w:rFonts w:ascii="Book Antiqua" w:hAnsi="Book Antiqua"/>
        </w:rPr>
        <w:t>Donadieu</w:t>
      </w:r>
      <w:proofErr w:type="spellEnd"/>
      <w:r w:rsidRPr="00DA2B25">
        <w:rPr>
          <w:rFonts w:ascii="Book Antiqua" w:hAnsi="Book Antiqua"/>
        </w:rPr>
        <w:t xml:space="preserve"> J, </w:t>
      </w:r>
      <w:proofErr w:type="spellStart"/>
      <w:r w:rsidRPr="00DA2B25">
        <w:rPr>
          <w:rFonts w:ascii="Book Antiqua" w:hAnsi="Book Antiqua"/>
        </w:rPr>
        <w:t>Amoura</w:t>
      </w:r>
      <w:proofErr w:type="spellEnd"/>
      <w:r w:rsidRPr="00DA2B25">
        <w:rPr>
          <w:rFonts w:ascii="Book Antiqua" w:hAnsi="Book Antiqua"/>
        </w:rPr>
        <w:t xml:space="preserve"> Z. Dramatic efficacy of </w:t>
      </w:r>
      <w:proofErr w:type="spellStart"/>
      <w:r w:rsidRPr="00DA2B25">
        <w:rPr>
          <w:rFonts w:ascii="Book Antiqua" w:hAnsi="Book Antiqua"/>
        </w:rPr>
        <w:t>vemurafenib</w:t>
      </w:r>
      <w:proofErr w:type="spellEnd"/>
      <w:r w:rsidRPr="00DA2B25">
        <w:rPr>
          <w:rFonts w:ascii="Book Antiqua" w:hAnsi="Book Antiqua"/>
        </w:rPr>
        <w:t xml:space="preserve"> in both </w:t>
      </w:r>
      <w:proofErr w:type="spellStart"/>
      <w:r w:rsidRPr="00DA2B25">
        <w:rPr>
          <w:rFonts w:ascii="Book Antiqua" w:hAnsi="Book Antiqua"/>
        </w:rPr>
        <w:t>multisystemic</w:t>
      </w:r>
      <w:proofErr w:type="spellEnd"/>
      <w:r w:rsidRPr="00DA2B25">
        <w:rPr>
          <w:rFonts w:ascii="Book Antiqua" w:hAnsi="Book Antiqua"/>
        </w:rPr>
        <w:t xml:space="preserve"> and refractory </w:t>
      </w:r>
      <w:proofErr w:type="spellStart"/>
      <w:r w:rsidRPr="00DA2B25">
        <w:rPr>
          <w:rFonts w:ascii="Book Antiqua" w:hAnsi="Book Antiqua"/>
        </w:rPr>
        <w:t>Erdheim</w:t>
      </w:r>
      <w:proofErr w:type="spellEnd"/>
      <w:r w:rsidRPr="00DA2B25">
        <w:rPr>
          <w:rFonts w:ascii="Book Antiqua" w:hAnsi="Book Antiqua"/>
        </w:rPr>
        <w:t xml:space="preserve">-Chester disease and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harboring the BRAF V600E mutation. </w:t>
      </w:r>
      <w:r w:rsidRPr="00DA2B25">
        <w:rPr>
          <w:rFonts w:ascii="Book Antiqua" w:hAnsi="Book Antiqua"/>
          <w:i/>
          <w:iCs/>
        </w:rPr>
        <w:t>Blood</w:t>
      </w:r>
      <w:r w:rsidRPr="00DA2B25">
        <w:rPr>
          <w:rFonts w:ascii="Book Antiqua" w:hAnsi="Book Antiqua"/>
        </w:rPr>
        <w:t xml:space="preserve"> 2013; </w:t>
      </w:r>
      <w:r w:rsidRPr="00DA2B25">
        <w:rPr>
          <w:rFonts w:ascii="Book Antiqua" w:hAnsi="Book Antiqua"/>
          <w:b/>
          <w:bCs/>
        </w:rPr>
        <w:t>121</w:t>
      </w:r>
      <w:r w:rsidRPr="00DA2B25">
        <w:rPr>
          <w:rFonts w:ascii="Book Antiqua" w:hAnsi="Book Antiqua"/>
        </w:rPr>
        <w:t>: 1495-1500 [PMID: 23258922 DOI: 10.1182/blood-2012-07-446286]</w:t>
      </w:r>
    </w:p>
    <w:p w:rsidR="0096025B" w:rsidRPr="00DA2B25" w:rsidRDefault="0096025B" w:rsidP="0096025B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A2B25">
        <w:rPr>
          <w:rFonts w:ascii="Book Antiqua" w:hAnsi="Book Antiqua"/>
        </w:rPr>
        <w:t xml:space="preserve">50 </w:t>
      </w:r>
      <w:r w:rsidRPr="00DA2B25">
        <w:rPr>
          <w:rFonts w:ascii="Book Antiqua" w:hAnsi="Book Antiqua"/>
          <w:b/>
          <w:bCs/>
        </w:rPr>
        <w:t>Kobayashi M</w:t>
      </w:r>
      <w:r w:rsidRPr="00DA2B25">
        <w:rPr>
          <w:rFonts w:ascii="Book Antiqua" w:hAnsi="Book Antiqua"/>
        </w:rPr>
        <w:t xml:space="preserve">, </w:t>
      </w:r>
      <w:proofErr w:type="spellStart"/>
      <w:r w:rsidRPr="00DA2B25">
        <w:rPr>
          <w:rFonts w:ascii="Book Antiqua" w:hAnsi="Book Antiqua"/>
        </w:rPr>
        <w:t>Tojo</w:t>
      </w:r>
      <w:proofErr w:type="spellEnd"/>
      <w:r w:rsidRPr="00DA2B25">
        <w:rPr>
          <w:rFonts w:ascii="Book Antiqua" w:hAnsi="Book Antiqua"/>
        </w:rPr>
        <w:t xml:space="preserve"> A. Langerhans cell </w:t>
      </w:r>
      <w:proofErr w:type="spellStart"/>
      <w:r w:rsidRPr="00DA2B25">
        <w:rPr>
          <w:rFonts w:ascii="Book Antiqua" w:hAnsi="Book Antiqua"/>
        </w:rPr>
        <w:t>histiocytosis</w:t>
      </w:r>
      <w:proofErr w:type="spellEnd"/>
      <w:r w:rsidRPr="00DA2B25">
        <w:rPr>
          <w:rFonts w:ascii="Book Antiqua" w:hAnsi="Book Antiqua"/>
        </w:rPr>
        <w:t xml:space="preserve"> in adults: Advances in pathophysiology and treatment. </w:t>
      </w:r>
      <w:r w:rsidRPr="00DA2B25">
        <w:rPr>
          <w:rFonts w:ascii="Book Antiqua" w:hAnsi="Book Antiqua"/>
          <w:i/>
          <w:iCs/>
        </w:rPr>
        <w:t xml:space="preserve">Cancer </w:t>
      </w:r>
      <w:proofErr w:type="spellStart"/>
      <w:r w:rsidRPr="00DA2B25">
        <w:rPr>
          <w:rFonts w:ascii="Book Antiqua" w:hAnsi="Book Antiqua"/>
          <w:i/>
          <w:iCs/>
        </w:rPr>
        <w:t>Sci</w:t>
      </w:r>
      <w:proofErr w:type="spellEnd"/>
      <w:r w:rsidRPr="00DA2B25">
        <w:rPr>
          <w:rFonts w:ascii="Book Antiqua" w:hAnsi="Book Antiqua"/>
        </w:rPr>
        <w:t xml:space="preserve"> 2018; </w:t>
      </w:r>
      <w:r w:rsidRPr="00DA2B25">
        <w:rPr>
          <w:rFonts w:ascii="Book Antiqua" w:hAnsi="Book Antiqua"/>
          <w:b/>
          <w:bCs/>
        </w:rPr>
        <w:t>109</w:t>
      </w:r>
      <w:r w:rsidRPr="00DA2B25">
        <w:rPr>
          <w:rFonts w:ascii="Book Antiqua" w:hAnsi="Book Antiqua"/>
        </w:rPr>
        <w:t>: 3707-3713 [PMID: 30281871 DOI: 10.1111/cas.13817]</w:t>
      </w:r>
    </w:p>
    <w:p w:rsidR="0096025B" w:rsidRPr="00DA2B25" w:rsidRDefault="0096025B" w:rsidP="0096025B">
      <w:pPr>
        <w:wordWrap w:val="0"/>
        <w:snapToGrid w:val="0"/>
        <w:spacing w:after="0" w:line="360" w:lineRule="auto"/>
        <w:jc w:val="right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  <w:bookmarkStart w:id="48" w:name="OLE_LINK148"/>
      <w:bookmarkStart w:id="49" w:name="OLE_LINK320"/>
      <w:bookmarkStart w:id="50" w:name="OLE_LINK387"/>
      <w:bookmarkStart w:id="51" w:name="OLE_LINK254"/>
      <w:bookmarkStart w:id="52" w:name="OLE_LINK149"/>
      <w:bookmarkStart w:id="53" w:name="OLE_LINK225"/>
      <w:bookmarkStart w:id="54" w:name="OLE_LINK207"/>
      <w:bookmarkStart w:id="55" w:name="OLE_LINK226"/>
      <w:bookmarkStart w:id="56" w:name="OLE_LINK212"/>
      <w:bookmarkStart w:id="57" w:name="OLE_LINK250"/>
      <w:bookmarkStart w:id="58" w:name="OLE_LINK281"/>
      <w:bookmarkStart w:id="59" w:name="OLE_LINK282"/>
      <w:bookmarkStart w:id="60" w:name="OLE_LINK313"/>
      <w:bookmarkStart w:id="61" w:name="OLE_LINK304"/>
      <w:bookmarkStart w:id="62" w:name="OLE_LINK321"/>
      <w:bookmarkStart w:id="63" w:name="OLE_LINK385"/>
      <w:bookmarkStart w:id="64" w:name="OLE_LINK400"/>
      <w:bookmarkStart w:id="65" w:name="OLE_LINK346"/>
      <w:bookmarkStart w:id="66" w:name="OLE_LINK371"/>
      <w:bookmarkStart w:id="67" w:name="OLE_LINK334"/>
      <w:bookmarkStart w:id="68" w:name="OLE_LINK1830"/>
      <w:bookmarkStart w:id="69" w:name="OLE_LINK457"/>
      <w:bookmarkStart w:id="70" w:name="OLE_LINK288"/>
      <w:bookmarkStart w:id="71" w:name="OLE_LINK384"/>
      <w:bookmarkStart w:id="72" w:name="OLE_LINK379"/>
      <w:bookmarkStart w:id="73" w:name="OLE_LINK303"/>
      <w:bookmarkStart w:id="74" w:name="OLE_LINK450"/>
      <w:bookmarkStart w:id="75" w:name="OLE_LINK489"/>
      <w:bookmarkStart w:id="76" w:name="OLE_LINK535"/>
      <w:bookmarkStart w:id="77" w:name="OLE_LINK648"/>
      <w:bookmarkStart w:id="78" w:name="OLE_LINK686"/>
      <w:bookmarkStart w:id="79" w:name="OLE_LINK471"/>
      <w:bookmarkStart w:id="80" w:name="OLE_LINK462"/>
      <w:bookmarkStart w:id="81" w:name="OLE_LINK519"/>
      <w:bookmarkStart w:id="82" w:name="OLE_LINK575"/>
      <w:bookmarkStart w:id="83" w:name="OLE_LINK491"/>
      <w:bookmarkStart w:id="84" w:name="OLE_LINK532"/>
      <w:bookmarkStart w:id="85" w:name="OLE_LINK572"/>
      <w:bookmarkStart w:id="86" w:name="OLE_LINK574"/>
      <w:bookmarkStart w:id="87" w:name="OLE_LINK480"/>
      <w:bookmarkStart w:id="88" w:name="OLE_LINK567"/>
      <w:bookmarkStart w:id="89" w:name="OLE_LINK2700"/>
      <w:bookmarkStart w:id="90" w:name="OLE_LINK581"/>
      <w:bookmarkStart w:id="91" w:name="OLE_LINK639"/>
      <w:bookmarkStart w:id="92" w:name="OLE_LINK688"/>
      <w:bookmarkStart w:id="93" w:name="OLE_LINK722"/>
      <w:bookmarkStart w:id="94" w:name="OLE_LINK542"/>
      <w:bookmarkStart w:id="95" w:name="OLE_LINK589"/>
      <w:bookmarkStart w:id="96" w:name="OLE_LINK582"/>
      <w:bookmarkStart w:id="97" w:name="OLE_LINK640"/>
      <w:bookmarkStart w:id="98" w:name="OLE_LINK714"/>
      <w:bookmarkStart w:id="99" w:name="OLE_LINK593"/>
      <w:bookmarkStart w:id="100" w:name="OLE_LINK716"/>
      <w:bookmarkStart w:id="101" w:name="OLE_LINK770"/>
      <w:bookmarkStart w:id="102" w:name="OLE_LINK801"/>
      <w:bookmarkStart w:id="103" w:name="OLE_LINK660"/>
      <w:bookmarkStart w:id="104" w:name="OLE_LINK781"/>
      <w:bookmarkStart w:id="105" w:name="OLE_LINK833"/>
      <w:bookmarkStart w:id="106" w:name="OLE_LINK642"/>
      <w:bookmarkStart w:id="107" w:name="OLE_LINK700"/>
      <w:bookmarkStart w:id="108" w:name="OLE_LINK792"/>
      <w:bookmarkStart w:id="109" w:name="OLE_LINK2882"/>
      <w:bookmarkStart w:id="110" w:name="OLE_LINK836"/>
      <w:bookmarkStart w:id="111" w:name="OLE_LINK889"/>
      <w:bookmarkStart w:id="112" w:name="OLE_LINK782"/>
      <w:bookmarkStart w:id="113" w:name="OLE_LINK826"/>
      <w:bookmarkStart w:id="114" w:name="OLE_LINK865"/>
      <w:bookmarkStart w:id="115" w:name="OLE_LINK856"/>
      <w:bookmarkStart w:id="116" w:name="OLE_LINK908"/>
      <w:bookmarkStart w:id="117" w:name="OLE_LINK980"/>
      <w:bookmarkStart w:id="118" w:name="OLE_LINK1018"/>
      <w:bookmarkStart w:id="119" w:name="OLE_LINK1049"/>
      <w:bookmarkStart w:id="120" w:name="OLE_LINK1076"/>
      <w:bookmarkStart w:id="121" w:name="OLE_LINK1106"/>
      <w:bookmarkStart w:id="122" w:name="OLE_LINK891"/>
      <w:bookmarkStart w:id="123" w:name="OLE_LINK943"/>
      <w:bookmarkStart w:id="124" w:name="OLE_LINK981"/>
      <w:bookmarkStart w:id="125" w:name="OLE_LINK1030"/>
      <w:bookmarkStart w:id="126" w:name="OLE_LINK847"/>
      <w:bookmarkStart w:id="127" w:name="OLE_LINK909"/>
      <w:bookmarkStart w:id="128" w:name="OLE_LINK906"/>
      <w:bookmarkStart w:id="129" w:name="OLE_LINK992"/>
      <w:bookmarkStart w:id="130" w:name="OLE_LINK993"/>
      <w:bookmarkStart w:id="131" w:name="OLE_LINK1052"/>
      <w:bookmarkStart w:id="132" w:name="OLE_LINK946"/>
      <w:bookmarkStart w:id="133" w:name="OLE_LINK911"/>
      <w:bookmarkStart w:id="134" w:name="OLE_LINK930"/>
      <w:bookmarkStart w:id="135" w:name="OLE_LINK1059"/>
      <w:bookmarkStart w:id="136" w:name="OLE_LINK1174"/>
      <w:bookmarkStart w:id="137" w:name="OLE_LINK1137"/>
      <w:bookmarkStart w:id="138" w:name="OLE_LINK1167"/>
      <w:bookmarkStart w:id="139" w:name="OLE_LINK1200"/>
      <w:bookmarkStart w:id="140" w:name="OLE_LINK1241"/>
      <w:bookmarkStart w:id="141" w:name="OLE_LINK1288"/>
      <w:bookmarkStart w:id="142" w:name="OLE_LINK1056"/>
      <w:bookmarkStart w:id="143" w:name="OLE_LINK1158"/>
      <w:bookmarkStart w:id="144" w:name="OLE_LINK1175"/>
      <w:bookmarkStart w:id="145" w:name="OLE_LINK1074"/>
      <w:bookmarkStart w:id="146" w:name="OLE_LINK1169"/>
      <w:bookmarkStart w:id="147" w:name="OLE_LINK33"/>
      <w:bookmarkStart w:id="148" w:name="OLE_LINK34"/>
      <w:bookmarkStart w:id="149" w:name="OLE_LINK386"/>
      <w:bookmarkStart w:id="150" w:name="OLE_LINK599"/>
      <w:bookmarkStart w:id="151" w:name="OLE_LINK87"/>
      <w:r w:rsidRPr="00DA2B25">
        <w:rPr>
          <w:rFonts w:ascii="Book Antiqua" w:eastAsia="宋体" w:hAnsi="Book Antiqua"/>
          <w:b/>
          <w:bCs/>
          <w:sz w:val="24"/>
          <w:szCs w:val="24"/>
          <w:lang w:val="en-US" w:eastAsia="zh-CN"/>
        </w:rPr>
        <w:t>P-Reviewer:</w:t>
      </w:r>
      <w:r w:rsidRPr="00DA2B25">
        <w:rPr>
          <w:rFonts w:ascii="Book Antiqua" w:eastAsia="宋体" w:hAnsi="Book Antiqua" w:hint="eastAsia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>Diamantidis</w:t>
      </w:r>
      <w:proofErr w:type="spellEnd"/>
      <w:r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 xml:space="preserve"> MDD</w:t>
      </w:r>
    </w:p>
    <w:p w:rsidR="0096025B" w:rsidRPr="00DA2B25" w:rsidRDefault="0096025B" w:rsidP="003105B3">
      <w:pPr>
        <w:wordWrap w:val="0"/>
        <w:snapToGrid w:val="0"/>
        <w:spacing w:after="0" w:line="360" w:lineRule="auto"/>
        <w:jc w:val="right"/>
        <w:rPr>
          <w:rFonts w:ascii="Book Antiqua" w:eastAsia="宋体" w:hAnsi="Book Antiqua"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/>
          <w:b/>
          <w:bCs/>
          <w:sz w:val="24"/>
          <w:szCs w:val="24"/>
          <w:lang w:val="en-US" w:eastAsia="zh-CN"/>
        </w:rPr>
        <w:t>S-Editor:</w:t>
      </w:r>
      <w:r w:rsidRPr="00DA2B25">
        <w:rPr>
          <w:rFonts w:ascii="Book Antiqua" w:eastAsia="宋体" w:hAnsi="Book Antiqua" w:hint="eastAsia"/>
          <w:sz w:val="24"/>
          <w:szCs w:val="24"/>
          <w:lang w:val="en-US" w:eastAsia="zh-CN"/>
        </w:rPr>
        <w:t xml:space="preserve"> </w:t>
      </w:r>
      <w:bookmarkStart w:id="152" w:name="_Hlk24127598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>Tang JZ</w:t>
      </w:r>
      <w:bookmarkEnd w:id="152"/>
      <w:r w:rsidRPr="00DA2B2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DA2B25">
        <w:rPr>
          <w:rFonts w:ascii="Book Antiqua" w:eastAsia="宋体" w:hAnsi="Book Antiqua"/>
          <w:b/>
          <w:bCs/>
          <w:sz w:val="24"/>
          <w:szCs w:val="24"/>
          <w:lang w:val="en-US" w:eastAsia="zh-CN"/>
        </w:rPr>
        <w:t>L-Editor:</w:t>
      </w:r>
      <w:r w:rsidR="003105B3" w:rsidRPr="00DA2B25">
        <w:rPr>
          <w:rFonts w:ascii="Book Antiqua" w:eastAsia="宋体" w:hAnsi="Book Antiqua" w:hint="eastAsia"/>
          <w:sz w:val="24"/>
          <w:szCs w:val="24"/>
          <w:lang w:val="en-US" w:eastAsia="zh-CN"/>
        </w:rPr>
        <w:t xml:space="preserve"> A </w:t>
      </w:r>
      <w:r w:rsidRPr="00DA2B25">
        <w:rPr>
          <w:rFonts w:ascii="Book Antiqua" w:eastAsia="宋体" w:hAnsi="Book Antiqua"/>
          <w:b/>
          <w:bCs/>
          <w:sz w:val="24"/>
          <w:szCs w:val="24"/>
          <w:lang w:val="en-US" w:eastAsia="zh-CN"/>
        </w:rPr>
        <w:t>E-Editor:</w:t>
      </w:r>
      <w:r w:rsidR="003105B3" w:rsidRPr="00DA2B25">
        <w:t xml:space="preserve"> </w:t>
      </w:r>
      <w:r w:rsidR="003105B3" w:rsidRPr="00DA2B25">
        <w:rPr>
          <w:rFonts w:ascii="Book Antiqua" w:eastAsia="宋体" w:hAnsi="Book Antiqua"/>
          <w:bCs/>
          <w:sz w:val="24"/>
          <w:szCs w:val="24"/>
          <w:lang w:val="en-US" w:eastAsia="zh-CN"/>
        </w:rPr>
        <w:t>Xing YX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bookmarkStart w:id="153" w:name="OLE_LINK880"/>
      <w:bookmarkStart w:id="154" w:name="OLE_LINK88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DA2B25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Specialty type: </w:t>
      </w: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>Hematology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Country of origin: </w:t>
      </w: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>Italy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>Peer-review report classification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</w:t>
      </w:r>
      <w:proofErr w:type="gramStart"/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>A</w:t>
      </w:r>
      <w:proofErr w:type="gramEnd"/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 (Excellent): </w:t>
      </w:r>
      <w:r w:rsidRPr="00DA2B25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>Grade B (Very good): 0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C (Good): </w:t>
      </w:r>
      <w:r w:rsidRPr="00DA2B25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C</w:t>
      </w:r>
    </w:p>
    <w:p w:rsidR="0096025B" w:rsidRPr="00DA2B25" w:rsidRDefault="0096025B" w:rsidP="0096025B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D (Fair): </w:t>
      </w:r>
      <w:r w:rsidRPr="00DA2B25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</w:p>
    <w:p w:rsidR="00DE152B" w:rsidRPr="00DA2B25" w:rsidRDefault="0096025B" w:rsidP="00321D1A">
      <w:pPr>
        <w:snapToGrid w:val="0"/>
        <w:spacing w:after="0" w:line="360" w:lineRule="auto"/>
        <w:jc w:val="both"/>
        <w:rPr>
          <w:rFonts w:ascii="Book Antiqua" w:eastAsia="宋体" w:hAnsi="Book Antiqua"/>
          <w:b/>
          <w:iCs/>
          <w:sz w:val="24"/>
          <w:szCs w:val="24"/>
          <w:lang w:val="en-US" w:eastAsia="zh-CN"/>
        </w:rPr>
      </w:pPr>
      <w:r w:rsidRPr="00DA2B25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E (Poor): </w:t>
      </w:r>
      <w:r w:rsidRPr="00DA2B25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  <w:bookmarkEnd w:id="147"/>
      <w:bookmarkEnd w:id="148"/>
      <w:bookmarkEnd w:id="149"/>
      <w:bookmarkEnd w:id="150"/>
      <w:bookmarkEnd w:id="151"/>
      <w:bookmarkEnd w:id="153"/>
      <w:bookmarkEnd w:id="154"/>
    </w:p>
    <w:p w:rsidR="00AE7069" w:rsidRPr="00DA2B25" w:rsidRDefault="00DE152B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br w:type="page"/>
      </w:r>
      <w:r w:rsidR="005C377F" w:rsidRPr="00DA2B25">
        <w:rPr>
          <w:rFonts w:ascii="Book Antiqua" w:hAnsi="Book Antiqua"/>
          <w:b/>
          <w:bCs/>
          <w:sz w:val="24"/>
          <w:szCs w:val="24"/>
          <w:lang w:val="en-US"/>
        </w:rPr>
        <w:t>Table 1 Recommendations for first-line therapy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66558" w:rsidRPr="00DA2B25" w:rsidTr="00EC761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558" w:rsidRPr="00DA2B25" w:rsidRDefault="00066558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b/>
                <w:sz w:val="24"/>
                <w:szCs w:val="24"/>
                <w:lang w:val="en-US"/>
              </w:rPr>
              <w:t>Disease category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558" w:rsidRPr="00DA2B25" w:rsidRDefault="00066558" w:rsidP="000F572A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b/>
                <w:sz w:val="24"/>
                <w:szCs w:val="24"/>
                <w:lang w:val="en-US"/>
              </w:rPr>
              <w:t>Treatment</w:t>
            </w:r>
          </w:p>
        </w:tc>
      </w:tr>
      <w:tr w:rsidR="00066558" w:rsidRPr="00DA2B25" w:rsidTr="00EC761B">
        <w:trPr>
          <w:trHeight w:val="291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66558" w:rsidRPr="00DA2B25" w:rsidRDefault="00066558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Unifocal</w:t>
            </w:r>
            <w:proofErr w:type="spellEnd"/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 xml:space="preserve"> LCH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66558" w:rsidRPr="00DA2B25" w:rsidRDefault="00066558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</w:tc>
      </w:tr>
      <w:tr w:rsidR="000F572A" w:rsidRPr="00DA2B25" w:rsidTr="00EC761B">
        <w:trPr>
          <w:trHeight w:val="733"/>
        </w:trPr>
        <w:tc>
          <w:tcPr>
            <w:tcW w:w="3369" w:type="dxa"/>
            <w:vMerge w:val="restart"/>
            <w:vAlign w:val="center"/>
          </w:tcPr>
          <w:p w:rsidR="000F572A" w:rsidRPr="00DA2B25" w:rsidRDefault="000F572A" w:rsidP="005C377F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Skin</w:t>
            </w:r>
          </w:p>
          <w:p w:rsidR="000F572A" w:rsidRPr="00DA2B25" w:rsidRDefault="000F572A" w:rsidP="005C377F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  <w:p w:rsidR="000F572A" w:rsidRPr="00DA2B25" w:rsidRDefault="000F572A" w:rsidP="005C377F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  <w:p w:rsidR="000F572A" w:rsidRPr="00DA2B25" w:rsidRDefault="000F572A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F572A" w:rsidRPr="00DA2B25" w:rsidRDefault="000F572A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Local therapy (</w:t>
            </w:r>
            <w:r w:rsidRPr="00DA2B25">
              <w:rPr>
                <w:rFonts w:ascii="Book Antiqua" w:eastAsia="Times New Roman" w:hAnsi="Book Antiqua"/>
                <w:i/>
                <w:iCs/>
                <w:sz w:val="24"/>
                <w:szCs w:val="24"/>
                <w:lang w:val="en-US" w:eastAsia="it-IT"/>
              </w:rPr>
              <w:t>e.g.</w:t>
            </w: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, topical mustard nitrogen 20% in children)</w:t>
            </w:r>
          </w:p>
        </w:tc>
      </w:tr>
      <w:tr w:rsidR="000F572A" w:rsidRPr="00DA2B25" w:rsidTr="00EC761B">
        <w:trPr>
          <w:trHeight w:val="1498"/>
        </w:trPr>
        <w:tc>
          <w:tcPr>
            <w:tcW w:w="3369" w:type="dxa"/>
            <w:vMerge/>
            <w:vAlign w:val="center"/>
          </w:tcPr>
          <w:p w:rsidR="000F572A" w:rsidRPr="00DA2B25" w:rsidRDefault="000F572A" w:rsidP="005C377F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</w:tc>
        <w:tc>
          <w:tcPr>
            <w:tcW w:w="6662" w:type="dxa"/>
            <w:vAlign w:val="center"/>
          </w:tcPr>
          <w:p w:rsidR="000F572A" w:rsidRPr="00DA2B25" w:rsidRDefault="000F572A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Phototherapy: PUVA, narrow band ultraviolet B</w:t>
            </w:r>
          </w:p>
        </w:tc>
      </w:tr>
      <w:tr w:rsidR="005C377F" w:rsidRPr="00DA2B25" w:rsidTr="00EC761B">
        <w:trPr>
          <w:trHeight w:val="991"/>
        </w:trPr>
        <w:tc>
          <w:tcPr>
            <w:tcW w:w="3369" w:type="dxa"/>
            <w:vMerge w:val="restart"/>
            <w:vAlign w:val="center"/>
          </w:tcPr>
          <w:p w:rsidR="005C377F" w:rsidRPr="00DA2B25" w:rsidRDefault="005C377F" w:rsidP="005C377F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Bone </w:t>
            </w:r>
          </w:p>
          <w:p w:rsidR="005C377F" w:rsidRPr="00DA2B25" w:rsidRDefault="005C377F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77F" w:rsidRPr="00DA2B25" w:rsidRDefault="005C377F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C377F" w:rsidRPr="00DA2B25" w:rsidRDefault="005C377F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Intralesional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 steroid injection (40-160 mg methylprednisolone)</w:t>
            </w:r>
          </w:p>
        </w:tc>
      </w:tr>
      <w:tr w:rsidR="005C377F" w:rsidRPr="00DA2B25" w:rsidTr="00EC761B">
        <w:trPr>
          <w:trHeight w:val="1565"/>
        </w:trPr>
        <w:tc>
          <w:tcPr>
            <w:tcW w:w="3369" w:type="dxa"/>
            <w:vMerge/>
            <w:vAlign w:val="center"/>
          </w:tcPr>
          <w:p w:rsidR="005C377F" w:rsidRPr="00DA2B25" w:rsidRDefault="005C377F" w:rsidP="005C377F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</w:tc>
        <w:tc>
          <w:tcPr>
            <w:tcW w:w="6662" w:type="dxa"/>
            <w:vAlign w:val="center"/>
          </w:tcPr>
          <w:p w:rsidR="005C377F" w:rsidRPr="00DA2B25" w:rsidRDefault="005C377F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Radiotherapy (in case of neurological deficit, soft tissue involvement)</w:t>
            </w:r>
          </w:p>
        </w:tc>
      </w:tr>
      <w:tr w:rsidR="00066558" w:rsidRPr="00DA2B25" w:rsidTr="00EC761B">
        <w:trPr>
          <w:trHeight w:val="1240"/>
        </w:trPr>
        <w:tc>
          <w:tcPr>
            <w:tcW w:w="3369" w:type="dxa"/>
            <w:vAlign w:val="center"/>
          </w:tcPr>
          <w:p w:rsidR="00066558" w:rsidRPr="00DA2B25" w:rsidRDefault="00066558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Multifocal SS-LCH</w:t>
            </w:r>
          </w:p>
          <w:p w:rsidR="00066558" w:rsidRPr="00DA2B25" w:rsidRDefault="00066558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Without “organ risk”</w:t>
            </w:r>
          </w:p>
        </w:tc>
        <w:tc>
          <w:tcPr>
            <w:tcW w:w="6662" w:type="dxa"/>
            <w:vAlign w:val="center"/>
          </w:tcPr>
          <w:p w:rsidR="00066558" w:rsidRPr="00DA2B25" w:rsidRDefault="00066558" w:rsidP="000F572A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066558" w:rsidRPr="00DA2B25" w:rsidRDefault="00066558" w:rsidP="000F572A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066558" w:rsidRPr="00DA2B25" w:rsidRDefault="00066558" w:rsidP="000F572A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D563E5" w:rsidRPr="00DA2B25" w:rsidTr="00EC761B">
        <w:trPr>
          <w:trHeight w:val="388"/>
        </w:trPr>
        <w:tc>
          <w:tcPr>
            <w:tcW w:w="3369" w:type="dxa"/>
            <w:vAlign w:val="center"/>
          </w:tcPr>
          <w:p w:rsidR="00D563E5" w:rsidRPr="00DA2B25" w:rsidRDefault="00D563E5" w:rsidP="00D563E5">
            <w:pPr>
              <w:pStyle w:val="ae"/>
              <w:adjustRightInd w:val="0"/>
              <w:snapToGrid w:val="0"/>
              <w:spacing w:after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SS-LCH (bone lesions)</w:t>
            </w: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Zoledronic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 acid</w:t>
            </w:r>
          </w:p>
        </w:tc>
      </w:tr>
      <w:tr w:rsidR="00D563E5" w:rsidRPr="00DA2B25" w:rsidTr="00EC761B">
        <w:trPr>
          <w:trHeight w:val="462"/>
        </w:trPr>
        <w:tc>
          <w:tcPr>
            <w:tcW w:w="3369" w:type="dxa"/>
            <w:vMerge w:val="restart"/>
            <w:vAlign w:val="center"/>
          </w:tcPr>
          <w:p w:rsidR="00D563E5" w:rsidRPr="00DA2B25" w:rsidRDefault="00D563E5" w:rsidP="00D563E5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SS-LCH (skin)</w:t>
            </w:r>
          </w:p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Methotrexate 20 mg per week 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p.o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/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i.v.</w:t>
            </w:r>
            <w:proofErr w:type="spellEnd"/>
          </w:p>
        </w:tc>
      </w:tr>
      <w:tr w:rsidR="00D563E5" w:rsidRPr="00DA2B25" w:rsidTr="00EC761B">
        <w:trPr>
          <w:trHeight w:val="535"/>
        </w:trPr>
        <w:tc>
          <w:tcPr>
            <w:tcW w:w="3369" w:type="dxa"/>
            <w:vMerge/>
            <w:vAlign w:val="center"/>
          </w:tcPr>
          <w:p w:rsidR="00D563E5" w:rsidRPr="00DA2B25" w:rsidRDefault="00D563E5" w:rsidP="00D563E5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Azathioprine 2 mg/kg/d p.o.</w:t>
            </w:r>
          </w:p>
        </w:tc>
      </w:tr>
      <w:tr w:rsidR="00D563E5" w:rsidRPr="00DA2B25" w:rsidTr="00EC761B">
        <w:trPr>
          <w:trHeight w:val="766"/>
        </w:trPr>
        <w:tc>
          <w:tcPr>
            <w:tcW w:w="3369" w:type="dxa"/>
            <w:vMerge/>
            <w:vAlign w:val="center"/>
          </w:tcPr>
          <w:p w:rsidR="00D563E5" w:rsidRPr="00DA2B25" w:rsidRDefault="00D563E5" w:rsidP="00D563E5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Thalidomide 100 mg/die 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p.o.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 (skin or soft tissue multifocal SS-LCH if symptomatic).</w:t>
            </w:r>
          </w:p>
        </w:tc>
      </w:tr>
      <w:tr w:rsidR="00D563E5" w:rsidRPr="00DA2B25" w:rsidTr="00EC761B">
        <w:trPr>
          <w:trHeight w:val="350"/>
        </w:trPr>
        <w:tc>
          <w:tcPr>
            <w:tcW w:w="3369" w:type="dxa"/>
            <w:vMerge w:val="restart"/>
            <w:vAlign w:val="center"/>
          </w:tcPr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Symptomatic MS-LCH</w:t>
            </w:r>
          </w:p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Without “risk organs”</w:t>
            </w: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Cytarabine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 100 mg/m2 d1-5 q4w 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i.v.</w:t>
            </w:r>
            <w:proofErr w:type="spellEnd"/>
          </w:p>
        </w:tc>
      </w:tr>
      <w:tr w:rsidR="00D563E5" w:rsidRPr="00DA2B25" w:rsidTr="00EC761B">
        <w:trPr>
          <w:trHeight w:val="400"/>
        </w:trPr>
        <w:tc>
          <w:tcPr>
            <w:tcW w:w="3369" w:type="dxa"/>
            <w:vMerge/>
            <w:vAlign w:val="center"/>
          </w:tcPr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Etoposide 100 mg/m2 d1-5 q4w 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i.v.</w:t>
            </w:r>
            <w:proofErr w:type="spellEnd"/>
          </w:p>
        </w:tc>
      </w:tr>
      <w:tr w:rsidR="00D563E5" w:rsidRPr="00DA2B25" w:rsidTr="00EC761B">
        <w:trPr>
          <w:trHeight w:val="508"/>
        </w:trPr>
        <w:tc>
          <w:tcPr>
            <w:tcW w:w="3369" w:type="dxa"/>
            <w:vMerge/>
            <w:vAlign w:val="center"/>
          </w:tcPr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Vinblastin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/Prednisone (“pediatric like schedule)”</w:t>
            </w:r>
          </w:p>
        </w:tc>
      </w:tr>
      <w:tr w:rsidR="00066558" w:rsidRPr="00DA2B25" w:rsidTr="00EC761B">
        <w:tc>
          <w:tcPr>
            <w:tcW w:w="3369" w:type="dxa"/>
            <w:vAlign w:val="center"/>
          </w:tcPr>
          <w:p w:rsidR="00066558" w:rsidRPr="00DA2B25" w:rsidRDefault="00066558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MS-LCH with “risk organs”</w:t>
            </w:r>
          </w:p>
        </w:tc>
        <w:tc>
          <w:tcPr>
            <w:tcW w:w="6662" w:type="dxa"/>
            <w:vAlign w:val="center"/>
          </w:tcPr>
          <w:p w:rsidR="00066558" w:rsidRPr="00DA2B25" w:rsidRDefault="00066558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2-CDA 6 mg/m2 d1-5 q4w 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s.c.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/</w:t>
            </w: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i.v.</w:t>
            </w:r>
            <w:proofErr w:type="spellEnd"/>
          </w:p>
        </w:tc>
      </w:tr>
      <w:tr w:rsidR="00D563E5" w:rsidRPr="00DA2B25" w:rsidTr="00EC761B">
        <w:trPr>
          <w:trHeight w:val="375"/>
        </w:trPr>
        <w:tc>
          <w:tcPr>
            <w:tcW w:w="3369" w:type="dxa"/>
            <w:vMerge w:val="restart"/>
            <w:vAlign w:val="center"/>
          </w:tcPr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 xml:space="preserve">PLCH asymptomatic </w:t>
            </w: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Quit smoking</w:t>
            </w:r>
          </w:p>
        </w:tc>
      </w:tr>
      <w:tr w:rsidR="00D563E5" w:rsidRPr="00DA2B25" w:rsidTr="00EC761B">
        <w:trPr>
          <w:trHeight w:val="1407"/>
        </w:trPr>
        <w:tc>
          <w:tcPr>
            <w:tcW w:w="3369" w:type="dxa"/>
            <w:vMerge/>
            <w:vAlign w:val="center"/>
          </w:tcPr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Careful observation</w:t>
            </w:r>
          </w:p>
        </w:tc>
      </w:tr>
      <w:tr w:rsidR="00D563E5" w:rsidRPr="00DA2B25" w:rsidTr="00EC761B">
        <w:trPr>
          <w:trHeight w:val="466"/>
        </w:trPr>
        <w:tc>
          <w:tcPr>
            <w:tcW w:w="3369" w:type="dxa"/>
            <w:vMerge w:val="restart"/>
            <w:vAlign w:val="center"/>
          </w:tcPr>
          <w:p w:rsidR="00D563E5" w:rsidRPr="00DA2B25" w:rsidRDefault="00D563E5" w:rsidP="005C377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hAnsi="Book Antiqua"/>
                <w:sz w:val="24"/>
                <w:szCs w:val="24"/>
                <w:lang w:val="en-US"/>
              </w:rPr>
              <w:t>PLCH symptomatic</w:t>
            </w: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proofErr w:type="spellStart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Sistemic</w:t>
            </w:r>
            <w:proofErr w:type="spellEnd"/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 xml:space="preserve"> steroids</w:t>
            </w:r>
          </w:p>
        </w:tc>
      </w:tr>
      <w:tr w:rsidR="00D563E5" w:rsidRPr="00DA2B25" w:rsidTr="00EC761B">
        <w:trPr>
          <w:trHeight w:val="833"/>
        </w:trPr>
        <w:tc>
          <w:tcPr>
            <w:tcW w:w="3369" w:type="dxa"/>
            <w:vMerge/>
            <w:vAlign w:val="center"/>
          </w:tcPr>
          <w:p w:rsidR="00D563E5" w:rsidRPr="00DA2B25" w:rsidRDefault="00D563E5" w:rsidP="00D563E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Chemotherapy in case of progressive disease</w:t>
            </w:r>
          </w:p>
        </w:tc>
      </w:tr>
      <w:tr w:rsidR="00D563E5" w:rsidRPr="00DA2B25" w:rsidTr="00EC761B">
        <w:trPr>
          <w:trHeight w:val="1823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D563E5" w:rsidRPr="00DA2B25" w:rsidRDefault="00D563E5" w:rsidP="00D563E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563E5" w:rsidRPr="00DA2B25" w:rsidRDefault="00D563E5" w:rsidP="000F572A">
            <w:pPr>
              <w:pStyle w:val="ae"/>
              <w:adjustRightInd w:val="0"/>
              <w:snapToGrid w:val="0"/>
              <w:spacing w:after="0" w:line="360" w:lineRule="auto"/>
              <w:ind w:left="0"/>
              <w:contextualSpacing w:val="0"/>
              <w:jc w:val="center"/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</w:pPr>
            <w:r w:rsidRPr="00DA2B25">
              <w:rPr>
                <w:rFonts w:ascii="Book Antiqua" w:eastAsia="Times New Roman" w:hAnsi="Book Antiqua"/>
                <w:sz w:val="24"/>
                <w:szCs w:val="24"/>
                <w:lang w:val="en-US" w:eastAsia="it-IT"/>
              </w:rPr>
              <w:t>In case of severe respiratory failure or major pulmonary failure consider lung transplantation</w:t>
            </w:r>
          </w:p>
        </w:tc>
      </w:tr>
    </w:tbl>
    <w:p w:rsidR="00120888" w:rsidRPr="00DA2B25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t xml:space="preserve">LCH: Langerhans </w:t>
      </w:r>
      <w:r w:rsidR="00E04C52" w:rsidRPr="00DA2B25">
        <w:rPr>
          <w:rFonts w:ascii="Book Antiqua" w:hAnsi="Book Antiqua"/>
          <w:sz w:val="24"/>
          <w:szCs w:val="24"/>
          <w:lang w:val="en-US"/>
        </w:rPr>
        <w:t xml:space="preserve">cell </w:t>
      </w:r>
      <w:proofErr w:type="spellStart"/>
      <w:r w:rsidR="00E04C52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F10134" w:rsidRPr="00DA2B25">
        <w:rPr>
          <w:rFonts w:ascii="Book Antiqua" w:hAnsi="Book Antiqua"/>
          <w:sz w:val="24"/>
          <w:szCs w:val="24"/>
          <w:lang w:val="en-US"/>
        </w:rPr>
        <w:t>;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SS-LCH: </w:t>
      </w:r>
      <w:r w:rsidR="00D563E5" w:rsidRPr="00DA2B25">
        <w:rPr>
          <w:rFonts w:ascii="Book Antiqua" w:hAnsi="Book Antiqua"/>
          <w:sz w:val="24"/>
          <w:szCs w:val="24"/>
          <w:lang w:val="en-US"/>
        </w:rPr>
        <w:t>S</w:t>
      </w:r>
      <w:r w:rsidR="00E04C52" w:rsidRPr="00DA2B25">
        <w:rPr>
          <w:rFonts w:ascii="Book Antiqua" w:hAnsi="Book Antiqua"/>
          <w:sz w:val="24"/>
          <w:szCs w:val="24"/>
          <w:lang w:val="en-US"/>
        </w:rPr>
        <w:t xml:space="preserve">ingle-system </w:t>
      </w:r>
      <w:r w:rsidR="00F10134" w:rsidRPr="00DA2B25">
        <w:rPr>
          <w:rFonts w:ascii="Book Antiqua" w:hAnsi="Book Antiqua"/>
          <w:sz w:val="24"/>
          <w:szCs w:val="24"/>
          <w:lang w:val="en-US"/>
        </w:rPr>
        <w:t xml:space="preserve">Langerhans cell </w:t>
      </w:r>
      <w:proofErr w:type="spellStart"/>
      <w:r w:rsidR="00F10134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D563E5" w:rsidRPr="00DA2B25">
        <w:rPr>
          <w:rFonts w:ascii="Book Antiqua" w:hAnsi="Book Antiqua"/>
          <w:sz w:val="24"/>
          <w:szCs w:val="24"/>
          <w:lang w:val="en-US"/>
        </w:rPr>
        <w:t>;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MS-LCH: </w:t>
      </w:r>
      <w:r w:rsidR="00D563E5" w:rsidRPr="00DA2B25">
        <w:rPr>
          <w:rFonts w:ascii="Book Antiqua" w:hAnsi="Book Antiqua"/>
          <w:sz w:val="24"/>
          <w:szCs w:val="24"/>
          <w:lang w:val="en-US"/>
        </w:rPr>
        <w:t>M</w:t>
      </w:r>
      <w:r w:rsidR="00E04C52" w:rsidRPr="00DA2B25">
        <w:rPr>
          <w:rFonts w:ascii="Book Antiqua" w:hAnsi="Book Antiqua"/>
          <w:sz w:val="24"/>
          <w:szCs w:val="24"/>
          <w:lang w:val="en-US"/>
        </w:rPr>
        <w:t xml:space="preserve">ultisystem </w:t>
      </w:r>
      <w:r w:rsidR="00F10134" w:rsidRPr="00DA2B25">
        <w:rPr>
          <w:rFonts w:ascii="Book Antiqua" w:hAnsi="Book Antiqua"/>
          <w:sz w:val="24"/>
          <w:szCs w:val="24"/>
          <w:lang w:val="en-US"/>
        </w:rPr>
        <w:t xml:space="preserve">Langerhans cell </w:t>
      </w:r>
      <w:proofErr w:type="spellStart"/>
      <w:r w:rsidR="00F10134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D563E5" w:rsidRPr="00DA2B25">
        <w:rPr>
          <w:rFonts w:ascii="Book Antiqua" w:hAnsi="Book Antiqua"/>
          <w:sz w:val="24"/>
          <w:szCs w:val="24"/>
          <w:lang w:val="en-US"/>
        </w:rPr>
        <w:t>;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P-LCH: </w:t>
      </w:r>
      <w:r w:rsidR="00D563E5" w:rsidRPr="00DA2B25">
        <w:rPr>
          <w:rFonts w:ascii="Book Antiqua" w:hAnsi="Book Antiqua"/>
          <w:sz w:val="24"/>
          <w:szCs w:val="24"/>
          <w:lang w:val="en-US"/>
        </w:rPr>
        <w:t>P</w:t>
      </w:r>
      <w:r w:rsidR="00E04C52" w:rsidRPr="00DA2B25">
        <w:rPr>
          <w:rFonts w:ascii="Book Antiqua" w:hAnsi="Book Antiqua"/>
          <w:sz w:val="24"/>
          <w:szCs w:val="24"/>
          <w:lang w:val="en-US"/>
        </w:rPr>
        <w:t>ulmonary</w:t>
      </w:r>
      <w:r w:rsidR="00F10134" w:rsidRPr="00DA2B25">
        <w:rPr>
          <w:rFonts w:ascii="Book Antiqua" w:hAnsi="Book Antiqua"/>
          <w:sz w:val="24"/>
          <w:szCs w:val="24"/>
          <w:lang w:val="en-US"/>
        </w:rPr>
        <w:t xml:space="preserve"> Langerhans cell </w:t>
      </w:r>
      <w:proofErr w:type="spellStart"/>
      <w:r w:rsidR="00F10134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D563E5" w:rsidRPr="00DA2B25">
        <w:rPr>
          <w:rFonts w:ascii="Book Antiqua" w:hAnsi="Book Antiqua"/>
          <w:sz w:val="24"/>
          <w:szCs w:val="24"/>
          <w:lang w:val="en-US"/>
        </w:rPr>
        <w:t>;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Risk Organs: </w:t>
      </w:r>
      <w:r w:rsidR="00D563E5" w:rsidRPr="00DA2B25">
        <w:rPr>
          <w:rFonts w:ascii="Book Antiqua" w:hAnsi="Book Antiqua"/>
          <w:sz w:val="24"/>
          <w:szCs w:val="24"/>
          <w:lang w:val="en-US"/>
        </w:rPr>
        <w:t>H</w:t>
      </w:r>
      <w:r w:rsidR="00E04C52" w:rsidRPr="00DA2B25">
        <w:rPr>
          <w:rFonts w:ascii="Book Antiqua" w:hAnsi="Book Antiqua"/>
          <w:sz w:val="24"/>
          <w:szCs w:val="24"/>
          <w:lang w:val="en-US"/>
        </w:rPr>
        <w:t xml:space="preserve">ematopoietic 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system, spleen, liver, </w:t>
      </w:r>
      <w:r w:rsidR="00E04C52" w:rsidRPr="00DA2B25">
        <w:rPr>
          <w:rFonts w:ascii="Book Antiqua" w:hAnsi="Book Antiqua"/>
          <w:sz w:val="24"/>
          <w:szCs w:val="24"/>
          <w:lang w:val="en-US"/>
        </w:rPr>
        <w:t xml:space="preserve">and </w:t>
      </w:r>
      <w:r w:rsidRPr="00DA2B25">
        <w:rPr>
          <w:rFonts w:ascii="Book Antiqua" w:hAnsi="Book Antiqua"/>
          <w:sz w:val="24"/>
          <w:szCs w:val="24"/>
          <w:lang w:val="en-US"/>
        </w:rPr>
        <w:t>central nervous system</w:t>
      </w:r>
      <w:r w:rsidR="00201DB3" w:rsidRPr="00DA2B25">
        <w:rPr>
          <w:rFonts w:ascii="Book Antiqua" w:hAnsi="Book Antiqua"/>
          <w:sz w:val="24"/>
          <w:szCs w:val="24"/>
          <w:lang w:val="en-US"/>
        </w:rPr>
        <w:t xml:space="preserve">; </w:t>
      </w:r>
      <w:r w:rsidR="00201DB3" w:rsidRPr="00DA2B25">
        <w:rPr>
          <w:rFonts w:ascii="Book Antiqua" w:eastAsia="Times New Roman" w:hAnsi="Book Antiqua"/>
          <w:sz w:val="24"/>
          <w:szCs w:val="24"/>
          <w:lang w:val="en-US"/>
        </w:rPr>
        <w:t xml:space="preserve">PUVA: </w:t>
      </w:r>
      <w:proofErr w:type="spellStart"/>
      <w:r w:rsidR="00201DB3" w:rsidRPr="00DA2B25">
        <w:rPr>
          <w:rFonts w:ascii="Book Antiqua" w:eastAsia="Times New Roman" w:hAnsi="Book Antiqua"/>
          <w:sz w:val="24"/>
          <w:szCs w:val="24"/>
          <w:lang w:val="en-US"/>
        </w:rPr>
        <w:t>Psolaren</w:t>
      </w:r>
      <w:proofErr w:type="spellEnd"/>
      <w:r w:rsidR="00201DB3" w:rsidRPr="00DA2B25">
        <w:rPr>
          <w:rFonts w:ascii="Book Antiqua" w:eastAsia="Times New Roman" w:hAnsi="Book Antiqua"/>
          <w:sz w:val="24"/>
          <w:szCs w:val="24"/>
          <w:lang w:val="en-US"/>
        </w:rPr>
        <w:t xml:space="preserve"> plus ultraviolet A</w:t>
      </w:r>
      <w:r w:rsidR="00873BF1" w:rsidRPr="00DA2B25">
        <w:rPr>
          <w:rFonts w:ascii="Book Antiqua" w:eastAsia="Times New Roman" w:hAnsi="Book Antiqua"/>
          <w:sz w:val="24"/>
          <w:szCs w:val="24"/>
          <w:lang w:val="en-US"/>
        </w:rPr>
        <w:t>.</w:t>
      </w:r>
    </w:p>
    <w:p w:rsidR="00F10134" w:rsidRPr="00DA2B25" w:rsidRDefault="00F10134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  <w:sectPr w:rsidR="00F10134" w:rsidRPr="00DA2B25" w:rsidSect="003E714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26742D" w:rsidRPr="00DA2B25" w:rsidRDefault="00120888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DA2B25">
        <w:rPr>
          <w:rFonts w:ascii="Book Antiqua" w:hAnsi="Book Antiqua"/>
          <w:b/>
          <w:bCs/>
          <w:sz w:val="24"/>
          <w:szCs w:val="24"/>
          <w:lang w:val="en-US"/>
        </w:rPr>
        <w:t xml:space="preserve">Table 2 List of case reports on </w:t>
      </w:r>
      <w:r w:rsidR="00033889" w:rsidRPr="00DA2B25">
        <w:rPr>
          <w:rFonts w:ascii="Book Antiqua" w:hAnsi="Book Antiqua"/>
          <w:b/>
          <w:bCs/>
          <w:sz w:val="24"/>
          <w:szCs w:val="24"/>
          <w:lang w:val="en-US"/>
        </w:rPr>
        <w:t>immunomodulatory drugs</w:t>
      </w:r>
      <w:r w:rsidRPr="00DA2B25">
        <w:rPr>
          <w:rFonts w:ascii="Book Antiqua" w:hAnsi="Book Antiqua"/>
          <w:b/>
          <w:bCs/>
          <w:sz w:val="24"/>
          <w:szCs w:val="24"/>
          <w:lang w:val="en-US"/>
        </w:rPr>
        <w:t xml:space="preserve"> in </w:t>
      </w:r>
      <w:proofErr w:type="spellStart"/>
      <w:r w:rsidR="00033889" w:rsidRPr="00DA2B25">
        <w:rPr>
          <w:rFonts w:ascii="Book Antiqua" w:hAnsi="Book Antiqua"/>
          <w:b/>
          <w:bCs/>
          <w:sz w:val="24"/>
          <w:szCs w:val="24"/>
          <w:lang w:val="en-US"/>
        </w:rPr>
        <w:t>langerhans</w:t>
      </w:r>
      <w:proofErr w:type="spellEnd"/>
      <w:r w:rsidR="00033889" w:rsidRPr="00DA2B25">
        <w:rPr>
          <w:rFonts w:ascii="Book Antiqua" w:hAnsi="Book Antiqua"/>
          <w:b/>
          <w:bCs/>
          <w:sz w:val="24"/>
          <w:szCs w:val="24"/>
          <w:lang w:val="en-US"/>
        </w:rPr>
        <w:t xml:space="preserve"> cell </w:t>
      </w:r>
      <w:proofErr w:type="spellStart"/>
      <w:r w:rsidR="00033889" w:rsidRPr="00DA2B25">
        <w:rPr>
          <w:rFonts w:ascii="Book Antiqua" w:hAnsi="Book Antiqua"/>
          <w:b/>
          <w:bCs/>
          <w:sz w:val="24"/>
          <w:szCs w:val="24"/>
          <w:lang w:val="en-US"/>
        </w:rPr>
        <w:t>histiocytosis</w:t>
      </w:r>
      <w:proofErr w:type="spellEnd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1259"/>
        <w:gridCol w:w="460"/>
        <w:gridCol w:w="418"/>
        <w:gridCol w:w="1096"/>
        <w:gridCol w:w="4184"/>
        <w:gridCol w:w="1558"/>
        <w:gridCol w:w="1982"/>
        <w:gridCol w:w="1316"/>
      </w:tblGrid>
      <w:tr w:rsidR="00732CF2" w:rsidRPr="00DA2B25" w:rsidTr="00F10134">
        <w:trPr>
          <w:trHeight w:val="81"/>
          <w:jc w:val="center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0F572A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Ref.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 xml:space="preserve">Publication </w:t>
            </w:r>
            <w:proofErr w:type="spellStart"/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yr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Age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Sex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SS-LCH (1)</w:t>
            </w:r>
          </w:p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MS-LCH (2)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Previous therapies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IMiDS</w:t>
            </w:r>
            <w:proofErr w:type="spellEnd"/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 xml:space="preserve"> dose</w:t>
            </w:r>
            <w:r w:rsidR="000A666B"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Duration (</w:t>
            </w:r>
            <w:proofErr w:type="spellStart"/>
            <w:r w:rsidR="00141FB4"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mo</w:t>
            </w:r>
            <w:proofErr w:type="spellEnd"/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GB"/>
              </w:rPr>
              <w:t>Out come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Gnassia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r w:rsidRPr="00DA2B25">
              <w:rPr>
                <w:rFonts w:ascii="Book Antiqua" w:hAnsi="Book Antiqua"/>
                <w:i/>
                <w:iCs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[27]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32</w:t>
            </w: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Viraben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 xml:space="preserve">[43]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1988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48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300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Bensaid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[19]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Misery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[33]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Thomas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[42]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ADS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Thomas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[42]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59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Prednisone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ADS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Dallafior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[23]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1995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Cladribin</w:t>
            </w:r>
            <w:proofErr w:type="spellEnd"/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200-100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Meunier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[32]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1995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66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Bouyssou-Gauthier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[21]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1996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68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11ADC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Cyclophosphmide/steroids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NA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NA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11ADC" w:rsidRPr="00DA2B25" w:rsidRDefault="00311ADC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ADS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Gerlach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[26]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1998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73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Etoposide/topical mustard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Lair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[29]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1998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33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RT/surgery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ADS</w:t>
            </w:r>
          </w:p>
        </w:tc>
      </w:tr>
      <w:tr w:rsidR="00732CF2" w:rsidRPr="00DA2B25" w:rsidTr="00F10134">
        <w:trPr>
          <w:trHeight w:val="26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Claudon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[22]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2002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44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Metotrexate/steroids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Kolde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[28]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2002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>50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ADS</w:t>
            </w:r>
          </w:p>
        </w:tc>
      </w:tr>
      <w:tr w:rsidR="00732CF2" w:rsidRPr="00DA2B25" w:rsidTr="00F10134">
        <w:trPr>
          <w:trHeight w:val="565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Kolde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[28]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Prednisone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500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ADS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Mortazavi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r w:rsidR="00141FB4"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[35]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ADS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Santillan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[38]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RT/surgery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Padula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[36]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RT/surgery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Sander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[37]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Cladrib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in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Mauro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[31]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CVP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Alioua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[17]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Moravvej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[34]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PUVA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Wollina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[44]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Cladribin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AC70DB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Broekaert</w:t>
            </w:r>
            <w:r w:rsidR="003356E9"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3356E9"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="003356E9"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[20]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McClain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[10]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Vinorelbine/prednisone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NR/PD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McClain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[10]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Vinore</w:t>
            </w: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lbine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/prednisone/RT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0,5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NR/PD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McClain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[10]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Vinorelbine/prednisone/RT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McClain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[10]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Vinorelbine/prednisone/RT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Li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[30]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2010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bookmarkStart w:id="155" w:name="OLE_LINK12"/>
            <w:bookmarkStart w:id="156" w:name="OLE_LINK13"/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Fernandes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 xml:space="preserve"> </w:t>
            </w:r>
            <w:bookmarkEnd w:id="155"/>
            <w:bookmarkEnd w:id="156"/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en-GB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[25]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2011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fr-BE"/>
              </w:rPr>
              <w:t xml:space="preserve">Shahidi-Dadras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  <w:lang w:val="fr-BE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[39]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2011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Topical steroid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200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Szturz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[41]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201</w:t>
            </w:r>
            <w:r w:rsidR="00F028FD"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A666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0A666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A666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Cladribin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/ Cyclophosphamide </w:t>
            </w:r>
            <w:proofErr w:type="spellStart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methilprednisolone</w:t>
            </w:r>
            <w:proofErr w:type="spellEnd"/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/RT/CHOEP/BEAM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A666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Lena 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A666B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ADR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El-safadi </w:t>
            </w:r>
            <w:r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[24]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Surgery/RT/MTX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Lena 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</w:tcPr>
          <w:p w:rsidR="003356E9" w:rsidRPr="00DA2B25" w:rsidRDefault="00AC70DB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Subramaniyan</w:t>
            </w:r>
            <w:r w:rsidR="003356E9"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et al</w:t>
            </w:r>
            <w:r w:rsidR="003356E9"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[40]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M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NAD</w:t>
            </w:r>
          </w:p>
        </w:tc>
      </w:tr>
      <w:tr w:rsidR="00732CF2" w:rsidRPr="00DA2B25" w:rsidTr="00F10134">
        <w:trPr>
          <w:trHeight w:val="81"/>
          <w:jc w:val="center"/>
        </w:trPr>
        <w:tc>
          <w:tcPr>
            <w:tcW w:w="746" w:type="pct"/>
            <w:shd w:val="clear" w:color="auto" w:fill="auto"/>
            <w:noWrap/>
            <w:vAlign w:val="center"/>
          </w:tcPr>
          <w:p w:rsidR="003356E9" w:rsidRPr="00DA2B25" w:rsidRDefault="006803B4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sz w:val="24"/>
                <w:szCs w:val="24"/>
              </w:rPr>
              <w:t xml:space="preserve">Ruiz </w:t>
            </w:r>
            <w:r w:rsidR="003356E9" w:rsidRPr="00DA2B25">
              <w:rPr>
                <w:rFonts w:ascii="Book Antiqua" w:hAnsi="Book Antiqua"/>
                <w:color w:val="000000"/>
                <w:sz w:val="24"/>
                <w:szCs w:val="24"/>
              </w:rPr>
              <w:t xml:space="preserve">Beguerie </w:t>
            </w:r>
            <w:r w:rsidR="003356E9" w:rsidRPr="00DA2B25">
              <w:rPr>
                <w:rFonts w:ascii="Book Antiqua" w:hAnsi="Book Antiqua"/>
                <w:i/>
                <w:color w:val="000000"/>
                <w:sz w:val="24"/>
                <w:szCs w:val="24"/>
              </w:rPr>
              <w:t>et al</w:t>
            </w:r>
            <w:r w:rsidR="003356E9" w:rsidRPr="00DA2B25">
              <w:rPr>
                <w:rFonts w:ascii="Book Antiqua" w:hAnsi="Book Antiqua"/>
                <w:color w:val="000000"/>
                <w:sz w:val="24"/>
                <w:szCs w:val="24"/>
                <w:vertAlign w:val="superscript"/>
                <w:lang w:val="en-GB"/>
              </w:rPr>
              <w:t>[18]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3356E9" w:rsidRPr="00DA2B25" w:rsidRDefault="000A666B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</w:rPr>
              <w:t>N</w:t>
            </w: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o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150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356E9" w:rsidRPr="00DA2B25" w:rsidRDefault="003356E9" w:rsidP="00732CF2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</w:pPr>
            <w:r w:rsidRPr="00DA2B25">
              <w:rPr>
                <w:rFonts w:ascii="Book Antiqua" w:hAnsi="Book Antiqua"/>
                <w:color w:val="000000"/>
                <w:sz w:val="24"/>
                <w:szCs w:val="24"/>
                <w:lang w:val="en-GB"/>
              </w:rPr>
              <w:t>NAD</w:t>
            </w:r>
          </w:p>
        </w:tc>
      </w:tr>
    </w:tbl>
    <w:p w:rsidR="008A0D34" w:rsidRPr="00DA2B25" w:rsidRDefault="00732CF2" w:rsidP="008A0D3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A2B25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Dose in mg/d. 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MS-LCH</w:t>
      </w:r>
      <w:r w:rsidR="000A666B" w:rsidRPr="00DA2B25"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="000A666B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Multis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ystem Langerhans </w:t>
      </w:r>
      <w:r w:rsidR="00650D4F" w:rsidRPr="00DA2B25">
        <w:rPr>
          <w:rFonts w:ascii="Book Antiqua" w:hAnsi="Book Antiqua"/>
          <w:sz w:val="24"/>
          <w:szCs w:val="24"/>
          <w:lang w:val="en-US"/>
        </w:rPr>
        <w:t xml:space="preserve">cell </w:t>
      </w:r>
      <w:proofErr w:type="spellStart"/>
      <w:r w:rsidR="00650D4F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0A666B" w:rsidRPr="00DA2B25">
        <w:rPr>
          <w:rFonts w:ascii="Book Antiqua" w:hAnsi="Book Antiqua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SS-LCH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S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ingle-system </w:t>
      </w:r>
      <w:r w:rsidR="00F10134" w:rsidRPr="00DA2B25">
        <w:rPr>
          <w:rFonts w:ascii="Book Antiqua" w:hAnsi="Book Antiqua"/>
          <w:sz w:val="24"/>
          <w:szCs w:val="24"/>
          <w:lang w:val="en-US"/>
        </w:rPr>
        <w:t>L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angerhans </w:t>
      </w:r>
      <w:r w:rsidR="00650D4F" w:rsidRPr="00DA2B25">
        <w:rPr>
          <w:rFonts w:ascii="Book Antiqua" w:hAnsi="Book Antiqua"/>
          <w:sz w:val="24"/>
          <w:szCs w:val="24"/>
          <w:lang w:val="en-US"/>
        </w:rPr>
        <w:t xml:space="preserve">cell </w:t>
      </w:r>
      <w:proofErr w:type="spellStart"/>
      <w:r w:rsidR="00650D4F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0A666B" w:rsidRPr="00DA2B25">
        <w:rPr>
          <w:rFonts w:ascii="Book Antiqua" w:hAnsi="Book Antiqua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RT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R</w:t>
      </w:r>
      <w:r w:rsidR="00650D4F" w:rsidRPr="00DA2B25">
        <w:rPr>
          <w:rFonts w:ascii="Book Antiqua" w:hAnsi="Book Antiqua"/>
          <w:sz w:val="24"/>
          <w:szCs w:val="24"/>
          <w:lang w:val="en-US"/>
        </w:rPr>
        <w:t>adiotherapy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NAD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A666B" w:rsidRPr="00DA2B25">
        <w:rPr>
          <w:rFonts w:ascii="Book Antiqua" w:hAnsi="Book Antiqua"/>
          <w:sz w:val="24"/>
          <w:szCs w:val="24"/>
          <w:lang w:val="en-US"/>
        </w:rPr>
        <w:t>N</w:t>
      </w:r>
      <w:r w:rsidR="00650D4F" w:rsidRPr="00DA2B25">
        <w:rPr>
          <w:rFonts w:ascii="Book Antiqua" w:hAnsi="Book Antiqua"/>
          <w:sz w:val="24"/>
          <w:szCs w:val="24"/>
          <w:lang w:val="en-US"/>
        </w:rPr>
        <w:t>on</w:t>
      </w:r>
      <w:r w:rsidR="000E6EBF" w:rsidRPr="00DA2B25">
        <w:rPr>
          <w:rFonts w:ascii="Book Antiqua" w:hAnsi="Book Antiqua"/>
          <w:sz w:val="24"/>
          <w:szCs w:val="24"/>
          <w:lang w:val="en-US"/>
        </w:rPr>
        <w:t>active</w:t>
      </w:r>
      <w:proofErr w:type="spellEnd"/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ADR</w:t>
      </w:r>
      <w:r w:rsidR="000A666B" w:rsidRPr="00DA2B25">
        <w:rPr>
          <w:rFonts w:ascii="Book Antiqua" w:hAnsi="Book Antiqua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A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>ctive disease regressive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ADS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A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>ctive disease stable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NR/PD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N</w:t>
      </w:r>
      <w:r w:rsidR="00650D4F" w:rsidRPr="00DA2B25">
        <w:rPr>
          <w:rFonts w:ascii="Book Antiqua" w:hAnsi="Book Antiqua" w:cs="Arial"/>
          <w:sz w:val="24"/>
          <w:szCs w:val="24"/>
          <w:lang w:val="en-US"/>
        </w:rPr>
        <w:t>on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>response/progression disease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MTX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M</w:t>
      </w:r>
      <w:r w:rsidR="00650D4F" w:rsidRPr="00DA2B25">
        <w:rPr>
          <w:rFonts w:ascii="Book Antiqua" w:hAnsi="Book Antiqua" w:cs="Arial"/>
          <w:sz w:val="24"/>
          <w:szCs w:val="24"/>
          <w:lang w:val="en-US"/>
        </w:rPr>
        <w:t>ethotrexate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Lena 10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0A666B" w:rsidRPr="00DA2B25">
        <w:rPr>
          <w:rFonts w:ascii="Book Antiqua" w:hAnsi="Book Antiqua" w:cs="Arial"/>
          <w:sz w:val="24"/>
          <w:szCs w:val="24"/>
          <w:lang w:val="en-US"/>
        </w:rPr>
        <w:t>L</w:t>
      </w:r>
      <w:r w:rsidR="00650D4F" w:rsidRPr="00DA2B25">
        <w:rPr>
          <w:rFonts w:ascii="Book Antiqua" w:hAnsi="Book Antiqua" w:cs="Arial"/>
          <w:sz w:val="24"/>
          <w:szCs w:val="24"/>
          <w:lang w:val="en-US"/>
        </w:rPr>
        <w:t>enalidomide</w:t>
      </w:r>
      <w:proofErr w:type="spellEnd"/>
      <w:r w:rsidR="00650D4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>10 mg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Lena 25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0A666B" w:rsidRPr="00DA2B25">
        <w:rPr>
          <w:rFonts w:ascii="Book Antiqua" w:hAnsi="Book Antiqua" w:cs="Arial"/>
          <w:sz w:val="24"/>
          <w:szCs w:val="24"/>
          <w:lang w:val="en-US"/>
        </w:rPr>
        <w:t>L</w:t>
      </w:r>
      <w:r w:rsidR="00650D4F" w:rsidRPr="00DA2B25">
        <w:rPr>
          <w:rFonts w:ascii="Book Antiqua" w:hAnsi="Book Antiqua" w:cs="Arial"/>
          <w:sz w:val="24"/>
          <w:szCs w:val="24"/>
          <w:lang w:val="en-US"/>
        </w:rPr>
        <w:t>enalidomide</w:t>
      </w:r>
      <w:proofErr w:type="spellEnd"/>
      <w:r w:rsidR="00650D4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>25 mg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CVP</w:t>
      </w:r>
      <w:r w:rsidR="000A666B" w:rsidRPr="00DA2B25">
        <w:rPr>
          <w:rFonts w:ascii="Book Antiqua" w:hAnsi="Book Antiqua" w:cs="Arial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yclophosphamide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vincristine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prednisone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CHOEP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yclophosphamide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doxorubicin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vincristine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etoposide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and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prednisone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BEAM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armustine</w:t>
      </w:r>
      <w:proofErr w:type="spellEnd"/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etoposide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proofErr w:type="spellStart"/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cytarabine</w:t>
      </w:r>
      <w:proofErr w:type="spellEnd"/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, </w:t>
      </w:r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and </w:t>
      </w:r>
      <w:proofErr w:type="spellStart"/>
      <w:r w:rsidR="00650D4F" w:rsidRPr="00DA2B25">
        <w:rPr>
          <w:rFonts w:ascii="Book Antiqua" w:hAnsi="Book Antiqua"/>
          <w:color w:val="000000"/>
          <w:sz w:val="24"/>
          <w:szCs w:val="24"/>
          <w:lang w:val="en-US"/>
        </w:rPr>
        <w:t>melphalan</w:t>
      </w:r>
      <w:proofErr w:type="spellEnd"/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PUVA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>hotochemotherapy</w:t>
      </w:r>
      <w:proofErr w:type="spellEnd"/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NA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N</w:t>
      </w:r>
      <w:r w:rsidR="000E6EBF" w:rsidRPr="00DA2B25">
        <w:rPr>
          <w:rFonts w:ascii="Book Antiqua" w:hAnsi="Book Antiqua"/>
          <w:color w:val="000000"/>
          <w:sz w:val="24"/>
          <w:szCs w:val="24"/>
          <w:lang w:val="en-US"/>
        </w:rPr>
        <w:t>ot available</w:t>
      </w:r>
      <w:r w:rsidR="000A666B" w:rsidRPr="00DA2B25">
        <w:rPr>
          <w:rFonts w:ascii="Book Antiqua" w:hAnsi="Book Antiqua"/>
          <w:color w:val="000000"/>
          <w:sz w:val="24"/>
          <w:szCs w:val="24"/>
          <w:lang w:val="en-US"/>
        </w:rPr>
        <w:t>; F: Female; M: Male</w:t>
      </w:r>
      <w:r w:rsidR="008A0D34" w:rsidRPr="00DA2B25">
        <w:rPr>
          <w:rFonts w:ascii="Book Antiqua" w:hAnsi="Book Antiqua"/>
          <w:color w:val="000000"/>
          <w:sz w:val="24"/>
          <w:szCs w:val="24"/>
          <w:lang w:val="en-US"/>
        </w:rPr>
        <w:t xml:space="preserve">; </w:t>
      </w:r>
      <w:proofErr w:type="spellStart"/>
      <w:r w:rsidR="008A0D34" w:rsidRPr="00DA2B25">
        <w:rPr>
          <w:rFonts w:ascii="Book Antiqua" w:eastAsia="Calibri" w:hAnsi="Book Antiqua"/>
          <w:bCs/>
          <w:sz w:val="24"/>
          <w:szCs w:val="24"/>
          <w:lang w:val="en-US"/>
        </w:rPr>
        <w:t>IMiDs</w:t>
      </w:r>
      <w:proofErr w:type="spellEnd"/>
      <w:r w:rsidR="008A0D34" w:rsidRPr="00DA2B25">
        <w:rPr>
          <w:rFonts w:ascii="Book Antiqua" w:eastAsia="Calibri" w:hAnsi="Book Antiqua"/>
          <w:bCs/>
          <w:sz w:val="24"/>
          <w:szCs w:val="24"/>
          <w:lang w:val="en-US"/>
        </w:rPr>
        <w:t xml:space="preserve">: </w:t>
      </w:r>
      <w:r w:rsidR="008A0D34" w:rsidRPr="00DA2B25">
        <w:rPr>
          <w:rFonts w:ascii="Book Antiqua" w:hAnsi="Book Antiqua"/>
          <w:sz w:val="24"/>
          <w:szCs w:val="24"/>
          <w:lang w:val="en-US"/>
        </w:rPr>
        <w:t>Immunomodulatory drugs.</w:t>
      </w:r>
    </w:p>
    <w:p w:rsidR="00170D62" w:rsidRPr="00DA2B25" w:rsidRDefault="00170D62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F10134" w:rsidRPr="00DA2B25" w:rsidRDefault="00F10134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  <w:sectPr w:rsidR="00F10134" w:rsidRPr="00DA2B25" w:rsidSect="00F10134">
          <w:headerReference w:type="default" r:id="rId9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3E7141" w:rsidRPr="00DA2B25" w:rsidRDefault="00170D62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Table 3 Clinical features of all 34 patients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60A77" w:rsidRPr="00DA2B25" w:rsidTr="00C15345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77" w:rsidRPr="00DA2B25" w:rsidRDefault="00170D62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b/>
                <w:sz w:val="24"/>
                <w:szCs w:val="24"/>
                <w:lang w:val="en-GB"/>
              </w:rPr>
              <w:t>Clinical features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  <w:t>All patients (%)</w:t>
            </w:r>
          </w:p>
        </w:tc>
      </w:tr>
      <w:tr w:rsidR="00560A77" w:rsidRPr="00DA2B25" w:rsidTr="00C15345"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21 (62)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Age at diagnosis mean (range)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45.3 (20-73)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Muco</w:t>
            </w:r>
            <w:proofErr w:type="spellEnd"/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-cutaneous involvement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32 (94)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proofErr w:type="spellStart"/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Multiorgan</w:t>
            </w:r>
            <w:proofErr w:type="spellEnd"/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 xml:space="preserve"> involvement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17 (50)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Lung involvement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3 (9)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CNS/pituitary involvement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8 (23.5)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Bone involvement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6 (18)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Lymph nodes involvement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3 (9)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Splenomegaly/hepatomegaly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2 (6)</w:t>
            </w:r>
          </w:p>
        </w:tc>
      </w:tr>
      <w:tr w:rsidR="00560A77" w:rsidRPr="00DA2B25" w:rsidTr="00C15345">
        <w:tc>
          <w:tcPr>
            <w:tcW w:w="4889" w:type="dxa"/>
            <w:vAlign w:val="center"/>
          </w:tcPr>
          <w:p w:rsidR="00560A77" w:rsidRPr="00DA2B25" w:rsidRDefault="00560A77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GB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GB"/>
              </w:rPr>
              <w:t>Others sites involved (bone marrow, parotid gland)</w:t>
            </w:r>
          </w:p>
        </w:tc>
        <w:tc>
          <w:tcPr>
            <w:tcW w:w="4889" w:type="dxa"/>
            <w:vAlign w:val="center"/>
          </w:tcPr>
          <w:p w:rsidR="00560A77" w:rsidRPr="00DA2B25" w:rsidRDefault="00560A77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</w:rPr>
              <w:t>2 (6)</w:t>
            </w:r>
          </w:p>
        </w:tc>
      </w:tr>
    </w:tbl>
    <w:p w:rsidR="00A70107" w:rsidRPr="00DA2B25" w:rsidRDefault="00C15345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eastAsia="Calibri" w:hAnsi="Book Antiqua"/>
          <w:sz w:val="24"/>
          <w:szCs w:val="24"/>
          <w:lang w:val="en-GB"/>
        </w:rPr>
        <w:t xml:space="preserve">CNS: </w:t>
      </w:r>
      <w:r w:rsidRPr="00DA2B25">
        <w:rPr>
          <w:rFonts w:ascii="Book Antiqua" w:hAnsi="Book Antiqua"/>
          <w:sz w:val="24"/>
          <w:szCs w:val="24"/>
          <w:lang w:val="en-US"/>
        </w:rPr>
        <w:t>Central nervous system.</w:t>
      </w:r>
    </w:p>
    <w:p w:rsidR="003356E9" w:rsidRPr="00DA2B25" w:rsidRDefault="00170D62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sz w:val="24"/>
          <w:szCs w:val="24"/>
          <w:lang w:val="en-US"/>
        </w:rPr>
        <w:br w:type="page"/>
      </w:r>
      <w:r w:rsidR="00C15345" w:rsidRPr="00DA2B25">
        <w:rPr>
          <w:rFonts w:ascii="Book Antiqua" w:hAnsi="Book Antiqua"/>
          <w:b/>
          <w:sz w:val="24"/>
          <w:szCs w:val="24"/>
          <w:lang w:val="en-US"/>
        </w:rPr>
        <w:t>Table 4 Previous treatments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3356E9" w:rsidRPr="00DA2B25" w:rsidTr="00C1534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  <w:t xml:space="preserve">Treatment before </w:t>
            </w:r>
            <w:proofErr w:type="spellStart"/>
            <w:r w:rsidRPr="00DA2B25"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  <w:t>IMiDs</w:t>
            </w:r>
            <w:proofErr w:type="spellEnd"/>
            <w:r w:rsidRPr="00DA2B25"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E9" w:rsidRPr="00DA2B25" w:rsidRDefault="00C15345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</w:pPr>
            <w:proofErr w:type="gramStart"/>
            <w:r w:rsidRPr="00DA2B25">
              <w:rPr>
                <w:rFonts w:ascii="Book Antiqua" w:eastAsia="Calibri" w:hAnsi="Book Antiqua"/>
                <w:b/>
                <w:i/>
                <w:iCs/>
                <w:sz w:val="24"/>
                <w:szCs w:val="24"/>
                <w:lang w:val="en-US"/>
              </w:rPr>
              <w:t>n</w:t>
            </w:r>
            <w:proofErr w:type="gramEnd"/>
            <w:r w:rsidRPr="00DA2B25"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  <w:t xml:space="preserve"> </w:t>
            </w:r>
            <w:r w:rsidR="003356E9" w:rsidRPr="00DA2B25">
              <w:rPr>
                <w:rFonts w:ascii="Book Antiqua" w:eastAsia="Calibri" w:hAnsi="Book Antiqua"/>
                <w:b/>
                <w:sz w:val="24"/>
                <w:szCs w:val="24"/>
                <w:lang w:val="en-US"/>
              </w:rPr>
              <w:t>(%)</w:t>
            </w:r>
          </w:p>
        </w:tc>
      </w:tr>
      <w:tr w:rsidR="003356E9" w:rsidRPr="00DA2B25" w:rsidTr="00C15345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None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14 (41)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Radiotherapy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8 (23.5)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Steroids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8 (23.5)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Vinorelbine</w:t>
            </w:r>
            <w:proofErr w:type="spellEnd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4 (12)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Surgery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4 (12)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Cladribin</w:t>
            </w:r>
            <w:proofErr w:type="spellEnd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4 (12)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Metotrexate</w:t>
            </w:r>
            <w:proofErr w:type="spellEnd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2 (6%)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proofErr w:type="spellStart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Polichemotherapy</w:t>
            </w:r>
            <w:proofErr w:type="spellEnd"/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 regimens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2 (6)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Cyclophosphamide (single agent)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2 (6)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Topical drugs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2 (6)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 xml:space="preserve">Etoposide 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1 (3)</w:t>
            </w:r>
          </w:p>
        </w:tc>
      </w:tr>
      <w:tr w:rsidR="003356E9" w:rsidRPr="00DA2B25" w:rsidTr="00C15345">
        <w:tc>
          <w:tcPr>
            <w:tcW w:w="3369" w:type="dxa"/>
            <w:vAlign w:val="center"/>
          </w:tcPr>
          <w:p w:rsidR="003356E9" w:rsidRPr="00DA2B25" w:rsidRDefault="003356E9" w:rsidP="000F57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PUVA</w:t>
            </w:r>
          </w:p>
        </w:tc>
        <w:tc>
          <w:tcPr>
            <w:tcW w:w="2976" w:type="dxa"/>
            <w:vAlign w:val="center"/>
          </w:tcPr>
          <w:p w:rsidR="003356E9" w:rsidRPr="00DA2B25" w:rsidRDefault="003356E9" w:rsidP="00C15345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  <w:r w:rsidRPr="00DA2B25">
              <w:rPr>
                <w:rFonts w:ascii="Book Antiqua" w:eastAsia="Calibri" w:hAnsi="Book Antiqua"/>
                <w:sz w:val="24"/>
                <w:szCs w:val="24"/>
                <w:lang w:val="en-US"/>
              </w:rPr>
              <w:t>1 (3)</w:t>
            </w:r>
          </w:p>
        </w:tc>
      </w:tr>
    </w:tbl>
    <w:p w:rsidR="003356E9" w:rsidRPr="00DA2B25" w:rsidRDefault="00C15345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A2B25">
        <w:rPr>
          <w:rFonts w:ascii="Book Antiqua" w:eastAsia="Calibri" w:hAnsi="Book Antiqua"/>
          <w:sz w:val="24"/>
          <w:szCs w:val="24"/>
          <w:lang w:val="en-US"/>
        </w:rPr>
        <w:t xml:space="preserve">PUVA: </w:t>
      </w:r>
      <w:proofErr w:type="spellStart"/>
      <w:r w:rsidRPr="00DA2B25">
        <w:rPr>
          <w:rFonts w:ascii="Book Antiqua" w:eastAsia="Times New Roman" w:hAnsi="Book Antiqua"/>
          <w:sz w:val="24"/>
          <w:szCs w:val="24"/>
          <w:lang w:val="en-US"/>
        </w:rPr>
        <w:t>Psolaren</w:t>
      </w:r>
      <w:proofErr w:type="spellEnd"/>
      <w:r w:rsidRPr="00DA2B25">
        <w:rPr>
          <w:rFonts w:ascii="Book Antiqua" w:eastAsia="Times New Roman" w:hAnsi="Book Antiqua"/>
          <w:sz w:val="24"/>
          <w:szCs w:val="24"/>
          <w:lang w:val="en-US"/>
        </w:rPr>
        <w:t xml:space="preserve"> plus ultraviolet A; </w:t>
      </w:r>
      <w:proofErr w:type="spellStart"/>
      <w:r w:rsidRPr="00DA2B25">
        <w:rPr>
          <w:rFonts w:ascii="Book Antiqua" w:eastAsia="Calibri" w:hAnsi="Book Antiqua"/>
          <w:bCs/>
          <w:sz w:val="24"/>
          <w:szCs w:val="24"/>
          <w:lang w:val="en-US"/>
        </w:rPr>
        <w:t>IMiDs</w:t>
      </w:r>
      <w:proofErr w:type="spellEnd"/>
      <w:r w:rsidRPr="00DA2B25">
        <w:rPr>
          <w:rFonts w:ascii="Book Antiqua" w:eastAsia="Calibri" w:hAnsi="Book Antiqua"/>
          <w:bCs/>
          <w:sz w:val="24"/>
          <w:szCs w:val="24"/>
          <w:lang w:val="en-US"/>
        </w:rPr>
        <w:t xml:space="preserve">: </w:t>
      </w:r>
      <w:r w:rsidRPr="00DA2B25">
        <w:rPr>
          <w:rFonts w:ascii="Book Antiqua" w:hAnsi="Book Antiqua"/>
          <w:sz w:val="24"/>
          <w:szCs w:val="24"/>
          <w:lang w:val="en-US"/>
        </w:rPr>
        <w:t>Immunomodulatory drugs.</w:t>
      </w:r>
    </w:p>
    <w:p w:rsidR="00E80030" w:rsidRPr="00DA2B25" w:rsidRDefault="00C15345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br w:type="page"/>
      </w:r>
      <w:r w:rsidR="007A5E69">
        <w:rPr>
          <w:rFonts w:ascii="Book Antiqua" w:hAnsi="Book Antiqua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4566920" cy="2740660"/>
            <wp:effectExtent l="0" t="0" r="24130" b="21590"/>
            <wp:docPr id="1" name="Gra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4B64" w:rsidRPr="00732CF2" w:rsidRDefault="000E6EBF" w:rsidP="00B9008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A2B25">
        <w:rPr>
          <w:rFonts w:ascii="Book Antiqua" w:hAnsi="Book Antiqua"/>
          <w:b/>
          <w:sz w:val="24"/>
          <w:szCs w:val="24"/>
          <w:lang w:val="en-US"/>
        </w:rPr>
        <w:t>Figure 1 Final treatment outcome (</w:t>
      </w:r>
      <w:r w:rsidRPr="00DA2B25">
        <w:rPr>
          <w:rFonts w:ascii="Book Antiqua" w:hAnsi="Book Antiqua"/>
          <w:b/>
          <w:i/>
          <w:iCs/>
          <w:sz w:val="24"/>
          <w:szCs w:val="24"/>
          <w:lang w:val="en-US"/>
        </w:rPr>
        <w:t>n</w:t>
      </w:r>
      <w:r w:rsidR="00C15345" w:rsidRPr="00DA2B2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b/>
          <w:sz w:val="24"/>
          <w:szCs w:val="24"/>
          <w:lang w:val="en-US"/>
        </w:rPr>
        <w:t>=</w:t>
      </w:r>
      <w:r w:rsidR="00C15345" w:rsidRPr="00DA2B2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DA2B25">
        <w:rPr>
          <w:rFonts w:ascii="Book Antiqua" w:hAnsi="Book Antiqua"/>
          <w:b/>
          <w:sz w:val="24"/>
          <w:szCs w:val="24"/>
          <w:lang w:val="en-US"/>
        </w:rPr>
        <w:t>34).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MS-LCH</w:t>
      </w:r>
      <w:r w:rsidR="00C15345" w:rsidRPr="00DA2B25">
        <w:rPr>
          <w:rFonts w:ascii="Book Antiqua" w:hAnsi="Book Antiqua"/>
          <w:sz w:val="24"/>
          <w:szCs w:val="24"/>
          <w:lang w:val="en-US"/>
        </w:rPr>
        <w:t>: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C15345" w:rsidRPr="00DA2B25">
        <w:rPr>
          <w:rFonts w:ascii="Book Antiqua" w:hAnsi="Book Antiqua"/>
          <w:sz w:val="24"/>
          <w:szCs w:val="24"/>
          <w:lang w:val="en-US"/>
        </w:rPr>
        <w:t>M</w:t>
      </w:r>
      <w:r w:rsidR="007B10DD" w:rsidRPr="00DA2B25">
        <w:rPr>
          <w:rFonts w:ascii="Book Antiqua" w:hAnsi="Book Antiqua"/>
          <w:sz w:val="24"/>
          <w:szCs w:val="24"/>
          <w:lang w:val="en-US"/>
        </w:rPr>
        <w:t>ultis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ystem Langerhans </w:t>
      </w:r>
      <w:r w:rsidR="00C5053A" w:rsidRPr="00DA2B25">
        <w:rPr>
          <w:rFonts w:ascii="Book Antiqua" w:hAnsi="Book Antiqua"/>
          <w:sz w:val="24"/>
          <w:szCs w:val="24"/>
          <w:lang w:val="en-US"/>
        </w:rPr>
        <w:t xml:space="preserve">cell </w:t>
      </w:r>
      <w:proofErr w:type="spellStart"/>
      <w:r w:rsidR="00C5053A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DE152B" w:rsidRPr="00DA2B25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SS-LCH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: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S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ingle-system Langerhans </w:t>
      </w:r>
      <w:r w:rsidR="00C5053A" w:rsidRPr="00DA2B25">
        <w:rPr>
          <w:rFonts w:ascii="Book Antiqua" w:hAnsi="Book Antiqua"/>
          <w:sz w:val="24"/>
          <w:szCs w:val="24"/>
          <w:lang w:val="en-US"/>
        </w:rPr>
        <w:t xml:space="preserve">cell </w:t>
      </w:r>
      <w:proofErr w:type="spellStart"/>
      <w:r w:rsidR="00C5053A" w:rsidRPr="00DA2B25">
        <w:rPr>
          <w:rFonts w:ascii="Book Antiqua" w:hAnsi="Book Antiqua"/>
          <w:sz w:val="24"/>
          <w:szCs w:val="24"/>
          <w:lang w:val="en-US"/>
        </w:rPr>
        <w:t>histiocytosis</w:t>
      </w:r>
      <w:proofErr w:type="spellEnd"/>
      <w:r w:rsidR="00DE152B" w:rsidRPr="00DA2B25">
        <w:rPr>
          <w:rFonts w:ascii="Book Antiqua" w:hAnsi="Book Antiqua"/>
          <w:sz w:val="24"/>
          <w:szCs w:val="24"/>
          <w:lang w:val="en-US"/>
        </w:rPr>
        <w:t>;</w:t>
      </w:r>
      <w:r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3B7565" w:rsidRPr="00DA2B25">
        <w:rPr>
          <w:rFonts w:ascii="Book Antiqua" w:hAnsi="Book Antiqua"/>
          <w:sz w:val="24"/>
          <w:szCs w:val="24"/>
          <w:lang w:val="en-US"/>
        </w:rPr>
        <w:t>NAD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: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DE152B" w:rsidRPr="00DA2B25">
        <w:rPr>
          <w:rFonts w:ascii="Book Antiqua" w:hAnsi="Book Antiqua"/>
          <w:sz w:val="24"/>
          <w:szCs w:val="24"/>
          <w:lang w:val="en-US"/>
        </w:rPr>
        <w:t>N</w:t>
      </w:r>
      <w:r w:rsidR="00C5053A" w:rsidRPr="00DA2B25">
        <w:rPr>
          <w:rFonts w:ascii="Book Antiqua" w:hAnsi="Book Antiqua"/>
          <w:sz w:val="24"/>
          <w:szCs w:val="24"/>
          <w:lang w:val="en-US"/>
        </w:rPr>
        <w:t>on</w:t>
      </w:r>
      <w:r w:rsidR="003B7565" w:rsidRPr="00DA2B25">
        <w:rPr>
          <w:rFonts w:ascii="Book Antiqua" w:hAnsi="Book Antiqua"/>
          <w:sz w:val="24"/>
          <w:szCs w:val="24"/>
          <w:lang w:val="en-US"/>
        </w:rPr>
        <w:t>active</w:t>
      </w:r>
      <w:proofErr w:type="spellEnd"/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;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ADR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: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A</w:t>
      </w:r>
      <w:r w:rsidR="003B7565" w:rsidRPr="00DA2B25">
        <w:rPr>
          <w:rFonts w:ascii="Book Antiqua" w:hAnsi="Book Antiqua"/>
          <w:sz w:val="24"/>
          <w:szCs w:val="24"/>
          <w:lang w:val="en-US"/>
        </w:rPr>
        <w:t>ctive disease regressive</w:t>
      </w:r>
      <w:r w:rsidR="00DE152B" w:rsidRPr="00DA2B25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ADS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: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A</w:t>
      </w:r>
      <w:r w:rsidR="00C5053A" w:rsidRPr="00DA2B25">
        <w:rPr>
          <w:rFonts w:ascii="Book Antiqua" w:hAnsi="Book Antiqua"/>
          <w:sz w:val="24"/>
          <w:szCs w:val="24"/>
          <w:lang w:val="en-US"/>
        </w:rPr>
        <w:t xml:space="preserve">ctive </w:t>
      </w:r>
      <w:r w:rsidR="003B7565" w:rsidRPr="00DA2B25">
        <w:rPr>
          <w:rFonts w:ascii="Book Antiqua" w:hAnsi="Book Antiqua"/>
          <w:sz w:val="24"/>
          <w:szCs w:val="24"/>
          <w:lang w:val="en-US"/>
        </w:rPr>
        <w:t>disease stable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;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PD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:</w:t>
      </w:r>
      <w:r w:rsidR="003B7565" w:rsidRPr="00DA2B25">
        <w:rPr>
          <w:rFonts w:ascii="Book Antiqua" w:hAnsi="Book Antiqua"/>
          <w:sz w:val="24"/>
          <w:szCs w:val="24"/>
          <w:lang w:val="en-US"/>
        </w:rPr>
        <w:t xml:space="preserve"> </w:t>
      </w:r>
      <w:r w:rsidR="00DE152B" w:rsidRPr="00DA2B25">
        <w:rPr>
          <w:rFonts w:ascii="Book Antiqua" w:hAnsi="Book Antiqua"/>
          <w:sz w:val="24"/>
          <w:szCs w:val="24"/>
          <w:lang w:val="en-US"/>
        </w:rPr>
        <w:t>P</w:t>
      </w:r>
      <w:r w:rsidR="003B7565" w:rsidRPr="00DA2B25">
        <w:rPr>
          <w:rFonts w:ascii="Book Antiqua" w:hAnsi="Book Antiqua"/>
          <w:sz w:val="24"/>
          <w:szCs w:val="24"/>
          <w:lang w:val="en-US"/>
        </w:rPr>
        <w:t>rogression disease</w:t>
      </w:r>
      <w:r w:rsidR="00E54A43" w:rsidRPr="00DA2B25">
        <w:rPr>
          <w:rFonts w:ascii="Book Antiqua" w:hAnsi="Book Antiqua"/>
          <w:sz w:val="24"/>
          <w:szCs w:val="24"/>
          <w:lang w:val="en-US"/>
        </w:rPr>
        <w:t>.</w:t>
      </w:r>
    </w:p>
    <w:sectPr w:rsidR="00324B64" w:rsidRPr="00732CF2" w:rsidSect="00F10134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FD" w:rsidRDefault="007515FD">
      <w:pPr>
        <w:spacing w:after="0" w:line="240" w:lineRule="auto"/>
      </w:pPr>
      <w:r>
        <w:separator/>
      </w:r>
    </w:p>
  </w:endnote>
  <w:endnote w:type="continuationSeparator" w:id="0">
    <w:p w:rsidR="007515FD" w:rsidRDefault="0075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FD" w:rsidRDefault="007515FD">
      <w:pPr>
        <w:spacing w:after="0" w:line="240" w:lineRule="auto"/>
      </w:pPr>
      <w:r>
        <w:separator/>
      </w:r>
    </w:p>
  </w:footnote>
  <w:footnote w:type="continuationSeparator" w:id="0">
    <w:p w:rsidR="007515FD" w:rsidRDefault="0075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4" w:rsidRDefault="00F101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4" w:rsidRDefault="00F101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1B6"/>
    <w:multiLevelType w:val="hybridMultilevel"/>
    <w:tmpl w:val="275E8A3E"/>
    <w:lvl w:ilvl="0" w:tplc="829E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8E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00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F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08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EC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3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4C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44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7D0"/>
    <w:multiLevelType w:val="hybridMultilevel"/>
    <w:tmpl w:val="2126374E"/>
    <w:lvl w:ilvl="0" w:tplc="09880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0B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61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A7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B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80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7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6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2E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2263"/>
    <w:multiLevelType w:val="hybridMultilevel"/>
    <w:tmpl w:val="1BF27A28"/>
    <w:lvl w:ilvl="0" w:tplc="9162D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A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88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EE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6B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1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EE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A6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46FC"/>
    <w:multiLevelType w:val="hybridMultilevel"/>
    <w:tmpl w:val="07B4E514"/>
    <w:lvl w:ilvl="0" w:tplc="22FE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E9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C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22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4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6D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4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8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C1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04E87"/>
    <w:multiLevelType w:val="hybridMultilevel"/>
    <w:tmpl w:val="ACEC82AC"/>
    <w:lvl w:ilvl="0" w:tplc="E37E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061F8" w:tentative="1">
      <w:start w:val="1"/>
      <w:numFmt w:val="lowerLetter"/>
      <w:lvlText w:val="%2."/>
      <w:lvlJc w:val="left"/>
      <w:pPr>
        <w:ind w:left="1440" w:hanging="360"/>
      </w:pPr>
    </w:lvl>
    <w:lvl w:ilvl="2" w:tplc="CAA48AA6" w:tentative="1">
      <w:start w:val="1"/>
      <w:numFmt w:val="lowerRoman"/>
      <w:lvlText w:val="%3."/>
      <w:lvlJc w:val="right"/>
      <w:pPr>
        <w:ind w:left="2160" w:hanging="180"/>
      </w:pPr>
    </w:lvl>
    <w:lvl w:ilvl="3" w:tplc="AA74AE7C" w:tentative="1">
      <w:start w:val="1"/>
      <w:numFmt w:val="decimal"/>
      <w:lvlText w:val="%4."/>
      <w:lvlJc w:val="left"/>
      <w:pPr>
        <w:ind w:left="2880" w:hanging="360"/>
      </w:pPr>
    </w:lvl>
    <w:lvl w:ilvl="4" w:tplc="753A95BE" w:tentative="1">
      <w:start w:val="1"/>
      <w:numFmt w:val="lowerLetter"/>
      <w:lvlText w:val="%5."/>
      <w:lvlJc w:val="left"/>
      <w:pPr>
        <w:ind w:left="3600" w:hanging="360"/>
      </w:pPr>
    </w:lvl>
    <w:lvl w:ilvl="5" w:tplc="398E46AA" w:tentative="1">
      <w:start w:val="1"/>
      <w:numFmt w:val="lowerRoman"/>
      <w:lvlText w:val="%6."/>
      <w:lvlJc w:val="right"/>
      <w:pPr>
        <w:ind w:left="4320" w:hanging="180"/>
      </w:pPr>
    </w:lvl>
    <w:lvl w:ilvl="6" w:tplc="7C58A16C" w:tentative="1">
      <w:start w:val="1"/>
      <w:numFmt w:val="decimal"/>
      <w:lvlText w:val="%7."/>
      <w:lvlJc w:val="left"/>
      <w:pPr>
        <w:ind w:left="5040" w:hanging="360"/>
      </w:pPr>
    </w:lvl>
    <w:lvl w:ilvl="7" w:tplc="5446877A" w:tentative="1">
      <w:start w:val="1"/>
      <w:numFmt w:val="lowerLetter"/>
      <w:lvlText w:val="%8."/>
      <w:lvlJc w:val="left"/>
      <w:pPr>
        <w:ind w:left="5760" w:hanging="360"/>
      </w:pPr>
    </w:lvl>
    <w:lvl w:ilvl="8" w:tplc="C4C66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980"/>
    <w:multiLevelType w:val="multilevel"/>
    <w:tmpl w:val="DA28E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D5366"/>
    <w:multiLevelType w:val="hybridMultilevel"/>
    <w:tmpl w:val="77EC2D7E"/>
    <w:lvl w:ilvl="0" w:tplc="39782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2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CB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AD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F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06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8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EC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8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removeDateAndTime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190|201|197|203|199|197|185|198|197|200|207|197|188|199|197|185|204|"/>
    <w:docVar w:name="Username" w:val="Editor"/>
  </w:docVars>
  <w:rsids>
    <w:rsidRoot w:val="00F4668E"/>
    <w:rsid w:val="00003994"/>
    <w:rsid w:val="00003A24"/>
    <w:rsid w:val="000112B9"/>
    <w:rsid w:val="00011AA6"/>
    <w:rsid w:val="000208FD"/>
    <w:rsid w:val="000308AF"/>
    <w:rsid w:val="00033889"/>
    <w:rsid w:val="000402FC"/>
    <w:rsid w:val="00045DCF"/>
    <w:rsid w:val="00066558"/>
    <w:rsid w:val="000666ED"/>
    <w:rsid w:val="00073A0A"/>
    <w:rsid w:val="00075811"/>
    <w:rsid w:val="000772EE"/>
    <w:rsid w:val="000866FE"/>
    <w:rsid w:val="000A666B"/>
    <w:rsid w:val="000C56BE"/>
    <w:rsid w:val="000E6EBF"/>
    <w:rsid w:val="000F03B5"/>
    <w:rsid w:val="000F19A8"/>
    <w:rsid w:val="000F572A"/>
    <w:rsid w:val="001046DD"/>
    <w:rsid w:val="00114558"/>
    <w:rsid w:val="00120888"/>
    <w:rsid w:val="0012576D"/>
    <w:rsid w:val="00132044"/>
    <w:rsid w:val="00132315"/>
    <w:rsid w:val="00132858"/>
    <w:rsid w:val="0013357D"/>
    <w:rsid w:val="00141FB4"/>
    <w:rsid w:val="001543B4"/>
    <w:rsid w:val="00157F27"/>
    <w:rsid w:val="00167B66"/>
    <w:rsid w:val="00170B8E"/>
    <w:rsid w:val="00170D62"/>
    <w:rsid w:val="0017550E"/>
    <w:rsid w:val="0018152C"/>
    <w:rsid w:val="00187CE1"/>
    <w:rsid w:val="0019266E"/>
    <w:rsid w:val="001A16DA"/>
    <w:rsid w:val="001A61DA"/>
    <w:rsid w:val="001C4FED"/>
    <w:rsid w:val="001D3360"/>
    <w:rsid w:val="001D6C74"/>
    <w:rsid w:val="001F0ED7"/>
    <w:rsid w:val="001F496F"/>
    <w:rsid w:val="00201179"/>
    <w:rsid w:val="0020189E"/>
    <w:rsid w:val="00201DB3"/>
    <w:rsid w:val="002047A5"/>
    <w:rsid w:val="002062BE"/>
    <w:rsid w:val="00240485"/>
    <w:rsid w:val="00240936"/>
    <w:rsid w:val="00244A46"/>
    <w:rsid w:val="0024636C"/>
    <w:rsid w:val="00247E2A"/>
    <w:rsid w:val="00251BFD"/>
    <w:rsid w:val="0025401E"/>
    <w:rsid w:val="00255A6F"/>
    <w:rsid w:val="002565CD"/>
    <w:rsid w:val="0026742D"/>
    <w:rsid w:val="00271506"/>
    <w:rsid w:val="00275402"/>
    <w:rsid w:val="002847BB"/>
    <w:rsid w:val="00290E39"/>
    <w:rsid w:val="0029747C"/>
    <w:rsid w:val="002A2BA1"/>
    <w:rsid w:val="002B618F"/>
    <w:rsid w:val="002D0F05"/>
    <w:rsid w:val="002D37FD"/>
    <w:rsid w:val="002D47A6"/>
    <w:rsid w:val="002D5D5A"/>
    <w:rsid w:val="002D6996"/>
    <w:rsid w:val="002D773F"/>
    <w:rsid w:val="002E1CDE"/>
    <w:rsid w:val="002E74E0"/>
    <w:rsid w:val="002E791E"/>
    <w:rsid w:val="002F5B84"/>
    <w:rsid w:val="00301BBD"/>
    <w:rsid w:val="00303501"/>
    <w:rsid w:val="00303A20"/>
    <w:rsid w:val="003105B3"/>
    <w:rsid w:val="00311ADC"/>
    <w:rsid w:val="00311ED7"/>
    <w:rsid w:val="00321D1A"/>
    <w:rsid w:val="00324B64"/>
    <w:rsid w:val="003356E9"/>
    <w:rsid w:val="003478CF"/>
    <w:rsid w:val="00355AC4"/>
    <w:rsid w:val="00357134"/>
    <w:rsid w:val="00357EB9"/>
    <w:rsid w:val="003660AF"/>
    <w:rsid w:val="00376428"/>
    <w:rsid w:val="00380751"/>
    <w:rsid w:val="003833DB"/>
    <w:rsid w:val="00384414"/>
    <w:rsid w:val="003874BB"/>
    <w:rsid w:val="0039774A"/>
    <w:rsid w:val="003A065C"/>
    <w:rsid w:val="003A1331"/>
    <w:rsid w:val="003A2D9E"/>
    <w:rsid w:val="003A53C8"/>
    <w:rsid w:val="003A727D"/>
    <w:rsid w:val="003B7565"/>
    <w:rsid w:val="003C4B52"/>
    <w:rsid w:val="003C62F2"/>
    <w:rsid w:val="003E7141"/>
    <w:rsid w:val="003F5E80"/>
    <w:rsid w:val="00441598"/>
    <w:rsid w:val="0044323A"/>
    <w:rsid w:val="00454C4A"/>
    <w:rsid w:val="004704D3"/>
    <w:rsid w:val="00475991"/>
    <w:rsid w:val="00480EBF"/>
    <w:rsid w:val="00492357"/>
    <w:rsid w:val="00496236"/>
    <w:rsid w:val="004A5B68"/>
    <w:rsid w:val="004C299D"/>
    <w:rsid w:val="004C746B"/>
    <w:rsid w:val="004D1300"/>
    <w:rsid w:val="004D2257"/>
    <w:rsid w:val="004D325B"/>
    <w:rsid w:val="004E24EC"/>
    <w:rsid w:val="004E6003"/>
    <w:rsid w:val="004F2500"/>
    <w:rsid w:val="005050F2"/>
    <w:rsid w:val="00515106"/>
    <w:rsid w:val="00516D5F"/>
    <w:rsid w:val="00535552"/>
    <w:rsid w:val="0053556A"/>
    <w:rsid w:val="0054046A"/>
    <w:rsid w:val="00560A77"/>
    <w:rsid w:val="00562ACA"/>
    <w:rsid w:val="0057241D"/>
    <w:rsid w:val="005736AC"/>
    <w:rsid w:val="005737BF"/>
    <w:rsid w:val="00574701"/>
    <w:rsid w:val="00580B37"/>
    <w:rsid w:val="00585B8C"/>
    <w:rsid w:val="005905B0"/>
    <w:rsid w:val="00591191"/>
    <w:rsid w:val="00594D5B"/>
    <w:rsid w:val="005A55B4"/>
    <w:rsid w:val="005A7FC0"/>
    <w:rsid w:val="005B0FC3"/>
    <w:rsid w:val="005B41CE"/>
    <w:rsid w:val="005C0F1B"/>
    <w:rsid w:val="005C377F"/>
    <w:rsid w:val="005E3C00"/>
    <w:rsid w:val="005F50C5"/>
    <w:rsid w:val="006022DB"/>
    <w:rsid w:val="006121CF"/>
    <w:rsid w:val="006124B8"/>
    <w:rsid w:val="006163B0"/>
    <w:rsid w:val="00625039"/>
    <w:rsid w:val="00626A48"/>
    <w:rsid w:val="00627053"/>
    <w:rsid w:val="0062746A"/>
    <w:rsid w:val="00633280"/>
    <w:rsid w:val="006359E4"/>
    <w:rsid w:val="006509CB"/>
    <w:rsid w:val="00650D4F"/>
    <w:rsid w:val="00661C37"/>
    <w:rsid w:val="0066229E"/>
    <w:rsid w:val="00662CCC"/>
    <w:rsid w:val="006803B4"/>
    <w:rsid w:val="006846E9"/>
    <w:rsid w:val="00687AE8"/>
    <w:rsid w:val="00692801"/>
    <w:rsid w:val="006A343F"/>
    <w:rsid w:val="006A456D"/>
    <w:rsid w:val="006C1EC1"/>
    <w:rsid w:val="006C6EAF"/>
    <w:rsid w:val="006D0E5A"/>
    <w:rsid w:val="006D1838"/>
    <w:rsid w:val="006E0453"/>
    <w:rsid w:val="006E79AB"/>
    <w:rsid w:val="00701142"/>
    <w:rsid w:val="007017CF"/>
    <w:rsid w:val="00714698"/>
    <w:rsid w:val="00721CAC"/>
    <w:rsid w:val="00727172"/>
    <w:rsid w:val="00732CF2"/>
    <w:rsid w:val="00732EE5"/>
    <w:rsid w:val="00750F8D"/>
    <w:rsid w:val="007515FD"/>
    <w:rsid w:val="00753D84"/>
    <w:rsid w:val="0075423E"/>
    <w:rsid w:val="00763568"/>
    <w:rsid w:val="00766110"/>
    <w:rsid w:val="007700F9"/>
    <w:rsid w:val="00773019"/>
    <w:rsid w:val="007A0AFD"/>
    <w:rsid w:val="007A2147"/>
    <w:rsid w:val="007A5E69"/>
    <w:rsid w:val="007B0ED3"/>
    <w:rsid w:val="007B10DD"/>
    <w:rsid w:val="007B1498"/>
    <w:rsid w:val="007B5B3F"/>
    <w:rsid w:val="007C42D8"/>
    <w:rsid w:val="007C638A"/>
    <w:rsid w:val="007D67A1"/>
    <w:rsid w:val="007E27DD"/>
    <w:rsid w:val="007E5221"/>
    <w:rsid w:val="007E575A"/>
    <w:rsid w:val="007E7D83"/>
    <w:rsid w:val="007F57F9"/>
    <w:rsid w:val="007F5845"/>
    <w:rsid w:val="008024DA"/>
    <w:rsid w:val="0080272B"/>
    <w:rsid w:val="008036ED"/>
    <w:rsid w:val="00832C44"/>
    <w:rsid w:val="00841E32"/>
    <w:rsid w:val="00860D23"/>
    <w:rsid w:val="00861F9E"/>
    <w:rsid w:val="00867192"/>
    <w:rsid w:val="00873BF1"/>
    <w:rsid w:val="00876307"/>
    <w:rsid w:val="008778F6"/>
    <w:rsid w:val="00886D97"/>
    <w:rsid w:val="008870BA"/>
    <w:rsid w:val="00892D1F"/>
    <w:rsid w:val="00896A0E"/>
    <w:rsid w:val="008A0D34"/>
    <w:rsid w:val="008A5683"/>
    <w:rsid w:val="008A6F01"/>
    <w:rsid w:val="008C0F4F"/>
    <w:rsid w:val="008C3635"/>
    <w:rsid w:val="008C5ED2"/>
    <w:rsid w:val="008D14B0"/>
    <w:rsid w:val="008D463F"/>
    <w:rsid w:val="008D5693"/>
    <w:rsid w:val="008D65A4"/>
    <w:rsid w:val="008E765B"/>
    <w:rsid w:val="008F29CE"/>
    <w:rsid w:val="008F3180"/>
    <w:rsid w:val="0090209E"/>
    <w:rsid w:val="0090256A"/>
    <w:rsid w:val="009032C2"/>
    <w:rsid w:val="0090365B"/>
    <w:rsid w:val="00905DD2"/>
    <w:rsid w:val="00912013"/>
    <w:rsid w:val="00915415"/>
    <w:rsid w:val="00917091"/>
    <w:rsid w:val="00923165"/>
    <w:rsid w:val="00924D9D"/>
    <w:rsid w:val="00925B22"/>
    <w:rsid w:val="00937C08"/>
    <w:rsid w:val="00946B1E"/>
    <w:rsid w:val="00951453"/>
    <w:rsid w:val="00952AD2"/>
    <w:rsid w:val="0096025B"/>
    <w:rsid w:val="00960C37"/>
    <w:rsid w:val="009736AB"/>
    <w:rsid w:val="00987F36"/>
    <w:rsid w:val="009A4695"/>
    <w:rsid w:val="009D06FD"/>
    <w:rsid w:val="009E6FE9"/>
    <w:rsid w:val="009F0808"/>
    <w:rsid w:val="009F0EC5"/>
    <w:rsid w:val="009F6608"/>
    <w:rsid w:val="009F6BD8"/>
    <w:rsid w:val="009F7FE5"/>
    <w:rsid w:val="00A06E7D"/>
    <w:rsid w:val="00A16717"/>
    <w:rsid w:val="00A22379"/>
    <w:rsid w:val="00A24F4E"/>
    <w:rsid w:val="00A40117"/>
    <w:rsid w:val="00A50161"/>
    <w:rsid w:val="00A5547D"/>
    <w:rsid w:val="00A55FCF"/>
    <w:rsid w:val="00A60C96"/>
    <w:rsid w:val="00A611A1"/>
    <w:rsid w:val="00A64FBE"/>
    <w:rsid w:val="00A652A8"/>
    <w:rsid w:val="00A70107"/>
    <w:rsid w:val="00A76DCE"/>
    <w:rsid w:val="00A824DE"/>
    <w:rsid w:val="00A8393B"/>
    <w:rsid w:val="00A84B98"/>
    <w:rsid w:val="00A85152"/>
    <w:rsid w:val="00A8711D"/>
    <w:rsid w:val="00A90A47"/>
    <w:rsid w:val="00A96677"/>
    <w:rsid w:val="00AA19C9"/>
    <w:rsid w:val="00AA477A"/>
    <w:rsid w:val="00AA5E13"/>
    <w:rsid w:val="00AB3A5F"/>
    <w:rsid w:val="00AC33DD"/>
    <w:rsid w:val="00AC3783"/>
    <w:rsid w:val="00AC49F9"/>
    <w:rsid w:val="00AC70DB"/>
    <w:rsid w:val="00AD09DF"/>
    <w:rsid w:val="00AD29EB"/>
    <w:rsid w:val="00AE7069"/>
    <w:rsid w:val="00AF4BA0"/>
    <w:rsid w:val="00B01CFA"/>
    <w:rsid w:val="00B02C16"/>
    <w:rsid w:val="00B06403"/>
    <w:rsid w:val="00B1028F"/>
    <w:rsid w:val="00B1535A"/>
    <w:rsid w:val="00B304AA"/>
    <w:rsid w:val="00B30533"/>
    <w:rsid w:val="00B317DF"/>
    <w:rsid w:val="00B35803"/>
    <w:rsid w:val="00B4439A"/>
    <w:rsid w:val="00B472E2"/>
    <w:rsid w:val="00B62CEC"/>
    <w:rsid w:val="00B7006C"/>
    <w:rsid w:val="00B75299"/>
    <w:rsid w:val="00B76918"/>
    <w:rsid w:val="00B860A5"/>
    <w:rsid w:val="00B87E38"/>
    <w:rsid w:val="00B9008F"/>
    <w:rsid w:val="00BA3AAA"/>
    <w:rsid w:val="00BA65D8"/>
    <w:rsid w:val="00BB0370"/>
    <w:rsid w:val="00BB6965"/>
    <w:rsid w:val="00BB74D6"/>
    <w:rsid w:val="00BE1340"/>
    <w:rsid w:val="00BF2779"/>
    <w:rsid w:val="00BF3140"/>
    <w:rsid w:val="00BF33BD"/>
    <w:rsid w:val="00BF438C"/>
    <w:rsid w:val="00BF750F"/>
    <w:rsid w:val="00BF78F3"/>
    <w:rsid w:val="00C02826"/>
    <w:rsid w:val="00C0486E"/>
    <w:rsid w:val="00C11F8F"/>
    <w:rsid w:val="00C15345"/>
    <w:rsid w:val="00C3494A"/>
    <w:rsid w:val="00C424D3"/>
    <w:rsid w:val="00C5053A"/>
    <w:rsid w:val="00C56BC8"/>
    <w:rsid w:val="00C60EE2"/>
    <w:rsid w:val="00C6185B"/>
    <w:rsid w:val="00C62FBF"/>
    <w:rsid w:val="00C734CF"/>
    <w:rsid w:val="00C77909"/>
    <w:rsid w:val="00C80980"/>
    <w:rsid w:val="00C85581"/>
    <w:rsid w:val="00C91838"/>
    <w:rsid w:val="00CA40A1"/>
    <w:rsid w:val="00CA5762"/>
    <w:rsid w:val="00CB1C5C"/>
    <w:rsid w:val="00CB5008"/>
    <w:rsid w:val="00CC3309"/>
    <w:rsid w:val="00CC5AD1"/>
    <w:rsid w:val="00CC7E67"/>
    <w:rsid w:val="00CE0AD1"/>
    <w:rsid w:val="00CE78DE"/>
    <w:rsid w:val="00CF009C"/>
    <w:rsid w:val="00CF6EFC"/>
    <w:rsid w:val="00D05123"/>
    <w:rsid w:val="00D05790"/>
    <w:rsid w:val="00D12B71"/>
    <w:rsid w:val="00D142E8"/>
    <w:rsid w:val="00D14638"/>
    <w:rsid w:val="00D1483D"/>
    <w:rsid w:val="00D4189F"/>
    <w:rsid w:val="00D50DAD"/>
    <w:rsid w:val="00D563E5"/>
    <w:rsid w:val="00D63267"/>
    <w:rsid w:val="00D71ACB"/>
    <w:rsid w:val="00D76741"/>
    <w:rsid w:val="00D77377"/>
    <w:rsid w:val="00D7760D"/>
    <w:rsid w:val="00D81B5F"/>
    <w:rsid w:val="00D84C05"/>
    <w:rsid w:val="00D957E7"/>
    <w:rsid w:val="00D964FF"/>
    <w:rsid w:val="00DA2B25"/>
    <w:rsid w:val="00DA39E6"/>
    <w:rsid w:val="00DA3A9F"/>
    <w:rsid w:val="00DB05EF"/>
    <w:rsid w:val="00DC3F26"/>
    <w:rsid w:val="00DD287C"/>
    <w:rsid w:val="00DD6359"/>
    <w:rsid w:val="00DE152B"/>
    <w:rsid w:val="00DE603D"/>
    <w:rsid w:val="00DF2A84"/>
    <w:rsid w:val="00E003FB"/>
    <w:rsid w:val="00E015BE"/>
    <w:rsid w:val="00E04C52"/>
    <w:rsid w:val="00E10528"/>
    <w:rsid w:val="00E110EF"/>
    <w:rsid w:val="00E2438F"/>
    <w:rsid w:val="00E32924"/>
    <w:rsid w:val="00E33188"/>
    <w:rsid w:val="00E444FF"/>
    <w:rsid w:val="00E46571"/>
    <w:rsid w:val="00E54488"/>
    <w:rsid w:val="00E54686"/>
    <w:rsid w:val="00E54A43"/>
    <w:rsid w:val="00E6661C"/>
    <w:rsid w:val="00E70346"/>
    <w:rsid w:val="00E80030"/>
    <w:rsid w:val="00E81407"/>
    <w:rsid w:val="00E8555F"/>
    <w:rsid w:val="00E90543"/>
    <w:rsid w:val="00E90CE5"/>
    <w:rsid w:val="00E90D34"/>
    <w:rsid w:val="00E9569C"/>
    <w:rsid w:val="00E96381"/>
    <w:rsid w:val="00EA026F"/>
    <w:rsid w:val="00EA4EAD"/>
    <w:rsid w:val="00EA513E"/>
    <w:rsid w:val="00EA5905"/>
    <w:rsid w:val="00EB1EB7"/>
    <w:rsid w:val="00EC41DE"/>
    <w:rsid w:val="00EC761B"/>
    <w:rsid w:val="00ED068C"/>
    <w:rsid w:val="00ED6DDA"/>
    <w:rsid w:val="00EE4544"/>
    <w:rsid w:val="00EE4FC3"/>
    <w:rsid w:val="00EE6FAC"/>
    <w:rsid w:val="00F028FD"/>
    <w:rsid w:val="00F02C33"/>
    <w:rsid w:val="00F03A95"/>
    <w:rsid w:val="00F05AB3"/>
    <w:rsid w:val="00F10134"/>
    <w:rsid w:val="00F15C91"/>
    <w:rsid w:val="00F202B2"/>
    <w:rsid w:val="00F24FEB"/>
    <w:rsid w:val="00F2697D"/>
    <w:rsid w:val="00F274A8"/>
    <w:rsid w:val="00F42AE3"/>
    <w:rsid w:val="00F4668E"/>
    <w:rsid w:val="00F54032"/>
    <w:rsid w:val="00F56969"/>
    <w:rsid w:val="00F57361"/>
    <w:rsid w:val="00F75838"/>
    <w:rsid w:val="00F8140F"/>
    <w:rsid w:val="00F83EBD"/>
    <w:rsid w:val="00F8702F"/>
    <w:rsid w:val="00F871B1"/>
    <w:rsid w:val="00F97038"/>
    <w:rsid w:val="00FA26A5"/>
    <w:rsid w:val="00FA36B2"/>
    <w:rsid w:val="00FA5A0C"/>
    <w:rsid w:val="00FB5D3F"/>
    <w:rsid w:val="00FB7E41"/>
    <w:rsid w:val="00FC24F4"/>
    <w:rsid w:val="00FC5B50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81"/>
    <w:pPr>
      <w:spacing w:after="200" w:line="276" w:lineRule="auto"/>
    </w:pPr>
    <w:rPr>
      <w:sz w:val="22"/>
      <w:szCs w:val="22"/>
      <w:lang w:val="it-IT" w:eastAsia="it-IT"/>
    </w:rPr>
  </w:style>
  <w:style w:type="paragraph" w:styleId="1">
    <w:name w:val="heading 1"/>
    <w:basedOn w:val="a"/>
    <w:link w:val="1Char"/>
    <w:uiPriority w:val="9"/>
    <w:qFormat/>
    <w:rsid w:val="00B6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62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rnl">
    <w:name w:val="jrnl"/>
    <w:basedOn w:val="a0"/>
    <w:rsid w:val="008F3180"/>
  </w:style>
  <w:style w:type="character" w:styleId="a3">
    <w:name w:val="Hyperlink"/>
    <w:uiPriority w:val="99"/>
    <w:unhideWhenUsed/>
    <w:rsid w:val="00A24F4E"/>
    <w:rPr>
      <w:color w:val="0000FF"/>
      <w:u w:val="single"/>
    </w:rPr>
  </w:style>
  <w:style w:type="table" w:styleId="a4">
    <w:name w:val="Table Grid"/>
    <w:basedOn w:val="a1"/>
    <w:uiPriority w:val="59"/>
    <w:rsid w:val="003E7141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E714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Char">
    <w:name w:val="批注框文本 Char"/>
    <w:link w:val="a5"/>
    <w:uiPriority w:val="99"/>
    <w:semiHidden/>
    <w:rsid w:val="003E7141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uiPriority w:val="99"/>
    <w:qFormat/>
    <w:rsid w:val="00311ED7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7">
    <w:name w:val="annotation text"/>
    <w:basedOn w:val="a"/>
    <w:link w:val="Char0"/>
    <w:uiPriority w:val="99"/>
    <w:qFormat/>
    <w:rsid w:val="00311ED7"/>
    <w:pPr>
      <w:widowControl w:val="0"/>
      <w:spacing w:after="0" w:line="240" w:lineRule="auto"/>
    </w:pPr>
    <w:rPr>
      <w:rFonts w:ascii="Tahoma" w:eastAsia="宋体" w:hAnsi="Tahoma"/>
      <w:kern w:val="2"/>
      <w:sz w:val="16"/>
      <w:szCs w:val="20"/>
      <w:lang w:val="en-US" w:eastAsia="zh-CN"/>
    </w:rPr>
  </w:style>
  <w:style w:type="character" w:customStyle="1" w:styleId="a8">
    <w:name w:val="批注文字 字符"/>
    <w:basedOn w:val="a0"/>
    <w:uiPriority w:val="99"/>
    <w:semiHidden/>
    <w:rsid w:val="00311ED7"/>
  </w:style>
  <w:style w:type="paragraph" w:customStyle="1" w:styleId="BodyA">
    <w:name w:val="Body A"/>
    <w:rsid w:val="00311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eastAsia="en-AU"/>
    </w:rPr>
  </w:style>
  <w:style w:type="character" w:customStyle="1" w:styleId="Char0">
    <w:name w:val="批注文字 Char"/>
    <w:link w:val="a7"/>
    <w:uiPriority w:val="99"/>
    <w:locked/>
    <w:rsid w:val="00311ED7"/>
    <w:rPr>
      <w:rFonts w:ascii="Tahoma" w:eastAsia="宋体" w:hAnsi="Tahoma" w:cs="Tahoma"/>
      <w:kern w:val="2"/>
      <w:sz w:val="16"/>
      <w:szCs w:val="20"/>
      <w:lang w:val="en-US" w:eastAsia="zh-CN"/>
    </w:rPr>
  </w:style>
  <w:style w:type="paragraph" w:styleId="a9">
    <w:name w:val="Plain Text"/>
    <w:basedOn w:val="a"/>
    <w:link w:val="Char1"/>
    <w:rsid w:val="00311ED7"/>
    <w:pPr>
      <w:widowControl w:val="0"/>
      <w:spacing w:after="0" w:line="240" w:lineRule="auto"/>
      <w:jc w:val="both"/>
    </w:pPr>
    <w:rPr>
      <w:rFonts w:ascii="宋体" w:eastAsia="宋体" w:hAnsi="Courier New"/>
      <w:kern w:val="2"/>
      <w:sz w:val="21"/>
      <w:szCs w:val="21"/>
      <w:lang w:val="en-US" w:eastAsia="zh-CN"/>
    </w:rPr>
  </w:style>
  <w:style w:type="character" w:customStyle="1" w:styleId="aa">
    <w:name w:val="纯文本 字符"/>
    <w:uiPriority w:val="99"/>
    <w:semiHidden/>
    <w:rsid w:val="00311ED7"/>
    <w:rPr>
      <w:rFonts w:ascii="Times New Roman" w:hAnsi="Courier New" w:cs="Courier New"/>
    </w:rPr>
  </w:style>
  <w:style w:type="character" w:customStyle="1" w:styleId="Char1">
    <w:name w:val="纯文本 Char"/>
    <w:link w:val="a9"/>
    <w:rsid w:val="00311ED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b">
    <w:name w:val="Normal (Web)"/>
    <w:basedOn w:val="a"/>
    <w:uiPriority w:val="99"/>
    <w:unhideWhenUsed/>
    <w:rsid w:val="00311ED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c">
    <w:name w:val="Strong"/>
    <w:uiPriority w:val="22"/>
    <w:qFormat/>
    <w:rsid w:val="00311ED7"/>
    <w:rPr>
      <w:b/>
      <w:bCs/>
    </w:rPr>
  </w:style>
  <w:style w:type="paragraph" w:styleId="ad">
    <w:name w:val="annotation subject"/>
    <w:basedOn w:val="a7"/>
    <w:next w:val="a7"/>
    <w:link w:val="Char2"/>
    <w:uiPriority w:val="99"/>
    <w:semiHidden/>
    <w:unhideWhenUsed/>
    <w:rsid w:val="00311ED7"/>
    <w:pPr>
      <w:widowControl/>
      <w:spacing w:after="200" w:line="276" w:lineRule="auto"/>
    </w:pPr>
    <w:rPr>
      <w:rFonts w:ascii="Calibri" w:eastAsia="Times New Roman" w:hAnsi="Calibri"/>
      <w:b/>
      <w:bCs/>
      <w:kern w:val="0"/>
      <w:sz w:val="22"/>
      <w:szCs w:val="22"/>
      <w:lang w:eastAsia="it-IT"/>
    </w:rPr>
  </w:style>
  <w:style w:type="character" w:customStyle="1" w:styleId="Char2">
    <w:name w:val="批注主题 Char"/>
    <w:link w:val="ad"/>
    <w:uiPriority w:val="99"/>
    <w:semiHidden/>
    <w:rsid w:val="00311ED7"/>
    <w:rPr>
      <w:rFonts w:ascii="Tahoma" w:eastAsia="宋体" w:hAnsi="Tahoma" w:cs="Tahoma"/>
      <w:b/>
      <w:bCs/>
      <w:kern w:val="2"/>
      <w:sz w:val="16"/>
      <w:szCs w:val="20"/>
      <w:lang w:val="en-US" w:eastAsia="zh-CN"/>
    </w:rPr>
  </w:style>
  <w:style w:type="paragraph" w:customStyle="1" w:styleId="EndNoteBibliography">
    <w:name w:val="EndNote Bibliography"/>
    <w:basedOn w:val="a"/>
    <w:link w:val="EndNoteBibliographyChar"/>
    <w:qFormat/>
    <w:rsid w:val="00311ED7"/>
    <w:pPr>
      <w:adjustRightInd w:val="0"/>
      <w:snapToGrid w:val="0"/>
      <w:spacing w:line="240" w:lineRule="auto"/>
      <w:jc w:val="center"/>
    </w:pPr>
    <w:rPr>
      <w:rFonts w:ascii="Tahoma" w:eastAsia="微软雅黑" w:hAnsi="Tahoma"/>
      <w:sz w:val="20"/>
      <w:szCs w:val="20"/>
      <w:lang w:val="en-US" w:eastAsia="zh-CN"/>
    </w:rPr>
  </w:style>
  <w:style w:type="character" w:customStyle="1" w:styleId="EndNoteBibliographyChar">
    <w:name w:val="EndNote Bibliography Char"/>
    <w:link w:val="EndNoteBibliography"/>
    <w:rsid w:val="00311ED7"/>
    <w:rPr>
      <w:rFonts w:ascii="Tahoma" w:eastAsia="微软雅黑" w:hAnsi="Tahoma" w:cs="Tahoma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C8558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6742D"/>
    <w:pPr>
      <w:ind w:left="720"/>
      <w:contextualSpacing/>
    </w:pPr>
    <w:rPr>
      <w:rFonts w:eastAsia="Calibri"/>
      <w:lang w:eastAsia="en-US"/>
    </w:rPr>
  </w:style>
  <w:style w:type="character" w:customStyle="1" w:styleId="dxebaseoffice2010blue">
    <w:name w:val="dxebase_office2010blue"/>
    <w:basedOn w:val="a0"/>
    <w:rsid w:val="000208FD"/>
  </w:style>
  <w:style w:type="paragraph" w:styleId="af">
    <w:name w:val="header"/>
    <w:basedOn w:val="a"/>
    <w:link w:val="Char3"/>
    <w:uiPriority w:val="99"/>
    <w:unhideWhenUsed/>
    <w:rsid w:val="00F8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3">
    <w:name w:val="页眉 Char"/>
    <w:basedOn w:val="a0"/>
    <w:link w:val="af"/>
    <w:uiPriority w:val="99"/>
    <w:rsid w:val="00F871B1"/>
  </w:style>
  <w:style w:type="paragraph" w:styleId="af0">
    <w:name w:val="footer"/>
    <w:basedOn w:val="a"/>
    <w:link w:val="Char4"/>
    <w:uiPriority w:val="99"/>
    <w:unhideWhenUsed/>
    <w:rsid w:val="00F8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4">
    <w:name w:val="页脚 Char"/>
    <w:basedOn w:val="a0"/>
    <w:link w:val="af0"/>
    <w:uiPriority w:val="99"/>
    <w:rsid w:val="00F871B1"/>
  </w:style>
  <w:style w:type="paragraph" w:styleId="af1">
    <w:name w:val="Revision"/>
    <w:hidden/>
    <w:uiPriority w:val="99"/>
    <w:semiHidden/>
    <w:rsid w:val="006121CF"/>
    <w:rPr>
      <w:sz w:val="22"/>
      <w:szCs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81"/>
    <w:pPr>
      <w:spacing w:after="200" w:line="276" w:lineRule="auto"/>
    </w:pPr>
    <w:rPr>
      <w:sz w:val="22"/>
      <w:szCs w:val="22"/>
      <w:lang w:val="it-IT" w:eastAsia="it-IT"/>
    </w:rPr>
  </w:style>
  <w:style w:type="paragraph" w:styleId="1">
    <w:name w:val="heading 1"/>
    <w:basedOn w:val="a"/>
    <w:link w:val="1Char"/>
    <w:uiPriority w:val="9"/>
    <w:qFormat/>
    <w:rsid w:val="00B6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62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rnl">
    <w:name w:val="jrnl"/>
    <w:basedOn w:val="a0"/>
    <w:rsid w:val="008F3180"/>
  </w:style>
  <w:style w:type="character" w:styleId="a3">
    <w:name w:val="Hyperlink"/>
    <w:uiPriority w:val="99"/>
    <w:unhideWhenUsed/>
    <w:rsid w:val="00A24F4E"/>
    <w:rPr>
      <w:color w:val="0000FF"/>
      <w:u w:val="single"/>
    </w:rPr>
  </w:style>
  <w:style w:type="table" w:styleId="a4">
    <w:name w:val="Table Grid"/>
    <w:basedOn w:val="a1"/>
    <w:uiPriority w:val="59"/>
    <w:rsid w:val="003E7141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E714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Char">
    <w:name w:val="批注框文本 Char"/>
    <w:link w:val="a5"/>
    <w:uiPriority w:val="99"/>
    <w:semiHidden/>
    <w:rsid w:val="003E7141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uiPriority w:val="99"/>
    <w:qFormat/>
    <w:rsid w:val="00311ED7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7">
    <w:name w:val="annotation text"/>
    <w:basedOn w:val="a"/>
    <w:link w:val="Char0"/>
    <w:uiPriority w:val="99"/>
    <w:qFormat/>
    <w:rsid w:val="00311ED7"/>
    <w:pPr>
      <w:widowControl w:val="0"/>
      <w:spacing w:after="0" w:line="240" w:lineRule="auto"/>
    </w:pPr>
    <w:rPr>
      <w:rFonts w:ascii="Tahoma" w:eastAsia="宋体" w:hAnsi="Tahoma"/>
      <w:kern w:val="2"/>
      <w:sz w:val="16"/>
      <w:szCs w:val="20"/>
      <w:lang w:val="en-US" w:eastAsia="zh-CN"/>
    </w:rPr>
  </w:style>
  <w:style w:type="character" w:customStyle="1" w:styleId="a8">
    <w:name w:val="批注文字 字符"/>
    <w:basedOn w:val="a0"/>
    <w:uiPriority w:val="99"/>
    <w:semiHidden/>
    <w:rsid w:val="00311ED7"/>
  </w:style>
  <w:style w:type="paragraph" w:customStyle="1" w:styleId="BodyA">
    <w:name w:val="Body A"/>
    <w:rsid w:val="00311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eastAsia="en-AU"/>
    </w:rPr>
  </w:style>
  <w:style w:type="character" w:customStyle="1" w:styleId="Char0">
    <w:name w:val="批注文字 Char"/>
    <w:link w:val="a7"/>
    <w:uiPriority w:val="99"/>
    <w:locked/>
    <w:rsid w:val="00311ED7"/>
    <w:rPr>
      <w:rFonts w:ascii="Tahoma" w:eastAsia="宋体" w:hAnsi="Tahoma" w:cs="Tahoma"/>
      <w:kern w:val="2"/>
      <w:sz w:val="16"/>
      <w:szCs w:val="20"/>
      <w:lang w:val="en-US" w:eastAsia="zh-CN"/>
    </w:rPr>
  </w:style>
  <w:style w:type="paragraph" w:styleId="a9">
    <w:name w:val="Plain Text"/>
    <w:basedOn w:val="a"/>
    <w:link w:val="Char1"/>
    <w:rsid w:val="00311ED7"/>
    <w:pPr>
      <w:widowControl w:val="0"/>
      <w:spacing w:after="0" w:line="240" w:lineRule="auto"/>
      <w:jc w:val="both"/>
    </w:pPr>
    <w:rPr>
      <w:rFonts w:ascii="宋体" w:eastAsia="宋体" w:hAnsi="Courier New"/>
      <w:kern w:val="2"/>
      <w:sz w:val="21"/>
      <w:szCs w:val="21"/>
      <w:lang w:val="en-US" w:eastAsia="zh-CN"/>
    </w:rPr>
  </w:style>
  <w:style w:type="character" w:customStyle="1" w:styleId="aa">
    <w:name w:val="纯文本 字符"/>
    <w:uiPriority w:val="99"/>
    <w:semiHidden/>
    <w:rsid w:val="00311ED7"/>
    <w:rPr>
      <w:rFonts w:ascii="Times New Roman" w:hAnsi="Courier New" w:cs="Courier New"/>
    </w:rPr>
  </w:style>
  <w:style w:type="character" w:customStyle="1" w:styleId="Char1">
    <w:name w:val="纯文本 Char"/>
    <w:link w:val="a9"/>
    <w:rsid w:val="00311ED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b">
    <w:name w:val="Normal (Web)"/>
    <w:basedOn w:val="a"/>
    <w:uiPriority w:val="99"/>
    <w:unhideWhenUsed/>
    <w:rsid w:val="00311ED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c">
    <w:name w:val="Strong"/>
    <w:uiPriority w:val="22"/>
    <w:qFormat/>
    <w:rsid w:val="00311ED7"/>
    <w:rPr>
      <w:b/>
      <w:bCs/>
    </w:rPr>
  </w:style>
  <w:style w:type="paragraph" w:styleId="ad">
    <w:name w:val="annotation subject"/>
    <w:basedOn w:val="a7"/>
    <w:next w:val="a7"/>
    <w:link w:val="Char2"/>
    <w:uiPriority w:val="99"/>
    <w:semiHidden/>
    <w:unhideWhenUsed/>
    <w:rsid w:val="00311ED7"/>
    <w:pPr>
      <w:widowControl/>
      <w:spacing w:after="200" w:line="276" w:lineRule="auto"/>
    </w:pPr>
    <w:rPr>
      <w:rFonts w:ascii="Calibri" w:eastAsia="Times New Roman" w:hAnsi="Calibri"/>
      <w:b/>
      <w:bCs/>
      <w:kern w:val="0"/>
      <w:sz w:val="22"/>
      <w:szCs w:val="22"/>
      <w:lang w:eastAsia="it-IT"/>
    </w:rPr>
  </w:style>
  <w:style w:type="character" w:customStyle="1" w:styleId="Char2">
    <w:name w:val="批注主题 Char"/>
    <w:link w:val="ad"/>
    <w:uiPriority w:val="99"/>
    <w:semiHidden/>
    <w:rsid w:val="00311ED7"/>
    <w:rPr>
      <w:rFonts w:ascii="Tahoma" w:eastAsia="宋体" w:hAnsi="Tahoma" w:cs="Tahoma"/>
      <w:b/>
      <w:bCs/>
      <w:kern w:val="2"/>
      <w:sz w:val="16"/>
      <w:szCs w:val="20"/>
      <w:lang w:val="en-US" w:eastAsia="zh-CN"/>
    </w:rPr>
  </w:style>
  <w:style w:type="paragraph" w:customStyle="1" w:styleId="EndNoteBibliography">
    <w:name w:val="EndNote Bibliography"/>
    <w:basedOn w:val="a"/>
    <w:link w:val="EndNoteBibliographyChar"/>
    <w:qFormat/>
    <w:rsid w:val="00311ED7"/>
    <w:pPr>
      <w:adjustRightInd w:val="0"/>
      <w:snapToGrid w:val="0"/>
      <w:spacing w:line="240" w:lineRule="auto"/>
      <w:jc w:val="center"/>
    </w:pPr>
    <w:rPr>
      <w:rFonts w:ascii="Tahoma" w:eastAsia="微软雅黑" w:hAnsi="Tahoma"/>
      <w:sz w:val="20"/>
      <w:szCs w:val="20"/>
      <w:lang w:val="en-US" w:eastAsia="zh-CN"/>
    </w:rPr>
  </w:style>
  <w:style w:type="character" w:customStyle="1" w:styleId="EndNoteBibliographyChar">
    <w:name w:val="EndNote Bibliography Char"/>
    <w:link w:val="EndNoteBibliography"/>
    <w:rsid w:val="00311ED7"/>
    <w:rPr>
      <w:rFonts w:ascii="Tahoma" w:eastAsia="微软雅黑" w:hAnsi="Tahoma" w:cs="Tahoma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C8558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6742D"/>
    <w:pPr>
      <w:ind w:left="720"/>
      <w:contextualSpacing/>
    </w:pPr>
    <w:rPr>
      <w:rFonts w:eastAsia="Calibri"/>
      <w:lang w:eastAsia="en-US"/>
    </w:rPr>
  </w:style>
  <w:style w:type="character" w:customStyle="1" w:styleId="dxebaseoffice2010blue">
    <w:name w:val="dxebase_office2010blue"/>
    <w:basedOn w:val="a0"/>
    <w:rsid w:val="000208FD"/>
  </w:style>
  <w:style w:type="paragraph" w:styleId="af">
    <w:name w:val="header"/>
    <w:basedOn w:val="a"/>
    <w:link w:val="Char3"/>
    <w:uiPriority w:val="99"/>
    <w:unhideWhenUsed/>
    <w:rsid w:val="00F8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3">
    <w:name w:val="页眉 Char"/>
    <w:basedOn w:val="a0"/>
    <w:link w:val="af"/>
    <w:uiPriority w:val="99"/>
    <w:rsid w:val="00F871B1"/>
  </w:style>
  <w:style w:type="paragraph" w:styleId="af0">
    <w:name w:val="footer"/>
    <w:basedOn w:val="a"/>
    <w:link w:val="Char4"/>
    <w:uiPriority w:val="99"/>
    <w:unhideWhenUsed/>
    <w:rsid w:val="00F8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4">
    <w:name w:val="页脚 Char"/>
    <w:basedOn w:val="a0"/>
    <w:link w:val="af0"/>
    <w:uiPriority w:val="99"/>
    <w:rsid w:val="00F871B1"/>
  </w:style>
  <w:style w:type="paragraph" w:styleId="af1">
    <w:name w:val="Revision"/>
    <w:hidden/>
    <w:uiPriority w:val="99"/>
    <w:semiHidden/>
    <w:rsid w:val="006121CF"/>
    <w:rPr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a\Desktop\istiocitosi%20a%20cellule%20del%20langherans2\data%20base%20talidomid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1"/>
        <c:ser>
          <c:idx val="0"/>
          <c:order val="0"/>
          <c:tx>
            <c:strRef>
              <c:f>Foglio2!$B$1</c:f>
              <c:strCache>
                <c:ptCount val="1"/>
                <c:pt idx="0">
                  <c:v>NAD/ADR</c:v>
                </c:pt>
              </c:strCache>
            </c:strRef>
          </c:tx>
          <c:spPr>
            <a:solidFill>
              <a:srgbClr val="FFFFFF"/>
            </a:solidFill>
            <a:ln>
              <a:solidFill>
                <a:prstClr val="black"/>
              </a:solidFill>
            </a:ln>
          </c:spPr>
          <c:invertIfNegative val="1"/>
          <c:cat>
            <c:strRef>
              <c:f>Foglio2!$A$2:$A$3</c:f>
              <c:strCache>
                <c:ptCount val="2"/>
                <c:pt idx="0">
                  <c:v>SSLCH</c:v>
                </c:pt>
                <c:pt idx="1">
                  <c:v>MSLCH</c:v>
                </c:pt>
              </c:strCache>
            </c:strRef>
          </c:cat>
          <c:val>
            <c:numRef>
              <c:f>Foglio2!$B$2:$B$3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B7-4181-A2A3-D91295789BE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prstClr val="black"/>
                    </a:solidFill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Foglio2!$C$1</c:f>
              <c:strCache>
                <c:ptCount val="1"/>
                <c:pt idx="0">
                  <c:v>ADS</c:v>
                </c:pt>
              </c:strCache>
            </c:strRef>
          </c:tx>
          <c:spPr>
            <a:solidFill>
              <a:srgbClr val="D9D9D9"/>
            </a:solidFill>
            <a:ln>
              <a:solidFill>
                <a:prstClr val="black"/>
              </a:solidFill>
            </a:ln>
          </c:spPr>
          <c:invertIfNegative val="1"/>
          <c:cat>
            <c:strRef>
              <c:f>Foglio2!$A$2:$A$3</c:f>
              <c:strCache>
                <c:ptCount val="2"/>
                <c:pt idx="0">
                  <c:v>SSLCH</c:v>
                </c:pt>
                <c:pt idx="1">
                  <c:v>MSLCH</c:v>
                </c:pt>
              </c:strCache>
            </c:strRef>
          </c:cat>
          <c:val>
            <c:numRef>
              <c:f>Foglio2!$C$2:$C$3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B7-4181-A2A3-D91295789BE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prstClr val="black"/>
                    </a:solidFill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Foglio2!$D$1</c:f>
              <c:strCache>
                <c:ptCount val="1"/>
                <c:pt idx="0">
                  <c:v>PD</c:v>
                </c:pt>
              </c:strCache>
            </c:strRef>
          </c:tx>
          <c:spPr>
            <a:solidFill>
              <a:srgbClr val="000000"/>
            </a:solidFill>
            <a:ln>
              <a:solidFill>
                <a:prstClr val="black"/>
              </a:solidFill>
            </a:ln>
          </c:spPr>
          <c:invertIfNegative val="1"/>
          <c:cat>
            <c:strRef>
              <c:f>Foglio2!$A$2:$A$3</c:f>
              <c:strCache>
                <c:ptCount val="2"/>
                <c:pt idx="0">
                  <c:v>SSLCH</c:v>
                </c:pt>
                <c:pt idx="1">
                  <c:v>MSLCH</c:v>
                </c:pt>
              </c:strCache>
            </c:strRef>
          </c:cat>
          <c:val>
            <c:numRef>
              <c:f>Foglio2!$D$2:$D$3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B7-4181-A2A3-D91295789BE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prstClr val="black"/>
                    </a:solidFill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425920"/>
        <c:axId val="147427712"/>
      </c:barChart>
      <c:catAx>
        <c:axId val="14742592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47427712"/>
        <c:crosses val="autoZero"/>
        <c:auto val="1"/>
        <c:lblAlgn val="ctr"/>
        <c:lblOffset val="100"/>
        <c:noMultiLvlLbl val="1"/>
      </c:catAx>
      <c:valAx>
        <c:axId val="147427712"/>
        <c:scaling>
          <c:orientation val="minMax"/>
        </c:scaling>
        <c:delete val="1"/>
        <c:axPos val="l"/>
        <c:numFmt formatCode="0%" sourceLinked="1"/>
        <c:majorTickMark val="cross"/>
        <c:minorTickMark val="cross"/>
        <c:tickLblPos val="nextTo"/>
        <c:crossAx val="1474259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legendEntry>
      <c:overlay val="1"/>
    </c:legend>
    <c:plotVisOnly val="1"/>
    <c:dispBlanksAs val="gap"/>
    <c:showDLblsOverMax val="1"/>
  </c:chart>
  <c:externalData r:id="rId2">
    <c:autoUpdate val="1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BBF6-7AA2-4EBB-8890-35C15D60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5181</Words>
  <Characters>29535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</cp:revision>
  <dcterms:created xsi:type="dcterms:W3CDTF">2019-12-20T07:40:00Z</dcterms:created>
  <dcterms:modified xsi:type="dcterms:W3CDTF">2019-12-20T07:42:00Z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43756.4400462963</vt:r8>
  </property>
  <property fmtid="{D5CDD505-2E9C-101B-9397-08002B2CF9AE}" pid="4" name="EditTimer">
    <vt:i4>6335</vt:i4>
  </property>
</Properties>
</file>