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2CC7" w14:textId="61FB4DC1" w:rsidR="00552C6C" w:rsidRPr="00567DF9" w:rsidRDefault="007D417F" w:rsidP="00567DF9">
      <w:pPr>
        <w:spacing w:line="360" w:lineRule="auto"/>
        <w:ind w:right="156"/>
        <w:jc w:val="both"/>
        <w:rPr>
          <w:rFonts w:ascii="Book Antiqua" w:eastAsia="Book Antiqua" w:hAnsi="Book Antiqua"/>
          <w:i/>
          <w:color w:val="000000" w:themeColor="text1"/>
        </w:rPr>
      </w:pPr>
      <w:r w:rsidRPr="00567DF9">
        <w:rPr>
          <w:rFonts w:ascii="Book Antiqua" w:eastAsia="Book Antiqua" w:hAnsi="Book Antiqua"/>
          <w:b/>
          <w:color w:val="000000" w:themeColor="text1"/>
        </w:rPr>
        <w:t xml:space="preserve">Name of Journal: </w:t>
      </w:r>
      <w:r w:rsidRPr="00567DF9">
        <w:rPr>
          <w:rFonts w:ascii="Book Antiqua" w:eastAsia="Book Antiqua" w:hAnsi="Book Antiqua"/>
          <w:i/>
          <w:color w:val="000000" w:themeColor="text1"/>
        </w:rPr>
        <w:t>World Journal of Gastrointestinal Surgery</w:t>
      </w:r>
    </w:p>
    <w:p w14:paraId="106BAF1B" w14:textId="77777777" w:rsidR="00552C6C" w:rsidRPr="00567DF9" w:rsidRDefault="007D417F" w:rsidP="00567DF9">
      <w:pPr>
        <w:spacing w:line="360" w:lineRule="auto"/>
        <w:ind w:right="156"/>
        <w:jc w:val="both"/>
        <w:rPr>
          <w:rFonts w:ascii="Book Antiqua" w:hAnsi="Book Antiqua"/>
          <w:color w:val="000000" w:themeColor="text1"/>
        </w:rPr>
      </w:pPr>
      <w:r w:rsidRPr="00567DF9">
        <w:rPr>
          <w:rFonts w:ascii="Book Antiqua" w:eastAsia="Book Antiqua" w:hAnsi="Book Antiqua"/>
          <w:b/>
          <w:color w:val="000000" w:themeColor="text1"/>
        </w:rPr>
        <w:t xml:space="preserve">Manuscript NO: </w:t>
      </w:r>
      <w:r w:rsidRPr="00567DF9">
        <w:rPr>
          <w:rFonts w:ascii="Book Antiqua" w:hAnsi="Book Antiqua"/>
          <w:color w:val="000000" w:themeColor="text1"/>
        </w:rPr>
        <w:t>47832</w:t>
      </w:r>
    </w:p>
    <w:p w14:paraId="0E294600" w14:textId="77777777" w:rsidR="00552C6C" w:rsidRPr="00567DF9" w:rsidRDefault="007D417F" w:rsidP="00567DF9">
      <w:pPr>
        <w:spacing w:line="360" w:lineRule="auto"/>
        <w:ind w:right="156"/>
        <w:jc w:val="both"/>
        <w:rPr>
          <w:rFonts w:ascii="Book Antiqua" w:eastAsia="Book Antiqua" w:hAnsi="Book Antiqua"/>
          <w:color w:val="000000" w:themeColor="text1"/>
        </w:rPr>
      </w:pPr>
      <w:r w:rsidRPr="00567DF9">
        <w:rPr>
          <w:rFonts w:ascii="Book Antiqua" w:eastAsia="Book Antiqua" w:hAnsi="Book Antiqua"/>
          <w:b/>
          <w:color w:val="000000" w:themeColor="text1"/>
        </w:rPr>
        <w:t xml:space="preserve">Manuscript Type: </w:t>
      </w:r>
      <w:bookmarkStart w:id="0" w:name="_Hlk6588537"/>
      <w:bookmarkStart w:id="1" w:name="_Hlk6581159"/>
      <w:bookmarkEnd w:id="0"/>
      <w:bookmarkEnd w:id="1"/>
      <w:r w:rsidRPr="00567DF9">
        <w:rPr>
          <w:rFonts w:ascii="Book Antiqua" w:eastAsia="Book Antiqua" w:hAnsi="Book Antiqua"/>
          <w:color w:val="000000" w:themeColor="text1"/>
        </w:rPr>
        <w:t>MINIREVIEWS</w:t>
      </w:r>
    </w:p>
    <w:p w14:paraId="6C92186C" w14:textId="77777777" w:rsidR="00427874" w:rsidRPr="00567DF9" w:rsidRDefault="00427874" w:rsidP="00567DF9">
      <w:pPr>
        <w:spacing w:line="360" w:lineRule="auto"/>
        <w:ind w:right="156"/>
        <w:jc w:val="both"/>
        <w:rPr>
          <w:rFonts w:ascii="Book Antiqua" w:hAnsi="Book Antiqua"/>
          <w:color w:val="000000" w:themeColor="text1"/>
        </w:rPr>
      </w:pPr>
    </w:p>
    <w:p w14:paraId="606F2166" w14:textId="4D940C6A" w:rsidR="00552C6C" w:rsidRPr="00567DF9" w:rsidRDefault="007D417F" w:rsidP="00567DF9">
      <w:pPr>
        <w:spacing w:line="360" w:lineRule="auto"/>
        <w:jc w:val="both"/>
        <w:rPr>
          <w:rFonts w:ascii="Book Antiqua" w:hAnsi="Book Antiqua"/>
          <w:color w:val="000000" w:themeColor="text1"/>
        </w:rPr>
      </w:pPr>
      <w:bookmarkStart w:id="2" w:name="OLE_LINK1"/>
      <w:r w:rsidRPr="00567DF9">
        <w:rPr>
          <w:rFonts w:ascii="Book Antiqua" w:hAnsi="Book Antiqua"/>
          <w:b/>
          <w:color w:val="000000" w:themeColor="text1"/>
          <w:lang w:val="en-GB"/>
        </w:rPr>
        <w:t xml:space="preserve">Neoadjuvant therapy in the treatment of hilar cholangiocarcinoma: </w:t>
      </w:r>
      <w:r w:rsidR="00A2430A" w:rsidRPr="00567DF9">
        <w:rPr>
          <w:rFonts w:ascii="Book Antiqua" w:hAnsi="Book Antiqua"/>
          <w:b/>
          <w:color w:val="000000" w:themeColor="text1"/>
          <w:lang w:val="en-GB"/>
        </w:rPr>
        <w:t xml:space="preserve">Review </w:t>
      </w:r>
      <w:r w:rsidRPr="00567DF9">
        <w:rPr>
          <w:rFonts w:ascii="Book Antiqua" w:hAnsi="Book Antiqua"/>
          <w:b/>
          <w:color w:val="000000" w:themeColor="text1"/>
          <w:lang w:val="en-GB"/>
        </w:rPr>
        <w:t>of the literature</w:t>
      </w:r>
    </w:p>
    <w:bookmarkEnd w:id="2"/>
    <w:p w14:paraId="22613720" w14:textId="77777777" w:rsidR="00552C6C" w:rsidRPr="00567DF9" w:rsidRDefault="00552C6C" w:rsidP="00567DF9">
      <w:pPr>
        <w:spacing w:line="360" w:lineRule="auto"/>
        <w:jc w:val="both"/>
        <w:rPr>
          <w:rFonts w:ascii="Book Antiqua" w:hAnsi="Book Antiqua"/>
          <w:color w:val="000000" w:themeColor="text1"/>
          <w:lang w:val="en-US"/>
        </w:rPr>
      </w:pPr>
    </w:p>
    <w:p w14:paraId="4B4CA6F7" w14:textId="35A9FFEE" w:rsidR="00427874" w:rsidRPr="00567DF9" w:rsidRDefault="007D417F" w:rsidP="00567DF9">
      <w:pPr>
        <w:snapToGrid w:val="0"/>
        <w:spacing w:line="360" w:lineRule="auto"/>
        <w:jc w:val="both"/>
        <w:rPr>
          <w:rFonts w:ascii="Book Antiqua" w:hAnsi="Book Antiqua"/>
          <w:color w:val="000000" w:themeColor="text1"/>
        </w:rPr>
      </w:pPr>
      <w:r w:rsidRPr="00567DF9">
        <w:rPr>
          <w:rFonts w:ascii="Book Antiqua" w:hAnsi="Book Antiqua"/>
          <w:color w:val="000000" w:themeColor="text1"/>
        </w:rPr>
        <w:t xml:space="preserve">Frosio F </w:t>
      </w:r>
      <w:r w:rsidRPr="00567DF9">
        <w:rPr>
          <w:rFonts w:ascii="Book Antiqua" w:hAnsi="Book Antiqua"/>
          <w:i/>
          <w:iCs/>
          <w:color w:val="000000" w:themeColor="text1"/>
        </w:rPr>
        <w:t>et al.</w:t>
      </w:r>
      <w:r w:rsidR="00A47007" w:rsidRPr="00567DF9">
        <w:rPr>
          <w:rFonts w:ascii="Book Antiqua" w:hAnsi="Book Antiqua"/>
          <w:color w:val="000000" w:themeColor="text1"/>
        </w:rPr>
        <w:t xml:space="preserve"> </w:t>
      </w:r>
      <w:bookmarkStart w:id="3" w:name="OLE_LINK12"/>
      <w:r w:rsidR="00A47007" w:rsidRPr="00567DF9">
        <w:rPr>
          <w:rFonts w:ascii="Book Antiqua" w:hAnsi="Book Antiqua"/>
          <w:color w:val="000000" w:themeColor="text1"/>
        </w:rPr>
        <w:t>RCT</w:t>
      </w:r>
      <w:r w:rsidRPr="00567DF9">
        <w:rPr>
          <w:rFonts w:ascii="Book Antiqua" w:hAnsi="Book Antiqua"/>
          <w:color w:val="000000" w:themeColor="text1"/>
        </w:rPr>
        <w:t xml:space="preserve"> before resection/transplantation for hilar </w:t>
      </w:r>
      <w:r w:rsidR="00A47007" w:rsidRPr="00567DF9">
        <w:rPr>
          <w:rFonts w:ascii="Book Antiqua" w:hAnsi="Book Antiqua"/>
          <w:color w:val="000000" w:themeColor="text1"/>
        </w:rPr>
        <w:t>CCA</w:t>
      </w:r>
    </w:p>
    <w:bookmarkEnd w:id="3"/>
    <w:p w14:paraId="56C1E2C7" w14:textId="77777777" w:rsidR="00552C6C" w:rsidRPr="00567DF9" w:rsidRDefault="00552C6C" w:rsidP="00567DF9">
      <w:pPr>
        <w:snapToGrid w:val="0"/>
        <w:spacing w:line="360" w:lineRule="auto"/>
        <w:jc w:val="both"/>
        <w:rPr>
          <w:rFonts w:ascii="Book Antiqua" w:hAnsi="Book Antiqua"/>
          <w:color w:val="000000" w:themeColor="text1"/>
        </w:rPr>
      </w:pPr>
    </w:p>
    <w:p w14:paraId="6725E1EE" w14:textId="7E07407A" w:rsidR="00552C6C" w:rsidRPr="00567DF9" w:rsidRDefault="007D417F" w:rsidP="00567DF9">
      <w:pPr>
        <w:spacing w:line="360" w:lineRule="auto"/>
        <w:jc w:val="both"/>
        <w:rPr>
          <w:rFonts w:ascii="Book Antiqua" w:hAnsi="Book Antiqua"/>
          <w:color w:val="000000" w:themeColor="text1"/>
        </w:rPr>
      </w:pPr>
      <w:r w:rsidRPr="00567DF9">
        <w:rPr>
          <w:rFonts w:ascii="Book Antiqua" w:hAnsi="Book Antiqua"/>
          <w:color w:val="000000" w:themeColor="text1"/>
        </w:rPr>
        <w:t>Fabio</w:t>
      </w:r>
      <w:r w:rsidR="00427874" w:rsidRPr="00567DF9">
        <w:rPr>
          <w:rFonts w:ascii="Book Antiqua" w:hAnsi="Book Antiqua"/>
          <w:color w:val="000000" w:themeColor="text1"/>
        </w:rPr>
        <w:t xml:space="preserve"> </w:t>
      </w:r>
      <w:r w:rsidRPr="00567DF9">
        <w:rPr>
          <w:rFonts w:ascii="Book Antiqua" w:hAnsi="Book Antiqua"/>
          <w:color w:val="000000" w:themeColor="text1"/>
        </w:rPr>
        <w:t xml:space="preserve">Frosio, Federico Mocchegiani, Grazia Conte, Enrico Dalla Bona, Andrea Vecchi, Daniele Nicolini, Marco Vivarelli </w:t>
      </w:r>
    </w:p>
    <w:p w14:paraId="03355813" w14:textId="77777777" w:rsidR="00427874" w:rsidRPr="00567DF9" w:rsidRDefault="00427874" w:rsidP="00567DF9">
      <w:pPr>
        <w:spacing w:line="360" w:lineRule="auto"/>
        <w:jc w:val="both"/>
        <w:rPr>
          <w:rFonts w:ascii="Book Antiqua" w:hAnsi="Book Antiqua"/>
          <w:color w:val="000000" w:themeColor="text1"/>
        </w:rPr>
      </w:pPr>
    </w:p>
    <w:p w14:paraId="032DAD02" w14:textId="74E2632C" w:rsidR="00552C6C" w:rsidRPr="00567DF9" w:rsidRDefault="007D417F" w:rsidP="00567DF9">
      <w:pPr>
        <w:spacing w:line="360" w:lineRule="auto"/>
        <w:jc w:val="both"/>
        <w:rPr>
          <w:rFonts w:ascii="Book Antiqua" w:hAnsi="Book Antiqua"/>
          <w:color w:val="000000" w:themeColor="text1"/>
        </w:rPr>
      </w:pPr>
      <w:r w:rsidRPr="00567DF9">
        <w:rPr>
          <w:rFonts w:ascii="Book Antiqua" w:hAnsi="Book Antiqua"/>
          <w:b/>
          <w:bCs/>
          <w:color w:val="000000" w:themeColor="text1"/>
          <w:lang w:val="en-GB"/>
        </w:rPr>
        <w:t xml:space="preserve">Fabio </w:t>
      </w:r>
      <w:proofErr w:type="spellStart"/>
      <w:r w:rsidRPr="00567DF9">
        <w:rPr>
          <w:rFonts w:ascii="Book Antiqua" w:hAnsi="Book Antiqua"/>
          <w:b/>
          <w:bCs/>
          <w:color w:val="000000" w:themeColor="text1"/>
          <w:lang w:val="en-GB"/>
        </w:rPr>
        <w:t>Frosio</w:t>
      </w:r>
      <w:proofErr w:type="spellEnd"/>
      <w:r w:rsidRPr="00567DF9">
        <w:rPr>
          <w:rFonts w:ascii="Book Antiqua" w:hAnsi="Book Antiqua"/>
          <w:b/>
          <w:bCs/>
          <w:color w:val="000000" w:themeColor="text1"/>
          <w:lang w:val="en-GB"/>
        </w:rPr>
        <w:t xml:space="preserve">, Federico </w:t>
      </w:r>
      <w:proofErr w:type="spellStart"/>
      <w:r w:rsidRPr="00567DF9">
        <w:rPr>
          <w:rFonts w:ascii="Book Antiqua" w:hAnsi="Book Antiqua"/>
          <w:b/>
          <w:bCs/>
          <w:color w:val="000000" w:themeColor="text1"/>
          <w:lang w:val="en-GB"/>
        </w:rPr>
        <w:t>Mocchegiani</w:t>
      </w:r>
      <w:proofErr w:type="spellEnd"/>
      <w:r w:rsidRPr="00567DF9">
        <w:rPr>
          <w:rFonts w:ascii="Book Antiqua" w:hAnsi="Book Antiqua"/>
          <w:b/>
          <w:bCs/>
          <w:color w:val="000000" w:themeColor="text1"/>
          <w:lang w:val="en-GB"/>
        </w:rPr>
        <w:t xml:space="preserve">, Grazia Conte, Enrico Dalla Bona, Andrea </w:t>
      </w:r>
      <w:proofErr w:type="spellStart"/>
      <w:r w:rsidRPr="00567DF9">
        <w:rPr>
          <w:rFonts w:ascii="Book Antiqua" w:hAnsi="Book Antiqua"/>
          <w:b/>
          <w:bCs/>
          <w:color w:val="000000" w:themeColor="text1"/>
          <w:lang w:val="en-GB"/>
        </w:rPr>
        <w:t>Vecchi</w:t>
      </w:r>
      <w:proofErr w:type="spellEnd"/>
      <w:r w:rsidRPr="00567DF9">
        <w:rPr>
          <w:rFonts w:ascii="Book Antiqua" w:hAnsi="Book Antiqua"/>
          <w:b/>
          <w:bCs/>
          <w:color w:val="000000" w:themeColor="text1"/>
          <w:lang w:val="en-GB"/>
        </w:rPr>
        <w:t xml:space="preserve">, Daniele </w:t>
      </w:r>
      <w:proofErr w:type="spellStart"/>
      <w:r w:rsidRPr="00567DF9">
        <w:rPr>
          <w:rFonts w:ascii="Book Antiqua" w:hAnsi="Book Antiqua"/>
          <w:b/>
          <w:bCs/>
          <w:color w:val="000000" w:themeColor="text1"/>
          <w:lang w:val="en-GB"/>
        </w:rPr>
        <w:t>Nicolini</w:t>
      </w:r>
      <w:proofErr w:type="spellEnd"/>
      <w:r w:rsidRPr="00567DF9">
        <w:rPr>
          <w:rFonts w:ascii="Book Antiqua" w:hAnsi="Book Antiqua"/>
          <w:b/>
          <w:bCs/>
          <w:color w:val="000000" w:themeColor="text1"/>
          <w:lang w:val="en-GB"/>
        </w:rPr>
        <w:t xml:space="preserve">, Marco </w:t>
      </w:r>
      <w:proofErr w:type="spellStart"/>
      <w:r w:rsidRPr="00567DF9">
        <w:rPr>
          <w:rFonts w:ascii="Book Antiqua" w:hAnsi="Book Antiqua"/>
          <w:b/>
          <w:bCs/>
          <w:color w:val="000000" w:themeColor="text1"/>
          <w:lang w:val="en-GB"/>
        </w:rPr>
        <w:t>Vivarelli</w:t>
      </w:r>
      <w:proofErr w:type="spellEnd"/>
      <w:r w:rsidRPr="00567DF9">
        <w:rPr>
          <w:rFonts w:ascii="Book Antiqua" w:hAnsi="Book Antiqua"/>
          <w:b/>
          <w:bCs/>
          <w:color w:val="000000" w:themeColor="text1"/>
          <w:lang w:val="en-GB"/>
        </w:rPr>
        <w:t xml:space="preserve">, </w:t>
      </w:r>
      <w:r w:rsidR="00A47007" w:rsidRPr="00567DF9">
        <w:rPr>
          <w:rFonts w:ascii="Book Antiqua" w:hAnsi="Book Antiqua"/>
          <w:color w:val="000000" w:themeColor="text1"/>
          <w:lang w:val="en-GB"/>
        </w:rPr>
        <w:t>Unit of Hepato-pancreato-biliary and Transplant Surgery, Department of Experimental and Clinical Medicine, Polytechnic University of Marche,</w:t>
      </w:r>
      <w:r w:rsidRPr="00567DF9">
        <w:rPr>
          <w:rFonts w:ascii="Book Antiqua" w:hAnsi="Book Antiqua"/>
          <w:bCs/>
          <w:color w:val="000000" w:themeColor="text1"/>
          <w:lang w:val="en-GB"/>
        </w:rPr>
        <w:t xml:space="preserve"> </w:t>
      </w:r>
      <w:r w:rsidR="00A2430A" w:rsidRPr="00567DF9">
        <w:rPr>
          <w:rFonts w:ascii="Book Antiqua" w:hAnsi="Book Antiqua"/>
          <w:bCs/>
          <w:color w:val="000000" w:themeColor="text1"/>
          <w:lang w:val="en-GB"/>
        </w:rPr>
        <w:t xml:space="preserve">Ancona </w:t>
      </w:r>
      <w:r w:rsidRPr="00567DF9">
        <w:rPr>
          <w:rFonts w:ascii="Book Antiqua" w:hAnsi="Book Antiqua"/>
          <w:bCs/>
          <w:color w:val="000000" w:themeColor="text1"/>
          <w:lang w:val="en-GB"/>
        </w:rPr>
        <w:t>6012</w:t>
      </w:r>
      <w:r w:rsidR="00427874" w:rsidRPr="00567DF9">
        <w:rPr>
          <w:rFonts w:ascii="Book Antiqua" w:hAnsi="Book Antiqua"/>
          <w:bCs/>
          <w:color w:val="000000" w:themeColor="text1"/>
          <w:lang w:val="en-GB"/>
        </w:rPr>
        <w:t>6</w:t>
      </w:r>
      <w:r w:rsidRPr="00567DF9">
        <w:rPr>
          <w:rFonts w:ascii="Book Antiqua" w:hAnsi="Book Antiqua"/>
          <w:bCs/>
          <w:color w:val="000000" w:themeColor="text1"/>
          <w:lang w:val="en-GB"/>
        </w:rPr>
        <w:t>, Italy</w:t>
      </w:r>
    </w:p>
    <w:p w14:paraId="0A52E57F" w14:textId="77777777" w:rsidR="00552C6C" w:rsidRPr="00567DF9" w:rsidRDefault="00552C6C" w:rsidP="00567DF9">
      <w:pPr>
        <w:spacing w:line="360" w:lineRule="auto"/>
        <w:jc w:val="both"/>
        <w:rPr>
          <w:rFonts w:ascii="Book Antiqua" w:hAnsi="Book Antiqua"/>
          <w:color w:val="000000" w:themeColor="text1"/>
          <w:lang w:val="en-US"/>
        </w:rPr>
      </w:pPr>
    </w:p>
    <w:p w14:paraId="293ADC5B" w14:textId="342398B9" w:rsidR="00552C6C" w:rsidRPr="00567DF9" w:rsidRDefault="00A47007" w:rsidP="00567DF9">
      <w:pPr>
        <w:snapToGrid w:val="0"/>
        <w:spacing w:line="360" w:lineRule="auto"/>
        <w:jc w:val="both"/>
        <w:rPr>
          <w:rFonts w:ascii="Book Antiqua" w:hAnsi="Book Antiqua"/>
          <w:color w:val="000000" w:themeColor="text1"/>
        </w:rPr>
      </w:pPr>
      <w:r w:rsidRPr="00567DF9">
        <w:rPr>
          <w:rFonts w:ascii="Book Antiqua" w:hAnsi="Book Antiqua" w:cs="Times New Roman"/>
          <w:b/>
        </w:rPr>
        <w:t>ORCID number:</w:t>
      </w:r>
      <w:r w:rsidR="007D417F" w:rsidRPr="00567DF9">
        <w:rPr>
          <w:rFonts w:ascii="Book Antiqua" w:hAnsi="Book Antiqua"/>
          <w:b/>
          <w:color w:val="000000" w:themeColor="text1"/>
          <w:lang w:val="en-GB"/>
        </w:rPr>
        <w:t xml:space="preserve"> </w:t>
      </w:r>
      <w:r w:rsidR="007D417F" w:rsidRPr="00567DF9">
        <w:rPr>
          <w:rFonts w:ascii="Book Antiqua" w:hAnsi="Book Antiqua"/>
          <w:color w:val="000000" w:themeColor="text1"/>
          <w:lang w:val="en-GB"/>
        </w:rPr>
        <w:t xml:space="preserve">Fabio </w:t>
      </w:r>
      <w:proofErr w:type="spellStart"/>
      <w:r w:rsidR="007D417F" w:rsidRPr="00567DF9">
        <w:rPr>
          <w:rFonts w:ascii="Book Antiqua" w:hAnsi="Book Antiqua"/>
          <w:color w:val="000000" w:themeColor="text1"/>
          <w:lang w:val="en-GB"/>
        </w:rPr>
        <w:t>Frosio</w:t>
      </w:r>
      <w:proofErr w:type="spellEnd"/>
      <w:r w:rsidR="007D417F" w:rsidRPr="00567DF9">
        <w:rPr>
          <w:rFonts w:ascii="Book Antiqua" w:hAnsi="Book Antiqua"/>
          <w:color w:val="000000" w:themeColor="text1"/>
          <w:lang w:val="en-GB"/>
        </w:rPr>
        <w:t xml:space="preserve"> (0000-0002-1706-9149); Federico </w:t>
      </w:r>
      <w:proofErr w:type="spellStart"/>
      <w:r w:rsidR="007D417F" w:rsidRPr="00567DF9">
        <w:rPr>
          <w:rFonts w:ascii="Book Antiqua" w:hAnsi="Book Antiqua"/>
          <w:color w:val="000000" w:themeColor="text1"/>
          <w:lang w:val="en-GB"/>
        </w:rPr>
        <w:t>Mocchegiani</w:t>
      </w:r>
      <w:proofErr w:type="spellEnd"/>
      <w:r w:rsidR="007D417F" w:rsidRPr="00567DF9">
        <w:rPr>
          <w:rFonts w:ascii="Book Antiqua" w:hAnsi="Book Antiqua"/>
          <w:color w:val="000000" w:themeColor="text1"/>
          <w:lang w:val="en-GB"/>
        </w:rPr>
        <w:t xml:space="preserve"> (0000-0002-8833-5360); Grazia Conte (0000-0002-3877-7355); Enrico Dalla Bona (0000-0002-9986-1083); Andrea </w:t>
      </w:r>
      <w:proofErr w:type="spellStart"/>
      <w:r w:rsidR="007D417F" w:rsidRPr="00567DF9">
        <w:rPr>
          <w:rFonts w:ascii="Book Antiqua" w:hAnsi="Book Antiqua"/>
          <w:color w:val="000000" w:themeColor="text1"/>
          <w:lang w:val="en-GB"/>
        </w:rPr>
        <w:t>Vecchi</w:t>
      </w:r>
      <w:proofErr w:type="spellEnd"/>
      <w:r w:rsidR="007D417F" w:rsidRPr="00567DF9">
        <w:rPr>
          <w:rFonts w:ascii="Book Antiqua" w:hAnsi="Book Antiqua"/>
          <w:color w:val="000000" w:themeColor="text1"/>
          <w:lang w:val="en-GB"/>
        </w:rPr>
        <w:t xml:space="preserve"> (</w:t>
      </w:r>
      <w:r w:rsidR="00347781" w:rsidRPr="00567DF9">
        <w:rPr>
          <w:rFonts w:ascii="Book Antiqua" w:hAnsi="Book Antiqua"/>
          <w:color w:val="000000" w:themeColor="text1"/>
          <w:lang w:val="en-GB"/>
        </w:rPr>
        <w:t>0000-0002-4626-6686</w:t>
      </w:r>
      <w:r w:rsidR="007D417F" w:rsidRPr="00567DF9">
        <w:rPr>
          <w:rFonts w:ascii="Book Antiqua" w:hAnsi="Book Antiqua"/>
          <w:color w:val="000000" w:themeColor="text1"/>
          <w:lang w:val="en-GB"/>
        </w:rPr>
        <w:t xml:space="preserve">); Daniele </w:t>
      </w:r>
      <w:proofErr w:type="spellStart"/>
      <w:r w:rsidR="007D417F" w:rsidRPr="00567DF9">
        <w:rPr>
          <w:rFonts w:ascii="Book Antiqua" w:hAnsi="Book Antiqua"/>
          <w:color w:val="000000" w:themeColor="text1"/>
          <w:lang w:val="en-GB"/>
        </w:rPr>
        <w:t>Nicolini</w:t>
      </w:r>
      <w:proofErr w:type="spellEnd"/>
      <w:r w:rsidR="007D417F" w:rsidRPr="00567DF9">
        <w:rPr>
          <w:rFonts w:ascii="Book Antiqua" w:hAnsi="Book Antiqua"/>
          <w:color w:val="000000" w:themeColor="text1"/>
          <w:lang w:val="en-GB"/>
        </w:rPr>
        <w:t xml:space="preserve"> (0000-0002-5477-3346); Marco </w:t>
      </w:r>
      <w:proofErr w:type="spellStart"/>
      <w:r w:rsidR="007D417F" w:rsidRPr="00567DF9">
        <w:rPr>
          <w:rFonts w:ascii="Book Antiqua" w:hAnsi="Book Antiqua"/>
          <w:color w:val="000000" w:themeColor="text1"/>
          <w:lang w:val="en-GB"/>
        </w:rPr>
        <w:t>Vivarelli</w:t>
      </w:r>
      <w:proofErr w:type="spellEnd"/>
      <w:r w:rsidR="007D417F" w:rsidRPr="00567DF9">
        <w:rPr>
          <w:rFonts w:ascii="Book Antiqua" w:hAnsi="Book Antiqua"/>
          <w:color w:val="000000" w:themeColor="text1"/>
          <w:lang w:val="en-GB"/>
        </w:rPr>
        <w:t xml:space="preserve"> (0000-0003-0500-9461).</w:t>
      </w:r>
    </w:p>
    <w:p w14:paraId="522467C3" w14:textId="77777777" w:rsidR="00552C6C" w:rsidRPr="00567DF9" w:rsidRDefault="00552C6C" w:rsidP="00567DF9">
      <w:pPr>
        <w:snapToGrid w:val="0"/>
        <w:spacing w:line="360" w:lineRule="auto"/>
        <w:jc w:val="both"/>
        <w:rPr>
          <w:rFonts w:ascii="Book Antiqua" w:hAnsi="Book Antiqua"/>
          <w:color w:val="000000" w:themeColor="text1"/>
        </w:rPr>
      </w:pPr>
    </w:p>
    <w:p w14:paraId="59AD9731" w14:textId="2901BC09" w:rsidR="00552C6C" w:rsidRPr="00567DF9" w:rsidRDefault="00A47007" w:rsidP="00567DF9">
      <w:pPr>
        <w:snapToGrid w:val="0"/>
        <w:spacing w:line="360" w:lineRule="auto"/>
        <w:jc w:val="both"/>
        <w:rPr>
          <w:rFonts w:ascii="Book Antiqua" w:hAnsi="Book Antiqua"/>
          <w:color w:val="000000" w:themeColor="text1"/>
        </w:rPr>
      </w:pPr>
      <w:bookmarkStart w:id="4" w:name="_Hlk8287081"/>
      <w:bookmarkStart w:id="5" w:name="_Hlk6588641"/>
      <w:bookmarkEnd w:id="4"/>
      <w:bookmarkEnd w:id="5"/>
      <w:r w:rsidRPr="00567DF9">
        <w:rPr>
          <w:rFonts w:ascii="Book Antiqua" w:eastAsia="Times New Roman" w:hAnsi="Book Antiqua"/>
          <w:b/>
        </w:rPr>
        <w:t>Author contributions:</w:t>
      </w:r>
      <w:r w:rsidRPr="00567DF9">
        <w:rPr>
          <w:rFonts w:ascii="Book Antiqua" w:eastAsia="Times New Roman" w:hAnsi="Book Antiqua"/>
        </w:rPr>
        <w:t xml:space="preserve"> </w:t>
      </w:r>
      <w:proofErr w:type="spellStart"/>
      <w:r w:rsidR="007D417F" w:rsidRPr="00567DF9">
        <w:rPr>
          <w:rFonts w:ascii="Book Antiqua" w:hAnsi="Book Antiqua"/>
          <w:color w:val="000000" w:themeColor="text1"/>
          <w:lang w:val="en-GB"/>
        </w:rPr>
        <w:t>Frosio</w:t>
      </w:r>
      <w:proofErr w:type="spellEnd"/>
      <w:r w:rsidR="007D417F" w:rsidRPr="00567DF9">
        <w:rPr>
          <w:rFonts w:ascii="Book Antiqua" w:hAnsi="Book Antiqua"/>
          <w:color w:val="000000" w:themeColor="text1"/>
          <w:lang w:val="en-GB"/>
        </w:rPr>
        <w:t xml:space="preserve"> F collected the majority of data and wrote the paper; </w:t>
      </w:r>
      <w:proofErr w:type="spellStart"/>
      <w:r w:rsidR="007D417F" w:rsidRPr="00567DF9">
        <w:rPr>
          <w:rFonts w:ascii="Book Antiqua" w:hAnsi="Book Antiqua"/>
          <w:color w:val="000000" w:themeColor="text1"/>
          <w:lang w:val="en-GB"/>
        </w:rPr>
        <w:t>Mocchegiani</w:t>
      </w:r>
      <w:proofErr w:type="spellEnd"/>
      <w:r w:rsidR="007D417F" w:rsidRPr="00567DF9">
        <w:rPr>
          <w:rFonts w:ascii="Book Antiqua" w:hAnsi="Book Antiqua"/>
          <w:color w:val="000000" w:themeColor="text1"/>
          <w:lang w:val="en-GB"/>
        </w:rPr>
        <w:t xml:space="preserve"> F revised the manuscript; Conte G and Dalla Bona E helped in collecting the data about neoadjuvant therapy before resection; </w:t>
      </w:r>
      <w:proofErr w:type="spellStart"/>
      <w:r w:rsidR="007D417F" w:rsidRPr="00567DF9">
        <w:rPr>
          <w:rFonts w:ascii="Book Antiqua" w:hAnsi="Book Antiqua"/>
          <w:color w:val="000000" w:themeColor="text1"/>
          <w:lang w:val="en-GB"/>
        </w:rPr>
        <w:t>Vecchi</w:t>
      </w:r>
      <w:proofErr w:type="spellEnd"/>
      <w:r w:rsidR="007D417F" w:rsidRPr="00567DF9">
        <w:rPr>
          <w:rFonts w:ascii="Book Antiqua" w:hAnsi="Book Antiqua"/>
          <w:color w:val="000000" w:themeColor="text1"/>
          <w:lang w:val="en-GB"/>
        </w:rPr>
        <w:t xml:space="preserve"> A and </w:t>
      </w:r>
      <w:proofErr w:type="spellStart"/>
      <w:r w:rsidR="007D417F" w:rsidRPr="00567DF9">
        <w:rPr>
          <w:rFonts w:ascii="Book Antiqua" w:hAnsi="Book Antiqua"/>
          <w:color w:val="000000" w:themeColor="text1"/>
          <w:lang w:val="en-GB"/>
        </w:rPr>
        <w:t>Nicolini</w:t>
      </w:r>
      <w:proofErr w:type="spellEnd"/>
      <w:r w:rsidR="007D417F" w:rsidRPr="00567DF9">
        <w:rPr>
          <w:rFonts w:ascii="Book Antiqua" w:hAnsi="Book Antiqua"/>
          <w:color w:val="000000" w:themeColor="text1"/>
          <w:lang w:val="en-GB"/>
        </w:rPr>
        <w:t xml:space="preserve"> D finalized the research concerning the treatment prior to transplantation; </w:t>
      </w:r>
      <w:proofErr w:type="spellStart"/>
      <w:r w:rsidR="007D417F" w:rsidRPr="00567DF9">
        <w:rPr>
          <w:rFonts w:ascii="Book Antiqua" w:hAnsi="Book Antiqua"/>
          <w:color w:val="000000" w:themeColor="text1"/>
          <w:lang w:val="en-GB"/>
        </w:rPr>
        <w:t>Vivarelli</w:t>
      </w:r>
      <w:proofErr w:type="spellEnd"/>
      <w:r w:rsidR="007D417F" w:rsidRPr="00567DF9">
        <w:rPr>
          <w:rFonts w:ascii="Book Antiqua" w:hAnsi="Book Antiqua"/>
          <w:color w:val="000000" w:themeColor="text1"/>
          <w:lang w:val="en-GB"/>
        </w:rPr>
        <w:t xml:space="preserve"> M gave the input in realizing this review.</w:t>
      </w:r>
    </w:p>
    <w:p w14:paraId="738E11CF" w14:textId="77777777" w:rsidR="00552C6C" w:rsidRPr="00567DF9" w:rsidRDefault="00552C6C" w:rsidP="00567DF9">
      <w:pPr>
        <w:spacing w:line="360" w:lineRule="auto"/>
        <w:jc w:val="both"/>
        <w:rPr>
          <w:rFonts w:ascii="Book Antiqua" w:hAnsi="Book Antiqua"/>
          <w:color w:val="000000" w:themeColor="text1"/>
          <w:lang w:val="en-US"/>
        </w:rPr>
      </w:pPr>
    </w:p>
    <w:p w14:paraId="2C4E1854" w14:textId="3A9135B5" w:rsidR="00552C6C" w:rsidRPr="00567DF9" w:rsidRDefault="00A47007" w:rsidP="00567DF9">
      <w:pPr>
        <w:snapToGrid w:val="0"/>
        <w:spacing w:line="360" w:lineRule="auto"/>
        <w:jc w:val="both"/>
        <w:rPr>
          <w:rFonts w:ascii="Book Antiqua" w:hAnsi="Book Antiqua"/>
          <w:color w:val="000000" w:themeColor="text1"/>
        </w:rPr>
      </w:pPr>
      <w:r w:rsidRPr="00567DF9">
        <w:rPr>
          <w:rFonts w:ascii="Book Antiqua" w:hAnsi="Book Antiqua"/>
          <w:b/>
        </w:rPr>
        <w:t>Conflict-of-interest statement</w:t>
      </w:r>
      <w:r w:rsidRPr="00567DF9">
        <w:rPr>
          <w:rFonts w:ascii="Book Antiqua" w:hAnsi="Book Antiqua" w:cs="TimesNewRomanPS-BoldItalicMT"/>
          <w:b/>
          <w:bCs/>
          <w:iCs/>
        </w:rPr>
        <w:t xml:space="preserve">: </w:t>
      </w:r>
      <w:r w:rsidR="007D417F" w:rsidRPr="00567DF9">
        <w:rPr>
          <w:rFonts w:ascii="Book Antiqua" w:hAnsi="Book Antiqua"/>
          <w:color w:val="000000" w:themeColor="text1"/>
        </w:rPr>
        <w:t>There is no conflict of interest associated with any of the senior authors or other coauthors who have contributed to this manuscript.</w:t>
      </w:r>
      <w:r w:rsidR="007D417F" w:rsidRPr="00567DF9">
        <w:rPr>
          <w:rFonts w:ascii="Book Antiqua" w:hAnsi="Book Antiqua"/>
          <w:b/>
          <w:color w:val="000000" w:themeColor="text1"/>
        </w:rPr>
        <w:t xml:space="preserve"> </w:t>
      </w:r>
    </w:p>
    <w:p w14:paraId="4B08182B" w14:textId="77777777" w:rsidR="00552C6C" w:rsidRPr="00567DF9" w:rsidRDefault="00552C6C" w:rsidP="00567DF9">
      <w:pPr>
        <w:spacing w:line="360" w:lineRule="auto"/>
        <w:jc w:val="both"/>
        <w:rPr>
          <w:rFonts w:ascii="Book Antiqua" w:hAnsi="Book Antiqua"/>
          <w:color w:val="000000" w:themeColor="text1"/>
          <w:lang w:val="en-US"/>
        </w:rPr>
      </w:pPr>
    </w:p>
    <w:p w14:paraId="7276B65F" w14:textId="77777777" w:rsidR="00A47007" w:rsidRPr="00567DF9" w:rsidRDefault="00A47007" w:rsidP="00567DF9">
      <w:pPr>
        <w:spacing w:line="360" w:lineRule="auto"/>
        <w:jc w:val="both"/>
        <w:rPr>
          <w:rFonts w:ascii="Book Antiqua" w:hAnsi="Book Antiqua"/>
        </w:rPr>
      </w:pPr>
      <w:r w:rsidRPr="00567DF9">
        <w:rPr>
          <w:rFonts w:ascii="Book Antiqua" w:hAnsi="Book Antiqua"/>
          <w:b/>
        </w:rPr>
        <w:lastRenderedPageBreak/>
        <w:t xml:space="preserve">Open-Access: </w:t>
      </w:r>
      <w:r w:rsidRPr="00567DF9">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3F4090" w14:textId="77777777" w:rsidR="00A47007" w:rsidRPr="00567DF9" w:rsidRDefault="00A47007" w:rsidP="00567DF9">
      <w:pPr>
        <w:spacing w:line="360" w:lineRule="auto"/>
        <w:jc w:val="both"/>
        <w:rPr>
          <w:rFonts w:ascii="Book Antiqua" w:eastAsia="DengXian" w:hAnsi="Book Antiqua"/>
        </w:rPr>
      </w:pPr>
    </w:p>
    <w:p w14:paraId="489CBD70" w14:textId="77777777" w:rsidR="00A47007" w:rsidRPr="00567DF9" w:rsidRDefault="00A47007" w:rsidP="00567DF9">
      <w:pPr>
        <w:spacing w:line="360" w:lineRule="auto"/>
        <w:jc w:val="both"/>
        <w:rPr>
          <w:rFonts w:ascii="Book Antiqua" w:hAnsi="Book Antiqua"/>
          <w:bCs/>
          <w:iCs/>
        </w:rPr>
      </w:pPr>
      <w:r w:rsidRPr="00567DF9">
        <w:rPr>
          <w:rFonts w:ascii="Book Antiqua" w:hAnsi="Book Antiqua"/>
          <w:b/>
          <w:bCs/>
          <w:iCs/>
        </w:rPr>
        <w:t>Manuscript source:</w:t>
      </w:r>
      <w:r w:rsidRPr="00567DF9">
        <w:rPr>
          <w:rFonts w:ascii="Book Antiqua" w:hAnsi="Book Antiqua"/>
          <w:bCs/>
          <w:iCs/>
        </w:rPr>
        <w:t xml:space="preserve"> Invited manuscript</w:t>
      </w:r>
    </w:p>
    <w:p w14:paraId="401C4575" w14:textId="77777777" w:rsidR="00A47007" w:rsidRPr="00567DF9" w:rsidRDefault="00A47007" w:rsidP="00567DF9">
      <w:pPr>
        <w:spacing w:line="360" w:lineRule="auto"/>
        <w:jc w:val="both"/>
        <w:rPr>
          <w:rFonts w:ascii="Book Antiqua" w:hAnsi="Book Antiqua"/>
        </w:rPr>
      </w:pPr>
    </w:p>
    <w:p w14:paraId="316561CA" w14:textId="4F5AE520" w:rsidR="00552C6C" w:rsidRPr="00A812C9" w:rsidRDefault="00A47007" w:rsidP="00567DF9">
      <w:pPr>
        <w:spacing w:line="360" w:lineRule="auto"/>
        <w:jc w:val="both"/>
        <w:rPr>
          <w:rFonts w:ascii="Book Antiqua" w:eastAsia="SimSun" w:hAnsi="Book Antiqua"/>
          <w:color w:val="000000" w:themeColor="text1"/>
          <w:lang w:eastAsia="zh-CN"/>
        </w:rPr>
      </w:pPr>
      <w:r w:rsidRPr="00567DF9">
        <w:rPr>
          <w:rFonts w:ascii="Book Antiqua" w:hAnsi="Book Antiqua" w:cs="Arial"/>
          <w:b/>
        </w:rPr>
        <w:t>Corresponding author</w:t>
      </w:r>
      <w:r w:rsidRPr="00567DF9">
        <w:rPr>
          <w:rFonts w:ascii="Book Antiqua" w:hAnsi="Book Antiqua"/>
          <w:b/>
          <w:iCs/>
        </w:rPr>
        <w:t xml:space="preserve">: </w:t>
      </w:r>
      <w:r w:rsidR="007D417F" w:rsidRPr="00567DF9">
        <w:rPr>
          <w:rFonts w:ascii="Book Antiqua" w:hAnsi="Book Antiqua"/>
          <w:b/>
          <w:color w:val="000000" w:themeColor="text1"/>
          <w:lang w:val="en-GB"/>
        </w:rPr>
        <w:t xml:space="preserve">Federico </w:t>
      </w:r>
      <w:proofErr w:type="spellStart"/>
      <w:r w:rsidR="007D417F" w:rsidRPr="00567DF9">
        <w:rPr>
          <w:rFonts w:ascii="Book Antiqua" w:hAnsi="Book Antiqua"/>
          <w:b/>
          <w:color w:val="000000" w:themeColor="text1"/>
          <w:lang w:val="en-GB"/>
        </w:rPr>
        <w:t>Mocchegiani</w:t>
      </w:r>
      <w:proofErr w:type="spellEnd"/>
      <w:r w:rsidRPr="00567DF9">
        <w:rPr>
          <w:rFonts w:ascii="Book Antiqua" w:hAnsi="Book Antiqua"/>
          <w:b/>
          <w:color w:val="000000" w:themeColor="text1"/>
          <w:lang w:val="en-GB"/>
        </w:rPr>
        <w:t>,</w:t>
      </w:r>
      <w:r w:rsidR="007D417F" w:rsidRPr="00567DF9">
        <w:rPr>
          <w:rFonts w:ascii="Book Antiqua" w:hAnsi="Book Antiqua"/>
          <w:b/>
          <w:color w:val="000000" w:themeColor="text1"/>
          <w:lang w:val="en-GB"/>
        </w:rPr>
        <w:t xml:space="preserve"> </w:t>
      </w:r>
      <w:r w:rsidRPr="00567DF9">
        <w:rPr>
          <w:rFonts w:ascii="Book Antiqua" w:hAnsi="Book Antiqua"/>
          <w:b/>
          <w:color w:val="000000" w:themeColor="text1"/>
          <w:lang w:val="en-GB"/>
        </w:rPr>
        <w:t>MD, Assistant Professor,</w:t>
      </w:r>
      <w:r w:rsidR="00181B5B" w:rsidRPr="00567DF9">
        <w:rPr>
          <w:rFonts w:ascii="Book Antiqua" w:hAnsi="Book Antiqua"/>
          <w:b/>
          <w:color w:val="000000" w:themeColor="text1"/>
          <w:lang w:val="en-GB"/>
        </w:rPr>
        <w:t xml:space="preserve"> </w:t>
      </w:r>
      <w:bookmarkStart w:id="6" w:name="OLE_LINK8"/>
      <w:r w:rsidR="007D417F" w:rsidRPr="00567DF9">
        <w:rPr>
          <w:rFonts w:ascii="Book Antiqua" w:hAnsi="Book Antiqua"/>
          <w:color w:val="000000" w:themeColor="text1"/>
          <w:lang w:val="en-GB"/>
        </w:rPr>
        <w:t>Unit of Hepato-pancreato-biliary and Transplant Surgery, Department of Experimental and Clinical Medicine</w:t>
      </w:r>
      <w:bookmarkEnd w:id="6"/>
      <w:r w:rsidR="007D417F" w:rsidRPr="00567DF9">
        <w:rPr>
          <w:rFonts w:ascii="Book Antiqua" w:hAnsi="Book Antiqua"/>
          <w:color w:val="000000" w:themeColor="text1"/>
          <w:lang w:val="en-GB"/>
        </w:rPr>
        <w:t>,</w:t>
      </w:r>
      <w:r w:rsidR="005D4245" w:rsidRPr="00567DF9">
        <w:rPr>
          <w:rFonts w:ascii="Book Antiqua" w:hAnsi="Book Antiqua"/>
          <w:color w:val="000000" w:themeColor="text1"/>
          <w:lang w:val="en-GB"/>
        </w:rPr>
        <w:t xml:space="preserve"> </w:t>
      </w:r>
      <w:bookmarkStart w:id="7" w:name="OLE_LINK9"/>
      <w:r w:rsidR="007D417F" w:rsidRPr="00567DF9">
        <w:rPr>
          <w:rFonts w:ascii="Book Antiqua" w:hAnsi="Book Antiqua"/>
          <w:color w:val="000000" w:themeColor="text1"/>
          <w:lang w:val="en-GB"/>
        </w:rPr>
        <w:t>Polytechnic University of Marche</w:t>
      </w:r>
      <w:bookmarkEnd w:id="7"/>
      <w:r w:rsidR="005D4245" w:rsidRPr="00567DF9">
        <w:rPr>
          <w:rFonts w:ascii="Book Antiqua" w:hAnsi="Book Antiqua"/>
          <w:color w:val="000000" w:themeColor="text1"/>
          <w:lang w:val="en-GB"/>
        </w:rPr>
        <w:t>,</w:t>
      </w:r>
      <w:r w:rsidR="00181B5B" w:rsidRPr="00567DF9">
        <w:rPr>
          <w:rFonts w:ascii="Book Antiqua" w:hAnsi="Book Antiqua"/>
          <w:color w:val="000000" w:themeColor="text1"/>
          <w:lang w:val="en-GB"/>
        </w:rPr>
        <w:t xml:space="preserve"> </w:t>
      </w:r>
      <w:bookmarkStart w:id="8" w:name="OLE_LINK10"/>
      <w:bookmarkStart w:id="9" w:name="OLE_LINK11"/>
      <w:r w:rsidR="007D417F" w:rsidRPr="00567DF9">
        <w:rPr>
          <w:rFonts w:ascii="Book Antiqua" w:hAnsi="Book Antiqua"/>
          <w:color w:val="000000" w:themeColor="text1"/>
          <w:lang w:val="en-GB"/>
        </w:rPr>
        <w:t>Via Conca 71</w:t>
      </w:r>
      <w:bookmarkEnd w:id="8"/>
      <w:bookmarkEnd w:id="9"/>
      <w:r w:rsidR="007D417F" w:rsidRPr="00567DF9">
        <w:rPr>
          <w:rFonts w:ascii="Book Antiqua" w:hAnsi="Book Antiqua"/>
          <w:color w:val="000000" w:themeColor="text1"/>
          <w:lang w:val="en-GB"/>
        </w:rPr>
        <w:t xml:space="preserve">, </w:t>
      </w:r>
      <w:r w:rsidR="00A2430A" w:rsidRPr="00567DF9">
        <w:rPr>
          <w:rFonts w:ascii="Book Antiqua" w:hAnsi="Book Antiqua"/>
          <w:bCs/>
          <w:color w:val="000000" w:themeColor="text1"/>
          <w:lang w:val="en-GB"/>
        </w:rPr>
        <w:t>Ancona 60126, Italy</w:t>
      </w:r>
      <w:r w:rsidR="005D4245" w:rsidRPr="00567DF9">
        <w:rPr>
          <w:rFonts w:ascii="Book Antiqua" w:hAnsi="Book Antiqua"/>
          <w:color w:val="000000" w:themeColor="text1"/>
        </w:rPr>
        <w:t xml:space="preserve">. </w:t>
      </w:r>
      <w:r w:rsidR="00A812C9">
        <w:rPr>
          <w:rStyle w:val="CollegamentoInternet"/>
          <w:rFonts w:ascii="Book Antiqua" w:hAnsi="Book Antiqua"/>
          <w:color w:val="000000" w:themeColor="text1"/>
        </w:rPr>
        <w:fldChar w:fldCharType="begin"/>
      </w:r>
      <w:r w:rsidR="00A812C9">
        <w:rPr>
          <w:rStyle w:val="CollegamentoInternet"/>
          <w:rFonts w:ascii="Book Antiqua" w:hAnsi="Book Antiqua"/>
          <w:color w:val="000000" w:themeColor="text1"/>
        </w:rPr>
        <w:instrText xml:space="preserve"> HYPERLINK "mailto:</w:instrText>
      </w:r>
      <w:r w:rsidR="00A812C9" w:rsidRPr="00567DF9">
        <w:rPr>
          <w:rStyle w:val="CollegamentoInternet"/>
          <w:rFonts w:ascii="Book Antiqua" w:hAnsi="Book Antiqua"/>
          <w:color w:val="000000" w:themeColor="text1"/>
        </w:rPr>
        <w:instrText>federicomocchegiani@hotmail.com</w:instrText>
      </w:r>
      <w:r w:rsidR="00A812C9">
        <w:rPr>
          <w:rStyle w:val="CollegamentoInternet"/>
          <w:rFonts w:ascii="Book Antiqua" w:hAnsi="Book Antiqua"/>
          <w:color w:val="000000" w:themeColor="text1"/>
        </w:rPr>
        <w:instrText xml:space="preserve">" </w:instrText>
      </w:r>
      <w:r w:rsidR="00A812C9">
        <w:rPr>
          <w:rStyle w:val="CollegamentoInternet"/>
          <w:rFonts w:ascii="Book Antiqua" w:hAnsi="Book Antiqua"/>
          <w:color w:val="000000" w:themeColor="text1"/>
        </w:rPr>
        <w:fldChar w:fldCharType="separate"/>
      </w:r>
      <w:r w:rsidR="00A812C9" w:rsidRPr="0057037B">
        <w:rPr>
          <w:rStyle w:val="Hyperlink"/>
          <w:rFonts w:ascii="Book Antiqua" w:hAnsi="Book Antiqua"/>
        </w:rPr>
        <w:t>federicomocchegiani@hotmail.com</w:t>
      </w:r>
      <w:r w:rsidR="00A812C9">
        <w:rPr>
          <w:rStyle w:val="CollegamentoInternet"/>
          <w:rFonts w:ascii="Book Antiqua" w:hAnsi="Book Antiqua"/>
          <w:color w:val="000000" w:themeColor="text1"/>
        </w:rPr>
        <w:fldChar w:fldCharType="end"/>
      </w:r>
    </w:p>
    <w:p w14:paraId="196562BF" w14:textId="6D14D39D" w:rsidR="00552C6C" w:rsidRPr="00567DF9" w:rsidRDefault="00A47007" w:rsidP="00567DF9">
      <w:pPr>
        <w:spacing w:line="360" w:lineRule="auto"/>
        <w:jc w:val="both"/>
        <w:rPr>
          <w:rFonts w:ascii="Book Antiqua" w:hAnsi="Book Antiqua"/>
          <w:color w:val="000000" w:themeColor="text1"/>
        </w:rPr>
      </w:pPr>
      <w:r w:rsidRPr="00567DF9">
        <w:rPr>
          <w:rFonts w:ascii="Book Antiqua" w:hAnsi="Book Antiqua" w:cs="Arial"/>
          <w:b/>
          <w:lang w:val="en-US"/>
        </w:rPr>
        <w:t>Telephone:</w:t>
      </w:r>
      <w:r w:rsidRPr="00567DF9">
        <w:rPr>
          <w:rFonts w:ascii="Book Antiqua" w:hAnsi="Book Antiqua" w:cs="Arial"/>
          <w:lang w:val="en-US"/>
        </w:rPr>
        <w:t xml:space="preserve"> </w:t>
      </w:r>
      <w:r w:rsidR="007D417F" w:rsidRPr="00567DF9">
        <w:rPr>
          <w:rFonts w:ascii="Book Antiqua" w:hAnsi="Book Antiqua"/>
          <w:color w:val="000000" w:themeColor="text1"/>
        </w:rPr>
        <w:t>+39</w:t>
      </w:r>
      <w:r w:rsidR="00A2430A" w:rsidRPr="00567DF9">
        <w:rPr>
          <w:rFonts w:ascii="Book Antiqua" w:eastAsia="SimSun" w:hAnsi="Book Antiqua"/>
          <w:color w:val="000000" w:themeColor="text1"/>
          <w:lang w:eastAsia="zh-CN"/>
        </w:rPr>
        <w:t>-</w:t>
      </w:r>
      <w:r w:rsidR="007D417F" w:rsidRPr="00567DF9">
        <w:rPr>
          <w:rFonts w:ascii="Book Antiqua" w:hAnsi="Book Antiqua"/>
          <w:color w:val="000000" w:themeColor="text1"/>
        </w:rPr>
        <w:t>71</w:t>
      </w:r>
      <w:r w:rsidR="00A2430A" w:rsidRPr="00567DF9">
        <w:rPr>
          <w:rFonts w:ascii="Book Antiqua" w:eastAsia="SimSun" w:hAnsi="Book Antiqua"/>
          <w:color w:val="000000" w:themeColor="text1"/>
          <w:lang w:eastAsia="zh-CN"/>
        </w:rPr>
        <w:t>-</w:t>
      </w:r>
      <w:r w:rsidR="007D417F" w:rsidRPr="00567DF9">
        <w:rPr>
          <w:rFonts w:ascii="Book Antiqua" w:hAnsi="Book Antiqua"/>
          <w:color w:val="000000" w:themeColor="text1"/>
        </w:rPr>
        <w:t>5964577</w:t>
      </w:r>
    </w:p>
    <w:p w14:paraId="04677F6B" w14:textId="530729D1" w:rsidR="00552C6C" w:rsidRPr="00567DF9" w:rsidRDefault="00A2430A" w:rsidP="00567DF9">
      <w:pPr>
        <w:spacing w:line="360" w:lineRule="auto"/>
        <w:jc w:val="both"/>
        <w:rPr>
          <w:rFonts w:ascii="Book Antiqua" w:hAnsi="Book Antiqua"/>
          <w:color w:val="000000" w:themeColor="text1"/>
          <w:lang w:val="en-GB"/>
        </w:rPr>
      </w:pPr>
      <w:r w:rsidRPr="00567DF9">
        <w:rPr>
          <w:rFonts w:ascii="Book Antiqua" w:hAnsi="Book Antiqua"/>
          <w:b/>
          <w:color w:val="000000" w:themeColor="text1"/>
          <w:lang w:val="en-GB"/>
        </w:rPr>
        <w:t>Fax</w:t>
      </w:r>
      <w:r w:rsidR="00A47007" w:rsidRPr="00567DF9">
        <w:rPr>
          <w:rFonts w:ascii="Book Antiqua" w:eastAsia="SimSun" w:hAnsi="Book Antiqua"/>
          <w:b/>
          <w:color w:val="000000" w:themeColor="text1"/>
          <w:lang w:val="en-GB" w:eastAsia="zh-CN"/>
        </w:rPr>
        <w:t>:</w:t>
      </w:r>
      <w:r w:rsidRPr="00567DF9">
        <w:rPr>
          <w:rFonts w:ascii="Book Antiqua" w:hAnsi="Book Antiqua"/>
          <w:color w:val="000000" w:themeColor="text1"/>
          <w:lang w:val="en-GB"/>
        </w:rPr>
        <w:t xml:space="preserve"> </w:t>
      </w:r>
      <w:r w:rsidR="007D417F" w:rsidRPr="00567DF9">
        <w:rPr>
          <w:rFonts w:ascii="Book Antiqua" w:hAnsi="Book Antiqua"/>
          <w:color w:val="000000" w:themeColor="text1"/>
          <w:lang w:val="en-GB"/>
        </w:rPr>
        <w:t>+39</w:t>
      </w:r>
      <w:r w:rsidRPr="00567DF9">
        <w:rPr>
          <w:rFonts w:ascii="Book Antiqua" w:eastAsia="SimSun" w:hAnsi="Book Antiqua"/>
          <w:color w:val="000000" w:themeColor="text1"/>
          <w:lang w:val="en-GB" w:eastAsia="zh-CN"/>
        </w:rPr>
        <w:t>-</w:t>
      </w:r>
      <w:r w:rsidR="007D417F" w:rsidRPr="00567DF9">
        <w:rPr>
          <w:rFonts w:ascii="Book Antiqua" w:hAnsi="Book Antiqua"/>
          <w:color w:val="000000" w:themeColor="text1"/>
          <w:lang w:val="en-GB"/>
        </w:rPr>
        <w:t>71</w:t>
      </w:r>
      <w:r w:rsidRPr="00567DF9">
        <w:rPr>
          <w:rFonts w:ascii="Book Antiqua" w:eastAsia="SimSun" w:hAnsi="Book Antiqua"/>
          <w:color w:val="000000" w:themeColor="text1"/>
          <w:lang w:val="en-GB" w:eastAsia="zh-CN"/>
        </w:rPr>
        <w:t>-</w:t>
      </w:r>
      <w:r w:rsidR="007D417F" w:rsidRPr="00567DF9">
        <w:rPr>
          <w:rFonts w:ascii="Book Antiqua" w:hAnsi="Book Antiqua"/>
          <w:color w:val="000000" w:themeColor="text1"/>
          <w:lang w:val="en-GB"/>
        </w:rPr>
        <w:t>5965100</w:t>
      </w:r>
    </w:p>
    <w:p w14:paraId="118FCECA" w14:textId="77777777" w:rsidR="00552C6C" w:rsidRPr="00567DF9" w:rsidRDefault="00552C6C" w:rsidP="00567DF9">
      <w:pPr>
        <w:spacing w:line="360" w:lineRule="auto"/>
        <w:jc w:val="both"/>
        <w:rPr>
          <w:rFonts w:ascii="Book Antiqua" w:hAnsi="Book Antiqua"/>
          <w:color w:val="000000" w:themeColor="text1"/>
          <w:lang w:val="en-US"/>
        </w:rPr>
      </w:pPr>
    </w:p>
    <w:p w14:paraId="4B6BCF0F" w14:textId="07123A48" w:rsidR="00A47007" w:rsidRPr="00567DF9" w:rsidRDefault="00A47007" w:rsidP="00567DF9">
      <w:pPr>
        <w:spacing w:line="360" w:lineRule="auto"/>
        <w:jc w:val="both"/>
        <w:rPr>
          <w:rFonts w:ascii="Book Antiqua" w:hAnsi="Book Antiqua"/>
        </w:rPr>
      </w:pPr>
      <w:r w:rsidRPr="00567DF9">
        <w:rPr>
          <w:rFonts w:ascii="Book Antiqua" w:hAnsi="Book Antiqua"/>
          <w:b/>
        </w:rPr>
        <w:t xml:space="preserve">Received: </w:t>
      </w:r>
      <w:r w:rsidRPr="00567DF9">
        <w:rPr>
          <w:rFonts w:ascii="Book Antiqua" w:hAnsi="Book Antiqua"/>
        </w:rPr>
        <w:t>March 26, 2019</w:t>
      </w:r>
    </w:p>
    <w:p w14:paraId="01F34241" w14:textId="191BB42B" w:rsidR="00A47007" w:rsidRPr="00567DF9" w:rsidRDefault="00A47007" w:rsidP="00567DF9">
      <w:pPr>
        <w:spacing w:line="360" w:lineRule="auto"/>
        <w:jc w:val="both"/>
        <w:rPr>
          <w:rFonts w:ascii="Book Antiqua" w:hAnsi="Book Antiqua"/>
        </w:rPr>
      </w:pPr>
      <w:r w:rsidRPr="00567DF9">
        <w:rPr>
          <w:rFonts w:ascii="Book Antiqua" w:hAnsi="Book Antiqua"/>
          <w:b/>
        </w:rPr>
        <w:t>Peer-review started:</w:t>
      </w:r>
      <w:r w:rsidRPr="00567DF9">
        <w:rPr>
          <w:rFonts w:ascii="Book Antiqua" w:hAnsi="Book Antiqua"/>
        </w:rPr>
        <w:t xml:space="preserve"> March 28, 2019</w:t>
      </w:r>
    </w:p>
    <w:p w14:paraId="6C4155E2" w14:textId="4AE3BC5D" w:rsidR="00A47007" w:rsidRPr="00567DF9" w:rsidRDefault="00A47007" w:rsidP="00567DF9">
      <w:pPr>
        <w:spacing w:line="360" w:lineRule="auto"/>
        <w:jc w:val="both"/>
        <w:rPr>
          <w:rFonts w:ascii="Book Antiqua" w:hAnsi="Book Antiqua"/>
        </w:rPr>
      </w:pPr>
      <w:r w:rsidRPr="00567DF9">
        <w:rPr>
          <w:rFonts w:ascii="Book Antiqua" w:hAnsi="Book Antiqua"/>
          <w:b/>
        </w:rPr>
        <w:t>First decision:</w:t>
      </w:r>
      <w:r w:rsidRPr="00567DF9">
        <w:rPr>
          <w:rFonts w:ascii="Book Antiqua" w:hAnsi="Book Antiqua"/>
        </w:rPr>
        <w:t xml:space="preserve"> May 8, 2019</w:t>
      </w:r>
    </w:p>
    <w:p w14:paraId="2188A7A2" w14:textId="44A11039" w:rsidR="00A47007" w:rsidRPr="00567DF9" w:rsidRDefault="00A47007" w:rsidP="00567DF9">
      <w:pPr>
        <w:spacing w:line="360" w:lineRule="auto"/>
        <w:jc w:val="both"/>
        <w:rPr>
          <w:rFonts w:ascii="Book Antiqua" w:hAnsi="Book Antiqua"/>
        </w:rPr>
      </w:pPr>
      <w:r w:rsidRPr="00567DF9">
        <w:rPr>
          <w:rFonts w:ascii="Book Antiqua" w:hAnsi="Book Antiqua"/>
          <w:b/>
        </w:rPr>
        <w:t xml:space="preserve">Revised: </w:t>
      </w:r>
      <w:r w:rsidRPr="00567DF9">
        <w:rPr>
          <w:rFonts w:ascii="Book Antiqua" w:hAnsi="Book Antiqua"/>
        </w:rPr>
        <w:t>May 29, 2019</w:t>
      </w:r>
    </w:p>
    <w:p w14:paraId="1293A4E1" w14:textId="674D95FE" w:rsidR="00A47007" w:rsidRPr="00567DF9" w:rsidRDefault="00A47007" w:rsidP="00567DF9">
      <w:pPr>
        <w:spacing w:line="360" w:lineRule="auto"/>
        <w:jc w:val="both"/>
        <w:rPr>
          <w:rFonts w:ascii="Book Antiqua" w:hAnsi="Book Antiqua"/>
          <w:b/>
        </w:rPr>
      </w:pPr>
      <w:r w:rsidRPr="00567DF9">
        <w:rPr>
          <w:rFonts w:ascii="Book Antiqua" w:hAnsi="Book Antiqua"/>
          <w:b/>
        </w:rPr>
        <w:t>Accepted:</w:t>
      </w:r>
      <w:r w:rsidRPr="00567DF9">
        <w:rPr>
          <w:rFonts w:ascii="Book Antiqua" w:hAnsi="Book Antiqua"/>
        </w:rPr>
        <w:t xml:space="preserve"> </w:t>
      </w:r>
      <w:r w:rsidR="00821B89" w:rsidRPr="00821B89">
        <w:rPr>
          <w:rFonts w:ascii="Book Antiqua" w:hAnsi="Book Antiqua"/>
        </w:rPr>
        <w:t>June 10, 2019</w:t>
      </w:r>
    </w:p>
    <w:p w14:paraId="452919F7" w14:textId="77777777" w:rsidR="00A47007" w:rsidRPr="00567DF9" w:rsidRDefault="00A47007" w:rsidP="00567DF9">
      <w:pPr>
        <w:spacing w:line="360" w:lineRule="auto"/>
        <w:jc w:val="both"/>
        <w:rPr>
          <w:rFonts w:ascii="Book Antiqua" w:hAnsi="Book Antiqua"/>
          <w:b/>
        </w:rPr>
      </w:pPr>
      <w:r w:rsidRPr="00567DF9">
        <w:rPr>
          <w:rFonts w:ascii="Book Antiqua" w:hAnsi="Book Antiqua"/>
          <w:b/>
        </w:rPr>
        <w:t xml:space="preserve">Article in press: </w:t>
      </w:r>
    </w:p>
    <w:p w14:paraId="54FCE795" w14:textId="7E282254" w:rsidR="00552C6C" w:rsidRPr="00567DF9" w:rsidRDefault="00A47007" w:rsidP="00567DF9">
      <w:pPr>
        <w:spacing w:line="360" w:lineRule="auto"/>
        <w:jc w:val="both"/>
        <w:rPr>
          <w:rFonts w:ascii="Book Antiqua" w:hAnsi="Book Antiqua"/>
          <w:b/>
          <w:bCs/>
        </w:rPr>
      </w:pPr>
      <w:r w:rsidRPr="00567DF9">
        <w:rPr>
          <w:rFonts w:ascii="Book Antiqua" w:hAnsi="Book Antiqua"/>
          <w:b/>
        </w:rPr>
        <w:t>Published online:</w:t>
      </w:r>
      <w:r w:rsidRPr="00567DF9">
        <w:rPr>
          <w:rFonts w:ascii="Book Antiqua" w:eastAsia="Times New Roman" w:hAnsi="Book Antiqua"/>
          <w:b/>
          <w:bCs/>
        </w:rPr>
        <w:t xml:space="preserve"> </w:t>
      </w:r>
    </w:p>
    <w:p w14:paraId="32772416" w14:textId="77777777" w:rsidR="00A2430A" w:rsidRPr="00567DF9" w:rsidRDefault="00A2430A"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br w:type="page"/>
      </w:r>
    </w:p>
    <w:p w14:paraId="054D34EC" w14:textId="361DDB69" w:rsidR="00552C6C" w:rsidRPr="00567DF9" w:rsidRDefault="00A2430A"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lastRenderedPageBreak/>
        <w:t>Abstract</w:t>
      </w:r>
    </w:p>
    <w:p w14:paraId="106C88D0" w14:textId="1434808F" w:rsidR="00552C6C" w:rsidRPr="00567DF9" w:rsidRDefault="007D417F" w:rsidP="00567DF9">
      <w:pPr>
        <w:spacing w:line="360" w:lineRule="auto"/>
        <w:jc w:val="both"/>
        <w:rPr>
          <w:rFonts w:ascii="Book Antiqua" w:hAnsi="Book Antiqua"/>
          <w:color w:val="000000" w:themeColor="text1"/>
          <w:lang w:val="en-US"/>
        </w:rPr>
      </w:pPr>
      <w:r w:rsidRPr="00567DF9">
        <w:rPr>
          <w:rFonts w:ascii="Book Antiqua" w:hAnsi="Book Antiqua"/>
          <w:color w:val="000000" w:themeColor="text1"/>
          <w:lang w:val="en-US"/>
        </w:rPr>
        <w:t>Cholangiocarcinoma (CCA) is a malignant tumor of the biliary system and includes, according to the anatomical classification, intra hepatic CCA (</w:t>
      </w:r>
      <w:proofErr w:type="spellStart"/>
      <w:r w:rsidRPr="00567DF9">
        <w:rPr>
          <w:rFonts w:ascii="Book Antiqua" w:hAnsi="Book Antiqua"/>
          <w:color w:val="000000" w:themeColor="text1"/>
          <w:lang w:val="en-US"/>
        </w:rPr>
        <w:t>iCCA</w:t>
      </w:r>
      <w:proofErr w:type="spellEnd"/>
      <w:r w:rsidRPr="00567DF9">
        <w:rPr>
          <w:rFonts w:ascii="Book Antiqua" w:hAnsi="Book Antiqua"/>
          <w:color w:val="000000" w:themeColor="text1"/>
          <w:lang w:val="en-US"/>
        </w:rPr>
        <w:t>), hilar CCA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and distal CCA (</w:t>
      </w:r>
      <w:proofErr w:type="spellStart"/>
      <w:r w:rsidRPr="00567DF9">
        <w:rPr>
          <w:rFonts w:ascii="Book Antiqua" w:hAnsi="Book Antiqua"/>
          <w:color w:val="000000" w:themeColor="text1"/>
          <w:lang w:val="en-US"/>
        </w:rPr>
        <w:t>dCCA</w:t>
      </w:r>
      <w:proofErr w:type="spellEnd"/>
      <w:r w:rsidRPr="00567DF9">
        <w:rPr>
          <w:rFonts w:ascii="Book Antiqua" w:hAnsi="Book Antiqua"/>
          <w:color w:val="000000" w:themeColor="text1"/>
          <w:lang w:val="en-US"/>
        </w:rPr>
        <w:t xml:space="preserve">). Hilar CCA is the most challenging type in terms of diagnosis, treatment and prognosis. Surgery is the only treatment possibly providing long-term survival, but only few patients are considered </w:t>
      </w:r>
      <w:proofErr w:type="spellStart"/>
      <w:r w:rsidRPr="00567DF9">
        <w:rPr>
          <w:rFonts w:ascii="Book Antiqua" w:hAnsi="Book Antiqua"/>
          <w:color w:val="000000" w:themeColor="text1"/>
          <w:lang w:val="en-US"/>
        </w:rPr>
        <w:t>resectable</w:t>
      </w:r>
      <w:proofErr w:type="spellEnd"/>
      <w:r w:rsidRPr="00567DF9">
        <w:rPr>
          <w:rFonts w:ascii="Book Antiqua" w:hAnsi="Book Antiqua"/>
          <w:color w:val="000000" w:themeColor="text1"/>
          <w:lang w:val="en-US"/>
        </w:rPr>
        <w:t xml:space="preserve"> at the time of diagnosis. In fact, tumor’s extension to </w:t>
      </w:r>
      <w:proofErr w:type="spellStart"/>
      <w:r w:rsidRPr="00567DF9">
        <w:rPr>
          <w:rFonts w:ascii="Book Antiqua" w:hAnsi="Book Antiqua"/>
          <w:color w:val="000000" w:themeColor="text1"/>
          <w:lang w:val="en-US"/>
        </w:rPr>
        <w:t>segmentary</w:t>
      </w:r>
      <w:proofErr w:type="spellEnd"/>
      <w:r w:rsidRPr="00567DF9">
        <w:rPr>
          <w:rFonts w:ascii="Book Antiqua" w:hAnsi="Book Antiqua"/>
          <w:color w:val="000000" w:themeColor="text1"/>
          <w:lang w:val="en-US"/>
        </w:rPr>
        <w:t xml:space="preserve"> or </w:t>
      </w:r>
      <w:proofErr w:type="spellStart"/>
      <w:r w:rsidRPr="00567DF9">
        <w:rPr>
          <w:rFonts w:ascii="Book Antiqua" w:hAnsi="Book Antiqua"/>
          <w:color w:val="000000" w:themeColor="text1"/>
          <w:lang w:val="en-US"/>
        </w:rPr>
        <w:t>subsegmentary</w:t>
      </w:r>
      <w:proofErr w:type="spellEnd"/>
      <w:r w:rsidRPr="00567DF9">
        <w:rPr>
          <w:rFonts w:ascii="Book Antiqua" w:hAnsi="Book Antiqua"/>
          <w:color w:val="000000" w:themeColor="text1"/>
          <w:lang w:val="en-US"/>
        </w:rPr>
        <w:t xml:space="preserve"> biliary ducts, along with large lymph node involvement or intrahepatic metastases, precludes the surgical approach. To achieve R0 margins is mandatory for the </w:t>
      </w:r>
      <w:r w:rsidR="00A47007" w:rsidRPr="00567DF9">
        <w:rPr>
          <w:rFonts w:ascii="Book Antiqua" w:hAnsi="Book Antiqua"/>
          <w:color w:val="000000" w:themeColor="text1"/>
          <w:lang w:val="en-US"/>
        </w:rPr>
        <w:t>disease-free survival</w:t>
      </w:r>
      <w:r w:rsidRPr="00567DF9">
        <w:rPr>
          <w:rFonts w:ascii="Book Antiqua" w:hAnsi="Book Antiqua"/>
          <w:color w:val="000000" w:themeColor="text1"/>
          <w:lang w:val="en-US"/>
        </w:rPr>
        <w:t xml:space="preserve"> and overall survival. In case of unresectable locally advanced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w:t>
      </w:r>
      <w:proofErr w:type="spellStart"/>
      <w:r w:rsidRPr="00567DF9">
        <w:rPr>
          <w:rFonts w:ascii="Book Antiqua" w:hAnsi="Book Antiqua"/>
          <w:color w:val="000000" w:themeColor="text1"/>
          <w:lang w:val="en-US"/>
        </w:rPr>
        <w:t>radiochemotherapy</w:t>
      </w:r>
      <w:proofErr w:type="spellEnd"/>
      <w:r w:rsidRPr="00567DF9">
        <w:rPr>
          <w:rFonts w:ascii="Book Antiqua" w:hAnsi="Book Antiqua"/>
          <w:color w:val="000000" w:themeColor="text1"/>
          <w:lang w:val="en-US"/>
        </w:rPr>
        <w:t xml:space="preserve"> (RCT) as neoadjuvant treatment demonstrated to be a therapeutic option before either hepatic resection or liver transplantation. Before liver surgery, RCT is believed to enhance the R0 margins rate</w:t>
      </w:r>
      <w:r w:rsidR="00AC2D77" w:rsidRPr="00567DF9">
        <w:rPr>
          <w:rFonts w:ascii="Book Antiqua" w:hAnsi="Book Antiqua"/>
          <w:color w:val="000000" w:themeColor="text1"/>
          <w:lang w:val="en-US"/>
        </w:rPr>
        <w:t>.</w:t>
      </w:r>
      <w:r w:rsidRPr="00567DF9">
        <w:rPr>
          <w:rFonts w:ascii="Book Antiqua" w:hAnsi="Book Antiqua"/>
          <w:color w:val="000000" w:themeColor="text1"/>
          <w:lang w:val="en-US"/>
        </w:rPr>
        <w:t xml:space="preserve"> </w:t>
      </w:r>
      <w:r w:rsidR="00AC2D77" w:rsidRPr="00567DF9">
        <w:rPr>
          <w:rFonts w:ascii="Book Antiqua" w:hAnsi="Book Antiqua"/>
          <w:color w:val="000000" w:themeColor="text1"/>
          <w:lang w:val="en-US"/>
        </w:rPr>
        <w:t>F</w:t>
      </w:r>
      <w:r w:rsidRPr="00567DF9">
        <w:rPr>
          <w:rFonts w:ascii="Book Antiqua" w:hAnsi="Book Antiqua"/>
          <w:color w:val="000000" w:themeColor="text1"/>
          <w:lang w:val="en-US"/>
        </w:rPr>
        <w:t xml:space="preserve">or patients meeting the Mayo Clinic criteria, RCT prior to </w:t>
      </w:r>
      <w:r w:rsidR="00A47007" w:rsidRPr="00567DF9">
        <w:rPr>
          <w:rFonts w:ascii="Book Antiqua" w:hAnsi="Book Antiqua"/>
          <w:color w:val="000000" w:themeColor="text1"/>
          <w:lang w:val="en-US"/>
        </w:rPr>
        <w:t>orthotopic liver transplant</w:t>
      </w:r>
      <w:r w:rsidRPr="00567DF9">
        <w:rPr>
          <w:rFonts w:ascii="Book Antiqua" w:hAnsi="Book Antiqua"/>
          <w:color w:val="000000" w:themeColor="text1"/>
          <w:lang w:val="en-US"/>
        </w:rPr>
        <w:t xml:space="preserve"> (OLT) has proved to produce acceptable 5-years survivals. In this review, we analyze the current role of neoadjuvant RCT before resection as well as before OLT.</w:t>
      </w:r>
    </w:p>
    <w:p w14:paraId="4977EB8D" w14:textId="77777777" w:rsidR="005D4245" w:rsidRPr="00567DF9" w:rsidRDefault="005D4245" w:rsidP="00567DF9">
      <w:pPr>
        <w:spacing w:line="360" w:lineRule="auto"/>
        <w:jc w:val="both"/>
        <w:rPr>
          <w:rFonts w:ascii="Book Antiqua" w:hAnsi="Book Antiqua"/>
          <w:color w:val="000000" w:themeColor="text1"/>
          <w:lang w:val="en-US"/>
        </w:rPr>
      </w:pPr>
    </w:p>
    <w:p w14:paraId="7CB1058A" w14:textId="4465AC0C" w:rsidR="00552C6C" w:rsidRPr="00567DF9" w:rsidRDefault="007D417F" w:rsidP="00567DF9">
      <w:pPr>
        <w:snapToGrid w:val="0"/>
        <w:spacing w:line="360" w:lineRule="auto"/>
        <w:jc w:val="both"/>
        <w:rPr>
          <w:rFonts w:ascii="Book Antiqua" w:hAnsi="Book Antiqua"/>
          <w:color w:val="000000" w:themeColor="text1"/>
        </w:rPr>
      </w:pPr>
      <w:r w:rsidRPr="00567DF9">
        <w:rPr>
          <w:rFonts w:ascii="Book Antiqua" w:hAnsi="Book Antiqua"/>
          <w:b/>
          <w:color w:val="000000" w:themeColor="text1"/>
        </w:rPr>
        <w:t xml:space="preserve">Key words: </w:t>
      </w:r>
      <w:bookmarkStart w:id="10" w:name="OLE_LINK13"/>
      <w:r w:rsidRPr="00567DF9">
        <w:rPr>
          <w:rFonts w:ascii="Book Antiqua" w:hAnsi="Book Antiqua"/>
          <w:color w:val="000000" w:themeColor="text1"/>
          <w:lang w:val="en"/>
        </w:rPr>
        <w:t xml:space="preserve">Hilar cholangiocarcinoma; </w:t>
      </w:r>
      <w:proofErr w:type="spellStart"/>
      <w:r w:rsidRPr="00567DF9">
        <w:rPr>
          <w:rFonts w:ascii="Book Antiqua" w:hAnsi="Book Antiqua"/>
          <w:color w:val="000000" w:themeColor="text1"/>
          <w:lang w:val="en"/>
        </w:rPr>
        <w:t>Klatskin</w:t>
      </w:r>
      <w:proofErr w:type="spellEnd"/>
      <w:r w:rsidRPr="00567DF9">
        <w:rPr>
          <w:rFonts w:ascii="Book Antiqua" w:hAnsi="Book Antiqua"/>
          <w:color w:val="000000" w:themeColor="text1"/>
          <w:lang w:val="en"/>
        </w:rPr>
        <w:t xml:space="preserve"> tumor; Neoadjuvant </w:t>
      </w:r>
      <w:proofErr w:type="spellStart"/>
      <w:r w:rsidRPr="00567DF9">
        <w:rPr>
          <w:rFonts w:ascii="Book Antiqua" w:hAnsi="Book Antiqua"/>
          <w:color w:val="000000" w:themeColor="text1"/>
          <w:lang w:val="en"/>
        </w:rPr>
        <w:t>treatement</w:t>
      </w:r>
      <w:proofErr w:type="spellEnd"/>
      <w:r w:rsidRPr="00567DF9">
        <w:rPr>
          <w:rFonts w:ascii="Book Antiqua" w:hAnsi="Book Antiqua"/>
          <w:color w:val="000000" w:themeColor="text1"/>
          <w:lang w:val="en"/>
        </w:rPr>
        <w:t>; Radiotherapy; Chemotherapy; Hepatic resection; Liver transplantation</w:t>
      </w:r>
    </w:p>
    <w:bookmarkEnd w:id="10"/>
    <w:p w14:paraId="2E2E827C" w14:textId="77777777" w:rsidR="00552C6C" w:rsidRPr="00567DF9" w:rsidRDefault="00552C6C" w:rsidP="00567DF9">
      <w:pPr>
        <w:spacing w:line="360" w:lineRule="auto"/>
        <w:jc w:val="both"/>
        <w:rPr>
          <w:rFonts w:ascii="Book Antiqua" w:hAnsi="Book Antiqua"/>
          <w:color w:val="000000" w:themeColor="text1"/>
          <w:lang w:val="en"/>
        </w:rPr>
      </w:pPr>
    </w:p>
    <w:p w14:paraId="78007229" w14:textId="77777777" w:rsidR="00A47007" w:rsidRPr="00567DF9" w:rsidRDefault="00A47007" w:rsidP="00567DF9">
      <w:pPr>
        <w:spacing w:line="360" w:lineRule="auto"/>
        <w:ind w:right="-46"/>
        <w:jc w:val="both"/>
        <w:rPr>
          <w:rFonts w:ascii="Book Antiqua" w:hAnsi="Book Antiqua" w:cs="Arial"/>
        </w:rPr>
      </w:pPr>
      <w:r w:rsidRPr="00567DF9">
        <w:rPr>
          <w:rFonts w:ascii="Book Antiqua" w:hAnsi="Book Antiqua" w:cs="Arial"/>
          <w:b/>
        </w:rPr>
        <w:t>© The Author(s) 2019.</w:t>
      </w:r>
      <w:r w:rsidRPr="00567DF9">
        <w:rPr>
          <w:rFonts w:ascii="Book Antiqua" w:hAnsi="Book Antiqua" w:cs="Arial"/>
        </w:rPr>
        <w:t xml:space="preserve"> Published by Baishideng Publishing Group Inc. All rights reserved.</w:t>
      </w:r>
    </w:p>
    <w:p w14:paraId="4428964A" w14:textId="77777777" w:rsidR="00A47007" w:rsidRPr="00567DF9" w:rsidRDefault="00A47007" w:rsidP="00567DF9">
      <w:pPr>
        <w:spacing w:line="360" w:lineRule="auto"/>
        <w:ind w:right="-565"/>
        <w:jc w:val="both"/>
        <w:rPr>
          <w:rFonts w:ascii="Book Antiqua" w:hAnsi="Book Antiqua" w:cs="Arial"/>
          <w:b/>
        </w:rPr>
      </w:pPr>
    </w:p>
    <w:p w14:paraId="4950928F" w14:textId="641A7769" w:rsidR="00552C6C" w:rsidRPr="00567DF9" w:rsidRDefault="00A47007" w:rsidP="00567DF9">
      <w:pPr>
        <w:snapToGrid w:val="0"/>
        <w:spacing w:line="360" w:lineRule="auto"/>
        <w:jc w:val="both"/>
        <w:rPr>
          <w:rFonts w:ascii="Book Antiqua" w:hAnsi="Book Antiqua"/>
          <w:bCs/>
          <w:color w:val="000000" w:themeColor="text1"/>
        </w:rPr>
      </w:pPr>
      <w:r w:rsidRPr="00567DF9">
        <w:rPr>
          <w:rFonts w:ascii="Book Antiqua" w:hAnsi="Book Antiqua" w:cs="Arial"/>
          <w:b/>
        </w:rPr>
        <w:t>Core tip:</w:t>
      </w:r>
      <w:r w:rsidRPr="00567DF9">
        <w:rPr>
          <w:rFonts w:ascii="Book Antiqua" w:hAnsi="Book Antiqua"/>
          <w:bCs/>
        </w:rPr>
        <w:t xml:space="preserve"> </w:t>
      </w:r>
      <w:bookmarkStart w:id="11" w:name="OLE_LINK14"/>
      <w:r w:rsidR="00C5596C" w:rsidRPr="00567DF9">
        <w:rPr>
          <w:rFonts w:ascii="Book Antiqua" w:eastAsia="Arial Unicode MS" w:hAnsi="Book Antiqua" w:cs="Arial Unicode MS"/>
          <w:color w:val="000000" w:themeColor="text1"/>
          <w:lang w:val="en"/>
        </w:rPr>
        <w:t xml:space="preserve">Surgery is the only potentially curative treatment for hilar </w:t>
      </w:r>
      <w:proofErr w:type="spellStart"/>
      <w:r w:rsidR="00C5596C" w:rsidRPr="00567DF9">
        <w:rPr>
          <w:rFonts w:ascii="Book Antiqua" w:eastAsia="Arial Unicode MS" w:hAnsi="Book Antiqua" w:cs="Arial Unicode MS"/>
          <w:color w:val="000000" w:themeColor="text1"/>
          <w:lang w:val="en"/>
        </w:rPr>
        <w:t>cholangiorcinoma</w:t>
      </w:r>
      <w:proofErr w:type="spellEnd"/>
      <w:r w:rsidR="00C5596C" w:rsidRPr="00567DF9">
        <w:rPr>
          <w:rFonts w:ascii="Book Antiqua" w:eastAsia="Arial Unicode MS" w:hAnsi="Book Antiqua" w:cs="Arial Unicode MS"/>
          <w:color w:val="000000" w:themeColor="text1"/>
          <w:lang w:val="en"/>
        </w:rPr>
        <w:t xml:space="preserve">; however, most of the patients are considered not </w:t>
      </w:r>
      <w:proofErr w:type="spellStart"/>
      <w:r w:rsidR="00C5596C" w:rsidRPr="00567DF9">
        <w:rPr>
          <w:rFonts w:ascii="Book Antiqua" w:eastAsia="Arial Unicode MS" w:hAnsi="Book Antiqua" w:cs="Arial Unicode MS"/>
          <w:color w:val="000000" w:themeColor="text1"/>
          <w:lang w:val="en"/>
        </w:rPr>
        <w:t>resectable</w:t>
      </w:r>
      <w:proofErr w:type="spellEnd"/>
      <w:r w:rsidR="00C5596C" w:rsidRPr="00567DF9">
        <w:rPr>
          <w:rFonts w:ascii="Book Antiqua" w:eastAsia="Arial Unicode MS" w:hAnsi="Book Antiqua" w:cs="Arial Unicode MS"/>
          <w:color w:val="000000" w:themeColor="text1"/>
          <w:lang w:val="en"/>
        </w:rPr>
        <w:t xml:space="preserve"> because of the local extent. Neoadjuvant </w:t>
      </w:r>
      <w:proofErr w:type="spellStart"/>
      <w:r w:rsidR="00C5596C" w:rsidRPr="00567DF9">
        <w:rPr>
          <w:rFonts w:ascii="Book Antiqua" w:eastAsia="Arial Unicode MS" w:hAnsi="Book Antiqua" w:cs="Arial Unicode MS"/>
          <w:color w:val="000000" w:themeColor="text1"/>
          <w:lang w:val="en"/>
        </w:rPr>
        <w:t>radiochemotherapy</w:t>
      </w:r>
      <w:proofErr w:type="spellEnd"/>
      <w:r w:rsidR="00C5596C" w:rsidRPr="00567DF9">
        <w:rPr>
          <w:rFonts w:ascii="Book Antiqua" w:eastAsia="Arial Unicode MS" w:hAnsi="Book Antiqua" w:cs="Arial Unicode MS"/>
          <w:color w:val="000000" w:themeColor="text1"/>
          <w:lang w:val="en"/>
        </w:rPr>
        <w:t xml:space="preserve"> is supposed to increase R0 margins rate, or even to allow radical resection for locally advanced tumors, but few studies are available. Moreover, for patients with early stage tumors meeting the Mayo Clinic criteria, neoadjuvant therapy before liver transplantation has produced very good survivals, gaining worldwide </w:t>
      </w:r>
      <w:r w:rsidR="00C5596C" w:rsidRPr="00567DF9">
        <w:rPr>
          <w:rFonts w:ascii="Book Antiqua" w:eastAsia="Arial Unicode MS" w:hAnsi="Book Antiqua" w:cs="Arial Unicode MS"/>
          <w:color w:val="000000" w:themeColor="text1"/>
          <w:lang w:val="en"/>
        </w:rPr>
        <w:lastRenderedPageBreak/>
        <w:t>acceptance. This is the first review to consider the role of neoadjuvant treatment for hilar cholangiocarcinoma, before resection as well as before liver transplantation.</w:t>
      </w:r>
    </w:p>
    <w:bookmarkEnd w:id="11"/>
    <w:p w14:paraId="331344AD" w14:textId="77777777" w:rsidR="00552C6C" w:rsidRPr="00567DF9" w:rsidRDefault="00552C6C" w:rsidP="00567DF9">
      <w:pPr>
        <w:snapToGrid w:val="0"/>
        <w:spacing w:line="360" w:lineRule="auto"/>
        <w:jc w:val="both"/>
        <w:rPr>
          <w:rFonts w:ascii="Book Antiqua" w:hAnsi="Book Antiqua"/>
          <w:b/>
          <w:color w:val="000000" w:themeColor="text1"/>
        </w:rPr>
      </w:pPr>
    </w:p>
    <w:p w14:paraId="6E04AF43" w14:textId="0202C40B" w:rsidR="001F6356" w:rsidRPr="00567DF9" w:rsidRDefault="007D417F" w:rsidP="00567DF9">
      <w:pPr>
        <w:spacing w:line="360" w:lineRule="auto"/>
        <w:jc w:val="both"/>
        <w:rPr>
          <w:rFonts w:ascii="Book Antiqua" w:hAnsi="Book Antiqua"/>
          <w:color w:val="000000" w:themeColor="text1"/>
        </w:rPr>
      </w:pPr>
      <w:bookmarkStart w:id="12" w:name="_Hlk8287206"/>
      <w:bookmarkStart w:id="13" w:name="OLE_LINK597"/>
      <w:bookmarkStart w:id="14" w:name="OLE_LINK788"/>
      <w:bookmarkStart w:id="15" w:name="OLE_LINK794"/>
      <w:bookmarkStart w:id="16" w:name="OLE_LINK830"/>
      <w:bookmarkStart w:id="17" w:name="OLE_LINK831"/>
      <w:bookmarkStart w:id="18" w:name="OLE_LINK864"/>
      <w:bookmarkStart w:id="19" w:name="OLE_LINK878"/>
      <w:bookmarkStart w:id="20" w:name="OLE_LINK903"/>
      <w:bookmarkStart w:id="21" w:name="OLE_LINK1059"/>
      <w:bookmarkStart w:id="22" w:name="OLE_LINK1058"/>
      <w:bookmarkStart w:id="23" w:name="OLE_LINK1056"/>
      <w:bookmarkStart w:id="24" w:name="OLE_LINK464"/>
      <w:bookmarkStart w:id="25" w:name="OLE_LINK455"/>
      <w:bookmarkStart w:id="26" w:name="OLE_LINK130"/>
      <w:bookmarkEnd w:id="12"/>
      <w:r w:rsidRPr="00567DF9">
        <w:rPr>
          <w:rFonts w:ascii="Book Antiqua" w:hAnsi="Book Antiqua" w:cs="Tahoma"/>
          <w:color w:val="000000" w:themeColor="text1"/>
        </w:rPr>
        <w:t xml:space="preserve">Frosio F, Mocchegiani F, Conte G, Dalla Bona E, Vecchi A, Nicolini D, Vivarelli M. </w:t>
      </w:r>
      <w:bookmarkStart w:id="27" w:name="OLE_LINK425"/>
      <w:bookmarkStart w:id="28" w:name="OLE_LINK247"/>
      <w:bookmarkStart w:id="29" w:name="OLE_LINK248"/>
      <w:bookmarkStart w:id="30" w:name="OLE_LINK264"/>
      <w:bookmarkStart w:id="31" w:name="OLE_LINK265"/>
      <w:bookmarkStart w:id="32" w:name="OLE_LINK266"/>
      <w:bookmarkStart w:id="33" w:name="OLE_LINK267"/>
      <w:bookmarkStart w:id="34" w:name="OLE_LINK271"/>
      <w:bookmarkStart w:id="35" w:name="OLE_LINK273"/>
      <w:bookmarkStart w:id="36" w:name="OLE_LINK277"/>
      <w:bookmarkStart w:id="37" w:name="OLE_LINK278"/>
      <w:bookmarkStart w:id="38" w:name="OLE_LINK279"/>
      <w:bookmarkStart w:id="39" w:name="OLE_LINK284"/>
      <w:bookmarkStart w:id="40" w:name="OLE_LINK286"/>
      <w:bookmarkStart w:id="41" w:name="OLE_LINK290"/>
      <w:bookmarkStart w:id="42" w:name="OLE_LINK298"/>
      <w:bookmarkStart w:id="43" w:name="OLE_LINK299"/>
      <w:bookmarkStart w:id="44" w:name="OLE_LINK326"/>
      <w:bookmarkStart w:id="45" w:name="OLE_LINK336"/>
      <w:bookmarkStart w:id="46" w:name="OLE_LINK339"/>
      <w:bookmarkStart w:id="47" w:name="OLE_LINK345"/>
      <w:bookmarkStart w:id="48" w:name="OLE_LINK348"/>
      <w:bookmarkStart w:id="49" w:name="OLE_LINK352"/>
      <w:bookmarkStart w:id="50" w:name="OLE_LINK362"/>
      <w:bookmarkStart w:id="51" w:name="OLE_LINK368"/>
      <w:bookmarkStart w:id="52" w:name="OLE_LINK370"/>
      <w:bookmarkStart w:id="53" w:name="OLE_LINK316"/>
      <w:bookmarkStart w:id="54" w:name="OLE_LINK317"/>
      <w:bookmarkStart w:id="55" w:name="OLE_LINK318"/>
      <w:bookmarkStart w:id="56" w:name="OLE_LINK811"/>
      <w:bookmarkStart w:id="57" w:name="OLE_LINK756"/>
      <w:bookmarkStart w:id="58" w:name="OLE_LINK757"/>
      <w:bookmarkStart w:id="59" w:name="OLE_LINK817"/>
      <w:bookmarkStart w:id="60" w:name="OLE_LINK781"/>
      <w:bookmarkStart w:id="61" w:name="OLE_LINK782"/>
      <w:bookmarkStart w:id="62" w:name="OLE_LINK937"/>
      <w:bookmarkEnd w:id="13"/>
      <w:bookmarkEnd w:id="14"/>
      <w:bookmarkEnd w:id="15"/>
      <w:bookmarkEnd w:id="16"/>
      <w:bookmarkEnd w:id="17"/>
      <w:bookmarkEnd w:id="18"/>
      <w:bookmarkEnd w:id="19"/>
      <w:bookmarkEnd w:id="20"/>
      <w:r w:rsidR="00A2430A" w:rsidRPr="00567DF9">
        <w:rPr>
          <w:rFonts w:ascii="Book Antiqua" w:hAnsi="Book Antiqua"/>
          <w:color w:val="000000" w:themeColor="text1"/>
          <w:lang w:val="en-GB"/>
        </w:rPr>
        <w:t>Neoadjuvant therapy in the treatment of hilar cholangiocarcinoma: Review of the literature</w:t>
      </w:r>
      <w:r w:rsidR="00A2430A" w:rsidRPr="00567DF9">
        <w:rPr>
          <w:rFonts w:ascii="Book Antiqua" w:eastAsia="SimSun" w:hAnsi="Book Antiqua"/>
          <w:color w:val="000000" w:themeColor="text1"/>
          <w:lang w:eastAsia="zh-CN"/>
        </w:rPr>
        <w:t>.</w:t>
      </w:r>
      <w:r w:rsidRPr="00567DF9">
        <w:rPr>
          <w:rFonts w:ascii="Book Antiqua" w:hAnsi="Book Antiqua" w:cs="Tahoma"/>
          <w:color w:val="000000" w:themeColor="text1"/>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67DF9">
        <w:rPr>
          <w:rFonts w:ascii="Book Antiqua" w:hAnsi="Book Antiqua"/>
          <w:i/>
          <w:color w:val="000000" w:themeColor="text1"/>
        </w:rPr>
        <w:t xml:space="preserve">World J </w:t>
      </w:r>
      <w:r w:rsidR="00A2430A" w:rsidRPr="00567DF9">
        <w:rPr>
          <w:rFonts w:ascii="Book Antiqua" w:eastAsia="Book Antiqua" w:hAnsi="Book Antiqua"/>
          <w:i/>
          <w:color w:val="000000" w:themeColor="text1"/>
        </w:rPr>
        <w:t>Gastrointest Surg</w:t>
      </w:r>
      <w:r w:rsidRPr="00567DF9">
        <w:rPr>
          <w:rFonts w:ascii="Book Antiqua" w:hAnsi="Book Antiqua"/>
          <w:i/>
          <w:color w:val="000000" w:themeColor="text1"/>
        </w:rPr>
        <w:t xml:space="preserve"> </w:t>
      </w:r>
      <w:bookmarkStart w:id="63" w:name="_Hlk6585798"/>
      <w:bookmarkStart w:id="64" w:name="_Hlk6581786"/>
      <w:bookmarkStart w:id="65" w:name="_Hlk6582555"/>
      <w:bookmarkStart w:id="66" w:name="_Hlk8288403"/>
      <w:bookmarkEnd w:id="63"/>
      <w:bookmarkEnd w:id="64"/>
      <w:bookmarkEnd w:id="65"/>
      <w:bookmarkEnd w:id="66"/>
      <w:r w:rsidRPr="00567DF9">
        <w:rPr>
          <w:rFonts w:ascii="Book Antiqua" w:hAnsi="Book Antiqua"/>
          <w:color w:val="000000" w:themeColor="text1"/>
        </w:rPr>
        <w:t>2019; In press</w:t>
      </w:r>
    </w:p>
    <w:p w14:paraId="7CFC3E34" w14:textId="77777777" w:rsidR="00A2430A" w:rsidRPr="00567DF9" w:rsidRDefault="00A2430A" w:rsidP="00567DF9">
      <w:pPr>
        <w:spacing w:line="360" w:lineRule="auto"/>
        <w:jc w:val="both"/>
        <w:rPr>
          <w:rFonts w:ascii="Book Antiqua" w:hAnsi="Book Antiqua"/>
          <w:color w:val="000000" w:themeColor="text1"/>
          <w:lang w:val="en-US"/>
        </w:rPr>
      </w:pPr>
      <w:r w:rsidRPr="00567DF9">
        <w:rPr>
          <w:rFonts w:ascii="Book Antiqua" w:hAnsi="Book Antiqua"/>
          <w:color w:val="000000" w:themeColor="text1"/>
          <w:lang w:val="en-US"/>
        </w:rPr>
        <w:br w:type="page"/>
      </w:r>
    </w:p>
    <w:p w14:paraId="2DECC9F2" w14:textId="27FBABD8" w:rsidR="00552C6C" w:rsidRPr="00567DF9" w:rsidRDefault="007D417F"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lastRenderedPageBreak/>
        <w:t>INTRODUCTION</w:t>
      </w:r>
    </w:p>
    <w:p w14:paraId="17EC8DD9" w14:textId="599BE665" w:rsidR="00552C6C" w:rsidRPr="00567DF9" w:rsidRDefault="007D417F" w:rsidP="00567DF9">
      <w:pPr>
        <w:spacing w:line="360" w:lineRule="auto"/>
        <w:jc w:val="both"/>
        <w:rPr>
          <w:rFonts w:ascii="Book Antiqua" w:hAnsi="Book Antiqua"/>
          <w:color w:val="000000" w:themeColor="text1"/>
        </w:rPr>
      </w:pPr>
      <w:r w:rsidRPr="00567DF9">
        <w:rPr>
          <w:rFonts w:ascii="Book Antiqua" w:hAnsi="Book Antiqua"/>
          <w:color w:val="000000" w:themeColor="text1"/>
          <w:lang w:val="en-US"/>
        </w:rPr>
        <w:t xml:space="preserve">Cholangiocarcinoma (CCA) is a malignant tumor of the liver arising from the </w:t>
      </w:r>
      <w:proofErr w:type="spellStart"/>
      <w:r w:rsidRPr="00567DF9">
        <w:rPr>
          <w:rFonts w:ascii="Book Antiqua" w:hAnsi="Book Antiqua"/>
          <w:color w:val="000000" w:themeColor="text1"/>
          <w:lang w:val="en-US"/>
        </w:rPr>
        <w:t>cholangiocytes</w:t>
      </w:r>
      <w:proofErr w:type="spellEnd"/>
      <w:r w:rsidRPr="00567DF9">
        <w:rPr>
          <w:rFonts w:ascii="Book Antiqua" w:hAnsi="Book Antiqua"/>
          <w:color w:val="000000" w:themeColor="text1"/>
          <w:lang w:val="en-US"/>
        </w:rPr>
        <w:t xml:space="preserve"> of the bile ducts and it represents the second most common primary hepatic malignancy behind the hepatocellular </w:t>
      </w:r>
      <w:proofErr w:type="gramStart"/>
      <w:r w:rsidRPr="00567DF9">
        <w:rPr>
          <w:rFonts w:ascii="Book Antiqua" w:hAnsi="Book Antiqua"/>
          <w:color w:val="000000" w:themeColor="text1"/>
          <w:lang w:val="en-US"/>
        </w:rPr>
        <w:t>carcinoma</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1]</w:t>
      </w:r>
      <w:r w:rsidRPr="00567DF9">
        <w:rPr>
          <w:rFonts w:ascii="Book Antiqua" w:hAnsi="Book Antiqua"/>
          <w:color w:val="000000" w:themeColor="text1"/>
          <w:lang w:val="en-US"/>
        </w:rPr>
        <w:t>.</w:t>
      </w:r>
      <w:r w:rsidR="00A2430A" w:rsidRPr="00567DF9">
        <w:rPr>
          <w:rFonts w:ascii="Book Antiqua" w:hAnsi="Book Antiqua"/>
          <w:color w:val="000000" w:themeColor="text1"/>
          <w:lang w:val="en-US"/>
        </w:rPr>
        <w:t xml:space="preserve"> </w:t>
      </w:r>
      <w:r w:rsidRPr="00567DF9">
        <w:rPr>
          <w:rFonts w:ascii="Book Antiqua" w:hAnsi="Book Antiqua"/>
          <w:color w:val="000000" w:themeColor="text1"/>
          <w:lang w:val="en-US"/>
        </w:rPr>
        <w:t xml:space="preserve">The </w:t>
      </w:r>
      <w:proofErr w:type="spellStart"/>
      <w:r w:rsidRPr="00567DF9">
        <w:rPr>
          <w:rFonts w:ascii="Book Antiqua" w:hAnsi="Book Antiqua"/>
          <w:color w:val="000000" w:themeColor="text1"/>
          <w:lang w:val="en-US"/>
        </w:rPr>
        <w:t>cholangiocytes</w:t>
      </w:r>
      <w:proofErr w:type="spellEnd"/>
      <w:r w:rsidRPr="00567DF9">
        <w:rPr>
          <w:rFonts w:ascii="Book Antiqua" w:hAnsi="Book Antiqua"/>
          <w:color w:val="000000" w:themeColor="text1"/>
          <w:lang w:val="en-US"/>
        </w:rPr>
        <w:t xml:space="preserve"> have different features in relation to their location in the biliary tree and this heterogeneity reflects the existence of different histological types of </w:t>
      </w:r>
      <w:proofErr w:type="gramStart"/>
      <w:r w:rsidRPr="00567DF9">
        <w:rPr>
          <w:rFonts w:ascii="Book Antiqua" w:hAnsi="Book Antiqua"/>
          <w:color w:val="000000" w:themeColor="text1"/>
          <w:lang w:val="en-US"/>
        </w:rPr>
        <w:t>CCA</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w:t>
      </w:r>
      <w:r w:rsidR="00115A75" w:rsidRPr="00567DF9">
        <w:rPr>
          <w:rFonts w:ascii="Book Antiqua" w:hAnsi="Book Antiqua"/>
          <w:color w:val="000000" w:themeColor="text1"/>
          <w:lang w:val="en-US"/>
        </w:rPr>
        <w:t xml:space="preserve"> </w:t>
      </w:r>
      <w:r w:rsidRPr="00567DF9">
        <w:rPr>
          <w:rFonts w:ascii="Book Antiqua" w:hAnsi="Book Antiqua"/>
          <w:color w:val="000000" w:themeColor="text1"/>
          <w:lang w:val="en-US"/>
        </w:rPr>
        <w:t xml:space="preserve">such as </w:t>
      </w:r>
      <w:proofErr w:type="spellStart"/>
      <w:r w:rsidRPr="00567DF9">
        <w:rPr>
          <w:rFonts w:ascii="Book Antiqua" w:hAnsi="Book Antiqua"/>
          <w:color w:val="000000" w:themeColor="text1"/>
          <w:lang w:val="en-US"/>
        </w:rPr>
        <w:t>mucine</w:t>
      </w:r>
      <w:proofErr w:type="spellEnd"/>
      <w:r w:rsidRPr="00567DF9">
        <w:rPr>
          <w:rFonts w:ascii="Book Antiqua" w:hAnsi="Book Antiqua"/>
          <w:color w:val="000000" w:themeColor="text1"/>
          <w:lang w:val="en-US"/>
        </w:rPr>
        <w:t xml:space="preserve"> producing, hepatocytic differentiated, etc. Established risk factors for </w:t>
      </w:r>
      <w:r w:rsidR="00A47007" w:rsidRPr="00567DF9">
        <w:rPr>
          <w:rFonts w:ascii="Book Antiqua" w:hAnsi="Book Antiqua"/>
          <w:color w:val="000000" w:themeColor="text1"/>
          <w:lang w:val="en-US"/>
        </w:rPr>
        <w:t>CCA</w:t>
      </w:r>
      <w:r w:rsidRPr="00567DF9">
        <w:rPr>
          <w:rFonts w:ascii="Book Antiqua" w:hAnsi="Book Antiqua"/>
          <w:color w:val="000000" w:themeColor="text1"/>
          <w:lang w:val="en-US"/>
        </w:rPr>
        <w:t xml:space="preserve"> are primary sclerosing cholangitis (PSC), hepatobiliary parasites (</w:t>
      </w:r>
      <w:r w:rsidRPr="00567DF9">
        <w:rPr>
          <w:rFonts w:ascii="Book Antiqua" w:hAnsi="Book Antiqua"/>
          <w:i/>
          <w:color w:val="000000" w:themeColor="text1"/>
          <w:lang w:val="en-US"/>
        </w:rPr>
        <w:t xml:space="preserve">Opisthorchis </w:t>
      </w:r>
      <w:proofErr w:type="spellStart"/>
      <w:r w:rsidRPr="00567DF9">
        <w:rPr>
          <w:rFonts w:ascii="Book Antiqua" w:hAnsi="Book Antiqua"/>
          <w:i/>
          <w:color w:val="000000" w:themeColor="text1"/>
          <w:lang w:val="en-US"/>
        </w:rPr>
        <w:t>viverrini</w:t>
      </w:r>
      <w:proofErr w:type="spellEnd"/>
      <w:r w:rsidRPr="00567DF9">
        <w:rPr>
          <w:rFonts w:ascii="Book Antiqua" w:hAnsi="Book Antiqua"/>
          <w:i/>
          <w:color w:val="000000" w:themeColor="text1"/>
          <w:lang w:val="en-US"/>
        </w:rPr>
        <w:t xml:space="preserve"> </w:t>
      </w:r>
      <w:r w:rsidRPr="00567DF9">
        <w:rPr>
          <w:rFonts w:ascii="Book Antiqua" w:hAnsi="Book Antiqua"/>
          <w:color w:val="000000" w:themeColor="text1"/>
          <w:lang w:val="en-US"/>
        </w:rPr>
        <w:t>and</w:t>
      </w:r>
      <w:r w:rsidRPr="00567DF9">
        <w:rPr>
          <w:rFonts w:ascii="Book Antiqua" w:hAnsi="Book Antiqua"/>
          <w:i/>
          <w:color w:val="000000" w:themeColor="text1"/>
          <w:lang w:val="en-US"/>
        </w:rPr>
        <w:t xml:space="preserve"> Clonorchis </w:t>
      </w:r>
      <w:proofErr w:type="spellStart"/>
      <w:r w:rsidRPr="00567DF9">
        <w:rPr>
          <w:rFonts w:ascii="Book Antiqua" w:hAnsi="Book Antiqua"/>
          <w:i/>
          <w:color w:val="000000" w:themeColor="text1"/>
          <w:lang w:val="en-US"/>
        </w:rPr>
        <w:t>sinensis</w:t>
      </w:r>
      <w:proofErr w:type="spellEnd"/>
      <w:r w:rsidRPr="00567DF9">
        <w:rPr>
          <w:rFonts w:ascii="Book Antiqua" w:hAnsi="Book Antiqua"/>
          <w:i/>
          <w:color w:val="000000" w:themeColor="text1"/>
          <w:lang w:val="en-US"/>
        </w:rPr>
        <w:t>,</w:t>
      </w:r>
      <w:r w:rsidRPr="00567DF9">
        <w:rPr>
          <w:rFonts w:ascii="Book Antiqua" w:hAnsi="Book Antiqua"/>
          <w:color w:val="000000" w:themeColor="text1"/>
          <w:lang w:val="en-US"/>
        </w:rPr>
        <w:t xml:space="preserve"> in </w:t>
      </w:r>
      <w:proofErr w:type="spellStart"/>
      <w:r w:rsidRPr="00567DF9">
        <w:rPr>
          <w:rFonts w:ascii="Book Antiqua" w:hAnsi="Book Antiqua"/>
          <w:color w:val="000000" w:themeColor="text1"/>
          <w:lang w:val="en-US"/>
        </w:rPr>
        <w:t>Southest</w:t>
      </w:r>
      <w:proofErr w:type="spellEnd"/>
      <w:r w:rsidRPr="00567DF9">
        <w:rPr>
          <w:rFonts w:ascii="Book Antiqua" w:hAnsi="Book Antiqua"/>
          <w:color w:val="000000" w:themeColor="text1"/>
          <w:lang w:val="en-US"/>
        </w:rPr>
        <w:t xml:space="preserve"> Asia especially), hepatolithiasis, </w:t>
      </w:r>
      <w:proofErr w:type="spellStart"/>
      <w:r w:rsidRPr="00567DF9">
        <w:rPr>
          <w:rFonts w:ascii="Book Antiqua" w:hAnsi="Book Antiqua"/>
          <w:color w:val="000000" w:themeColor="text1"/>
          <w:lang w:val="en-US"/>
        </w:rPr>
        <w:t>Caroli’s</w:t>
      </w:r>
      <w:proofErr w:type="spellEnd"/>
      <w:r w:rsidRPr="00567DF9">
        <w:rPr>
          <w:rFonts w:ascii="Book Antiqua" w:hAnsi="Book Antiqua"/>
          <w:color w:val="000000" w:themeColor="text1"/>
          <w:lang w:val="en-US"/>
        </w:rPr>
        <w:t xml:space="preserve"> disease and type I and IV </w:t>
      </w:r>
      <w:proofErr w:type="spellStart"/>
      <w:r w:rsidRPr="00567DF9">
        <w:rPr>
          <w:rFonts w:ascii="Book Antiqua" w:hAnsi="Book Antiqua"/>
          <w:color w:val="000000" w:themeColor="text1"/>
          <w:lang w:val="en-US"/>
        </w:rPr>
        <w:t>choledocal</w:t>
      </w:r>
      <w:proofErr w:type="spellEnd"/>
      <w:r w:rsidRPr="00567DF9">
        <w:rPr>
          <w:rFonts w:ascii="Book Antiqua" w:hAnsi="Book Antiqua"/>
          <w:color w:val="000000" w:themeColor="text1"/>
          <w:lang w:val="en-US"/>
        </w:rPr>
        <w:t xml:space="preserve"> cysts; more recently, cirrhosis has emerged as an independent risk factor too</w:t>
      </w:r>
      <w:r w:rsidRPr="00567DF9">
        <w:rPr>
          <w:rFonts w:ascii="Book Antiqua" w:hAnsi="Book Antiqua"/>
          <w:color w:val="000000" w:themeColor="text1"/>
          <w:vertAlign w:val="superscript"/>
          <w:lang w:val="en-US"/>
        </w:rPr>
        <w:t>[3]</w:t>
      </w:r>
      <w:r w:rsidRPr="00567DF9">
        <w:rPr>
          <w:rFonts w:ascii="Book Antiqua" w:hAnsi="Book Antiqua"/>
          <w:color w:val="000000" w:themeColor="text1"/>
          <w:lang w:val="en-US"/>
        </w:rPr>
        <w:t>; on the other hand, hepatitis B and C virus, diabetes mellitus and obesity are possible risk factors to be confirmed. Nevertheless, in most patients with CCA, no risk factor is identifiable. The current anatomical classification includes intra hepatic CCA (</w:t>
      </w:r>
      <w:proofErr w:type="spellStart"/>
      <w:r w:rsidRPr="00567DF9">
        <w:rPr>
          <w:rFonts w:ascii="Book Antiqua" w:hAnsi="Book Antiqua"/>
          <w:color w:val="000000" w:themeColor="text1"/>
          <w:lang w:val="en-US"/>
        </w:rPr>
        <w:t>iCCA</w:t>
      </w:r>
      <w:proofErr w:type="spellEnd"/>
      <w:r w:rsidRPr="00567DF9">
        <w:rPr>
          <w:rFonts w:ascii="Book Antiqua" w:hAnsi="Book Antiqua"/>
          <w:color w:val="000000" w:themeColor="text1"/>
          <w:lang w:val="en-US"/>
        </w:rPr>
        <w:t>), hilar CCA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and distal CCA (</w:t>
      </w:r>
      <w:proofErr w:type="spellStart"/>
      <w:r w:rsidRPr="00567DF9">
        <w:rPr>
          <w:rFonts w:ascii="Book Antiqua" w:hAnsi="Book Antiqua"/>
          <w:color w:val="000000" w:themeColor="text1"/>
          <w:lang w:val="en-US"/>
        </w:rPr>
        <w:t>dCCA</w:t>
      </w:r>
      <w:proofErr w:type="spellEnd"/>
      <w:proofErr w:type="gramStart"/>
      <w:r w:rsidRPr="00567DF9">
        <w:rPr>
          <w:rFonts w:ascii="Book Antiqua" w:hAnsi="Book Antiqua"/>
          <w:color w:val="000000" w:themeColor="text1"/>
          <w:lang w:val="en-US"/>
        </w:rPr>
        <w:t>)</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4]</w:t>
      </w:r>
      <w:r w:rsidRPr="00567DF9">
        <w:rPr>
          <w:rFonts w:ascii="Book Antiqua" w:hAnsi="Book Antiqua"/>
          <w:color w:val="000000" w:themeColor="text1"/>
          <w:lang w:val="en-US"/>
        </w:rPr>
        <w:t xml:space="preserve">.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notably refers to tumors located between the secondary branches of the right and left hepatic ducts and the common hepatic duct at the level of cystic duct </w:t>
      </w:r>
      <w:proofErr w:type="gramStart"/>
      <w:r w:rsidRPr="00567DF9">
        <w:rPr>
          <w:rFonts w:ascii="Book Antiqua" w:hAnsi="Book Antiqua"/>
          <w:color w:val="000000" w:themeColor="text1"/>
          <w:lang w:val="en-US"/>
        </w:rPr>
        <w:t>origin</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5]</w:t>
      </w:r>
      <w:r w:rsidRPr="00567DF9">
        <w:rPr>
          <w:rFonts w:ascii="Book Antiqua" w:hAnsi="Book Antiqua"/>
          <w:color w:val="000000" w:themeColor="text1"/>
          <w:lang w:val="en-US"/>
        </w:rPr>
        <w:t>. The prognosis of CCA is quite miserable and surgery is the only potentially curative treatment.</w:t>
      </w:r>
    </w:p>
    <w:p w14:paraId="690A6D1C" w14:textId="7D89F993"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 xml:space="preserve">In case of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which is the most common </w:t>
      </w:r>
      <w:proofErr w:type="gramStart"/>
      <w:r w:rsidRPr="00567DF9">
        <w:rPr>
          <w:rFonts w:ascii="Book Antiqua" w:hAnsi="Book Antiqua"/>
          <w:color w:val="000000" w:themeColor="text1"/>
          <w:lang w:val="en-US"/>
        </w:rPr>
        <w:t>type</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6]</w:t>
      </w:r>
      <w:r w:rsidRPr="00567DF9">
        <w:rPr>
          <w:rFonts w:ascii="Book Antiqua" w:hAnsi="Book Antiqua"/>
          <w:color w:val="000000" w:themeColor="text1"/>
          <w:lang w:val="en-US"/>
        </w:rPr>
        <w:t xml:space="preserve">, diagnosis and treatment are extremely challenging. First of all, most of the patients are not eligible for surgery, since one of the following conditions occurs: </w:t>
      </w:r>
      <w:r w:rsidRPr="00567DF9">
        <w:rPr>
          <w:rFonts w:ascii="Book Antiqua" w:hAnsi="Book Antiqua" w:cs="Times Roman"/>
          <w:color w:val="000000" w:themeColor="text1"/>
          <w:lang w:val="en-US"/>
        </w:rPr>
        <w:t xml:space="preserve">bilateral involvement of the second-order bile ducts, bilateral or contralateral vascular involvement, metastatic disease, underlying advanced hepatic disease and </w:t>
      </w:r>
      <w:proofErr w:type="gramStart"/>
      <w:r w:rsidRPr="00567DF9">
        <w:rPr>
          <w:rFonts w:ascii="Book Antiqua" w:hAnsi="Book Antiqua" w:cs="Times Roman"/>
          <w:color w:val="000000" w:themeColor="text1"/>
          <w:lang w:val="en-US"/>
        </w:rPr>
        <w:t>PSC</w:t>
      </w:r>
      <w:r w:rsidRPr="00567DF9">
        <w:rPr>
          <w:rFonts w:ascii="Book Antiqua" w:hAnsi="Book Antiqua" w:cs="Times Roman"/>
          <w:color w:val="000000" w:themeColor="text1"/>
          <w:vertAlign w:val="superscript"/>
          <w:lang w:val="en-US"/>
        </w:rPr>
        <w:t>[</w:t>
      </w:r>
      <w:proofErr w:type="gramEnd"/>
      <w:r w:rsidRPr="00567DF9">
        <w:rPr>
          <w:rFonts w:ascii="Book Antiqua" w:hAnsi="Book Antiqua" w:cs="Times Roman"/>
          <w:color w:val="000000" w:themeColor="text1"/>
          <w:vertAlign w:val="superscript"/>
          <w:lang w:val="en-US"/>
        </w:rPr>
        <w:t>7]</w:t>
      </w:r>
      <w:r w:rsidRPr="00567DF9">
        <w:rPr>
          <w:rFonts w:ascii="Book Antiqua" w:hAnsi="Book Antiqua" w:cs="Times Roman"/>
          <w:color w:val="000000" w:themeColor="text1"/>
          <w:lang w:val="en-US"/>
        </w:rPr>
        <w:t xml:space="preserve">. </w:t>
      </w:r>
      <w:r w:rsidRPr="00567DF9">
        <w:rPr>
          <w:rFonts w:ascii="Book Antiqua" w:hAnsi="Book Antiqua"/>
          <w:color w:val="000000" w:themeColor="text1"/>
          <w:lang w:val="en-US"/>
        </w:rPr>
        <w:t xml:space="preserve">An advanced preoperative work up is therefore needed: along with </w:t>
      </w:r>
      <w:r w:rsidR="00EA59D0" w:rsidRPr="00567DF9">
        <w:rPr>
          <w:rFonts w:ascii="Book Antiqua" w:hAnsi="Book Antiqua"/>
          <w:color w:val="000000" w:themeColor="text1"/>
          <w:lang w:val="en-US"/>
        </w:rPr>
        <w:t>m</w:t>
      </w:r>
      <w:r w:rsidRPr="00567DF9">
        <w:rPr>
          <w:rFonts w:ascii="Book Antiqua" w:hAnsi="Book Antiqua"/>
          <w:color w:val="000000" w:themeColor="text1"/>
          <w:lang w:val="en-US"/>
        </w:rPr>
        <w:t xml:space="preserve">agnetic </w:t>
      </w:r>
      <w:r w:rsidR="00EA59D0" w:rsidRPr="00567DF9">
        <w:rPr>
          <w:rFonts w:ascii="Book Antiqua" w:hAnsi="Book Antiqua"/>
          <w:color w:val="000000" w:themeColor="text1"/>
          <w:lang w:val="en-US"/>
        </w:rPr>
        <w:t>r</w:t>
      </w:r>
      <w:r w:rsidRPr="00567DF9">
        <w:rPr>
          <w:rFonts w:ascii="Book Antiqua" w:hAnsi="Book Antiqua"/>
          <w:color w:val="000000" w:themeColor="text1"/>
          <w:lang w:val="en-US"/>
        </w:rPr>
        <w:t xml:space="preserve">esonance </w:t>
      </w:r>
      <w:r w:rsidR="00EA59D0" w:rsidRPr="00567DF9">
        <w:rPr>
          <w:rFonts w:ascii="Book Antiqua" w:hAnsi="Book Antiqua"/>
          <w:color w:val="000000" w:themeColor="text1"/>
          <w:lang w:val="en-US"/>
        </w:rPr>
        <w:t>c</w:t>
      </w:r>
      <w:r w:rsidRPr="00567DF9">
        <w:rPr>
          <w:rFonts w:ascii="Book Antiqua" w:hAnsi="Book Antiqua"/>
          <w:color w:val="000000" w:themeColor="text1"/>
          <w:lang w:val="en-US"/>
        </w:rPr>
        <w:t xml:space="preserve">holangiography and </w:t>
      </w:r>
      <w:r w:rsidR="00EA59D0" w:rsidRPr="00567DF9">
        <w:rPr>
          <w:rFonts w:ascii="Book Antiqua" w:hAnsi="Book Antiqua"/>
          <w:color w:val="000000" w:themeColor="text1"/>
          <w:lang w:val="en-US"/>
        </w:rPr>
        <w:t>c</w:t>
      </w:r>
      <w:r w:rsidRPr="00567DF9">
        <w:rPr>
          <w:rFonts w:ascii="Book Antiqua" w:hAnsi="Book Antiqua"/>
          <w:color w:val="000000" w:themeColor="text1"/>
          <w:lang w:val="en-US"/>
        </w:rPr>
        <w:t xml:space="preserve">omputed </w:t>
      </w:r>
      <w:r w:rsidR="00EA59D0" w:rsidRPr="00567DF9">
        <w:rPr>
          <w:rFonts w:ascii="Book Antiqua" w:hAnsi="Book Antiqua"/>
          <w:color w:val="000000" w:themeColor="text1"/>
          <w:lang w:val="en-US"/>
        </w:rPr>
        <w:t>t</w:t>
      </w:r>
      <w:r w:rsidRPr="00567DF9">
        <w:rPr>
          <w:rFonts w:ascii="Book Antiqua" w:hAnsi="Book Antiqua"/>
          <w:color w:val="000000" w:themeColor="text1"/>
          <w:lang w:val="en-US"/>
        </w:rPr>
        <w:t xml:space="preserve">omography </w:t>
      </w:r>
      <w:r w:rsidR="00EA59D0" w:rsidRPr="00567DF9">
        <w:rPr>
          <w:rFonts w:ascii="Book Antiqua" w:hAnsi="Book Antiqua"/>
          <w:color w:val="000000" w:themeColor="text1"/>
          <w:lang w:val="en-US"/>
        </w:rPr>
        <w:t>s</w:t>
      </w:r>
      <w:r w:rsidRPr="00567DF9">
        <w:rPr>
          <w:rFonts w:ascii="Book Antiqua" w:hAnsi="Book Antiqua"/>
          <w:color w:val="000000" w:themeColor="text1"/>
          <w:lang w:val="en-US"/>
        </w:rPr>
        <w:t xml:space="preserve">can, the histologic mapping of the biliary tree obtained through the Spyglass </w:t>
      </w:r>
      <w:proofErr w:type="spellStart"/>
      <w:r w:rsidRPr="00567DF9">
        <w:rPr>
          <w:rFonts w:ascii="Book Antiqua" w:hAnsi="Book Antiqua"/>
          <w:color w:val="000000" w:themeColor="text1"/>
          <w:lang w:val="en-US"/>
        </w:rPr>
        <w:t>cholangioscopy</w:t>
      </w:r>
      <w:proofErr w:type="spellEnd"/>
      <w:r w:rsidRPr="00567DF9">
        <w:rPr>
          <w:rFonts w:ascii="Book Antiqua" w:hAnsi="Book Antiqua"/>
          <w:color w:val="000000" w:themeColor="text1"/>
          <w:lang w:val="en-US"/>
        </w:rPr>
        <w:t xml:space="preserve"> system appears crucial to establish the </w:t>
      </w:r>
      <w:proofErr w:type="spellStart"/>
      <w:r w:rsidRPr="00567DF9">
        <w:rPr>
          <w:rFonts w:ascii="Book Antiqua" w:hAnsi="Book Antiqua"/>
          <w:color w:val="000000" w:themeColor="text1"/>
          <w:lang w:val="en-US"/>
        </w:rPr>
        <w:t>resectability</w:t>
      </w:r>
      <w:proofErr w:type="spellEnd"/>
      <w:r w:rsidRPr="00567DF9">
        <w:rPr>
          <w:rFonts w:ascii="Book Antiqua" w:hAnsi="Book Antiqua"/>
          <w:color w:val="000000" w:themeColor="text1"/>
          <w:lang w:val="en-US"/>
        </w:rPr>
        <w:t xml:space="preserve"> and to plan the right operative strategy. Secondly, if feasible, surgery for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consists </w:t>
      </w:r>
      <w:r w:rsidRPr="00567DF9">
        <w:rPr>
          <w:rFonts w:ascii="Book Antiqua" w:hAnsi="Book Antiqua" w:cs="Times Roman"/>
          <w:color w:val="000000" w:themeColor="text1"/>
          <w:lang w:val="en-GB"/>
        </w:rPr>
        <w:t>of a major procedure, usually an extended lobar hepatic and bile duct resection, with regional lymphadenectomy and Roux-en-Y hepaticojejunostomy</w:t>
      </w:r>
      <w:r w:rsidRPr="00567DF9">
        <w:rPr>
          <w:rFonts w:ascii="Book Antiqua" w:hAnsi="Book Antiqua" w:cs="Times Roman"/>
          <w:color w:val="000000" w:themeColor="text1"/>
          <w:vertAlign w:val="superscript"/>
          <w:lang w:val="en-GB"/>
        </w:rPr>
        <w:t>[8]</w:t>
      </w:r>
      <w:r w:rsidRPr="00567DF9">
        <w:rPr>
          <w:rFonts w:ascii="Book Antiqua" w:hAnsi="Book Antiqua" w:cs="Times Roman"/>
          <w:color w:val="000000" w:themeColor="text1"/>
          <w:lang w:val="en-GB"/>
        </w:rPr>
        <w:t xml:space="preserve">; an accurate </w:t>
      </w:r>
      <w:r w:rsidRPr="00567DF9">
        <w:rPr>
          <w:rFonts w:ascii="Book Antiqua" w:hAnsi="Book Antiqua" w:cs="Times Roman"/>
          <w:color w:val="000000" w:themeColor="text1"/>
          <w:lang w:val="en-GB"/>
        </w:rPr>
        <w:lastRenderedPageBreak/>
        <w:t>evaluation of the future liver remnant</w:t>
      </w:r>
      <w:r w:rsidR="00EA59D0" w:rsidRPr="00567DF9">
        <w:rPr>
          <w:rFonts w:ascii="Book Antiqua" w:hAnsi="Book Antiqua" w:cs="Times Roman"/>
          <w:color w:val="000000" w:themeColor="text1"/>
          <w:lang w:val="en-GB"/>
        </w:rPr>
        <w:t xml:space="preserve"> </w:t>
      </w:r>
      <w:r w:rsidRPr="00567DF9">
        <w:rPr>
          <w:rFonts w:ascii="Book Antiqua" w:hAnsi="Book Antiqua" w:cs="Times Roman"/>
          <w:color w:val="000000" w:themeColor="text1"/>
          <w:lang w:val="en-GB"/>
        </w:rPr>
        <w:t xml:space="preserve">is always required, as preoperative portal vein embolization or staged hepatectomy as ALPPS are the available techniques to provide for its hypertrophy. Moreover, even when a </w:t>
      </w:r>
      <w:r w:rsidRPr="00567DF9">
        <w:rPr>
          <w:rFonts w:ascii="Book Antiqua" w:hAnsi="Book Antiqua"/>
          <w:color w:val="000000" w:themeColor="text1"/>
          <w:lang w:val="en-US"/>
        </w:rPr>
        <w:t>R0 resection is accomplished, it can</w:t>
      </w:r>
      <w:r w:rsidRPr="00567DF9">
        <w:rPr>
          <w:rFonts w:ascii="Book Antiqua" w:hAnsi="Book Antiqua" w:cs="Times Roman"/>
          <w:color w:val="000000" w:themeColor="text1"/>
          <w:lang w:val="en-GB"/>
        </w:rPr>
        <w:t xml:space="preserve"> only </w:t>
      </w:r>
      <w:r w:rsidRPr="00567DF9">
        <w:rPr>
          <w:rFonts w:ascii="Book Antiqua" w:hAnsi="Book Antiqua"/>
          <w:color w:val="000000" w:themeColor="text1"/>
          <w:lang w:val="en-US"/>
        </w:rPr>
        <w:t>produce 5-years survivals up to 40</w:t>
      </w:r>
      <w:proofErr w:type="gramStart"/>
      <w:r w:rsidRPr="00567DF9">
        <w:rPr>
          <w:rFonts w:ascii="Book Antiqua" w:hAnsi="Book Antiqua"/>
          <w:color w:val="000000" w:themeColor="text1"/>
          <w:lang w:val="en-US"/>
        </w:rPr>
        <w:t>%</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9]</w:t>
      </w:r>
      <w:r w:rsidRPr="00567DF9">
        <w:rPr>
          <w:rFonts w:ascii="Book Antiqua" w:hAnsi="Book Antiqua"/>
          <w:color w:val="000000" w:themeColor="text1"/>
          <w:lang w:val="en-US"/>
        </w:rPr>
        <w:t>, being the lymph nodes involvement a well-known negative prognostic factor</w:t>
      </w:r>
      <w:r w:rsidRPr="00567DF9">
        <w:rPr>
          <w:rFonts w:ascii="Book Antiqua" w:hAnsi="Book Antiqua"/>
          <w:color w:val="000000" w:themeColor="text1"/>
          <w:vertAlign w:val="superscript"/>
          <w:lang w:val="en-US"/>
        </w:rPr>
        <w:t>[10]</w:t>
      </w:r>
      <w:r w:rsidRPr="00567DF9">
        <w:rPr>
          <w:rFonts w:ascii="Book Antiqua" w:hAnsi="Book Antiqua"/>
          <w:color w:val="000000" w:themeColor="text1"/>
          <w:lang w:val="en-US"/>
        </w:rPr>
        <w:t xml:space="preserve">. For R1 resected patients, a marked decrease in </w:t>
      </w:r>
      <w:r w:rsidR="00115A75" w:rsidRPr="00567DF9">
        <w:rPr>
          <w:rFonts w:ascii="Book Antiqua" w:hAnsi="Book Antiqua"/>
          <w:color w:val="000000" w:themeColor="text1"/>
          <w:lang w:val="en-US"/>
        </w:rPr>
        <w:t>disease free survival (</w:t>
      </w:r>
      <w:r w:rsidRPr="00567DF9">
        <w:rPr>
          <w:rFonts w:ascii="Book Antiqua" w:hAnsi="Book Antiqua"/>
          <w:color w:val="000000" w:themeColor="text1"/>
          <w:lang w:val="en-US"/>
        </w:rPr>
        <w:t>DFS</w:t>
      </w:r>
      <w:r w:rsidR="00115A75" w:rsidRPr="00567DF9">
        <w:rPr>
          <w:rFonts w:ascii="Book Antiqua" w:hAnsi="Book Antiqua"/>
          <w:color w:val="000000" w:themeColor="text1"/>
          <w:lang w:val="en-US"/>
        </w:rPr>
        <w:t>)</w:t>
      </w:r>
      <w:r w:rsidRPr="00567DF9">
        <w:rPr>
          <w:rFonts w:ascii="Book Antiqua" w:hAnsi="Book Antiqua"/>
          <w:color w:val="000000" w:themeColor="text1"/>
          <w:lang w:val="en-US"/>
        </w:rPr>
        <w:t xml:space="preserve"> and </w:t>
      </w:r>
      <w:r w:rsidR="00115A75" w:rsidRPr="00567DF9">
        <w:rPr>
          <w:rFonts w:ascii="Book Antiqua" w:hAnsi="Book Antiqua"/>
          <w:color w:val="000000" w:themeColor="text1"/>
          <w:lang w:val="en-US"/>
        </w:rPr>
        <w:t>overall survival (</w:t>
      </w:r>
      <w:r w:rsidRPr="00567DF9">
        <w:rPr>
          <w:rFonts w:ascii="Book Antiqua" w:hAnsi="Book Antiqua"/>
          <w:color w:val="000000" w:themeColor="text1"/>
          <w:lang w:val="en-US"/>
        </w:rPr>
        <w:t>OS</w:t>
      </w:r>
      <w:r w:rsidR="00115A75" w:rsidRPr="00567DF9">
        <w:rPr>
          <w:rFonts w:ascii="Book Antiqua" w:hAnsi="Book Antiqua"/>
          <w:color w:val="000000" w:themeColor="text1"/>
          <w:lang w:val="en-US"/>
        </w:rPr>
        <w:t>)</w:t>
      </w:r>
      <w:r w:rsidRPr="00567DF9">
        <w:rPr>
          <w:rFonts w:ascii="Book Antiqua" w:hAnsi="Book Antiqua"/>
          <w:color w:val="000000" w:themeColor="text1"/>
          <w:lang w:val="en-US"/>
        </w:rPr>
        <w:t xml:space="preserve"> has been observed. </w:t>
      </w:r>
      <w:r w:rsidRPr="00567DF9">
        <w:rPr>
          <w:rFonts w:ascii="Book Antiqua" w:hAnsi="Book Antiqua" w:cs="Times Roman"/>
          <w:color w:val="000000" w:themeColor="text1"/>
          <w:lang w:val="en-US"/>
        </w:rPr>
        <w:t xml:space="preserve">Patients potentially at high risk of residual tumor (R1) after surgery are considered “borderline </w:t>
      </w:r>
      <w:proofErr w:type="spellStart"/>
      <w:r w:rsidRPr="00567DF9">
        <w:rPr>
          <w:rFonts w:ascii="Book Antiqua" w:hAnsi="Book Antiqua" w:cs="Times Roman"/>
          <w:color w:val="000000" w:themeColor="text1"/>
          <w:lang w:val="en-US"/>
        </w:rPr>
        <w:t>resectable</w:t>
      </w:r>
      <w:proofErr w:type="spellEnd"/>
      <w:r w:rsidRPr="00567DF9">
        <w:rPr>
          <w:rFonts w:ascii="Book Antiqua" w:hAnsi="Book Antiqua" w:cs="Times Roman"/>
          <w:color w:val="000000" w:themeColor="text1"/>
          <w:lang w:val="en-US"/>
        </w:rPr>
        <w:t xml:space="preserve">”. For them, </w:t>
      </w:r>
      <w:r w:rsidRPr="00567DF9">
        <w:rPr>
          <w:rFonts w:ascii="Book Antiqua" w:hAnsi="Book Antiqua"/>
          <w:color w:val="000000" w:themeColor="text1"/>
          <w:lang w:val="en-US"/>
        </w:rPr>
        <w:t>neoadjuvant</w:t>
      </w:r>
      <w:r w:rsidRPr="00567DF9">
        <w:rPr>
          <w:rFonts w:ascii="Book Antiqua" w:hAnsi="Book Antiqua" w:cs="Times Roman"/>
          <w:color w:val="000000" w:themeColor="text1"/>
          <w:lang w:val="en-US"/>
        </w:rPr>
        <w:t xml:space="preserve"> </w:t>
      </w:r>
      <w:proofErr w:type="spellStart"/>
      <w:r w:rsidRPr="00567DF9">
        <w:rPr>
          <w:rFonts w:ascii="Book Antiqua" w:hAnsi="Book Antiqua" w:cs="Times Roman"/>
          <w:color w:val="000000" w:themeColor="text1"/>
          <w:lang w:val="en-US"/>
        </w:rPr>
        <w:t>r</w:t>
      </w:r>
      <w:r w:rsidRPr="00567DF9">
        <w:rPr>
          <w:rFonts w:ascii="Book Antiqua" w:hAnsi="Book Antiqua"/>
          <w:color w:val="000000" w:themeColor="text1"/>
          <w:lang w:val="en-US"/>
        </w:rPr>
        <w:t>adiochemotherapy</w:t>
      </w:r>
      <w:proofErr w:type="spellEnd"/>
      <w:r w:rsidRPr="00567DF9">
        <w:rPr>
          <w:rFonts w:ascii="Book Antiqua" w:hAnsi="Book Antiqua"/>
          <w:color w:val="000000" w:themeColor="text1"/>
          <w:lang w:val="en-US"/>
        </w:rPr>
        <w:t xml:space="preserve"> (RCT) has been advocated as a possible treatment to allow R0 resections. In “unresectable” early stage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patients, RCT has already been validated prior to Orthotopic Liver Transplant (OLT) as part of the Mayo Clinic protocol. The aim of the present paper is to review the history and the current role of neoadjuvant RCT in both settings, hepatic resection and OLT.</w:t>
      </w:r>
    </w:p>
    <w:p w14:paraId="5008BC9D" w14:textId="77777777" w:rsidR="00552C6C" w:rsidRPr="00567DF9" w:rsidRDefault="00552C6C" w:rsidP="00567DF9">
      <w:pPr>
        <w:spacing w:line="360" w:lineRule="auto"/>
        <w:jc w:val="both"/>
        <w:rPr>
          <w:rFonts w:ascii="Book Antiqua" w:hAnsi="Book Antiqua"/>
          <w:color w:val="000000" w:themeColor="text1"/>
          <w:lang w:val="en-US"/>
        </w:rPr>
      </w:pPr>
    </w:p>
    <w:p w14:paraId="6B529EC9" w14:textId="77777777" w:rsidR="00552C6C" w:rsidRPr="00567DF9" w:rsidRDefault="007D417F"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t>RCT BEFORE HEPATIC RESECTION</w:t>
      </w:r>
    </w:p>
    <w:p w14:paraId="03903C76" w14:textId="313872DD" w:rsidR="00552C6C" w:rsidRPr="00567DF9" w:rsidRDefault="007D417F" w:rsidP="00567DF9">
      <w:pPr>
        <w:spacing w:line="360" w:lineRule="auto"/>
        <w:jc w:val="both"/>
        <w:rPr>
          <w:rFonts w:ascii="Book Antiqua" w:hAnsi="Book Antiqua"/>
          <w:color w:val="000000" w:themeColor="text1"/>
          <w:lang w:val="en-US"/>
        </w:rPr>
      </w:pPr>
      <w:r w:rsidRPr="00567DF9">
        <w:rPr>
          <w:rFonts w:ascii="Book Antiqua" w:hAnsi="Book Antiqua"/>
          <w:color w:val="000000" w:themeColor="text1"/>
          <w:lang w:val="en-US"/>
        </w:rPr>
        <w:t xml:space="preserve">In literature, only few studies are available, all with a small number of patients included and a poor distinction between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and </w:t>
      </w:r>
      <w:proofErr w:type="spellStart"/>
      <w:r w:rsidRPr="00567DF9">
        <w:rPr>
          <w:rFonts w:ascii="Book Antiqua" w:hAnsi="Book Antiqua"/>
          <w:color w:val="000000" w:themeColor="text1"/>
          <w:lang w:val="en-US"/>
        </w:rPr>
        <w:t>dCCA</w:t>
      </w:r>
      <w:proofErr w:type="spellEnd"/>
      <w:r w:rsidRPr="00567DF9">
        <w:rPr>
          <w:rFonts w:ascii="Book Antiqua" w:hAnsi="Book Antiqua"/>
          <w:color w:val="000000" w:themeColor="text1"/>
          <w:lang w:val="en-US"/>
        </w:rPr>
        <w:t xml:space="preserve">; definition of “borderline </w:t>
      </w:r>
      <w:proofErr w:type="spellStart"/>
      <w:r w:rsidRPr="00567DF9">
        <w:rPr>
          <w:rFonts w:ascii="Book Antiqua" w:hAnsi="Book Antiqua"/>
          <w:color w:val="000000" w:themeColor="text1"/>
          <w:lang w:val="en-US"/>
        </w:rPr>
        <w:t>resectable</w:t>
      </w:r>
      <w:proofErr w:type="spellEnd"/>
      <w:r w:rsidRPr="00567DF9">
        <w:rPr>
          <w:rFonts w:ascii="Book Antiqua" w:hAnsi="Book Antiqua"/>
          <w:color w:val="000000" w:themeColor="text1"/>
          <w:lang w:val="en-US"/>
        </w:rPr>
        <w:t>” and “unresectable” patients are often unclear as well.</w:t>
      </w:r>
    </w:p>
    <w:p w14:paraId="4F6C202E" w14:textId="2B173E08"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In 1997 McMaster</w:t>
      </w:r>
      <w:r w:rsidR="00445FAA" w:rsidRPr="00567DF9">
        <w:rPr>
          <w:rFonts w:ascii="Book Antiqua" w:hAnsi="Book Antiqua"/>
          <w:color w:val="000000" w:themeColor="text1"/>
          <w:lang w:val="en-US"/>
        </w:rPr>
        <w:t>s</w:t>
      </w:r>
      <w:r w:rsidRPr="00567DF9">
        <w:rPr>
          <w:rFonts w:ascii="Book Antiqua" w:hAnsi="Book Antiqua"/>
          <w:color w:val="000000" w:themeColor="text1"/>
          <w:lang w:val="en-US"/>
        </w:rPr>
        <w:t xml:space="preserve"> </w:t>
      </w:r>
      <w:r w:rsidRPr="00567DF9">
        <w:rPr>
          <w:rFonts w:ascii="Book Antiqua" w:hAnsi="Book Antiqua"/>
          <w:i/>
          <w:color w:val="000000" w:themeColor="text1"/>
          <w:lang w:val="en-US"/>
        </w:rPr>
        <w:t xml:space="preserve">et </w:t>
      </w:r>
      <w:proofErr w:type="gramStart"/>
      <w:r w:rsidRPr="00567DF9">
        <w:rPr>
          <w:rFonts w:ascii="Book Antiqua" w:hAnsi="Book Antiqua"/>
          <w:i/>
          <w:color w:val="000000" w:themeColor="text1"/>
          <w:lang w:val="en-US"/>
        </w:rPr>
        <w:t>al</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11]</w:t>
      </w:r>
      <w:r w:rsidRPr="00567DF9">
        <w:rPr>
          <w:rFonts w:ascii="Book Antiqua" w:hAnsi="Book Antiqua"/>
          <w:color w:val="000000" w:themeColor="text1"/>
          <w:lang w:val="en-US"/>
        </w:rPr>
        <w:t xml:space="preserve"> published the results of a prospective study applying neoadjuvant RCT for extra hepatic </w:t>
      </w:r>
      <w:r w:rsidR="00A47007" w:rsidRPr="00567DF9">
        <w:rPr>
          <w:rFonts w:ascii="Book Antiqua" w:hAnsi="Book Antiqua"/>
          <w:color w:val="000000" w:themeColor="text1"/>
          <w:lang w:val="en-US"/>
        </w:rPr>
        <w:t>CCA</w:t>
      </w:r>
      <w:r w:rsidRPr="00567DF9">
        <w:rPr>
          <w:rFonts w:ascii="Book Antiqua" w:hAnsi="Book Antiqua"/>
          <w:color w:val="000000" w:themeColor="text1"/>
          <w:lang w:val="en-US"/>
        </w:rPr>
        <w:t>. Combined infusion of 5-</w:t>
      </w:r>
      <w:r w:rsidR="0079770D" w:rsidRPr="00567DF9">
        <w:rPr>
          <w:rFonts w:ascii="Book Antiqua" w:hAnsi="Book Antiqua"/>
          <w:color w:val="000000" w:themeColor="text1"/>
          <w:lang w:val="en-US"/>
        </w:rPr>
        <w:t>FU</w:t>
      </w:r>
      <w:r w:rsidRPr="00567DF9">
        <w:rPr>
          <w:rFonts w:ascii="Book Antiqua" w:hAnsi="Book Antiqua"/>
          <w:color w:val="000000" w:themeColor="text1"/>
          <w:lang w:val="en-US"/>
        </w:rPr>
        <w:t xml:space="preserve"> (300 mg/m</w:t>
      </w:r>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 xml:space="preserve"> per day, from Monday to Friday) and external beam radiation (1</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 xml:space="preserve">8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xml:space="preserve"> per day, from Monday to Friday, to a total dose of 50</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 xml:space="preserve">4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xml:space="preserve"> or 45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xml:space="preserve">) were used. Nine patients, five with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and four with </w:t>
      </w:r>
      <w:proofErr w:type="spellStart"/>
      <w:r w:rsidRPr="00567DF9">
        <w:rPr>
          <w:rFonts w:ascii="Book Antiqua" w:hAnsi="Book Antiqua"/>
          <w:color w:val="000000" w:themeColor="text1"/>
          <w:lang w:val="en-US"/>
        </w:rPr>
        <w:t>dCCA</w:t>
      </w:r>
      <w:proofErr w:type="spellEnd"/>
      <w:r w:rsidRPr="00567DF9">
        <w:rPr>
          <w:rFonts w:ascii="Book Antiqua" w:hAnsi="Book Antiqua"/>
          <w:color w:val="000000" w:themeColor="text1"/>
          <w:lang w:val="en-US"/>
        </w:rPr>
        <w:t xml:space="preserve">, were included. Six of them had an unresectable disease, based on preoperative imaging or on surgical exploration performed in others hospitals. R0 resection was achieved in all the nine patients (100%), compared to 54% obtained in the group having received surgery alone. There were no major complications. Among the five patients with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two displayed a pathologic complete response, the others a partial one. The authors concluded that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patients treated with neoadjuvant RCT obtained 100% of R0 resection (5/5) with a pathologic complete response in 40% </w:t>
      </w:r>
      <w:r w:rsidRPr="00567DF9">
        <w:rPr>
          <w:rFonts w:ascii="Book Antiqua" w:hAnsi="Book Antiqua"/>
          <w:color w:val="000000" w:themeColor="text1"/>
          <w:lang w:val="en-US"/>
        </w:rPr>
        <w:lastRenderedPageBreak/>
        <w:t xml:space="preserve">(2/5). Despite the limited number and the questionable selection of the patients (both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and </w:t>
      </w:r>
      <w:proofErr w:type="spellStart"/>
      <w:r w:rsidRPr="00567DF9">
        <w:rPr>
          <w:rFonts w:ascii="Book Antiqua" w:hAnsi="Book Antiqua"/>
          <w:color w:val="000000" w:themeColor="text1"/>
          <w:lang w:val="en-US"/>
        </w:rPr>
        <w:t>dCCA</w:t>
      </w:r>
      <w:proofErr w:type="spellEnd"/>
      <w:r w:rsidRPr="00567DF9">
        <w:rPr>
          <w:rFonts w:ascii="Book Antiqua" w:hAnsi="Book Antiqua"/>
          <w:color w:val="000000" w:themeColor="text1"/>
          <w:lang w:val="en-US"/>
        </w:rPr>
        <w:t xml:space="preserve">, unresectable and </w:t>
      </w:r>
      <w:proofErr w:type="spellStart"/>
      <w:r w:rsidRPr="00567DF9">
        <w:rPr>
          <w:rFonts w:ascii="Book Antiqua" w:hAnsi="Book Antiqua"/>
          <w:color w:val="000000" w:themeColor="text1"/>
          <w:lang w:val="en-US"/>
        </w:rPr>
        <w:t>resectable</w:t>
      </w:r>
      <w:proofErr w:type="spellEnd"/>
      <w:r w:rsidRPr="00567DF9">
        <w:rPr>
          <w:rFonts w:ascii="Book Antiqua" w:hAnsi="Book Antiqua"/>
          <w:color w:val="000000" w:themeColor="text1"/>
          <w:lang w:val="en-US"/>
        </w:rPr>
        <w:t xml:space="preserve">), this study demonstrated the achievement of R0 resection after </w:t>
      </w:r>
      <w:proofErr w:type="spellStart"/>
      <w:r w:rsidRPr="00567DF9">
        <w:rPr>
          <w:rFonts w:ascii="Book Antiqua" w:hAnsi="Book Antiqua"/>
          <w:color w:val="000000" w:themeColor="text1"/>
          <w:lang w:val="en-US"/>
        </w:rPr>
        <w:t>neaodjuvant</w:t>
      </w:r>
      <w:proofErr w:type="spellEnd"/>
      <w:r w:rsidRPr="00567DF9">
        <w:rPr>
          <w:rFonts w:ascii="Book Antiqua" w:hAnsi="Book Antiqua"/>
          <w:color w:val="000000" w:themeColor="text1"/>
          <w:lang w:val="en-US"/>
        </w:rPr>
        <w:t xml:space="preserve"> RCT for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patients primarily not </w:t>
      </w:r>
      <w:proofErr w:type="spellStart"/>
      <w:r w:rsidRPr="00567DF9">
        <w:rPr>
          <w:rFonts w:ascii="Book Antiqua" w:hAnsi="Book Antiqua"/>
          <w:color w:val="000000" w:themeColor="text1"/>
          <w:lang w:val="en-US"/>
        </w:rPr>
        <w:t>elegible</w:t>
      </w:r>
      <w:proofErr w:type="spellEnd"/>
      <w:r w:rsidRPr="00567DF9">
        <w:rPr>
          <w:rFonts w:ascii="Book Antiqua" w:hAnsi="Book Antiqua"/>
          <w:color w:val="000000" w:themeColor="text1"/>
          <w:lang w:val="en-US"/>
        </w:rPr>
        <w:t xml:space="preserve"> for surgery.</w:t>
      </w:r>
    </w:p>
    <w:p w14:paraId="021B7016" w14:textId="1E85A89D"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 xml:space="preserve">In 2000, Gerhards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[12]</w:t>
      </w:r>
      <w:r w:rsidRPr="00567DF9">
        <w:rPr>
          <w:rFonts w:ascii="Book Antiqua" w:hAnsi="Book Antiqua"/>
          <w:color w:val="000000" w:themeColor="text1"/>
          <w:lang w:val="en-US"/>
        </w:rPr>
        <w:t xml:space="preserve"> demonstrated that preoperative</w:t>
      </w:r>
      <w:r w:rsidR="00631C6D" w:rsidRPr="00567DF9">
        <w:rPr>
          <w:rFonts w:ascii="Book Antiqua" w:hAnsi="Book Antiqua"/>
          <w:color w:val="000000" w:themeColor="text1"/>
          <w:lang w:val="en-US"/>
        </w:rPr>
        <w:t xml:space="preserve"> radiotherapy</w:t>
      </w:r>
      <w:r w:rsidRPr="00567DF9">
        <w:rPr>
          <w:rFonts w:ascii="Book Antiqua" w:hAnsi="Book Antiqua"/>
          <w:color w:val="000000" w:themeColor="text1"/>
          <w:lang w:val="en-US"/>
        </w:rPr>
        <w:t xml:space="preserve"> </w:t>
      </w:r>
      <w:r w:rsidR="00631C6D" w:rsidRPr="00567DF9">
        <w:rPr>
          <w:rFonts w:ascii="Book Antiqua" w:hAnsi="Book Antiqua"/>
          <w:color w:val="000000" w:themeColor="text1"/>
          <w:lang w:val="en-US"/>
        </w:rPr>
        <w:t>(</w:t>
      </w:r>
      <w:r w:rsidRPr="00567DF9">
        <w:rPr>
          <w:rFonts w:ascii="Book Antiqua" w:hAnsi="Book Antiqua"/>
          <w:color w:val="000000" w:themeColor="text1"/>
          <w:lang w:val="en-US"/>
        </w:rPr>
        <w:t>RT</w:t>
      </w:r>
      <w:r w:rsidR="00631C6D" w:rsidRPr="00567DF9">
        <w:rPr>
          <w:rFonts w:ascii="Book Antiqua" w:hAnsi="Book Antiqua"/>
          <w:color w:val="000000" w:themeColor="text1"/>
          <w:lang w:val="en-US"/>
        </w:rPr>
        <w:t>)</w:t>
      </w:r>
      <w:r w:rsidRPr="00567DF9">
        <w:rPr>
          <w:rFonts w:ascii="Book Antiqua" w:hAnsi="Book Antiqua"/>
          <w:color w:val="000000" w:themeColor="text1"/>
          <w:lang w:val="en-US"/>
        </w:rPr>
        <w:t xml:space="preserve"> at the total dose of 10</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 xml:space="preserve">5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xml:space="preserve"> (three fractions of 3</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 xml:space="preserve">5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xml:space="preserve"> on three consecutive days the week before surgery) could decrease the risk of intra operative implantation metastases in patients with </w:t>
      </w:r>
      <w:proofErr w:type="spellStart"/>
      <w:r w:rsidRPr="00567DF9">
        <w:rPr>
          <w:rFonts w:ascii="Book Antiqua" w:hAnsi="Book Antiqua"/>
          <w:color w:val="000000" w:themeColor="text1"/>
          <w:lang w:val="en-US"/>
        </w:rPr>
        <w:t>resectable</w:t>
      </w:r>
      <w:proofErr w:type="spellEnd"/>
      <w:r w:rsidRPr="00567DF9">
        <w:rPr>
          <w:rFonts w:ascii="Book Antiqua" w:hAnsi="Book Antiqua"/>
          <w:color w:val="000000" w:themeColor="text1"/>
          <w:lang w:val="en-US"/>
        </w:rPr>
        <w:t xml:space="preserve">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who had undergone ERCP or PTC for biliary drainage; that risk had been previously assessed at 20% by the same group</w:t>
      </w:r>
      <w:r w:rsidRPr="00567DF9">
        <w:rPr>
          <w:rFonts w:ascii="Book Antiqua" w:hAnsi="Book Antiqua"/>
          <w:color w:val="000000" w:themeColor="text1"/>
          <w:vertAlign w:val="superscript"/>
          <w:lang w:val="en-US"/>
        </w:rPr>
        <w:t>[13]</w:t>
      </w:r>
      <w:r w:rsidRPr="00567DF9">
        <w:rPr>
          <w:rFonts w:ascii="Book Antiqua" w:hAnsi="Book Antiqua"/>
          <w:color w:val="000000" w:themeColor="text1"/>
          <w:lang w:val="en-US"/>
        </w:rPr>
        <w:t>.</w:t>
      </w:r>
    </w:p>
    <w:p w14:paraId="71A7BAA1" w14:textId="001C00B5"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 xml:space="preserve">In a retrospective study, Nelson </w:t>
      </w:r>
      <w:r w:rsidRPr="00567DF9">
        <w:rPr>
          <w:rFonts w:ascii="Book Antiqua" w:hAnsi="Book Antiqua"/>
          <w:i/>
          <w:color w:val="000000" w:themeColor="text1"/>
          <w:lang w:val="en-US"/>
        </w:rPr>
        <w:t xml:space="preserve">et </w:t>
      </w:r>
      <w:proofErr w:type="gramStart"/>
      <w:r w:rsidRPr="00567DF9">
        <w:rPr>
          <w:rFonts w:ascii="Book Antiqua" w:hAnsi="Book Antiqua"/>
          <w:i/>
          <w:color w:val="000000" w:themeColor="text1"/>
          <w:lang w:val="en-US"/>
        </w:rPr>
        <w:t>al</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14]</w:t>
      </w:r>
      <w:r w:rsidRPr="00567DF9">
        <w:rPr>
          <w:rFonts w:ascii="Book Antiqua" w:hAnsi="Book Antiqua"/>
          <w:color w:val="000000" w:themeColor="text1"/>
          <w:lang w:val="en-US"/>
        </w:rPr>
        <w:t xml:space="preserve"> considered a cohort of twelve patients out of forty-five with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and </w:t>
      </w:r>
      <w:proofErr w:type="spellStart"/>
      <w:r w:rsidRPr="00567DF9">
        <w:rPr>
          <w:rFonts w:ascii="Book Antiqua" w:hAnsi="Book Antiqua"/>
          <w:color w:val="000000" w:themeColor="text1"/>
          <w:lang w:val="en-US"/>
        </w:rPr>
        <w:t>dCCA</w:t>
      </w:r>
      <w:proofErr w:type="spellEnd"/>
      <w:r w:rsidRPr="00567DF9">
        <w:rPr>
          <w:rFonts w:ascii="Book Antiqua" w:hAnsi="Book Antiqua"/>
          <w:color w:val="000000" w:themeColor="text1"/>
          <w:lang w:val="en-US"/>
        </w:rPr>
        <w:t xml:space="preserve">, either “borderline </w:t>
      </w:r>
      <w:proofErr w:type="spellStart"/>
      <w:r w:rsidRPr="00567DF9">
        <w:rPr>
          <w:rFonts w:ascii="Book Antiqua" w:hAnsi="Book Antiqua"/>
          <w:color w:val="000000" w:themeColor="text1"/>
          <w:lang w:val="en-US"/>
        </w:rPr>
        <w:t>resectable</w:t>
      </w:r>
      <w:proofErr w:type="spellEnd"/>
      <w:r w:rsidRPr="00567DF9">
        <w:rPr>
          <w:rFonts w:ascii="Book Antiqua" w:hAnsi="Book Antiqua"/>
          <w:color w:val="000000" w:themeColor="text1"/>
          <w:lang w:val="en-US"/>
        </w:rPr>
        <w:t xml:space="preserve">” or “unresectable”, who had received neoadjuvant RCT at different doses. R0 resection could finally be performed in 11/12 patients (91%); pathologic complete response was found in 3/12 (25%). A complication requiring surgery was developed by 2/12 patients (16%), without any difference in terms of morbidity if compared to the thirty-three patients who did not undergo neoadjuvant therapy. Definitely, the twelve patients with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and </w:t>
      </w:r>
      <w:proofErr w:type="spellStart"/>
      <w:r w:rsidRPr="00567DF9">
        <w:rPr>
          <w:rFonts w:ascii="Book Antiqua" w:hAnsi="Book Antiqua"/>
          <w:color w:val="000000" w:themeColor="text1"/>
          <w:lang w:val="en-US"/>
        </w:rPr>
        <w:t>dCCA</w:t>
      </w:r>
      <w:proofErr w:type="spellEnd"/>
      <w:r w:rsidRPr="00567DF9">
        <w:rPr>
          <w:rFonts w:ascii="Book Antiqua" w:hAnsi="Book Antiqua"/>
          <w:color w:val="000000" w:themeColor="text1"/>
          <w:lang w:val="en-US"/>
        </w:rPr>
        <w:t xml:space="preserve"> showed a better trend in 5-years survival rate, 53%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23%, but not statistically significant. </w:t>
      </w:r>
      <w:r w:rsidR="0088629D" w:rsidRPr="00567DF9">
        <w:rPr>
          <w:rFonts w:ascii="Book Antiqua" w:hAnsi="Book Antiqua"/>
          <w:color w:val="000000" w:themeColor="text1"/>
          <w:lang w:val="en-US"/>
        </w:rPr>
        <w:t>Also,</w:t>
      </w:r>
      <w:r w:rsidRPr="00567DF9">
        <w:rPr>
          <w:rFonts w:ascii="Book Antiqua" w:hAnsi="Book Antiqua"/>
          <w:color w:val="000000" w:themeColor="text1"/>
          <w:lang w:val="en-US"/>
        </w:rPr>
        <w:t xml:space="preserve"> this study is limited by small sample size, unclear choice of patients and different regimens of RCT.</w:t>
      </w:r>
    </w:p>
    <w:p w14:paraId="4AAFAD00" w14:textId="60FFB8E1"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 xml:space="preserve">More recently, a retrospective study about neoadjuvant RCT has been published by a South Korean </w:t>
      </w:r>
      <w:proofErr w:type="gramStart"/>
      <w:r w:rsidRPr="00567DF9">
        <w:rPr>
          <w:rFonts w:ascii="Book Antiqua" w:hAnsi="Book Antiqua"/>
          <w:color w:val="000000" w:themeColor="text1"/>
          <w:lang w:val="en-US"/>
        </w:rPr>
        <w:t>group</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15]</w:t>
      </w:r>
      <w:r w:rsidRPr="00567DF9">
        <w:rPr>
          <w:rFonts w:ascii="Book Antiqua" w:hAnsi="Book Antiqua"/>
          <w:color w:val="000000" w:themeColor="text1"/>
          <w:lang w:val="en-US"/>
        </w:rPr>
        <w:t xml:space="preserve">. They focused on patients with locally advanced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(Bismuth type III and IV, TNM stage III and IV). Twelve patients who had received various regimens of neoadjuvant RCT before surgery (neoadjuvant group) were compared to a control group of forty-five patients, homogeneous in terms of age, sex, stage of the disease and biological values, who had undergone surgery without RCT. The neoadjuvant group showed a higher rate of downstaging of the tumor after surgery [91</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7% (11/12)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51</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1% (23/45), </w:t>
      </w:r>
      <w:r w:rsidR="006D68FB" w:rsidRPr="00567DF9">
        <w:rPr>
          <w:rFonts w:ascii="Book Antiqua" w:hAnsi="Book Antiqua"/>
          <w:i/>
          <w:color w:val="000000" w:themeColor="text1"/>
          <w:lang w:val="en-US"/>
        </w:rPr>
        <w:t>P</w:t>
      </w:r>
      <w:r w:rsidR="006D68FB" w:rsidRPr="00567DF9">
        <w:rPr>
          <w:rFonts w:ascii="Book Antiqua" w:hAnsi="Book Antiqua"/>
          <w:color w:val="000000" w:themeColor="text1"/>
          <w:lang w:val="en-US"/>
        </w:rPr>
        <w:t xml:space="preserve"> </w:t>
      </w:r>
      <w:r w:rsidRPr="00567DF9">
        <w:rPr>
          <w:rFonts w:ascii="Book Antiqua" w:hAnsi="Book Antiqua"/>
          <w:color w:val="000000" w:themeColor="text1"/>
          <w:lang w:val="en-US"/>
        </w:rPr>
        <w:t>=</w:t>
      </w:r>
      <w:r w:rsidR="006D68FB" w:rsidRPr="00567DF9">
        <w:rPr>
          <w:rFonts w:ascii="Book Antiqua" w:hAnsi="Book Antiqua"/>
          <w:color w:val="000000" w:themeColor="text1"/>
          <w:lang w:val="en-US"/>
        </w:rPr>
        <w:t xml:space="preserve"> </w:t>
      </w:r>
      <w:r w:rsidRPr="00567DF9">
        <w:rPr>
          <w:rFonts w:ascii="Book Antiqua" w:hAnsi="Book Antiqua"/>
          <w:color w:val="000000" w:themeColor="text1"/>
          <w:lang w:val="en-US"/>
        </w:rPr>
        <w:t>0</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01] and a higher rate of R0 resections [83</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3% (10/12)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64</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4% (30/45), </w:t>
      </w:r>
      <w:r w:rsidR="006D68FB" w:rsidRPr="00567DF9">
        <w:rPr>
          <w:rFonts w:ascii="Book Antiqua" w:hAnsi="Book Antiqua"/>
          <w:i/>
          <w:color w:val="000000" w:themeColor="text1"/>
          <w:lang w:val="en-US"/>
        </w:rPr>
        <w:t>P</w:t>
      </w:r>
      <w:r w:rsidR="006D68FB" w:rsidRPr="00567DF9">
        <w:rPr>
          <w:rFonts w:ascii="Book Antiqua" w:hAnsi="Book Antiqua"/>
          <w:color w:val="000000" w:themeColor="text1"/>
          <w:lang w:val="en-US"/>
        </w:rPr>
        <w:t xml:space="preserve"> = 0.</w:t>
      </w:r>
      <w:r w:rsidRPr="00567DF9">
        <w:rPr>
          <w:rFonts w:ascii="Book Antiqua" w:hAnsi="Book Antiqua"/>
          <w:color w:val="000000" w:themeColor="text1"/>
          <w:lang w:val="en-US"/>
        </w:rPr>
        <w:t>32]. On other hand, recurrence rate [83</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3% (10/12)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68</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9% </w:t>
      </w:r>
      <w:r w:rsidRPr="00567DF9">
        <w:rPr>
          <w:rFonts w:ascii="Book Antiqua" w:hAnsi="Book Antiqua"/>
          <w:color w:val="000000" w:themeColor="text1"/>
          <w:lang w:val="en-US"/>
        </w:rPr>
        <w:lastRenderedPageBreak/>
        <w:t xml:space="preserve">(31/45), </w:t>
      </w:r>
      <w:r w:rsidR="006D68FB" w:rsidRPr="00567DF9">
        <w:rPr>
          <w:rFonts w:ascii="Book Antiqua" w:hAnsi="Book Antiqua"/>
          <w:i/>
          <w:color w:val="000000" w:themeColor="text1"/>
          <w:lang w:val="en-US"/>
        </w:rPr>
        <w:t>P</w:t>
      </w:r>
      <w:r w:rsidR="006D68FB" w:rsidRPr="00567DF9">
        <w:rPr>
          <w:rFonts w:ascii="Book Antiqua" w:hAnsi="Book Antiqua"/>
          <w:color w:val="000000" w:themeColor="text1"/>
          <w:lang w:val="en-US"/>
        </w:rPr>
        <w:t xml:space="preserve"> = 0.</w:t>
      </w:r>
      <w:r w:rsidRPr="00567DF9">
        <w:rPr>
          <w:rFonts w:ascii="Book Antiqua" w:hAnsi="Book Antiqua"/>
          <w:color w:val="000000" w:themeColor="text1"/>
          <w:lang w:val="en-US"/>
        </w:rPr>
        <w:t>48], DFS (26</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0 mo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15</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1, </w:t>
      </w:r>
      <w:r w:rsidR="006D68FB" w:rsidRPr="00567DF9">
        <w:rPr>
          <w:rFonts w:ascii="Book Antiqua" w:hAnsi="Book Antiqua"/>
          <w:i/>
          <w:color w:val="000000" w:themeColor="text1"/>
          <w:lang w:val="en-US"/>
        </w:rPr>
        <w:t>P</w:t>
      </w:r>
      <w:r w:rsidR="006D68FB" w:rsidRPr="00567DF9">
        <w:rPr>
          <w:rFonts w:ascii="Book Antiqua" w:hAnsi="Book Antiqua"/>
          <w:color w:val="000000" w:themeColor="text1"/>
          <w:lang w:val="en-US"/>
        </w:rPr>
        <w:t xml:space="preserve"> = 0.</w:t>
      </w:r>
      <w:r w:rsidRPr="00567DF9">
        <w:rPr>
          <w:rFonts w:ascii="Book Antiqua" w:hAnsi="Book Antiqua"/>
          <w:color w:val="000000" w:themeColor="text1"/>
          <w:lang w:val="en-US"/>
        </w:rPr>
        <w:t>91) and OS (32</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9 </w:t>
      </w:r>
      <w:proofErr w:type="spellStart"/>
      <w:r w:rsidRPr="00567DF9">
        <w:rPr>
          <w:rFonts w:ascii="Book Antiqua" w:hAnsi="Book Antiqua"/>
          <w:color w:val="000000" w:themeColor="text1"/>
          <w:lang w:val="en-US"/>
        </w:rPr>
        <w:t>mo</w:t>
      </w:r>
      <w:proofErr w:type="spellEnd"/>
      <w:r w:rsidRPr="00567DF9">
        <w:rPr>
          <w:rFonts w:ascii="Book Antiqua" w:hAnsi="Book Antiqua"/>
          <w:color w:val="000000" w:themeColor="text1"/>
          <w:lang w:val="en-US"/>
        </w:rPr>
        <w:t xml:space="preserve">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27</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1, </w:t>
      </w:r>
      <w:r w:rsidR="006D68FB" w:rsidRPr="00567DF9">
        <w:rPr>
          <w:rFonts w:ascii="Book Antiqua" w:hAnsi="Book Antiqua"/>
          <w:i/>
          <w:color w:val="000000" w:themeColor="text1"/>
          <w:lang w:val="en-US"/>
        </w:rPr>
        <w:t>P</w:t>
      </w:r>
      <w:r w:rsidR="006D68FB" w:rsidRPr="00567DF9">
        <w:rPr>
          <w:rFonts w:ascii="Book Antiqua" w:hAnsi="Book Antiqua"/>
          <w:color w:val="000000" w:themeColor="text1"/>
          <w:lang w:val="en-US"/>
        </w:rPr>
        <w:t xml:space="preserve"> = 0.</w:t>
      </w:r>
      <w:r w:rsidRPr="00567DF9">
        <w:rPr>
          <w:rFonts w:ascii="Book Antiqua" w:hAnsi="Book Antiqua"/>
          <w:color w:val="000000" w:themeColor="text1"/>
          <w:lang w:val="en-US"/>
        </w:rPr>
        <w:t>26) did not show any advantage for the neoadjuvant group.</w:t>
      </w:r>
    </w:p>
    <w:p w14:paraId="508CA2CE" w14:textId="4FE146A5"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 xml:space="preserve">In 2018, a Japanese </w:t>
      </w:r>
      <w:proofErr w:type="gramStart"/>
      <w:r w:rsidRPr="00567DF9">
        <w:rPr>
          <w:rFonts w:ascii="Book Antiqua" w:hAnsi="Book Antiqua"/>
          <w:color w:val="000000" w:themeColor="text1"/>
          <w:lang w:val="en-US"/>
        </w:rPr>
        <w:t>group</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16]</w:t>
      </w:r>
      <w:r w:rsidRPr="00567DF9">
        <w:rPr>
          <w:rFonts w:ascii="Book Antiqua" w:hAnsi="Book Antiqua"/>
          <w:color w:val="000000" w:themeColor="text1"/>
          <w:lang w:val="en-US"/>
        </w:rPr>
        <w:t xml:space="preserve"> reported a retrospective study of 8 patients who received S-1 chemotherapy and 50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xml:space="preserve"> </w:t>
      </w:r>
      <w:r w:rsidR="0088629D" w:rsidRPr="00567DF9">
        <w:rPr>
          <w:rFonts w:ascii="Book Antiqua" w:hAnsi="Book Antiqua"/>
          <w:color w:val="000000" w:themeColor="text1"/>
          <w:lang w:val="en-US"/>
        </w:rPr>
        <w:t>RT</w:t>
      </w:r>
      <w:r w:rsidRPr="00567DF9">
        <w:rPr>
          <w:rFonts w:ascii="Book Antiqua" w:hAnsi="Book Antiqua"/>
          <w:color w:val="000000" w:themeColor="text1"/>
          <w:lang w:val="en-US"/>
        </w:rPr>
        <w:t xml:space="preserve"> as a neoadjuvant protocol for locally advanced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The authors defined as locally advance</w:t>
      </w:r>
      <w:r w:rsidR="00AC2D77" w:rsidRPr="00567DF9">
        <w:rPr>
          <w:rFonts w:ascii="Book Antiqua" w:hAnsi="Book Antiqua"/>
          <w:color w:val="000000" w:themeColor="text1"/>
          <w:lang w:val="en-US"/>
        </w:rPr>
        <w:t>d</w:t>
      </w:r>
      <w:r w:rsidRPr="00567DF9">
        <w:rPr>
          <w:rFonts w:ascii="Book Antiqua" w:hAnsi="Book Antiqua"/>
          <w:color w:val="000000" w:themeColor="text1"/>
          <w:lang w:val="en-US"/>
        </w:rPr>
        <w:t xml:space="preserve"> a tumor for which a radical surgery was not technically feasible, not even by performing extreme surgery. In</w:t>
      </w:r>
      <w:r w:rsidR="00871B02" w:rsidRPr="00567DF9">
        <w:rPr>
          <w:rFonts w:ascii="Book Antiqua" w:hAnsi="Book Antiqua"/>
          <w:color w:val="000000" w:themeColor="text1"/>
          <w:lang w:val="en-US"/>
        </w:rPr>
        <w:t xml:space="preserve"> </w:t>
      </w:r>
      <w:r w:rsidRPr="00567DF9">
        <w:rPr>
          <w:rFonts w:ascii="Book Antiqua" w:hAnsi="Book Antiqua"/>
          <w:color w:val="000000" w:themeColor="text1"/>
          <w:lang w:val="en-US"/>
        </w:rPr>
        <w:t>particular,</w:t>
      </w:r>
      <w:r w:rsidR="00D539F5" w:rsidRPr="00567DF9">
        <w:rPr>
          <w:rFonts w:ascii="Book Antiqua" w:hAnsi="Book Antiqua"/>
          <w:color w:val="000000" w:themeColor="text1"/>
          <w:lang w:val="en-US"/>
        </w:rPr>
        <w:t xml:space="preserve"> </w:t>
      </w:r>
      <w:r w:rsidRPr="00567DF9">
        <w:rPr>
          <w:rFonts w:ascii="Book Antiqua" w:hAnsi="Book Antiqua"/>
          <w:color w:val="000000" w:themeColor="text1"/>
          <w:lang w:val="en-US"/>
        </w:rPr>
        <w:t xml:space="preserve">three patients had broad extra-hepatic perineural invasion, three displayed broad bile duct infiltration, one had bilateral portal vein invasion and one bilateral hepatic artery involvement. Six of the eight patients (75%) succeeded in being reclassified as </w:t>
      </w:r>
      <w:proofErr w:type="spellStart"/>
      <w:r w:rsidRPr="00567DF9">
        <w:rPr>
          <w:rFonts w:ascii="Book Antiqua" w:hAnsi="Book Antiqua"/>
          <w:color w:val="000000" w:themeColor="text1"/>
          <w:lang w:val="en-US"/>
        </w:rPr>
        <w:t>resectable</w:t>
      </w:r>
      <w:proofErr w:type="spellEnd"/>
      <w:r w:rsidRPr="00567DF9">
        <w:rPr>
          <w:rFonts w:ascii="Book Antiqua" w:hAnsi="Book Antiqua"/>
          <w:color w:val="000000" w:themeColor="text1"/>
          <w:lang w:val="en-US"/>
        </w:rPr>
        <w:t xml:space="preserve"> after the neoadjuvant </w:t>
      </w:r>
      <w:r w:rsidR="0088629D" w:rsidRPr="00567DF9">
        <w:rPr>
          <w:rFonts w:ascii="Book Antiqua" w:hAnsi="Book Antiqua"/>
          <w:color w:val="000000" w:themeColor="text1"/>
          <w:lang w:val="en-US"/>
        </w:rPr>
        <w:t>treatment</w:t>
      </w:r>
      <w:r w:rsidRPr="00567DF9">
        <w:rPr>
          <w:rFonts w:ascii="Book Antiqua" w:hAnsi="Book Antiqua"/>
          <w:color w:val="000000" w:themeColor="text1"/>
          <w:lang w:val="en-US"/>
        </w:rPr>
        <w:t xml:space="preserve"> and underwent left/right </w:t>
      </w:r>
      <w:proofErr w:type="spellStart"/>
      <w:r w:rsidRPr="00567DF9">
        <w:rPr>
          <w:rFonts w:ascii="Book Antiqua" w:hAnsi="Book Antiqua"/>
          <w:color w:val="000000" w:themeColor="text1"/>
          <w:lang w:val="en-US"/>
        </w:rPr>
        <w:t>hemihepatectomy</w:t>
      </w:r>
      <w:proofErr w:type="spellEnd"/>
      <w:r w:rsidRPr="00567DF9">
        <w:rPr>
          <w:rFonts w:ascii="Book Antiqua" w:hAnsi="Book Antiqua"/>
          <w:color w:val="000000" w:themeColor="text1"/>
          <w:lang w:val="en-US"/>
        </w:rPr>
        <w:t>/</w:t>
      </w:r>
      <w:proofErr w:type="spellStart"/>
      <w:r w:rsidRPr="00567DF9">
        <w:rPr>
          <w:rFonts w:ascii="Book Antiqua" w:hAnsi="Book Antiqua"/>
          <w:color w:val="000000" w:themeColor="text1"/>
          <w:lang w:val="en-US"/>
        </w:rPr>
        <w:t>trisegmentectomy</w:t>
      </w:r>
      <w:proofErr w:type="spellEnd"/>
      <w:r w:rsidRPr="00567DF9">
        <w:rPr>
          <w:rFonts w:ascii="Book Antiqua" w:hAnsi="Book Antiqua"/>
          <w:color w:val="000000" w:themeColor="text1"/>
          <w:lang w:val="en-US"/>
        </w:rPr>
        <w:t xml:space="preserve"> with caudate lobectomy. Only one resection turned out to be R1. Three patients were relapse-free 104, 37 and 7 </w:t>
      </w:r>
      <w:proofErr w:type="spellStart"/>
      <w:r w:rsidRPr="00567DF9">
        <w:rPr>
          <w:rFonts w:ascii="Book Antiqua" w:hAnsi="Book Antiqua"/>
          <w:color w:val="000000" w:themeColor="text1"/>
          <w:lang w:val="en-US"/>
        </w:rPr>
        <w:t>mo</w:t>
      </w:r>
      <w:proofErr w:type="spellEnd"/>
      <w:r w:rsidRPr="00567DF9">
        <w:rPr>
          <w:rFonts w:ascii="Book Antiqua" w:hAnsi="Book Antiqua"/>
          <w:color w:val="000000" w:themeColor="text1"/>
          <w:lang w:val="en-US"/>
        </w:rPr>
        <w:t xml:space="preserve"> later, while three died </w:t>
      </w:r>
      <w:r w:rsidR="00AC2D77" w:rsidRPr="00567DF9">
        <w:rPr>
          <w:rFonts w:ascii="Book Antiqua" w:hAnsi="Book Antiqua"/>
          <w:color w:val="000000" w:themeColor="text1"/>
          <w:lang w:val="en-US"/>
        </w:rPr>
        <w:t xml:space="preserve">from </w:t>
      </w:r>
      <w:r w:rsidRPr="00567DF9">
        <w:rPr>
          <w:rFonts w:ascii="Book Antiqua" w:hAnsi="Book Antiqua"/>
          <w:color w:val="000000" w:themeColor="text1"/>
          <w:lang w:val="en-US"/>
        </w:rPr>
        <w:t xml:space="preserve">primary disease at 37, 31 and 17 </w:t>
      </w:r>
      <w:proofErr w:type="spellStart"/>
      <w:r w:rsidRPr="00567DF9">
        <w:rPr>
          <w:rFonts w:ascii="Book Antiqua" w:hAnsi="Book Antiqua"/>
          <w:color w:val="000000" w:themeColor="text1"/>
          <w:lang w:val="en-US"/>
        </w:rPr>
        <w:t>mo</w:t>
      </w:r>
      <w:proofErr w:type="spellEnd"/>
      <w:r w:rsidRPr="00567DF9">
        <w:rPr>
          <w:rFonts w:ascii="Book Antiqua" w:hAnsi="Book Antiqua"/>
          <w:color w:val="000000" w:themeColor="text1"/>
          <w:lang w:val="en-US"/>
        </w:rPr>
        <w:t xml:space="preserve"> from surgery.</w:t>
      </w:r>
    </w:p>
    <w:p w14:paraId="3E4E8F74" w14:textId="106015F0"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 xml:space="preserve">A phase I trial named </w:t>
      </w:r>
      <w:proofErr w:type="gramStart"/>
      <w:r w:rsidRPr="00567DF9">
        <w:rPr>
          <w:rFonts w:ascii="Book Antiqua" w:hAnsi="Book Antiqua"/>
          <w:color w:val="000000" w:themeColor="text1"/>
          <w:lang w:val="en-US"/>
        </w:rPr>
        <w:t>NACRAC</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17]</w:t>
      </w:r>
      <w:r w:rsidRPr="00567DF9">
        <w:rPr>
          <w:rFonts w:ascii="Book Antiqua" w:hAnsi="Book Antiqua"/>
          <w:color w:val="000000" w:themeColor="text1"/>
          <w:lang w:val="en-US"/>
        </w:rPr>
        <w:t>, carried out by the Sendai team, established at 600 mg/m</w:t>
      </w:r>
      <w:r w:rsidRPr="00567DF9">
        <w:rPr>
          <w:rFonts w:ascii="Book Antiqua" w:hAnsi="Book Antiqua"/>
          <w:color w:val="000000" w:themeColor="text1"/>
          <w:vertAlign w:val="superscript"/>
          <w:lang w:val="en-US"/>
        </w:rPr>
        <w:t xml:space="preserve">2 </w:t>
      </w:r>
      <w:r w:rsidRPr="00567DF9">
        <w:rPr>
          <w:rFonts w:ascii="Book Antiqua" w:hAnsi="Book Antiqua"/>
          <w:color w:val="000000" w:themeColor="text1"/>
          <w:lang w:val="en-US"/>
        </w:rPr>
        <w:t>the recommended dose of gemcitabine (at day 1 and day 8, every three weeks) to associate at external beam radiation (1</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8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xml:space="preserve"> daily, total dose 45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xml:space="preserve">) for the neoadjuvant treatment of CCA. The phase II trial of the NACRAC </w:t>
      </w:r>
      <w:proofErr w:type="gramStart"/>
      <w:r w:rsidRPr="00567DF9">
        <w:rPr>
          <w:rFonts w:ascii="Book Antiqua" w:hAnsi="Book Antiqua"/>
          <w:color w:val="000000" w:themeColor="text1"/>
          <w:lang w:val="en-US"/>
        </w:rPr>
        <w:t>study</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18]</w:t>
      </w:r>
      <w:r w:rsidRPr="00567DF9">
        <w:rPr>
          <w:rFonts w:ascii="Book Antiqua" w:hAnsi="Book Antiqua"/>
          <w:color w:val="000000" w:themeColor="text1"/>
          <w:lang w:val="en-US"/>
        </w:rPr>
        <w:t>, aimed at evaluating the pathological curability after RCT as well as DFS and OS, is currently in progress. So far, twenty-five patients with advanced extrahepatic CCA have been enrolled and treated with neoadjuvant RCT. Three were not operated (for liver metastases, progression of the tumor, heart failure), two were not resected (both due to peritoneal carcinomatosis) and one patient was found to have a pancreatic cancer. Among the nineteen patients who were finally resected, seventeen (89</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6%) got an R0 resection. Considering all the twenty-four patients recruited with CCA, R0 resection accounted for 70</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8%. Since there were no deaths nor severe complications, up to now </w:t>
      </w:r>
      <w:r w:rsidRPr="00567DF9">
        <w:rPr>
          <w:rFonts w:ascii="Book Antiqua" w:hAnsi="Book Antiqua"/>
          <w:color w:val="000000" w:themeColor="text1"/>
          <w:lang w:val="en-GB"/>
        </w:rPr>
        <w:t xml:space="preserve">neoadjuvant RCT prior to surgery has proved to be safe and effective in enhancing free-margins resection for advanced </w:t>
      </w:r>
      <w:proofErr w:type="spellStart"/>
      <w:r w:rsidRPr="00567DF9">
        <w:rPr>
          <w:rFonts w:ascii="Book Antiqua" w:hAnsi="Book Antiqua"/>
          <w:color w:val="000000" w:themeColor="text1"/>
          <w:lang w:val="en-GB"/>
        </w:rPr>
        <w:t>hCCA</w:t>
      </w:r>
      <w:proofErr w:type="spellEnd"/>
      <w:r w:rsidRPr="00567DF9">
        <w:rPr>
          <w:rFonts w:ascii="Book Antiqua" w:hAnsi="Book Antiqua"/>
          <w:color w:val="000000" w:themeColor="text1"/>
          <w:lang w:val="en-GB"/>
        </w:rPr>
        <w:t xml:space="preserve"> and </w:t>
      </w:r>
      <w:proofErr w:type="spellStart"/>
      <w:r w:rsidRPr="00567DF9">
        <w:rPr>
          <w:rFonts w:ascii="Book Antiqua" w:hAnsi="Book Antiqua"/>
          <w:color w:val="000000" w:themeColor="text1"/>
          <w:lang w:val="en-GB"/>
        </w:rPr>
        <w:t>dCCA</w:t>
      </w:r>
      <w:proofErr w:type="spellEnd"/>
      <w:r w:rsidRPr="00567DF9">
        <w:rPr>
          <w:rFonts w:ascii="Book Antiqua" w:hAnsi="Book Antiqua"/>
          <w:color w:val="000000" w:themeColor="text1"/>
          <w:lang w:val="en-GB"/>
        </w:rPr>
        <w:t>. At the end of the study (40 cases are necessary), once DFS and OS are known, proper indications for CCA will be defined.</w:t>
      </w:r>
    </w:p>
    <w:p w14:paraId="66E22E14" w14:textId="50E81F6B"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GB"/>
        </w:rPr>
        <w:lastRenderedPageBreak/>
        <w:t xml:space="preserve">Few cases of R0 resection after neoadjuvant </w:t>
      </w:r>
      <w:r w:rsidR="00631C6D" w:rsidRPr="00567DF9">
        <w:rPr>
          <w:rFonts w:ascii="Book Antiqua" w:hAnsi="Book Antiqua"/>
          <w:color w:val="000000" w:themeColor="text1"/>
          <w:lang w:val="en-GB"/>
        </w:rPr>
        <w:t>chemotherapy (CT)</w:t>
      </w:r>
      <w:r w:rsidRPr="00567DF9">
        <w:rPr>
          <w:rFonts w:ascii="Book Antiqua" w:hAnsi="Book Antiqua"/>
          <w:color w:val="000000" w:themeColor="text1"/>
          <w:lang w:val="en-GB"/>
        </w:rPr>
        <w:t xml:space="preserve"> alone for unresectable </w:t>
      </w:r>
      <w:proofErr w:type="spellStart"/>
      <w:r w:rsidRPr="00567DF9">
        <w:rPr>
          <w:rFonts w:ascii="Book Antiqua" w:hAnsi="Book Antiqua"/>
          <w:color w:val="000000" w:themeColor="text1"/>
          <w:lang w:val="en-GB"/>
        </w:rPr>
        <w:t>hCCA</w:t>
      </w:r>
      <w:proofErr w:type="spellEnd"/>
      <w:r w:rsidRPr="00567DF9">
        <w:rPr>
          <w:rFonts w:ascii="Book Antiqua" w:hAnsi="Book Antiqua"/>
          <w:color w:val="000000" w:themeColor="text1"/>
          <w:lang w:val="en-GB"/>
        </w:rPr>
        <w:t xml:space="preserve"> have been reported. Tada </w:t>
      </w:r>
      <w:r w:rsidRPr="00567DF9">
        <w:rPr>
          <w:rFonts w:ascii="Book Antiqua" w:hAnsi="Book Antiqua"/>
          <w:i/>
          <w:color w:val="000000" w:themeColor="text1"/>
          <w:lang w:val="en-GB"/>
        </w:rPr>
        <w:t xml:space="preserve">et </w:t>
      </w:r>
      <w:proofErr w:type="gramStart"/>
      <w:r w:rsidRPr="00567DF9">
        <w:rPr>
          <w:rFonts w:ascii="Book Antiqua" w:hAnsi="Book Antiqua"/>
          <w:i/>
          <w:color w:val="000000" w:themeColor="text1"/>
          <w:lang w:val="en-GB"/>
        </w:rPr>
        <w:t>al</w:t>
      </w:r>
      <w:r w:rsidRPr="00567DF9">
        <w:rPr>
          <w:rFonts w:ascii="Book Antiqua" w:hAnsi="Book Antiqua"/>
          <w:color w:val="000000" w:themeColor="text1"/>
          <w:vertAlign w:val="superscript"/>
          <w:lang w:val="en-GB"/>
        </w:rPr>
        <w:t>[</w:t>
      </w:r>
      <w:proofErr w:type="gramEnd"/>
      <w:r w:rsidRPr="00567DF9">
        <w:rPr>
          <w:rFonts w:ascii="Book Antiqua" w:hAnsi="Book Antiqua"/>
          <w:color w:val="000000" w:themeColor="text1"/>
          <w:vertAlign w:val="superscript"/>
          <w:lang w:val="en-GB"/>
        </w:rPr>
        <w:t>19]</w:t>
      </w:r>
      <w:r w:rsidRPr="00567DF9">
        <w:rPr>
          <w:rFonts w:ascii="Book Antiqua" w:hAnsi="Book Antiqua"/>
          <w:color w:val="000000" w:themeColor="text1"/>
          <w:lang w:val="en-GB"/>
        </w:rPr>
        <w:t xml:space="preserve"> achieved an R0 resection after an extended left hepatectomy with partial resection of the portal vein and regional node dissection in a patient with a Bismuth type III </w:t>
      </w:r>
      <w:proofErr w:type="spellStart"/>
      <w:r w:rsidRPr="00567DF9">
        <w:rPr>
          <w:rFonts w:ascii="Book Antiqua" w:hAnsi="Book Antiqua"/>
          <w:color w:val="000000" w:themeColor="text1"/>
          <w:lang w:val="en-GB"/>
        </w:rPr>
        <w:t>hCCA</w:t>
      </w:r>
      <w:proofErr w:type="spellEnd"/>
      <w:r w:rsidRPr="00567DF9">
        <w:rPr>
          <w:rFonts w:ascii="Book Antiqua" w:hAnsi="Book Antiqua"/>
          <w:color w:val="000000" w:themeColor="text1"/>
          <w:lang w:val="en-GB"/>
        </w:rPr>
        <w:t xml:space="preserve"> involving the portal bifurcation, treated by gemcitabine and S-1 combination chemotherapy in </w:t>
      </w:r>
      <w:proofErr w:type="spellStart"/>
      <w:r w:rsidRPr="00567DF9">
        <w:rPr>
          <w:rFonts w:ascii="Book Antiqua" w:hAnsi="Book Antiqua"/>
          <w:color w:val="000000" w:themeColor="text1"/>
          <w:lang w:val="en-GB"/>
        </w:rPr>
        <w:t>neoajduvant</w:t>
      </w:r>
      <w:proofErr w:type="spellEnd"/>
      <w:r w:rsidRPr="00567DF9">
        <w:rPr>
          <w:rFonts w:ascii="Book Antiqua" w:hAnsi="Book Antiqua"/>
          <w:color w:val="000000" w:themeColor="text1"/>
          <w:lang w:val="en-GB"/>
        </w:rPr>
        <w:t xml:space="preserve"> setting during four months. The </w:t>
      </w:r>
      <w:r w:rsidR="0088629D" w:rsidRPr="00567DF9">
        <w:rPr>
          <w:rFonts w:ascii="Book Antiqua" w:hAnsi="Book Antiqua"/>
          <w:color w:val="000000" w:themeColor="text1"/>
          <w:lang w:val="en-GB"/>
        </w:rPr>
        <w:t>52-year-old</w:t>
      </w:r>
      <w:r w:rsidRPr="00567DF9">
        <w:rPr>
          <w:rFonts w:ascii="Book Antiqua" w:hAnsi="Book Antiqua"/>
          <w:color w:val="000000" w:themeColor="text1"/>
          <w:lang w:val="en-GB"/>
        </w:rPr>
        <w:t xml:space="preserve"> patient was alive and disease-free at 29 </w:t>
      </w:r>
      <w:proofErr w:type="spellStart"/>
      <w:r w:rsidRPr="00567DF9">
        <w:rPr>
          <w:rFonts w:ascii="Book Antiqua" w:hAnsi="Book Antiqua"/>
          <w:color w:val="000000" w:themeColor="text1"/>
          <w:lang w:val="en-GB"/>
        </w:rPr>
        <w:t>mo</w:t>
      </w:r>
      <w:proofErr w:type="spellEnd"/>
      <w:r w:rsidRPr="00567DF9">
        <w:rPr>
          <w:rFonts w:ascii="Book Antiqua" w:hAnsi="Book Antiqua"/>
          <w:color w:val="000000" w:themeColor="text1"/>
          <w:lang w:val="en-GB"/>
        </w:rPr>
        <w:t xml:space="preserve"> from surgery. Sano </w:t>
      </w:r>
      <w:r w:rsidRPr="00567DF9">
        <w:rPr>
          <w:rFonts w:ascii="Book Antiqua" w:hAnsi="Book Antiqua"/>
          <w:i/>
          <w:color w:val="000000" w:themeColor="text1"/>
          <w:lang w:val="en-GB"/>
        </w:rPr>
        <w:t xml:space="preserve">et </w:t>
      </w:r>
      <w:proofErr w:type="gramStart"/>
      <w:r w:rsidRPr="00567DF9">
        <w:rPr>
          <w:rFonts w:ascii="Book Antiqua" w:hAnsi="Book Antiqua"/>
          <w:i/>
          <w:color w:val="000000" w:themeColor="text1"/>
          <w:lang w:val="en-GB"/>
        </w:rPr>
        <w:t>al</w:t>
      </w:r>
      <w:r w:rsidRPr="00567DF9">
        <w:rPr>
          <w:rFonts w:ascii="Book Antiqua" w:hAnsi="Book Antiqua"/>
          <w:color w:val="000000" w:themeColor="text1"/>
          <w:vertAlign w:val="superscript"/>
          <w:lang w:val="en-GB"/>
        </w:rPr>
        <w:t>[</w:t>
      </w:r>
      <w:proofErr w:type="gramEnd"/>
      <w:r w:rsidRPr="00567DF9">
        <w:rPr>
          <w:rFonts w:ascii="Book Antiqua" w:hAnsi="Book Antiqua"/>
          <w:color w:val="000000" w:themeColor="text1"/>
          <w:vertAlign w:val="superscript"/>
          <w:lang w:val="en-GB"/>
        </w:rPr>
        <w:t>20]</w:t>
      </w:r>
      <w:r w:rsidRPr="00567DF9">
        <w:rPr>
          <w:rFonts w:ascii="Book Antiqua" w:hAnsi="Book Antiqua"/>
          <w:color w:val="000000" w:themeColor="text1"/>
          <w:lang w:val="en-GB"/>
        </w:rPr>
        <w:t xml:space="preserve"> described another case report of unresectable </w:t>
      </w:r>
      <w:proofErr w:type="spellStart"/>
      <w:r w:rsidRPr="00567DF9">
        <w:rPr>
          <w:rFonts w:ascii="Book Antiqua" w:hAnsi="Book Antiqua"/>
          <w:color w:val="000000" w:themeColor="text1"/>
          <w:lang w:val="en-GB"/>
        </w:rPr>
        <w:t>hCCA</w:t>
      </w:r>
      <w:proofErr w:type="spellEnd"/>
      <w:r w:rsidRPr="00567DF9">
        <w:rPr>
          <w:rFonts w:ascii="Book Antiqua" w:hAnsi="Book Antiqua"/>
          <w:color w:val="000000" w:themeColor="text1"/>
          <w:lang w:val="en-GB"/>
        </w:rPr>
        <w:t>, in which R0 resection required an arterial resection too, after neoadjuvant gemcitabine (two courses) at the high dose of 1000 mg/m</w:t>
      </w:r>
      <w:r w:rsidRPr="00567DF9">
        <w:rPr>
          <w:rFonts w:ascii="Book Antiqua" w:hAnsi="Book Antiqua"/>
          <w:color w:val="000000" w:themeColor="text1"/>
          <w:vertAlign w:val="superscript"/>
          <w:lang w:val="en-GB"/>
        </w:rPr>
        <w:t>2</w:t>
      </w:r>
      <w:r w:rsidRPr="00567DF9">
        <w:rPr>
          <w:rFonts w:ascii="Book Antiqua" w:hAnsi="Book Antiqua"/>
          <w:color w:val="000000" w:themeColor="text1"/>
          <w:lang w:val="en-GB"/>
        </w:rPr>
        <w:t>.</w:t>
      </w:r>
    </w:p>
    <w:p w14:paraId="42EBC7AC" w14:textId="77777777" w:rsidR="0088629D"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GB"/>
        </w:rPr>
        <w:t xml:space="preserve">Photodynamic therapy </w:t>
      </w:r>
      <w:r w:rsidR="00DE595B" w:rsidRPr="00567DF9">
        <w:rPr>
          <w:rFonts w:ascii="Book Antiqua" w:hAnsi="Book Antiqua"/>
          <w:color w:val="000000" w:themeColor="text1"/>
          <w:lang w:val="en-GB"/>
        </w:rPr>
        <w:t xml:space="preserve">(PDT) </w:t>
      </w:r>
      <w:r w:rsidRPr="00567DF9">
        <w:rPr>
          <w:rFonts w:ascii="Book Antiqua" w:hAnsi="Book Antiqua"/>
          <w:color w:val="000000" w:themeColor="text1"/>
          <w:lang w:val="en-GB"/>
        </w:rPr>
        <w:t xml:space="preserve">has been evaluated as a neoadjuvant treatment before surgery for advanced </w:t>
      </w:r>
      <w:proofErr w:type="spellStart"/>
      <w:r w:rsidRPr="00567DF9">
        <w:rPr>
          <w:rFonts w:ascii="Book Antiqua" w:hAnsi="Book Antiqua"/>
          <w:color w:val="000000" w:themeColor="text1"/>
          <w:lang w:val="en-GB"/>
        </w:rPr>
        <w:t>hCCA</w:t>
      </w:r>
      <w:proofErr w:type="spellEnd"/>
      <w:r w:rsidRPr="00567DF9">
        <w:rPr>
          <w:rFonts w:ascii="Book Antiqua" w:hAnsi="Book Antiqua"/>
          <w:color w:val="000000" w:themeColor="text1"/>
          <w:lang w:val="en-GB"/>
        </w:rPr>
        <w:t xml:space="preserve">, by a German </w:t>
      </w:r>
      <w:proofErr w:type="gramStart"/>
      <w:r w:rsidRPr="00567DF9">
        <w:rPr>
          <w:rFonts w:ascii="Book Antiqua" w:hAnsi="Book Antiqua"/>
          <w:color w:val="000000" w:themeColor="text1"/>
          <w:lang w:val="en-GB"/>
        </w:rPr>
        <w:t>group</w:t>
      </w:r>
      <w:r w:rsidRPr="00567DF9">
        <w:rPr>
          <w:rFonts w:ascii="Book Antiqua" w:hAnsi="Book Antiqua"/>
          <w:color w:val="000000" w:themeColor="text1"/>
          <w:vertAlign w:val="superscript"/>
          <w:lang w:val="en-GB"/>
        </w:rPr>
        <w:t>[</w:t>
      </w:r>
      <w:proofErr w:type="gramEnd"/>
      <w:r w:rsidRPr="00567DF9">
        <w:rPr>
          <w:rFonts w:ascii="Book Antiqua" w:hAnsi="Book Antiqua"/>
          <w:color w:val="000000" w:themeColor="text1"/>
          <w:vertAlign w:val="superscript"/>
          <w:lang w:val="en-GB"/>
        </w:rPr>
        <w:t>21]</w:t>
      </w:r>
      <w:r w:rsidRPr="00567DF9">
        <w:rPr>
          <w:rFonts w:ascii="Book Antiqua" w:hAnsi="Book Antiqua"/>
          <w:color w:val="000000" w:themeColor="text1"/>
          <w:lang w:val="en-GB"/>
        </w:rPr>
        <w:t xml:space="preserve">. Seven patients were included and managed to undergo an R0 resection; on the specimens, no viable </w:t>
      </w:r>
      <w:proofErr w:type="spellStart"/>
      <w:r w:rsidRPr="00567DF9">
        <w:rPr>
          <w:rFonts w:ascii="Book Antiqua" w:hAnsi="Book Antiqua"/>
          <w:color w:val="000000" w:themeColor="text1"/>
          <w:lang w:val="en-GB"/>
        </w:rPr>
        <w:t>tumor</w:t>
      </w:r>
      <w:proofErr w:type="spellEnd"/>
      <w:r w:rsidR="00631C6D" w:rsidRPr="00567DF9">
        <w:rPr>
          <w:rFonts w:ascii="Book Antiqua" w:hAnsi="Book Antiqua"/>
          <w:color w:val="000000" w:themeColor="text1"/>
          <w:lang w:val="en-GB"/>
        </w:rPr>
        <w:t xml:space="preserve"> c</w:t>
      </w:r>
      <w:r w:rsidRPr="00567DF9">
        <w:rPr>
          <w:rFonts w:ascii="Book Antiqua" w:hAnsi="Book Antiqua"/>
          <w:color w:val="000000" w:themeColor="text1"/>
          <w:lang w:val="en-GB"/>
        </w:rPr>
        <w:t xml:space="preserve">ells were found on the superficial layer of the bile duct into the depth of 4 mm. However, as the initial </w:t>
      </w:r>
      <w:proofErr w:type="spellStart"/>
      <w:r w:rsidRPr="00567DF9">
        <w:rPr>
          <w:rFonts w:ascii="Book Antiqua" w:hAnsi="Book Antiqua"/>
          <w:color w:val="000000" w:themeColor="text1"/>
          <w:lang w:val="en-GB"/>
        </w:rPr>
        <w:t>resectability</w:t>
      </w:r>
      <w:proofErr w:type="spellEnd"/>
      <w:r w:rsidRPr="00567DF9">
        <w:rPr>
          <w:rFonts w:ascii="Book Antiqua" w:hAnsi="Book Antiqua"/>
          <w:color w:val="000000" w:themeColor="text1"/>
          <w:lang w:val="en-GB"/>
        </w:rPr>
        <w:t xml:space="preserve"> was not assessed, there was no evidence of the role of PDT in getting negative margins. Thus, PDT is a low-risk procedure allowing destruction of the inner biliary epithelium, whose utility in neoadjuvant environs remains to be determined. </w:t>
      </w:r>
      <w:r w:rsidR="0088629D" w:rsidRPr="00567DF9">
        <w:rPr>
          <w:rFonts w:ascii="Book Antiqua" w:hAnsi="Book Antiqua"/>
          <w:color w:val="000000" w:themeColor="text1"/>
          <w:lang w:val="en-GB"/>
        </w:rPr>
        <w:t>(Table 1)</w:t>
      </w:r>
    </w:p>
    <w:p w14:paraId="4C3321B2" w14:textId="77777777" w:rsidR="0088629D" w:rsidRPr="00567DF9" w:rsidRDefault="0088629D" w:rsidP="00567DF9">
      <w:pPr>
        <w:spacing w:line="360" w:lineRule="auto"/>
        <w:jc w:val="both"/>
        <w:rPr>
          <w:rFonts w:ascii="Book Antiqua" w:hAnsi="Book Antiqua"/>
          <w:color w:val="000000" w:themeColor="text1"/>
        </w:rPr>
      </w:pPr>
    </w:p>
    <w:p w14:paraId="39B0AF05" w14:textId="10F2C318" w:rsidR="00552C6C" w:rsidRPr="00567DF9" w:rsidRDefault="007D417F" w:rsidP="00567DF9">
      <w:pPr>
        <w:spacing w:line="360" w:lineRule="auto"/>
        <w:jc w:val="both"/>
        <w:rPr>
          <w:rFonts w:ascii="Book Antiqua" w:hAnsi="Book Antiqua"/>
          <w:b/>
          <w:color w:val="000000" w:themeColor="text1"/>
        </w:rPr>
      </w:pPr>
      <w:r w:rsidRPr="00567DF9">
        <w:rPr>
          <w:rFonts w:ascii="Book Antiqua" w:hAnsi="Book Antiqua"/>
          <w:b/>
          <w:color w:val="000000" w:themeColor="text1"/>
          <w:lang w:val="en-US"/>
        </w:rPr>
        <w:t>RCT PRIOR TO LIVER TRANSPLANTIATION</w:t>
      </w:r>
    </w:p>
    <w:p w14:paraId="41BBDA93" w14:textId="5EEBB785" w:rsidR="00552C6C" w:rsidRPr="00567DF9" w:rsidRDefault="007D417F" w:rsidP="00567DF9">
      <w:pPr>
        <w:spacing w:line="360" w:lineRule="auto"/>
        <w:jc w:val="both"/>
        <w:rPr>
          <w:rFonts w:ascii="Book Antiqua" w:hAnsi="Book Antiqua"/>
          <w:color w:val="000000" w:themeColor="text1"/>
          <w:lang w:val="en-US"/>
        </w:rPr>
      </w:pPr>
      <w:r w:rsidRPr="00567DF9">
        <w:rPr>
          <w:rFonts w:ascii="Book Antiqua" w:hAnsi="Book Antiqua"/>
          <w:color w:val="000000" w:themeColor="text1"/>
          <w:lang w:val="en-US"/>
        </w:rPr>
        <w:t xml:space="preserve">As previously mentioned, many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patients are considered “unresectable” at diagnosis for a wide tumor extension at both hepatic lobes, for bilateral involvement of the segmental hepatic ducts or of the main vessels, for poor liver function in case of PSC or other liver chronic disease. In such a complex setting, RCT is considered as neoadjuvant treatment before OLT with the aim to downstage the tumor burden and to confine that within the organ to replace.</w:t>
      </w:r>
    </w:p>
    <w:p w14:paraId="5EBD0EAB" w14:textId="35A52D0D"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 xml:space="preserve">The first experiences of OLT for CCA included both intra and extra hepatic CCA. The results were absolutely discouraging in terms of recurrence and survival and CCA was regarded as a contraindication to OLT. In particular, Meyer </w:t>
      </w:r>
      <w:r w:rsidRPr="00567DF9">
        <w:rPr>
          <w:rFonts w:ascii="Book Antiqua" w:hAnsi="Book Antiqua"/>
          <w:i/>
          <w:color w:val="000000" w:themeColor="text1"/>
          <w:lang w:val="en-US"/>
        </w:rPr>
        <w:t xml:space="preserve">et </w:t>
      </w:r>
      <w:proofErr w:type="gramStart"/>
      <w:r w:rsidRPr="00567DF9">
        <w:rPr>
          <w:rFonts w:ascii="Book Antiqua" w:hAnsi="Book Antiqua"/>
          <w:i/>
          <w:color w:val="000000" w:themeColor="text1"/>
          <w:lang w:val="en-US"/>
        </w:rPr>
        <w:t>al</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22]</w:t>
      </w:r>
      <w:r w:rsidRPr="00567DF9">
        <w:rPr>
          <w:rFonts w:ascii="Book Antiqua" w:hAnsi="Book Antiqua"/>
          <w:color w:val="000000" w:themeColor="text1"/>
          <w:lang w:val="en-US"/>
        </w:rPr>
        <w:t xml:space="preserve"> reported the largest series, made up of 207 patients from the Cincinnati Transplant Tumor Registry (1968-1997): 5 years survival was 23%, </w:t>
      </w:r>
      <w:r w:rsidRPr="00567DF9">
        <w:rPr>
          <w:rFonts w:ascii="Book Antiqua" w:hAnsi="Book Antiqua"/>
          <w:color w:val="000000" w:themeColor="text1"/>
          <w:lang w:val="en-US"/>
        </w:rPr>
        <w:lastRenderedPageBreak/>
        <w:t xml:space="preserve">51% recurred </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 xml:space="preserve"> almost all within two years </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 xml:space="preserve"> and survival after recurrence was extremely poor. Robles </w:t>
      </w:r>
      <w:r w:rsidRPr="00567DF9">
        <w:rPr>
          <w:rFonts w:ascii="Book Antiqua" w:hAnsi="Book Antiqua"/>
          <w:i/>
          <w:color w:val="000000" w:themeColor="text1"/>
          <w:lang w:val="en-US"/>
        </w:rPr>
        <w:t xml:space="preserve">et </w:t>
      </w:r>
      <w:proofErr w:type="gramStart"/>
      <w:r w:rsidRPr="00567DF9">
        <w:rPr>
          <w:rFonts w:ascii="Book Antiqua" w:hAnsi="Book Antiqua"/>
          <w:i/>
          <w:color w:val="000000" w:themeColor="text1"/>
          <w:lang w:val="en-US"/>
        </w:rPr>
        <w:t>al</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23]</w:t>
      </w:r>
      <w:r w:rsidRPr="00567DF9">
        <w:rPr>
          <w:rFonts w:ascii="Book Antiqua" w:hAnsi="Book Antiqua"/>
          <w:color w:val="000000" w:themeColor="text1"/>
          <w:lang w:val="en-US"/>
        </w:rPr>
        <w:t xml:space="preserve"> described similar findings on a Spanish cohort of 59 patients, of which 36 with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and 23 with </w:t>
      </w:r>
      <w:proofErr w:type="spellStart"/>
      <w:r w:rsidRPr="00567DF9">
        <w:rPr>
          <w:rFonts w:ascii="Book Antiqua" w:hAnsi="Book Antiqua"/>
          <w:color w:val="000000" w:themeColor="text1"/>
          <w:lang w:val="en-US"/>
        </w:rPr>
        <w:t>iCCA</w:t>
      </w:r>
      <w:proofErr w:type="spellEnd"/>
      <w:r w:rsidRPr="00567DF9">
        <w:rPr>
          <w:rFonts w:ascii="Book Antiqua" w:hAnsi="Book Antiqua"/>
          <w:color w:val="000000" w:themeColor="text1"/>
          <w:lang w:val="en-US"/>
        </w:rPr>
        <w:t xml:space="preserve">; 5 years survivals were respectively 30% and 42%, recurrence rate 53% and 35%. OLT with incidentally found CCA did not show better intermediate and long-term survivals, according to a Canadian </w:t>
      </w:r>
      <w:proofErr w:type="gramStart"/>
      <w:r w:rsidRPr="00567DF9">
        <w:rPr>
          <w:rFonts w:ascii="Book Antiqua" w:hAnsi="Book Antiqua"/>
          <w:color w:val="000000" w:themeColor="text1"/>
          <w:lang w:val="en-US"/>
        </w:rPr>
        <w:t>study</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24]</w:t>
      </w:r>
      <w:r w:rsidRPr="00567DF9">
        <w:rPr>
          <w:rFonts w:ascii="Book Antiqua" w:hAnsi="Book Antiqua"/>
          <w:color w:val="000000" w:themeColor="text1"/>
          <w:lang w:val="en-US"/>
        </w:rPr>
        <w:t>.</w:t>
      </w:r>
    </w:p>
    <w:p w14:paraId="15E8AB16" w14:textId="31E9D763"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 xml:space="preserve">The benefit of high dose combined external beam radiation and </w:t>
      </w:r>
      <w:proofErr w:type="spellStart"/>
      <w:r w:rsidRPr="00567DF9">
        <w:rPr>
          <w:rFonts w:ascii="Book Antiqua" w:hAnsi="Book Antiqua"/>
          <w:color w:val="000000" w:themeColor="text1"/>
          <w:lang w:val="en-US"/>
        </w:rPr>
        <w:t>brachitherapy</w:t>
      </w:r>
      <w:proofErr w:type="spellEnd"/>
      <w:r w:rsidRPr="00567DF9">
        <w:rPr>
          <w:rFonts w:ascii="Book Antiqua" w:hAnsi="Book Antiqua"/>
          <w:color w:val="000000" w:themeColor="text1"/>
          <w:lang w:val="en-US"/>
        </w:rPr>
        <w:t xml:space="preserve"> for extra hepatic CCA was already known thanks to the works published by Alden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[25]</w:t>
      </w:r>
      <w:r w:rsidRPr="00567DF9">
        <w:rPr>
          <w:rFonts w:ascii="Book Antiqua" w:hAnsi="Book Antiqua"/>
          <w:color w:val="000000" w:themeColor="text1"/>
          <w:lang w:val="en-US"/>
        </w:rPr>
        <w:t xml:space="preserve"> in 1994: 2 years survival was 48% for patients treated with 55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xml:space="preserve"> or more, 0% without RT. Moreover, Foo </w:t>
      </w:r>
      <w:r w:rsidRPr="00567DF9">
        <w:rPr>
          <w:rFonts w:ascii="Book Antiqua" w:hAnsi="Book Antiqua"/>
          <w:i/>
          <w:color w:val="000000" w:themeColor="text1"/>
          <w:lang w:val="en-US"/>
        </w:rPr>
        <w:t xml:space="preserve">et </w:t>
      </w:r>
      <w:proofErr w:type="gramStart"/>
      <w:r w:rsidRPr="00567DF9">
        <w:rPr>
          <w:rFonts w:ascii="Book Antiqua" w:hAnsi="Book Antiqua"/>
          <w:i/>
          <w:color w:val="000000" w:themeColor="text1"/>
          <w:lang w:val="en-US"/>
        </w:rPr>
        <w:t>al</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26]</w:t>
      </w:r>
      <w:r w:rsidRPr="00567DF9">
        <w:rPr>
          <w:rFonts w:ascii="Book Antiqua" w:hAnsi="Book Antiqua"/>
          <w:color w:val="000000" w:themeColor="text1"/>
          <w:lang w:val="en-US"/>
        </w:rPr>
        <w:t xml:space="preserve"> in 1997 had observed an improved survival with the concomitant use of 5-FU chemotherapy. Following these findings, the Nebraska University </w:t>
      </w:r>
      <w:proofErr w:type="gramStart"/>
      <w:r w:rsidRPr="00567DF9">
        <w:rPr>
          <w:rFonts w:ascii="Book Antiqua" w:hAnsi="Book Antiqua"/>
          <w:color w:val="000000" w:themeColor="text1"/>
          <w:lang w:val="en-US"/>
        </w:rPr>
        <w:t>group</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27]</w:t>
      </w:r>
      <w:r w:rsidRPr="00567DF9">
        <w:rPr>
          <w:rFonts w:ascii="Book Antiqua" w:hAnsi="Book Antiqua"/>
          <w:color w:val="000000" w:themeColor="text1"/>
          <w:lang w:val="en-US"/>
        </w:rPr>
        <w:t xml:space="preserve"> was the first to combine neoadjuvant RCT and OLT in a selected cohort of seventeen patients with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(Bismuth types III and IV) &lt; 2 cm and no intra or extra-hepatic metastases. Neoadjuvant protocol provided only intra biliary </w:t>
      </w:r>
      <w:proofErr w:type="spellStart"/>
      <w:r w:rsidRPr="00567DF9">
        <w:rPr>
          <w:rFonts w:ascii="Book Antiqua" w:hAnsi="Book Antiqua"/>
          <w:color w:val="000000" w:themeColor="text1"/>
          <w:lang w:val="en-US"/>
        </w:rPr>
        <w:t>brachitherapy</w:t>
      </w:r>
      <w:proofErr w:type="spellEnd"/>
      <w:r w:rsidRPr="00567DF9">
        <w:rPr>
          <w:rFonts w:ascii="Book Antiqua" w:hAnsi="Book Antiqua"/>
          <w:color w:val="000000" w:themeColor="text1"/>
          <w:lang w:val="en-US"/>
        </w:rPr>
        <w:t xml:space="preserve">, delivered through percutaneous trans hepatic catheters to a total dose of 60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and intravenous infusion of 5-FU (300 mg/m</w:t>
      </w:r>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 xml:space="preserve">/d), given until the transplantation. An exploratory laparotomy was performed while on the waiting list, when a liver donor was available: an extended lymphadenectomy was carried out and in the presence of extrahepatic involvement OLT was precluded. This happened to four patients, while two died from disease progression before the staging surgery. Eleven patients finally underwent OLT, seven of which had PSC and ulcerative colitis. Recurrence was confirmed in two patients, 4 and 5 </w:t>
      </w:r>
      <w:proofErr w:type="spellStart"/>
      <w:r w:rsidRPr="00567DF9">
        <w:rPr>
          <w:rFonts w:ascii="Book Antiqua" w:hAnsi="Book Antiqua"/>
          <w:color w:val="000000" w:themeColor="text1"/>
          <w:lang w:val="en-US"/>
        </w:rPr>
        <w:t>mo</w:t>
      </w:r>
      <w:proofErr w:type="spellEnd"/>
      <w:r w:rsidRPr="00567DF9">
        <w:rPr>
          <w:rFonts w:ascii="Book Antiqua" w:hAnsi="Book Antiqua"/>
          <w:color w:val="000000" w:themeColor="text1"/>
          <w:lang w:val="en-US"/>
        </w:rPr>
        <w:t xml:space="preserve"> after the transplantation. Four other patients died from post-operative complications while five patients (45%) were definitely alive and tumor-free with a median follow up of 7</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5 (2</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8</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14</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 xml:space="preserve">5) years from OLT. Although the high rate of septic complications due to the </w:t>
      </w:r>
      <w:proofErr w:type="spellStart"/>
      <w:r w:rsidRPr="00567DF9">
        <w:rPr>
          <w:rFonts w:ascii="Book Antiqua" w:hAnsi="Book Antiqua"/>
          <w:color w:val="000000" w:themeColor="text1"/>
          <w:lang w:val="en-US"/>
        </w:rPr>
        <w:t>brachiterapy</w:t>
      </w:r>
      <w:proofErr w:type="spellEnd"/>
      <w:r w:rsidRPr="00567DF9">
        <w:rPr>
          <w:rFonts w:ascii="Book Antiqua" w:hAnsi="Book Antiqua"/>
          <w:color w:val="000000" w:themeColor="text1"/>
          <w:lang w:val="en-US"/>
        </w:rPr>
        <w:t xml:space="preserve">, the Nebraska University’s work did manage to achieve long term survivals in selected patients with unresectable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w:t>
      </w:r>
    </w:p>
    <w:p w14:paraId="19F8333A" w14:textId="0FA84742"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 xml:space="preserve">The Mayo Clinic group proposed his original neoadjuvant protocol in 1993, combining irradiation and CT. Patients with early stage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either judged </w:t>
      </w:r>
      <w:r w:rsidRPr="00567DF9">
        <w:rPr>
          <w:rFonts w:ascii="Book Antiqua" w:hAnsi="Book Antiqua"/>
          <w:color w:val="000000" w:themeColor="text1"/>
          <w:lang w:val="en-US"/>
        </w:rPr>
        <w:lastRenderedPageBreak/>
        <w:t xml:space="preserve">unresectable by an experienced hepatobiliary surgeon or developed in the context of PSC were considered. Criteria for anatomic </w:t>
      </w:r>
      <w:proofErr w:type="spellStart"/>
      <w:r w:rsidRPr="00567DF9">
        <w:rPr>
          <w:rFonts w:ascii="Book Antiqua" w:hAnsi="Book Antiqua"/>
          <w:color w:val="000000" w:themeColor="text1"/>
          <w:lang w:val="en-US"/>
        </w:rPr>
        <w:t>unresectability</w:t>
      </w:r>
      <w:proofErr w:type="spellEnd"/>
      <w:r w:rsidRPr="00567DF9">
        <w:rPr>
          <w:rFonts w:ascii="Book Antiqua" w:hAnsi="Book Antiqua"/>
          <w:color w:val="000000" w:themeColor="text1"/>
          <w:lang w:val="en-US"/>
        </w:rPr>
        <w:t xml:space="preserve"> were well defined: bilateral segmental ductal extension, encasement of the main trunk of the portal vein, unilateral ductal extension with </w:t>
      </w:r>
      <w:proofErr w:type="spellStart"/>
      <w:r w:rsidRPr="00567DF9">
        <w:rPr>
          <w:rFonts w:ascii="Book Antiqua" w:hAnsi="Book Antiqua"/>
          <w:color w:val="000000" w:themeColor="text1"/>
          <w:lang w:val="en-US"/>
        </w:rPr>
        <w:t>controlateral</w:t>
      </w:r>
      <w:proofErr w:type="spellEnd"/>
      <w:r w:rsidRPr="00567DF9">
        <w:rPr>
          <w:rFonts w:ascii="Book Antiqua" w:hAnsi="Book Antiqua"/>
          <w:color w:val="000000" w:themeColor="text1"/>
          <w:lang w:val="en-US"/>
        </w:rPr>
        <w:t xml:space="preserve"> vascular encasement, unilateral liver atrophy in the presence of </w:t>
      </w:r>
      <w:proofErr w:type="spellStart"/>
      <w:r w:rsidRPr="00567DF9">
        <w:rPr>
          <w:rFonts w:ascii="Book Antiqua" w:hAnsi="Book Antiqua"/>
          <w:color w:val="000000" w:themeColor="text1"/>
          <w:lang w:val="en-US"/>
        </w:rPr>
        <w:t>controlateral</w:t>
      </w:r>
      <w:proofErr w:type="spellEnd"/>
      <w:r w:rsidRPr="00567DF9">
        <w:rPr>
          <w:rFonts w:ascii="Book Antiqua" w:hAnsi="Book Antiqua"/>
          <w:color w:val="000000" w:themeColor="text1"/>
          <w:lang w:val="en-US"/>
        </w:rPr>
        <w:t xml:space="preserve"> segmental ductal or vascular involvement. The first inclusion criteria embraced maximum tumor size of 3 cm, no extension below the cystic duct for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without PSC, absence of intra or extra-hepatic metastases (including hepatic hilar lymph nodes metastases). Uncontrolled infections, previous RT or CT treatments or any attempts of surgery or percutaneous procedures (due to the risk of peritoneal tumor seeding) motivated the exclusion. Neoadjuvant treatment involved firstly external beam radiation (1</w:t>
      </w:r>
      <w:r w:rsidR="002D739B" w:rsidRPr="00567DF9">
        <w:rPr>
          <w:rFonts w:ascii="Book Antiqua" w:hAnsi="Book Antiqua"/>
          <w:color w:val="000000" w:themeColor="text1"/>
          <w:lang w:val="en-US"/>
        </w:rPr>
        <w:t>.</w:t>
      </w:r>
      <w:r w:rsidRPr="00567DF9">
        <w:rPr>
          <w:rFonts w:ascii="Book Antiqua" w:hAnsi="Book Antiqua"/>
          <w:color w:val="000000" w:themeColor="text1"/>
          <w:lang w:val="en-US"/>
        </w:rPr>
        <w:t xml:space="preserve">5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xml:space="preserve"> twice a day, five days a week over three weeks, to a total of 45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xml:space="preserve">) followed by intra biliary </w:t>
      </w:r>
      <w:proofErr w:type="spellStart"/>
      <w:r w:rsidRPr="00567DF9">
        <w:rPr>
          <w:rFonts w:ascii="Book Antiqua" w:hAnsi="Book Antiqua"/>
          <w:color w:val="000000" w:themeColor="text1"/>
          <w:lang w:val="en-US"/>
        </w:rPr>
        <w:t>brachitherapy</w:t>
      </w:r>
      <w:proofErr w:type="spellEnd"/>
      <w:r w:rsidRPr="00567DF9">
        <w:rPr>
          <w:rFonts w:ascii="Book Antiqua" w:hAnsi="Book Antiqua"/>
          <w:color w:val="000000" w:themeColor="text1"/>
          <w:lang w:val="en-US"/>
        </w:rPr>
        <w:t xml:space="preserve"> (20-30 </w:t>
      </w:r>
      <w:proofErr w:type="spellStart"/>
      <w:r w:rsidRPr="00567DF9">
        <w:rPr>
          <w:rFonts w:ascii="Book Antiqua" w:hAnsi="Book Antiqua"/>
          <w:color w:val="000000" w:themeColor="text1"/>
          <w:lang w:val="en-US"/>
        </w:rPr>
        <w:t>Gy</w:t>
      </w:r>
      <w:proofErr w:type="spellEnd"/>
      <w:r w:rsidRPr="00567DF9">
        <w:rPr>
          <w:rFonts w:ascii="Book Antiqua" w:hAnsi="Book Antiqua"/>
          <w:color w:val="000000" w:themeColor="text1"/>
          <w:lang w:val="en-US"/>
        </w:rPr>
        <w:t>, through iridium wires placed endoscopically or percutaneously). Intravenous 5-FU was administered at the dose of 500 mg/m</w:t>
      </w:r>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/d for the first three days of RT; 225 mg/m</w:t>
      </w:r>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 xml:space="preserve">/d were given later, from the beginning of the </w:t>
      </w:r>
      <w:proofErr w:type="spellStart"/>
      <w:r w:rsidRPr="00567DF9">
        <w:rPr>
          <w:rFonts w:ascii="Book Antiqua" w:hAnsi="Book Antiqua"/>
          <w:color w:val="000000" w:themeColor="text1"/>
          <w:lang w:val="en-US"/>
        </w:rPr>
        <w:t>brachitherapy</w:t>
      </w:r>
      <w:proofErr w:type="spellEnd"/>
      <w:r w:rsidRPr="00567DF9">
        <w:rPr>
          <w:rFonts w:ascii="Book Antiqua" w:hAnsi="Book Antiqua"/>
          <w:color w:val="000000" w:themeColor="text1"/>
          <w:lang w:val="en-US"/>
        </w:rPr>
        <w:t xml:space="preserve"> to the transplantation, with one-month pause for the staging surgery: an exploratory laparotomy was </w:t>
      </w:r>
      <w:r w:rsidR="00DB7B0F" w:rsidRPr="00567DF9">
        <w:rPr>
          <w:rFonts w:ascii="Book Antiqua" w:hAnsi="Book Antiqua"/>
          <w:color w:val="000000" w:themeColor="text1"/>
          <w:lang w:val="en-US"/>
        </w:rPr>
        <w:t xml:space="preserve">performed </w:t>
      </w:r>
      <w:r w:rsidRPr="00567DF9">
        <w:rPr>
          <w:rFonts w:ascii="Book Antiqua" w:hAnsi="Book Antiqua"/>
          <w:color w:val="000000" w:themeColor="text1"/>
          <w:lang w:val="en-US"/>
        </w:rPr>
        <w:t>two to six weeks after the brachytherapy; a celiac and peripancreatic lymphadenectomy extended to the hepatic artery and distal common bile duct was performed, avoiding hepatic hilum dissection. Patients with no evidence of peritoneal, hepatic or lymphatic metastases were listed for OLT. In the pilot study published in 2000</w:t>
      </w:r>
      <w:r w:rsidRPr="00567DF9">
        <w:rPr>
          <w:rFonts w:ascii="Book Antiqua" w:hAnsi="Book Antiqua"/>
          <w:color w:val="000000" w:themeColor="text1"/>
          <w:vertAlign w:val="superscript"/>
          <w:lang w:val="en-US"/>
        </w:rPr>
        <w:t>[28]</w:t>
      </w:r>
      <w:r w:rsidRPr="00567DF9">
        <w:rPr>
          <w:rFonts w:ascii="Book Antiqua" w:hAnsi="Book Antiqua"/>
          <w:color w:val="000000" w:themeColor="text1"/>
          <w:lang w:val="en-US"/>
        </w:rPr>
        <w:t xml:space="preserve"> nineteen patients were enrolled for neoadjuvant RCT. Four patients experienced biliary complications, one of which died from uncontrolled sepsis. Of the eighteen patients who underwent the staging surgery, six had metastases (five lymphatic, one peritoneal) and one developed a malignant ascites. Eleven patients were finally transplanted (of which one underwent </w:t>
      </w:r>
      <w:proofErr w:type="spellStart"/>
      <w:r w:rsidRPr="00567DF9">
        <w:rPr>
          <w:rFonts w:ascii="Book Antiqua" w:hAnsi="Book Antiqua"/>
          <w:color w:val="000000" w:themeColor="text1"/>
          <w:lang w:val="en-US"/>
        </w:rPr>
        <w:t>retransplantation</w:t>
      </w:r>
      <w:proofErr w:type="spellEnd"/>
      <w:r w:rsidRPr="00567DF9">
        <w:rPr>
          <w:rFonts w:ascii="Book Antiqua" w:hAnsi="Book Antiqua"/>
          <w:color w:val="000000" w:themeColor="text1"/>
          <w:lang w:val="en-US"/>
        </w:rPr>
        <w:t xml:space="preserve"> for early arterial thrombosis). All patients were alive, three with a follow up &lt; 12 </w:t>
      </w:r>
      <w:proofErr w:type="spellStart"/>
      <w:r w:rsidRPr="00567DF9">
        <w:rPr>
          <w:rFonts w:ascii="Book Antiqua" w:hAnsi="Book Antiqua"/>
          <w:color w:val="000000" w:themeColor="text1"/>
          <w:lang w:val="en-US"/>
        </w:rPr>
        <w:t>mo</w:t>
      </w:r>
      <w:proofErr w:type="spellEnd"/>
      <w:r w:rsidRPr="00567DF9">
        <w:rPr>
          <w:rFonts w:ascii="Book Antiqua" w:hAnsi="Book Antiqua"/>
          <w:color w:val="000000" w:themeColor="text1"/>
          <w:lang w:val="en-US"/>
        </w:rPr>
        <w:t xml:space="preserve">, the remaining eight with a mean follow up of 44 mo. Only one patient recurred 40 </w:t>
      </w:r>
      <w:proofErr w:type="spellStart"/>
      <w:r w:rsidRPr="00567DF9">
        <w:rPr>
          <w:rFonts w:ascii="Book Antiqua" w:hAnsi="Book Antiqua"/>
          <w:color w:val="000000" w:themeColor="text1"/>
          <w:lang w:val="en-US"/>
        </w:rPr>
        <w:t>mo</w:t>
      </w:r>
      <w:proofErr w:type="spellEnd"/>
      <w:r w:rsidRPr="00567DF9">
        <w:rPr>
          <w:rFonts w:ascii="Book Antiqua" w:hAnsi="Book Antiqua"/>
          <w:color w:val="000000" w:themeColor="text1"/>
          <w:lang w:val="en-US"/>
        </w:rPr>
        <w:t xml:space="preserve"> after OLT.</w:t>
      </w:r>
    </w:p>
    <w:p w14:paraId="61D1EF71" w14:textId="45C25BC9" w:rsidR="00552C6C" w:rsidRPr="00567DF9" w:rsidRDefault="007D417F" w:rsidP="00567DF9">
      <w:pPr>
        <w:spacing w:line="360" w:lineRule="auto"/>
        <w:ind w:firstLine="284"/>
        <w:jc w:val="both"/>
        <w:rPr>
          <w:rFonts w:ascii="Book Antiqua" w:hAnsi="Book Antiqua"/>
          <w:color w:val="000000" w:themeColor="text1"/>
          <w:lang w:val="en-US"/>
        </w:rPr>
      </w:pPr>
      <w:r w:rsidRPr="00567DF9">
        <w:rPr>
          <w:rFonts w:ascii="Book Antiqua" w:hAnsi="Book Antiqua"/>
          <w:color w:val="000000" w:themeColor="text1"/>
          <w:lang w:val="en-US"/>
        </w:rPr>
        <w:lastRenderedPageBreak/>
        <w:t>Since 1999, patients with tumor extension below the cystic duct were also included: in this case, a pancreatoduodenectomy had to be combined at OLT. In 2001, oral capecitabine (2000 mg/m</w:t>
      </w:r>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 xml:space="preserve"> per day, two out of every three weeks) was adopted as the maintenance chemotherapy from the </w:t>
      </w:r>
      <w:proofErr w:type="spellStart"/>
      <w:r w:rsidRPr="00567DF9">
        <w:rPr>
          <w:rFonts w:ascii="Book Antiqua" w:hAnsi="Book Antiqua"/>
          <w:color w:val="000000" w:themeColor="text1"/>
          <w:lang w:val="en-US"/>
        </w:rPr>
        <w:t>brachitherapy</w:t>
      </w:r>
      <w:proofErr w:type="spellEnd"/>
      <w:r w:rsidRPr="00567DF9">
        <w:rPr>
          <w:rFonts w:ascii="Book Antiqua" w:hAnsi="Book Antiqua"/>
          <w:color w:val="000000" w:themeColor="text1"/>
          <w:lang w:val="en-US"/>
        </w:rPr>
        <w:t xml:space="preserve"> to the OLT. Furthermore, since 2002, endoscopic US needle aspiration of the hepatic regional nodes before the beginning of the neoadjuvant treatment was added to the protocol: if positive, the patient was excluded and this did decrease the rate of positive staging laparotomy.</w:t>
      </w:r>
    </w:p>
    <w:p w14:paraId="4DDBA4CE" w14:textId="7FF7E5D1"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 xml:space="preserve">In 2006 </w:t>
      </w:r>
      <w:proofErr w:type="spellStart"/>
      <w:r w:rsidRPr="00567DF9">
        <w:rPr>
          <w:rFonts w:ascii="Book Antiqua" w:hAnsi="Book Antiqua"/>
          <w:color w:val="000000" w:themeColor="text1"/>
          <w:lang w:val="en-US"/>
        </w:rPr>
        <w:t>Heimbach</w:t>
      </w:r>
      <w:proofErr w:type="spellEnd"/>
      <w:r w:rsidRPr="00567DF9">
        <w:rPr>
          <w:rFonts w:ascii="Book Antiqua" w:hAnsi="Book Antiqua"/>
          <w:color w:val="000000" w:themeColor="text1"/>
          <w:lang w:val="en-US"/>
        </w:rPr>
        <w:t xml:space="preserve">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[29]</w:t>
      </w:r>
      <w:r w:rsidRPr="00567DF9">
        <w:rPr>
          <w:rFonts w:ascii="Book Antiqua" w:hAnsi="Book Antiqua"/>
          <w:color w:val="000000" w:themeColor="text1"/>
          <w:lang w:val="en-US"/>
        </w:rPr>
        <w:t xml:space="preserve"> updated the results of the Mayo Clinic (1993-2006): at that time, one hundred and six patients had begun the neoadjuvant treatment, ninety-four had undergone the staging operation, of which eighteen (19%) had shown contraindication for OLT; for the sixty-five patients finally transplanted, 1-year and 5-years survival were respectively 91% and 76% and 5-years DFS was 60%. Four patients (6%) died from complications of OLT and eleven (17%) recurred at the mean time of 29 </w:t>
      </w:r>
      <w:proofErr w:type="spellStart"/>
      <w:r w:rsidRPr="00567DF9">
        <w:rPr>
          <w:rFonts w:ascii="Book Antiqua" w:hAnsi="Book Antiqua"/>
          <w:color w:val="000000" w:themeColor="text1"/>
          <w:lang w:val="en-US"/>
        </w:rPr>
        <w:t>mo</w:t>
      </w:r>
      <w:proofErr w:type="spellEnd"/>
      <w:r w:rsidRPr="00567DF9">
        <w:rPr>
          <w:rFonts w:ascii="Book Antiqua" w:hAnsi="Book Antiqua"/>
          <w:color w:val="000000" w:themeColor="text1"/>
          <w:lang w:val="en-US"/>
        </w:rPr>
        <w:t xml:space="preserve"> after OLT. Recurrence was associated with older age, CA 19.9 &gt; 100/mL before OLT, longer time on the waiting list; tumor grade, perineural invasion and residual tumor &gt; 2 cm on the explanted liver were correlated as well.</w:t>
      </w:r>
    </w:p>
    <w:p w14:paraId="7E4E5C1B" w14:textId="6B77D650"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 xml:space="preserve">An exception MELD score for patients having completed the neoadjuvant protocol had already been introduced by the </w:t>
      </w:r>
      <w:r w:rsidR="00461AF8" w:rsidRPr="00567DF9">
        <w:rPr>
          <w:rFonts w:ascii="Book Antiqua" w:hAnsi="Book Antiqua"/>
          <w:bCs/>
          <w:color w:val="000000" w:themeColor="text1"/>
          <w:lang w:val="en-GB"/>
        </w:rPr>
        <w:t>United Network for Organ Sharing</w:t>
      </w:r>
      <w:r w:rsidR="00461AF8" w:rsidRPr="00567DF9" w:rsidDel="00461AF8">
        <w:rPr>
          <w:rFonts w:ascii="Book Antiqua" w:hAnsi="Book Antiqua"/>
          <w:color w:val="000000" w:themeColor="text1"/>
          <w:lang w:val="en-US"/>
        </w:rPr>
        <w:t xml:space="preserve"> </w:t>
      </w:r>
      <w:r w:rsidRPr="00567DF9">
        <w:rPr>
          <w:rFonts w:ascii="Book Antiqua" w:hAnsi="Book Antiqua"/>
          <w:color w:val="000000" w:themeColor="text1"/>
          <w:lang w:val="en-US"/>
        </w:rPr>
        <w:t xml:space="preserve">since 2002: from 2009 the score adopted was the same given for HCC, with additional points every three months on the list. A multicenter </w:t>
      </w:r>
      <w:proofErr w:type="gramStart"/>
      <w:r w:rsidRPr="00567DF9">
        <w:rPr>
          <w:rFonts w:ascii="Book Antiqua" w:hAnsi="Book Antiqua"/>
          <w:color w:val="000000" w:themeColor="text1"/>
          <w:lang w:val="en-US"/>
        </w:rPr>
        <w:t>study</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30]</w:t>
      </w:r>
      <w:r w:rsidRPr="00567DF9">
        <w:rPr>
          <w:rFonts w:ascii="Book Antiqua" w:hAnsi="Book Antiqua"/>
          <w:color w:val="000000" w:themeColor="text1"/>
          <w:lang w:val="en-US"/>
        </w:rPr>
        <w:t xml:space="preserve"> conducted on 12 American centers including 287 patients confirmed the excellent results already known. Considering all the patients who had started the neoadjuvant treatment (intention-to-treat), 5-years and 10-years OS were respectively 53% and 42%. With specific regards to the transplanted cohort of 214 patients, 5-years DFS was 65%, as in </w:t>
      </w:r>
      <w:proofErr w:type="spellStart"/>
      <w:r w:rsidRPr="00567DF9">
        <w:rPr>
          <w:rFonts w:ascii="Book Antiqua" w:hAnsi="Book Antiqua"/>
          <w:color w:val="000000" w:themeColor="text1"/>
          <w:lang w:val="en-US"/>
        </w:rPr>
        <w:t>Heimbach’s</w:t>
      </w:r>
      <w:proofErr w:type="spellEnd"/>
      <w:r w:rsidRPr="00567DF9">
        <w:rPr>
          <w:rFonts w:ascii="Book Antiqua" w:hAnsi="Book Antiqua"/>
          <w:color w:val="000000" w:themeColor="text1"/>
          <w:lang w:val="en-US"/>
        </w:rPr>
        <w:t xml:space="preserve"> previous report, and 10-years DFS 59%. Seventy-one patients dropped-out with a drop-out rate attested at 11</w:t>
      </w:r>
      <w:r w:rsidR="002D739B" w:rsidRPr="00567DF9">
        <w:rPr>
          <w:rFonts w:ascii="Book Antiqua" w:hAnsi="Book Antiqua"/>
          <w:color w:val="000000" w:themeColor="text1"/>
          <w:lang w:val="en-US"/>
        </w:rPr>
        <w:t>.</w:t>
      </w:r>
      <w:r w:rsidRPr="00567DF9">
        <w:rPr>
          <w:rFonts w:ascii="Book Antiqua" w:hAnsi="Book Antiqua"/>
          <w:color w:val="000000" w:themeColor="text1"/>
          <w:lang w:val="en-US"/>
        </w:rPr>
        <w:t>5% every three months, which confirmed the suitability of the additional MELD points introduced. Post-transplant recurrence was 20% (</w:t>
      </w:r>
      <w:r w:rsidRPr="00567DF9">
        <w:rPr>
          <w:rFonts w:ascii="Book Antiqua" w:hAnsi="Book Antiqua"/>
          <w:i/>
          <w:color w:val="000000" w:themeColor="text1"/>
          <w:lang w:val="en-US"/>
        </w:rPr>
        <w:t>n</w:t>
      </w:r>
      <w:r w:rsidR="002D739B" w:rsidRPr="00567DF9">
        <w:rPr>
          <w:rFonts w:ascii="Book Antiqua" w:hAnsi="Book Antiqua"/>
          <w:color w:val="000000" w:themeColor="text1"/>
          <w:lang w:val="en-US"/>
        </w:rPr>
        <w:t xml:space="preserve"> </w:t>
      </w:r>
      <w:r w:rsidRPr="00567DF9">
        <w:rPr>
          <w:rFonts w:ascii="Book Antiqua" w:hAnsi="Book Antiqua"/>
          <w:color w:val="000000" w:themeColor="text1"/>
          <w:lang w:val="en-US"/>
        </w:rPr>
        <w:t>=</w:t>
      </w:r>
      <w:r w:rsidR="002D739B" w:rsidRPr="00567DF9">
        <w:rPr>
          <w:rFonts w:ascii="Book Antiqua" w:hAnsi="Book Antiqua"/>
          <w:color w:val="000000" w:themeColor="text1"/>
          <w:lang w:val="en-US"/>
        </w:rPr>
        <w:t xml:space="preserve"> </w:t>
      </w:r>
      <w:r w:rsidRPr="00567DF9">
        <w:rPr>
          <w:rFonts w:ascii="Book Antiqua" w:hAnsi="Book Antiqua"/>
          <w:color w:val="000000" w:themeColor="text1"/>
          <w:lang w:val="en-US"/>
        </w:rPr>
        <w:t>43), post-</w:t>
      </w:r>
      <w:r w:rsidRPr="00567DF9">
        <w:rPr>
          <w:rFonts w:ascii="Book Antiqua" w:hAnsi="Book Antiqua"/>
          <w:color w:val="000000" w:themeColor="text1"/>
          <w:lang w:val="en-US"/>
        </w:rPr>
        <w:lastRenderedPageBreak/>
        <w:t>transplant mortality 22% (</w:t>
      </w:r>
      <w:r w:rsidRPr="00567DF9">
        <w:rPr>
          <w:rFonts w:ascii="Book Antiqua" w:hAnsi="Book Antiqua"/>
          <w:i/>
          <w:color w:val="000000" w:themeColor="text1"/>
          <w:lang w:val="en-US"/>
        </w:rPr>
        <w:t>n</w:t>
      </w:r>
      <w:r w:rsidR="002D739B" w:rsidRPr="00567DF9">
        <w:rPr>
          <w:rFonts w:ascii="Book Antiqua" w:hAnsi="Book Antiqua"/>
          <w:color w:val="000000" w:themeColor="text1"/>
          <w:lang w:val="en-US"/>
        </w:rPr>
        <w:t xml:space="preserve"> </w:t>
      </w:r>
      <w:r w:rsidRPr="00567DF9">
        <w:rPr>
          <w:rFonts w:ascii="Book Antiqua" w:hAnsi="Book Antiqua"/>
          <w:color w:val="000000" w:themeColor="text1"/>
          <w:lang w:val="en-US"/>
        </w:rPr>
        <w:t>=</w:t>
      </w:r>
      <w:r w:rsidR="002D739B" w:rsidRPr="00567DF9">
        <w:rPr>
          <w:rFonts w:ascii="Book Antiqua" w:hAnsi="Book Antiqua"/>
          <w:color w:val="000000" w:themeColor="text1"/>
          <w:lang w:val="en-US"/>
        </w:rPr>
        <w:t xml:space="preserve"> </w:t>
      </w:r>
      <w:r w:rsidRPr="00567DF9">
        <w:rPr>
          <w:rFonts w:ascii="Book Antiqua" w:hAnsi="Book Antiqua"/>
          <w:color w:val="000000" w:themeColor="text1"/>
          <w:lang w:val="en-US"/>
        </w:rPr>
        <w:t>62). No significant difference in terms of survival was detected between patients with or without underlying PSC.</w:t>
      </w:r>
    </w:p>
    <w:p w14:paraId="1F307FE1" w14:textId="6F65BC3C"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 xml:space="preserve">All these studies definitely confirmed that for patients with unresectable early stage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meeting the Mayo Clinic criteria, neoadjuvant RCT followed by OLT can provide excellent long term DFS and OS. In terms of survival, the results are comparable to those achieved with OLT for chronic (hepatitis C) or malignant (</w:t>
      </w:r>
      <w:proofErr w:type="spellStart"/>
      <w:r w:rsidR="00DE595B" w:rsidRPr="00567DF9">
        <w:rPr>
          <w:rFonts w:ascii="Book Antiqua" w:hAnsi="Book Antiqua"/>
          <w:color w:val="000000" w:themeColor="text1"/>
          <w:lang w:val="en-US"/>
        </w:rPr>
        <w:t>hepatocarcinoma</w:t>
      </w:r>
      <w:proofErr w:type="spellEnd"/>
      <w:r w:rsidRPr="00567DF9">
        <w:rPr>
          <w:rFonts w:ascii="Book Antiqua" w:hAnsi="Book Antiqua"/>
          <w:color w:val="000000" w:themeColor="text1"/>
          <w:lang w:val="en-US"/>
        </w:rPr>
        <w:t xml:space="preserve">) disease and seem to exceed those accomplished with resection. That is the reason why RCT prior to OLT has been advocated as a choice even for </w:t>
      </w:r>
      <w:proofErr w:type="spellStart"/>
      <w:r w:rsidRPr="00567DF9">
        <w:rPr>
          <w:rFonts w:ascii="Book Antiqua" w:hAnsi="Book Antiqua"/>
          <w:color w:val="000000" w:themeColor="text1"/>
          <w:lang w:val="en-US"/>
        </w:rPr>
        <w:t>resectable</w:t>
      </w:r>
      <w:proofErr w:type="spellEnd"/>
      <w:r w:rsidRPr="00567DF9">
        <w:rPr>
          <w:rFonts w:ascii="Book Antiqua" w:hAnsi="Book Antiqua"/>
          <w:color w:val="000000" w:themeColor="text1"/>
          <w:lang w:val="en-US"/>
        </w:rPr>
        <w:t xml:space="preserve">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actually, a French prospective randomized multicenter trial named </w:t>
      </w:r>
      <w:proofErr w:type="gramStart"/>
      <w:r w:rsidRPr="00567DF9">
        <w:rPr>
          <w:rFonts w:ascii="Book Antiqua" w:hAnsi="Book Antiqua"/>
          <w:color w:val="000000" w:themeColor="text1"/>
          <w:lang w:val="en-US"/>
        </w:rPr>
        <w:t>TRANSPHIL</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31]</w:t>
      </w:r>
      <w:r w:rsidRPr="00567DF9">
        <w:rPr>
          <w:rFonts w:ascii="Book Antiqua" w:hAnsi="Book Antiqua"/>
          <w:color w:val="000000" w:themeColor="text1"/>
          <w:lang w:val="en-US"/>
        </w:rPr>
        <w:t xml:space="preserve"> is currently in progress.</w:t>
      </w:r>
    </w:p>
    <w:p w14:paraId="22A6AF2F" w14:textId="3165F670"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 xml:space="preserve">In the attempt to expand the strict Mayo Clinic criteria, the UCLA group has proposed a </w:t>
      </w:r>
      <w:proofErr w:type="gramStart"/>
      <w:r w:rsidRPr="00567DF9">
        <w:rPr>
          <w:rFonts w:ascii="Book Antiqua" w:hAnsi="Book Antiqua"/>
          <w:color w:val="000000" w:themeColor="text1"/>
          <w:lang w:val="en-US"/>
        </w:rPr>
        <w:t>protocol</w:t>
      </w:r>
      <w:r w:rsidRPr="00567DF9">
        <w:rPr>
          <w:rFonts w:ascii="Book Antiqua" w:hAnsi="Book Antiqua"/>
          <w:color w:val="000000" w:themeColor="text1"/>
          <w:vertAlign w:val="superscript"/>
          <w:lang w:val="en-US"/>
        </w:rPr>
        <w:t>[</w:t>
      </w:r>
      <w:proofErr w:type="gramEnd"/>
      <w:r w:rsidRPr="00567DF9">
        <w:rPr>
          <w:rFonts w:ascii="Book Antiqua" w:hAnsi="Book Antiqua"/>
          <w:color w:val="000000" w:themeColor="text1"/>
          <w:vertAlign w:val="superscript"/>
          <w:lang w:val="en-US"/>
        </w:rPr>
        <w:t>32]</w:t>
      </w:r>
      <w:r w:rsidRPr="00567DF9">
        <w:rPr>
          <w:rFonts w:ascii="Book Antiqua" w:hAnsi="Book Antiqua"/>
          <w:color w:val="000000" w:themeColor="text1"/>
          <w:lang w:val="en-US"/>
        </w:rPr>
        <w:t xml:space="preserve"> for locally advanced </w:t>
      </w:r>
      <w:proofErr w:type="spellStart"/>
      <w:r w:rsidRPr="00567DF9">
        <w:rPr>
          <w:rFonts w:ascii="Book Antiqua" w:hAnsi="Book Antiqua"/>
          <w:color w:val="000000" w:themeColor="text1"/>
          <w:lang w:val="en-US"/>
        </w:rPr>
        <w:t>iCCA</w:t>
      </w:r>
      <w:proofErr w:type="spellEnd"/>
      <w:r w:rsidRPr="00567DF9">
        <w:rPr>
          <w:rFonts w:ascii="Book Antiqua" w:hAnsi="Book Antiqua"/>
          <w:color w:val="000000" w:themeColor="text1"/>
          <w:lang w:val="en-US"/>
        </w:rPr>
        <w:t xml:space="preserve"> and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in the absence of distant metastasis. They developed a prognostic risk score based on seven survival predictors, of which five were histological ones, to stratify patients in three different risk groups: low, intermediate and high risk. Tumor biopsy before the neoadjuvant treatment to assess the predictive variables and to determine the risk class was required. Low and intermediate patients underwent OLT after negative exploratory laparotomy. A second biopsy was necessary after the staging surgery only for high risk patients, in order to evaluated their response to the neoadjuvant treatment; in case of downstaging to intermediate or low risk class, OLT could be performed also for them. Adjuvant CT was eventually given based on the biological features of the pretreatment biopsy. For low risk group, a 5-years DFS at 78% was attested, while for intermediate 19%. Thus, this experience definitely showed that very good and acceptable 5-years DFS can be achieved respectively for low risk and for intermediate risk patients with locally advanced </w:t>
      </w:r>
      <w:proofErr w:type="spellStart"/>
      <w:r w:rsidRPr="00567DF9">
        <w:rPr>
          <w:rFonts w:ascii="Book Antiqua" w:hAnsi="Book Antiqua"/>
          <w:color w:val="000000" w:themeColor="text1"/>
          <w:lang w:val="en-US"/>
        </w:rPr>
        <w:t>iCCA</w:t>
      </w:r>
      <w:proofErr w:type="spellEnd"/>
      <w:r w:rsidRPr="00567DF9">
        <w:rPr>
          <w:rFonts w:ascii="Book Antiqua" w:hAnsi="Book Antiqua"/>
          <w:color w:val="000000" w:themeColor="text1"/>
          <w:lang w:val="en-US"/>
        </w:rPr>
        <w:t xml:space="preserve"> or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by expanding the Mayo Clinic criteria according to the UCLA stratification system.</w:t>
      </w:r>
    </w:p>
    <w:p w14:paraId="6F9B6CBF" w14:textId="75EC2B43"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 xml:space="preserve">RCT produces serious adverse-effects and technical issues. Before the transplant, hilar necrosis with intraductal debris can result in cholangitis, cholecystitis and hepatic abscesses, requiring hospitalization, antibiotics therapy and percutaneous procedures. Fibrosis makes isolation of the pedicle </w:t>
      </w:r>
      <w:r w:rsidR="00DB7B0F" w:rsidRPr="00567DF9">
        <w:rPr>
          <w:rFonts w:ascii="Book Antiqua" w:hAnsi="Book Antiqua"/>
          <w:color w:val="000000" w:themeColor="text1"/>
          <w:lang w:val="en-US"/>
        </w:rPr>
        <w:lastRenderedPageBreak/>
        <w:t xml:space="preserve">challenging </w:t>
      </w:r>
      <w:r w:rsidRPr="00567DF9">
        <w:rPr>
          <w:rFonts w:ascii="Book Antiqua" w:hAnsi="Book Antiqua"/>
          <w:color w:val="000000" w:themeColor="text1"/>
          <w:lang w:val="en-US"/>
        </w:rPr>
        <w:t xml:space="preserve">during the transplant surgery. Above all, a high rate of post-transplant late vascular complications is due to the neoadjuvant regimen: considering the Mayo Clinic series up to 2006, Mantel </w:t>
      </w:r>
      <w:r w:rsidRPr="00567DF9">
        <w:rPr>
          <w:rFonts w:ascii="Book Antiqua" w:hAnsi="Book Antiqua"/>
          <w:i/>
          <w:color w:val="000000" w:themeColor="text1"/>
          <w:lang w:val="en-US"/>
        </w:rPr>
        <w:t xml:space="preserve">et </w:t>
      </w:r>
      <w:proofErr w:type="gramStart"/>
      <w:r w:rsidRPr="00567DF9">
        <w:rPr>
          <w:rFonts w:ascii="Book Antiqua" w:hAnsi="Book Antiqua"/>
          <w:i/>
          <w:color w:val="000000" w:themeColor="text1"/>
          <w:lang w:val="en-US"/>
        </w:rPr>
        <w:t>al</w:t>
      </w:r>
      <w:r w:rsidRPr="00567DF9">
        <w:rPr>
          <w:rFonts w:ascii="Book Antiqua" w:hAnsi="Book Antiqua"/>
          <w:color w:val="000000" w:themeColor="text1"/>
          <w:vertAlign w:val="superscript"/>
          <w:lang w:val="en-US"/>
        </w:rPr>
        <w:t>[</w:t>
      </w:r>
      <w:bookmarkStart w:id="67" w:name="_GoBack"/>
      <w:proofErr w:type="gramEnd"/>
      <w:r w:rsidRPr="00567DF9">
        <w:rPr>
          <w:rFonts w:ascii="Book Antiqua" w:hAnsi="Book Antiqua"/>
          <w:color w:val="000000" w:themeColor="text1"/>
          <w:vertAlign w:val="superscript"/>
          <w:lang w:val="en-US"/>
        </w:rPr>
        <w:t>33]</w:t>
      </w:r>
      <w:bookmarkEnd w:id="67"/>
      <w:r w:rsidRPr="00567DF9">
        <w:rPr>
          <w:rFonts w:ascii="Book Antiqua" w:hAnsi="Book Antiqua"/>
          <w:color w:val="000000" w:themeColor="text1"/>
          <w:lang w:val="en-US"/>
        </w:rPr>
        <w:t xml:space="preserve"> reported a 21% of arterial and a 22% of portal vein complications, as 40% of patients experienced a vascular impairment. In that series, the interposition of a donor iliac artery graft has reduced late complications only in deceased donor recipients as, on the other side, it is associated with more early technical problems in living donor recipients.</w:t>
      </w:r>
    </w:p>
    <w:p w14:paraId="617A35A9" w14:textId="77777777" w:rsidR="002D739B" w:rsidRPr="00567DF9" w:rsidRDefault="002D739B" w:rsidP="00567DF9">
      <w:pPr>
        <w:spacing w:line="360" w:lineRule="auto"/>
        <w:jc w:val="both"/>
        <w:rPr>
          <w:rFonts w:ascii="Book Antiqua" w:hAnsi="Book Antiqua"/>
          <w:color w:val="000000" w:themeColor="text1"/>
          <w:lang w:val="en-US"/>
        </w:rPr>
      </w:pPr>
    </w:p>
    <w:p w14:paraId="5C5B94D4" w14:textId="004490F8" w:rsidR="00552C6C" w:rsidRPr="00567DF9" w:rsidRDefault="007D417F"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t>CONCLUSION</w:t>
      </w:r>
    </w:p>
    <w:p w14:paraId="272D2FC8" w14:textId="28697DBF" w:rsidR="00552C6C" w:rsidRPr="00567DF9" w:rsidRDefault="007D417F" w:rsidP="00567DF9">
      <w:pPr>
        <w:spacing w:line="360" w:lineRule="auto"/>
        <w:jc w:val="both"/>
        <w:rPr>
          <w:rFonts w:ascii="Book Antiqua" w:hAnsi="Book Antiqua"/>
          <w:color w:val="000000" w:themeColor="text1"/>
          <w:lang w:val="en-US"/>
        </w:rPr>
      </w:pPr>
      <w:r w:rsidRPr="00567DF9">
        <w:rPr>
          <w:rFonts w:ascii="Book Antiqua" w:hAnsi="Book Antiqua"/>
          <w:color w:val="000000" w:themeColor="text1"/>
          <w:lang w:val="en-US"/>
        </w:rPr>
        <w:t xml:space="preserve">Up to now, there is no general consensus regarding the effectiveness of RCT as a neoadjuvant </w:t>
      </w:r>
      <w:proofErr w:type="spellStart"/>
      <w:r w:rsidRPr="00567DF9">
        <w:rPr>
          <w:rFonts w:ascii="Book Antiqua" w:hAnsi="Book Antiqua"/>
          <w:color w:val="000000" w:themeColor="text1"/>
          <w:lang w:val="en-US"/>
        </w:rPr>
        <w:t>treatement</w:t>
      </w:r>
      <w:proofErr w:type="spellEnd"/>
      <w:r w:rsidRPr="00567DF9">
        <w:rPr>
          <w:rFonts w:ascii="Book Antiqua" w:hAnsi="Book Antiqua"/>
          <w:color w:val="000000" w:themeColor="text1"/>
          <w:lang w:val="en-US"/>
        </w:rPr>
        <w:t xml:space="preserve"> before liver resection. Anyway, considering all the limitations of the studies cited, </w:t>
      </w:r>
      <w:proofErr w:type="spellStart"/>
      <w:r w:rsidRPr="00567DF9">
        <w:rPr>
          <w:rFonts w:ascii="Book Antiqua" w:hAnsi="Book Antiqua"/>
          <w:color w:val="000000" w:themeColor="text1"/>
          <w:lang w:val="en-US"/>
        </w:rPr>
        <w:t>neaodjuvant</w:t>
      </w:r>
      <w:proofErr w:type="spellEnd"/>
      <w:r w:rsidRPr="00567DF9">
        <w:rPr>
          <w:rFonts w:ascii="Book Antiqua" w:hAnsi="Book Antiqua"/>
          <w:color w:val="000000" w:themeColor="text1"/>
          <w:lang w:val="en-US"/>
        </w:rPr>
        <w:t xml:space="preserve"> RCT for patients with locally advanced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is feasible and seems to allow R0 resections for initially unresectable tumors. The definitive results of the phase II trial of the NACRAC study will eventually confirm that and </w:t>
      </w:r>
      <w:r w:rsidR="0079770D" w:rsidRPr="00567DF9">
        <w:rPr>
          <w:rFonts w:ascii="Book Antiqua" w:hAnsi="Book Antiqua"/>
          <w:color w:val="000000" w:themeColor="text1"/>
          <w:lang w:val="en-US"/>
        </w:rPr>
        <w:t xml:space="preserve">they </w:t>
      </w:r>
      <w:r w:rsidRPr="00567DF9">
        <w:rPr>
          <w:rFonts w:ascii="Book Antiqua" w:hAnsi="Book Antiqua"/>
          <w:color w:val="000000" w:themeColor="text1"/>
          <w:lang w:val="en-US"/>
        </w:rPr>
        <w:t xml:space="preserve">will suggest whether neoadjuvant RCT can affect survival or not. A prospective multicenter trial based on a well-shared definition of </w:t>
      </w:r>
      <w:proofErr w:type="spellStart"/>
      <w:r w:rsidRPr="00567DF9">
        <w:rPr>
          <w:rFonts w:ascii="Book Antiqua" w:hAnsi="Book Antiqua"/>
          <w:color w:val="000000" w:themeColor="text1"/>
          <w:lang w:val="en-US"/>
        </w:rPr>
        <w:t>unresectability</w:t>
      </w:r>
      <w:proofErr w:type="spellEnd"/>
      <w:r w:rsidRPr="00567DF9">
        <w:rPr>
          <w:rFonts w:ascii="Book Antiqua" w:hAnsi="Book Antiqua"/>
          <w:color w:val="000000" w:themeColor="text1"/>
          <w:lang w:val="en-US"/>
        </w:rPr>
        <w:t xml:space="preserve"> of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is absolutely needed.</w:t>
      </w:r>
    </w:p>
    <w:p w14:paraId="0B8EDE75" w14:textId="095387C1" w:rsidR="00552C6C" w:rsidRPr="00567DF9" w:rsidRDefault="007D417F" w:rsidP="00567DF9">
      <w:pPr>
        <w:spacing w:line="360" w:lineRule="auto"/>
        <w:ind w:firstLine="284"/>
        <w:jc w:val="both"/>
        <w:rPr>
          <w:rFonts w:ascii="Book Antiqua" w:hAnsi="Book Antiqua"/>
          <w:color w:val="000000" w:themeColor="text1"/>
          <w:lang w:val="en-US"/>
        </w:rPr>
      </w:pPr>
      <w:r w:rsidRPr="00567DF9">
        <w:rPr>
          <w:rFonts w:ascii="Book Antiqua" w:hAnsi="Book Antiqua"/>
          <w:color w:val="000000" w:themeColor="text1"/>
          <w:lang w:val="en-US"/>
        </w:rPr>
        <w:t xml:space="preserve">Combined RCT and OLT are nowadays the treatment of choice for patients with early stage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either unresectable or on underlying PSC who match the strict Mayo Clinic criteria. For these patients such synergism appears to provide DFS and OS higher than resection for </w:t>
      </w:r>
      <w:proofErr w:type="spellStart"/>
      <w:r w:rsidRPr="00567DF9">
        <w:rPr>
          <w:rFonts w:ascii="Book Antiqua" w:hAnsi="Book Antiqua"/>
          <w:color w:val="000000" w:themeColor="text1"/>
          <w:lang w:val="en-US"/>
        </w:rPr>
        <w:t>resectable</w:t>
      </w:r>
      <w:proofErr w:type="spellEnd"/>
      <w:r w:rsidRPr="00567DF9">
        <w:rPr>
          <w:rFonts w:ascii="Book Antiqua" w:hAnsi="Book Antiqua"/>
          <w:color w:val="000000" w:themeColor="text1"/>
          <w:lang w:val="en-US"/>
        </w:rPr>
        <w:t xml:space="preserve"> tumors, so that RCT prior to OLT is being investigated also for the latter ones. Protocols assessing the effectiveness of the combination RCT </w:t>
      </w:r>
      <w:r w:rsidR="002D739B" w:rsidRPr="00567DF9">
        <w:rPr>
          <w:rFonts w:ascii="Book Antiqua" w:hAnsi="Book Antiqua"/>
          <w:color w:val="000000" w:themeColor="text1"/>
          <w:lang w:val="en-US"/>
        </w:rPr>
        <w:t>-</w:t>
      </w:r>
      <w:r w:rsidRPr="00567DF9">
        <w:rPr>
          <w:rFonts w:ascii="Book Antiqua" w:hAnsi="Book Antiqua"/>
          <w:color w:val="000000" w:themeColor="text1"/>
          <w:lang w:val="en-US"/>
        </w:rPr>
        <w:t xml:space="preserve"> OLT even for selected patients with locally advance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and </w:t>
      </w:r>
      <w:proofErr w:type="spellStart"/>
      <w:r w:rsidRPr="00567DF9">
        <w:rPr>
          <w:rFonts w:ascii="Book Antiqua" w:hAnsi="Book Antiqua"/>
          <w:color w:val="000000" w:themeColor="text1"/>
          <w:lang w:val="en-US"/>
        </w:rPr>
        <w:t>iCCA</w:t>
      </w:r>
      <w:proofErr w:type="spellEnd"/>
      <w:r w:rsidRPr="00567DF9">
        <w:rPr>
          <w:rFonts w:ascii="Book Antiqua" w:hAnsi="Book Antiqua"/>
          <w:color w:val="000000" w:themeColor="text1"/>
          <w:lang w:val="en-US"/>
        </w:rPr>
        <w:t xml:space="preserve"> are ongoing, too. </w:t>
      </w:r>
    </w:p>
    <w:p w14:paraId="04405FCA" w14:textId="77777777" w:rsidR="00461AF8" w:rsidRPr="00567DF9" w:rsidRDefault="00461AF8" w:rsidP="00567DF9">
      <w:pPr>
        <w:spacing w:line="360" w:lineRule="auto"/>
        <w:ind w:firstLine="284"/>
        <w:jc w:val="both"/>
        <w:rPr>
          <w:rFonts w:ascii="Book Antiqua" w:hAnsi="Book Antiqua"/>
          <w:color w:val="000000" w:themeColor="text1"/>
          <w:lang w:val="en-US"/>
        </w:rPr>
      </w:pPr>
    </w:p>
    <w:p w14:paraId="003B3D44" w14:textId="600792E7" w:rsidR="00144BB6" w:rsidRPr="00567DF9" w:rsidRDefault="007D417F" w:rsidP="00567DF9">
      <w:pPr>
        <w:pStyle w:val="EndnoteSymbol"/>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t>REFERENCES</w:t>
      </w:r>
    </w:p>
    <w:p w14:paraId="65132632" w14:textId="77777777" w:rsidR="00445FAA" w:rsidRPr="00567DF9" w:rsidRDefault="00445FAA" w:rsidP="00567DF9">
      <w:pPr>
        <w:spacing w:line="360" w:lineRule="auto"/>
        <w:jc w:val="both"/>
        <w:rPr>
          <w:rFonts w:ascii="Book Antiqua" w:hAnsi="Book Antiqua"/>
          <w:color w:val="auto"/>
          <w:lang w:eastAsia="zh-CN"/>
        </w:rPr>
      </w:pPr>
      <w:r w:rsidRPr="00567DF9">
        <w:rPr>
          <w:rFonts w:ascii="Book Antiqua" w:hAnsi="Book Antiqua"/>
        </w:rPr>
        <w:t xml:space="preserve">1 </w:t>
      </w:r>
      <w:r w:rsidRPr="00567DF9">
        <w:rPr>
          <w:rFonts w:ascii="Book Antiqua" w:hAnsi="Book Antiqua"/>
          <w:b/>
        </w:rPr>
        <w:t>Everhart JE</w:t>
      </w:r>
      <w:r w:rsidRPr="00567DF9">
        <w:rPr>
          <w:rFonts w:ascii="Book Antiqua" w:hAnsi="Book Antiqua"/>
        </w:rPr>
        <w:t xml:space="preserve">, Ruhl CE. Burden of digestive diseases in the United States Part III: Liver, biliary tract, and pancreas. </w:t>
      </w:r>
      <w:r w:rsidRPr="00567DF9">
        <w:rPr>
          <w:rFonts w:ascii="Book Antiqua" w:hAnsi="Book Antiqua"/>
          <w:i/>
        </w:rPr>
        <w:t>Gastroenterology</w:t>
      </w:r>
      <w:r w:rsidRPr="00567DF9">
        <w:rPr>
          <w:rFonts w:ascii="Book Antiqua" w:hAnsi="Book Antiqua"/>
        </w:rPr>
        <w:t xml:space="preserve"> 2009; </w:t>
      </w:r>
      <w:r w:rsidRPr="00567DF9">
        <w:rPr>
          <w:rFonts w:ascii="Book Antiqua" w:hAnsi="Book Antiqua"/>
          <w:b/>
        </w:rPr>
        <w:t>136</w:t>
      </w:r>
      <w:r w:rsidRPr="00567DF9">
        <w:rPr>
          <w:rFonts w:ascii="Book Antiqua" w:hAnsi="Book Antiqua"/>
        </w:rPr>
        <w:t>: 1134-1144 [PMID: 19245868 DOI: 10.1053/j.gastro.2009.02.038]</w:t>
      </w:r>
    </w:p>
    <w:p w14:paraId="2AAD495F"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 </w:t>
      </w:r>
      <w:r w:rsidRPr="00567DF9">
        <w:rPr>
          <w:rFonts w:ascii="Book Antiqua" w:hAnsi="Book Antiqua"/>
          <w:b/>
        </w:rPr>
        <w:t>Komuta M</w:t>
      </w:r>
      <w:r w:rsidRPr="00567DF9">
        <w:rPr>
          <w:rFonts w:ascii="Book Antiqua" w:hAnsi="Book Antiqua"/>
        </w:rPr>
        <w:t xml:space="preserve">, Govaere O, Vandecaveye V, Akiba J, Van Steenbergen W, Verslype C, Laleman W, Pirenne J, Aerts R, Yano H, Nevens F, Topal B, </w:t>
      </w:r>
      <w:r w:rsidRPr="00567DF9">
        <w:rPr>
          <w:rFonts w:ascii="Book Antiqua" w:hAnsi="Book Antiqua"/>
        </w:rPr>
        <w:lastRenderedPageBreak/>
        <w:t xml:space="preserve">Roskams T. Histological diversity in cholangiocellular carcinoma reflects the different cholangiocyte phenotypes. </w:t>
      </w:r>
      <w:r w:rsidRPr="00567DF9">
        <w:rPr>
          <w:rFonts w:ascii="Book Antiqua" w:hAnsi="Book Antiqua"/>
          <w:i/>
        </w:rPr>
        <w:t>Hepatology</w:t>
      </w:r>
      <w:r w:rsidRPr="00567DF9">
        <w:rPr>
          <w:rFonts w:ascii="Book Antiqua" w:hAnsi="Book Antiqua"/>
        </w:rPr>
        <w:t xml:space="preserve"> 2012; </w:t>
      </w:r>
      <w:r w:rsidRPr="00567DF9">
        <w:rPr>
          <w:rFonts w:ascii="Book Antiqua" w:hAnsi="Book Antiqua"/>
          <w:b/>
        </w:rPr>
        <w:t>55</w:t>
      </w:r>
      <w:r w:rsidRPr="00567DF9">
        <w:rPr>
          <w:rFonts w:ascii="Book Antiqua" w:hAnsi="Book Antiqua"/>
        </w:rPr>
        <w:t>: 1876-1888 [PMID: 22271564 DOI: 10.1002/hep.25595]</w:t>
      </w:r>
    </w:p>
    <w:p w14:paraId="54E488FE"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3 </w:t>
      </w:r>
      <w:r w:rsidRPr="00567DF9">
        <w:rPr>
          <w:rFonts w:ascii="Book Antiqua" w:hAnsi="Book Antiqua"/>
          <w:b/>
        </w:rPr>
        <w:t>Shaib YH</w:t>
      </w:r>
      <w:r w:rsidRPr="00567DF9">
        <w:rPr>
          <w:rFonts w:ascii="Book Antiqua" w:hAnsi="Book Antiqua"/>
        </w:rPr>
        <w:t xml:space="preserve">, El-Serag HB, Davila JA, Morgan R, McGlynn KA. Risk factors of intrahepatic cholangiocarcinoma in the United States: a case-control study. </w:t>
      </w:r>
      <w:r w:rsidRPr="00567DF9">
        <w:rPr>
          <w:rFonts w:ascii="Book Antiqua" w:hAnsi="Book Antiqua"/>
          <w:i/>
        </w:rPr>
        <w:t>Gastroenterology</w:t>
      </w:r>
      <w:r w:rsidRPr="00567DF9">
        <w:rPr>
          <w:rFonts w:ascii="Book Antiqua" w:hAnsi="Book Antiqua"/>
        </w:rPr>
        <w:t xml:space="preserve"> 2005; </w:t>
      </w:r>
      <w:r w:rsidRPr="00567DF9">
        <w:rPr>
          <w:rFonts w:ascii="Book Antiqua" w:hAnsi="Book Antiqua"/>
          <w:b/>
        </w:rPr>
        <w:t>128</w:t>
      </w:r>
      <w:r w:rsidRPr="00567DF9">
        <w:rPr>
          <w:rFonts w:ascii="Book Antiqua" w:hAnsi="Book Antiqua"/>
        </w:rPr>
        <w:t>: 620-626 [PMID: 15765398 DOI: 10.1053/j.gastro.2004.12.048]</w:t>
      </w:r>
    </w:p>
    <w:p w14:paraId="5E685D0D"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4 </w:t>
      </w:r>
      <w:r w:rsidRPr="00567DF9">
        <w:rPr>
          <w:rFonts w:ascii="Book Antiqua" w:hAnsi="Book Antiqua"/>
          <w:b/>
        </w:rPr>
        <w:t>Rizvi S</w:t>
      </w:r>
      <w:r w:rsidRPr="00567DF9">
        <w:rPr>
          <w:rFonts w:ascii="Book Antiqua" w:hAnsi="Book Antiqua"/>
        </w:rPr>
        <w:t xml:space="preserve">, Gores GJ. Pathogenesis, diagnosis, and management of cholangiocarcinoma. </w:t>
      </w:r>
      <w:r w:rsidRPr="00567DF9">
        <w:rPr>
          <w:rFonts w:ascii="Book Antiqua" w:hAnsi="Book Antiqua"/>
          <w:i/>
        </w:rPr>
        <w:t>Gastroenterology</w:t>
      </w:r>
      <w:r w:rsidRPr="00567DF9">
        <w:rPr>
          <w:rFonts w:ascii="Book Antiqua" w:hAnsi="Book Antiqua"/>
        </w:rPr>
        <w:t xml:space="preserve"> 2013; </w:t>
      </w:r>
      <w:r w:rsidRPr="00567DF9">
        <w:rPr>
          <w:rFonts w:ascii="Book Antiqua" w:hAnsi="Book Antiqua"/>
          <w:b/>
        </w:rPr>
        <w:t>145</w:t>
      </w:r>
      <w:r w:rsidRPr="00567DF9">
        <w:rPr>
          <w:rFonts w:ascii="Book Antiqua" w:hAnsi="Book Antiqua"/>
        </w:rPr>
        <w:t>: 1215-1229 [PMID: 24140396 DOI: 10.1053/j.gastro.2013.10.013]</w:t>
      </w:r>
    </w:p>
    <w:p w14:paraId="64C6A153"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5 </w:t>
      </w:r>
      <w:r w:rsidRPr="00567DF9">
        <w:rPr>
          <w:rFonts w:ascii="Book Antiqua" w:hAnsi="Book Antiqua"/>
          <w:b/>
        </w:rPr>
        <w:t>Blechacz B</w:t>
      </w:r>
      <w:r w:rsidRPr="00567DF9">
        <w:rPr>
          <w:rFonts w:ascii="Book Antiqua" w:hAnsi="Book Antiqua"/>
        </w:rPr>
        <w:t xml:space="preserve">. Cholangiocarcinoma: Current Knowledge and New Developments. </w:t>
      </w:r>
      <w:r w:rsidRPr="00567DF9">
        <w:rPr>
          <w:rFonts w:ascii="Book Antiqua" w:hAnsi="Book Antiqua"/>
          <w:i/>
        </w:rPr>
        <w:t>Gut Liver</w:t>
      </w:r>
      <w:r w:rsidRPr="00567DF9">
        <w:rPr>
          <w:rFonts w:ascii="Book Antiqua" w:hAnsi="Book Antiqua"/>
        </w:rPr>
        <w:t xml:space="preserve"> 2017; </w:t>
      </w:r>
      <w:r w:rsidRPr="00567DF9">
        <w:rPr>
          <w:rFonts w:ascii="Book Antiqua" w:hAnsi="Book Antiqua"/>
          <w:b/>
        </w:rPr>
        <w:t>11</w:t>
      </w:r>
      <w:r w:rsidRPr="00567DF9">
        <w:rPr>
          <w:rFonts w:ascii="Book Antiqua" w:hAnsi="Book Antiqua"/>
        </w:rPr>
        <w:t>: 13-26 [PMID: 27928095 DOI: 10.5009/gnl15568]</w:t>
      </w:r>
    </w:p>
    <w:p w14:paraId="3327D2AE"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6 </w:t>
      </w:r>
      <w:r w:rsidRPr="00567DF9">
        <w:rPr>
          <w:rFonts w:ascii="Book Antiqua" w:hAnsi="Book Antiqua"/>
          <w:b/>
        </w:rPr>
        <w:t>Blechacz B</w:t>
      </w:r>
      <w:r w:rsidRPr="00567DF9">
        <w:rPr>
          <w:rFonts w:ascii="Book Antiqua" w:hAnsi="Book Antiqua"/>
        </w:rPr>
        <w:t xml:space="preserve">, Komuta M, Roskams T, Gores GJ. Clinical diagnosis and staging of cholangiocarcinoma. </w:t>
      </w:r>
      <w:r w:rsidRPr="00567DF9">
        <w:rPr>
          <w:rFonts w:ascii="Book Antiqua" w:hAnsi="Book Antiqua"/>
          <w:i/>
        </w:rPr>
        <w:t>Nat Rev Gastroenterol Hepatol</w:t>
      </w:r>
      <w:r w:rsidRPr="00567DF9">
        <w:rPr>
          <w:rFonts w:ascii="Book Antiqua" w:hAnsi="Book Antiqua"/>
        </w:rPr>
        <w:t xml:space="preserve"> 2011; </w:t>
      </w:r>
      <w:r w:rsidRPr="00567DF9">
        <w:rPr>
          <w:rFonts w:ascii="Book Antiqua" w:hAnsi="Book Antiqua"/>
          <w:b/>
        </w:rPr>
        <w:t>8</w:t>
      </w:r>
      <w:r w:rsidRPr="00567DF9">
        <w:rPr>
          <w:rFonts w:ascii="Book Antiqua" w:hAnsi="Book Antiqua"/>
        </w:rPr>
        <w:t>: 512-522 [PMID: 21808282 DOI: 10.1038/nrgastro.2011.131]</w:t>
      </w:r>
    </w:p>
    <w:p w14:paraId="19CA3BC6"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7 </w:t>
      </w:r>
      <w:r w:rsidRPr="00567DF9">
        <w:rPr>
          <w:rFonts w:ascii="Book Antiqua" w:hAnsi="Book Antiqua"/>
          <w:b/>
        </w:rPr>
        <w:t>Rizvi S</w:t>
      </w:r>
      <w:r w:rsidRPr="00567DF9">
        <w:rPr>
          <w:rFonts w:ascii="Book Antiqua" w:hAnsi="Book Antiqua"/>
        </w:rPr>
        <w:t xml:space="preserve">, Khan SA, Hallemeier CL, Kelley RK, Gores GJ. Cholangiocarcinoma - evolving concepts and therapeutic strategies. </w:t>
      </w:r>
      <w:r w:rsidRPr="00567DF9">
        <w:rPr>
          <w:rFonts w:ascii="Book Antiqua" w:hAnsi="Book Antiqua"/>
          <w:i/>
        </w:rPr>
        <w:t>Nat Rev Clin Oncol</w:t>
      </w:r>
      <w:r w:rsidRPr="00567DF9">
        <w:rPr>
          <w:rFonts w:ascii="Book Antiqua" w:hAnsi="Book Antiqua"/>
        </w:rPr>
        <w:t xml:space="preserve"> 2018; </w:t>
      </w:r>
      <w:r w:rsidRPr="00567DF9">
        <w:rPr>
          <w:rFonts w:ascii="Book Antiqua" w:hAnsi="Book Antiqua"/>
          <w:b/>
        </w:rPr>
        <w:t>15</w:t>
      </w:r>
      <w:r w:rsidRPr="00567DF9">
        <w:rPr>
          <w:rFonts w:ascii="Book Antiqua" w:hAnsi="Book Antiqua"/>
        </w:rPr>
        <w:t>: 95-111 [PMID: 28994423 DOI: 10.1038/nrclinonc.2017.157]</w:t>
      </w:r>
    </w:p>
    <w:p w14:paraId="7E63D73E"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8 </w:t>
      </w:r>
      <w:r w:rsidRPr="00567DF9">
        <w:rPr>
          <w:rFonts w:ascii="Book Antiqua" w:hAnsi="Book Antiqua"/>
          <w:b/>
        </w:rPr>
        <w:t>Nagorney DM</w:t>
      </w:r>
      <w:r w:rsidRPr="00567DF9">
        <w:rPr>
          <w:rFonts w:ascii="Book Antiqua" w:hAnsi="Book Antiqua"/>
        </w:rPr>
        <w:t xml:space="preserve">, Kendrick ML. Hepatic resection in the treatment of hilar cholangiocarcinoma. </w:t>
      </w:r>
      <w:r w:rsidRPr="00567DF9">
        <w:rPr>
          <w:rFonts w:ascii="Book Antiqua" w:hAnsi="Book Antiqua"/>
          <w:i/>
        </w:rPr>
        <w:t>Adv Surg</w:t>
      </w:r>
      <w:r w:rsidRPr="00567DF9">
        <w:rPr>
          <w:rFonts w:ascii="Book Antiqua" w:hAnsi="Book Antiqua"/>
        </w:rPr>
        <w:t xml:space="preserve"> 2006; </w:t>
      </w:r>
      <w:r w:rsidRPr="00567DF9">
        <w:rPr>
          <w:rFonts w:ascii="Book Antiqua" w:hAnsi="Book Antiqua"/>
          <w:b/>
        </w:rPr>
        <w:t>40</w:t>
      </w:r>
      <w:r w:rsidRPr="00567DF9">
        <w:rPr>
          <w:rFonts w:ascii="Book Antiqua" w:hAnsi="Book Antiqua"/>
        </w:rPr>
        <w:t>: 159-171 [PMID: 17163100 DOI: 10.1016/j.yasu.2006.05.009]</w:t>
      </w:r>
    </w:p>
    <w:p w14:paraId="57456E31"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9 </w:t>
      </w:r>
      <w:r w:rsidRPr="00567DF9">
        <w:rPr>
          <w:rFonts w:ascii="Book Antiqua" w:hAnsi="Book Antiqua"/>
          <w:b/>
        </w:rPr>
        <w:t>Hasegawa S</w:t>
      </w:r>
      <w:r w:rsidRPr="00567DF9">
        <w:rPr>
          <w:rFonts w:ascii="Book Antiqua" w:hAnsi="Book Antiqua"/>
        </w:rPr>
        <w:t xml:space="preserve">, Ikai I, Fujii H, Hatano E, Shimahara Y. Surgical resection of hilar cholangiocarcinoma: analysis of survival and postoperative complications. </w:t>
      </w:r>
      <w:r w:rsidRPr="00567DF9">
        <w:rPr>
          <w:rFonts w:ascii="Book Antiqua" w:hAnsi="Book Antiqua"/>
          <w:i/>
        </w:rPr>
        <w:t>World J Surg</w:t>
      </w:r>
      <w:r w:rsidRPr="00567DF9">
        <w:rPr>
          <w:rFonts w:ascii="Book Antiqua" w:hAnsi="Book Antiqua"/>
        </w:rPr>
        <w:t xml:space="preserve"> 2007; </w:t>
      </w:r>
      <w:r w:rsidRPr="00567DF9">
        <w:rPr>
          <w:rFonts w:ascii="Book Antiqua" w:hAnsi="Book Antiqua"/>
          <w:b/>
        </w:rPr>
        <w:t>31</w:t>
      </w:r>
      <w:r w:rsidRPr="00567DF9">
        <w:rPr>
          <w:rFonts w:ascii="Book Antiqua" w:hAnsi="Book Antiqua"/>
        </w:rPr>
        <w:t>: 1256-1263 [PMID: 17453285 DOI: 10.1007/s00268-007-9001-y]</w:t>
      </w:r>
    </w:p>
    <w:p w14:paraId="1DA133A1"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10 </w:t>
      </w:r>
      <w:r w:rsidRPr="00567DF9">
        <w:rPr>
          <w:rFonts w:ascii="Book Antiqua" w:hAnsi="Book Antiqua"/>
          <w:b/>
        </w:rPr>
        <w:t>Kitagawa Y</w:t>
      </w:r>
      <w:r w:rsidRPr="00567DF9">
        <w:rPr>
          <w:rFonts w:ascii="Book Antiqua" w:hAnsi="Book Antiqua"/>
        </w:rPr>
        <w:t xml:space="preserve">, Nagino M, Kamiya J, Uesaka K, Sano T, Yamamoto H, Hayakawa N, Nimura Y. Lymph node metastasis from hilar cholangiocarcinoma: audit of 110 patients who underwent regional and paraaortic node dissection. </w:t>
      </w:r>
      <w:r w:rsidRPr="00567DF9">
        <w:rPr>
          <w:rFonts w:ascii="Book Antiqua" w:hAnsi="Book Antiqua"/>
          <w:i/>
        </w:rPr>
        <w:t>Ann Surg</w:t>
      </w:r>
      <w:r w:rsidRPr="00567DF9">
        <w:rPr>
          <w:rFonts w:ascii="Book Antiqua" w:hAnsi="Book Antiqua"/>
        </w:rPr>
        <w:t xml:space="preserve"> 2001; </w:t>
      </w:r>
      <w:r w:rsidRPr="00567DF9">
        <w:rPr>
          <w:rFonts w:ascii="Book Antiqua" w:hAnsi="Book Antiqua"/>
          <w:b/>
        </w:rPr>
        <w:t>233</w:t>
      </w:r>
      <w:r w:rsidRPr="00567DF9">
        <w:rPr>
          <w:rFonts w:ascii="Book Antiqua" w:hAnsi="Book Antiqua"/>
        </w:rPr>
        <w:t>: 385-392 [PMID: 11224627 DOI: 10.1097/00000658-200103000-00013]</w:t>
      </w:r>
    </w:p>
    <w:p w14:paraId="4C467B8F" w14:textId="77777777" w:rsidR="00445FAA" w:rsidRPr="00567DF9" w:rsidRDefault="00445FAA" w:rsidP="00567DF9">
      <w:pPr>
        <w:spacing w:line="360" w:lineRule="auto"/>
        <w:jc w:val="both"/>
        <w:rPr>
          <w:rFonts w:ascii="Book Antiqua" w:hAnsi="Book Antiqua"/>
        </w:rPr>
      </w:pPr>
      <w:r w:rsidRPr="00567DF9">
        <w:rPr>
          <w:rFonts w:ascii="Book Antiqua" w:hAnsi="Book Antiqua"/>
        </w:rPr>
        <w:lastRenderedPageBreak/>
        <w:t xml:space="preserve">11 </w:t>
      </w:r>
      <w:r w:rsidRPr="00567DF9">
        <w:rPr>
          <w:rFonts w:ascii="Book Antiqua" w:hAnsi="Book Antiqua"/>
          <w:b/>
        </w:rPr>
        <w:t>McMasters KM</w:t>
      </w:r>
      <w:r w:rsidRPr="00567DF9">
        <w:rPr>
          <w:rFonts w:ascii="Book Antiqua" w:hAnsi="Book Antiqua"/>
        </w:rPr>
        <w:t xml:space="preserve">, Tuttle TM, Leach SD, Rich T, Cleary KR, Evans DB, Curley SA. Neoadjuvant chemoradiation for extrahepatic cholangiocarcinoma. </w:t>
      </w:r>
      <w:r w:rsidRPr="00567DF9">
        <w:rPr>
          <w:rFonts w:ascii="Book Antiqua" w:hAnsi="Book Antiqua"/>
          <w:i/>
        </w:rPr>
        <w:t>Am J Surg</w:t>
      </w:r>
      <w:r w:rsidRPr="00567DF9">
        <w:rPr>
          <w:rFonts w:ascii="Book Antiqua" w:hAnsi="Book Antiqua"/>
        </w:rPr>
        <w:t xml:space="preserve"> 1997; </w:t>
      </w:r>
      <w:r w:rsidRPr="00567DF9">
        <w:rPr>
          <w:rFonts w:ascii="Book Antiqua" w:hAnsi="Book Antiqua"/>
          <w:b/>
        </w:rPr>
        <w:t>174</w:t>
      </w:r>
      <w:r w:rsidRPr="00567DF9">
        <w:rPr>
          <w:rFonts w:ascii="Book Antiqua" w:hAnsi="Book Antiqua"/>
        </w:rPr>
        <w:t>: 605-8; discussion 608-9 [PMID: 9409582 DOI: 10.1016/S0002-9610(97)00203-1]</w:t>
      </w:r>
    </w:p>
    <w:p w14:paraId="46FEEF25"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12 </w:t>
      </w:r>
      <w:r w:rsidRPr="00567DF9">
        <w:rPr>
          <w:rFonts w:ascii="Book Antiqua" w:hAnsi="Book Antiqua"/>
          <w:b/>
        </w:rPr>
        <w:t>Gerhards MF</w:t>
      </w:r>
      <w:r w:rsidRPr="00567DF9">
        <w:rPr>
          <w:rFonts w:ascii="Book Antiqua" w:hAnsi="Book Antiqua"/>
        </w:rPr>
        <w:t xml:space="preserve">, Gonzalez DG, ten Hoopen-Neumann H, van Gulik TM, de Wit LT, Gouma DJ. Prevention of implantation metastases after resection of proximal bile duct tumours with pre-operative low dose radiation therapy. </w:t>
      </w:r>
      <w:r w:rsidRPr="00567DF9">
        <w:rPr>
          <w:rFonts w:ascii="Book Antiqua" w:hAnsi="Book Antiqua"/>
          <w:i/>
        </w:rPr>
        <w:t>Eur J Surg Oncol</w:t>
      </w:r>
      <w:r w:rsidRPr="00567DF9">
        <w:rPr>
          <w:rFonts w:ascii="Book Antiqua" w:hAnsi="Book Antiqua"/>
        </w:rPr>
        <w:t xml:space="preserve"> 2000; </w:t>
      </w:r>
      <w:r w:rsidRPr="00567DF9">
        <w:rPr>
          <w:rFonts w:ascii="Book Antiqua" w:hAnsi="Book Antiqua"/>
          <w:b/>
        </w:rPr>
        <w:t>26</w:t>
      </w:r>
      <w:r w:rsidRPr="00567DF9">
        <w:rPr>
          <w:rFonts w:ascii="Book Antiqua" w:hAnsi="Book Antiqua"/>
        </w:rPr>
        <w:t>: 480-485 [PMID: 11016470 DOI: 10.1053/ejso.1999.0926]</w:t>
      </w:r>
    </w:p>
    <w:p w14:paraId="3D29423F"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13 </w:t>
      </w:r>
      <w:r w:rsidRPr="00567DF9">
        <w:rPr>
          <w:rFonts w:ascii="Book Antiqua" w:hAnsi="Book Antiqua"/>
          <w:b/>
        </w:rPr>
        <w:t>ten Hoopen-Neumann H</w:t>
      </w:r>
      <w:r w:rsidRPr="00567DF9">
        <w:rPr>
          <w:rFonts w:ascii="Book Antiqua" w:hAnsi="Book Antiqua"/>
        </w:rPr>
        <w:t xml:space="preserve">, Gerhards MF, van Gulik TM, Bosma A, Verbeek PC, Gouma DJ. Occurrence of implantation metastases after resection of Klatskin tumors. </w:t>
      </w:r>
      <w:r w:rsidRPr="00567DF9">
        <w:rPr>
          <w:rFonts w:ascii="Book Antiqua" w:hAnsi="Book Antiqua"/>
          <w:i/>
        </w:rPr>
        <w:t>Dig Surg</w:t>
      </w:r>
      <w:r w:rsidRPr="00567DF9">
        <w:rPr>
          <w:rFonts w:ascii="Book Antiqua" w:hAnsi="Book Antiqua"/>
        </w:rPr>
        <w:t xml:space="preserve"> 1999; </w:t>
      </w:r>
      <w:r w:rsidRPr="00567DF9">
        <w:rPr>
          <w:rFonts w:ascii="Book Antiqua" w:hAnsi="Book Antiqua"/>
          <w:b/>
        </w:rPr>
        <w:t>16</w:t>
      </w:r>
      <w:r w:rsidRPr="00567DF9">
        <w:rPr>
          <w:rFonts w:ascii="Book Antiqua" w:hAnsi="Book Antiqua"/>
        </w:rPr>
        <w:t>: 209-213 [PMID: 10436369 DOI: 10.1159/000018729]</w:t>
      </w:r>
    </w:p>
    <w:p w14:paraId="72DF42A0"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14 </w:t>
      </w:r>
      <w:r w:rsidRPr="00567DF9">
        <w:rPr>
          <w:rFonts w:ascii="Book Antiqua" w:hAnsi="Book Antiqua"/>
          <w:b/>
        </w:rPr>
        <w:t>Nelson JW</w:t>
      </w:r>
      <w:r w:rsidRPr="00567DF9">
        <w:rPr>
          <w:rFonts w:ascii="Book Antiqua" w:hAnsi="Book Antiqua"/>
        </w:rPr>
        <w:t xml:space="preserve">, Ghafoori AP, Willett CG, Tyler DS, Pappas TN, Clary BM, Hurwitz HI, Bendell JC, Morse MA, Clough RW, Czito BG. Concurrent chemoradiotherapy in resected extrahepatic cholangiocarcinoma. </w:t>
      </w:r>
      <w:r w:rsidRPr="00567DF9">
        <w:rPr>
          <w:rFonts w:ascii="Book Antiqua" w:hAnsi="Book Antiqua"/>
          <w:i/>
        </w:rPr>
        <w:t>Int J Radiat Oncol Biol Phys</w:t>
      </w:r>
      <w:r w:rsidRPr="00567DF9">
        <w:rPr>
          <w:rFonts w:ascii="Book Antiqua" w:hAnsi="Book Antiqua"/>
        </w:rPr>
        <w:t xml:space="preserve"> 2009; </w:t>
      </w:r>
      <w:r w:rsidRPr="00567DF9">
        <w:rPr>
          <w:rFonts w:ascii="Book Antiqua" w:hAnsi="Book Antiqua"/>
          <w:b/>
        </w:rPr>
        <w:t>73</w:t>
      </w:r>
      <w:r w:rsidRPr="00567DF9">
        <w:rPr>
          <w:rFonts w:ascii="Book Antiqua" w:hAnsi="Book Antiqua"/>
        </w:rPr>
        <w:t>: 148-153 [PMID: 18805651 DOI: 10.1016/j.ijrobp.2008.07.008]</w:t>
      </w:r>
    </w:p>
    <w:p w14:paraId="7A0BE8DC"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15 </w:t>
      </w:r>
      <w:r w:rsidRPr="00567DF9">
        <w:rPr>
          <w:rFonts w:ascii="Book Antiqua" w:hAnsi="Book Antiqua"/>
          <w:b/>
        </w:rPr>
        <w:t>Jung JH</w:t>
      </w:r>
      <w:r w:rsidRPr="00567DF9">
        <w:rPr>
          <w:rFonts w:ascii="Book Antiqua" w:hAnsi="Book Antiqua"/>
        </w:rPr>
        <w:t xml:space="preserve">, Lee HJ, Lee HS, Jo JH, Cho IR, Chung MJ, Park JY, Park SW, Song SY, Bang S. Benefit of neoadjuvant concurrent chemoradiotherapy for locally advanced perihilar cholangiocarcinoma. </w:t>
      </w:r>
      <w:r w:rsidRPr="00567DF9">
        <w:rPr>
          <w:rFonts w:ascii="Book Antiqua" w:hAnsi="Book Antiqua"/>
          <w:i/>
        </w:rPr>
        <w:t>World J Gastroenterol</w:t>
      </w:r>
      <w:r w:rsidRPr="00567DF9">
        <w:rPr>
          <w:rFonts w:ascii="Book Antiqua" w:hAnsi="Book Antiqua"/>
        </w:rPr>
        <w:t xml:space="preserve"> 2017; </w:t>
      </w:r>
      <w:r w:rsidRPr="00567DF9">
        <w:rPr>
          <w:rFonts w:ascii="Book Antiqua" w:hAnsi="Book Antiqua"/>
          <w:b/>
        </w:rPr>
        <w:t>23</w:t>
      </w:r>
      <w:r w:rsidRPr="00567DF9">
        <w:rPr>
          <w:rFonts w:ascii="Book Antiqua" w:hAnsi="Book Antiqua"/>
        </w:rPr>
        <w:t>: 3301-3308 [PMID: 28566890 DOI: 10.3748/wjg.v23.i18.3301]</w:t>
      </w:r>
    </w:p>
    <w:p w14:paraId="35F14020"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16 </w:t>
      </w:r>
      <w:r w:rsidRPr="00567DF9">
        <w:rPr>
          <w:rFonts w:ascii="Book Antiqua" w:hAnsi="Book Antiqua"/>
          <w:b/>
        </w:rPr>
        <w:t>Sumiyoshi T</w:t>
      </w:r>
      <w:r w:rsidRPr="00567DF9">
        <w:rPr>
          <w:rFonts w:ascii="Book Antiqua" w:hAnsi="Book Antiqua"/>
        </w:rPr>
        <w:t xml:space="preserve">, Shima Y, Okabayashi T, Negoro Y, Shimada Y, Iwata J, Matsumoto M, Hata Y, Noda Y, Sui K, Sueda T. Chemoradiotherapy for Initially Unresectable Locally Advanced Cholangiocarcinoma. </w:t>
      </w:r>
      <w:r w:rsidRPr="00567DF9">
        <w:rPr>
          <w:rFonts w:ascii="Book Antiqua" w:hAnsi="Book Antiqua"/>
          <w:i/>
        </w:rPr>
        <w:t>World J Surg</w:t>
      </w:r>
      <w:r w:rsidRPr="00567DF9">
        <w:rPr>
          <w:rFonts w:ascii="Book Antiqua" w:hAnsi="Book Antiqua"/>
        </w:rPr>
        <w:t xml:space="preserve"> 2018; </w:t>
      </w:r>
      <w:r w:rsidRPr="00567DF9">
        <w:rPr>
          <w:rFonts w:ascii="Book Antiqua" w:hAnsi="Book Antiqua"/>
          <w:b/>
        </w:rPr>
        <w:t>42</w:t>
      </w:r>
      <w:r w:rsidRPr="00567DF9">
        <w:rPr>
          <w:rFonts w:ascii="Book Antiqua" w:hAnsi="Book Antiqua"/>
        </w:rPr>
        <w:t>: 2910-2918 [PMID: 29511872 DOI: 10.1007/s00268-018-4558-1]</w:t>
      </w:r>
    </w:p>
    <w:p w14:paraId="0335DD60"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17 </w:t>
      </w:r>
      <w:r w:rsidRPr="00567DF9">
        <w:rPr>
          <w:rFonts w:ascii="Book Antiqua" w:hAnsi="Book Antiqua"/>
          <w:b/>
        </w:rPr>
        <w:t>Katayose Y</w:t>
      </w:r>
      <w:r w:rsidRPr="00567DF9">
        <w:rPr>
          <w:rFonts w:ascii="Book Antiqua" w:hAnsi="Book Antiqua"/>
        </w:rPr>
        <w:t xml:space="preserve">, Rikiyama T, Motoi F, Yamamoto K, Yoshida H, Morikawa T, Hayashi H, Kanno A, Hirota M, Satoh K, Ariga H, Suzuki M, Ohyauchi M, Kondo Y, Ikeya S, Ogawa Y, Shimosegawa T, Egawa S, Unno M. Phase I trial of neoadjuvant chemoradiation with gemcitabine and surgical resection for cholangiocarcinoma patients (NACRAC study). </w:t>
      </w:r>
      <w:r w:rsidRPr="00567DF9">
        <w:rPr>
          <w:rFonts w:ascii="Book Antiqua" w:hAnsi="Book Antiqua"/>
          <w:i/>
        </w:rPr>
        <w:t>Hepatogastroenterology</w:t>
      </w:r>
      <w:r w:rsidRPr="00567DF9">
        <w:rPr>
          <w:rFonts w:ascii="Book Antiqua" w:hAnsi="Book Antiqua"/>
        </w:rPr>
        <w:t xml:space="preserve"> 2011; </w:t>
      </w:r>
      <w:r w:rsidRPr="00567DF9">
        <w:rPr>
          <w:rFonts w:ascii="Book Antiqua" w:hAnsi="Book Antiqua"/>
          <w:b/>
        </w:rPr>
        <w:t>58</w:t>
      </w:r>
      <w:r w:rsidRPr="00567DF9">
        <w:rPr>
          <w:rFonts w:ascii="Book Antiqua" w:hAnsi="Book Antiqua"/>
        </w:rPr>
        <w:t>: 1866-1872 [PMID: 22234055 DOI: 10.5754/hge10106]</w:t>
      </w:r>
    </w:p>
    <w:p w14:paraId="447A65DF" w14:textId="69EB9A79" w:rsidR="00445FAA" w:rsidRPr="00567DF9" w:rsidRDefault="00445FAA" w:rsidP="00567DF9">
      <w:pPr>
        <w:spacing w:line="360" w:lineRule="auto"/>
        <w:jc w:val="both"/>
        <w:rPr>
          <w:rFonts w:ascii="Book Antiqua" w:hAnsi="Book Antiqua"/>
        </w:rPr>
      </w:pPr>
      <w:r w:rsidRPr="00567DF9">
        <w:rPr>
          <w:rFonts w:ascii="Book Antiqua" w:hAnsi="Book Antiqua"/>
        </w:rPr>
        <w:lastRenderedPageBreak/>
        <w:t xml:space="preserve">18 </w:t>
      </w:r>
      <w:r w:rsidRPr="00567DF9">
        <w:rPr>
          <w:rFonts w:ascii="Book Antiqua" w:hAnsi="Book Antiqua"/>
          <w:b/>
        </w:rPr>
        <w:t>Katayose Y,</w:t>
      </w:r>
      <w:r w:rsidRPr="00567DF9">
        <w:rPr>
          <w:rFonts w:ascii="Book Antiqua" w:hAnsi="Book Antiqua"/>
        </w:rPr>
        <w:t xml:space="preserve"> Nakagawa K, Yoshida H, Morikawa T, Hayashi H, Okada T, Mizuma M, Sakata N, Ohtsuka H, Fukase K, Yabuuchi S, Ishida M, Aoki T, Okada R, Masuda K, Kawaguchi K, Motoi F, Naitoh T, Unno M. Neoadjuvant chemoradiation therapy for cholangiocarcinoma to improve R0 resection rate: The first report of phase II study. </w:t>
      </w:r>
      <w:r w:rsidRPr="00567DF9">
        <w:rPr>
          <w:rFonts w:ascii="Book Antiqua" w:hAnsi="Book Antiqua"/>
          <w:i/>
        </w:rPr>
        <w:t>J Clin Oncol</w:t>
      </w:r>
      <w:r w:rsidRPr="00567DF9">
        <w:rPr>
          <w:rFonts w:ascii="Book Antiqua" w:hAnsi="Book Antiqua"/>
        </w:rPr>
        <w:t xml:space="preserve"> 2015; </w:t>
      </w:r>
      <w:r w:rsidRPr="00567DF9">
        <w:rPr>
          <w:rFonts w:ascii="Book Antiqua" w:hAnsi="Book Antiqua"/>
          <w:b/>
        </w:rPr>
        <w:t>33</w:t>
      </w:r>
      <w:r w:rsidRPr="00567DF9">
        <w:rPr>
          <w:rFonts w:ascii="Book Antiqua" w:hAnsi="Book Antiqua"/>
        </w:rPr>
        <w:t>: 402-402</w:t>
      </w:r>
      <w:r w:rsidR="00687E36" w:rsidRPr="00567DF9">
        <w:rPr>
          <w:rFonts w:ascii="Book Antiqua" w:hAnsi="Book Antiqua"/>
        </w:rPr>
        <w:t xml:space="preserve"> </w:t>
      </w:r>
      <w:r w:rsidRPr="00567DF9">
        <w:rPr>
          <w:rFonts w:ascii="Book Antiqua" w:hAnsi="Book Antiqua"/>
        </w:rPr>
        <w:t>[DOI: 10.1200/jco.2015.33.3_suppl.402]</w:t>
      </w:r>
    </w:p>
    <w:p w14:paraId="26A2E61F"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19 </w:t>
      </w:r>
      <w:r w:rsidRPr="00567DF9">
        <w:rPr>
          <w:rFonts w:ascii="Book Antiqua" w:hAnsi="Book Antiqua"/>
          <w:b/>
        </w:rPr>
        <w:t>Tada S</w:t>
      </w:r>
      <w:r w:rsidRPr="00567DF9">
        <w:rPr>
          <w:rFonts w:ascii="Book Antiqua" w:hAnsi="Book Antiqua"/>
        </w:rPr>
        <w:t xml:space="preserve">, Fujikawa T, Tanaka A, Abe T, Yoshimoto Y, Maekawa H, Shimoike N, Tanaka H, Kawashima T, Shiraishi K. [A case of unresectable hilar cholangiocarcinoma successfully treated by gemcitabine and S-1 combination chemotherapy]. </w:t>
      </w:r>
      <w:r w:rsidRPr="00567DF9">
        <w:rPr>
          <w:rFonts w:ascii="Book Antiqua" w:hAnsi="Book Antiqua"/>
          <w:i/>
        </w:rPr>
        <w:t>Gan To Kagaku Ryoho</w:t>
      </w:r>
      <w:r w:rsidRPr="00567DF9">
        <w:rPr>
          <w:rFonts w:ascii="Book Antiqua" w:hAnsi="Book Antiqua"/>
        </w:rPr>
        <w:t xml:space="preserve"> 2012; </w:t>
      </w:r>
      <w:r w:rsidRPr="00567DF9">
        <w:rPr>
          <w:rFonts w:ascii="Book Antiqua" w:hAnsi="Book Antiqua"/>
          <w:b/>
        </w:rPr>
        <w:t>39</w:t>
      </w:r>
      <w:r w:rsidRPr="00567DF9">
        <w:rPr>
          <w:rFonts w:ascii="Book Antiqua" w:hAnsi="Book Antiqua"/>
        </w:rPr>
        <w:t>: 1279-1282 [PMID: 22902459]</w:t>
      </w:r>
    </w:p>
    <w:p w14:paraId="5262F007" w14:textId="27E42468" w:rsidR="00445FAA" w:rsidRPr="00567DF9" w:rsidRDefault="00445FAA" w:rsidP="00567DF9">
      <w:pPr>
        <w:spacing w:line="360" w:lineRule="auto"/>
        <w:jc w:val="both"/>
        <w:rPr>
          <w:rFonts w:ascii="Book Antiqua" w:hAnsi="Book Antiqua"/>
        </w:rPr>
      </w:pPr>
      <w:r w:rsidRPr="00567DF9">
        <w:rPr>
          <w:rFonts w:ascii="Book Antiqua" w:hAnsi="Book Antiqua"/>
          <w:highlight w:val="yellow"/>
        </w:rPr>
        <w:t xml:space="preserve">20 </w:t>
      </w:r>
      <w:bookmarkStart w:id="68" w:name="OLE_LINK24"/>
      <w:r w:rsidRPr="00567DF9">
        <w:rPr>
          <w:rFonts w:ascii="Book Antiqua" w:hAnsi="Book Antiqua"/>
          <w:b/>
          <w:highlight w:val="yellow"/>
        </w:rPr>
        <w:t>Sano T,</w:t>
      </w:r>
      <w:r w:rsidRPr="00567DF9">
        <w:rPr>
          <w:rFonts w:ascii="Book Antiqua" w:hAnsi="Book Antiqua"/>
          <w:highlight w:val="yellow"/>
        </w:rPr>
        <w:t xml:space="preserve"> Shimizu Y, Senda Y, Hara K, Yamao K, Nimura Y. </w:t>
      </w:r>
      <w:bookmarkStart w:id="69" w:name="OLE_LINK5"/>
      <w:bookmarkStart w:id="70" w:name="OLE_LINK6"/>
      <w:bookmarkStart w:id="71" w:name="OLE_LINK2"/>
      <w:bookmarkStart w:id="72" w:name="OLE_LINK3"/>
      <w:r w:rsidRPr="00567DF9">
        <w:rPr>
          <w:rFonts w:ascii="Book Antiqua" w:hAnsi="Book Antiqua"/>
          <w:highlight w:val="yellow"/>
        </w:rPr>
        <w:t>A resected case of initially unresectable hilar cholangiocarcinoma by left hepatic trisectionectomy, caudate lobectomy with simultaneous portal and hepatic arterial resection and reconstruction after systemic chemotherapy.</w:t>
      </w:r>
      <w:bookmarkEnd w:id="68"/>
      <w:bookmarkEnd w:id="69"/>
      <w:bookmarkEnd w:id="70"/>
      <w:r w:rsidRPr="00567DF9">
        <w:rPr>
          <w:rFonts w:ascii="Book Antiqua" w:hAnsi="Book Antiqua"/>
          <w:highlight w:val="yellow"/>
        </w:rPr>
        <w:t xml:space="preserve"> </w:t>
      </w:r>
      <w:bookmarkStart w:id="73" w:name="OLE_LINK4"/>
      <w:bookmarkEnd w:id="71"/>
      <w:bookmarkEnd w:id="72"/>
      <w:r w:rsidR="00EA602D" w:rsidRPr="00567DF9">
        <w:rPr>
          <w:rFonts w:ascii="Book Antiqua" w:hAnsi="Book Antiqua"/>
          <w:highlight w:val="yellow"/>
        </w:rPr>
        <w:t>HPB 2011; 13: 174–244</w:t>
      </w:r>
      <w:r w:rsidRPr="00567DF9">
        <w:rPr>
          <w:rFonts w:ascii="Book Antiqua" w:hAnsi="Book Antiqua"/>
          <w:highlight w:val="yellow"/>
        </w:rPr>
        <w:t xml:space="preserve"> Conference: 3rd Biennial Congress of the Asian-Pacific HPBA 2011 Melbourne, VIC Australia</w:t>
      </w:r>
      <w:bookmarkEnd w:id="73"/>
      <w:r w:rsidR="00EA602D" w:rsidRPr="00567DF9">
        <w:rPr>
          <w:rFonts w:ascii="Book Antiqua" w:hAnsi="Book Antiqua"/>
          <w:highlight w:val="yellow"/>
        </w:rPr>
        <w:t xml:space="preserve"> HPB 13</w:t>
      </w:r>
      <w:r w:rsidRPr="00567DF9">
        <w:rPr>
          <w:rFonts w:ascii="Book Antiqua" w:hAnsi="Book Antiqua"/>
          <w:highlight w:val="yellow"/>
        </w:rPr>
        <w:t xml:space="preserve">, </w:t>
      </w:r>
      <w:r w:rsidR="00EA602D" w:rsidRPr="00567DF9">
        <w:rPr>
          <w:rFonts w:ascii="Book Antiqua" w:hAnsi="Book Antiqua"/>
          <w:highlight w:val="yellow"/>
        </w:rPr>
        <w:t xml:space="preserve">Suppl, </w:t>
      </w:r>
      <w:r w:rsidRPr="00567DF9">
        <w:rPr>
          <w:rFonts w:ascii="Book Antiqua" w:hAnsi="Book Antiqua"/>
          <w:highlight w:val="yellow"/>
        </w:rPr>
        <w:t>P-153</w:t>
      </w:r>
    </w:p>
    <w:p w14:paraId="389F224C"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21 </w:t>
      </w:r>
      <w:r w:rsidRPr="00567DF9">
        <w:rPr>
          <w:rFonts w:ascii="Book Antiqua" w:hAnsi="Book Antiqua"/>
          <w:b/>
        </w:rPr>
        <w:t>Wiedmann M</w:t>
      </w:r>
      <w:r w:rsidRPr="00567DF9">
        <w:rPr>
          <w:rFonts w:ascii="Book Antiqua" w:hAnsi="Book Antiqua"/>
        </w:rPr>
        <w:t xml:space="preserve">, Caca K, Berr F, Schiefke I, Tannapfel A, Wittekind C, Mössner J, Hauss J, Witzigmann H. Neoadjuvant photodynamic therapy as a new approach to treating hilar cholangiocarcinoma: a phase II pilot study. </w:t>
      </w:r>
      <w:r w:rsidRPr="00567DF9">
        <w:rPr>
          <w:rFonts w:ascii="Book Antiqua" w:hAnsi="Book Antiqua"/>
          <w:i/>
        </w:rPr>
        <w:t>Cancer</w:t>
      </w:r>
      <w:r w:rsidRPr="00567DF9">
        <w:rPr>
          <w:rFonts w:ascii="Book Antiqua" w:hAnsi="Book Antiqua"/>
        </w:rPr>
        <w:t xml:space="preserve"> 2003; </w:t>
      </w:r>
      <w:r w:rsidRPr="00567DF9">
        <w:rPr>
          <w:rFonts w:ascii="Book Antiqua" w:hAnsi="Book Antiqua"/>
          <w:b/>
        </w:rPr>
        <w:t>97</w:t>
      </w:r>
      <w:r w:rsidRPr="00567DF9">
        <w:rPr>
          <w:rFonts w:ascii="Book Antiqua" w:hAnsi="Book Antiqua"/>
        </w:rPr>
        <w:t>: 2783-2790 [PMID: 12767091 DOI: 10.1002/cncr.11401]</w:t>
      </w:r>
    </w:p>
    <w:p w14:paraId="4BF38AB6"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22 </w:t>
      </w:r>
      <w:r w:rsidRPr="00567DF9">
        <w:rPr>
          <w:rFonts w:ascii="Book Antiqua" w:hAnsi="Book Antiqua"/>
          <w:b/>
        </w:rPr>
        <w:t>Meyer CG</w:t>
      </w:r>
      <w:r w:rsidRPr="00567DF9">
        <w:rPr>
          <w:rFonts w:ascii="Book Antiqua" w:hAnsi="Book Antiqua"/>
        </w:rPr>
        <w:t xml:space="preserve">, Penn I, James L. Liver transplantation for cholangiocarcinoma: results in 207 patients. </w:t>
      </w:r>
      <w:r w:rsidRPr="00567DF9">
        <w:rPr>
          <w:rFonts w:ascii="Book Antiqua" w:hAnsi="Book Antiqua"/>
          <w:i/>
        </w:rPr>
        <w:t>Transplantation</w:t>
      </w:r>
      <w:r w:rsidRPr="00567DF9">
        <w:rPr>
          <w:rFonts w:ascii="Book Antiqua" w:hAnsi="Book Antiqua"/>
        </w:rPr>
        <w:t xml:space="preserve"> 2000; </w:t>
      </w:r>
      <w:r w:rsidRPr="00567DF9">
        <w:rPr>
          <w:rFonts w:ascii="Book Antiqua" w:hAnsi="Book Antiqua"/>
          <w:b/>
        </w:rPr>
        <w:t>69</w:t>
      </w:r>
      <w:r w:rsidRPr="00567DF9">
        <w:rPr>
          <w:rFonts w:ascii="Book Antiqua" w:hAnsi="Book Antiqua"/>
        </w:rPr>
        <w:t>: 1633-1637 [PMID: 10836374 DOI: 10.1097/00007890-200004270-00019]</w:t>
      </w:r>
    </w:p>
    <w:p w14:paraId="591D3E6F"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23 </w:t>
      </w:r>
      <w:r w:rsidRPr="00567DF9">
        <w:rPr>
          <w:rFonts w:ascii="Book Antiqua" w:hAnsi="Book Antiqua"/>
          <w:b/>
        </w:rPr>
        <w:t>Robles R</w:t>
      </w:r>
      <w:r w:rsidRPr="00567DF9">
        <w:rPr>
          <w:rFonts w:ascii="Book Antiqua" w:hAnsi="Book Antiqua"/>
        </w:rPr>
        <w:t xml:space="preserve">, Figueras J, Turrión VS, Margarit C, Moya A, Varo E, Calleja J, Valdivieso A, Valdecasas JC, López P, Gómez M, de Vicente E, Loinaz C, Santoyo J, Fleitas M, Bernardos A, Lladó L, Ramírez P, Bueno FS, Jaurrieta E, Parrilla P. Spanish experience in liver transplantation for hilar and peripheral cholangiocarcinoma. </w:t>
      </w:r>
      <w:r w:rsidRPr="00567DF9">
        <w:rPr>
          <w:rFonts w:ascii="Book Antiqua" w:hAnsi="Book Antiqua"/>
          <w:i/>
        </w:rPr>
        <w:t>Ann Surg</w:t>
      </w:r>
      <w:r w:rsidRPr="00567DF9">
        <w:rPr>
          <w:rFonts w:ascii="Book Antiqua" w:hAnsi="Book Antiqua"/>
        </w:rPr>
        <w:t xml:space="preserve"> 2004; </w:t>
      </w:r>
      <w:r w:rsidRPr="00567DF9">
        <w:rPr>
          <w:rFonts w:ascii="Book Antiqua" w:hAnsi="Book Antiqua"/>
          <w:b/>
        </w:rPr>
        <w:t>239</w:t>
      </w:r>
      <w:r w:rsidRPr="00567DF9">
        <w:rPr>
          <w:rFonts w:ascii="Book Antiqua" w:hAnsi="Book Antiqua"/>
        </w:rPr>
        <w:t>: 265-271 [PMID: 14745336 DOI: 10.1097/01.sla.0000108702.45715.81]</w:t>
      </w:r>
    </w:p>
    <w:p w14:paraId="51F10BC1"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24 </w:t>
      </w:r>
      <w:r w:rsidRPr="00567DF9">
        <w:rPr>
          <w:rFonts w:ascii="Book Antiqua" w:hAnsi="Book Antiqua"/>
          <w:b/>
        </w:rPr>
        <w:t>Ghali P</w:t>
      </w:r>
      <w:r w:rsidRPr="00567DF9">
        <w:rPr>
          <w:rFonts w:ascii="Book Antiqua" w:hAnsi="Book Antiqua"/>
        </w:rPr>
        <w:t xml:space="preserve">, Marotta PJ, Yoshida EM, Bain VG, Marleau D, Peltekian K, Metrakos P, Deschênes M. Liver transplantation for incidental </w:t>
      </w:r>
      <w:r w:rsidRPr="00567DF9">
        <w:rPr>
          <w:rFonts w:ascii="Book Antiqua" w:hAnsi="Book Antiqua"/>
        </w:rPr>
        <w:lastRenderedPageBreak/>
        <w:t xml:space="preserve">cholangiocarcinoma: analysis of the Canadian experience. </w:t>
      </w:r>
      <w:r w:rsidRPr="00567DF9">
        <w:rPr>
          <w:rFonts w:ascii="Book Antiqua" w:hAnsi="Book Antiqua"/>
          <w:i/>
        </w:rPr>
        <w:t>Liver Transpl</w:t>
      </w:r>
      <w:r w:rsidRPr="00567DF9">
        <w:rPr>
          <w:rFonts w:ascii="Book Antiqua" w:hAnsi="Book Antiqua"/>
        </w:rPr>
        <w:t xml:space="preserve"> 2005; </w:t>
      </w:r>
      <w:r w:rsidRPr="00567DF9">
        <w:rPr>
          <w:rFonts w:ascii="Book Antiqua" w:hAnsi="Book Antiqua"/>
          <w:b/>
        </w:rPr>
        <w:t>11</w:t>
      </w:r>
      <w:r w:rsidRPr="00567DF9">
        <w:rPr>
          <w:rFonts w:ascii="Book Antiqua" w:hAnsi="Book Antiqua"/>
        </w:rPr>
        <w:t>: 1412-1416 [PMID: 16237695 DOI: 10.1002/lt.20512]</w:t>
      </w:r>
    </w:p>
    <w:p w14:paraId="275CC661"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25 </w:t>
      </w:r>
      <w:r w:rsidRPr="00567DF9">
        <w:rPr>
          <w:rFonts w:ascii="Book Antiqua" w:hAnsi="Book Antiqua"/>
          <w:b/>
        </w:rPr>
        <w:t>Alden ME</w:t>
      </w:r>
      <w:r w:rsidRPr="00567DF9">
        <w:rPr>
          <w:rFonts w:ascii="Book Antiqua" w:hAnsi="Book Antiqua"/>
        </w:rPr>
        <w:t xml:space="preserve">, Mohiuddin M. The impact of radiation dose in combined external beam and intraluminal Ir-192 brachytherapy for bile duct cancer. </w:t>
      </w:r>
      <w:r w:rsidRPr="00567DF9">
        <w:rPr>
          <w:rFonts w:ascii="Book Antiqua" w:hAnsi="Book Antiqua"/>
          <w:i/>
        </w:rPr>
        <w:t>Int J Radiat Oncol Biol Phys</w:t>
      </w:r>
      <w:r w:rsidRPr="00567DF9">
        <w:rPr>
          <w:rFonts w:ascii="Book Antiqua" w:hAnsi="Book Antiqua"/>
        </w:rPr>
        <w:t xml:space="preserve"> 1994; </w:t>
      </w:r>
      <w:r w:rsidRPr="00567DF9">
        <w:rPr>
          <w:rFonts w:ascii="Book Antiqua" w:hAnsi="Book Antiqua"/>
          <w:b/>
        </w:rPr>
        <w:t>28</w:t>
      </w:r>
      <w:r w:rsidRPr="00567DF9">
        <w:rPr>
          <w:rFonts w:ascii="Book Antiqua" w:hAnsi="Book Antiqua"/>
        </w:rPr>
        <w:t>: 945-951 [PMID: 8138448 DOI: 10.1016/0360-3016(94)90115-5]</w:t>
      </w:r>
    </w:p>
    <w:p w14:paraId="2D3333DB"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26 </w:t>
      </w:r>
      <w:r w:rsidRPr="00567DF9">
        <w:rPr>
          <w:rFonts w:ascii="Book Antiqua" w:hAnsi="Book Antiqua"/>
          <w:b/>
        </w:rPr>
        <w:t>Foo ML</w:t>
      </w:r>
      <w:r w:rsidRPr="00567DF9">
        <w:rPr>
          <w:rFonts w:ascii="Book Antiqua" w:hAnsi="Book Antiqua"/>
        </w:rPr>
        <w:t xml:space="preserve">, Gunderson LL, Bender CE, Buskirk SJ. External radiation therapy and transcatheter iridium in the treatment of extrahepatic bile duct carcinoma. </w:t>
      </w:r>
      <w:r w:rsidRPr="00567DF9">
        <w:rPr>
          <w:rFonts w:ascii="Book Antiqua" w:hAnsi="Book Antiqua"/>
          <w:i/>
        </w:rPr>
        <w:t>Int J Radiat Oncol Biol Phys</w:t>
      </w:r>
      <w:r w:rsidRPr="00567DF9">
        <w:rPr>
          <w:rFonts w:ascii="Book Antiqua" w:hAnsi="Book Antiqua"/>
        </w:rPr>
        <w:t xml:space="preserve"> 1997; </w:t>
      </w:r>
      <w:r w:rsidRPr="00567DF9">
        <w:rPr>
          <w:rFonts w:ascii="Book Antiqua" w:hAnsi="Book Antiqua"/>
          <w:b/>
        </w:rPr>
        <w:t>39</w:t>
      </w:r>
      <w:r w:rsidRPr="00567DF9">
        <w:rPr>
          <w:rFonts w:ascii="Book Antiqua" w:hAnsi="Book Antiqua"/>
        </w:rPr>
        <w:t>: 929-935 [PMID: 9369143 DOI: 10.1016/S0360-3016(97)00299-X]</w:t>
      </w:r>
    </w:p>
    <w:p w14:paraId="20593060"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27 </w:t>
      </w:r>
      <w:r w:rsidRPr="00567DF9">
        <w:rPr>
          <w:rFonts w:ascii="Book Antiqua" w:hAnsi="Book Antiqua"/>
          <w:b/>
        </w:rPr>
        <w:t>Sudan D</w:t>
      </w:r>
      <w:r w:rsidRPr="00567DF9">
        <w:rPr>
          <w:rFonts w:ascii="Book Antiqua" w:hAnsi="Book Antiqua"/>
        </w:rPr>
        <w:t xml:space="preserve">, DeRoover A, Chinnakotla S, Fox I, Shaw B Jr, McCashland T, Sorrell M, Tempero M, Langnas A. Radiochemotherapy and transplantation allow long-term survival for nonresectable hilar cholangiocarcinoma. </w:t>
      </w:r>
      <w:r w:rsidRPr="00567DF9">
        <w:rPr>
          <w:rFonts w:ascii="Book Antiqua" w:hAnsi="Book Antiqua"/>
          <w:i/>
        </w:rPr>
        <w:t>Am J Transplant</w:t>
      </w:r>
      <w:r w:rsidRPr="00567DF9">
        <w:rPr>
          <w:rFonts w:ascii="Book Antiqua" w:hAnsi="Book Antiqua"/>
        </w:rPr>
        <w:t xml:space="preserve"> 2002; </w:t>
      </w:r>
      <w:r w:rsidRPr="00567DF9">
        <w:rPr>
          <w:rFonts w:ascii="Book Antiqua" w:hAnsi="Book Antiqua"/>
          <w:b/>
        </w:rPr>
        <w:t>2</w:t>
      </w:r>
      <w:r w:rsidRPr="00567DF9">
        <w:rPr>
          <w:rFonts w:ascii="Book Antiqua" w:hAnsi="Book Antiqua"/>
        </w:rPr>
        <w:t>: 774-779 [PMID: 12243499 DOI: 10.1034/j.1600-6143.2002.20812.x]</w:t>
      </w:r>
    </w:p>
    <w:p w14:paraId="18A1A839"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28 </w:t>
      </w:r>
      <w:r w:rsidRPr="00567DF9">
        <w:rPr>
          <w:rFonts w:ascii="Book Antiqua" w:hAnsi="Book Antiqua"/>
          <w:b/>
        </w:rPr>
        <w:t>De Vreede I</w:t>
      </w:r>
      <w:r w:rsidRPr="00567DF9">
        <w:rPr>
          <w:rFonts w:ascii="Book Antiqua" w:hAnsi="Book Antiqua"/>
        </w:rPr>
        <w:t xml:space="preserve">, Steers JL, Burch PA, Rosen CB, Gunderson LL, Haddock MG, Burgart L, Gores GJ. Prolonged disease-free survival after orthotopic liver transplantation plus adjuvant chemoirradiation for cholangiocarcinoma. </w:t>
      </w:r>
      <w:r w:rsidRPr="00567DF9">
        <w:rPr>
          <w:rFonts w:ascii="Book Antiqua" w:hAnsi="Book Antiqua"/>
          <w:i/>
        </w:rPr>
        <w:t>Liver Transpl</w:t>
      </w:r>
      <w:r w:rsidRPr="00567DF9">
        <w:rPr>
          <w:rFonts w:ascii="Book Antiqua" w:hAnsi="Book Antiqua"/>
        </w:rPr>
        <w:t xml:space="preserve"> 2000; </w:t>
      </w:r>
      <w:r w:rsidRPr="00567DF9">
        <w:rPr>
          <w:rFonts w:ascii="Book Antiqua" w:hAnsi="Book Antiqua"/>
          <w:b/>
        </w:rPr>
        <w:t>6</w:t>
      </w:r>
      <w:r w:rsidRPr="00567DF9">
        <w:rPr>
          <w:rFonts w:ascii="Book Antiqua" w:hAnsi="Book Antiqua"/>
        </w:rPr>
        <w:t>: 309-316 [PMID: 10827231 DOI: 10.1053/lv.2000.6143]</w:t>
      </w:r>
    </w:p>
    <w:p w14:paraId="0CBF41EA"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29 </w:t>
      </w:r>
      <w:r w:rsidRPr="00567DF9">
        <w:rPr>
          <w:rFonts w:ascii="Book Antiqua" w:hAnsi="Book Antiqua"/>
          <w:b/>
        </w:rPr>
        <w:t>Heimbach JK</w:t>
      </w:r>
      <w:r w:rsidRPr="00567DF9">
        <w:rPr>
          <w:rFonts w:ascii="Book Antiqua" w:hAnsi="Book Antiqua"/>
        </w:rPr>
        <w:t xml:space="preserve">, Gores GJ, Haddock MG, Alberts SR, Pedersen R, Kremers W, Nyberg SL, Ishitani MB, Rosen CB. Predictors of disease recurrence following neoadjuvant chemoradiotherapy and liver transplantation for unresectable perihilar cholangiocarcinoma. </w:t>
      </w:r>
      <w:r w:rsidRPr="00567DF9">
        <w:rPr>
          <w:rFonts w:ascii="Book Antiqua" w:hAnsi="Book Antiqua"/>
          <w:i/>
        </w:rPr>
        <w:t>Transplantation</w:t>
      </w:r>
      <w:r w:rsidRPr="00567DF9">
        <w:rPr>
          <w:rFonts w:ascii="Book Antiqua" w:hAnsi="Book Antiqua"/>
        </w:rPr>
        <w:t xml:space="preserve"> 2006; </w:t>
      </w:r>
      <w:r w:rsidRPr="00567DF9">
        <w:rPr>
          <w:rFonts w:ascii="Book Antiqua" w:hAnsi="Book Antiqua"/>
          <w:b/>
        </w:rPr>
        <w:t>82</w:t>
      </w:r>
      <w:r w:rsidRPr="00567DF9">
        <w:rPr>
          <w:rFonts w:ascii="Book Antiqua" w:hAnsi="Book Antiqua"/>
        </w:rPr>
        <w:t>: 1703-1707 [PMID: 17198263 DOI: 10.1097/01.tp.0000253551.43583.d1]</w:t>
      </w:r>
    </w:p>
    <w:p w14:paraId="2050721F"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30 </w:t>
      </w:r>
      <w:r w:rsidRPr="00567DF9">
        <w:rPr>
          <w:rFonts w:ascii="Book Antiqua" w:hAnsi="Book Antiqua"/>
          <w:b/>
        </w:rPr>
        <w:t>Darwish Murad S</w:t>
      </w:r>
      <w:r w:rsidRPr="00567DF9">
        <w:rPr>
          <w:rFonts w:ascii="Book Antiqua" w:hAnsi="Book Antiqua"/>
        </w:rPr>
        <w:t xml:space="preserve">, Kim WR, Harnois DM, Douglas DD, Burton J, Kulik LM, Botha JF, Mezrich JD, Chapman WC, Schwartz JJ, Hong JC, Emond JC, Jeon H, Rosen CB, Gores GJ, Heimbach JK. Efficacy of neoadjuvant chemoradiation, followed by liver transplantation, for perihilar cholangiocarcinoma at 12 US centers. </w:t>
      </w:r>
      <w:r w:rsidRPr="00567DF9">
        <w:rPr>
          <w:rFonts w:ascii="Book Antiqua" w:hAnsi="Book Antiqua"/>
          <w:i/>
        </w:rPr>
        <w:t>Gastroenterology</w:t>
      </w:r>
      <w:r w:rsidRPr="00567DF9">
        <w:rPr>
          <w:rFonts w:ascii="Book Antiqua" w:hAnsi="Book Antiqua"/>
        </w:rPr>
        <w:t xml:space="preserve"> 2012; </w:t>
      </w:r>
      <w:r w:rsidRPr="00567DF9">
        <w:rPr>
          <w:rFonts w:ascii="Book Antiqua" w:hAnsi="Book Antiqua"/>
          <w:b/>
        </w:rPr>
        <w:t>143</w:t>
      </w:r>
      <w:r w:rsidRPr="00567DF9">
        <w:rPr>
          <w:rFonts w:ascii="Book Antiqua" w:hAnsi="Book Antiqua"/>
        </w:rPr>
        <w:t>: 88-98.e3; quiz e14 [PMID: 22504095 DOI: 10.1053/j.gastro.2012.04.008]</w:t>
      </w:r>
    </w:p>
    <w:p w14:paraId="4936C702" w14:textId="1209870C" w:rsidR="00445FAA" w:rsidRPr="00567DF9" w:rsidRDefault="00445FAA" w:rsidP="00567DF9">
      <w:pPr>
        <w:spacing w:line="360" w:lineRule="auto"/>
        <w:jc w:val="both"/>
        <w:rPr>
          <w:rFonts w:ascii="Book Antiqua" w:hAnsi="Book Antiqua"/>
        </w:rPr>
      </w:pPr>
      <w:r w:rsidRPr="00567DF9">
        <w:rPr>
          <w:rFonts w:ascii="Book Antiqua" w:hAnsi="Book Antiqua"/>
          <w:highlight w:val="yellow"/>
        </w:rPr>
        <w:lastRenderedPageBreak/>
        <w:t xml:space="preserve">31 </w:t>
      </w:r>
      <w:r w:rsidR="00687E36" w:rsidRPr="00567DF9">
        <w:rPr>
          <w:rFonts w:ascii="Book Antiqua" w:hAnsi="Book Antiqua"/>
          <w:b/>
          <w:highlight w:val="yellow"/>
        </w:rPr>
        <w:t>Assistance Publique.</w:t>
      </w:r>
      <w:r w:rsidR="00687E36" w:rsidRPr="00567DF9">
        <w:rPr>
          <w:rFonts w:ascii="Book Antiqua" w:hAnsi="Book Antiqua"/>
          <w:highlight w:val="yellow"/>
        </w:rPr>
        <w:t xml:space="preserve"> Liver Resection Versus Radio-chemotherapy-Transplantation for Hilar Cholangiocarcinoma (TRANSPHIL).</w:t>
      </w:r>
      <w:r w:rsidR="00687E36" w:rsidRPr="00567DF9">
        <w:rPr>
          <w:rFonts w:ascii="Book Antiqua" w:eastAsia="Times New Roman" w:hAnsi="Book Antiqua"/>
          <w:bCs/>
          <w:color w:val="000000" w:themeColor="text1"/>
          <w:highlight w:val="yellow"/>
        </w:rPr>
        <w:t xml:space="preserve"> [accessed 2015 Sep 11].</w:t>
      </w:r>
      <w:r w:rsidR="00687E36" w:rsidRPr="00567DF9">
        <w:rPr>
          <w:rFonts w:ascii="Book Antiqua" w:hAnsi="Book Antiqua"/>
          <w:highlight w:val="yellow"/>
        </w:rPr>
        <w:t xml:space="preserve"> </w:t>
      </w:r>
      <w:r w:rsidR="00687E36" w:rsidRPr="00567DF9">
        <w:rPr>
          <w:rFonts w:ascii="Book Antiqua" w:eastAsia="Times New Roman" w:hAnsi="Book Antiqua"/>
          <w:bCs/>
          <w:color w:val="000000" w:themeColor="text1"/>
          <w:highlight w:val="yellow"/>
        </w:rPr>
        <w:t xml:space="preserve">In: ClinicalTrials.gov [Internet]. Bethesda (MD): U.S. National Library of Medicine. Available from: </w:t>
      </w:r>
      <w:r w:rsidR="00687E36" w:rsidRPr="00567DF9">
        <w:rPr>
          <w:rFonts w:ascii="Book Antiqua" w:hAnsi="Book Antiqua"/>
          <w:highlight w:val="yellow"/>
        </w:rPr>
        <w:t>https://clinicaltrials.gov/ct2/show/</w:t>
      </w:r>
      <w:bookmarkStart w:id="74" w:name="OLE_LINK23"/>
      <w:r w:rsidR="00687E36" w:rsidRPr="00567DF9">
        <w:rPr>
          <w:rFonts w:ascii="Book Antiqua" w:hAnsi="Book Antiqua"/>
          <w:highlight w:val="yellow"/>
        </w:rPr>
        <w:t>NCT02232932</w:t>
      </w:r>
      <w:bookmarkEnd w:id="74"/>
      <w:r w:rsidR="00687E36" w:rsidRPr="00567DF9">
        <w:rPr>
          <w:rFonts w:ascii="Book Antiqua" w:hAnsi="Book Antiqua"/>
          <w:highlight w:val="yellow"/>
        </w:rPr>
        <w:t xml:space="preserve"> </w:t>
      </w:r>
      <w:r w:rsidR="00687E36" w:rsidRPr="00567DF9">
        <w:rPr>
          <w:rFonts w:ascii="Book Antiqua" w:eastAsia="Times New Roman" w:hAnsi="Book Antiqua"/>
          <w:bCs/>
          <w:color w:val="000000" w:themeColor="text1"/>
          <w:highlight w:val="yellow"/>
        </w:rPr>
        <w:t xml:space="preserve">ClinicalTrials.gov Identifier: </w:t>
      </w:r>
      <w:r w:rsidR="00687E36" w:rsidRPr="00567DF9">
        <w:rPr>
          <w:rFonts w:ascii="Book Antiqua" w:hAnsi="Book Antiqua"/>
          <w:highlight w:val="yellow"/>
        </w:rPr>
        <w:t>NCT02232932</w:t>
      </w:r>
    </w:p>
    <w:p w14:paraId="557D76F6"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32 </w:t>
      </w:r>
      <w:r w:rsidRPr="00567DF9">
        <w:rPr>
          <w:rFonts w:ascii="Book Antiqua" w:hAnsi="Book Antiqua"/>
          <w:b/>
        </w:rPr>
        <w:t>Hong JC</w:t>
      </w:r>
      <w:r w:rsidRPr="00567DF9">
        <w:rPr>
          <w:rFonts w:ascii="Book Antiqua" w:hAnsi="Book Antiqua"/>
        </w:rPr>
        <w:t xml:space="preserve">, Petrowsky H, Kaldas FM, Farmer DG, Durazo FA, Finn RS, Saab S, Han SH, Lee P, Markovic D, Lassman C, Hiatt JR, Busuttil RW. Predictive index for tumor recurrence after liver transplantation for locally advanced intrahepatic and hilar cholangiocarcinoma. </w:t>
      </w:r>
      <w:r w:rsidRPr="00567DF9">
        <w:rPr>
          <w:rFonts w:ascii="Book Antiqua" w:hAnsi="Book Antiqua"/>
          <w:i/>
        </w:rPr>
        <w:t>J Am Coll Surg</w:t>
      </w:r>
      <w:r w:rsidRPr="00567DF9">
        <w:rPr>
          <w:rFonts w:ascii="Book Antiqua" w:hAnsi="Book Antiqua"/>
        </w:rPr>
        <w:t xml:space="preserve"> 2011; </w:t>
      </w:r>
      <w:r w:rsidRPr="00567DF9">
        <w:rPr>
          <w:rFonts w:ascii="Book Antiqua" w:hAnsi="Book Antiqua"/>
          <w:b/>
        </w:rPr>
        <w:t>212</w:t>
      </w:r>
      <w:r w:rsidRPr="00567DF9">
        <w:rPr>
          <w:rFonts w:ascii="Book Antiqua" w:hAnsi="Book Antiqua"/>
        </w:rPr>
        <w:t>: 514-20; discussion 520-1 [PMID: 21463781 DOI: 10.1016/j.jamcollsurg.2010.12.005]</w:t>
      </w:r>
    </w:p>
    <w:p w14:paraId="49499009"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33 </w:t>
      </w:r>
      <w:r w:rsidRPr="00567DF9">
        <w:rPr>
          <w:rFonts w:ascii="Book Antiqua" w:hAnsi="Book Antiqua"/>
          <w:b/>
        </w:rPr>
        <w:t>Mantel HT</w:t>
      </w:r>
      <w:r w:rsidRPr="00567DF9">
        <w:rPr>
          <w:rFonts w:ascii="Book Antiqua" w:hAnsi="Book Antiqua"/>
        </w:rPr>
        <w:t xml:space="preserve">, Rosen CB, Heimbach JK, Nyberg SL, Ishitani MB, Andrews JC, McKusick MA, Haddock MG, Alberts SR, Gores GJ. Vascular complications after orthotopic liver transplantation after neoadjuvant therapy for hilar cholangiocarcinoma. </w:t>
      </w:r>
      <w:r w:rsidRPr="00567DF9">
        <w:rPr>
          <w:rFonts w:ascii="Book Antiqua" w:hAnsi="Book Antiqua"/>
          <w:i/>
        </w:rPr>
        <w:t>Liver Transpl</w:t>
      </w:r>
      <w:r w:rsidRPr="00567DF9">
        <w:rPr>
          <w:rFonts w:ascii="Book Antiqua" w:hAnsi="Book Antiqua"/>
        </w:rPr>
        <w:t xml:space="preserve"> 2007; </w:t>
      </w:r>
      <w:r w:rsidRPr="00567DF9">
        <w:rPr>
          <w:rFonts w:ascii="Book Antiqua" w:hAnsi="Book Antiqua"/>
          <w:b/>
        </w:rPr>
        <w:t>13</w:t>
      </w:r>
      <w:r w:rsidRPr="00567DF9">
        <w:rPr>
          <w:rFonts w:ascii="Book Antiqua" w:hAnsi="Book Antiqua"/>
        </w:rPr>
        <w:t>: 1372-1381 [PMID: 17427173 DOI: 10.1002/lt.21107]</w:t>
      </w:r>
    </w:p>
    <w:p w14:paraId="7B47E12C" w14:textId="77777777" w:rsidR="00552C6C" w:rsidRPr="00567DF9" w:rsidRDefault="00552C6C" w:rsidP="00567DF9">
      <w:pPr>
        <w:spacing w:line="360" w:lineRule="auto"/>
        <w:jc w:val="both"/>
        <w:rPr>
          <w:rFonts w:ascii="Book Antiqua" w:hAnsi="Book Antiqua"/>
          <w:color w:val="000000" w:themeColor="text1"/>
        </w:rPr>
      </w:pPr>
    </w:p>
    <w:p w14:paraId="2357CB08" w14:textId="006A1174" w:rsidR="000622B9" w:rsidRPr="00567DF9" w:rsidRDefault="000622B9" w:rsidP="003E46A5">
      <w:pPr>
        <w:pStyle w:val="ListParagraph"/>
        <w:suppressAutoHyphens/>
        <w:spacing w:after="0" w:line="360" w:lineRule="auto"/>
        <w:ind w:left="360" w:right="230" w:firstLine="482"/>
        <w:jc w:val="right"/>
        <w:rPr>
          <w:rFonts w:ascii="Book Antiqua" w:hAnsi="Book Antiqua" w:cs="Mangal"/>
          <w:b/>
          <w:bCs/>
          <w:sz w:val="24"/>
          <w:szCs w:val="24"/>
          <w:lang w:val="it-IT" w:bidi="hi-IN"/>
        </w:rPr>
      </w:pPr>
      <w:r w:rsidRPr="00567DF9">
        <w:rPr>
          <w:rFonts w:ascii="Book Antiqua" w:eastAsia="Lucida Sans Unicode" w:hAnsi="Book Antiqua" w:cs="Arial"/>
          <w:b/>
          <w:noProof/>
          <w:sz w:val="24"/>
          <w:szCs w:val="24"/>
          <w:lang w:val="it-IT" w:eastAsia="hi-IN" w:bidi="hi-IN"/>
        </w:rPr>
        <w:t>P-Reviewer</w:t>
      </w:r>
      <w:r w:rsidRPr="00567DF9">
        <w:rPr>
          <w:rFonts w:ascii="Book Antiqua" w:hAnsi="Book Antiqua" w:cs="Arial"/>
          <w:b/>
          <w:noProof/>
          <w:sz w:val="24"/>
          <w:szCs w:val="24"/>
          <w:lang w:val="it-IT" w:bidi="hi-IN"/>
        </w:rPr>
        <w:t>:</w:t>
      </w:r>
      <w:r w:rsidRPr="00567DF9">
        <w:rPr>
          <w:rFonts w:ascii="Book Antiqua" w:hAnsi="Book Antiqua"/>
          <w:sz w:val="24"/>
          <w:szCs w:val="24"/>
          <w:lang w:val="it-IT"/>
        </w:rPr>
        <w:t xml:space="preserve"> </w:t>
      </w:r>
      <w:proofErr w:type="spellStart"/>
      <w:r w:rsidRPr="00567DF9">
        <w:rPr>
          <w:rFonts w:ascii="Book Antiqua" w:hAnsi="Book Antiqua"/>
          <w:sz w:val="24"/>
          <w:szCs w:val="24"/>
        </w:rPr>
        <w:t>Aosasa</w:t>
      </w:r>
      <w:proofErr w:type="spellEnd"/>
      <w:r w:rsidRPr="00567DF9">
        <w:rPr>
          <w:rFonts w:ascii="Book Antiqua" w:hAnsi="Book Antiqua"/>
          <w:sz w:val="24"/>
          <w:szCs w:val="24"/>
        </w:rPr>
        <w:t xml:space="preserve"> S, Kato J</w:t>
      </w:r>
      <w:r w:rsidRPr="00567DF9">
        <w:rPr>
          <w:rFonts w:ascii="Book Antiqua" w:hAnsi="Book Antiqua" w:cs="Mangal"/>
          <w:bCs/>
          <w:sz w:val="24"/>
          <w:szCs w:val="24"/>
          <w:lang w:val="it-IT" w:bidi="hi-IN"/>
        </w:rPr>
        <w:t xml:space="preserve"> </w:t>
      </w:r>
      <w:r w:rsidRPr="00567DF9">
        <w:rPr>
          <w:rFonts w:ascii="Book Antiqua" w:eastAsia="Lucida Sans Unicode" w:hAnsi="Book Antiqua" w:cs="Mangal"/>
          <w:b/>
          <w:bCs/>
          <w:sz w:val="24"/>
          <w:szCs w:val="24"/>
          <w:lang w:val="it-IT" w:eastAsia="hi-IN" w:bidi="hi-IN"/>
        </w:rPr>
        <w:t>S-Editor</w:t>
      </w:r>
      <w:r w:rsidRPr="00567DF9">
        <w:rPr>
          <w:rFonts w:ascii="Book Antiqua" w:hAnsi="Book Antiqua" w:cs="Mangal"/>
          <w:b/>
          <w:bCs/>
          <w:sz w:val="24"/>
          <w:szCs w:val="24"/>
          <w:lang w:val="it-IT" w:bidi="hi-IN"/>
        </w:rPr>
        <w:t>:</w:t>
      </w:r>
      <w:r w:rsidRPr="00567DF9">
        <w:rPr>
          <w:rFonts w:ascii="Book Antiqua" w:eastAsia="Lucida Sans Unicode" w:hAnsi="Book Antiqua" w:cs="Mangal"/>
          <w:bCs/>
          <w:sz w:val="24"/>
          <w:szCs w:val="24"/>
          <w:lang w:val="it-IT" w:eastAsia="hi-IN" w:bidi="hi-IN"/>
        </w:rPr>
        <w:t xml:space="preserve"> </w:t>
      </w:r>
      <w:r w:rsidRPr="00567DF9">
        <w:rPr>
          <w:rFonts w:ascii="Book Antiqua" w:hAnsi="Book Antiqua" w:cs="Mangal"/>
          <w:bCs/>
          <w:sz w:val="24"/>
          <w:szCs w:val="24"/>
          <w:lang w:val="it-IT" w:bidi="hi-IN"/>
        </w:rPr>
        <w:t>Dou Y</w:t>
      </w:r>
      <w:r w:rsidRPr="00567DF9">
        <w:rPr>
          <w:rFonts w:ascii="Book Antiqua" w:eastAsia="Lucida Sans Unicode" w:hAnsi="Book Antiqua" w:cs="Mangal"/>
          <w:b/>
          <w:bCs/>
          <w:sz w:val="24"/>
          <w:szCs w:val="24"/>
          <w:lang w:val="it-IT" w:eastAsia="hi-IN" w:bidi="hi-IN"/>
        </w:rPr>
        <w:t xml:space="preserve"> L-Editor</w:t>
      </w:r>
      <w:r w:rsidRPr="00567DF9">
        <w:rPr>
          <w:rFonts w:ascii="Book Antiqua" w:hAnsi="Book Antiqua" w:cs="Mangal"/>
          <w:b/>
          <w:bCs/>
          <w:sz w:val="24"/>
          <w:szCs w:val="24"/>
          <w:lang w:val="it-IT" w:bidi="hi-IN"/>
        </w:rPr>
        <w:t>:</w:t>
      </w:r>
      <w:r w:rsidRPr="00567DF9">
        <w:rPr>
          <w:rFonts w:ascii="Book Antiqua" w:eastAsia="Lucida Sans Unicode" w:hAnsi="Book Antiqua" w:cs="Mangal"/>
          <w:b/>
          <w:bCs/>
          <w:sz w:val="24"/>
          <w:szCs w:val="24"/>
          <w:lang w:val="it-IT" w:eastAsia="hi-IN" w:bidi="hi-IN"/>
        </w:rPr>
        <w:t xml:space="preserve"> E-Editor</w:t>
      </w:r>
      <w:r w:rsidRPr="00567DF9">
        <w:rPr>
          <w:rFonts w:ascii="Book Antiqua" w:hAnsi="Book Antiqua" w:cs="Mangal"/>
          <w:b/>
          <w:bCs/>
          <w:sz w:val="24"/>
          <w:szCs w:val="24"/>
          <w:lang w:val="it-IT" w:bidi="hi-IN"/>
        </w:rPr>
        <w:t>:</w:t>
      </w:r>
    </w:p>
    <w:p w14:paraId="7A14A78D" w14:textId="77777777" w:rsidR="000622B9" w:rsidRPr="00567DF9" w:rsidRDefault="000622B9" w:rsidP="00567DF9">
      <w:pPr>
        <w:pStyle w:val="ListParagraph"/>
        <w:suppressAutoHyphens/>
        <w:spacing w:after="0" w:line="360" w:lineRule="auto"/>
        <w:ind w:left="360" w:right="120" w:firstLine="482"/>
        <w:jc w:val="both"/>
        <w:rPr>
          <w:rFonts w:ascii="Book Antiqua" w:hAnsi="Book Antiqua" w:cs="Mangal"/>
          <w:b/>
          <w:bCs/>
          <w:sz w:val="24"/>
          <w:szCs w:val="24"/>
          <w:lang w:val="it-IT" w:bidi="hi-IN"/>
        </w:rPr>
      </w:pPr>
    </w:p>
    <w:p w14:paraId="056CCE87" w14:textId="2900B32C" w:rsidR="000622B9" w:rsidRPr="00567DF9" w:rsidRDefault="000622B9" w:rsidP="00567DF9">
      <w:pPr>
        <w:shd w:val="clear" w:color="auto" w:fill="FFFFFF"/>
        <w:spacing w:line="360" w:lineRule="auto"/>
        <w:jc w:val="both"/>
        <w:rPr>
          <w:rFonts w:ascii="Book Antiqua" w:hAnsi="Book Antiqua" w:cs="Helvetica"/>
          <w:b/>
        </w:rPr>
      </w:pPr>
      <w:r w:rsidRPr="00567DF9">
        <w:rPr>
          <w:rFonts w:ascii="Book Antiqua" w:hAnsi="Book Antiqua" w:cs="Helvetica"/>
          <w:b/>
        </w:rPr>
        <w:t xml:space="preserve">Specialty type: </w:t>
      </w:r>
      <w:r w:rsidR="00247638" w:rsidRPr="00567DF9">
        <w:rPr>
          <w:rFonts w:ascii="Book Antiqua" w:eastAsia="Microsoft YaHei" w:hAnsi="Book Antiqua" w:cs="SimSun"/>
        </w:rPr>
        <w:t>Gastroenterology and hepatology</w:t>
      </w:r>
    </w:p>
    <w:p w14:paraId="3A3BBFB9" w14:textId="704DE06C" w:rsidR="000622B9" w:rsidRPr="00567DF9" w:rsidRDefault="000622B9" w:rsidP="00567DF9">
      <w:pPr>
        <w:shd w:val="clear" w:color="auto" w:fill="FFFFFF"/>
        <w:spacing w:line="360" w:lineRule="auto"/>
        <w:jc w:val="both"/>
        <w:rPr>
          <w:rFonts w:ascii="Book Antiqua" w:hAnsi="Book Antiqua" w:cs="Helvetica"/>
          <w:b/>
        </w:rPr>
      </w:pPr>
      <w:r w:rsidRPr="00567DF9">
        <w:rPr>
          <w:rFonts w:ascii="Book Antiqua" w:hAnsi="Book Antiqua" w:cs="Helvetica"/>
          <w:b/>
        </w:rPr>
        <w:t xml:space="preserve">Country of origin: </w:t>
      </w:r>
      <w:r w:rsidRPr="00567DF9">
        <w:rPr>
          <w:rFonts w:ascii="Book Antiqua" w:hAnsi="Book Antiqua" w:cs="Helvetica"/>
        </w:rPr>
        <w:t>Italy</w:t>
      </w:r>
    </w:p>
    <w:p w14:paraId="2136FC44" w14:textId="77777777" w:rsidR="000622B9" w:rsidRPr="00567DF9" w:rsidRDefault="000622B9" w:rsidP="00567DF9">
      <w:pPr>
        <w:shd w:val="clear" w:color="auto" w:fill="FFFFFF"/>
        <w:spacing w:line="360" w:lineRule="auto"/>
        <w:jc w:val="both"/>
        <w:rPr>
          <w:rFonts w:ascii="Book Antiqua" w:hAnsi="Book Antiqua" w:cs="Helvetica"/>
          <w:b/>
        </w:rPr>
      </w:pPr>
      <w:r w:rsidRPr="00567DF9">
        <w:rPr>
          <w:rFonts w:ascii="Book Antiqua" w:hAnsi="Book Antiqua" w:cs="Helvetica"/>
          <w:b/>
        </w:rPr>
        <w:t>Peer-review report classification</w:t>
      </w:r>
    </w:p>
    <w:p w14:paraId="5578914C" w14:textId="77777777" w:rsidR="000622B9" w:rsidRPr="00567DF9" w:rsidRDefault="000622B9" w:rsidP="00567DF9">
      <w:pPr>
        <w:shd w:val="clear" w:color="auto" w:fill="FFFFFF"/>
        <w:spacing w:line="360" w:lineRule="auto"/>
        <w:jc w:val="both"/>
        <w:rPr>
          <w:rFonts w:ascii="Book Antiqua" w:hAnsi="Book Antiqua" w:cs="Helvetica"/>
        </w:rPr>
      </w:pPr>
      <w:r w:rsidRPr="00567DF9">
        <w:rPr>
          <w:rFonts w:ascii="Book Antiqua" w:hAnsi="Book Antiqua" w:cs="Helvetica"/>
        </w:rPr>
        <w:t>Grade A (Excellent): 0</w:t>
      </w:r>
    </w:p>
    <w:p w14:paraId="0D6AED39" w14:textId="77777777" w:rsidR="000622B9" w:rsidRPr="00567DF9" w:rsidRDefault="000622B9" w:rsidP="00567DF9">
      <w:pPr>
        <w:shd w:val="clear" w:color="auto" w:fill="FFFFFF"/>
        <w:spacing w:line="360" w:lineRule="auto"/>
        <w:jc w:val="both"/>
        <w:rPr>
          <w:rFonts w:ascii="Book Antiqua" w:hAnsi="Book Antiqua" w:cs="Helvetica"/>
        </w:rPr>
      </w:pPr>
      <w:r w:rsidRPr="00567DF9">
        <w:rPr>
          <w:rFonts w:ascii="Book Antiqua" w:hAnsi="Book Antiqua" w:cs="Helvetica"/>
        </w:rPr>
        <w:t>Grade B (Very good): B</w:t>
      </w:r>
    </w:p>
    <w:p w14:paraId="5A1B6AAA" w14:textId="77777777" w:rsidR="000622B9" w:rsidRPr="00567DF9" w:rsidRDefault="000622B9" w:rsidP="00567DF9">
      <w:pPr>
        <w:shd w:val="clear" w:color="auto" w:fill="FFFFFF"/>
        <w:spacing w:line="360" w:lineRule="auto"/>
        <w:jc w:val="both"/>
        <w:rPr>
          <w:rFonts w:ascii="Book Antiqua" w:hAnsi="Book Antiqua" w:cs="Helvetica"/>
        </w:rPr>
      </w:pPr>
      <w:r w:rsidRPr="00567DF9">
        <w:rPr>
          <w:rFonts w:ascii="Book Antiqua" w:hAnsi="Book Antiqua" w:cs="Helvetica"/>
        </w:rPr>
        <w:t>Grade C (Good): C</w:t>
      </w:r>
    </w:p>
    <w:p w14:paraId="68D7D61F" w14:textId="77777777" w:rsidR="000622B9" w:rsidRPr="00567DF9" w:rsidRDefault="000622B9" w:rsidP="00567DF9">
      <w:pPr>
        <w:shd w:val="clear" w:color="auto" w:fill="FFFFFF"/>
        <w:spacing w:line="360" w:lineRule="auto"/>
        <w:jc w:val="both"/>
        <w:rPr>
          <w:rFonts w:ascii="Book Antiqua" w:hAnsi="Book Antiqua" w:cs="Helvetica"/>
        </w:rPr>
      </w:pPr>
      <w:r w:rsidRPr="00567DF9">
        <w:rPr>
          <w:rFonts w:ascii="Book Antiqua" w:hAnsi="Book Antiqua" w:cs="Helvetica"/>
        </w:rPr>
        <w:t>Grade D (Fair): 0</w:t>
      </w:r>
    </w:p>
    <w:p w14:paraId="3B3E3F59" w14:textId="77777777" w:rsidR="000622B9" w:rsidRPr="00567DF9" w:rsidRDefault="000622B9" w:rsidP="00567DF9">
      <w:pPr>
        <w:shd w:val="clear" w:color="auto" w:fill="FFFFFF"/>
        <w:spacing w:line="360" w:lineRule="auto"/>
        <w:jc w:val="both"/>
        <w:rPr>
          <w:rFonts w:ascii="Book Antiqua" w:hAnsi="Book Antiqua" w:cs="Helvetica"/>
        </w:rPr>
      </w:pPr>
      <w:r w:rsidRPr="00567DF9">
        <w:rPr>
          <w:rFonts w:ascii="Book Antiqua" w:hAnsi="Book Antiqua" w:cs="Helvetica"/>
        </w:rPr>
        <w:t>Grade E (Poor): 0</w:t>
      </w:r>
    </w:p>
    <w:p w14:paraId="333DDD9B" w14:textId="77777777" w:rsidR="003F1287" w:rsidRPr="00567DF9" w:rsidRDefault="003F1287" w:rsidP="00567DF9">
      <w:pPr>
        <w:spacing w:line="360" w:lineRule="auto"/>
        <w:jc w:val="both"/>
        <w:rPr>
          <w:rFonts w:ascii="Book Antiqua" w:hAnsi="Book Antiqua"/>
          <w:color w:val="000000" w:themeColor="text1"/>
        </w:rPr>
      </w:pPr>
    </w:p>
    <w:p w14:paraId="4657AF9D" w14:textId="77777777" w:rsidR="002D739B" w:rsidRPr="00567DF9" w:rsidRDefault="002D739B"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br w:type="page"/>
      </w:r>
    </w:p>
    <w:p w14:paraId="20248060" w14:textId="1CBE29D6" w:rsidR="00827FD1" w:rsidRPr="00567DF9" w:rsidRDefault="00AE125D" w:rsidP="00567DF9">
      <w:pPr>
        <w:spacing w:line="360" w:lineRule="auto"/>
        <w:jc w:val="both"/>
        <w:rPr>
          <w:rFonts w:ascii="Book Antiqua" w:hAnsi="Book Antiqua"/>
          <w:color w:val="000000" w:themeColor="text1"/>
          <w:lang w:val="en-US"/>
        </w:rPr>
      </w:pPr>
      <w:r w:rsidRPr="00567DF9">
        <w:rPr>
          <w:rFonts w:ascii="Book Antiqua" w:hAnsi="Book Antiqua"/>
          <w:b/>
          <w:color w:val="000000" w:themeColor="text1"/>
          <w:lang w:val="en-US"/>
        </w:rPr>
        <w:lastRenderedPageBreak/>
        <w:t>Table 1</w:t>
      </w:r>
      <w:r w:rsidRPr="00567DF9">
        <w:rPr>
          <w:rFonts w:ascii="Book Antiqua" w:hAnsi="Book Antiqua"/>
          <w:color w:val="000000" w:themeColor="text1"/>
          <w:lang w:val="en-US"/>
        </w:rPr>
        <w:t xml:space="preserve"> </w:t>
      </w:r>
      <w:r w:rsidRPr="00567DF9">
        <w:rPr>
          <w:rFonts w:ascii="Book Antiqua" w:hAnsi="Book Antiqua"/>
          <w:b/>
          <w:color w:val="000000" w:themeColor="text1"/>
          <w:lang w:val="en-US"/>
        </w:rPr>
        <w:t>Papers about neoadjuvant therapy before resection considered in this review</w:t>
      </w:r>
    </w:p>
    <w:tbl>
      <w:tblPr>
        <w:tblStyle w:val="TableGrid"/>
        <w:tblW w:w="13467" w:type="dxa"/>
        <w:tblInd w:w="-1026" w:type="dxa"/>
        <w:tblLook w:val="04A0" w:firstRow="1" w:lastRow="0" w:firstColumn="1" w:lastColumn="0" w:noHBand="0" w:noVBand="1"/>
      </w:tblPr>
      <w:tblGrid>
        <w:gridCol w:w="1389"/>
        <w:gridCol w:w="696"/>
        <w:gridCol w:w="1662"/>
        <w:gridCol w:w="1153"/>
        <w:gridCol w:w="1643"/>
        <w:gridCol w:w="2084"/>
        <w:gridCol w:w="1634"/>
        <w:gridCol w:w="1610"/>
        <w:gridCol w:w="1596"/>
      </w:tblGrid>
      <w:tr w:rsidR="005F090C" w:rsidRPr="00567DF9" w14:paraId="5622A197" w14:textId="16D86ED9" w:rsidTr="000622B9">
        <w:tc>
          <w:tcPr>
            <w:tcW w:w="1389" w:type="dxa"/>
            <w:vAlign w:val="center"/>
          </w:tcPr>
          <w:p w14:paraId="45C587B7" w14:textId="595DD3E0"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 xml:space="preserve">Author </w:t>
            </w:r>
          </w:p>
        </w:tc>
        <w:tc>
          <w:tcPr>
            <w:tcW w:w="696" w:type="dxa"/>
          </w:tcPr>
          <w:p w14:paraId="45F44A0D" w14:textId="7E4645DC" w:rsidR="00445FAA" w:rsidRPr="00567DF9" w:rsidRDefault="00445FAA" w:rsidP="00567DF9">
            <w:pPr>
              <w:spacing w:line="360" w:lineRule="auto"/>
              <w:jc w:val="both"/>
              <w:rPr>
                <w:rFonts w:ascii="Book Antiqua" w:eastAsia="SimSun" w:hAnsi="Book Antiqua"/>
                <w:b/>
                <w:color w:val="000000" w:themeColor="text1"/>
                <w:lang w:val="en-US" w:eastAsia="zh-CN"/>
              </w:rPr>
            </w:pPr>
            <w:proofErr w:type="spellStart"/>
            <w:r w:rsidRPr="00567DF9">
              <w:rPr>
                <w:rFonts w:ascii="Book Antiqua" w:eastAsia="SimSun" w:hAnsi="Book Antiqua"/>
                <w:b/>
                <w:color w:val="000000" w:themeColor="text1"/>
                <w:lang w:val="en-US" w:eastAsia="zh-CN"/>
              </w:rPr>
              <w:t>Yr</w:t>
            </w:r>
            <w:proofErr w:type="spellEnd"/>
          </w:p>
        </w:tc>
        <w:tc>
          <w:tcPr>
            <w:tcW w:w="1662" w:type="dxa"/>
            <w:vAlign w:val="center"/>
          </w:tcPr>
          <w:p w14:paraId="368E96AE" w14:textId="5D04ED5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Type of study</w:t>
            </w:r>
          </w:p>
        </w:tc>
        <w:tc>
          <w:tcPr>
            <w:tcW w:w="1153" w:type="dxa"/>
            <w:vAlign w:val="center"/>
          </w:tcPr>
          <w:p w14:paraId="4108E918" w14:textId="4C01F06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val="en-GB" w:eastAsia="en-US"/>
              </w:rPr>
              <w:t>Patients treated with NA RCT</w:t>
            </w:r>
          </w:p>
        </w:tc>
        <w:tc>
          <w:tcPr>
            <w:tcW w:w="1643" w:type="dxa"/>
            <w:vAlign w:val="center"/>
          </w:tcPr>
          <w:p w14:paraId="0DE32067" w14:textId="016FE05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Resectability</w:t>
            </w:r>
          </w:p>
        </w:tc>
        <w:tc>
          <w:tcPr>
            <w:tcW w:w="2084" w:type="dxa"/>
            <w:vAlign w:val="center"/>
          </w:tcPr>
          <w:p w14:paraId="5D5ECB5C" w14:textId="3BFDD29A"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Neoadjuvant regimen</w:t>
            </w:r>
          </w:p>
        </w:tc>
        <w:tc>
          <w:tcPr>
            <w:tcW w:w="1634" w:type="dxa"/>
            <w:vAlign w:val="center"/>
          </w:tcPr>
          <w:p w14:paraId="18AC6E41" w14:textId="138540DB"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 of R0 (R0/resected)</w:t>
            </w:r>
          </w:p>
        </w:tc>
        <w:tc>
          <w:tcPr>
            <w:tcW w:w="1610" w:type="dxa"/>
            <w:vAlign w:val="center"/>
          </w:tcPr>
          <w:p w14:paraId="367234EB" w14:textId="5D4B2C9B"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 xml:space="preserve"> Results achieved</w:t>
            </w:r>
          </w:p>
        </w:tc>
        <w:tc>
          <w:tcPr>
            <w:tcW w:w="1596" w:type="dxa"/>
            <w:vAlign w:val="center"/>
          </w:tcPr>
          <w:p w14:paraId="5664FBF4" w14:textId="27FB29E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Conclusions</w:t>
            </w:r>
          </w:p>
        </w:tc>
      </w:tr>
      <w:tr w:rsidR="005F090C" w:rsidRPr="00567DF9" w14:paraId="35483F5F" w14:textId="7B1D0853" w:rsidTr="000622B9">
        <w:tc>
          <w:tcPr>
            <w:tcW w:w="1389" w:type="dxa"/>
            <w:vAlign w:val="center"/>
          </w:tcPr>
          <w:p w14:paraId="099E06AF" w14:textId="207E5BFA"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McMasters </w:t>
            </w:r>
            <w:r w:rsidRPr="00567DF9">
              <w:rPr>
                <w:rFonts w:ascii="Book Antiqua" w:eastAsia="Times New Roman" w:hAnsi="Book Antiqua" w:cs="Times New Roman"/>
                <w:i/>
                <w:color w:val="000000"/>
                <w:lang w:eastAsia="en-US"/>
              </w:rPr>
              <w:t>at al</w:t>
            </w:r>
            <w:r w:rsidRPr="00567DF9">
              <w:rPr>
                <w:rFonts w:ascii="Book Antiqua" w:eastAsia="Times New Roman" w:hAnsi="Book Antiqua" w:cs="Times New Roman"/>
                <w:color w:val="000000"/>
                <w:vertAlign w:val="superscript"/>
                <w:lang w:eastAsia="en-US"/>
              </w:rPr>
              <w:t>[11]</w:t>
            </w:r>
          </w:p>
        </w:tc>
        <w:tc>
          <w:tcPr>
            <w:tcW w:w="696" w:type="dxa"/>
          </w:tcPr>
          <w:p w14:paraId="0E731F79" w14:textId="5AFBE8EC" w:rsidR="00445FAA" w:rsidRPr="00567DF9" w:rsidRDefault="00445FAA" w:rsidP="00567DF9">
            <w:pPr>
              <w:spacing w:line="360" w:lineRule="auto"/>
              <w:jc w:val="both"/>
              <w:rPr>
                <w:rFonts w:ascii="Book Antiqua" w:eastAsia="SimSun" w:hAnsi="Book Antiqua"/>
                <w:color w:val="000000" w:themeColor="text1"/>
                <w:lang w:val="en-US" w:eastAsia="zh-CN"/>
              </w:rPr>
            </w:pPr>
            <w:r w:rsidRPr="00567DF9">
              <w:rPr>
                <w:rFonts w:ascii="Book Antiqua" w:eastAsia="SimSun" w:hAnsi="Book Antiqua"/>
                <w:color w:val="000000" w:themeColor="text1"/>
                <w:lang w:val="en-US" w:eastAsia="zh-CN"/>
              </w:rPr>
              <w:t>1997</w:t>
            </w:r>
          </w:p>
        </w:tc>
        <w:tc>
          <w:tcPr>
            <w:tcW w:w="1662" w:type="dxa"/>
            <w:vAlign w:val="center"/>
          </w:tcPr>
          <w:p w14:paraId="418340E2" w14:textId="2111C719"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Non randomized, prospective</w:t>
            </w:r>
          </w:p>
        </w:tc>
        <w:tc>
          <w:tcPr>
            <w:tcW w:w="1153" w:type="dxa"/>
            <w:vAlign w:val="center"/>
          </w:tcPr>
          <w:p w14:paraId="04B858FD" w14:textId="7A15C781"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5 hCCA and 4 dCCA</w:t>
            </w:r>
          </w:p>
        </w:tc>
        <w:tc>
          <w:tcPr>
            <w:tcW w:w="1643" w:type="dxa"/>
            <w:vAlign w:val="center"/>
          </w:tcPr>
          <w:p w14:paraId="2F3A9F5A" w14:textId="309397AD"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All unresectable</w:t>
            </w:r>
          </w:p>
        </w:tc>
        <w:tc>
          <w:tcPr>
            <w:tcW w:w="2084" w:type="dxa"/>
            <w:vAlign w:val="center"/>
          </w:tcPr>
          <w:p w14:paraId="7700176F" w14:textId="64EA52F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5-FU at 300 mg/m</w:t>
            </w:r>
            <w:r w:rsidRPr="00567DF9">
              <w:rPr>
                <w:rFonts w:ascii="Book Antiqua" w:eastAsia="Times New Roman" w:hAnsi="Book Antiqua" w:cs="Times New Roman"/>
                <w:color w:val="000000"/>
                <w:vertAlign w:val="superscript"/>
                <w:lang w:val="en-GB" w:eastAsia="en-US"/>
              </w:rPr>
              <w:t>2</w:t>
            </w:r>
            <w:r w:rsidRPr="00567DF9">
              <w:rPr>
                <w:rFonts w:ascii="Book Antiqua" w:eastAsia="Times New Roman" w:hAnsi="Book Antiqua" w:cs="Times New Roman"/>
                <w:color w:val="000000"/>
                <w:lang w:val="en-GB" w:eastAsia="en-US"/>
              </w:rPr>
              <w:t>, EBRT to 50</w:t>
            </w:r>
            <w:r w:rsidR="002D739B" w:rsidRPr="00567DF9">
              <w:rPr>
                <w:rFonts w:ascii="Book Antiqua" w:eastAsia="Times New Roman" w:hAnsi="Book Antiqua" w:cs="Times New Roman"/>
                <w:color w:val="000000"/>
                <w:lang w:val="en-GB" w:eastAsia="en-US"/>
              </w:rPr>
              <w:t>.</w:t>
            </w:r>
            <w:r w:rsidRPr="00567DF9">
              <w:rPr>
                <w:rFonts w:ascii="Book Antiqua" w:eastAsia="Times New Roman" w:hAnsi="Book Antiqua" w:cs="Times New Roman"/>
                <w:color w:val="000000"/>
                <w:lang w:val="en-GB" w:eastAsia="en-US"/>
              </w:rPr>
              <w:t xml:space="preserve">4 or 45 </w:t>
            </w:r>
            <w:proofErr w:type="spellStart"/>
            <w:r w:rsidRPr="00567DF9">
              <w:rPr>
                <w:rFonts w:ascii="Book Antiqua" w:eastAsia="Times New Roman" w:hAnsi="Book Antiqua" w:cs="Times New Roman"/>
                <w:color w:val="000000"/>
                <w:lang w:val="en-GB" w:eastAsia="en-US"/>
              </w:rPr>
              <w:t>Gy</w:t>
            </w:r>
            <w:proofErr w:type="spellEnd"/>
            <w:r w:rsidRPr="00567DF9">
              <w:rPr>
                <w:rFonts w:ascii="Book Antiqua" w:eastAsia="Times New Roman" w:hAnsi="Book Antiqua" w:cs="Times New Roman"/>
                <w:color w:val="000000"/>
                <w:lang w:val="en-GB" w:eastAsia="en-US"/>
              </w:rPr>
              <w:t xml:space="preserve"> </w:t>
            </w:r>
          </w:p>
        </w:tc>
        <w:tc>
          <w:tcPr>
            <w:tcW w:w="1634" w:type="dxa"/>
            <w:vAlign w:val="center"/>
          </w:tcPr>
          <w:p w14:paraId="598FF210" w14:textId="79CD5356"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100% (9/9)</w:t>
            </w:r>
          </w:p>
        </w:tc>
        <w:tc>
          <w:tcPr>
            <w:tcW w:w="1610" w:type="dxa"/>
            <w:vAlign w:val="center"/>
          </w:tcPr>
          <w:p w14:paraId="7A2D2C6E" w14:textId="6982B717"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Recurrence for hCCA: 0%</w:t>
            </w:r>
          </w:p>
        </w:tc>
        <w:tc>
          <w:tcPr>
            <w:tcW w:w="1596" w:type="dxa"/>
            <w:vAlign w:val="center"/>
          </w:tcPr>
          <w:p w14:paraId="320E67FB" w14:textId="56B6CE16"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RCT can safely allow R0 resection.</w:t>
            </w:r>
          </w:p>
        </w:tc>
      </w:tr>
      <w:tr w:rsidR="005F090C" w:rsidRPr="00567DF9" w14:paraId="2A6C1C0D" w14:textId="4C29BB88" w:rsidTr="000622B9">
        <w:tc>
          <w:tcPr>
            <w:tcW w:w="1389" w:type="dxa"/>
            <w:vAlign w:val="center"/>
          </w:tcPr>
          <w:p w14:paraId="2FB3E3EC" w14:textId="281DABCC"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Nelson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[14]</w:t>
            </w:r>
          </w:p>
        </w:tc>
        <w:tc>
          <w:tcPr>
            <w:tcW w:w="696" w:type="dxa"/>
          </w:tcPr>
          <w:p w14:paraId="233BA85B" w14:textId="2229B529" w:rsidR="00445FAA" w:rsidRPr="00567DF9" w:rsidRDefault="00445FAA" w:rsidP="00567DF9">
            <w:pPr>
              <w:spacing w:line="360" w:lineRule="auto"/>
              <w:jc w:val="both"/>
              <w:rPr>
                <w:rFonts w:ascii="Book Antiqua" w:eastAsia="SimSun" w:hAnsi="Book Antiqua"/>
                <w:color w:val="000000" w:themeColor="text1"/>
                <w:lang w:val="en-US" w:eastAsia="zh-CN"/>
              </w:rPr>
            </w:pPr>
            <w:r w:rsidRPr="00567DF9">
              <w:rPr>
                <w:rFonts w:ascii="Book Antiqua" w:eastAsia="SimSun" w:hAnsi="Book Antiqua"/>
                <w:color w:val="000000" w:themeColor="text1"/>
                <w:lang w:val="en-US" w:eastAsia="zh-CN"/>
              </w:rPr>
              <w:t>2009</w:t>
            </w:r>
          </w:p>
        </w:tc>
        <w:tc>
          <w:tcPr>
            <w:tcW w:w="1662" w:type="dxa"/>
            <w:vAlign w:val="center"/>
          </w:tcPr>
          <w:p w14:paraId="7DA40C9F" w14:textId="420FCF2B"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Retrospective</w:t>
            </w:r>
          </w:p>
        </w:tc>
        <w:tc>
          <w:tcPr>
            <w:tcW w:w="1153" w:type="dxa"/>
            <w:vAlign w:val="center"/>
          </w:tcPr>
          <w:p w14:paraId="58B8BD57" w14:textId="5502F71D"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12 (hCCA and dCCA)</w:t>
            </w:r>
          </w:p>
        </w:tc>
        <w:tc>
          <w:tcPr>
            <w:tcW w:w="1643" w:type="dxa"/>
            <w:vAlign w:val="center"/>
          </w:tcPr>
          <w:p w14:paraId="42448BFF" w14:textId="6DCEEA86"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10 unresectable</w:t>
            </w:r>
          </w:p>
        </w:tc>
        <w:tc>
          <w:tcPr>
            <w:tcW w:w="2084" w:type="dxa"/>
            <w:vAlign w:val="center"/>
          </w:tcPr>
          <w:p w14:paraId="5ABB9ADD" w14:textId="539F60FC"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5-FU, EBRT to 50</w:t>
            </w:r>
            <w:r w:rsidR="002D739B" w:rsidRPr="00567DF9">
              <w:rPr>
                <w:rFonts w:ascii="Book Antiqua" w:eastAsia="Times New Roman" w:hAnsi="Book Antiqua" w:cs="Times New Roman"/>
                <w:color w:val="000000"/>
                <w:lang w:val="en-GB" w:eastAsia="en-US"/>
              </w:rPr>
              <w:t>.</w:t>
            </w:r>
            <w:r w:rsidRPr="00567DF9">
              <w:rPr>
                <w:rFonts w:ascii="Book Antiqua" w:eastAsia="Times New Roman" w:hAnsi="Book Antiqua" w:cs="Times New Roman"/>
                <w:color w:val="000000"/>
                <w:lang w:val="en-GB" w:eastAsia="en-US"/>
              </w:rPr>
              <w:t xml:space="preserve">4 </w:t>
            </w:r>
            <w:proofErr w:type="spellStart"/>
            <w:r w:rsidRPr="00567DF9">
              <w:rPr>
                <w:rFonts w:ascii="Book Antiqua" w:eastAsia="Times New Roman" w:hAnsi="Book Antiqua" w:cs="Times New Roman"/>
                <w:color w:val="000000"/>
                <w:lang w:val="en-GB" w:eastAsia="en-US"/>
              </w:rPr>
              <w:t>Gy</w:t>
            </w:r>
            <w:proofErr w:type="spellEnd"/>
            <w:r w:rsidRPr="00567DF9">
              <w:rPr>
                <w:rFonts w:ascii="Book Antiqua" w:eastAsia="Times New Roman" w:hAnsi="Book Antiqua" w:cs="Times New Roman"/>
                <w:color w:val="000000"/>
                <w:lang w:val="en-GB" w:eastAsia="en-US"/>
              </w:rPr>
              <w:t xml:space="preserve"> (11/12) ± </w:t>
            </w:r>
            <w:proofErr w:type="spellStart"/>
            <w:r w:rsidRPr="00567DF9">
              <w:rPr>
                <w:rFonts w:ascii="Book Antiqua" w:eastAsia="Times New Roman" w:hAnsi="Book Antiqua" w:cs="Times New Roman"/>
                <w:color w:val="000000"/>
                <w:lang w:val="en-GB" w:eastAsia="en-US"/>
              </w:rPr>
              <w:t>brachitherapy</w:t>
            </w:r>
            <w:proofErr w:type="spellEnd"/>
            <w:r w:rsidRPr="00567DF9">
              <w:rPr>
                <w:rFonts w:ascii="Book Antiqua" w:eastAsia="Times New Roman" w:hAnsi="Book Antiqua" w:cs="Times New Roman"/>
                <w:color w:val="000000"/>
                <w:lang w:val="en-GB" w:eastAsia="en-US"/>
              </w:rPr>
              <w:t xml:space="preserve"> (5/12) </w:t>
            </w:r>
          </w:p>
        </w:tc>
        <w:tc>
          <w:tcPr>
            <w:tcW w:w="1634" w:type="dxa"/>
            <w:vAlign w:val="center"/>
          </w:tcPr>
          <w:p w14:paraId="6A30F955" w14:textId="6EB91567"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91% (11/12)</w:t>
            </w:r>
          </w:p>
        </w:tc>
        <w:tc>
          <w:tcPr>
            <w:tcW w:w="1610" w:type="dxa"/>
            <w:vAlign w:val="center"/>
          </w:tcPr>
          <w:p w14:paraId="3FD76F57" w14:textId="4E500AB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Better trend in 5-yr survival rate for NA RCT group</w:t>
            </w:r>
          </w:p>
        </w:tc>
        <w:tc>
          <w:tcPr>
            <w:tcW w:w="1596" w:type="dxa"/>
            <w:vAlign w:val="center"/>
          </w:tcPr>
          <w:p w14:paraId="46D722AA" w14:textId="1602EB1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RCT can safely allow R0 resection.</w:t>
            </w:r>
          </w:p>
        </w:tc>
      </w:tr>
      <w:tr w:rsidR="005F090C" w:rsidRPr="00567DF9" w14:paraId="249635AA" w14:textId="0405B859" w:rsidTr="000622B9">
        <w:tc>
          <w:tcPr>
            <w:tcW w:w="1389" w:type="dxa"/>
            <w:vAlign w:val="center"/>
          </w:tcPr>
          <w:p w14:paraId="107CED2D" w14:textId="4906939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Jung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[15]</w:t>
            </w:r>
          </w:p>
        </w:tc>
        <w:tc>
          <w:tcPr>
            <w:tcW w:w="696" w:type="dxa"/>
          </w:tcPr>
          <w:p w14:paraId="23A391A5" w14:textId="517EE3EE" w:rsidR="00445FAA" w:rsidRPr="00567DF9" w:rsidRDefault="00445FAA" w:rsidP="00567DF9">
            <w:pPr>
              <w:spacing w:line="360" w:lineRule="auto"/>
              <w:jc w:val="both"/>
              <w:rPr>
                <w:rFonts w:ascii="Book Antiqua" w:eastAsia="SimSun" w:hAnsi="Book Antiqua"/>
                <w:color w:val="000000" w:themeColor="text1"/>
                <w:lang w:val="en-US" w:eastAsia="zh-CN"/>
              </w:rPr>
            </w:pPr>
            <w:r w:rsidRPr="00567DF9">
              <w:rPr>
                <w:rFonts w:ascii="Book Antiqua" w:eastAsia="SimSun" w:hAnsi="Book Antiqua"/>
                <w:color w:val="000000" w:themeColor="text1"/>
                <w:lang w:val="en-US" w:eastAsia="zh-CN"/>
              </w:rPr>
              <w:t>2015</w:t>
            </w:r>
          </w:p>
        </w:tc>
        <w:tc>
          <w:tcPr>
            <w:tcW w:w="1662" w:type="dxa"/>
            <w:vAlign w:val="center"/>
          </w:tcPr>
          <w:p w14:paraId="230A0573" w14:textId="738B6A3A"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Retrospective</w:t>
            </w:r>
          </w:p>
        </w:tc>
        <w:tc>
          <w:tcPr>
            <w:tcW w:w="1153" w:type="dxa"/>
            <w:vAlign w:val="center"/>
          </w:tcPr>
          <w:p w14:paraId="12CBF7CE" w14:textId="4D76F6C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12, all hCCA</w:t>
            </w:r>
          </w:p>
        </w:tc>
        <w:tc>
          <w:tcPr>
            <w:tcW w:w="1643" w:type="dxa"/>
            <w:vAlign w:val="center"/>
          </w:tcPr>
          <w:p w14:paraId="35EE6763" w14:textId="67E5C23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All unresectable</w:t>
            </w:r>
          </w:p>
        </w:tc>
        <w:tc>
          <w:tcPr>
            <w:tcW w:w="2084" w:type="dxa"/>
            <w:vAlign w:val="center"/>
          </w:tcPr>
          <w:p w14:paraId="16011ABB" w14:textId="719E32D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5-FU/Gemcitabine, EBRT to 50</w:t>
            </w:r>
            <w:r w:rsidR="002D739B" w:rsidRPr="00567DF9">
              <w:rPr>
                <w:rFonts w:ascii="Book Antiqua" w:eastAsia="Times New Roman" w:hAnsi="Book Antiqua" w:cs="Times New Roman"/>
                <w:color w:val="000000"/>
                <w:lang w:val="en-GB" w:eastAsia="en-US"/>
              </w:rPr>
              <w:t>.</w:t>
            </w:r>
            <w:r w:rsidRPr="00567DF9">
              <w:rPr>
                <w:rFonts w:ascii="Book Antiqua" w:eastAsia="Times New Roman" w:hAnsi="Book Antiqua" w:cs="Times New Roman"/>
                <w:color w:val="000000"/>
                <w:lang w:val="en-GB" w:eastAsia="en-US"/>
              </w:rPr>
              <w:t xml:space="preserve">4 or 45 </w:t>
            </w:r>
            <w:proofErr w:type="spellStart"/>
            <w:r w:rsidRPr="00567DF9">
              <w:rPr>
                <w:rFonts w:ascii="Book Antiqua" w:eastAsia="Times New Roman" w:hAnsi="Book Antiqua" w:cs="Times New Roman"/>
                <w:color w:val="000000"/>
                <w:lang w:val="en-GB" w:eastAsia="en-US"/>
              </w:rPr>
              <w:t>Gy</w:t>
            </w:r>
            <w:proofErr w:type="spellEnd"/>
          </w:p>
        </w:tc>
        <w:tc>
          <w:tcPr>
            <w:tcW w:w="1634" w:type="dxa"/>
            <w:vAlign w:val="center"/>
          </w:tcPr>
          <w:p w14:paraId="436B42A3" w14:textId="703E848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83,3% (10/12)</w:t>
            </w:r>
          </w:p>
        </w:tc>
        <w:tc>
          <w:tcPr>
            <w:tcW w:w="1610" w:type="dxa"/>
            <w:vAlign w:val="center"/>
          </w:tcPr>
          <w:p w14:paraId="7871433E" w14:textId="6FB7B092"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Better R0 rate for NA RCT group; no advantage in DFS and OS</w:t>
            </w:r>
          </w:p>
        </w:tc>
        <w:tc>
          <w:tcPr>
            <w:tcW w:w="1596" w:type="dxa"/>
            <w:vAlign w:val="center"/>
          </w:tcPr>
          <w:p w14:paraId="2C2DA64C" w14:textId="06BF727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RCT can safely allow R0 resection, without improving DFS and OS.</w:t>
            </w:r>
          </w:p>
        </w:tc>
      </w:tr>
      <w:tr w:rsidR="005F090C" w:rsidRPr="00567DF9" w14:paraId="0B2DE6EC" w14:textId="7CBF37AD" w:rsidTr="000622B9">
        <w:tc>
          <w:tcPr>
            <w:tcW w:w="1389" w:type="dxa"/>
            <w:vAlign w:val="center"/>
          </w:tcPr>
          <w:p w14:paraId="31957607" w14:textId="0ECF2BE9"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Sumiyoshi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[16]</w:t>
            </w:r>
          </w:p>
        </w:tc>
        <w:tc>
          <w:tcPr>
            <w:tcW w:w="696" w:type="dxa"/>
          </w:tcPr>
          <w:p w14:paraId="4DDDB805" w14:textId="6EA4E46F" w:rsidR="00445FAA" w:rsidRPr="00567DF9" w:rsidRDefault="00445FAA" w:rsidP="00567DF9">
            <w:pPr>
              <w:spacing w:line="360" w:lineRule="auto"/>
              <w:jc w:val="both"/>
              <w:rPr>
                <w:rFonts w:ascii="Book Antiqua" w:eastAsia="SimSun" w:hAnsi="Book Antiqua"/>
                <w:color w:val="000000" w:themeColor="text1"/>
                <w:lang w:val="en-US" w:eastAsia="zh-CN"/>
              </w:rPr>
            </w:pPr>
            <w:r w:rsidRPr="00567DF9">
              <w:rPr>
                <w:rFonts w:ascii="Book Antiqua" w:eastAsia="SimSun" w:hAnsi="Book Antiqua"/>
                <w:color w:val="000000" w:themeColor="text1"/>
                <w:lang w:val="en-US" w:eastAsia="zh-CN"/>
              </w:rPr>
              <w:t>2018</w:t>
            </w:r>
          </w:p>
        </w:tc>
        <w:tc>
          <w:tcPr>
            <w:tcW w:w="1662" w:type="dxa"/>
            <w:vAlign w:val="center"/>
          </w:tcPr>
          <w:p w14:paraId="0B555FE6" w14:textId="4677297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Retrospective</w:t>
            </w:r>
          </w:p>
        </w:tc>
        <w:tc>
          <w:tcPr>
            <w:tcW w:w="1153" w:type="dxa"/>
            <w:vAlign w:val="center"/>
          </w:tcPr>
          <w:p w14:paraId="5DA1616B" w14:textId="296F3BA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8 hCCA</w:t>
            </w:r>
          </w:p>
        </w:tc>
        <w:tc>
          <w:tcPr>
            <w:tcW w:w="1643" w:type="dxa"/>
            <w:vAlign w:val="center"/>
          </w:tcPr>
          <w:p w14:paraId="13233B83" w14:textId="2B51802B"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All unresectable</w:t>
            </w:r>
          </w:p>
        </w:tc>
        <w:tc>
          <w:tcPr>
            <w:tcW w:w="2084" w:type="dxa"/>
            <w:vAlign w:val="center"/>
          </w:tcPr>
          <w:p w14:paraId="49AECACF" w14:textId="70AEB20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S-1, EBRT to 50 Gy</w:t>
            </w:r>
          </w:p>
        </w:tc>
        <w:tc>
          <w:tcPr>
            <w:tcW w:w="1634" w:type="dxa"/>
            <w:vAlign w:val="center"/>
          </w:tcPr>
          <w:p w14:paraId="51A74635" w14:textId="78F1CB61"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71,4% (5/7)</w:t>
            </w:r>
          </w:p>
        </w:tc>
        <w:tc>
          <w:tcPr>
            <w:tcW w:w="1610" w:type="dxa"/>
            <w:vAlign w:val="center"/>
          </w:tcPr>
          <w:p w14:paraId="489C153E" w14:textId="74FDC3AD"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Better DFS and OS for patients who underwent surgery after downstaging with NA RCT</w:t>
            </w:r>
          </w:p>
        </w:tc>
        <w:tc>
          <w:tcPr>
            <w:tcW w:w="1596" w:type="dxa"/>
            <w:vAlign w:val="center"/>
          </w:tcPr>
          <w:p w14:paraId="26E7D0C1" w14:textId="35F42A57"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RCT can safely allow R0 resection, improved DFS and OS for patients operated.</w:t>
            </w:r>
          </w:p>
        </w:tc>
      </w:tr>
      <w:tr w:rsidR="005F090C" w:rsidRPr="00567DF9" w14:paraId="16FBEC26" w14:textId="63A5A8EB" w:rsidTr="000622B9">
        <w:tc>
          <w:tcPr>
            <w:tcW w:w="1389" w:type="dxa"/>
            <w:vAlign w:val="center"/>
          </w:tcPr>
          <w:p w14:paraId="7B0090D2" w14:textId="28140870"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Katayose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[18]</w:t>
            </w:r>
          </w:p>
        </w:tc>
        <w:tc>
          <w:tcPr>
            <w:tcW w:w="696" w:type="dxa"/>
          </w:tcPr>
          <w:p w14:paraId="5FC0C51E" w14:textId="2C804CEE" w:rsidR="00445FAA" w:rsidRPr="00567DF9" w:rsidRDefault="00445FAA" w:rsidP="00567DF9">
            <w:pPr>
              <w:spacing w:line="360" w:lineRule="auto"/>
              <w:jc w:val="both"/>
              <w:rPr>
                <w:rFonts w:ascii="Book Antiqua" w:eastAsia="SimSun" w:hAnsi="Book Antiqua"/>
                <w:color w:val="000000" w:themeColor="text1"/>
                <w:lang w:val="en-US" w:eastAsia="zh-CN"/>
              </w:rPr>
            </w:pPr>
            <w:r w:rsidRPr="00567DF9">
              <w:rPr>
                <w:rFonts w:ascii="Book Antiqua" w:eastAsia="SimSun" w:hAnsi="Book Antiqua"/>
                <w:color w:val="000000" w:themeColor="text1"/>
                <w:lang w:val="en-US" w:eastAsia="zh-CN"/>
              </w:rPr>
              <w:t>2015</w:t>
            </w:r>
          </w:p>
        </w:tc>
        <w:tc>
          <w:tcPr>
            <w:tcW w:w="1662" w:type="dxa"/>
            <w:vAlign w:val="center"/>
          </w:tcPr>
          <w:p w14:paraId="4AEB0D00" w14:textId="647E470B"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Non randomized, </w:t>
            </w:r>
            <w:r w:rsidRPr="00567DF9">
              <w:rPr>
                <w:rFonts w:ascii="Book Antiqua" w:eastAsia="Times New Roman" w:hAnsi="Book Antiqua" w:cs="Times New Roman"/>
                <w:color w:val="000000"/>
                <w:lang w:eastAsia="en-US"/>
              </w:rPr>
              <w:lastRenderedPageBreak/>
              <w:t>prospective</w:t>
            </w:r>
          </w:p>
        </w:tc>
        <w:tc>
          <w:tcPr>
            <w:tcW w:w="1153" w:type="dxa"/>
            <w:vAlign w:val="center"/>
          </w:tcPr>
          <w:p w14:paraId="5E9B8A2E" w14:textId="6F1431A9"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lastRenderedPageBreak/>
              <w:t xml:space="preserve">24 (hCCA </w:t>
            </w:r>
            <w:r w:rsidRPr="00567DF9">
              <w:rPr>
                <w:rFonts w:ascii="Book Antiqua" w:eastAsia="Times New Roman" w:hAnsi="Book Antiqua" w:cs="Times New Roman"/>
                <w:color w:val="000000"/>
                <w:lang w:eastAsia="en-US"/>
              </w:rPr>
              <w:lastRenderedPageBreak/>
              <w:t xml:space="preserve">and dCCA) </w:t>
            </w:r>
          </w:p>
        </w:tc>
        <w:tc>
          <w:tcPr>
            <w:tcW w:w="1643" w:type="dxa"/>
            <w:vAlign w:val="center"/>
          </w:tcPr>
          <w:p w14:paraId="1010EECA" w14:textId="74C2101C"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lastRenderedPageBreak/>
              <w:t xml:space="preserve">All advanced, </w:t>
            </w:r>
            <w:r w:rsidRPr="00567DF9">
              <w:rPr>
                <w:rFonts w:ascii="Book Antiqua" w:eastAsia="Times New Roman" w:hAnsi="Book Antiqua" w:cs="Times New Roman"/>
                <w:color w:val="000000"/>
                <w:lang w:eastAsia="en-US"/>
              </w:rPr>
              <w:lastRenderedPageBreak/>
              <w:t>possibly resectable</w:t>
            </w:r>
          </w:p>
        </w:tc>
        <w:tc>
          <w:tcPr>
            <w:tcW w:w="2084" w:type="dxa"/>
            <w:vAlign w:val="center"/>
          </w:tcPr>
          <w:p w14:paraId="74A57A52" w14:textId="504FC0C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lastRenderedPageBreak/>
              <w:t>Gemcitabine 600</w:t>
            </w:r>
            <w:r w:rsidR="005F090C" w:rsidRPr="00567DF9">
              <w:rPr>
                <w:rFonts w:ascii="Book Antiqua" w:eastAsia="Times New Roman" w:hAnsi="Book Antiqua" w:cs="Times New Roman"/>
                <w:color w:val="000000"/>
                <w:lang w:val="en-GB" w:eastAsia="en-US"/>
              </w:rPr>
              <w:t xml:space="preserve"> </w:t>
            </w:r>
            <w:r w:rsidRPr="00567DF9">
              <w:rPr>
                <w:rFonts w:ascii="Book Antiqua" w:eastAsia="Times New Roman" w:hAnsi="Book Antiqua" w:cs="Times New Roman"/>
                <w:color w:val="000000"/>
                <w:lang w:val="en-GB" w:eastAsia="en-US"/>
              </w:rPr>
              <w:t>mg/m</w:t>
            </w:r>
            <w:r w:rsidRPr="00567DF9">
              <w:rPr>
                <w:rFonts w:ascii="Book Antiqua" w:eastAsia="Times New Roman" w:hAnsi="Book Antiqua" w:cs="Times New Roman"/>
                <w:color w:val="000000"/>
                <w:vertAlign w:val="superscript"/>
                <w:lang w:val="en-GB" w:eastAsia="en-US"/>
              </w:rPr>
              <w:t>2</w:t>
            </w:r>
            <w:r w:rsidRPr="00567DF9">
              <w:rPr>
                <w:rFonts w:ascii="Book Antiqua" w:eastAsia="Times New Roman" w:hAnsi="Book Antiqua" w:cs="Times New Roman"/>
                <w:color w:val="000000"/>
                <w:lang w:val="en-GB" w:eastAsia="en-US"/>
              </w:rPr>
              <w:t xml:space="preserve">, EBRT to </w:t>
            </w:r>
            <w:r w:rsidRPr="00567DF9">
              <w:rPr>
                <w:rFonts w:ascii="Book Antiqua" w:eastAsia="Times New Roman" w:hAnsi="Book Antiqua" w:cs="Times New Roman"/>
                <w:color w:val="000000"/>
                <w:lang w:val="en-GB" w:eastAsia="en-US"/>
              </w:rPr>
              <w:lastRenderedPageBreak/>
              <w:t xml:space="preserve">45 </w:t>
            </w:r>
            <w:proofErr w:type="spellStart"/>
            <w:r w:rsidRPr="00567DF9">
              <w:rPr>
                <w:rFonts w:ascii="Book Antiqua" w:eastAsia="Times New Roman" w:hAnsi="Book Antiqua" w:cs="Times New Roman"/>
                <w:color w:val="000000"/>
                <w:lang w:val="en-GB" w:eastAsia="en-US"/>
              </w:rPr>
              <w:t>Gy</w:t>
            </w:r>
            <w:proofErr w:type="spellEnd"/>
          </w:p>
        </w:tc>
        <w:tc>
          <w:tcPr>
            <w:tcW w:w="1634" w:type="dxa"/>
            <w:vAlign w:val="center"/>
          </w:tcPr>
          <w:p w14:paraId="0B528BCF" w14:textId="5EF7FA00"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lastRenderedPageBreak/>
              <w:t>80,9 % (17/21)</w:t>
            </w:r>
          </w:p>
        </w:tc>
        <w:tc>
          <w:tcPr>
            <w:tcW w:w="1610" w:type="dxa"/>
            <w:vAlign w:val="center"/>
          </w:tcPr>
          <w:p w14:paraId="09B60B47" w14:textId="5E232C4E"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R0 rate: 80</w:t>
            </w:r>
            <w:r w:rsidR="005F090C" w:rsidRPr="00567DF9">
              <w:rPr>
                <w:rFonts w:ascii="Book Antiqua" w:eastAsia="Times New Roman" w:hAnsi="Book Antiqua" w:cs="Times New Roman"/>
                <w:color w:val="000000"/>
                <w:lang w:val="en-GB" w:eastAsia="en-US"/>
              </w:rPr>
              <w:t>.</w:t>
            </w:r>
            <w:r w:rsidRPr="00567DF9">
              <w:rPr>
                <w:rFonts w:ascii="Book Antiqua" w:eastAsia="Times New Roman" w:hAnsi="Book Antiqua" w:cs="Times New Roman"/>
                <w:color w:val="000000"/>
                <w:lang w:val="en-GB" w:eastAsia="en-US"/>
              </w:rPr>
              <w:t xml:space="preserve">9% of </w:t>
            </w:r>
            <w:r w:rsidRPr="00567DF9">
              <w:rPr>
                <w:rFonts w:ascii="Book Antiqua" w:eastAsia="Times New Roman" w:hAnsi="Book Antiqua" w:cs="Times New Roman"/>
                <w:color w:val="000000"/>
                <w:lang w:val="en-GB" w:eastAsia="en-US"/>
              </w:rPr>
              <w:lastRenderedPageBreak/>
              <w:t>patients operated, 70</w:t>
            </w:r>
            <w:r w:rsidR="005F090C" w:rsidRPr="00567DF9">
              <w:rPr>
                <w:rFonts w:ascii="Book Antiqua" w:eastAsia="Times New Roman" w:hAnsi="Book Antiqua" w:cs="Times New Roman"/>
                <w:color w:val="000000"/>
                <w:lang w:val="en-GB" w:eastAsia="en-US"/>
              </w:rPr>
              <w:t>.</w:t>
            </w:r>
            <w:r w:rsidRPr="00567DF9">
              <w:rPr>
                <w:rFonts w:ascii="Book Antiqua" w:eastAsia="Times New Roman" w:hAnsi="Book Antiqua" w:cs="Times New Roman"/>
                <w:color w:val="000000"/>
                <w:lang w:val="en-GB" w:eastAsia="en-US"/>
              </w:rPr>
              <w:t>8% of all patients enrolled</w:t>
            </w:r>
          </w:p>
        </w:tc>
        <w:tc>
          <w:tcPr>
            <w:tcW w:w="1596" w:type="dxa"/>
            <w:vAlign w:val="center"/>
          </w:tcPr>
          <w:p w14:paraId="27DB5D3D" w14:textId="3ED7B024"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lastRenderedPageBreak/>
              <w:t xml:space="preserve">NA RCT followed by </w:t>
            </w:r>
            <w:r w:rsidRPr="00567DF9">
              <w:rPr>
                <w:rFonts w:ascii="Book Antiqua" w:eastAsia="Times New Roman" w:hAnsi="Book Antiqua" w:cs="Times New Roman"/>
                <w:color w:val="000000"/>
                <w:lang w:val="en-GB" w:eastAsia="en-US"/>
              </w:rPr>
              <w:lastRenderedPageBreak/>
              <w:t>surgery effective and well tolerated, DFS and OS yet to determine.</w:t>
            </w:r>
          </w:p>
        </w:tc>
      </w:tr>
      <w:tr w:rsidR="005F090C" w:rsidRPr="00567DF9" w14:paraId="5266CFEC" w14:textId="04C76924" w:rsidTr="000622B9">
        <w:tc>
          <w:tcPr>
            <w:tcW w:w="1389" w:type="dxa"/>
            <w:vAlign w:val="center"/>
          </w:tcPr>
          <w:p w14:paraId="599F3D9A" w14:textId="23B42D0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lastRenderedPageBreak/>
              <w:t xml:space="preserve">Tada </w:t>
            </w:r>
            <w:r w:rsidRPr="00567DF9">
              <w:rPr>
                <w:rFonts w:ascii="Book Antiqua" w:hAnsi="Book Antiqua"/>
                <w:i/>
                <w:color w:val="000000" w:themeColor="text1"/>
                <w:lang w:val="en-GB"/>
              </w:rPr>
              <w:t>et al</w:t>
            </w:r>
            <w:r w:rsidRPr="00567DF9">
              <w:rPr>
                <w:rFonts w:ascii="Book Antiqua" w:hAnsi="Book Antiqua"/>
                <w:color w:val="000000" w:themeColor="text1"/>
                <w:vertAlign w:val="superscript"/>
                <w:lang w:val="en-GB"/>
              </w:rPr>
              <w:t>[19]</w:t>
            </w:r>
          </w:p>
        </w:tc>
        <w:tc>
          <w:tcPr>
            <w:tcW w:w="696" w:type="dxa"/>
          </w:tcPr>
          <w:p w14:paraId="4D0B27F1" w14:textId="5E489515" w:rsidR="00445FAA" w:rsidRPr="00567DF9" w:rsidRDefault="00445FAA" w:rsidP="00567DF9">
            <w:pPr>
              <w:spacing w:line="360" w:lineRule="auto"/>
              <w:jc w:val="both"/>
              <w:rPr>
                <w:rFonts w:ascii="Book Antiqua" w:eastAsia="SimSun" w:hAnsi="Book Antiqua"/>
                <w:color w:val="000000" w:themeColor="text1"/>
                <w:lang w:val="en-US" w:eastAsia="zh-CN"/>
              </w:rPr>
            </w:pPr>
            <w:r w:rsidRPr="00567DF9">
              <w:rPr>
                <w:rFonts w:ascii="Book Antiqua" w:eastAsia="SimSun" w:hAnsi="Book Antiqua"/>
                <w:color w:val="000000" w:themeColor="text1"/>
                <w:lang w:val="en-US" w:eastAsia="zh-CN"/>
              </w:rPr>
              <w:t>2012</w:t>
            </w:r>
          </w:p>
        </w:tc>
        <w:tc>
          <w:tcPr>
            <w:tcW w:w="1662" w:type="dxa"/>
            <w:vAlign w:val="center"/>
          </w:tcPr>
          <w:p w14:paraId="6387C70C" w14:textId="5B784D2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Case report</w:t>
            </w:r>
          </w:p>
        </w:tc>
        <w:tc>
          <w:tcPr>
            <w:tcW w:w="1153" w:type="dxa"/>
            <w:vAlign w:val="center"/>
          </w:tcPr>
          <w:p w14:paraId="03F714CC" w14:textId="6A3EC3BD"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 hCCA</w:t>
            </w:r>
          </w:p>
        </w:tc>
        <w:tc>
          <w:tcPr>
            <w:tcW w:w="1643" w:type="dxa"/>
            <w:vAlign w:val="center"/>
          </w:tcPr>
          <w:p w14:paraId="38E575CE" w14:textId="04E81F87"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Unresectable</w:t>
            </w:r>
          </w:p>
        </w:tc>
        <w:tc>
          <w:tcPr>
            <w:tcW w:w="2084" w:type="dxa"/>
            <w:vAlign w:val="center"/>
          </w:tcPr>
          <w:p w14:paraId="55E5334E" w14:textId="580E26CE"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Gemcitabine + S-1</w:t>
            </w:r>
          </w:p>
        </w:tc>
        <w:tc>
          <w:tcPr>
            <w:tcW w:w="1634" w:type="dxa"/>
            <w:vAlign w:val="center"/>
          </w:tcPr>
          <w:p w14:paraId="54EE1E83" w14:textId="31F37F7C"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1/1</w:t>
            </w:r>
          </w:p>
        </w:tc>
        <w:tc>
          <w:tcPr>
            <w:tcW w:w="1610" w:type="dxa"/>
            <w:vAlign w:val="center"/>
          </w:tcPr>
          <w:p w14:paraId="55CBB1E1" w14:textId="06679A09"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 xml:space="preserve">R0 resection with portal resection, </w:t>
            </w:r>
            <w:r w:rsidRPr="00567DF9">
              <w:rPr>
                <w:rFonts w:ascii="Book Antiqua" w:eastAsia="Times New Roman" w:hAnsi="Book Antiqua" w:cs="Times New Roman"/>
                <w:color w:val="000000"/>
                <w:lang w:eastAsia="en-US"/>
              </w:rPr>
              <w:t>no recurrence at 29 mo</w:t>
            </w:r>
          </w:p>
        </w:tc>
        <w:tc>
          <w:tcPr>
            <w:tcW w:w="1596" w:type="dxa"/>
            <w:vAlign w:val="center"/>
          </w:tcPr>
          <w:p w14:paraId="0273F5CF" w14:textId="0A1FC11E"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CT can allow R0 resection.</w:t>
            </w:r>
          </w:p>
        </w:tc>
      </w:tr>
      <w:tr w:rsidR="005F090C" w:rsidRPr="00567DF9" w14:paraId="48719986" w14:textId="6F6CACFD" w:rsidTr="000622B9">
        <w:tc>
          <w:tcPr>
            <w:tcW w:w="1389" w:type="dxa"/>
            <w:vAlign w:val="center"/>
          </w:tcPr>
          <w:p w14:paraId="4D436900" w14:textId="43018B5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Sano </w:t>
            </w:r>
            <w:r w:rsidRPr="00567DF9">
              <w:rPr>
                <w:rFonts w:ascii="Book Antiqua" w:hAnsi="Book Antiqua"/>
                <w:i/>
                <w:color w:val="000000" w:themeColor="text1"/>
                <w:lang w:val="en-GB"/>
              </w:rPr>
              <w:t>et al</w:t>
            </w:r>
            <w:r w:rsidRPr="00567DF9">
              <w:rPr>
                <w:rFonts w:ascii="Book Antiqua" w:hAnsi="Book Antiqua"/>
                <w:color w:val="000000" w:themeColor="text1"/>
                <w:vertAlign w:val="superscript"/>
                <w:lang w:val="en-GB"/>
              </w:rPr>
              <w:t>[20]</w:t>
            </w:r>
          </w:p>
        </w:tc>
        <w:tc>
          <w:tcPr>
            <w:tcW w:w="696" w:type="dxa"/>
          </w:tcPr>
          <w:p w14:paraId="2E1FFDCB" w14:textId="7DD6D843" w:rsidR="00445FAA" w:rsidRPr="00567DF9" w:rsidRDefault="00445FAA" w:rsidP="00567DF9">
            <w:pPr>
              <w:spacing w:line="360" w:lineRule="auto"/>
              <w:jc w:val="both"/>
              <w:rPr>
                <w:rFonts w:ascii="Book Antiqua" w:eastAsia="SimSun" w:hAnsi="Book Antiqua"/>
                <w:color w:val="000000" w:themeColor="text1"/>
                <w:lang w:val="en-US" w:eastAsia="zh-CN"/>
              </w:rPr>
            </w:pPr>
            <w:r w:rsidRPr="00567DF9">
              <w:rPr>
                <w:rFonts w:ascii="Book Antiqua" w:eastAsia="SimSun" w:hAnsi="Book Antiqua"/>
                <w:color w:val="000000" w:themeColor="text1"/>
                <w:lang w:val="en-US" w:eastAsia="zh-CN"/>
              </w:rPr>
              <w:t>2011</w:t>
            </w:r>
          </w:p>
        </w:tc>
        <w:tc>
          <w:tcPr>
            <w:tcW w:w="1662" w:type="dxa"/>
            <w:vAlign w:val="center"/>
          </w:tcPr>
          <w:p w14:paraId="78886396" w14:textId="3134E16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Case report</w:t>
            </w:r>
          </w:p>
        </w:tc>
        <w:tc>
          <w:tcPr>
            <w:tcW w:w="1153" w:type="dxa"/>
            <w:vAlign w:val="center"/>
          </w:tcPr>
          <w:p w14:paraId="25F6E2BF" w14:textId="656E78E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 hCCA</w:t>
            </w:r>
          </w:p>
        </w:tc>
        <w:tc>
          <w:tcPr>
            <w:tcW w:w="1643" w:type="dxa"/>
            <w:vAlign w:val="center"/>
          </w:tcPr>
          <w:p w14:paraId="0B657D93" w14:textId="5A224E3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Unresectable</w:t>
            </w:r>
          </w:p>
        </w:tc>
        <w:tc>
          <w:tcPr>
            <w:tcW w:w="2084" w:type="dxa"/>
            <w:vAlign w:val="center"/>
          </w:tcPr>
          <w:p w14:paraId="4F8F2F1E" w14:textId="52081D0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Gemcitabine</w:t>
            </w:r>
          </w:p>
        </w:tc>
        <w:tc>
          <w:tcPr>
            <w:tcW w:w="1634" w:type="dxa"/>
            <w:vAlign w:val="center"/>
          </w:tcPr>
          <w:p w14:paraId="430F6D03" w14:textId="4B24198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1/1</w:t>
            </w:r>
          </w:p>
        </w:tc>
        <w:tc>
          <w:tcPr>
            <w:tcW w:w="1610" w:type="dxa"/>
            <w:vAlign w:val="center"/>
          </w:tcPr>
          <w:p w14:paraId="4BD1CD2F" w14:textId="4F8CFBB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 xml:space="preserve">R0 resection with portal and arterial resection, </w:t>
            </w:r>
            <w:r w:rsidRPr="00567DF9">
              <w:rPr>
                <w:rFonts w:ascii="Book Antiqua" w:eastAsia="Times New Roman" w:hAnsi="Book Antiqua" w:cs="Times New Roman"/>
                <w:color w:val="000000"/>
                <w:lang w:eastAsia="en-US"/>
              </w:rPr>
              <w:t>no recurrence at 18 mo</w:t>
            </w:r>
          </w:p>
        </w:tc>
        <w:tc>
          <w:tcPr>
            <w:tcW w:w="1596" w:type="dxa"/>
            <w:vAlign w:val="center"/>
          </w:tcPr>
          <w:p w14:paraId="4AB96A5A" w14:textId="5F887AA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CT can allow R0 resection.</w:t>
            </w:r>
          </w:p>
        </w:tc>
      </w:tr>
    </w:tbl>
    <w:p w14:paraId="3FDC3620" w14:textId="3D60E0BF" w:rsidR="008F05EB" w:rsidRPr="00567DF9" w:rsidRDefault="008F05EB" w:rsidP="00567DF9">
      <w:pPr>
        <w:spacing w:line="360" w:lineRule="auto"/>
        <w:jc w:val="both"/>
        <w:rPr>
          <w:rFonts w:ascii="Book Antiqua" w:hAnsi="Book Antiqua"/>
          <w:color w:val="000000" w:themeColor="text1"/>
        </w:rPr>
      </w:pPr>
      <w:r w:rsidRPr="00567DF9">
        <w:rPr>
          <w:rFonts w:ascii="Book Antiqua" w:hAnsi="Book Antiqua"/>
          <w:color w:val="000000" w:themeColor="text1"/>
          <w:lang w:val="en-US"/>
        </w:rPr>
        <w:t xml:space="preserve">NA RCT: </w:t>
      </w:r>
      <w:r w:rsidR="00445FAA" w:rsidRPr="00567DF9">
        <w:rPr>
          <w:rFonts w:ascii="Book Antiqua" w:hAnsi="Book Antiqua"/>
          <w:color w:val="000000" w:themeColor="text1"/>
          <w:lang w:val="en-US"/>
        </w:rPr>
        <w:t xml:space="preserve">Neoadjuvant </w:t>
      </w:r>
      <w:proofErr w:type="spellStart"/>
      <w:r w:rsidRPr="00567DF9">
        <w:rPr>
          <w:rFonts w:ascii="Book Antiqua" w:hAnsi="Book Antiqua"/>
          <w:color w:val="000000" w:themeColor="text1"/>
          <w:lang w:val="en-US"/>
        </w:rPr>
        <w:t>radiochemotherapy</w:t>
      </w:r>
      <w:proofErr w:type="spellEnd"/>
      <w:r w:rsidRPr="00567DF9">
        <w:rPr>
          <w:rFonts w:ascii="Book Antiqua" w:hAnsi="Book Antiqua"/>
          <w:color w:val="000000" w:themeColor="text1"/>
          <w:lang w:val="en-US"/>
        </w:rPr>
        <w:t xml:space="preserve">; </w:t>
      </w:r>
      <w:proofErr w:type="spellStart"/>
      <w:r w:rsidRPr="00567DF9">
        <w:rPr>
          <w:rFonts w:ascii="Book Antiqua" w:hAnsi="Book Antiqua"/>
          <w:color w:val="000000" w:themeColor="text1"/>
          <w:lang w:val="en-US"/>
        </w:rPr>
        <w:t>hCCA</w:t>
      </w:r>
      <w:proofErr w:type="spellEnd"/>
      <w:r w:rsidRPr="00567DF9">
        <w:rPr>
          <w:rFonts w:ascii="Book Antiqua" w:hAnsi="Book Antiqua"/>
          <w:color w:val="000000" w:themeColor="text1"/>
          <w:lang w:val="en-US"/>
        </w:rPr>
        <w:t xml:space="preserve">: </w:t>
      </w:r>
      <w:r w:rsidR="00445FAA" w:rsidRPr="00567DF9">
        <w:rPr>
          <w:rFonts w:ascii="Book Antiqua" w:hAnsi="Book Antiqua"/>
          <w:color w:val="000000" w:themeColor="text1"/>
          <w:lang w:val="en-US"/>
        </w:rPr>
        <w:t xml:space="preserve">Hilar </w:t>
      </w:r>
      <w:r w:rsidRPr="00567DF9">
        <w:rPr>
          <w:rFonts w:ascii="Book Antiqua" w:hAnsi="Book Antiqua"/>
          <w:color w:val="000000" w:themeColor="text1"/>
          <w:lang w:val="en-US"/>
        </w:rPr>
        <w:t xml:space="preserve">cholangiocarcinoma; </w:t>
      </w:r>
      <w:proofErr w:type="spellStart"/>
      <w:r w:rsidRPr="00567DF9">
        <w:rPr>
          <w:rFonts w:ascii="Book Antiqua" w:hAnsi="Book Antiqua"/>
          <w:color w:val="000000" w:themeColor="text1"/>
          <w:lang w:val="en-US"/>
        </w:rPr>
        <w:t>dCCA</w:t>
      </w:r>
      <w:proofErr w:type="spellEnd"/>
      <w:r w:rsidRPr="00567DF9">
        <w:rPr>
          <w:rFonts w:ascii="Book Antiqua" w:hAnsi="Book Antiqua"/>
          <w:color w:val="000000" w:themeColor="text1"/>
          <w:lang w:val="en-US"/>
        </w:rPr>
        <w:t xml:space="preserve">: </w:t>
      </w:r>
      <w:r w:rsidR="00445FAA" w:rsidRPr="00567DF9">
        <w:rPr>
          <w:rFonts w:ascii="Book Antiqua" w:hAnsi="Book Antiqua"/>
          <w:color w:val="000000" w:themeColor="text1"/>
          <w:lang w:val="en-US"/>
        </w:rPr>
        <w:t xml:space="preserve">Distal </w:t>
      </w:r>
      <w:r w:rsidRPr="00567DF9">
        <w:rPr>
          <w:rFonts w:ascii="Book Antiqua" w:hAnsi="Book Antiqua"/>
          <w:color w:val="000000" w:themeColor="text1"/>
          <w:lang w:val="en-US"/>
        </w:rPr>
        <w:t xml:space="preserve">cholangiocarcinoma; EBRT: </w:t>
      </w:r>
      <w:r w:rsidR="00445FAA" w:rsidRPr="00567DF9">
        <w:rPr>
          <w:rFonts w:ascii="Book Antiqua" w:hAnsi="Book Antiqua"/>
          <w:color w:val="000000" w:themeColor="text1"/>
          <w:lang w:val="en-US"/>
        </w:rPr>
        <w:t xml:space="preserve">External </w:t>
      </w:r>
      <w:r w:rsidRPr="00567DF9">
        <w:rPr>
          <w:rFonts w:ascii="Book Antiqua" w:hAnsi="Book Antiqua"/>
          <w:color w:val="000000" w:themeColor="text1"/>
          <w:lang w:val="en-US"/>
        </w:rPr>
        <w:t xml:space="preserve">beam radiation therapy; </w:t>
      </w:r>
      <w:r w:rsidRPr="00567DF9">
        <w:rPr>
          <w:rFonts w:ascii="Book Antiqua" w:hAnsi="Book Antiqua"/>
          <w:bCs/>
          <w:color w:val="000000" w:themeColor="text1"/>
          <w:lang w:val="en-GB"/>
        </w:rPr>
        <w:t>5-FU: 5</w:t>
      </w:r>
      <w:r w:rsidR="00445FAA" w:rsidRPr="00567DF9">
        <w:rPr>
          <w:rFonts w:ascii="Book Antiqua" w:eastAsia="SimSun" w:hAnsi="Book Antiqua" w:cs="SimSun"/>
          <w:bCs/>
          <w:color w:val="000000" w:themeColor="text1"/>
          <w:lang w:val="en-GB" w:eastAsia="zh-CN"/>
        </w:rPr>
        <w:t>-</w:t>
      </w:r>
      <w:r w:rsidR="002C4D3B" w:rsidRPr="00567DF9">
        <w:rPr>
          <w:rFonts w:ascii="Book Antiqua" w:hAnsi="Book Antiqua"/>
          <w:bCs/>
          <w:color w:val="000000" w:themeColor="text1"/>
          <w:lang w:val="en-GB"/>
        </w:rPr>
        <w:t>Fluorouracil</w:t>
      </w:r>
      <w:r w:rsidRPr="00567DF9">
        <w:rPr>
          <w:rFonts w:ascii="Book Antiqua" w:hAnsi="Book Antiqua"/>
          <w:bCs/>
          <w:color w:val="000000" w:themeColor="text1"/>
          <w:lang w:val="en-GB"/>
        </w:rPr>
        <w:t xml:space="preserve">; DFS: </w:t>
      </w:r>
      <w:r w:rsidR="00445FAA" w:rsidRPr="00567DF9">
        <w:rPr>
          <w:rFonts w:ascii="Book Antiqua" w:hAnsi="Book Antiqua"/>
          <w:bCs/>
          <w:color w:val="000000" w:themeColor="text1"/>
          <w:lang w:val="en-US"/>
        </w:rPr>
        <w:t xml:space="preserve">Disease </w:t>
      </w:r>
      <w:r w:rsidRPr="00567DF9">
        <w:rPr>
          <w:rFonts w:ascii="Book Antiqua" w:hAnsi="Book Antiqua"/>
          <w:bCs/>
          <w:color w:val="000000" w:themeColor="text1"/>
          <w:lang w:val="en-US"/>
        </w:rPr>
        <w:t xml:space="preserve">free survival; OS: </w:t>
      </w:r>
      <w:r w:rsidR="00445FAA" w:rsidRPr="00567DF9">
        <w:rPr>
          <w:rFonts w:ascii="Book Antiqua" w:hAnsi="Book Antiqua"/>
          <w:bCs/>
          <w:color w:val="000000" w:themeColor="text1"/>
          <w:lang w:val="en-US"/>
        </w:rPr>
        <w:t xml:space="preserve">Overall </w:t>
      </w:r>
      <w:r w:rsidRPr="00567DF9">
        <w:rPr>
          <w:rFonts w:ascii="Book Antiqua" w:hAnsi="Book Antiqua"/>
          <w:bCs/>
          <w:color w:val="000000" w:themeColor="text1"/>
          <w:lang w:val="en-US"/>
        </w:rPr>
        <w:t>survival.</w:t>
      </w:r>
    </w:p>
    <w:sectPr w:rsidR="008F05EB" w:rsidRPr="00567DF9" w:rsidSect="00A2430A">
      <w:footerReference w:type="default" r:id="rId7"/>
      <w:endnotePr>
        <w:numFmt w:val="decimal"/>
      </w:endnotePr>
      <w:pgSz w:w="11906" w:h="16838"/>
      <w:pgMar w:top="1560" w:right="2267" w:bottom="1134" w:left="1134" w:header="0" w:footer="7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15E1" w14:textId="77777777" w:rsidR="002E7A60" w:rsidRDefault="002E7A60">
      <w:r>
        <w:separator/>
      </w:r>
    </w:p>
  </w:endnote>
  <w:endnote w:type="continuationSeparator" w:id="0">
    <w:p w14:paraId="4B6974F7" w14:textId="77777777" w:rsidR="002E7A60" w:rsidRDefault="002E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altName w:val="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BoldItalicMT">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224C" w14:textId="77777777" w:rsidR="001C460E" w:rsidRDefault="001C460E">
    <w:pPr>
      <w:pStyle w:val="Footer"/>
      <w:ind w:right="360"/>
    </w:pPr>
    <w:r>
      <w:rPr>
        <w:noProof/>
        <w:lang w:val="en-US" w:eastAsia="zh-CN"/>
      </w:rPr>
      <mc:AlternateContent>
        <mc:Choice Requires="wps">
          <w:drawing>
            <wp:anchor distT="0" distB="0" distL="0" distR="0" simplePos="0" relativeHeight="10" behindDoc="1" locked="0" layoutInCell="1" allowOverlap="1" wp14:anchorId="1E04A545" wp14:editId="33450DC0">
              <wp:simplePos x="0" y="0"/>
              <wp:positionH relativeFrom="margin">
                <wp:align>right</wp:align>
              </wp:positionH>
              <wp:positionV relativeFrom="paragraph">
                <wp:posOffset>635</wp:posOffset>
              </wp:positionV>
              <wp:extent cx="88265" cy="178435"/>
              <wp:effectExtent l="0" t="0" r="0" b="0"/>
              <wp:wrapSquare wrapText="largest"/>
              <wp:docPr id="3" name="Cornice1"/>
              <wp:cNvGraphicFramePr/>
              <a:graphic xmlns:a="http://schemas.openxmlformats.org/drawingml/2006/main">
                <a:graphicData uri="http://schemas.microsoft.com/office/word/2010/wordprocessingShape">
                  <wps:wsp>
                    <wps:cNvSpPr/>
                    <wps:spPr>
                      <a:xfrm>
                        <a:off x="0" y="0"/>
                        <a:ext cx="88265" cy="178435"/>
                      </a:xfrm>
                      <a:prstGeom prst="rect">
                        <a:avLst/>
                      </a:prstGeom>
                      <a:noFill/>
                      <a:ln>
                        <a:noFill/>
                      </a:ln>
                    </wps:spPr>
                    <wps:style>
                      <a:lnRef idx="0">
                        <a:scrgbClr r="0" g="0" b="0"/>
                      </a:lnRef>
                      <a:fillRef idx="0">
                        <a:scrgbClr r="0" g="0" b="0"/>
                      </a:fillRef>
                      <a:effectRef idx="0">
                        <a:scrgbClr r="0" g="0" b="0"/>
                      </a:effectRef>
                      <a:fontRef idx="minor"/>
                    </wps:style>
                    <wps:txbx>
                      <w:txbxContent>
                        <w:p w14:paraId="7FD229E0" w14:textId="77777777" w:rsidR="001C460E" w:rsidRDefault="001C460E">
                          <w:pPr>
                            <w:pStyle w:val="Footer"/>
                            <w:rPr>
                              <w:color w:val="000000"/>
                            </w:rPr>
                          </w:pPr>
                          <w:r>
                            <w:rPr>
                              <w:color w:val="000000"/>
                            </w:rPr>
                            <w:fldChar w:fldCharType="begin"/>
                          </w:r>
                          <w:r>
                            <w:instrText>PAGE</w:instrText>
                          </w:r>
                          <w:r>
                            <w:fldChar w:fldCharType="separate"/>
                          </w:r>
                          <w:r w:rsidR="003E46A5">
                            <w:rPr>
                              <w:noProof/>
                            </w:rPr>
                            <w:t>21</w:t>
                          </w:r>
                          <w:r>
                            <w:fldChar w:fldCharType="end"/>
                          </w:r>
                        </w:p>
                      </w:txbxContent>
                    </wps:txbx>
                    <wps:bodyPr lIns="0" tIns="0" rIns="0" bIns="0">
                      <a:spAutoFit/>
                    </wps:bodyPr>
                  </wps:wsp>
                </a:graphicData>
              </a:graphic>
            </wp:anchor>
          </w:drawing>
        </mc:Choice>
        <mc:Fallback>
          <w:pict>
            <v:rect w14:anchorId="1E04A545" id="Cornice1" o:spid="_x0000_s1026" style="position:absolute;margin-left:-44.25pt;margin-top:.05pt;width:6.95pt;height:14.05pt;z-index:-50331647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" filled="f" stroked="f">
              <v:textbox style="mso-fit-shape-to-text:t" inset="0,0,0,0">
                <w:txbxContent>
                  <w:p w14:paraId="7FD229E0" w14:textId="77777777" w:rsidR="001C460E" w:rsidRDefault="001C460E">
                    <w:pPr>
                      <w:pStyle w:val="Footer"/>
                      <w:rPr>
                        <w:color w:val="000000"/>
                      </w:rPr>
                    </w:pPr>
                    <w:r>
                      <w:rPr>
                        <w:color w:val="000000"/>
                      </w:rPr>
                      <w:fldChar w:fldCharType="begin"/>
                    </w:r>
                    <w:r>
                      <w:instrText>PAGE</w:instrText>
                    </w:r>
                    <w:r>
                      <w:fldChar w:fldCharType="separate"/>
                    </w:r>
                    <w:r w:rsidR="003E46A5">
                      <w:rPr>
                        <w:noProof/>
                      </w:rPr>
                      <w:t>21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19809" w14:textId="77777777" w:rsidR="002E7A60" w:rsidRDefault="002E7A60">
      <w:r>
        <w:separator/>
      </w:r>
    </w:p>
  </w:footnote>
  <w:footnote w:type="continuationSeparator" w:id="0">
    <w:p w14:paraId="60899E55" w14:textId="77777777" w:rsidR="002E7A60" w:rsidRDefault="002E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4A2E"/>
    <w:multiLevelType w:val="multilevel"/>
    <w:tmpl w:val="2474EE08"/>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310E1B4D"/>
    <w:multiLevelType w:val="multilevel"/>
    <w:tmpl w:val="FBE078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6C"/>
    <w:rsid w:val="00004C5B"/>
    <w:rsid w:val="00037FA2"/>
    <w:rsid w:val="000622B9"/>
    <w:rsid w:val="00115A75"/>
    <w:rsid w:val="00144BB6"/>
    <w:rsid w:val="00181B5B"/>
    <w:rsid w:val="001C460E"/>
    <w:rsid w:val="001F6356"/>
    <w:rsid w:val="002155FE"/>
    <w:rsid w:val="00247638"/>
    <w:rsid w:val="00271620"/>
    <w:rsid w:val="002C4D3B"/>
    <w:rsid w:val="002D739B"/>
    <w:rsid w:val="002E7A60"/>
    <w:rsid w:val="00317070"/>
    <w:rsid w:val="00346CF5"/>
    <w:rsid w:val="00347781"/>
    <w:rsid w:val="003743B1"/>
    <w:rsid w:val="003E46A5"/>
    <w:rsid w:val="003F1287"/>
    <w:rsid w:val="003F3E83"/>
    <w:rsid w:val="004124B6"/>
    <w:rsid w:val="00427874"/>
    <w:rsid w:val="00445FAA"/>
    <w:rsid w:val="00461AF8"/>
    <w:rsid w:val="00486B74"/>
    <w:rsid w:val="00504FFC"/>
    <w:rsid w:val="00552C6C"/>
    <w:rsid w:val="00567DF9"/>
    <w:rsid w:val="005979A7"/>
    <w:rsid w:val="005D4245"/>
    <w:rsid w:val="005E274B"/>
    <w:rsid w:val="005F090C"/>
    <w:rsid w:val="006317FA"/>
    <w:rsid w:val="00631C6D"/>
    <w:rsid w:val="006444D5"/>
    <w:rsid w:val="00687E36"/>
    <w:rsid w:val="006D68FB"/>
    <w:rsid w:val="0079770D"/>
    <w:rsid w:val="007C3955"/>
    <w:rsid w:val="007D417F"/>
    <w:rsid w:val="00821B89"/>
    <w:rsid w:val="00827FD1"/>
    <w:rsid w:val="00852929"/>
    <w:rsid w:val="00871B02"/>
    <w:rsid w:val="00882F59"/>
    <w:rsid w:val="0088629D"/>
    <w:rsid w:val="008F05EB"/>
    <w:rsid w:val="00983943"/>
    <w:rsid w:val="00A2430A"/>
    <w:rsid w:val="00A27166"/>
    <w:rsid w:val="00A43F0D"/>
    <w:rsid w:val="00A4661B"/>
    <w:rsid w:val="00A47007"/>
    <w:rsid w:val="00A812C9"/>
    <w:rsid w:val="00AC2D77"/>
    <w:rsid w:val="00AE125D"/>
    <w:rsid w:val="00B638C1"/>
    <w:rsid w:val="00B97FD8"/>
    <w:rsid w:val="00BA47DB"/>
    <w:rsid w:val="00C0027B"/>
    <w:rsid w:val="00C07045"/>
    <w:rsid w:val="00C5596C"/>
    <w:rsid w:val="00C703B8"/>
    <w:rsid w:val="00C84248"/>
    <w:rsid w:val="00D41920"/>
    <w:rsid w:val="00D539F5"/>
    <w:rsid w:val="00D57E6B"/>
    <w:rsid w:val="00DB7B0F"/>
    <w:rsid w:val="00DE41FE"/>
    <w:rsid w:val="00DE595B"/>
    <w:rsid w:val="00DF0130"/>
    <w:rsid w:val="00EA59D0"/>
    <w:rsid w:val="00EA602D"/>
    <w:rsid w:val="00EC29F4"/>
    <w:rsid w:val="00F0723E"/>
    <w:rsid w:val="00F20744"/>
    <w:rsid w:val="00FF2A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4C412"/>
  <w15:docId w15:val="{9F7D171D-70BE-4667-985A-D2ADEA29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C5"/>
    <w:rPr>
      <w:color w:val="00000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尾注文本 字符"/>
    <w:basedOn w:val="DefaultParagraphFont"/>
    <w:uiPriority w:val="99"/>
    <w:qFormat/>
    <w:rsid w:val="00CD13D0"/>
    <w:rPr>
      <w:lang w:eastAsia="ja-JP"/>
    </w:rPr>
  </w:style>
  <w:style w:type="character" w:customStyle="1" w:styleId="Richiamoallanotadichiusura">
    <w:name w:val="Richiamo alla nota di chiusura"/>
    <w:rPr>
      <w:vertAlign w:val="superscript"/>
    </w:rPr>
  </w:style>
  <w:style w:type="character" w:customStyle="1" w:styleId="EndnoteCharacters">
    <w:name w:val="Endnote Characters"/>
    <w:basedOn w:val="DefaultParagraphFont"/>
    <w:uiPriority w:val="99"/>
    <w:unhideWhenUsed/>
    <w:qFormat/>
    <w:rsid w:val="00CD13D0"/>
    <w:rPr>
      <w:vertAlign w:val="superscript"/>
    </w:rPr>
  </w:style>
  <w:style w:type="character" w:customStyle="1" w:styleId="CollegamentoInternet">
    <w:name w:val="Collegamento Internet"/>
    <w:basedOn w:val="DefaultParagraphFont"/>
    <w:rsid w:val="00CD13D0"/>
    <w:rPr>
      <w:color w:val="0000FF" w:themeColor="hyperlink"/>
      <w:u w:val="single"/>
    </w:rPr>
  </w:style>
  <w:style w:type="character" w:customStyle="1" w:styleId="a0">
    <w:name w:val="页脚 字符"/>
    <w:basedOn w:val="DefaultParagraphFont"/>
    <w:qFormat/>
    <w:rsid w:val="00CD13D0"/>
    <w:rPr>
      <w:lang w:eastAsia="ja-JP"/>
    </w:rPr>
  </w:style>
  <w:style w:type="character" w:styleId="PageNumber">
    <w:name w:val="page number"/>
    <w:basedOn w:val="DefaultParagraphFont"/>
    <w:qFormat/>
    <w:rsid w:val="00CD13D0"/>
  </w:style>
  <w:style w:type="character" w:customStyle="1" w:styleId="a1">
    <w:name w:val="批注文字 字符"/>
    <w:basedOn w:val="DefaultParagraphFont"/>
    <w:uiPriority w:val="99"/>
    <w:semiHidden/>
    <w:qFormat/>
    <w:rsid w:val="00F44B4D"/>
    <w:rPr>
      <w:lang w:eastAsia="ja-JP"/>
    </w:rPr>
  </w:style>
  <w:style w:type="character" w:customStyle="1" w:styleId="1">
    <w:name w:val="批注文字 字符1"/>
    <w:basedOn w:val="DefaultParagraphFont"/>
    <w:uiPriority w:val="99"/>
    <w:qFormat/>
    <w:rsid w:val="00F44B4D"/>
    <w:rPr>
      <w:sz w:val="21"/>
      <w:szCs w:val="22"/>
      <w:lang w:val="en-US" w:eastAsia="zh-CN"/>
    </w:rPr>
  </w:style>
  <w:style w:type="character" w:styleId="CommentReference">
    <w:name w:val="annotation reference"/>
    <w:basedOn w:val="DefaultParagraphFont"/>
    <w:uiPriority w:val="99"/>
    <w:unhideWhenUsed/>
    <w:qFormat/>
    <w:rsid w:val="00F44B4D"/>
    <w:rPr>
      <w:sz w:val="21"/>
      <w:szCs w:val="21"/>
    </w:rPr>
  </w:style>
  <w:style w:type="character" w:customStyle="1" w:styleId="a2">
    <w:name w:val="批注框文本 字符"/>
    <w:basedOn w:val="DefaultParagraphFont"/>
    <w:uiPriority w:val="99"/>
    <w:semiHidden/>
    <w:qFormat/>
    <w:rsid w:val="00F44B4D"/>
    <w:rPr>
      <w:sz w:val="18"/>
      <w:szCs w:val="18"/>
      <w:lang w:eastAsia="ja-JP"/>
    </w:rPr>
  </w:style>
  <w:style w:type="character" w:customStyle="1" w:styleId="a3">
    <w:name w:val="批注主题 字符"/>
    <w:basedOn w:val="1"/>
    <w:uiPriority w:val="99"/>
    <w:semiHidden/>
    <w:qFormat/>
    <w:rsid w:val="00F44B4D"/>
    <w:rPr>
      <w:b/>
      <w:bCs/>
      <w:sz w:val="21"/>
      <w:szCs w:val="22"/>
      <w:lang w:val="en-US" w:eastAsia="ja-JP"/>
    </w:rPr>
  </w:style>
  <w:style w:type="character" w:customStyle="1" w:styleId="ListLabel1">
    <w:name w:val="ListLabel 1"/>
    <w:qFormat/>
    <w:rPr>
      <w:sz w:val="20"/>
      <w:szCs w:val="20"/>
    </w:rPr>
  </w:style>
  <w:style w:type="character" w:customStyle="1" w:styleId="ListLabel2">
    <w:name w:val="ListLabel 2"/>
    <w:qFormat/>
    <w:rPr>
      <w:rFonts w:ascii="Book Antiqua" w:hAnsi="Book Antiqua"/>
    </w:rPr>
  </w:style>
  <w:style w:type="character" w:customStyle="1" w:styleId="Caratterinotadichiusura">
    <w:name w:val="Caratteri nota di chiusura"/>
    <w:qFormat/>
  </w:style>
  <w:style w:type="character" w:customStyle="1" w:styleId="Richiamoallanotaapidipagina">
    <w:name w:val="Richiamo alla nota a piè di pagina"/>
    <w:rPr>
      <w:vertAlign w:val="superscript"/>
    </w:rPr>
  </w:style>
  <w:style w:type="character" w:customStyle="1" w:styleId="Caratterinotaapidipagina">
    <w:name w:val="Caratteri nota a piè di pagina"/>
    <w:qFormat/>
  </w:style>
  <w:style w:type="character" w:customStyle="1" w:styleId="Caratterenotadichiusura">
    <w:name w:val="Carattere nota di chiusura"/>
    <w:qFormat/>
  </w:style>
  <w:style w:type="character" w:customStyle="1" w:styleId="Caratterenotaapidipagina">
    <w:name w:val="Carattere nota a piè di pagina"/>
    <w:qFormat/>
  </w:style>
  <w:style w:type="character" w:customStyle="1" w:styleId="Punti">
    <w:name w:val="Punti"/>
    <w:qFormat/>
    <w:rPr>
      <w:rFonts w:ascii="OpenSymbol" w:eastAsia="OpenSymbol" w:hAnsi="OpenSymbol"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paragraph" w:customStyle="1" w:styleId="Titolo">
    <w:name w:val="Tito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ice">
    <w:name w:val="Indice"/>
    <w:basedOn w:val="Normal"/>
    <w:qFormat/>
    <w:pPr>
      <w:suppressLineNumbers/>
    </w:pPr>
    <w:rPr>
      <w:rFonts w:cs="Mangal"/>
    </w:rPr>
  </w:style>
  <w:style w:type="paragraph" w:customStyle="1" w:styleId="EndnoteSymbol">
    <w:name w:val="Endnote Symbol"/>
    <w:basedOn w:val="Normal"/>
    <w:uiPriority w:val="99"/>
    <w:unhideWhenUsed/>
    <w:qFormat/>
    <w:rsid w:val="00CD13D0"/>
  </w:style>
  <w:style w:type="paragraph" w:styleId="NormalWeb">
    <w:name w:val="Normal (Web)"/>
    <w:basedOn w:val="Normal"/>
    <w:uiPriority w:val="99"/>
    <w:qFormat/>
    <w:rsid w:val="00CD13D0"/>
    <w:rPr>
      <w:rFonts w:ascii="Times New Roman" w:hAnsi="Times New Roman"/>
    </w:rPr>
  </w:style>
  <w:style w:type="paragraph" w:styleId="Footer">
    <w:name w:val="footer"/>
    <w:basedOn w:val="Normal"/>
    <w:rsid w:val="00CD13D0"/>
    <w:pPr>
      <w:tabs>
        <w:tab w:val="center" w:pos="4819"/>
        <w:tab w:val="right" w:pos="9638"/>
      </w:tabs>
    </w:pPr>
  </w:style>
  <w:style w:type="paragraph" w:customStyle="1" w:styleId="10">
    <w:name w:val="正文1"/>
    <w:uiPriority w:val="99"/>
    <w:qFormat/>
    <w:rsid w:val="00F44B4D"/>
    <w:pPr>
      <w:spacing w:line="276" w:lineRule="auto"/>
    </w:pPr>
    <w:rPr>
      <w:rFonts w:ascii="Arial" w:eastAsia="SimSun" w:hAnsi="Arial" w:cs="Arial"/>
      <w:color w:val="000000"/>
      <w:sz w:val="22"/>
      <w:szCs w:val="20"/>
      <w:lang w:val="pl-PL" w:eastAsia="pl-PL"/>
    </w:rPr>
  </w:style>
  <w:style w:type="paragraph" w:styleId="CommentText">
    <w:name w:val="annotation text"/>
    <w:basedOn w:val="Normal"/>
    <w:uiPriority w:val="99"/>
    <w:unhideWhenUsed/>
    <w:qFormat/>
    <w:rsid w:val="00F44B4D"/>
    <w:pPr>
      <w:widowControl w:val="0"/>
    </w:pPr>
    <w:rPr>
      <w:sz w:val="21"/>
      <w:szCs w:val="22"/>
      <w:lang w:val="en-US" w:eastAsia="zh-CN"/>
    </w:rPr>
  </w:style>
  <w:style w:type="paragraph" w:styleId="BalloonText">
    <w:name w:val="Balloon Text"/>
    <w:basedOn w:val="Normal"/>
    <w:uiPriority w:val="99"/>
    <w:semiHidden/>
    <w:unhideWhenUsed/>
    <w:qFormat/>
    <w:rsid w:val="00F44B4D"/>
    <w:rPr>
      <w:sz w:val="18"/>
      <w:szCs w:val="18"/>
    </w:rPr>
  </w:style>
  <w:style w:type="paragraph" w:styleId="CommentSubject">
    <w:name w:val="annotation subject"/>
    <w:basedOn w:val="CommentText"/>
    <w:uiPriority w:val="99"/>
    <w:semiHidden/>
    <w:unhideWhenUsed/>
    <w:qFormat/>
    <w:rsid w:val="00F44B4D"/>
    <w:pPr>
      <w:widowControl/>
    </w:pPr>
    <w:rPr>
      <w:b/>
      <w:bCs/>
      <w:sz w:val="24"/>
      <w:szCs w:val="24"/>
      <w:lang w:val="it-IT" w:eastAsia="ja-JP"/>
    </w:rPr>
  </w:style>
  <w:style w:type="paragraph" w:styleId="ListParagraph">
    <w:name w:val="List Paragraph"/>
    <w:basedOn w:val="Normal"/>
    <w:uiPriority w:val="34"/>
    <w:qFormat/>
    <w:rsid w:val="00F44B4D"/>
    <w:pPr>
      <w:spacing w:after="200" w:line="276" w:lineRule="auto"/>
      <w:ind w:left="720"/>
      <w:contextualSpacing/>
    </w:pPr>
    <w:rPr>
      <w:rFonts w:asciiTheme="majorHAnsi" w:eastAsia="SimSun" w:hAnsiTheme="majorHAnsi"/>
      <w:sz w:val="22"/>
      <w:szCs w:val="22"/>
      <w:lang w:val="en-US" w:eastAsia="zh-CN"/>
    </w:rPr>
  </w:style>
  <w:style w:type="paragraph" w:customStyle="1" w:styleId="Contenutocornice">
    <w:name w:val="Contenuto cornice"/>
    <w:basedOn w:val="Normal"/>
    <w:qFormat/>
  </w:style>
  <w:style w:type="paragraph" w:customStyle="1" w:styleId="Contenutotabella">
    <w:name w:val="Contenuto tabella"/>
    <w:basedOn w:val="Normal"/>
    <w:qFormat/>
  </w:style>
  <w:style w:type="paragraph" w:customStyle="1" w:styleId="Titolotabella">
    <w:name w:val="Titolo tabella"/>
    <w:basedOn w:val="Contenutotabella"/>
    <w:qFormat/>
  </w:style>
  <w:style w:type="paragraph" w:customStyle="1" w:styleId="Titoloelenco">
    <w:name w:val="Titolo elenco"/>
    <w:basedOn w:val="Normal"/>
    <w:qFormat/>
  </w:style>
  <w:style w:type="paragraph" w:customStyle="1" w:styleId="Contenutoelenco">
    <w:name w:val="Contenuto elenco"/>
    <w:basedOn w:val="Normal"/>
    <w:qFormat/>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181B5B"/>
    <w:rPr>
      <w:color w:val="00000A"/>
      <w:sz w:val="24"/>
      <w:lang w:eastAsia="ja-JP"/>
    </w:rPr>
  </w:style>
  <w:style w:type="character" w:styleId="EndnoteReference">
    <w:name w:val="endnote reference"/>
    <w:basedOn w:val="DefaultParagraphFont"/>
    <w:uiPriority w:val="99"/>
    <w:unhideWhenUsed/>
    <w:rsid w:val="00181B5B"/>
    <w:rPr>
      <w:vertAlign w:val="superscript"/>
    </w:rPr>
  </w:style>
  <w:style w:type="character" w:styleId="Hyperlink">
    <w:name w:val="Hyperlink"/>
    <w:basedOn w:val="DefaultParagraphFont"/>
    <w:rsid w:val="00181B5B"/>
    <w:rPr>
      <w:color w:val="0000FF" w:themeColor="hyperlink"/>
      <w:u w:val="single"/>
    </w:rPr>
  </w:style>
  <w:style w:type="character" w:styleId="FollowedHyperlink">
    <w:name w:val="FollowedHyperlink"/>
    <w:basedOn w:val="DefaultParagraphFont"/>
    <w:uiPriority w:val="99"/>
    <w:semiHidden/>
    <w:unhideWhenUsed/>
    <w:rsid w:val="00181B5B"/>
    <w:rPr>
      <w:color w:val="800080" w:themeColor="followedHyperlink"/>
      <w:u w:val="single"/>
    </w:rPr>
  </w:style>
  <w:style w:type="character" w:customStyle="1" w:styleId="doi">
    <w:name w:val="doi"/>
    <w:basedOn w:val="DefaultParagraphFont"/>
    <w:rsid w:val="00144BB6"/>
  </w:style>
  <w:style w:type="paragraph" w:styleId="Revision">
    <w:name w:val="Revision"/>
    <w:hidden/>
    <w:uiPriority w:val="99"/>
    <w:semiHidden/>
    <w:rsid w:val="00AE125D"/>
    <w:rPr>
      <w:color w:val="00000A"/>
      <w:lang w:eastAsia="ja-JP"/>
    </w:rPr>
  </w:style>
  <w:style w:type="table" w:styleId="TableGrid">
    <w:name w:val="Table Grid"/>
    <w:basedOn w:val="TableNormal"/>
    <w:uiPriority w:val="59"/>
    <w:rsid w:val="00A24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2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0723E"/>
    <w:rPr>
      <w:color w:val="00000A"/>
      <w:sz w:val="18"/>
      <w:szCs w:val="18"/>
      <w:lang w:eastAsia="ja-JP"/>
    </w:rPr>
  </w:style>
  <w:style w:type="character" w:customStyle="1" w:styleId="UnresolvedMention1">
    <w:name w:val="Unresolved Mention1"/>
    <w:basedOn w:val="DefaultParagraphFont"/>
    <w:uiPriority w:val="99"/>
    <w:semiHidden/>
    <w:unhideWhenUsed/>
    <w:rsid w:val="0068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3742">
      <w:bodyDiv w:val="1"/>
      <w:marLeft w:val="0"/>
      <w:marRight w:val="0"/>
      <w:marTop w:val="0"/>
      <w:marBottom w:val="0"/>
      <w:divBdr>
        <w:top w:val="none" w:sz="0" w:space="0" w:color="auto"/>
        <w:left w:val="none" w:sz="0" w:space="0" w:color="auto"/>
        <w:bottom w:val="none" w:sz="0" w:space="0" w:color="auto"/>
        <w:right w:val="none" w:sz="0" w:space="0" w:color="auto"/>
      </w:divBdr>
    </w:div>
    <w:div w:id="1713187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Lian-Sheng Ma</cp:lastModifiedBy>
  <cp:revision>2</cp:revision>
  <cp:lastPrinted>2019-05-19T16:34:00Z</cp:lastPrinted>
  <dcterms:created xsi:type="dcterms:W3CDTF">2019-06-10T18:41:00Z</dcterms:created>
  <dcterms:modified xsi:type="dcterms:W3CDTF">2019-06-10T18:41:00Z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