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918" w:rsidRPr="00257F02" w:rsidRDefault="001D4918" w:rsidP="007742D4">
      <w:pPr>
        <w:adjustRightInd w:val="0"/>
        <w:snapToGrid w:val="0"/>
        <w:spacing w:line="360" w:lineRule="auto"/>
        <w:jc w:val="both"/>
        <w:rPr>
          <w:rFonts w:ascii="Book Antiqua" w:hAnsi="Book Antiqua"/>
          <w:b/>
          <w:color w:val="000000"/>
          <w:lang w:val="en-US"/>
        </w:rPr>
      </w:pPr>
      <w:bookmarkStart w:id="0" w:name="_Hlk5632321"/>
      <w:r w:rsidRPr="00257F02">
        <w:rPr>
          <w:rFonts w:ascii="Book Antiqua" w:hAnsi="Book Antiqua"/>
          <w:b/>
          <w:color w:val="000000"/>
          <w:lang w:val="en-US"/>
        </w:rPr>
        <w:t xml:space="preserve">Name of Journal: </w:t>
      </w:r>
      <w:r w:rsidRPr="00257F02">
        <w:rPr>
          <w:rFonts w:ascii="Book Antiqua" w:hAnsi="Book Antiqua"/>
          <w:i/>
          <w:color w:val="000000"/>
          <w:lang w:val="en-US"/>
        </w:rPr>
        <w:t>World Journal of Gastroenterology</w:t>
      </w:r>
    </w:p>
    <w:p w:rsidR="001D4918" w:rsidRPr="00257F02" w:rsidRDefault="001D4918" w:rsidP="007742D4">
      <w:pPr>
        <w:adjustRightInd w:val="0"/>
        <w:snapToGrid w:val="0"/>
        <w:spacing w:line="360" w:lineRule="auto"/>
        <w:jc w:val="both"/>
        <w:rPr>
          <w:rFonts w:ascii="Book Antiqua" w:hAnsi="Book Antiqua" w:cs="Arial"/>
          <w:color w:val="000000"/>
          <w:lang w:val="en" w:eastAsia="zh-CN"/>
        </w:rPr>
      </w:pPr>
      <w:r w:rsidRPr="00257F02">
        <w:rPr>
          <w:rFonts w:ascii="Book Antiqua" w:hAnsi="Book Antiqua"/>
          <w:b/>
          <w:bCs/>
          <w:color w:val="222222"/>
          <w:lang w:val="en-US"/>
        </w:rPr>
        <w:t>Manuscript NO</w:t>
      </w:r>
      <w:r w:rsidRPr="00257F02">
        <w:rPr>
          <w:rFonts w:ascii="Book Antiqua" w:hAnsi="Book Antiqua" w:cs="Arial"/>
          <w:b/>
          <w:color w:val="000000"/>
          <w:lang w:val="en"/>
        </w:rPr>
        <w:t xml:space="preserve">: </w:t>
      </w:r>
      <w:bookmarkEnd w:id="0"/>
      <w:r w:rsidRPr="00257F02">
        <w:rPr>
          <w:rFonts w:ascii="Book Antiqua" w:hAnsi="Book Antiqua" w:cs="Arial"/>
          <w:color w:val="000000"/>
          <w:lang w:val="en"/>
        </w:rPr>
        <w:t>47837</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r w:rsidRPr="00257F02">
        <w:rPr>
          <w:rFonts w:ascii="Book Antiqua" w:hAnsi="Book Antiqua"/>
          <w:b/>
          <w:color w:val="000000"/>
          <w:lang w:val="en-US"/>
        </w:rPr>
        <w:t xml:space="preserve">Manuscript Type: </w:t>
      </w:r>
      <w:r w:rsidRPr="00257F02">
        <w:rPr>
          <w:rFonts w:ascii="Book Antiqua" w:hAnsi="Book Antiqua"/>
          <w:color w:val="000000"/>
          <w:lang w:val="en-US"/>
        </w:rPr>
        <w:t>SYSTEMATIC</w:t>
      </w:r>
      <w:r w:rsidRPr="00257F02">
        <w:rPr>
          <w:rFonts w:ascii="Book Antiqua" w:hAnsi="Book Antiqua"/>
          <w:b/>
          <w:color w:val="000000"/>
          <w:lang w:val="en-US"/>
        </w:rPr>
        <w:t xml:space="preserve"> </w:t>
      </w:r>
      <w:r w:rsidRPr="00257F02">
        <w:rPr>
          <w:rFonts w:ascii="Book Antiqua" w:hAnsi="Book Antiqua"/>
          <w:color w:val="000000"/>
          <w:lang w:val="en-US"/>
        </w:rPr>
        <w:t>REVIEWS</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b/>
          <w:color w:val="000000"/>
          <w:lang w:val="en-US"/>
        </w:rPr>
      </w:pP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b/>
          <w:color w:val="000000"/>
          <w:lang w:val="en-US"/>
        </w:rPr>
      </w:pPr>
      <w:r w:rsidRPr="00257F02">
        <w:rPr>
          <w:rFonts w:ascii="Book Antiqua" w:hAnsi="Book Antiqua"/>
          <w:b/>
          <w:color w:val="000000"/>
          <w:lang w:val="en-US"/>
        </w:rPr>
        <w:t>Small bowel capsule endoscopy and treat-to-target in Crohn's disease: A systematic review</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b/>
          <w:color w:val="000000"/>
          <w:lang w:val="en-US"/>
        </w:rPr>
      </w:pP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r w:rsidRPr="00257F02">
        <w:rPr>
          <w:rFonts w:ascii="Book Antiqua" w:hAnsi="Book Antiqua"/>
          <w:color w:val="000000"/>
        </w:rPr>
        <w:t xml:space="preserve">Le Berre C </w:t>
      </w:r>
      <w:r w:rsidRPr="00583FDF">
        <w:rPr>
          <w:rFonts w:ascii="Book Antiqua" w:hAnsi="Book Antiqua"/>
          <w:i/>
          <w:iCs/>
          <w:color w:val="000000"/>
        </w:rPr>
        <w:t>et al</w:t>
      </w:r>
      <w:r>
        <w:rPr>
          <w:rFonts w:ascii="Book Antiqua" w:hAnsi="Book Antiqua" w:hint="eastAsia"/>
          <w:i/>
          <w:iCs/>
          <w:color w:val="000000"/>
          <w:lang w:eastAsia="zh-CN"/>
        </w:rPr>
        <w:t>.</w:t>
      </w:r>
      <w:r w:rsidRPr="00257F02">
        <w:rPr>
          <w:rFonts w:ascii="Book Antiqua" w:hAnsi="Book Antiqua"/>
          <w:color w:val="000000"/>
        </w:rPr>
        <w:t xml:space="preserve"> </w:t>
      </w:r>
      <w:r w:rsidRPr="00257F02">
        <w:rPr>
          <w:rFonts w:ascii="Book Antiqua" w:hAnsi="Book Antiqua"/>
          <w:color w:val="000000"/>
          <w:lang w:val="en-US"/>
        </w:rPr>
        <w:t>Treat-to-target with capsule endoscopy in CD</w:t>
      </w: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color w:val="000000"/>
        </w:rPr>
      </w:pPr>
      <w:r w:rsidRPr="00257F02">
        <w:rPr>
          <w:rFonts w:ascii="Book Antiqua" w:hAnsi="Book Antiqua"/>
          <w:color w:val="000000"/>
        </w:rPr>
        <w:t>Catherine Le Berre, Caroline Trang-Poisson, Arnaud Bourreille</w:t>
      </w:r>
    </w:p>
    <w:p w:rsidR="001D4918" w:rsidRPr="00257F02" w:rsidRDefault="001D4918" w:rsidP="007742D4">
      <w:pPr>
        <w:spacing w:line="360" w:lineRule="auto"/>
        <w:jc w:val="both"/>
        <w:rPr>
          <w:rFonts w:ascii="Book Antiqua" w:hAnsi="Book Antiqua"/>
          <w:b/>
          <w:color w:val="000000"/>
          <w:vertAlign w:val="superscript"/>
        </w:rPr>
      </w:pPr>
    </w:p>
    <w:p w:rsidR="001D4918" w:rsidRPr="00257F02" w:rsidRDefault="001D4918" w:rsidP="007742D4">
      <w:pPr>
        <w:pStyle w:val="ac"/>
        <w:spacing w:after="0" w:line="360" w:lineRule="auto"/>
        <w:jc w:val="both"/>
        <w:rPr>
          <w:rFonts w:ascii="Book Antiqua" w:eastAsia="Arial Unicode MS" w:hAnsi="Book Antiqua" w:cs="Arial Unicode MS"/>
          <w:sz w:val="36"/>
          <w:szCs w:val="24"/>
          <w:lang w:eastAsia="zh-CN"/>
        </w:rPr>
      </w:pPr>
      <w:r w:rsidRPr="00257F02">
        <w:rPr>
          <w:rFonts w:ascii="Book Antiqua" w:hAnsi="Book Antiqua"/>
          <w:b/>
          <w:color w:val="000000"/>
          <w:sz w:val="24"/>
        </w:rPr>
        <w:t xml:space="preserve">Catherine Le Berre, Caroline Trang-Poisson, Arnaud Bourreille, </w:t>
      </w:r>
      <w:r w:rsidRPr="00257F02">
        <w:rPr>
          <w:rFonts w:ascii="Book Antiqua" w:hAnsi="Book Antiqua"/>
          <w:color w:val="000000"/>
          <w:sz w:val="24"/>
        </w:rPr>
        <w:t xml:space="preserve">Institut des Maladies de l’Appareil Digestif, Nantes University Hospital, Nantes </w:t>
      </w:r>
      <w:r w:rsidRPr="00257F02">
        <w:rPr>
          <w:rFonts w:ascii="Book Antiqua" w:hAnsi="Book Antiqua"/>
          <w:sz w:val="24"/>
          <w:lang w:eastAsia="zh-CN"/>
        </w:rPr>
        <w:t>44093</w:t>
      </w:r>
      <w:r w:rsidRPr="00257F02">
        <w:rPr>
          <w:rFonts w:ascii="Book Antiqua" w:hAnsi="Book Antiqua"/>
          <w:color w:val="000000"/>
          <w:sz w:val="24"/>
        </w:rPr>
        <w:t>, France</w:t>
      </w:r>
    </w:p>
    <w:p w:rsidR="001D4918" w:rsidRPr="00257F02" w:rsidRDefault="001D4918" w:rsidP="007742D4">
      <w:pPr>
        <w:spacing w:line="360" w:lineRule="auto"/>
        <w:jc w:val="both"/>
        <w:rPr>
          <w:rFonts w:ascii="Book Antiqua" w:hAnsi="Book Antiqua"/>
          <w:color w:val="000000"/>
        </w:rPr>
      </w:pPr>
    </w:p>
    <w:p w:rsidR="001D4918" w:rsidRPr="00257F02" w:rsidRDefault="001D4918" w:rsidP="007742D4">
      <w:pPr>
        <w:snapToGrid w:val="0"/>
        <w:spacing w:line="360" w:lineRule="auto"/>
        <w:jc w:val="both"/>
        <w:rPr>
          <w:rFonts w:ascii="Book Antiqua" w:hAnsi="Book Antiqua"/>
          <w:color w:val="000000"/>
          <w:lang w:val="en-US"/>
        </w:rPr>
      </w:pPr>
      <w:r w:rsidRPr="00257F02">
        <w:rPr>
          <w:rFonts w:ascii="Book Antiqua" w:hAnsi="Book Antiqua"/>
          <w:b/>
          <w:color w:val="000000"/>
          <w:lang w:val="en-US"/>
        </w:rPr>
        <w:t>ORCID number:</w:t>
      </w:r>
      <w:r w:rsidRPr="00257F02">
        <w:rPr>
          <w:rFonts w:ascii="Book Antiqua" w:hAnsi="Book Antiqua"/>
          <w:b/>
          <w:i/>
          <w:color w:val="000000"/>
          <w:lang w:val="en-US"/>
        </w:rPr>
        <w:t xml:space="preserve"> </w:t>
      </w:r>
      <w:r w:rsidRPr="00257F02">
        <w:rPr>
          <w:rFonts w:ascii="Book Antiqua" w:hAnsi="Book Antiqua"/>
          <w:color w:val="000000"/>
          <w:lang w:val="en-US"/>
        </w:rPr>
        <w:t xml:space="preserve">Catherine Le </w:t>
      </w:r>
      <w:proofErr w:type="spellStart"/>
      <w:r w:rsidRPr="00257F02">
        <w:rPr>
          <w:rFonts w:ascii="Book Antiqua" w:hAnsi="Book Antiqua"/>
          <w:color w:val="000000"/>
          <w:lang w:val="en-US"/>
        </w:rPr>
        <w:t>Berre</w:t>
      </w:r>
      <w:proofErr w:type="spellEnd"/>
      <w:r w:rsidRPr="00257F02">
        <w:rPr>
          <w:rFonts w:ascii="Book Antiqua" w:hAnsi="Book Antiqua"/>
          <w:color w:val="000000"/>
          <w:lang w:val="en-US"/>
        </w:rPr>
        <w:t xml:space="preserve"> (</w:t>
      </w:r>
      <w:r w:rsidRPr="00257F02">
        <w:rPr>
          <w:rFonts w:ascii="Book Antiqua" w:hAnsi="Book Antiqua"/>
          <w:shd w:val="clear" w:color="auto" w:fill="FFFFFF"/>
          <w:lang w:val="en-US"/>
        </w:rPr>
        <w:t>0000-0002-1124-2019</w:t>
      </w:r>
      <w:r w:rsidRPr="00257F02">
        <w:rPr>
          <w:rFonts w:ascii="Book Antiqua" w:hAnsi="Book Antiqua"/>
          <w:color w:val="000000"/>
          <w:lang w:val="en-US"/>
        </w:rPr>
        <w:t xml:space="preserve">); Caroline </w:t>
      </w:r>
      <w:proofErr w:type="spellStart"/>
      <w:r w:rsidRPr="00257F02">
        <w:rPr>
          <w:rFonts w:ascii="Book Antiqua" w:hAnsi="Book Antiqua"/>
          <w:color w:val="000000"/>
          <w:lang w:val="en-US"/>
        </w:rPr>
        <w:t>Trang</w:t>
      </w:r>
      <w:proofErr w:type="spellEnd"/>
      <w:r w:rsidRPr="00257F02">
        <w:rPr>
          <w:rFonts w:ascii="Book Antiqua" w:hAnsi="Book Antiqua"/>
          <w:color w:val="000000"/>
          <w:lang w:val="en-US"/>
        </w:rPr>
        <w:t>-Poisson (</w:t>
      </w:r>
      <w:r w:rsidRPr="00257F02">
        <w:rPr>
          <w:rFonts w:ascii="Book Antiqua" w:hAnsi="Book Antiqua"/>
          <w:color w:val="000000"/>
          <w:shd w:val="clear" w:color="auto" w:fill="FFFFFF"/>
          <w:lang w:val="en-US"/>
        </w:rPr>
        <w:t xml:space="preserve">0000-0001-9140-5844); Arnaud </w:t>
      </w:r>
      <w:proofErr w:type="spellStart"/>
      <w:r w:rsidRPr="00257F02">
        <w:rPr>
          <w:rFonts w:ascii="Book Antiqua" w:hAnsi="Book Antiqua"/>
          <w:color w:val="000000"/>
          <w:shd w:val="clear" w:color="auto" w:fill="FFFFFF"/>
          <w:lang w:val="en-US"/>
        </w:rPr>
        <w:t>Bourreille</w:t>
      </w:r>
      <w:proofErr w:type="spellEnd"/>
      <w:r w:rsidRPr="00257F02">
        <w:rPr>
          <w:rFonts w:ascii="Book Antiqua" w:hAnsi="Book Antiqua"/>
          <w:color w:val="000000"/>
          <w:shd w:val="clear" w:color="auto" w:fill="FFFFFF"/>
          <w:lang w:val="en-US"/>
        </w:rPr>
        <w:t xml:space="preserve"> (0000-0003-4903-3535</w:t>
      </w:r>
      <w:r w:rsidRPr="00257F02">
        <w:rPr>
          <w:rFonts w:ascii="Book Antiqua" w:hAnsi="Book Antiqua"/>
          <w:color w:val="000000"/>
          <w:lang w:val="en-US"/>
        </w:rPr>
        <w:t>).</w:t>
      </w:r>
    </w:p>
    <w:p w:rsidR="001D4918" w:rsidRPr="00257F02" w:rsidRDefault="001D4918" w:rsidP="007742D4">
      <w:pPr>
        <w:snapToGrid w:val="0"/>
        <w:spacing w:line="360" w:lineRule="auto"/>
        <w:jc w:val="both"/>
        <w:rPr>
          <w:rFonts w:ascii="Book Antiqua" w:hAnsi="Book Antiqua"/>
          <w:color w:val="000000"/>
          <w:lang w:val="en-US"/>
        </w:rPr>
      </w:pPr>
    </w:p>
    <w:p w:rsidR="001D4918" w:rsidRPr="00257F02" w:rsidRDefault="001D4918" w:rsidP="007742D4">
      <w:pPr>
        <w:snapToGrid w:val="0"/>
        <w:spacing w:line="360" w:lineRule="auto"/>
        <w:jc w:val="both"/>
        <w:rPr>
          <w:rFonts w:ascii="Book Antiqua" w:hAnsi="Book Antiqua"/>
          <w:color w:val="000000"/>
          <w:lang w:val="en-US"/>
        </w:rPr>
      </w:pPr>
      <w:r w:rsidRPr="00257F02">
        <w:rPr>
          <w:rFonts w:ascii="Book Antiqua" w:hAnsi="Book Antiqua"/>
          <w:b/>
          <w:color w:val="000000"/>
          <w:lang w:val="en-US"/>
        </w:rPr>
        <w:t xml:space="preserve">Author contributions: </w:t>
      </w:r>
      <w:r w:rsidRPr="00257F02">
        <w:rPr>
          <w:rFonts w:ascii="Book Antiqua" w:hAnsi="Book Antiqua"/>
          <w:color w:val="000000"/>
          <w:lang w:val="en-US"/>
        </w:rPr>
        <w:t xml:space="preserve">Le </w:t>
      </w:r>
      <w:proofErr w:type="spellStart"/>
      <w:r w:rsidRPr="00257F02">
        <w:rPr>
          <w:rFonts w:ascii="Book Antiqua" w:hAnsi="Book Antiqua"/>
          <w:color w:val="000000"/>
          <w:lang w:val="en-US"/>
        </w:rPr>
        <w:t>Berre</w:t>
      </w:r>
      <w:proofErr w:type="spellEnd"/>
      <w:r w:rsidRPr="00257F02">
        <w:rPr>
          <w:rFonts w:ascii="Book Antiqua" w:hAnsi="Book Antiqua"/>
          <w:color w:val="000000"/>
          <w:lang w:val="en-US"/>
        </w:rPr>
        <w:t xml:space="preserve"> C and </w:t>
      </w:r>
      <w:proofErr w:type="spellStart"/>
      <w:r w:rsidRPr="00257F02">
        <w:rPr>
          <w:rFonts w:ascii="Book Antiqua" w:hAnsi="Book Antiqua"/>
          <w:color w:val="000000"/>
          <w:lang w:val="en-US"/>
        </w:rPr>
        <w:t>Bourreille</w:t>
      </w:r>
      <w:proofErr w:type="spellEnd"/>
      <w:r w:rsidRPr="00257F02">
        <w:rPr>
          <w:rFonts w:ascii="Book Antiqua" w:hAnsi="Book Antiqua"/>
          <w:color w:val="000000"/>
          <w:lang w:val="en-US"/>
        </w:rPr>
        <w:t xml:space="preserve"> A designed and performed the literature review and carried out the analysis; Le </w:t>
      </w:r>
      <w:proofErr w:type="spellStart"/>
      <w:r w:rsidRPr="00257F02">
        <w:rPr>
          <w:rFonts w:ascii="Book Antiqua" w:hAnsi="Book Antiqua"/>
          <w:color w:val="000000"/>
          <w:lang w:val="en-US"/>
        </w:rPr>
        <w:t>Berre</w:t>
      </w:r>
      <w:proofErr w:type="spellEnd"/>
      <w:r w:rsidRPr="00257F02">
        <w:rPr>
          <w:rFonts w:ascii="Book Antiqua" w:hAnsi="Book Antiqua"/>
          <w:color w:val="000000"/>
          <w:lang w:val="en-US"/>
        </w:rPr>
        <w:t xml:space="preserve"> C drafted the initial manuscript; </w:t>
      </w:r>
      <w:proofErr w:type="spellStart"/>
      <w:r w:rsidRPr="00257F02">
        <w:rPr>
          <w:rFonts w:ascii="Book Antiqua" w:hAnsi="Book Antiqua"/>
          <w:color w:val="000000"/>
          <w:lang w:val="en-US"/>
        </w:rPr>
        <w:t>Bourreille</w:t>
      </w:r>
      <w:proofErr w:type="spellEnd"/>
      <w:r w:rsidRPr="00257F02">
        <w:rPr>
          <w:rFonts w:ascii="Book Antiqua" w:hAnsi="Book Antiqua"/>
          <w:color w:val="000000"/>
          <w:lang w:val="en-US"/>
        </w:rPr>
        <w:t xml:space="preserve"> A and </w:t>
      </w:r>
      <w:proofErr w:type="spellStart"/>
      <w:r w:rsidRPr="00257F02">
        <w:rPr>
          <w:rFonts w:ascii="Book Antiqua" w:hAnsi="Book Antiqua"/>
          <w:color w:val="000000"/>
          <w:lang w:val="en-US"/>
        </w:rPr>
        <w:t>Trang</w:t>
      </w:r>
      <w:proofErr w:type="spellEnd"/>
      <w:r w:rsidRPr="00257F02">
        <w:rPr>
          <w:rFonts w:ascii="Book Antiqua" w:hAnsi="Book Antiqua"/>
          <w:color w:val="000000"/>
          <w:lang w:val="en-US"/>
        </w:rPr>
        <w:t>-Poisson C critically revised the manuscript for important intellectual content</w:t>
      </w:r>
      <w:r>
        <w:rPr>
          <w:rFonts w:ascii="Book Antiqua" w:hAnsi="Book Antiqua"/>
          <w:color w:val="000000"/>
          <w:lang w:val="en-US"/>
        </w:rPr>
        <w:t>;</w:t>
      </w:r>
      <w:r w:rsidRPr="00257F02">
        <w:rPr>
          <w:rFonts w:ascii="Book Antiqua" w:hAnsi="Book Antiqua"/>
          <w:color w:val="000000"/>
          <w:lang w:val="en-US"/>
        </w:rPr>
        <w:t xml:space="preserve"> All authors have read and approved the final version to be published.</w:t>
      </w:r>
    </w:p>
    <w:p w:rsidR="001D4918" w:rsidRPr="00257F02" w:rsidRDefault="001D4918" w:rsidP="007742D4">
      <w:pPr>
        <w:snapToGrid w:val="0"/>
        <w:spacing w:line="360" w:lineRule="auto"/>
        <w:jc w:val="both"/>
        <w:outlineLvl w:val="0"/>
        <w:rPr>
          <w:rFonts w:ascii="Book Antiqua" w:hAnsi="Book Antiqua"/>
          <w:color w:val="000000"/>
          <w:lang w:val="en-US"/>
        </w:rPr>
      </w:pPr>
    </w:p>
    <w:p w:rsidR="001D4918" w:rsidRPr="00257F02" w:rsidRDefault="001D4918" w:rsidP="007742D4">
      <w:pPr>
        <w:pStyle w:val="Default"/>
        <w:snapToGrid w:val="0"/>
        <w:spacing w:line="360" w:lineRule="auto"/>
        <w:jc w:val="both"/>
        <w:rPr>
          <w:rFonts w:cs="Times New Roman"/>
          <w:lang w:val="en-US"/>
        </w:rPr>
      </w:pPr>
      <w:r w:rsidRPr="00257F02">
        <w:rPr>
          <w:b/>
          <w:bCs/>
          <w:lang w:val="en-US"/>
        </w:rPr>
        <w:t xml:space="preserve">Conflict-of-interest statement: </w:t>
      </w:r>
      <w:r w:rsidRPr="00257F02">
        <w:rPr>
          <w:rFonts w:cs="Times New Roman"/>
          <w:lang w:val="en-US"/>
        </w:rPr>
        <w:t xml:space="preserve">The authors declare that they have no conflicts of interest. </w:t>
      </w:r>
    </w:p>
    <w:p w:rsidR="001D4918" w:rsidRPr="00257F02" w:rsidRDefault="001D4918" w:rsidP="007742D4">
      <w:pPr>
        <w:snapToGrid w:val="0"/>
        <w:spacing w:line="360" w:lineRule="auto"/>
        <w:jc w:val="both"/>
        <w:rPr>
          <w:rFonts w:ascii="Book Antiqua" w:hAnsi="Book Antiqua"/>
          <w:color w:val="000000"/>
          <w:lang w:val="en-US"/>
        </w:rPr>
      </w:pPr>
    </w:p>
    <w:p w:rsidR="001D4918" w:rsidRPr="00257F02" w:rsidRDefault="001D4918" w:rsidP="007742D4">
      <w:pPr>
        <w:snapToGrid w:val="0"/>
        <w:spacing w:line="360" w:lineRule="auto"/>
        <w:jc w:val="both"/>
        <w:rPr>
          <w:rFonts w:ascii="Book Antiqua" w:hAnsi="Book Antiqua"/>
          <w:color w:val="000000"/>
          <w:lang w:val="en-US"/>
        </w:rPr>
      </w:pPr>
      <w:r w:rsidRPr="00257F02">
        <w:rPr>
          <w:rFonts w:ascii="Book Antiqua" w:hAnsi="Book Antiqua"/>
          <w:b/>
          <w:color w:val="000000"/>
          <w:lang w:val="en-US"/>
        </w:rPr>
        <w:t xml:space="preserve">PRISMA 2009 Checklist statement: </w:t>
      </w:r>
      <w:r w:rsidRPr="00257F02">
        <w:rPr>
          <w:rFonts w:ascii="Book Antiqua" w:hAnsi="Book Antiqua"/>
          <w:color w:val="000000"/>
          <w:lang w:val="en-US"/>
        </w:rPr>
        <w:t>The authors have read the PRISMA Checklist (2009), and the manuscript was prepared and revised according to the PRISMA 2009 Checklist.</w:t>
      </w:r>
    </w:p>
    <w:p w:rsidR="001D4918" w:rsidRPr="00257F02" w:rsidRDefault="001D4918" w:rsidP="007742D4">
      <w:pPr>
        <w:snapToGrid w:val="0"/>
        <w:spacing w:line="360" w:lineRule="auto"/>
        <w:jc w:val="both"/>
        <w:rPr>
          <w:rFonts w:ascii="Book Antiqua" w:hAnsi="Book Antiqua"/>
          <w:b/>
          <w:i/>
          <w:color w:val="000000"/>
          <w:lang w:val="en-US"/>
        </w:rPr>
      </w:pP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b/>
          <w:color w:val="000000"/>
          <w:lang w:val="en-US"/>
        </w:rPr>
        <w:lastRenderedPageBreak/>
        <w:t xml:space="preserve">Open-Access: </w:t>
      </w:r>
      <w:r w:rsidRPr="00257F02">
        <w:rPr>
          <w:rFonts w:ascii="Book Antiqua" w:hAnsi="Book Antiqua"/>
          <w:color w:val="000000"/>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713B3">
        <w:rPr>
          <w:rFonts w:ascii="Book Antiqua" w:hAnsi="Book Antiqua"/>
          <w:lang w:val="en-US"/>
        </w:rPr>
        <w:t>http://creativecommons.org/licenses/by-nc/4.0/</w:t>
      </w:r>
    </w:p>
    <w:p w:rsidR="001D4918" w:rsidRPr="00257F02" w:rsidRDefault="001D4918" w:rsidP="007742D4">
      <w:pPr>
        <w:spacing w:line="360" w:lineRule="auto"/>
        <w:jc w:val="both"/>
        <w:rPr>
          <w:rFonts w:ascii="Book Antiqua" w:hAnsi="Book Antiqua"/>
          <w:b/>
          <w:color w:val="000000"/>
          <w:lang w:val="en-US"/>
        </w:rPr>
      </w:pPr>
    </w:p>
    <w:p w:rsidR="001D4918" w:rsidRPr="004713B3" w:rsidRDefault="001D4918" w:rsidP="007742D4">
      <w:pPr>
        <w:spacing w:line="360" w:lineRule="auto"/>
        <w:jc w:val="both"/>
        <w:rPr>
          <w:rFonts w:ascii="Book Antiqua" w:hAnsi="Book Antiqua"/>
          <w:bCs/>
          <w:color w:val="000000"/>
          <w:lang w:val="en-US"/>
        </w:rPr>
      </w:pPr>
      <w:r w:rsidRPr="00257F02">
        <w:rPr>
          <w:rFonts w:ascii="Book Antiqua" w:hAnsi="Book Antiqua"/>
          <w:b/>
          <w:color w:val="000000"/>
          <w:lang w:val="en-US"/>
        </w:rPr>
        <w:t xml:space="preserve">Manuscript source: </w:t>
      </w:r>
      <w:r w:rsidRPr="004713B3">
        <w:rPr>
          <w:rFonts w:ascii="Book Antiqua" w:hAnsi="Book Antiqua"/>
          <w:bCs/>
          <w:color w:val="000000"/>
          <w:lang w:val="en-US"/>
        </w:rPr>
        <w:t>Invited manuscript</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color w:val="000000"/>
        </w:rPr>
      </w:pPr>
      <w:r w:rsidRPr="00257F02">
        <w:rPr>
          <w:rFonts w:ascii="Book Antiqua" w:hAnsi="Book Antiqua"/>
          <w:b/>
          <w:color w:val="000000"/>
        </w:rPr>
        <w:t xml:space="preserve">Corresponding author: Arnaud Bourreille, MD, PhD, Professor, </w:t>
      </w:r>
      <w:r w:rsidRPr="00257F02">
        <w:rPr>
          <w:rFonts w:ascii="Book Antiqua" w:hAnsi="Book Antiqua"/>
          <w:color w:val="000000"/>
        </w:rPr>
        <w:t>Institut des Maladies de l’Appareil Digestif, Nantes University Hospital, 1 place Alexis Ricordeau, Nantes 44093, France. arnaud.bourreille@chu-nantes.fr</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Telephone: </w:t>
      </w:r>
      <w:r w:rsidRPr="00257F02">
        <w:rPr>
          <w:rFonts w:ascii="Book Antiqua" w:hAnsi="Book Antiqua"/>
          <w:color w:val="000000"/>
          <w:lang w:val="en-US"/>
        </w:rPr>
        <w:t>+33-2-40083152</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Fax: </w:t>
      </w:r>
      <w:r w:rsidRPr="00257F02">
        <w:rPr>
          <w:rFonts w:ascii="Book Antiqua" w:hAnsi="Book Antiqua"/>
          <w:color w:val="000000"/>
          <w:lang w:val="en-US"/>
        </w:rPr>
        <w:t>+33-2-40083154</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Received: </w:t>
      </w:r>
      <w:r w:rsidRPr="00257F02">
        <w:rPr>
          <w:rFonts w:ascii="Book Antiqua" w:hAnsi="Book Antiqua"/>
          <w:color w:val="000000"/>
          <w:lang w:val="en-US"/>
        </w:rPr>
        <w:t>March 26,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Peer-review started: </w:t>
      </w:r>
      <w:r w:rsidRPr="00257F02">
        <w:rPr>
          <w:rFonts w:ascii="Book Antiqua" w:hAnsi="Book Antiqua"/>
          <w:color w:val="000000"/>
          <w:lang w:val="en-US"/>
        </w:rPr>
        <w:t>March 26,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First decision: </w:t>
      </w:r>
      <w:r w:rsidRPr="00257F02">
        <w:rPr>
          <w:rFonts w:ascii="Book Antiqua" w:hAnsi="Book Antiqua"/>
          <w:color w:val="000000"/>
          <w:lang w:val="en-US"/>
        </w:rPr>
        <w:t>April 11,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Revised: </w:t>
      </w:r>
      <w:r w:rsidRPr="00257F02">
        <w:rPr>
          <w:rFonts w:ascii="Book Antiqua" w:hAnsi="Book Antiqua"/>
          <w:color w:val="000000"/>
          <w:lang w:val="en-US"/>
        </w:rPr>
        <w:t>May 2</w:t>
      </w:r>
      <w:r>
        <w:rPr>
          <w:rFonts w:ascii="Book Antiqua" w:hAnsi="Book Antiqua"/>
          <w:color w:val="000000"/>
          <w:lang w:val="en-US"/>
        </w:rPr>
        <w:t>8</w:t>
      </w:r>
      <w:r w:rsidRPr="00257F02">
        <w:rPr>
          <w:rFonts w:ascii="Book Antiqua" w:hAnsi="Book Antiqua"/>
          <w:color w:val="000000"/>
          <w:lang w:val="en-US"/>
        </w:rPr>
        <w:t>, 2019</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Accepted:</w:t>
      </w:r>
      <w:r w:rsidR="000E652A" w:rsidRPr="000E652A">
        <w:t xml:space="preserve"> </w:t>
      </w:r>
      <w:r w:rsidR="000E652A" w:rsidRPr="000E652A">
        <w:rPr>
          <w:rFonts w:ascii="Book Antiqua" w:hAnsi="Book Antiqua"/>
          <w:color w:val="000000"/>
          <w:lang w:val="en-US"/>
        </w:rPr>
        <w:t>July 19, 2019</w:t>
      </w:r>
      <w:r w:rsidRPr="00257F02">
        <w:rPr>
          <w:rFonts w:ascii="Book Antiqua" w:hAnsi="Book Antiqua"/>
          <w:b/>
          <w:color w:val="000000"/>
          <w:lang w:val="en-US"/>
        </w:rPr>
        <w:t xml:space="preserve"> </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Article in press:</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Published online:</w:t>
      </w:r>
    </w:p>
    <w:p w:rsidR="001D4918" w:rsidRPr="00257F02" w:rsidRDefault="001D4918" w:rsidP="007742D4">
      <w:pPr>
        <w:spacing w:line="360" w:lineRule="auto"/>
        <w:jc w:val="both"/>
        <w:rPr>
          <w:rFonts w:ascii="Book Antiqua" w:hAnsi="Book Antiqua"/>
          <w:b/>
          <w:color w:val="000000"/>
          <w:lang w:val="en-US"/>
        </w:rPr>
        <w:sectPr w:rsidR="001D4918" w:rsidRPr="00257F02">
          <w:headerReference w:type="even" r:id="rId7"/>
          <w:headerReference w:type="default" r:id="rId8"/>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 xml:space="preserve">Abstract </w:t>
      </w: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i/>
          <w:color w:val="000000"/>
          <w:lang w:val="en-US"/>
        </w:rPr>
        <w:t xml:space="preserve">BACKGROUND </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 xml:space="preserve">Crohn’s disease (CD) can affect the entire gastrointestinal tract. Proximal small bowel (SB) lesions are associated with a significant risk of </w:t>
      </w:r>
      <w:proofErr w:type="spellStart"/>
      <w:r w:rsidRPr="00257F02">
        <w:rPr>
          <w:rFonts w:ascii="Book Antiqua" w:hAnsi="Book Antiqua"/>
          <w:color w:val="000000"/>
          <w:lang w:val="en-US"/>
        </w:rPr>
        <w:t>stricturing</w:t>
      </w:r>
      <w:proofErr w:type="spellEnd"/>
      <w:r w:rsidRPr="00257F02">
        <w:rPr>
          <w:rFonts w:ascii="Book Antiqua" w:hAnsi="Book Antiqua"/>
          <w:color w:val="000000"/>
          <w:lang w:val="en-US"/>
        </w:rPr>
        <w:t xml:space="preserve"> disease and multiple abdominal surgeries. The assessment of SB in patients with CD is therefore necessary because it may have a significant impact on prognosis with potential therapeutic implications. Because of the weak correlation that exists between symptoms and endoscopic disease activity, the “treat-to-target” paradigm has been developed, and the associated treatment goal is to achieve and maintain deep remission, encompassing both clinical and endoscopic remission. </w:t>
      </w:r>
      <w:r w:rsidRPr="00257F02">
        <w:rPr>
          <w:rFonts w:ascii="Book Antiqua" w:hAnsi="Book Antiqua"/>
          <w:lang w:val="en-US"/>
        </w:rPr>
        <w:t>Small bowel capsule endoscopy (SBCE) allows to visualize the mucosal surface of the entire SB. At that time, there is no recommendation regarding the use of SBCE during follow-up.</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AIM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To investigate the impact of SBCE in a treat-to-target strategy in patients with CD.</w:t>
      </w:r>
    </w:p>
    <w:p w:rsidR="001D4918" w:rsidRPr="00257F02" w:rsidRDefault="001D4918" w:rsidP="007742D4">
      <w:pPr>
        <w:spacing w:line="360" w:lineRule="auto"/>
        <w:jc w:val="both"/>
        <w:rPr>
          <w:rFonts w:ascii="Book Antiqua" w:hAnsi="Book Antiqua"/>
          <w:b/>
          <w:i/>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METHODS </w:t>
      </w:r>
    </w:p>
    <w:p w:rsidR="001D4918" w:rsidRPr="00257F02" w:rsidRDefault="001D4918" w:rsidP="007742D4">
      <w:pPr>
        <w:spacing w:line="360" w:lineRule="auto"/>
        <w:jc w:val="both"/>
        <w:rPr>
          <w:rFonts w:ascii="BookAntiqua" w:eastAsia="BookAntiqua" w:cs="BookAntiqua"/>
          <w:sz w:val="18"/>
          <w:szCs w:val="18"/>
          <w:lang w:val="en-US"/>
        </w:rPr>
      </w:pPr>
      <w:r w:rsidRPr="00257F02">
        <w:rPr>
          <w:rFonts w:ascii="Book Antiqua" w:hAnsi="Book Antiqua"/>
          <w:color w:val="111111"/>
          <w:szCs w:val="20"/>
          <w:lang w:val="en-US"/>
        </w:rPr>
        <w:t>An electronic literature search was conducted in PubMed and Cochrane library using the following search terms: “capsule endoscopy”, in combination with “Crohn’s disease” and “treat-to-target” or synonyms.</w:t>
      </w:r>
      <w:r w:rsidRPr="00257F02">
        <w:rPr>
          <w:rFonts w:ascii="Book Antiqua" w:eastAsia="BookAntiqua" w:hAnsi="Book Antiqua" w:cs="BookAntiqua"/>
          <w:lang w:val="en-US"/>
        </w:rPr>
        <w:t xml:space="preserve"> </w:t>
      </w:r>
      <w:r w:rsidRPr="00257F02">
        <w:rPr>
          <w:rFonts w:ascii="Book Antiqua" w:hAnsi="Book Antiqua"/>
          <w:lang w:val="en-US"/>
        </w:rPr>
        <w:t>Two authors independently reviewed titles and abstracts identified by the search strategy after duplicates were removed</w:t>
      </w:r>
      <w:r w:rsidRPr="00257F02">
        <w:rPr>
          <w:rFonts w:ascii="Book Antiqua" w:eastAsia="BookAntiqua" w:hAnsi="Book Antiqua" w:cs="BookAntiqua"/>
          <w:lang w:val="en-US"/>
        </w:rPr>
        <w:t xml:space="preserve">. </w:t>
      </w:r>
      <w:r w:rsidRPr="00257F02">
        <w:rPr>
          <w:rFonts w:ascii="Book Antiqua" w:hAnsi="Book Antiqua"/>
          <w:color w:val="111111"/>
          <w:lang w:val="en-US"/>
        </w:rPr>
        <w:t>Following the</w:t>
      </w:r>
      <w:r w:rsidRPr="00257F02">
        <w:rPr>
          <w:rFonts w:ascii="Book Antiqua" w:hAnsi="Book Antiqua"/>
          <w:color w:val="111111"/>
          <w:szCs w:val="20"/>
          <w:lang w:val="en-US"/>
        </w:rPr>
        <w:t xml:space="preserve"> initial screening of abstracts, all articles containing information about SBCE in the context of treat-to-target strategy in patients with CD were included. Full-text </w:t>
      </w:r>
      <w:r w:rsidRPr="00257F02">
        <w:rPr>
          <w:rFonts w:ascii="Book Antiqua" w:hAnsi="Book Antiqua"/>
          <w:color w:val="111111"/>
          <w:lang w:val="en-US"/>
        </w:rPr>
        <w:t xml:space="preserve">articles were retrieved, reference lists were screened manually to </w:t>
      </w:r>
      <w:r w:rsidRPr="00257F02">
        <w:rPr>
          <w:rFonts w:ascii="Book Antiqua" w:hAnsi="Book Antiqua"/>
          <w:lang w:val="en-US"/>
        </w:rPr>
        <w:t xml:space="preserve">identify additional studies. </w:t>
      </w:r>
    </w:p>
    <w:p w:rsidR="001D4918" w:rsidRPr="00257F02" w:rsidRDefault="001D4918" w:rsidP="007742D4">
      <w:pPr>
        <w:spacing w:line="360" w:lineRule="auto"/>
        <w:jc w:val="both"/>
        <w:rPr>
          <w:rFonts w:ascii="Book Antiqua" w:hAnsi="Book Antiqua"/>
          <w:b/>
          <w:i/>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RESULTS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Forty-seven articles were included in this review. Two indexes are currently used to quantify disease activity using SBCE, and there is good correlation between them. SBCE was shown to be useful for disease reclassification in patients who are suspected of having or who are diagnosed with CD, with a significant incremental diagnostic </w:t>
      </w:r>
      <w:r w:rsidRPr="00257F02">
        <w:rPr>
          <w:rFonts w:ascii="Book Antiqua" w:hAnsi="Book Antiqua"/>
          <w:lang w:val="en-US"/>
        </w:rPr>
        <w:lastRenderedPageBreak/>
        <w:t xml:space="preserve">yield compared to other diagnostic modalities. Nine studies also demonstrated that the mucosal healing can be evaluated by SBCE to monitor the effect of medical treatment in patients with CD. This review also demonstrated that SBCE can detect post-operative recurrence to a similar extent as </w:t>
      </w:r>
      <w:proofErr w:type="spellStart"/>
      <w:r w:rsidRPr="00257F02">
        <w:rPr>
          <w:rFonts w:ascii="Book Antiqua" w:hAnsi="Book Antiqua"/>
          <w:lang w:val="en-US"/>
        </w:rPr>
        <w:t>ileocolonoscopy</w:t>
      </w:r>
      <w:proofErr w:type="spellEnd"/>
      <w:r w:rsidRPr="00257F02">
        <w:rPr>
          <w:rFonts w:ascii="Book Antiqua" w:hAnsi="Book Antiqua"/>
          <w:lang w:val="en-US"/>
        </w:rPr>
        <w:t>, and proximal SB lesions that are beyond the reach of the colonoscope in over half of the patients.</w:t>
      </w:r>
    </w:p>
    <w:p w:rsidR="001D4918" w:rsidRPr="00257F02" w:rsidRDefault="001D4918" w:rsidP="007742D4">
      <w:pPr>
        <w:spacing w:line="360" w:lineRule="auto"/>
        <w:jc w:val="both"/>
        <w:rPr>
          <w:rFonts w:ascii="Book Antiqua" w:hAnsi="Book Antiqua" w:cs="AdvPTimesB"/>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CONCLUSION</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s="Minion Pro"/>
          <w:color w:val="000000"/>
          <w:lang w:val="en-US"/>
        </w:rPr>
        <w:t>SBCE could be incorporated in the treat-to-target algorithm for patients with CD</w:t>
      </w:r>
      <w:r w:rsidRPr="00257F02">
        <w:rPr>
          <w:rFonts w:ascii="Book Antiqua" w:hAnsi="Book Antiqua"/>
          <w:lang w:val="en-US"/>
        </w:rPr>
        <w:t>.</w:t>
      </w:r>
      <w:r w:rsidRPr="00257F02">
        <w:rPr>
          <w:rFonts w:ascii="Book Antiqua" w:hAnsi="Book Antiqua"/>
          <w:color w:val="000000"/>
          <w:lang w:val="en-US"/>
        </w:rPr>
        <w:t xml:space="preserve"> Randomized controlled trials are required to confirm its usefulness and reliability in this indication. </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Key words: </w:t>
      </w:r>
      <w:r w:rsidRPr="00257F02">
        <w:rPr>
          <w:rFonts w:ascii="Book Antiqua" w:hAnsi="Book Antiqua"/>
          <w:color w:val="000000"/>
          <w:lang w:val="en-US"/>
        </w:rPr>
        <w:t>Wireless capsule endoscopy; Inflammatory bowel disease; Treat-to-target; Monitoring; Mucosal healing; Post-operative recurrence; Prognosis</w:t>
      </w:r>
    </w:p>
    <w:p w:rsidR="001D4918" w:rsidRDefault="001D4918" w:rsidP="007742D4">
      <w:pPr>
        <w:spacing w:line="360" w:lineRule="auto"/>
        <w:jc w:val="both"/>
        <w:rPr>
          <w:rFonts w:ascii="Book Antiqua" w:hAnsi="Book Antiqua"/>
          <w:b/>
          <w:color w:val="000000"/>
          <w:lang w:val="en-US"/>
        </w:rPr>
      </w:pPr>
    </w:p>
    <w:p w:rsidR="001D4918" w:rsidRDefault="001D4918" w:rsidP="007742D4">
      <w:pPr>
        <w:autoSpaceDE w:val="0"/>
        <w:autoSpaceDN w:val="0"/>
        <w:adjustRightInd w:val="0"/>
        <w:snapToGrid w:val="0"/>
        <w:spacing w:line="360" w:lineRule="auto"/>
        <w:jc w:val="both"/>
        <w:rPr>
          <w:rFonts w:ascii="Book Antiqua" w:hAnsi="Book Antiqua" w:cs="Arial Unicode MS"/>
        </w:rPr>
      </w:pPr>
      <w:bookmarkStart w:id="1" w:name="OLE_LINK98"/>
      <w:bookmarkStart w:id="2" w:name="OLE_LINK156"/>
      <w:bookmarkStart w:id="3" w:name="OLE_LINK196"/>
      <w:bookmarkStart w:id="4" w:name="OLE_LINK217"/>
      <w:bookmarkStart w:id="5" w:name="OLE_LINK242"/>
      <w:bookmarkStart w:id="6" w:name="OLE_LINK247"/>
      <w:bookmarkStart w:id="7" w:name="OLE_LINK311"/>
      <w:bookmarkStart w:id="8" w:name="OLE_LINK312"/>
      <w:bookmarkStart w:id="9" w:name="OLE_LINK325"/>
      <w:bookmarkStart w:id="10" w:name="OLE_LINK330"/>
      <w:bookmarkStart w:id="11" w:name="OLE_LINK513"/>
      <w:bookmarkStart w:id="12" w:name="OLE_LINK514"/>
      <w:bookmarkStart w:id="13" w:name="OLE_LINK464"/>
      <w:bookmarkStart w:id="14" w:name="OLE_LINK465"/>
      <w:bookmarkStart w:id="15" w:name="OLE_LINK466"/>
      <w:bookmarkStart w:id="16" w:name="OLE_LINK470"/>
      <w:bookmarkStart w:id="17" w:name="OLE_LINK471"/>
      <w:bookmarkStart w:id="18" w:name="OLE_LINK472"/>
      <w:bookmarkStart w:id="19" w:name="OLE_LINK474"/>
      <w:bookmarkStart w:id="20" w:name="OLE_LINK512"/>
      <w:bookmarkStart w:id="21" w:name="OLE_LINK800"/>
      <w:bookmarkStart w:id="22" w:name="OLE_LINK982"/>
      <w:bookmarkStart w:id="23" w:name="OLE_LINK1027"/>
      <w:bookmarkStart w:id="24" w:name="OLE_LINK504"/>
      <w:bookmarkStart w:id="25" w:name="OLE_LINK546"/>
      <w:bookmarkStart w:id="26" w:name="OLE_LINK547"/>
      <w:bookmarkStart w:id="27" w:name="OLE_LINK575"/>
      <w:bookmarkStart w:id="28" w:name="OLE_LINK640"/>
      <w:bookmarkStart w:id="29" w:name="OLE_LINK672"/>
      <w:bookmarkStart w:id="30" w:name="OLE_LINK714"/>
      <w:bookmarkStart w:id="31" w:name="OLE_LINK651"/>
      <w:bookmarkStart w:id="32" w:name="OLE_LINK652"/>
      <w:bookmarkStart w:id="33" w:name="OLE_LINK744"/>
      <w:bookmarkStart w:id="34" w:name="OLE_LINK758"/>
      <w:bookmarkStart w:id="35" w:name="OLE_LINK787"/>
      <w:bookmarkStart w:id="36" w:name="OLE_LINK807"/>
      <w:bookmarkStart w:id="37" w:name="OLE_LINK820"/>
      <w:bookmarkStart w:id="38" w:name="OLE_LINK862"/>
      <w:bookmarkStart w:id="39" w:name="OLE_LINK879"/>
      <w:bookmarkStart w:id="40" w:name="OLE_LINK906"/>
      <w:bookmarkStart w:id="41" w:name="OLE_LINK928"/>
      <w:bookmarkStart w:id="42" w:name="OLE_LINK960"/>
      <w:bookmarkStart w:id="43" w:name="OLE_LINK861"/>
      <w:bookmarkStart w:id="44" w:name="OLE_LINK983"/>
      <w:bookmarkStart w:id="45" w:name="OLE_LINK1334"/>
      <w:bookmarkStart w:id="46" w:name="OLE_LINK1029"/>
      <w:bookmarkStart w:id="47" w:name="OLE_LINK1060"/>
      <w:bookmarkStart w:id="48" w:name="OLE_LINK1061"/>
      <w:bookmarkStart w:id="49" w:name="OLE_LINK1348"/>
      <w:bookmarkStart w:id="50" w:name="OLE_LINK1086"/>
      <w:bookmarkStart w:id="51" w:name="OLE_LINK1100"/>
      <w:bookmarkStart w:id="52" w:name="OLE_LINK1125"/>
      <w:bookmarkStart w:id="53" w:name="OLE_LINK1163"/>
      <w:bookmarkStart w:id="54" w:name="OLE_LINK1193"/>
      <w:bookmarkStart w:id="55" w:name="OLE_LINK1219"/>
      <w:bookmarkStart w:id="56" w:name="OLE_LINK1247"/>
      <w:bookmarkStart w:id="57" w:name="OLE_LINK1284"/>
      <w:bookmarkStart w:id="58" w:name="OLE_LINK1313"/>
      <w:bookmarkStart w:id="59" w:name="OLE_LINK1361"/>
      <w:bookmarkStart w:id="60" w:name="OLE_LINK1384"/>
      <w:bookmarkStart w:id="61" w:name="OLE_LINK1403"/>
      <w:bookmarkStart w:id="62" w:name="OLE_LINK1437"/>
      <w:bookmarkStart w:id="63" w:name="OLE_LINK1454"/>
      <w:bookmarkStart w:id="64" w:name="OLE_LINK1480"/>
      <w:bookmarkStart w:id="65" w:name="OLE_LINK1504"/>
      <w:bookmarkStart w:id="66" w:name="OLE_LINK1516"/>
      <w:bookmarkStart w:id="67" w:name="OLE_LINK135"/>
      <w:bookmarkStart w:id="68" w:name="OLE_LINK216"/>
      <w:bookmarkStart w:id="69" w:name="OLE_LINK259"/>
      <w:bookmarkStart w:id="70" w:name="OLE_LINK1186"/>
      <w:bookmarkStart w:id="71" w:name="OLE_LINK1265"/>
      <w:bookmarkStart w:id="72" w:name="OLE_LINK1373"/>
      <w:bookmarkStart w:id="73" w:name="OLE_LINK1478"/>
      <w:bookmarkStart w:id="74" w:name="OLE_LINK1644"/>
      <w:bookmarkStart w:id="75" w:name="OLE_LINK1884"/>
      <w:bookmarkStart w:id="76" w:name="OLE_LINK1885"/>
      <w:bookmarkStart w:id="77" w:name="OLE_LINK1538"/>
      <w:bookmarkStart w:id="78" w:name="OLE_LINK1539"/>
      <w:bookmarkStart w:id="79" w:name="OLE_LINK1543"/>
      <w:bookmarkStart w:id="80" w:name="OLE_LINK1549"/>
      <w:bookmarkStart w:id="81" w:name="OLE_LINK1778"/>
      <w:bookmarkStart w:id="82" w:name="OLE_LINK1756"/>
      <w:bookmarkStart w:id="83" w:name="OLE_LINK1776"/>
      <w:bookmarkStart w:id="84" w:name="OLE_LINK1777"/>
      <w:bookmarkStart w:id="85" w:name="OLE_LINK1868"/>
      <w:bookmarkStart w:id="86" w:name="OLE_LINK1744"/>
      <w:bookmarkStart w:id="87" w:name="OLE_LINK1817"/>
      <w:bookmarkStart w:id="88" w:name="OLE_LINK1835"/>
      <w:bookmarkStart w:id="89" w:name="OLE_LINK1866"/>
      <w:bookmarkStart w:id="90" w:name="OLE_LINK1882"/>
      <w:bookmarkStart w:id="91" w:name="OLE_LINK1901"/>
      <w:bookmarkStart w:id="92" w:name="OLE_LINK1902"/>
      <w:bookmarkStart w:id="93" w:name="OLE_LINK2013"/>
      <w:bookmarkStart w:id="94" w:name="OLE_LINK1894"/>
      <w:bookmarkStart w:id="95" w:name="OLE_LINK1929"/>
      <w:bookmarkStart w:id="96" w:name="OLE_LINK1941"/>
      <w:bookmarkStart w:id="97" w:name="OLE_LINK1995"/>
      <w:bookmarkStart w:id="98" w:name="OLE_LINK1938"/>
      <w:bookmarkStart w:id="99" w:name="OLE_LINK2081"/>
      <w:bookmarkStart w:id="100" w:name="OLE_LINK2082"/>
      <w:bookmarkStart w:id="101" w:name="OLE_LINK2292"/>
      <w:bookmarkStart w:id="102" w:name="OLE_LINK1931"/>
      <w:bookmarkStart w:id="103" w:name="OLE_LINK1964"/>
      <w:bookmarkStart w:id="104" w:name="OLE_LINK2020"/>
      <w:bookmarkStart w:id="105" w:name="OLE_LINK2071"/>
      <w:bookmarkStart w:id="106" w:name="OLE_LINK2134"/>
      <w:bookmarkStart w:id="107" w:name="OLE_LINK2265"/>
      <w:bookmarkStart w:id="108" w:name="OLE_LINK2562"/>
      <w:bookmarkStart w:id="109" w:name="OLE_LINK1923"/>
      <w:bookmarkStart w:id="110" w:name="OLE_LINK2192"/>
      <w:bookmarkStart w:id="111" w:name="OLE_LINK2110"/>
      <w:bookmarkStart w:id="112" w:name="OLE_LINK2445"/>
      <w:bookmarkStart w:id="113" w:name="OLE_LINK2446"/>
      <w:bookmarkStart w:id="114" w:name="OLE_LINK2169"/>
      <w:bookmarkStart w:id="115" w:name="OLE_LINK2190"/>
      <w:bookmarkStart w:id="116" w:name="OLE_LINK2331"/>
      <w:bookmarkStart w:id="117" w:name="OLE_LINK2345"/>
      <w:bookmarkStart w:id="118" w:name="OLE_LINK2467"/>
      <w:bookmarkStart w:id="119" w:name="OLE_LINK2484"/>
      <w:bookmarkStart w:id="120" w:name="OLE_LINK2157"/>
      <w:bookmarkStart w:id="121" w:name="OLE_LINK2221"/>
      <w:bookmarkStart w:id="122" w:name="OLE_LINK2252"/>
      <w:bookmarkStart w:id="123" w:name="OLE_LINK2348"/>
      <w:bookmarkStart w:id="124" w:name="OLE_LINK2451"/>
      <w:bookmarkStart w:id="125" w:name="OLE_LINK2627"/>
      <w:bookmarkStart w:id="126" w:name="OLE_LINK2482"/>
      <w:bookmarkStart w:id="127" w:name="OLE_LINK2663"/>
      <w:bookmarkStart w:id="128" w:name="OLE_LINK2761"/>
      <w:bookmarkStart w:id="129" w:name="OLE_LINK2856"/>
      <w:bookmarkStart w:id="130" w:name="OLE_LINK2993"/>
      <w:bookmarkStart w:id="131" w:name="OLE_LINK2643"/>
      <w:bookmarkStart w:id="132" w:name="OLE_LINK2583"/>
      <w:bookmarkStart w:id="133" w:name="OLE_LINK2762"/>
      <w:bookmarkStart w:id="134" w:name="OLE_LINK2962"/>
      <w:bookmarkStart w:id="135"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b/>
          <w:color w:val="000000"/>
        </w:rPr>
        <w:t>9</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 xml:space="preserve">Core tip: </w:t>
      </w:r>
      <w:r w:rsidRPr="00257F02">
        <w:rPr>
          <w:rFonts w:ascii="Book Antiqua" w:hAnsi="Book Antiqua"/>
          <w:lang w:val="en-US"/>
        </w:rPr>
        <w:t>The treatment goal in patients with Crohn’s disease (CD) combines both clinical and endoscopic remission. Assessment of the small bowel (SB) is substantial because it may have a significant impact on prognosis. Small bowel capsule endoscopy (SBCE) allows direct visualization of the entire SB mucosal surface. We conducted a systematic literature review that aimed to provide a global overview of the studies that assessed the use of SBCE in a treat-to-target strategy in patients with CD. SBCE could be useful for refining the disease location, assessing mucosal healing in patients receiving treatment, and monitoring patients in the post-operative setting.</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pStyle w:val="a3"/>
        <w:shd w:val="clear" w:color="auto" w:fill="FFFFFF"/>
        <w:spacing w:before="0" w:beforeAutospacing="0" w:after="0" w:afterAutospacing="0" w:line="360" w:lineRule="auto"/>
        <w:jc w:val="both"/>
        <w:rPr>
          <w:rFonts w:ascii="Book Antiqua" w:hAnsi="Book Antiqua"/>
          <w:color w:val="000000"/>
          <w:lang w:val="en-US"/>
        </w:rPr>
      </w:pPr>
      <w:r w:rsidRPr="00257F02">
        <w:rPr>
          <w:rFonts w:ascii="Book Antiqua" w:hAnsi="Book Antiqua"/>
          <w:color w:val="000000"/>
          <w:lang w:val="en-US"/>
        </w:rPr>
        <w:t xml:space="preserve">Le </w:t>
      </w:r>
      <w:proofErr w:type="spellStart"/>
      <w:r w:rsidRPr="00257F02">
        <w:rPr>
          <w:rFonts w:ascii="Book Antiqua" w:hAnsi="Book Antiqua"/>
          <w:color w:val="000000"/>
          <w:lang w:val="en-US"/>
        </w:rPr>
        <w:t>Berre</w:t>
      </w:r>
      <w:proofErr w:type="spellEnd"/>
      <w:r w:rsidRPr="00257F02">
        <w:rPr>
          <w:rFonts w:ascii="Book Antiqua" w:hAnsi="Book Antiqua"/>
          <w:color w:val="000000"/>
          <w:lang w:val="en-US"/>
        </w:rPr>
        <w:t xml:space="preserve"> C, </w:t>
      </w:r>
      <w:proofErr w:type="spellStart"/>
      <w:r w:rsidRPr="00257F02">
        <w:rPr>
          <w:rFonts w:ascii="Book Antiqua" w:hAnsi="Book Antiqua"/>
          <w:color w:val="000000"/>
          <w:lang w:val="en-US"/>
        </w:rPr>
        <w:t>Trang</w:t>
      </w:r>
      <w:proofErr w:type="spellEnd"/>
      <w:r w:rsidRPr="00257F02">
        <w:rPr>
          <w:rFonts w:ascii="Book Antiqua" w:hAnsi="Book Antiqua"/>
          <w:color w:val="000000"/>
          <w:lang w:val="en-US"/>
        </w:rPr>
        <w:t xml:space="preserve">-Poisson C, </w:t>
      </w:r>
      <w:proofErr w:type="spellStart"/>
      <w:r w:rsidRPr="00257F02">
        <w:rPr>
          <w:rFonts w:ascii="Book Antiqua" w:hAnsi="Book Antiqua"/>
          <w:color w:val="000000"/>
          <w:lang w:val="en-US"/>
        </w:rPr>
        <w:t>Bourreille</w:t>
      </w:r>
      <w:proofErr w:type="spellEnd"/>
      <w:r w:rsidRPr="00257F02">
        <w:rPr>
          <w:rFonts w:ascii="Book Antiqua" w:hAnsi="Book Antiqua"/>
          <w:color w:val="000000"/>
          <w:lang w:val="en-US"/>
        </w:rPr>
        <w:t xml:space="preserve"> A. Small bowel capsule endoscopy and treat-to-target in Crohn's disease: A systematic review. </w:t>
      </w:r>
      <w:r w:rsidRPr="00257F02">
        <w:rPr>
          <w:rFonts w:ascii="Book Antiqua" w:hAnsi="Book Antiqua"/>
          <w:i/>
          <w:color w:val="000000"/>
          <w:lang w:val="en-US"/>
        </w:rPr>
        <w:t xml:space="preserve">World J Gastroenterol </w:t>
      </w:r>
      <w:r w:rsidRPr="00257F02">
        <w:rPr>
          <w:rFonts w:ascii="Book Antiqua" w:hAnsi="Book Antiqua"/>
          <w:color w:val="000000"/>
          <w:lang w:val="en-US"/>
        </w:rPr>
        <w:t>2019; In press</w:t>
      </w:r>
    </w:p>
    <w:p w:rsidR="001D4918" w:rsidRPr="00257F02" w:rsidRDefault="001D4918" w:rsidP="007742D4">
      <w:pPr>
        <w:spacing w:line="360" w:lineRule="auto"/>
        <w:jc w:val="both"/>
        <w:rPr>
          <w:rFonts w:ascii="Book Antiqua" w:hAnsi="Book Antiqua"/>
          <w:b/>
          <w:color w:val="000000"/>
          <w:lang w:val="en-US"/>
        </w:rPr>
      </w:pPr>
    </w:p>
    <w:p w:rsidR="001D4918" w:rsidRPr="00257F02" w:rsidRDefault="001D4918" w:rsidP="007742D4">
      <w:pPr>
        <w:spacing w:line="360" w:lineRule="auto"/>
        <w:jc w:val="both"/>
        <w:rPr>
          <w:rFonts w:ascii="Book Antiqua" w:hAnsi="Book Antiqua"/>
          <w:b/>
          <w:color w:val="000000"/>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INTRODUCTION</w:t>
      </w: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The prognostic impact of small bowel lesions in Crohn’s disease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olor w:val="000000"/>
          <w:lang w:val="en-US"/>
        </w:rPr>
        <w:t xml:space="preserve">Inflammatory bowel diseases (IBD), which encompasses Crohn’s disease (CD) and ulcerative colitis (UC), are chronic and disabling inflammatory gastrointestinal disorders. In contrast to UC in which lesions are strictly limited to the colon, CD is more heterogeneous and can </w:t>
      </w:r>
      <w:r w:rsidRPr="00257F02">
        <w:rPr>
          <w:rFonts w:ascii="Book Antiqua" w:hAnsi="Book Antiqua"/>
          <w:lang w:val="en-US"/>
        </w:rPr>
        <w:t>affect the entire gastrointestinal tract, from the mouth to the anus. The Montreal classification of CD distinguishes anatomical disease location in the ileum (L1), colon (L2), and both the ileum and colon (L3)</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{"citationID":"Mcs1uVM8","properties":{"formattedCitation":"\\super [1]\\nosupersub{}","plainCitation":"[1]","noteIndex":0},"citationItems":[{"id":92,"uris":["http://zotero.org/users/3734960/items/GGQHB4E8"],"uri":["http://zotero.org/users/3734960/items/GGQHB4E8"],"itemData":{"id":92,"type":"article-journal","title":"Toward an integrated clinical, molecular and serological classification of inflammatory bowel disease: report of a Working Party of the 2005 Montreal World Congress of Gastroenterology","container-title":"Canadian Journal of Gastroenterology = Journal Canadien De Gastroenterologie","page":"5A-36A","volume":"19 Suppl A","source":"PubMed","abstract":"The discovery of a series of genetic and serological markers associated with disease susceptibility and phenotype in inflammatory bowel disease has led to the prospect of an integrated classification system involving clinical, serological and genetic parameters. The Working Party has reviewed current clinical classification systems in Crohn's disease, ulcerative colitis and indeterminate colitis, and provided recommendations for clinical classification in practice. Progress with respect to integrating serological and genetic markers has been examined in detail, and the implications are discussed. While an integrated system is not proposed for clinical use at present, the introduction of a widely acceptable clinical subclassification is strongly advocated, which would allow detailed correlations among serotype, genotype and clinical phenotype to be examined and confirmed in independent cohorts of patients and, thereby, provide a vital foundation for future work.","ISSN":"1916-7237","note":"PMID: 16151544","title-short":"Toward an integrated clinical, molecular and serological classification of inflammatory bowel disease","journalAbbreviation":"Can. J. Gastroenterol.","language":"eng","author":[{"family":"Silverberg","given":"Mark S."},{"family":"Satsangi","given":"Jack"},{"family":"Ahmad","given":"Tariq"},{"family":"Arnott","given":"Ian D. R."},{"family":"Bernstein","given":"Charles N."},{"family":"Brant","given":"Steven R."},{"family":"Caprilli","given":"Renzo"},{"family":"Colombel","given":"Jean-Frédéric"},{"family":"Gasche","given":"Christoph"},{"family":"Geboes","given":"Karel"},{"family":"Jewell","given":"Derek P."},{"family":"Karban","given":"Amir"},{"family":"Loftus","given":"Edward V."},{"family":"Peña","given":"A. Salvador"},{"family":"Riddell","given":"Robert H."},{"family":"Sachar","given":"David B."},{"family":"Schreiber","given":"Stefan"},{"family":"Steinhart","given":"A. Hillary"},{"family":"Targan","given":"Stephan R."},{"family":"Vermeire","given":"Severine"},{"family":"Warren","given":"B. F."}],"issued":{"date-parts":[["2005",9]]}}}],"schema":"https://github.com/citation-style-language/schema/raw/master/csl-citation.json"}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w:t>
      </w:r>
      <w:r w:rsidRPr="00257F02">
        <w:rPr>
          <w:rFonts w:ascii="Book Antiqua" w:hAnsi="Book Antiqua"/>
          <w:lang w:val="en-US"/>
        </w:rPr>
        <w:fldChar w:fldCharType="end"/>
      </w:r>
      <w:r w:rsidRPr="00257F02">
        <w:rPr>
          <w:rFonts w:ascii="Book Antiqua" w:hAnsi="Book Antiqua"/>
          <w:lang w:val="en-US"/>
        </w:rPr>
        <w:t>, each accounting for approximately one-third of patients who are diagnosed with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{"citationID":"rBL4A1Dd","properties":{"formattedCitation":"\\super [2]\\nosupersub{}","plainCitation":"[2]","noteIndex":0},"citationItems":[{"id":2825,"uris":["http://zotero.org/users/3734960/items/69QF9UHA"],"uri":["http://zotero.org/users/3734960/items/69QF9UHA"],"itemData":{"id":2825,"type":"article-journal","title":"A simple classification of Crohn's disease: report of the Working Party for the World Congresses of Gastroenterology, Vienna 1998","container-title":"Inflammatory Bowel Diseases","page":"8-15","volume":"6","issue":"1","source":"PubMed","abstract":"Crohn's disease is a heterogeneous entity. Previous attempts of classification have been based primarily on anatomic location and behavior of disease. However, no uniform definition of patient subgroups has yet achieved broad acceptance. The aim of this international Working Party was to develop a simple classification of Crohn's disease based on objective variables. Eight outcome-related variables relevant to Crohn's disease were identified and stepwise evaluated in 413 consecutive cases, a database survey, and by clinical considerations. Allocation of variables was conducted with well-defined Crohn's disease populations from Europe and North America. Cross-table analyses were performed by chi-square testing. Three variables were finally elected: Age at Diagnosis [below 40 years (A1), equal to or above 40 years (A2)], Location [terminal ileum (L1), colon (L2), ileocolon (L3), upper gastrointestinal (L4)], and Behavior [nonstricturing nonpenetrating (B1), stricturing (B2), penetrating (B3)]. The allocation of patients to these 24 subgroups proved feasible and resulted in specific disease clusters. Cross-table analyses revealed associations between Age at Diagnosis and Location, and between Behavior and Location (all p &lt; 0.001). The Vienna classification of Crohn's disease provides distinct definitions to categorize Crohn's patients into 24 subgroups. Operational guidelines should be used for the characterization of patients in clinical trials as well as for correlation of particular phenotypes with putative biologic markers or environmental factors.","ISSN":"1078-0998","note":"PMID: 10701144","title-short":"A simple classification of Crohn's disease","journalAbbreviation":"Inflamm. Bowel Dis.","language":"eng","author":[{"family":"Gasche","given":"C."},{"family":"Scholmerich","given":"J."},{"family":"Brynskov","given":"J."},{"family":"D'Haens","given":"G."},{"family":"Hanauer","given":"S. B."},{"family":"Irvine","given":"E. J."},{"family":"Jewell","given":"D. P."},{"family":"Rachmilewitz","given":"D."},{"family":"Sachar","given":"D. B."},{"family":"Sandborn","given":"W. J."},{"family":"Sutherland","given":"L. R."}],"issued":{"date-parts":[["2000",2]]}}}],"schema":"https://github.com/citation-style-language/schema/raw/master/csl-citation.json"}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w:t>
      </w:r>
      <w:r w:rsidRPr="00257F02">
        <w:rPr>
          <w:rFonts w:ascii="Book Antiqua" w:hAnsi="Book Antiqua"/>
          <w:lang w:val="en-US"/>
        </w:rPr>
        <w:fldChar w:fldCharType="end"/>
      </w:r>
      <w:r w:rsidRPr="00257F02">
        <w:rPr>
          <w:rFonts w:ascii="Book Antiqua" w:hAnsi="Book Antiqua"/>
          <w:lang w:val="en-US"/>
        </w:rPr>
        <w:t>. About 10</w:t>
      </w:r>
      <w:r>
        <w:rPr>
          <w:rFonts w:ascii="Book Antiqua" w:hAnsi="Book Antiqua"/>
          <w:lang w:val="en-US"/>
        </w:rPr>
        <w:t>%</w:t>
      </w:r>
      <w:r w:rsidRPr="00257F02">
        <w:rPr>
          <w:rFonts w:ascii="Book Antiqua" w:hAnsi="Book Antiqua"/>
          <w:lang w:val="en-US"/>
        </w:rPr>
        <w:t>–15% of patients have associated upper gastrointestinal lesions (L4)</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{"citationID":"uBo3o3H3","properties":{"formattedCitation":"\\super [3]\\nosupersub{}","plainCitation":"[3]","noteIndex":0},"citationItems":[{"id":2822,"uris":["http://zotero.org/users/3734960/items/LJZFA8RP"],"uri":["http://zotero.org/users/3734960/items/LJZFA8RP"],"itemData":{"id":2822,"type":"article-journal","title":"Epidemiology and Natural History of Inflammatory Bowel Diseases","container-title":"Gastroenterology","page":"1785-1794.e4","volume":"140","issue":"6","source":"Crossref","DOI":"10.1053/j.gastro.2011.01.055","ISSN":"00165085","language":"en","author":[{"family":"Cosnes","given":"Jacques"},{"family":"Gower–Rousseau","given":"Corinne"},{"family":"Seksik","given":"Philippe"},{"family":"Cortot","given":"Antoine"}],"issued":{"date-parts":[["2011",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w:t>
      </w:r>
      <w:r w:rsidRPr="00257F02">
        <w:rPr>
          <w:rFonts w:ascii="Book Antiqua" w:hAnsi="Book Antiqua"/>
          <w:lang w:val="en-US"/>
        </w:rPr>
        <w:fldChar w:fldCharType="end"/>
      </w:r>
      <w:r w:rsidRPr="00257F02">
        <w:rPr>
          <w:rFonts w:ascii="Book Antiqua" w:hAnsi="Book Antiqua"/>
          <w:lang w:val="en-US"/>
        </w:rPr>
        <w:t>, which are isolated in 2</w:t>
      </w:r>
      <w:r>
        <w:rPr>
          <w:rFonts w:ascii="Book Antiqua" w:hAnsi="Book Antiqua"/>
          <w:lang w:val="en-US"/>
        </w:rPr>
        <w:t>%</w:t>
      </w:r>
      <w:r w:rsidRPr="00257F02">
        <w:rPr>
          <w:rFonts w:ascii="Book Antiqua" w:hAnsi="Book Antiqua"/>
          <w:lang w:val="en-US"/>
        </w:rPr>
        <w:t>–3% of cases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{"citationID":"DpcOcUHT","properties":{"formattedCitation":"\\super [4]\\nosupersub{}","plainCitation":"[4]","noteIndex":0},"citationItems":[{"id":2827,"uris":["http://zotero.org/users/3734960/items/PQY8S587"],"uri":["http://zotero.org/users/3734960/items/PQY8S587"],"itemData":{"id":2827,"type":"article-journal","title":"Crohn's Disease of the Stomach and Duodenum: A Clinical Study with Emphasis on the Value of Endoscopy and Endoscopic Biopsies","container-title":"Endoscopy","page":"288-294","volume":"12","issue":"06","source":"Crossref","DOI":"10.1055/s-2007-1021762","ISSN":"0013-726X, 1438-8812","title-short":"Crohn's Disease of the Stomach and Duodenum","language":"en","author":[{"family":"Rutgeerts","given":"P."},{"family":"Onette","given":"E."},{"family":"Vantrappen","given":"G."},{"family":"Geboes","given":"K."},{"family":"Broeckaert","given":"L."},{"family":"Talloen","given":"L."}],"issued":{"date-parts":[["1980",11]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w:t>
      </w:r>
      <w:r w:rsidRPr="00257F02">
        <w:rPr>
          <w:rFonts w:ascii="Book Antiqua" w:hAnsi="Book Antiqua"/>
          <w:lang w:val="en-US"/>
        </w:rPr>
        <w:fldChar w:fldCharType="end"/>
      </w:r>
      <w:r w:rsidRPr="00257F02">
        <w:rPr>
          <w:rFonts w:ascii="Book Antiqua" w:hAnsi="Book Antiqua"/>
          <w:lang w:val="en-US"/>
        </w:rPr>
        <w:t xml:space="preserve">. It has been demonstrated that jejunal disease is </w:t>
      </w:r>
      <w:r w:rsidRPr="00257F02">
        <w:rPr>
          <w:rFonts w:ascii="Book Antiqua" w:hAnsi="Book Antiqua" w:cs="Arial"/>
          <w:color w:val="000000"/>
          <w:shd w:val="clear" w:color="auto" w:fill="FFFFFF"/>
          <w:lang w:val="en-US"/>
        </w:rPr>
        <w:t xml:space="preserve">a significantly greater risk factor for </w:t>
      </w:r>
      <w:proofErr w:type="spellStart"/>
      <w:r w:rsidRPr="00257F02">
        <w:rPr>
          <w:rFonts w:ascii="Book Antiqua" w:hAnsi="Book Antiqua" w:cs="Arial"/>
          <w:color w:val="000000"/>
          <w:shd w:val="clear" w:color="auto" w:fill="FFFFFF"/>
          <w:lang w:val="en-US"/>
        </w:rPr>
        <w:t>stricturing</w:t>
      </w:r>
      <w:proofErr w:type="spellEnd"/>
      <w:r w:rsidRPr="00257F02">
        <w:rPr>
          <w:rFonts w:ascii="Book Antiqua" w:hAnsi="Book Antiqua" w:cs="Arial"/>
          <w:color w:val="000000"/>
          <w:shd w:val="clear" w:color="auto" w:fill="FFFFFF"/>
          <w:lang w:val="en-US"/>
        </w:rPr>
        <w:t xml:space="preserve"> disease and multiple abdominal surgeries than either </w:t>
      </w:r>
      <w:proofErr w:type="spellStart"/>
      <w:r w:rsidRPr="00257F02">
        <w:rPr>
          <w:rFonts w:ascii="Book Antiqua" w:hAnsi="Book Antiqua" w:cs="Arial"/>
          <w:color w:val="000000"/>
          <w:shd w:val="clear" w:color="auto" w:fill="FFFFFF"/>
          <w:lang w:val="en-US"/>
        </w:rPr>
        <w:t>esophagogastroduodenal</w:t>
      </w:r>
      <w:proofErr w:type="spellEnd"/>
      <w:r w:rsidRPr="00257F02">
        <w:rPr>
          <w:rFonts w:ascii="Book Antiqua" w:hAnsi="Book Antiqua" w:cs="Arial"/>
          <w:color w:val="000000"/>
          <w:shd w:val="clear" w:color="auto" w:fill="FFFFFF"/>
          <w:lang w:val="en-US"/>
        </w:rPr>
        <w:t xml:space="preserve"> or </w:t>
      </w:r>
      <w:proofErr w:type="spellStart"/>
      <w:r w:rsidRPr="00257F02">
        <w:rPr>
          <w:rFonts w:ascii="Book Antiqua" w:hAnsi="Book Antiqua" w:cs="Arial"/>
          <w:color w:val="000000"/>
          <w:shd w:val="clear" w:color="auto" w:fill="FFFFFF"/>
          <w:lang w:val="en-US"/>
        </w:rPr>
        <w:t>ileal</w:t>
      </w:r>
      <w:proofErr w:type="spellEnd"/>
      <w:r w:rsidRPr="00257F02">
        <w:rPr>
          <w:rFonts w:ascii="Book Antiqua" w:hAnsi="Book Antiqua" w:cs="Arial"/>
          <w:color w:val="000000"/>
          <w:shd w:val="clear" w:color="auto" w:fill="FFFFFF"/>
          <w:lang w:val="en-US"/>
        </w:rPr>
        <w:t xml:space="preserve"> (without proximal) disease</w:t>
      </w:r>
      <w:r w:rsidRPr="00257F02">
        <w:rPr>
          <w:rStyle w:val="highlight"/>
          <w:rFonts w:ascii="Book Antiqua" w:hAnsi="Book Antiqua" w:cs="Arial"/>
          <w:color w:val="000000"/>
          <w:shd w:val="clear" w:color="auto" w:fill="FFFFFF"/>
          <w:lang w:val="en-US"/>
        </w:rPr>
        <w:fldChar w:fldCharType="begin"/>
      </w:r>
      <w:r w:rsidRPr="00257F02">
        <w:rPr>
          <w:rStyle w:val="highlight"/>
          <w:rFonts w:ascii="Book Antiqua" w:hAnsi="Book Antiqua" w:cs="Arial"/>
          <w:color w:val="000000"/>
          <w:shd w:val="clear" w:color="auto" w:fill="FFFFFF"/>
          <w:lang w:val="en-US"/>
        </w:rPr>
        <w:instrText xml:space="preserve"> ADDIN ZOTERO_ITEM CSL_CITATION {"citationID":"nnE6k8DK","properties":{"formattedCitation":"\\super [5\\uc0\\u8211{}7]\\nosupersub{}","plainCitation":"[5–7]","noteIndex":0},"citationItems":[{"id":2843,"uris":["http://zotero.org/users/3734960/items/E3IGLSB5"],"uri":["http://zotero.org/users/3734960/items/E3IGLSB5"],"itemData":{"id":2843,"type":"article-journal","title":"Relationship between proximal Crohn's disease location and disease behavior and surgery: a cross-sectional study of the IBD Genetics Consortium","container-title":"The American Journal of Gastroenterology","page":"106-112","volume":"108","issue":"1","source":"PubMed","abstract":"OBJECTIVES: In classifying Crohn's disease (CD) location, proximal (L4) disease includes esophagogastroduodenal (EGD) and jejunal disease. Our aim was to determine the influence of proximal disease on outcomes of behavior and need for surgery and to determine if there was significant clinical heterogeneity between EGD and jejunal disease.\nMETHODS: We performed a cross-sectional query of the NIDDK (National Institute of Diabetes and Digestive and Kidney Disease) Inflammatory Bowel Disease Genetics Consortium (IBDGC) database of patients with a confirmed diagnosis of CD and phenotyped per the IBDGC manual. Presence of any L4, L4-EGD, L4-jejunal, and non-L4 disease (L1-ileal, L2-colonic, and L3-ileocolonic) was compared with demographic features including age, race, ethnicity, smoking and inflammatory bowel disease (IBD) family history, diagnosis age, disease duration, clinical outcomes of inflammatory, stricturing or penetrating behavior, and CD abdominal surgeries. Univariate and multivariable analyses were performed with R.\nRESULTS: Among 2,105 patients with complete disease location data, 346 had L4 disease (175 L4-EGD, 115 L4-jejunal, and 56 EGD and jejunal) with 321 having concurrent L1-L3 disease. In all, 1,759 had only L1-L3 disease. L4 vs. non-L4 patients were more likely (P&lt;0.001) to be younger at diagnosis, non-smokers, have coexisting ileal involvement, and have stricturing disease. L4-jejunal vs. L4-EGD patients were at least twice as likely (P&lt;0.001) to have had ileal disease, stricturing behavior, and any or multiple abdominal surgeries. Remarkably, L4-jejunal patients had more (P&lt;0.001) stricturing behavior and multiple abdominal surgeries than non-L4 ileal disease patients. Logistic regression showed stricturing risks were ileal (without proximal) site (odds ratio (OR) 3.18; 95% confidence interval 2.23-4.64), longer disease duration (OR 1.33/decade; 1.19-1.49), jejunal site (OR 2.90; 1.89-4.45), and older age at diagnosis (OR 1.21/decade; 1.10-1.34). Multiple surgery risks were disease duration (OR 3.74/decade; 3.05-4.64), penetrating disease (OR 2.60; 1.64-4.21), and jejunal site (OR 2.39; 1.36-4.20), with short duration from diagnosis to first surgery protective (OR 0.87/decade to first surgery; 0.84-0.90).\nCONCLUSIONS: Jejunal disease is a significantly greater risk factor for stricturing disease and multiple abdominal surgeries than either EGD or ileal (without proximal) disease. The Montreal site classification should be revised to include separate designations for jejunal and EGD disease.","DOI":"10.1038/ajg.2012.389","ISSN":"1572-0241","note":"PMID: 23229423\nPMCID: PMC4059598","title-short":"Relationship between proximal Crohn's disease location and disease behavior and surgery","journalAbbreviation":"Am. J. Gastroenterol.","language":"eng","author":[{"family":"Lazarev","given":"Mark"},{"family":"Huang","given":"Chengrui"},{"family":"Bitton","given":"Alain"},{"family":"Cho","given":"Judy H."},{"family":"Duerr","given":"Richard H."},{"family":"McGovern","given":"Dermot P."},{"family":"Proctor","given":"Deborah D."},{"family":"Regueiro","given":"Miguel"},{"family":"Rioux","given":"John D."},{"family":"Schumm","given":"Philip P."},{"family":"Taylor","given":"Kent D."},{"family":"Silverberg","given":"Mark S."},{"family":"Steinhart","given":"A. Hillary"},{"family":"Hutfless","given":"Susan"},{"family":"Brant","given":"Steven R."}],"issued":{"date-parts":[["2013",1]]}}},{"id":2842,"uris":["http://zotero.org/users/3734960/items/JP64VSKN"],"uri":["http://zotero.org/users/3734960/items/JP64VSKN"],"itemData":{"id":2842,"type":"article-journal","title":"Phenotype at diagnosis predicts recurrence rates in Crohn's disease","container-title":"Gut","page":"1124-1130","volume":"55","issue":"8","source":"PubMed","abstract":"BACKGROUND: In Crohn's disease (CD), studies associating phenotype at diagnosis and subsequent disease activity are important for patient counselling and health care planning.\nAIMS: To calculate disease recurrence rates and to correlate these with phenotypic traits at diagnosis.\nMETHODS: A prospectively assembled uniformly diagnosed European population based inception cohort of CD patients was classified according to the Vienna classification for disease phenotype at diagnosis. Surgical and non-surgical recurrence rates throughout a 10 year follow up period were calculated. Multivariate analysis was performed to classify risk factors present at diagnosis for recurrent disease.\nRESULTS: A total of 358 were classified for phenotype at diagnosis, of whom 262 (73.2%) had a first recurrence and 113 patients (31.6%) a first surgical recurrence during the first 10 years after diagnosis. Patients with upper gastrointestinal disease at diagnosis had an excess risk of recurrence (hazard ratio 1.54 (95% confidence interval (CI) 1.13-2.10)) whereas age &gt;/=40 years at diagnosis was protective (hazard ratio 0.82 (95% CI 0.70-0.97)). Colonic disease was a protective characteristic for resective surgery (hazard ratio 0.38 (95% CI 0.21-0.69)). More frequent resective surgical recurrences were reported from Copenhagen (hazard ratio 3.23 (95% CI 1.32-7.89)).\nCONCLUSIONS: A mild course of disease in terms of disease recurrence was observed in this European cohort. Phenotype at diagnosis had predictive value for disease recurrence with upper gastrointestinal disease being the most important positive predictor. A phenotypic North-South gradient in CD may be present, illustrated by higher surgery risks in some of the Northern European centres.","DOI":"10.1136/gut.2005.084061","ISSN":"0017-5749","note":"PMID: 16361306\nPMCID: PMC1856253","journalAbbreviation":"Gut","language":"eng","author":[{"family":"Wolters","given":"F. L."},{"family":"Russel","given":"M. G."},{"family":"Sijbrandij","given":"J."},{"family":"Ambergen","given":"T."},{"family":"Odes","given":"S."},{"family":"Riis","given":"L."},{"family":"Langholz","given":"E."},{"family":"Politi","given":"P."},{"family":"Qasim","given":"A."},{"family":"Koutroubakis","given":"I."},{"family":"Tsianos","given":"E."},{"family":"Vermeire","given":"S."},{"family":"Freitas","given":"J."},{"family":"Zeijl","given":"G.","non-dropping-particle":"van"},{"family":"Hoie","given":"O."},{"family":"Bernklev","given":"T."},{"family":"Beltrami","given":"M."},{"family":"Rodriguez","given":"D."},{"family":"Stockbrügger","given":"R. W."},{"family":"Moum","given":"B."}],"issued":{"date-parts":[["2006",8]]}}},{"id":2841,"uris":["http://zotero.org/users/3734960/items/ZDQB7QVF"],"uri":["http://zotero.org/users/3734960/items/ZDQB7QVF"],"itemData":{"id":2841,"type":"article-journal","title":"Upper gastrointestinal tract phenotype of Crohn's disease is associated with early surgery and further hospitalization","container-title":"Inflammatory Bowel Diseases","page":"551-557","volume":"15","issue":"4","source":"PubMed","abstract":"BACKGROUND: According to the Montreal Classification, upper gastrointestinal tract phenotype L4 is uncommon in Caucasian patients with Crohn's disease (CD) but carries excess risk of recurrence. We studied the clinical course of CD in Chinese patients presenting with the L4 phenotype and factors predicting its occurrence upon longitudinal follow-up.\nMETHODS: This prospective cohort study included 132 Chinese CD patients (median age at diagnosis, 30.0 years, range: 14.0-77.0 years) who were followed for 770 person-years. Demographic data including disease behavior and location, details of surgery, and hospitalization were collected. The Kaplan-Meier method was used to estimate the probabilities of further hospitalization and major surgery followed by Cox proportional hazards regression to determine if clinical variables independently predicted the endpoints.\nRESULTS: The L4 phenotype was found in 30 (22.7%) patients at presentation. There were significantly more stricturing (46.7% versus 18.6%) and penetrating (30.0% versus 3.9%) phenotypes in the L4 group than in the non-L4 group (P &lt; 0.0001). The 3-year cumulative probability of further hospitalization was 86.9% (95% confidence interval [CI]: 73.8%-100.0%) in the L4 group as compared with 49.3% (95% CI: 39.3%-59.3%) in the non-L4 group (log-rank test, P &lt; 0.0001). The L4 phenotype independently predicted further hospitalization (adjusted hazards ratio [HR]: 2.1; 95% CI: 1.3-3.5). The cumulative probability of major surgery was significantly higher in the L4 than in the non-L4 group (P &lt; 0.0001). Eighteen (17.6%) patients developed the L4 phenotype on follow-up and the stricturing phenotype predicted its occurrence (adjusted HR: 5.5; 95% CI: 2.2-14.0).\nCONCLUSIONS: Chinese CD patients more often had the L4 phenotype, which predicted the need of subsequent hospitalization.","DOI":"10.1002/ibd.20804","ISSN":"1536-4844","note":"PMID: 19067420","journalAbbreviation":"Inflamm. Bowel Dis.","language":"eng","author":[{"family":"Chow","given":"Dorothy K. L."},{"family":"Sung","given":"Joseph J. Y."},{"family":"Wu","given":"Justin C. Y."},{"family":"Tsoi","given":"Kelvin K. F."},{"family":"Leong","given":"Rupert W. L."},{"family":"Chan","given":"Francis K. L."}],"issued":{"date-parts":[["2009",4]]}}}],"schema":"https://github.com/citation-style-language/schema/raw/master/csl-citation.json"} </w:instrText>
      </w:r>
      <w:r w:rsidRPr="00257F02">
        <w:rPr>
          <w:rStyle w:val="highlight"/>
          <w:rFonts w:ascii="Book Antiqua" w:hAnsi="Book Antiqua" w:cs="Arial"/>
          <w:color w:val="000000"/>
          <w:shd w:val="clear" w:color="auto" w:fill="FFFFFF"/>
          <w:lang w:val="en-US"/>
        </w:rPr>
        <w:fldChar w:fldCharType="separate"/>
      </w:r>
      <w:r w:rsidRPr="00257F02">
        <w:rPr>
          <w:rFonts w:ascii="Book Antiqua" w:hAnsi="Book Antiqua"/>
          <w:vertAlign w:val="superscript"/>
          <w:lang w:val="en-US"/>
        </w:rPr>
        <w:t>[5–7]</w:t>
      </w:r>
      <w:r w:rsidRPr="00257F02">
        <w:rPr>
          <w:rStyle w:val="highlight"/>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xml:space="preserve">. </w:t>
      </w:r>
    </w:p>
    <w:p w:rsidR="001D4918" w:rsidRPr="00257F02" w:rsidRDefault="001D4918" w:rsidP="007742D4">
      <w:pPr>
        <w:spacing w:line="360" w:lineRule="auto"/>
        <w:jc w:val="both"/>
        <w:rPr>
          <w:rFonts w:ascii="Book Antiqua" w:hAnsi="Book Antiqua" w:cs="Arial"/>
          <w:color w:val="000000"/>
          <w:shd w:val="clear" w:color="auto" w:fill="FFFFFF"/>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How can the small bowel be assessed in patients with </w:t>
      </w:r>
      <w:r w:rsidRPr="00227252">
        <w:rPr>
          <w:rFonts w:ascii="Book Antiqua" w:hAnsi="Book Antiqua"/>
          <w:b/>
          <w:i/>
          <w:color w:val="000000"/>
          <w:lang w:val="en-US"/>
        </w:rPr>
        <w:t>CD</w:t>
      </w:r>
      <w:r w:rsidRPr="00257F02">
        <w:rPr>
          <w:rFonts w:ascii="Book Antiqua" w:hAnsi="Book Antiqua"/>
          <w:b/>
          <w:i/>
          <w:color w:val="000000"/>
          <w:lang w:val="en-US"/>
        </w:rPr>
        <w:t>?</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Assessment of the small bowel (SB) in patients with suspected or diagnosed CD is necessary because complete visualization of the entire length of the SB may have a significant impact on prognosis with potential therapeutic implications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{"citationID":"yPhiI4ru","properties":{"formattedCitation":"\\super [8]\\nosupersub{}","plainCitation":"[8]","noteIndex":0},"citationItems":[{"id":2700,"uris":["http://zotero.org/users/3734960/items/ZHJ5VN6T"],"uri":["http://zotero.org/users/3734960/items/ZHJ5VN6T"],"itemData":{"id":2700,"type":"article-journal","title":"Video Capsule Endoscopy of the Small Bowel for Monitoring of Crohn's Disease","container-title":"Inflammatory Bowel Diseases","page":"2726-2735","volume":"21","issue":"11","source":"PubMed","abstract":"Video capsule endoscopy has revolutionized our ability to visualize the small bowel mucosa. This modality is a valuable tool for the diagnosis of suspected small bowel Crohn's disease, and it is increasingly used for the monitoring of disease activity in patients with established small bowel Crohn's. The purpose of the current article was to review the literature pertaining to the utilization of capsule endoscopy in established Crohn's disease, for monitoring of mucosal healing, postoperative recurrence, disease classification, and other indications.","DOI":"10.1097/MIB.0000000000000497","ISSN":"1536-4844","note":"PMID: 26193349","journalAbbreviation":"Inflamm. Bowel Dis.","language":"eng","author":[{"family":"Kopylov","given":"Uri"},{"family":"Ben-Horin","given":"Shomron"},{"family":"Seidman","given":"Ernest G."},{"family":"Eliakim","given":"Rami"}],"issued":{"date-parts":[["2015",11]]}}}],"schema":"https://github.com/citation-style-language/schema/raw/master/csl-citation.json"}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[8]</w:t>
      </w:r>
      <w:r w:rsidRPr="00257F02">
        <w:rPr>
          <w:rFonts w:ascii="Book Antiqua" w:hAnsi="Book Antiqua"/>
          <w:lang w:val="en-US"/>
        </w:rPr>
        <w:fldChar w:fldCharType="end"/>
      </w:r>
      <w:r w:rsidRPr="00257F02">
        <w:rPr>
          <w:rFonts w:ascii="Book Antiqua" w:hAnsi="Book Antiqua"/>
          <w:lang w:val="en-US"/>
        </w:rPr>
        <w:t xml:space="preserve">. Device-assisted </w:t>
      </w:r>
      <w:proofErr w:type="spellStart"/>
      <w:r w:rsidRPr="00257F02">
        <w:rPr>
          <w:rFonts w:ascii="Book Antiqua" w:hAnsi="Book Antiqua"/>
          <w:lang w:val="en-US"/>
        </w:rPr>
        <w:t>enteroscopy</w:t>
      </w:r>
      <w:proofErr w:type="spellEnd"/>
      <w:r w:rsidRPr="00257F02">
        <w:rPr>
          <w:rFonts w:ascii="Book Antiqua" w:hAnsi="Book Antiqua"/>
          <w:lang w:val="en-US"/>
        </w:rPr>
        <w:t xml:space="preserve"> should be performed only when endoscopic therapy is indicated, because of its invasive nature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{"citationID":"1Mx5FlWg","properties":{"formattedCitation":"\\super [9]\\nosupersub{}","plainCitation":"[9]","noteIndex":0},"citationItems":[{"id":569,"uris":["http://zotero.org/users/3734960/items/LMS7YCXN"],"uri":["http://zotero.org/users/3734960/items/LMS7YCXN"],"itemData":{"id":569,"type":"article-journal","title":"3rd European Evidence-based Consensus on the Diagnosis and Management of Crohn's Disease 2016: Part 1: Diagnosis and Medical Management","container-title":"Journal of Crohn's &amp; Colitis","page":"3-25","volume":"11","issue":"1","source":"PubMed","abstract":"This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2016].","DOI":"10.1093/ecco-jcc/jjw168","ISSN":"1876-4479","note":"PMID: 27660341","title-short":"3rd European Evidence-based Consensus on the Diagnosis and Management of Crohn's Disease 2016","journalAbbreviation":"J Crohns Colitis","language":"eng","author":[{"family":"Gomollón","given":"Fernando"},{"family":"Dignass","given":"Axel"},{"family":"Annese","given":"Vito"},{"family":"Tilg","given":"Herbert"},{"family":"Van Assche","given":"Gert"},{"family":"Lindsay","given":"James O."},{"family":"Peyrin-Biroulet","given":"Laurent"},{"family":"Cullen","given":"Garret J."},{"family":"Daperno","given":"Marco"},{"family":"Kucharzik","given":"Torsten"},{"family":"Rieder","given":"Florian"},{"family":"Almer","given":"Sven"},{"family":"Armuzzi","given":"Alessandro"},{"family":"Harbord","given":"Marcus"},{"family":"Langhorst","given":"Jost"},{"family":"Sans","given":"Miquel"},{"family":"Chowers","given":"Yehuda"},{"family":"Fiorino","given":"Gionata"},{"family":"Juillerat","given":"Pascal"},{"family":"Mantzaris","given":"Gerassimos J."},{"family":"Rizzello","given":"Fernando"},{"family":"Vavricka","given":"Stephan"},{"family":"Gionchetti","given":"Paolo"},{"literal":"ECCO"}],"issued":{"date-parts":[["2017",1]]}}}],"schema":"https://github.com/citation-style-language/schema/raw/master/csl-citation.json"}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[9]</w:t>
      </w:r>
      <w:r w:rsidRPr="00257F02">
        <w:rPr>
          <w:rFonts w:ascii="Book Antiqua" w:hAnsi="Book Antiqua"/>
          <w:lang w:val="en-US"/>
        </w:rPr>
        <w:fldChar w:fldCharType="end"/>
      </w:r>
      <w:r w:rsidRPr="00257F02">
        <w:rPr>
          <w:rFonts w:ascii="Book Antiqua" w:hAnsi="Book Antiqua"/>
          <w:lang w:val="en-US"/>
        </w:rPr>
        <w:t xml:space="preserve">. Cross-sectional imaging (magnetic resonance </w:t>
      </w:r>
      <w:proofErr w:type="spellStart"/>
      <w:r w:rsidRPr="00257F02">
        <w:rPr>
          <w:rFonts w:ascii="Book Antiqua" w:hAnsi="Book Antiqua"/>
          <w:lang w:val="en-US"/>
        </w:rPr>
        <w:t>enterography</w:t>
      </w:r>
      <w:proofErr w:type="spellEnd"/>
      <w:r w:rsidRPr="00257F02">
        <w:rPr>
          <w:rFonts w:ascii="Book Antiqua" w:hAnsi="Book Antiqua"/>
          <w:lang w:val="en-US"/>
        </w:rPr>
        <w:t xml:space="preserve"> and computed tomography </w:t>
      </w:r>
      <w:proofErr w:type="spellStart"/>
      <w:r w:rsidRPr="00257F02">
        <w:rPr>
          <w:rFonts w:ascii="Book Antiqua" w:hAnsi="Book Antiqua"/>
          <w:lang w:val="en-US"/>
        </w:rPr>
        <w:t>enterography</w:t>
      </w:r>
      <w:proofErr w:type="spellEnd"/>
      <w:r w:rsidRPr="00257F02">
        <w:rPr>
          <w:rFonts w:ascii="Book Antiqua" w:hAnsi="Book Antiqua"/>
          <w:lang w:val="en-US"/>
        </w:rPr>
        <w:t xml:space="preserve">) is highly accurate for the diagnosis of obstructive and fistulizing SB CD. Computed tomography </w:t>
      </w:r>
      <w:proofErr w:type="spellStart"/>
      <w:r w:rsidRPr="00257F02">
        <w:rPr>
          <w:rFonts w:ascii="Book Antiqua" w:hAnsi="Book Antiqua"/>
          <w:lang w:val="en-US"/>
        </w:rPr>
        <w:t>enterography</w:t>
      </w:r>
      <w:proofErr w:type="spellEnd"/>
      <w:r w:rsidRPr="00257F02">
        <w:rPr>
          <w:rFonts w:ascii="Book Antiqua" w:hAnsi="Book Antiqua"/>
          <w:lang w:val="en-US"/>
        </w:rPr>
        <w:t xml:space="preserve"> (CTE) is less suitable than magnetic resonance </w:t>
      </w:r>
      <w:proofErr w:type="spellStart"/>
      <w:r w:rsidRPr="00257F02">
        <w:rPr>
          <w:rFonts w:ascii="Book Antiqua" w:hAnsi="Book Antiqua"/>
          <w:lang w:val="en-US"/>
        </w:rPr>
        <w:t>enterography</w:t>
      </w:r>
      <w:proofErr w:type="spellEnd"/>
      <w:r w:rsidRPr="00257F02">
        <w:rPr>
          <w:rFonts w:ascii="Book Antiqua" w:hAnsi="Book Antiqua"/>
          <w:lang w:val="en-US"/>
        </w:rPr>
        <w:t xml:space="preserve"> (MRE) for follow-up monitoring because radiation exposure should be considered. Since its first approval by the Food and Drug Administration (FDA) in August 2001, small bowel capsule endoscopy (SBCE) has become an important tool for assessing the SB, and it is particularly useful in areas of the gastrointestinal tract that are not accessible to conventional endoscopy. In a recent prospective study assessing whether SBCE or MRE that was performed after the initial diagnosis may alter the original disease classification, SBCE was more sensitive for detection of previously unrecognized locations, while MRE was superior for detection of phenotype shift</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{"citationID":"bbnAEAZN","properties":{"formattedCitation":"\\super [10]\\nosupersub{}","plainCitation":"[10]","noteIndex":0},"citationItems":[{"id":2658,"uris":["http://zotero.org/users/3734960/items/2NQXT42K"],"uri":["http://zotero.org/users/3734960/items/2NQXT42K"],"itemData":{"id":2658,"type":"article-journal","title":"The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[10]</w:t>
      </w:r>
      <w:r w:rsidRPr="00257F02">
        <w:rPr>
          <w:rFonts w:ascii="Book Antiqua" w:hAnsi="Book Antiqua"/>
          <w:lang w:val="en-US"/>
        </w:rPr>
        <w:fldChar w:fldCharType="end"/>
      </w:r>
      <w:r w:rsidRPr="00257F02">
        <w:rPr>
          <w:rFonts w:ascii="Book Antiqua" w:hAnsi="Book Antiqua"/>
          <w:lang w:val="en-US"/>
        </w:rPr>
        <w:t xml:space="preserve">. Therefore, SBCE </w:t>
      </w:r>
      <w:r w:rsidRPr="00257F02">
        <w:rPr>
          <w:rFonts w:ascii="Book Antiqua" w:hAnsi="Book Antiqua"/>
          <w:lang w:val="en-US"/>
        </w:rPr>
        <w:lastRenderedPageBreak/>
        <w:t xml:space="preserve">and MRE are probably complementary, because MRE assesses transmural involvement, while SBCE allows direct visualization of the mucosal surface of the SB. Five main lesions are associated with CD, although not specific – edema, </w:t>
      </w:r>
      <w:proofErr w:type="spellStart"/>
      <w:r w:rsidRPr="00257F02">
        <w:rPr>
          <w:rFonts w:ascii="Book Antiqua" w:hAnsi="Book Antiqua"/>
          <w:lang w:val="en-US"/>
        </w:rPr>
        <w:t>aphthoid</w:t>
      </w:r>
      <w:proofErr w:type="spellEnd"/>
      <w:r w:rsidRPr="00257F02">
        <w:rPr>
          <w:rFonts w:ascii="Book Antiqua" w:hAnsi="Book Antiqua"/>
          <w:lang w:val="en-US"/>
        </w:rPr>
        <w:t xml:space="preserve"> erosions, superficial and deep ulcerations, and stenosis (Figure 1).</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i/>
          <w:lang w:val="en-US"/>
        </w:rPr>
      </w:pPr>
      <w:r w:rsidRPr="00257F02">
        <w:rPr>
          <w:rFonts w:ascii="Book Antiqua" w:hAnsi="Book Antiqua"/>
          <w:b/>
          <w:i/>
          <w:lang w:val="en-US"/>
        </w:rPr>
        <w:t xml:space="preserve">Small bowel capsule endoscopy to monitor patients with </w:t>
      </w:r>
      <w:r w:rsidR="00A20785">
        <w:rPr>
          <w:rFonts w:ascii="Book Antiqua" w:hAnsi="Book Antiqua"/>
          <w:b/>
          <w:i/>
          <w:lang w:val="en-US"/>
        </w:rPr>
        <w:t>CD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Until recently, therapeutic strategies relied on a progressive and step-wise approach that was based solely on IBD-related symptoms. However, evidence is now accumulating that demonstrates the weak correlation that exists between symptoms and endoscopic disease activity in patients with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{"citationID":"5STzlnSi","properties":{"unsorted":true,"formattedCitation":"\\super [11\\uc0\\u8211{}13]\\nosupersub{}","plainCitation":"[11–13]","noteIndex":0},"citationItems":[{"id":2836,"uris":["http://zotero.org/users/3734960/items/8JNV6G7U"],"uri":["http://zotero.org/users/3734960/items/8JNV6G7U"],"itemData":{"id":2836,"type":"article-journal","title":"Clinical, biological, and endoscopic picture of attacks of Crohn's disease. Evolution on prednisolone. Groupe d'Etude Thérapeutique des Affections Inflammatoires Digestives","container-title":"Gastroenterology","page":"811-818","volume":"98","issue":"4","source":"PubMed","abstract":"One hundred forty-two patients with active colonic or ileocolonic Crohn's disease were included in a multicenter prospective study. Data collection included 28 clinical, biological, and endoscopic items; the latter were recorded according to a standardized colonoscopic protocol; a previously validated endoscopic index of severity was calculated. Oral prednisolone (1 mg/kg body wt per day) was started and maintained until clinical remission and for at least 3 and at most 7 wk. A second clinical biological and endoscopic evaluation was then performed. At initial colonoscopy, mucosal lesions were, by decreasing order of frequency, superficial ulcerations, deep ulcerations, mucosal edema, erythema, pseudopolyps, aphthoid ulcers, ulcerated stenosis, and nonulcerated stenosis (93%, 74%, 48%, 44%, 41%, 35%, 10%, 8%, and 2% of cases, respectively). No correlation was found between the clinical activity index and any of the endoscopical data (lesion frequency and surface, endoscopic severity index). Ninety-two percent of patients underwent clinical remission within 7 wk of treatment. None of the 28 clinical biological and endoscopical items collected just before treatment could predict clinical response to steroids. Only 38 of the 131 patients in clinical remission were also in endoscopic remission. In conclusion, (a) the description and severity of colonoscopic lesions in active Crohn's disease have been quantified; (b) no correlation exists between clinical severity and nature, surface, or severity of endoscopic lesions; (c) Oral prednisolone (1 mg/kg body wt per day) induces a clinical remission in 92% of patients within 7 wk; (d) resistance to steroids cannot be predicted from the data collected before treatment onset; and (e) only 29% of patients in clinical remission also achieve endoscopic remission.","ISSN":"0016-5085","note":"PMID: 2179031","journalAbbreviation":"Gastroenterology","language":"eng","author":[{"family":"Modigliani","given":"R."},{"family":"Mary","given":"J. Y."},{"family":"Simon","given":"J. F."},{"family":"Cortot","given":"A."},{"family":"Soule","given":"J. C."},{"family":"Gendre","given":"J. P."},{"family":"Rene","given":"E."}],"issued":{"date-parts":[["1990",4]]}}},{"id":2837,"uris":["http://zotero.org/users/3734960/items/FPBMSNN4"],"uri":["http://zotero.org/users/3734960/items/FPBMSNN4"],"itemData":{"id":2837,"type":"article-journal","title":"Correlations between clinical activity, endoscopic severity, and biological parameters in colonic or ileocolonic Crohn's disease. A prospective multicentre study of 121 cases. The Groupe d'Etudes Thérapeutiques des Affections Inflammatoires Digestives","container-title":"Gut","page":"231-235","volume":"35","issue":"2","source":"PubMed","abstract":"The relationships between clinical activity, endoscopic severity, and biological parameters in Crohn's disease have not been thoroughly investigated and a link was therefore sought between these three elements. The following parameters were determined simultaneously in 121 consecutive patients with colonic or ileocolonic Crohn's disease: Crohn's disease activity index, Crohn's disease endoscopic index of severity, and serum albumin, alpha 2-globulin, alpha 1-antitrypsin, orosomucoid, C reactive protein, erythrocyte sedimentation rate, platelets, lymphocyte and polymorphonuclear cell counts, haematocrit, and faecal alpha 1-antitrypsin concentration. The distribution of these parameters was studied and transformation was used so that data matched the normal distribution closely. A weak but significant correlation (r = 0.32; p &lt; 0.001) was found between clinical and endoscopic indices in the whole group of patients and this correlation seemed to be homogenous in various patient subgroups (clinically quiescent or active disease, pure colonic disease, untreated patients). Endoscopic or clinical indices were also found to be weakly linked with biological parameters (r &lt; 0.50). Stepwise linear regression identified C reactive protein as predictive of the clinical index, and, successively, alpha 2-globulin, erythrocyte sedimentation rate, faecal alpha 1-antitrypsin, serum orosomucoid, and alpha 1-antitrypsin as predictive of the endoscopic index. Both predictions were poor--the biological variables accounting for only 22 and 44% respectively of the clinical and endoscopic index variations. In conclusion, Crohn's disease clinical activity seems to be virtually independent of the severity of the mucosal lesions and biological activity.","ISSN":"0017-5749","note":"PMID: 7508411\nPMCID: PMC1374499","journalAbbreviation":"Gut","language":"eng","author":[{"family":"Cellier","given":"C."},{"family":"Sahmoud","given":"T."},{"family":"Froguel","given":"E."},{"family":"Adenis","given":"A."},{"family":"Belaiche","given":"J."},{"family":"Bretagne","given":"J. F."},{"family":"Florent","given":"C."},{"family":"Bouvry","given":"M."},{"family":"Mary","given":"J. Y."},{"family":"Modigliani","given":"R."}],"issued":{"date-parts":[["1994",2]]}}},{"id":2838,"uris":["http://zotero.org/users/3734960/items/7BR3UGL8"],"uri":["http://zotero.org/users/3734960/items/7BR3UGL8"],"itemData":{"id":2838,"type":"article-journal","title":"Clinical disease activity, C-reactive protein normalisation and mucosal healing in Crohn's disease in the SONIC trial","container-title":"Gut","page":"88-95","volume":"63","issue":"1","source":"PubMed","abstract":"BACKGROUND AND AIMS: The Crohn's Disease Activity Index (CDAI) has been criticised due to heavy weighting on subjective clinical symptoms. C-reactive protein (CRP) and endoscopic lesions are objective measures of inflammation. We investigated the relationships between clinical disease activity, CRP normalisation and mucosal healing in Crohn's disease (CD).\nMETHODS: The Study of Biologic and Immunomodulator Naive Patients in CD trial compared infliximab to azathioprine and to infliximab plus azathioprine in 508 CD patients. Mucosal healing was defined as the absence of mucosal ulceration at the week 26 ileocolonoscopy in a patient who had evidence of ulceration at the baseline ileocolonoscopy.\nRESULTS: 188 patients who had evaluable ileocolonoscopy with evidence of mucosal ulceration at baseline, CDAI scores and CRP values at baseline and week 26 were analysed. Seventy-two of 136 patients (53%) who had a CDAI&lt;150 at week 26 achieved mucosal healing, and 38 of 90 patients (42%) achieved both CRP normalisation (CRP&lt;0.8 mg/dL) and mucosal healing while in clinical remission. The positive predictive value (PPV) and negative predictive value (NPV) of CDAI to detect mucosal healing using 150 as a cut-off for CDAI were 65% and 53%, respectively. The PPV and NPV of CDAI to detect mucosal healing and CRP normalisation using 150 as a cut-off for CDAI were 79% and 42%, respectively.\nCONCLUSIONS: Half the patients under azathioprine and/or infliximab in clinical remission have endoscopic and/or CRP evidence of residual active CD, whereas other patients with endoscopic and CRP normalisation have persistent clinical symptoms. Clinical symptoms as scored by CDAI are not a reliable measure of the underlying inflammation.","DOI":"10.1136/gutjnl-2013-304984","ISSN":"1468-3288","note":"PMID: 23974954","journalAbbreviation":"Gut","language":"eng","author":[{"family":"Peyrin-Biroulet","given":"Laurent"},{"family":"Reinisch","given":"Walter"},{"family":"Colombel","given":"Jean-Frederic"},{"family":"Mantzaris","given":"Gerassimos J."},{"family":"Kornbluth","given":"Asher"},{"family":"Diamond","given":"Robert"},{"family":"Rutgeerts","given":"Paul"},{"family":"Tang","given":"Linda K."},{"family":"Cornillie","given":"Freddy J."},{"family":"Sandborn","given":"William J."}],"issued":{"date-parts":[["2014",1]]}}}],"schema":"https://github.com/citation-style-language/schema/raw/master/csl-citation.json"}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[11–13]</w:t>
      </w:r>
      <w:r w:rsidRPr="00257F02">
        <w:rPr>
          <w:rFonts w:ascii="Book Antiqua" w:hAnsi="Book Antiqua"/>
          <w:lang w:val="en-US"/>
        </w:rPr>
        <w:fldChar w:fldCharType="end"/>
      </w:r>
      <w:r w:rsidRPr="00257F02">
        <w:rPr>
          <w:rFonts w:ascii="Book Antiqua" w:hAnsi="Book Antiqua"/>
          <w:lang w:val="en-US"/>
        </w:rPr>
        <w:t>. Thus, the “treat-to-target” paradigm was developed in 2015, and it is based on regular and objective assessment of disease activity, and subsequent adjustment of the treatment</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{"citationID":"9Tnnegrw","properties":{"formattedCitation":"\\super [14]\\nosupersub{}","plainCitation":"[14]","noteIndex":0},"citationItems":[{"id":503,"uris":["http://zotero.org/users/3734960/items/QP8HUKU4"],"uri":["http://zotero.org/users/3734960/items/QP8HUKU4"],"itemData":{"id":503,"type":"article-journal","title":"Treat to Target: A Proposed New Paradigm for the Management of Crohn's Disease","container-title":"Clinical Gastroenterology and Hepatology","page":"1042-1050.e2","volume":"13","issue":"6","source":"ScienceDirect","abstract":"The traditional management of Crohn's disease, which is based on progressive, step-wise treatment intensification with re-evaluation of response according to symptoms, does not improve long-term outcomes of Crohn's disease and places patients at risk for bowel damage. The introduction of novel therapies and the development of new approaches to treatment in rheumatoid arthritis led to better outcomes for patients. Prominent among these is a “treat to target” strategy that is based on regular assessment of disease activity by using objective clinical and biological outcome measures and the subsequent adjustment of treatments. This approach is complementary to the concept of early intervention in high-risk patients. This review evaluates current literature on this topic and proposes a definition for the concept of treating to targets for Crohn's disease.","DOI":"10.1016/j.cgh.2013.09.006","ISSN":"1542-3565","title-short":"Treat to Target","journalAbbreviation":"Clinical Gastroenterology and Hepatology","author":[{"family":"Bouguen","given":"Guillaume"},{"family":"Levesque","given":"Barrett G."},{"family":"Feagan","given":"Brian G."},{"family":"Kavanaugh","given":"Arthur"},{"family":"Peyrin–Biroulet","given":"Laurent"},{"family":"Colombel","given":"Jean–Frederic"},{"family":"Hanauer","given":"Stephen B."},{"family":"Sandborn","given":"William J."}],"issued":{"date-parts":[["2015",6,1]]}}}],"schema":"https://github.com/citation-style-language/schema/raw/master/csl-citation.json"}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[14]</w:t>
      </w:r>
      <w:r w:rsidRPr="00257F02">
        <w:rPr>
          <w:rFonts w:ascii="Book Antiqua" w:hAnsi="Book Antiqua"/>
          <w:lang w:val="en-US"/>
        </w:rPr>
        <w:fldChar w:fldCharType="end"/>
      </w:r>
      <w:r w:rsidRPr="00257F02">
        <w:rPr>
          <w:rFonts w:ascii="Book Antiqua" w:hAnsi="Book Antiqua"/>
          <w:lang w:val="en-US"/>
        </w:rPr>
        <w:t>. The treatment goal has evolved to a new concept, which is achieving and maintaining deep remission, combining both clinical and endoscopic remission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{"citationID":"9L4HxWav","properties":{"formattedCitation":"\\super [15]\\nosupersub{}","plainCitation":"[15]","noteIndex":0},"citationItems":[{"id":500,"uris":["http://zotero.org/users/3734960/items/YJVQPYTD"],"uri":["http://zotero.org/users/3734960/items/YJVQPYTD"],"itemData":{"id":500,"type":"article-journal","title":"Selecting Therapeutic Targets in Inflammatory Bowel Disease (STRIDE): Determining Therapeutic Goals for Treat-to-Target","container-title":"The American Journal of Gastroenterology","page":"1324-1338","volume":"110","issue":"9","source":"www.nature.com.gate2.inist.fr","abstract":"OBJECTIVES:The Selecting Therapeutic Targets in Inflammatory Bowel Disease (STRIDE) program was initiated by the International Organization for the Study of Inflammatory Bowel Diseases (IOIBD). It examined potential treatment targets for inflammatory bowel disease (IBD) to be used for a “treat-to-target” clinical management strategy using an evidence-based expert consensus process.METHODS:A Steering Committee of 28 IBD specialists developed recommendations based on a systematic literature review and expert opinion. Consensus was gained if ≥75% of participants scored the recommendation as 7–10 on a 10-point rating scale (where 10=agree completely).RESULTS:The group agreed upon 12 recommendations for ulcerative colitis (UC) and Crohn’s disease (CD). The agreed target for UC was clinical/patient-reported outcome (PRO) remission (defined as resolution of rectal bleeding and diarrhea/altered bowel habit) and endoscopic remission (defined as a Mayo endoscopic subscore of 0–1). Histological remission was considered as an adjunctive goal. Clinical/PRO remission was also agreed upon as a target for CD and defined as resolution of abdominal pain and diarrhea/altered bowel habit; and endoscopic remission, defined as resolution of ulceration at ileocolonoscopy, or resolution of findings of inflammation on cross-sectional imaging in patients who cannot be adequately assessed with ileocolonoscopy. Biomarker remission (normal C-reactive protein (CRP) and calprotectin) was considered as an adjunctive target.CONCLUSIONS:Evidence- and consensus-based recommendations for selecting the goals for treat-to-target strategies in patients with IBD are made available. Prospective studies are needed to determine how these targets will change disease course and patients’ quality of life.","DOI":"10.1038/ajg.2015.233","ISSN":"1572-0241","title-short":"Selecting Therapeutic Targets in Inflammatory Bowel Disease (STRIDE)","language":"en","author":[{"family":"Peyrin-Biroulet","given":"L."},{"family":"Sandborn","given":"W."},{"family":"Sands","given":"B. E."},{"family":"Reinisch","given":"W."},{"family":"Bemelman","given":"W."},{"family":"Bryant","given":"R. V."},{"family":"D'Haens","given":"G."},{"family":"Dotan","given":"I."},{"family":"Dubinsky","given":"M."},{"family":"Feagan","given":"B."},{"family":"Fiorino","given":"G."},{"family":"Gearry","given":"R."},{"family":"Krishnareddy","given":"S."},{"family":"Lakatos","given":"P. L."},{"family":"Jr","given":"E. V. Loftus"},{"family":"Marteau","given":"P."},{"family":"Munkholm","given":"P."},{"family":"Murdoch","given":"T. B."},{"family":"Ordás","given":"I."},{"family":"Panaccione","given":"R."},{"family":"Riddell","given":"R. H."},{"family":"Ruel","given":"J."},{"family":"Rubin","given":"D. T."},{"family":"Samaan","given":"M."},{"family":"Siegel","given":"C. A."},{"family":"Silverberg","given":"M. S."},{"family":"Stoker","given":"J."},{"family":"Schreiber","given":"S."},{"family":"Travis","given":"S."},{"family":"Assche","given":"G. Van"},{"family":"Danese","given":"S."},{"family":"Panes","given":"J."},{"family":"Bouguen","given":"G."},{"family":"O'Donnell","given":"S."},{"family":"Pariente","given":"B."},{"family":"Winer","given":"S."},{"family":"Hanauer","given":"S."},{"family":"Colombel","given":"J.-F."}],"issued":{"date-parts":[["2015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[15]</w:t>
      </w:r>
      <w:r w:rsidRPr="00257F02">
        <w:rPr>
          <w:rFonts w:ascii="Book Antiqua" w:hAnsi="Book Antiqua"/>
          <w:lang w:val="en-US"/>
        </w:rPr>
        <w:fldChar w:fldCharType="end"/>
      </w:r>
      <w:r w:rsidRPr="00257F02">
        <w:rPr>
          <w:rFonts w:ascii="Book Antiqua" w:hAnsi="Book Antiqua"/>
          <w:lang w:val="en-US"/>
        </w:rPr>
        <w:t xml:space="preserve">. In patients with CD, the STRIDE consensus defined endoscopic remission as resolution of ulceration at </w:t>
      </w:r>
      <w:proofErr w:type="spellStart"/>
      <w:r w:rsidRPr="00257F02">
        <w:rPr>
          <w:rFonts w:ascii="Book Antiqua" w:hAnsi="Book Antiqua"/>
          <w:lang w:val="en-US"/>
        </w:rPr>
        <w:t>ileocolonoscopy</w:t>
      </w:r>
      <w:proofErr w:type="spellEnd"/>
      <w:r w:rsidRPr="00257F02">
        <w:rPr>
          <w:rFonts w:ascii="Book Antiqua" w:hAnsi="Book Antiqua"/>
          <w:lang w:val="en-US"/>
        </w:rPr>
        <w:t xml:space="preserve"> or resolution of inflammation findings on cross-sectional imaging when endoscopy cannot adequately evaluate inflammation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{"citationID":"jy8zaQCo","properties":{"formattedCitation":"\\super [15]\\nosupersub{}","plainCitation":"[15]","noteIndex":0},"citationItems":[{"id":500,"uris":["http://zotero.org/users/3734960/items/YJVQPYTD"],"uri":["http://zotero.org/users/3734960/items/YJVQPYTD"],"itemData":{"id":500,"type":"article-journal","title":"Selecting Therapeutic Targets in Inflammatory Bowel Disease (STRIDE): Determining Therapeutic Goals for Treat-to-Target","container-title":"The American Journal of Gastroenterology","page":"1324-1338","volume":"110","issue":"9","source":"www.nature.com.gate2.inist.fr","abstract":"OBJECTIVES:The Selecting Therapeutic Targets in Inflammatory Bowel Disease (STRIDE) program was initiated by the International Organization for the Study of Inflammatory Bowel Diseases (IOIBD). It examined potential treatment targets for inflammatory bowel disease (IBD) to be used for a “treat-to-target” clinical management strategy using an evidence-based expert consensus process.METHODS:A Steering Committee of 28 IBD specialists developed recommendations based on a systematic literature review and expert opinion. Consensus was gained if ≥75% of participants scored the recommendation as 7–10 on a 10-point rating scale (where 10=agree completely).RESULTS:The group agreed upon 12 recommendations for ulcerative colitis (UC) and Crohn’s disease (CD). The agreed target for UC was clinical/patient-reported outcome (PRO) remission (defined as resolution of rectal bleeding and diarrhea/altered bowel habit) and endoscopic remission (defined as a Mayo endoscopic subscore of 0–1). Histological remission was considered as an adjunctive goal. Clinical/PRO remission was also agreed upon as a target for CD and defined as resolution of abdominal pain and diarrhea/altered bowel habit; and endoscopic remission, defined as resolution of ulceration at ileocolonoscopy, or resolution of findings of inflammation on cross-sectional imaging in patients who cannot be adequately assessed with ileocolonoscopy. Biomarker remission (normal C-reactive protein (CRP) and calprotectin) was considered as an adjunctive target.CONCLUSIONS:Evidence- and consensus-based recommendations for selecting the goals for treat-to-target strategies in patients with IBD are made available. Prospective studies are needed to determine how these targets will change disease course and patients’ quality of life.","DOI":"10.1038/ajg.2015.233","ISSN":"1572-0241","title-short":"Selecting Therapeutic Targets in Inflammatory Bowel Disease (STRIDE)","language":"en","author":[{"family":"Peyrin-Biroulet","given":"L."},{"family":"Sandborn","given":"W."},{"family":"Sands","given":"B. E."},{"family":"Reinisch","given":"W."},{"family":"Bemelman","given":"W."},{"family":"Bryant","given":"R. V."},{"family":"D'Haens","given":"G."},{"family":"Dotan","given":"I."},{"family":"Dubinsky","given":"M."},{"family":"Feagan","given":"B."},{"family":"Fiorino","given":"G."},{"family":"Gearry","given":"R."},{"family":"Krishnareddy","given":"S."},{"family":"Lakatos","given":"P. L."},{"family":"Jr","given":"E. V. Loftus"},{"family":"Marteau","given":"P."},{"family":"Munkholm","given":"P."},{"family":"Murdoch","given":"T. B."},{"family":"Ordás","given":"I."},{"family":"Panaccione","given":"R."},{"family":"Riddell","given":"R. H."},{"family":"Ruel","given":"J."},{"family":"Rubin","given":"D. T."},{"family":"Samaan","given":"M."},{"family":"Siegel","given":"C. A."},{"family":"Silverberg","given":"M. S."},{"family":"Stoker","given":"J."},{"family":"Schreiber","given":"S."},{"family":"Travis","given":"S."},{"family":"Assche","given":"G. Van"},{"family":"Danese","given":"S."},{"family":"Panes","given":"J."},{"family":"Bouguen","given":"G."},{"family":"O'Donnell","given":"S."},{"family":"Pariente","given":"B."},{"family":"Winer","given":"S."},{"family":"Hanauer","given":"S."},{"family":"Colombel","given":"J.-F."}],"issued":{"date-parts":[["2015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[15]</w:t>
      </w:r>
      <w:r w:rsidRPr="00257F02">
        <w:rPr>
          <w:rFonts w:ascii="Book Antiqua" w:hAnsi="Book Antiqua"/>
          <w:lang w:val="en-US"/>
        </w:rPr>
        <w:fldChar w:fldCharType="end"/>
      </w:r>
      <w:r w:rsidRPr="00257F02">
        <w:rPr>
          <w:rFonts w:ascii="Book Antiqua" w:hAnsi="Book Antiqua"/>
          <w:lang w:val="en-US"/>
        </w:rPr>
        <w:t xml:space="preserve">. However, as discussed above, MRE may often underestimate mucosal lesions, and SBCE could play a key role to play in this tight monitoring of patients with CD. </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 xml:space="preserve">Both European and American guidelines now recognize SBCE as a useful adjunct in </w:t>
      </w:r>
      <w:proofErr w:type="spellStart"/>
      <w:r w:rsidRPr="00257F02">
        <w:rPr>
          <w:rFonts w:ascii="Book Antiqua" w:hAnsi="Book Antiqua"/>
          <w:lang w:val="en-US"/>
        </w:rPr>
        <w:t>diagnosising</w:t>
      </w:r>
      <w:proofErr w:type="spellEnd"/>
      <w:r w:rsidRPr="00257F02">
        <w:rPr>
          <w:rFonts w:ascii="Book Antiqua" w:hAnsi="Book Antiqua"/>
          <w:lang w:val="en-US"/>
        </w:rPr>
        <w:t xml:space="preserve"> SB CD in patients in whom there is a high clinical suspicion for CD, because it has a high negative predictive value in this indication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{"citationID":"jyJ5T2WP","properties":{"formattedCitation":"\\super [9,16]\\nosupersub{}","plainCitation":"[9,16]","noteIndex":0},"citationItems":[{"id":569,"uris":["http://zotero.org/users/3734960/items/LMS7YCXN"],"uri":["http://zotero.org/users/3734960/items/LMS7YCXN"],"itemData":{"id":569,"type":"article-journal","title":"3rd European Evidence-based Consensus on the Diagnosis and Management of Crohn's Disease 2016: Part 1: Diagnosis and Medical Management","container-title":"Journal of Crohn's &amp; Colitis","page":"3-25","volume":"11","issue":"1","source":"PubMed","abstract":"This paper is the first in a series of two publications relating to the European Crohn's and Colitis Organisation [ECCO] evidence-based consensus on the diagnosis and management of Crohn's disease and concerns the methodology of the consensus process, and the classification, diagnosis and medical management of active and quiescent Crohn's disease. Surgical management as well as special situations including management of perianal Crohn's disease of this ECCO Consensus are covered in a subsequent second paper [Gionchetti et al JCC 2016].","DOI":"10.1093/ecco-jcc/jjw168","ISSN":"1876-4479","note":"PMID: 27660341","title-short":"3rd European Evidence-based Consensus on the Diagnosis and Management of Crohn's Disease 2016","journalAbbreviation":"J Crohns Colitis","language":"eng","author":[{"family":"Gomollón","given":"Fernando"},{"family":"Dignass","given":"Axel"},{"family":"Annese","given":"Vito"},{"family":"Tilg","given":"Herbert"},{"family":"Van Assche","given":"Gert"},{"family":"Lindsay","given":"James O."},{"family":"Peyrin-Biroulet","given":"Laurent"},{"family":"Cullen","given":"Garret J."},{"family":"Daperno","given":"Marco"},{"family":"Kucharzik","given":"Torsten"},{"family":"Rieder","given":"Florian"},{"family":"Almer","given":"Sven"},{"family":"Armuzzi","given":"Alessandro"},{"family":"Harbord","given":"Marcus"},{"family":"Langhorst","given":"Jost"},{"family":"Sans","given":"Miquel"},{"family":"Chowers","given":"Yehuda"},{"family":"Fiorino","given":"Gionata"},{"family":"Juillerat","given":"Pascal"},{"family":"Mantzaris","given":"Gerassimos J."},{"family":"Rizzello","given":"Fernando"},{"family":"Vavricka","given":"Stephan"},{"family":"Gionchetti","given":"Paolo"},{"literal":"ECCO"}],"issued":{"date-parts":[["2017",1]]}}},{"id":1443,"uris":["http://zotero.org/users/3734960/items/2URJ7YBX"],"uri":["http://zotero.org/users/3734960/items/2URJ7YBX"],"itemData":{"id":1443,"type":"article-journal","title":"ACG Clinical Guideline: Management of Crohn’s Disease in Adults","container-title":"The American Journal of Gastroenterology","page":"481-517","volume":"113","issue":"4","source":"Crossref","DOI":"10.1038/ajg.2018.27","ISSN":"0002-9270, 1572-0241","title-short":"ACG Clinical Guideline","language":"en","author":[{"family":"Lichtenstein","given":"Gary R"},{"family":"Loftus","given":"Edward V"},{"family":"Isaacs","given":"Kim L"},{"family":"Regueiro","given":"Miguel D"},{"family":"Gerson","given":"Lauren B"},{"family":"Sands","given":"Bruce E"}],"issued":{"date-parts":[["2018",4]]}}}],"schema":"https://github.com/citation-style-language/schema/raw/master/csl-citation.json"}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[9,16]</w:t>
      </w:r>
      <w:r w:rsidRPr="00257F02">
        <w:rPr>
          <w:rFonts w:ascii="Book Antiqua" w:hAnsi="Book Antiqua"/>
          <w:lang w:val="en-US"/>
        </w:rPr>
        <w:fldChar w:fldCharType="end"/>
      </w:r>
      <w:r w:rsidRPr="00257F02">
        <w:rPr>
          <w:rFonts w:ascii="Book Antiqua" w:hAnsi="Book Antiqua"/>
          <w:lang w:val="en-US"/>
        </w:rPr>
        <w:t>. In 2009, an international consensus aimed to define the role of SBCE in the follow-up of patients with IBD, suggesting that SBCE “</w:t>
      </w:r>
      <w:r w:rsidRPr="0054735B">
        <w:rPr>
          <w:rFonts w:ascii="Book Antiqua" w:hAnsi="Book Antiqua"/>
          <w:iCs/>
          <w:lang w:val="en-US"/>
        </w:rPr>
        <w:t>may</w:t>
      </w:r>
      <w:r w:rsidRPr="00257F02">
        <w:rPr>
          <w:rFonts w:ascii="Book Antiqua" w:hAnsi="Book Antiqua"/>
          <w:lang w:val="en-US"/>
        </w:rPr>
        <w:t xml:space="preserve"> identify lesions in the small bowel that have not been detected by </w:t>
      </w:r>
      <w:proofErr w:type="spellStart"/>
      <w:r w:rsidRPr="00257F02">
        <w:rPr>
          <w:rFonts w:ascii="Book Antiqua" w:hAnsi="Book Antiqua"/>
          <w:lang w:val="en-US"/>
        </w:rPr>
        <w:t>ileocolonoscopy</w:t>
      </w:r>
      <w:proofErr w:type="spellEnd"/>
      <w:r w:rsidRPr="00257F02">
        <w:rPr>
          <w:rFonts w:ascii="Book Antiqua" w:hAnsi="Book Antiqua"/>
          <w:lang w:val="en-US"/>
        </w:rPr>
        <w:t xml:space="preserve"> after ileocolic resection” and that it “has a </w:t>
      </w:r>
      <w:r w:rsidRPr="0054735B">
        <w:rPr>
          <w:rFonts w:ascii="Book Antiqua" w:hAnsi="Book Antiqua"/>
          <w:iCs/>
          <w:lang w:val="en-US"/>
        </w:rPr>
        <w:t>potential</w:t>
      </w:r>
      <w:r w:rsidRPr="00257F02">
        <w:rPr>
          <w:rFonts w:ascii="Book Antiqua" w:hAnsi="Book Antiqua"/>
          <w:lang w:val="en-US"/>
        </w:rPr>
        <w:t xml:space="preserve"> role in the assessment of mucosal healing after drug therapy”, but there was little of evidence to support this suggestion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{"citationID":"FxxnFvlT","properties":{"formattedCitation":"\\super [17]\\nosupersub{}","plainCitation":"[17]","noteIndex":0},"citationItems":[{"id":2684,"uris":["http://zotero.org/users/3734960/items/DMK7MBAV"],"uri":["http://zotero.org/users/3734960/items/DMK7MBAV"],"itemData":{"id":2684,"type":"article-journal","title":"Role of small-bowel endoscopy in the management of patients with inflammatory bowel disease: an international OMED–ECCO consensus","container-title":"Endoscopy","page":"618-637","volume":"41","issue":"07","source":"Crossref","DOI":"10.1055/s-0029-1214790","ISSN":"0013-726X, 1438-8812","title-short":"Role of small-bowel endoscopy in the management of patients with inflammatory bowel disease","language":"en","author":[{"family":"Bourreille","given":"A."},{"family":"Ignjatovic","given":"A."},{"family":"Aabakken","given":"L."},{"family":"Loftus Jr","given":"E."},{"family":"Eliakim","given":"R."},{"family":"Pennazio","given":"M."},{"family":"Bouhnik","given":"Y."},{"family":"Seidman","given":"E."},{"family":"Keuchel","given":"M."},{"family":"Albert","given":"J."},{"family":"Ardizzone","given":"S."},{"family":"Bar-Meir","given":"S."},{"family":"Bisschops","given":"R."},{"family":"Despott","given":"E."},{"family":"Fortun","given":"P."},{"family":"Heuschkel","given":"R."},{"family":"Kammermeier","given":"J."},{"family":"Leighton","given":"J."},{"family":"Mantzaris","given":"G."},{"family":"Moussata","given":"D."},{"family":"Lo","given":"S."},{"family":"Paulsen","given":"V."},{"family":"Panés","given":"J."},{"family":"Radford-Smith","given":"G."},{"family":"Reinisch","given":"W."},{"family":"Rondonotti","given":"E."},{"family":"Sanders","given":"D."},{"family":"Swoger","given":"J."},{"family":"Yamamoto","given":"H."},{"family":"Travis","given":"S."},{"family":"Colombel","given":"J.-F."},{"family":"Van Gossum","given":"A."}],"issued":{"date-parts":[["2009",7,8]]}}}],"schema":"https://github.com/citation-style-language/schema/raw/master/csl-citation.json"}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[17]</w:t>
      </w:r>
      <w:r w:rsidRPr="00257F02">
        <w:rPr>
          <w:rFonts w:ascii="Book Antiqua" w:hAnsi="Book Antiqua"/>
          <w:lang w:val="en-US"/>
        </w:rPr>
        <w:fldChar w:fldCharType="end"/>
      </w:r>
      <w:r w:rsidRPr="00257F02">
        <w:rPr>
          <w:rFonts w:ascii="Book Antiqua" w:hAnsi="Book Antiqua"/>
          <w:lang w:val="en-US"/>
        </w:rPr>
        <w:t>. At that time, there is no recommendation for the use of SBCE during patient follow-up.</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i/>
          <w:lang w:val="en-US"/>
        </w:rPr>
      </w:pPr>
      <w:r w:rsidRPr="00257F02">
        <w:rPr>
          <w:rFonts w:ascii="Book Antiqua" w:hAnsi="Book Antiqua"/>
          <w:b/>
          <w:i/>
          <w:lang w:val="en-US"/>
        </w:rPr>
        <w:t>Objective</w:t>
      </w:r>
    </w:p>
    <w:p w:rsidR="001D4918"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Here, we conducted a systematic literature review that aimed to investigate the impact of SBCE in a treat-to-target strategy in patients with CD</w:t>
      </w:r>
      <w:r>
        <w:rPr>
          <w:rFonts w:ascii="Book Antiqua" w:hAnsi="Book Antiqua"/>
          <w:lang w:val="en-US"/>
        </w:rPr>
        <w:t>.</w:t>
      </w:r>
    </w:p>
    <w:p w:rsidR="001D4918" w:rsidRPr="00257F02" w:rsidRDefault="001D4918" w:rsidP="007742D4">
      <w:pPr>
        <w:spacing w:line="360" w:lineRule="auto"/>
        <w:jc w:val="both"/>
        <w:rPr>
          <w:rFonts w:ascii="Book Antiqua" w:hAnsi="Book Antiqua"/>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adjustRightInd w:val="0"/>
        <w:snapToGrid w:val="0"/>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MATERIALS AND METHODS</w:t>
      </w: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Search strategy</w:t>
      </w:r>
    </w:p>
    <w:p w:rsidR="001D4918" w:rsidRPr="00257F02" w:rsidRDefault="001D4918" w:rsidP="007742D4">
      <w:pPr>
        <w:spacing w:line="360" w:lineRule="auto"/>
        <w:jc w:val="both"/>
        <w:rPr>
          <w:rFonts w:ascii="BookAntiqua" w:eastAsia="BookAntiqua" w:cs="BookAntiqua"/>
          <w:sz w:val="18"/>
          <w:szCs w:val="18"/>
          <w:lang w:val="en-US"/>
        </w:rPr>
      </w:pPr>
      <w:r w:rsidRPr="00257F02">
        <w:rPr>
          <w:rFonts w:ascii="Book Antiqua" w:hAnsi="Book Antiqua"/>
          <w:color w:val="111111"/>
          <w:szCs w:val="20"/>
          <w:lang w:val="en-US"/>
        </w:rPr>
        <w:t xml:space="preserve">An electronic literature search was conducted in PubMed and the Cochrane library using the following search terms: “capsule endoscopy”, in combination with “Crohn’s disease” or “inflammatory bowel disease” or “ileitis” or “enteritis”, and with synonyms of “treat-to-target” or “monitoring” or “post-operative recurrence”. The </w:t>
      </w:r>
      <w:r w:rsidRPr="00257F02">
        <w:rPr>
          <w:rFonts w:ascii="Book Antiqua" w:hAnsi="Book Antiqua"/>
          <w:color w:val="111111"/>
          <w:lang w:val="en-US"/>
        </w:rPr>
        <w:t xml:space="preserve">search was conducted in early February 2019 and included citations beginning from January 1, 2000. </w:t>
      </w:r>
      <w:r w:rsidRPr="00257F02">
        <w:rPr>
          <w:rFonts w:ascii="Book Antiqua" w:eastAsia="BookAntiqua" w:hAnsi="Book Antiqua" w:cs="BookAntiqua"/>
          <w:lang w:val="en-US"/>
        </w:rPr>
        <w:t xml:space="preserve">We restricted our search to studies that were published in English and we excluded studies related to animal research. </w:t>
      </w:r>
      <w:r w:rsidRPr="00257F02">
        <w:rPr>
          <w:rFonts w:ascii="Book Antiqua" w:hAnsi="Book Antiqua"/>
          <w:color w:val="111111"/>
          <w:lang w:val="en-US"/>
        </w:rPr>
        <w:t xml:space="preserve">Supplementary Table 1 provides the PubMed literature search strategy in detail. </w:t>
      </w:r>
      <w:r w:rsidRPr="00257F02">
        <w:rPr>
          <w:rFonts w:ascii="Book Antiqua" w:eastAsia="BookAntiqua" w:hAnsi="Book Antiqua" w:cs="BookAntiqua"/>
          <w:lang w:val="en-US"/>
        </w:rPr>
        <w:t>Duplicate articles identified in both PubMed and Cochrane library were manually deleted. To identify additional relevant studies, we checked the reference lists of the selected articles.</w:t>
      </w:r>
    </w:p>
    <w:p w:rsidR="001D4918" w:rsidRPr="00257F02" w:rsidRDefault="001D4918" w:rsidP="007742D4">
      <w:pPr>
        <w:spacing w:line="360" w:lineRule="auto"/>
        <w:jc w:val="both"/>
        <w:rPr>
          <w:rFonts w:ascii="Book Antiqua" w:hAnsi="Book Antiqua"/>
          <w:color w:val="111111"/>
          <w:szCs w:val="20"/>
          <w:lang w:val="en-US"/>
        </w:rPr>
      </w:pPr>
    </w:p>
    <w:p w:rsidR="001D4918" w:rsidRPr="00257F02" w:rsidRDefault="001D4918" w:rsidP="007742D4">
      <w:pPr>
        <w:spacing w:line="360" w:lineRule="auto"/>
        <w:jc w:val="both"/>
        <w:rPr>
          <w:rFonts w:ascii="Book Antiqua" w:hAnsi="Book Antiqua"/>
          <w:color w:val="111111"/>
          <w:lang w:val="en-US"/>
        </w:rPr>
      </w:pPr>
      <w:r w:rsidRPr="00257F02">
        <w:rPr>
          <w:rFonts w:ascii="Book Antiqua" w:hAnsi="Book Antiqua"/>
          <w:b/>
          <w:i/>
          <w:color w:val="111111"/>
          <w:lang w:val="en-US"/>
        </w:rPr>
        <w:t>Study selection and data extraction</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Two authors independently reviewed the titles and abstracts of articles that were identified by the search strategy after duplicates were removed (CLB and AB). </w:t>
      </w:r>
      <w:r w:rsidRPr="00257F02">
        <w:rPr>
          <w:rFonts w:ascii="Book Antiqua" w:eastAsia="BookAntiqua" w:hAnsi="Book Antiqua" w:cs="BookAntiqua"/>
          <w:lang w:val="en-US"/>
        </w:rPr>
        <w:t xml:space="preserve">Any disagreements regarding the inclusion of articles were solved by discussion until consensus was reached. </w:t>
      </w:r>
      <w:r w:rsidRPr="00257F02">
        <w:rPr>
          <w:rFonts w:ascii="Book Antiqua" w:hAnsi="Book Antiqua"/>
          <w:lang w:val="en-US"/>
        </w:rPr>
        <w:t xml:space="preserve">Reviewers were not blinded to the study authors’ affiliation or journal name. </w:t>
      </w:r>
      <w:r w:rsidRPr="00257F02">
        <w:rPr>
          <w:rFonts w:ascii="Book Antiqua" w:hAnsi="Book Antiqua"/>
          <w:color w:val="111111"/>
          <w:lang w:val="en-US"/>
        </w:rPr>
        <w:t>Following the</w:t>
      </w:r>
      <w:r w:rsidRPr="00257F02">
        <w:rPr>
          <w:rFonts w:ascii="Book Antiqua" w:hAnsi="Book Antiqua"/>
          <w:color w:val="111111"/>
          <w:szCs w:val="20"/>
          <w:lang w:val="en-US"/>
        </w:rPr>
        <w:t xml:space="preserve"> initial screening of abstracts, all articles containing information about SBCE in the context of treat-to-target strategy in patients with CD were included. Studies without any outcome related to treat-to-target strategy or to CD were excluded, as were studies related to pediatric populations and reviews, meta-analyses, editorials, and letters to the editor. Full-text </w:t>
      </w:r>
      <w:r w:rsidRPr="00257F02">
        <w:rPr>
          <w:rFonts w:ascii="Book Antiqua" w:hAnsi="Book Antiqua"/>
          <w:color w:val="111111"/>
          <w:lang w:val="en-US"/>
        </w:rPr>
        <w:t xml:space="preserve">articles were retrieved, and reference lists were screened manually to </w:t>
      </w:r>
      <w:r w:rsidRPr="00257F02">
        <w:rPr>
          <w:rFonts w:ascii="Book Antiqua" w:hAnsi="Book Antiqua"/>
          <w:lang w:val="en-US"/>
        </w:rPr>
        <w:t xml:space="preserve">identify additional studies.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cs="AdvOTbc475f09"/>
          <w:lang w:val="en-US"/>
        </w:rPr>
        <w:t xml:space="preserve">The following data were extracted for each included study: name of the </w:t>
      </w:r>
      <w:r w:rsidRPr="00257F02">
        <w:rPr>
          <w:rFonts w:ascii="Book Antiqua" w:hAnsi="Book Antiqua" w:cs="AdvOTbc475f09+fb"/>
          <w:lang w:val="en-US"/>
        </w:rPr>
        <w:t>fi</w:t>
      </w:r>
      <w:r w:rsidRPr="00257F02">
        <w:rPr>
          <w:rFonts w:ascii="Book Antiqua" w:hAnsi="Book Antiqua" w:cs="AdvOTbc475f09"/>
          <w:lang w:val="en-US"/>
        </w:rPr>
        <w:t xml:space="preserve">rst author, year of publication, study design, patient population and sample size, capsule endoscopy findings, and comparator modality, if applicable. For studies assessing disease reclassification, the impact of SBCE findings in patient management was reported. For studies assessing mucosal healing during treatment, ongoing treatment and prior biologic exposure were noted. For studies assessing the use of SBCE in the post-operative setting, risk factors for post-operative recurrence, indications for </w:t>
      </w:r>
      <w:r w:rsidRPr="00257F02">
        <w:rPr>
          <w:rFonts w:ascii="Book Antiqua" w:hAnsi="Book Antiqua" w:cs="AdvOTbc475f09"/>
          <w:lang w:val="en-US"/>
        </w:rPr>
        <w:lastRenderedPageBreak/>
        <w:t>surgery, interval between surgery and endoscopic re-assessment, post-operative prophylactic treatment, and the rate of clinical recurrence were noted.</w:t>
      </w:r>
    </w:p>
    <w:p w:rsidR="001D4918" w:rsidRPr="00257F02" w:rsidRDefault="001D4918" w:rsidP="007742D4">
      <w:pPr>
        <w:spacing w:line="360" w:lineRule="auto"/>
        <w:jc w:val="both"/>
        <w:rPr>
          <w:rFonts w:ascii="BookAntiqua" w:eastAsia="BookAntiqua" w:cs="BookAntiqua"/>
          <w:sz w:val="18"/>
          <w:szCs w:val="18"/>
          <w:lang w:val="en-US"/>
        </w:rPr>
      </w:pPr>
    </w:p>
    <w:p w:rsidR="001D4918" w:rsidRPr="00257F02" w:rsidRDefault="001D4918" w:rsidP="007742D4">
      <w:pPr>
        <w:spacing w:line="360" w:lineRule="auto"/>
        <w:jc w:val="both"/>
        <w:rPr>
          <w:rFonts w:ascii="Book Antiqua" w:hAnsi="Book Antiqua"/>
          <w:b/>
          <w:i/>
          <w:color w:val="111111"/>
          <w:szCs w:val="20"/>
          <w:lang w:val="en-US"/>
        </w:rPr>
      </w:pPr>
      <w:r w:rsidRPr="00257F02">
        <w:rPr>
          <w:rFonts w:ascii="Book Antiqua" w:hAnsi="Book Antiqua"/>
          <w:b/>
          <w:i/>
          <w:color w:val="111111"/>
          <w:szCs w:val="20"/>
          <w:lang w:val="en-US"/>
        </w:rPr>
        <w:t>Data presentation</w:t>
      </w:r>
    </w:p>
    <w:p w:rsidR="001D4918" w:rsidRPr="00257F02" w:rsidRDefault="001D4918" w:rsidP="007742D4">
      <w:pPr>
        <w:spacing w:line="360" w:lineRule="auto"/>
        <w:jc w:val="both"/>
        <w:rPr>
          <w:rFonts w:ascii="Book Antiqua" w:hAnsi="Book Antiqua"/>
          <w:color w:val="111111"/>
          <w:szCs w:val="20"/>
          <w:lang w:val="en-US"/>
        </w:rPr>
      </w:pPr>
      <w:r w:rsidRPr="00257F02">
        <w:rPr>
          <w:rFonts w:ascii="Book Antiqua" w:hAnsi="Book Antiqua"/>
          <w:color w:val="111111"/>
          <w:lang w:val="en-US"/>
        </w:rPr>
        <w:t>The PRISMA State</w:t>
      </w:r>
      <w:r w:rsidRPr="00257F02">
        <w:rPr>
          <w:rFonts w:ascii="Book Antiqua" w:hAnsi="Book Antiqua"/>
          <w:color w:val="111111"/>
          <w:szCs w:val="20"/>
          <w:lang w:val="en-US"/>
        </w:rPr>
        <w:t>ment for Reporting Systematic Reviews and Meta-Analyses was used to conduct and report the results of this review</w:t>
      </w:r>
      <w:r w:rsidRPr="00257F02">
        <w:rPr>
          <w:rFonts w:ascii="Book Antiqua" w:hAnsi="Book Antiqua"/>
          <w:color w:val="111111"/>
          <w:szCs w:val="20"/>
          <w:lang w:val="en-US"/>
        </w:rPr>
        <w:fldChar w:fldCharType="begin"/>
      </w:r>
      <w:r w:rsidRPr="00257F02">
        <w:rPr>
          <w:rFonts w:ascii="Book Antiqua" w:hAnsi="Book Antiqua"/>
          <w:color w:val="111111"/>
          <w:szCs w:val="20"/>
          <w:lang w:val="en-US"/>
        </w:rPr>
        <w:instrText xml:space="preserve"> ADDIN ZOTERO_ITEM CSL_CITATION {"citationID":"1GzElzAn","properties":{"formattedCitation":"\\super [18]\\nosupersub{}","plainCitation":"[18]","noteIndex":0},"citationItems":[{"id":1382,"uris":["http://zotero.org/users/3734960/items/NVSK44YI"],"uri":["http://zotero.org/users/3734960/items/NVSK44YI"],"itemData":{"id":1382,"type":"article-journal","title":"The PRISMA statement for reporting systematic reviews and meta-analyses of studies that evaluate health care interventions: explanation and elaboration","container-title":"Annals of Internal Medicine","page":"W65-94","volume":"151","issue":"4","source":"PubMed","abstract":"Systematic reviews and meta-analyses are essential to summarize evidence relating to efficacy and safety of health care interventions accurately and reliably. The clarity and transparency of these reports, however, is not optimal. Poor reporting of systematic reviews diminishes their value to clinicians, policy makers, and other users. Since the development of the QUOROM (QUality Of Reporting Of Meta-analysis) Statement-a reporting guideline published in 1999-there have been several conceptual, methodological, and practical advances regarding the conduct and reporting of systematic reviews and meta-analyses. Also, reviews of published systematic reviews have found that key information about these studies is often poorly reported. Realizing these issues, an international group that included experienced authors and methodologists developed PRISMA (Preferred Reporting Items for Systematic reviews and Meta-Analyses) as an evolution of the original QUOROM guideline for systematic reviews and meta-analyses of evaluations of health care interventions. The PRISMA Statement consists of a 27-item checklist and a four-phase flow diagram. The checklist includes items deemed essential for transparent reporting of a systematic review. In this Explanation and Elaboration document, we explain the meaning and rationale for each checklist item. For each item, we include an example of good reporting and, where possible, references to relevant empirical studies and methodological literature. The PRISMA Statement, this document, and the associated Web site (www.prisma-statement.org) should be helpful resources to improve reporting of systematic reviews and meta-analyses.","ISSN":"1539-3704","note":"PMID: 19622512","title-short":"The PRISMA statement for reporting systematic reviews and meta-analyses of studies that evaluate health care interventions","journalAbbreviation":"Ann. Intern. Med.","language":"eng","author":[{"family":"Liberati","given":"Alessandro"},{"family":"Altman","given":"Douglas G."},{"family":"Tetzlaff","given":"Jennifer"},{"family":"Mulrow","given":"Cynthia"},{"family":"Gøtzsche","given":"Peter C."},{"family":"Ioannidis","given":"John P. A."},{"family":"Clarke","given":"Mike"},{"family":"Devereaux","given":"P. J."},{"family":"Kleijnen","given":"Jos"},{"family":"Moher","given":"David"}],"issued":{"date-parts":[["2009",8,18]]}}}],"schema":"https://github.com/citation-style-language/schema/raw/master/csl-citation.json"} </w:instrText>
      </w:r>
      <w:r w:rsidRPr="00257F02">
        <w:rPr>
          <w:rFonts w:ascii="Book Antiqua" w:hAnsi="Book Antiqua"/>
          <w:color w:val="111111"/>
          <w:szCs w:val="20"/>
          <w:lang w:val="en-US"/>
        </w:rPr>
        <w:fldChar w:fldCharType="separate"/>
      </w:r>
      <w:r w:rsidRPr="00257F02">
        <w:rPr>
          <w:rFonts w:ascii="Book Antiqua" w:hAnsi="Book Antiqua"/>
          <w:vertAlign w:val="superscript"/>
          <w:lang w:val="en-US"/>
        </w:rPr>
        <w:t>[18]</w:t>
      </w:r>
      <w:r w:rsidRPr="00257F02">
        <w:rPr>
          <w:rFonts w:ascii="Book Antiqua" w:hAnsi="Book Antiqua"/>
          <w:color w:val="111111"/>
          <w:szCs w:val="20"/>
          <w:lang w:val="en-US"/>
        </w:rPr>
        <w:fldChar w:fldCharType="end"/>
      </w:r>
      <w:r w:rsidRPr="00257F02">
        <w:rPr>
          <w:rFonts w:ascii="Book Antiqua" w:hAnsi="Book Antiqua"/>
          <w:color w:val="111111"/>
          <w:szCs w:val="20"/>
          <w:lang w:val="en-US"/>
        </w:rPr>
        <w:t>. The first part of this systematic review focused on the indexes that were used to describe CD lesions at small bowel capsule endoscopy.  The findings were then organized according to the context of SBCE use when monitoring a patient who was diagnosed with inflammatory bowel disease, as follows: (</w:t>
      </w:r>
      <w:r>
        <w:rPr>
          <w:rFonts w:ascii="Book Antiqua" w:hAnsi="Book Antiqua"/>
          <w:color w:val="111111"/>
          <w:szCs w:val="20"/>
          <w:lang w:val="en-US"/>
        </w:rPr>
        <w:t>1</w:t>
      </w:r>
      <w:r w:rsidRPr="00257F02">
        <w:rPr>
          <w:rFonts w:ascii="Book Antiqua" w:hAnsi="Book Antiqua"/>
          <w:color w:val="111111"/>
          <w:szCs w:val="20"/>
          <w:lang w:val="en-US"/>
        </w:rPr>
        <w:t>) reclassifying disease location or phenotype; (</w:t>
      </w:r>
      <w:r>
        <w:rPr>
          <w:rFonts w:ascii="Book Antiqua" w:hAnsi="Book Antiqua"/>
          <w:color w:val="111111"/>
          <w:szCs w:val="20"/>
          <w:lang w:val="en-US"/>
        </w:rPr>
        <w:t>2</w:t>
      </w:r>
      <w:r w:rsidRPr="00257F02">
        <w:rPr>
          <w:rFonts w:ascii="Book Antiqua" w:hAnsi="Book Antiqua"/>
          <w:color w:val="111111"/>
          <w:szCs w:val="20"/>
          <w:lang w:val="en-US"/>
        </w:rPr>
        <w:t>) assessing mucosal healing in patients with CD; and (</w:t>
      </w:r>
      <w:r>
        <w:rPr>
          <w:rFonts w:ascii="Book Antiqua" w:hAnsi="Book Antiqua"/>
          <w:color w:val="111111"/>
          <w:szCs w:val="20"/>
          <w:lang w:val="en-US"/>
        </w:rPr>
        <w:t>3</w:t>
      </w:r>
      <w:r w:rsidRPr="00257F02">
        <w:rPr>
          <w:rFonts w:ascii="Book Antiqua" w:hAnsi="Book Antiqua"/>
          <w:color w:val="111111"/>
          <w:szCs w:val="20"/>
          <w:lang w:val="en-US"/>
        </w:rPr>
        <w:t xml:space="preserve">) monitoring patients in the post-operative setting. </w:t>
      </w:r>
    </w:p>
    <w:p w:rsidR="00290339" w:rsidRDefault="00290339" w:rsidP="007742D4">
      <w:pPr>
        <w:spacing w:line="360" w:lineRule="auto"/>
        <w:jc w:val="both"/>
        <w:rPr>
          <w:rFonts w:ascii="Book Antiqua" w:hAnsi="Book Antiqua"/>
          <w:b/>
          <w:i/>
          <w:color w:val="111111"/>
          <w:szCs w:val="20"/>
          <w:lang w:val="en-US"/>
        </w:r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t>RESULTS</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b/>
          <w:i/>
          <w:color w:val="000000"/>
          <w:lang w:val="en-US"/>
        </w:rPr>
        <w:t>Literature search results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There were 153 studies identified after the electronic search. Seven additional studies were identified from a review of the reference lists from included articles. Based on the information provided in the abstracts, 103 studies were excluded, as well as seven duplicates. Fifty articles were then selected for full-text review. Among those articles, three were excluded, and 47 articles were finally included in this review. The PRISMA diagram describing the article search process is presented in Figure 2.</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cs="AdvOTdc5ff126"/>
          <w:b/>
          <w:i/>
          <w:lang w:val="en-US"/>
        </w:rPr>
      </w:pPr>
      <w:r w:rsidRPr="00257F02">
        <w:rPr>
          <w:rFonts w:ascii="Book Antiqua" w:hAnsi="Book Antiqua" w:cs="AdvOTdc5ff126"/>
          <w:b/>
          <w:i/>
          <w:lang w:val="en-US"/>
        </w:rPr>
        <w:t>Indexes (nine studies)</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Supplementary Table 2 summarizes the studies that assessed the two indexes that have been developed to date to describe CD lesions at SBCE. The first index is the Lewis score, which was developed in 2007</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{"citationID":"gaGtnObw","properties":{"formattedCitation":"\\super [19]\\nosupersub{}","plainCitation":"[19]","noteIndex":0},"citationItems":[{"id":2683,"uris":["http://zotero.org/users/3734960/items/76KE6L4I"],"uri":["http://zotero.org/users/3734960/items/76KE6L4I"],"itemData":{"id":2683,"type":"article-journal","title":"Development of a capsule endoscopy scoring index for small bowel mucosal inflammatory change: DEVELOPMENT OF A CAPSULE ENDOSCOPY SCORING INDEX","container-title":"Alimentary Pharmacology &amp; Therapeutics","page":"146-154","volume":"27","issue":"2","source":"Crossref","DOI":"10.1111/j.1365-2036.2007.03556.x","ISSN":"02692813, 13652036","title-short":"Development of a capsule endoscopy scoring index for small bowel mucosal inflammatory change","language":"en","author":[{"family":"Gralnek","given":"I. M."},{"family":"Defranchis","given":"R."},{"family":"Seidman","given":"E."},{"family":"Leighton","given":"J. A."},{"family":"Legnani","given":"P."},{"family":"Lewis","given":"B. S."}],"issued":{"date-parts":[["2007",10,23]]}}}],"schema":"https://github.com/citation-style-language/schema/raw/master/csl-citation.json"}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[19]</w:t>
      </w:r>
      <w:r w:rsidRPr="00257F02">
        <w:rPr>
          <w:rFonts w:ascii="Book Antiqua" w:hAnsi="Book Antiqua"/>
          <w:color w:val="000000"/>
          <w:lang w:val="en-US"/>
        </w:rPr>
        <w:fldChar w:fldCharType="end"/>
      </w:r>
      <w:r w:rsidRPr="00257F02">
        <w:rPr>
          <w:rFonts w:ascii="Book Antiqua" w:hAnsi="Book Antiqua"/>
          <w:color w:val="000000"/>
          <w:lang w:val="en-US"/>
        </w:rPr>
        <w:t xml:space="preserve"> and validated in 2014, and it has excellent interobserver agreement in patients with known SB CD</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{"citationID":"kT1XWfto","properties":{"formattedCitation":"\\super [20]\\nosupersub{}","plainCitation":"[20]","noteIndex":0},"citationItems":[{"id":2896,"uris":["http://zotero.org/users/3734960/items/GGQ8MKZA"],"uri":["http://zotero.org/users/3734960/items/GGQ8MKZA"],"itemData":{"id":2896,"type":"article-journal","title":"Validation of the Lewis score for the evaluation of small-bowel Crohn’s disease activity","container-title":"Endoscopy","page":"330-335","volume":"47","issue":"04","source":"Crossref","DOI":"10.1055/s-0034-1390894","ISSN":"0013-726X, 1438-8812","language":"en","author":[{"family":"Cotter","given":"José"},{"family":"Dias de Castro","given":"Francisca"},{"family":"Magalhães","given":"Joana"},{"family":"Moreira","given":"Maria"},{"family":"Rosa","given":"Bruno"}],"issued":{"date-parts":[["2014",11,20]]}}}],"schema":"https://github.com/citation-style-language/schema/raw/master/csl-citation.json"}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[20]</w:t>
      </w:r>
      <w:r w:rsidRPr="00257F02">
        <w:rPr>
          <w:rFonts w:ascii="Book Antiqua" w:hAnsi="Book Antiqua"/>
          <w:color w:val="000000"/>
          <w:lang w:val="en-US"/>
        </w:rPr>
        <w:fldChar w:fldCharType="end"/>
      </w:r>
      <w:r w:rsidRPr="00257F02">
        <w:rPr>
          <w:rFonts w:ascii="Book Antiqua" w:hAnsi="Book Antiqua"/>
          <w:color w:val="000000"/>
          <w:lang w:val="en-US"/>
        </w:rPr>
        <w:t>. A score below 135 is considered to be normal, while a score above 790 reflects moderate to severe inflammation. Between these two values, SB inflammation is considered to be mild</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{"citationID":"uGKwrpPG","properties":{"formattedCitation":"\\super [19]\\nosupersub{}","plainCitation":"[19]","noteIndex":0},"citationItems":[{"id":2683,"uris":["http://zotero.org/users/3734960/items/76KE6L4I"],"uri":["http://zotero.org/users/3734960/items/76KE6L4I"],"itemData":{"id":2683,"type":"article-journal","title":"Development of a capsule endoscopy scoring index for small bowel mucosal inflammatory change: DEVELOPMENT OF A CAPSULE ENDOSCOPY SCORING INDEX","container-title":"Alimentary Pharmacology &amp; Therapeutics","page":"146-154","volume":"27","issue":"2","source":"Crossref","DOI":"10.1111/j.1365-2036.2007.03556.x","ISSN":"02692813, 13652036","title-short":"Development of a capsule endoscopy scoring index for small bowel mucosal inflammatory change","language":"en","author":[{"family":"Gralnek","given":"I. M."},{"family":"Defranchis","given":"R."},{"family":"Seidman","given":"E."},{"family":"Leighton","given":"J. A."},{"family":"Legnani","given":"P."},{"family":"Lewis","given":"B. S."}],"issued":{"date-parts":[["2007",10,23]]}}}],"schema":"https://github.com/citation-style-language/schema/raw/master/csl-citation.json"}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[19]</w:t>
      </w:r>
      <w:r w:rsidRPr="00257F02">
        <w:rPr>
          <w:rFonts w:ascii="Book Antiqua" w:hAnsi="Book Antiqua"/>
          <w:color w:val="000000"/>
          <w:lang w:val="en-US"/>
        </w:rPr>
        <w:fldChar w:fldCharType="end"/>
      </w:r>
      <w:r w:rsidRPr="00257F02">
        <w:rPr>
          <w:rFonts w:ascii="Book Antiqua" w:hAnsi="Book Antiqua"/>
          <w:color w:val="000000"/>
          <w:lang w:val="en-US"/>
        </w:rPr>
        <w:t xml:space="preserve">. This score was also useful as a diagnostic tool for patients with suspected CD, with a </w:t>
      </w:r>
      <w:r w:rsidRPr="00257F02">
        <w:rPr>
          <w:rFonts w:ascii="Book Antiqua" w:hAnsi="Book Antiqua"/>
          <w:color w:val="000000"/>
          <w:lang w:val="en-US"/>
        </w:rPr>
        <w:lastRenderedPageBreak/>
        <w:t>sensitivity and positive predictive value of 82.6%, and a specificity and negative predictive value of 87.9%</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{"citationID":"ceFGNDtS","properties":{"formattedCitation":"\\super [21]\\nosupersub{}","plainCitation":"[21]","noteIndex":0},"citationItems":[{"id":2681,"uris":["http://zotero.org/users/3734960/items/S5WMQWUW"],"uri":["http://zotero.org/users/3734960/items/S5WMQWUW"],"itemData":{"id":2681,"type":"article-journal","title":"Lewis Score: A useful clinical tool for patients with suspected Crohn's Disease submitted to capsule endoscopy","container-title":"Journal of Crohn's and Colitis","page":"692-697","volume":"6","issue":"6","source":"Crossref","DOI":"10.1016/j.crohns.2011.12.002","ISSN":"18739946","title-short":"Lewis Score","language":"en","author":[{"family":"Rosa","given":"Bruno"},{"family":"Moreira","given":"Maria João"},{"family":"Rebelo","given":"Ana"},{"family":"Cotter","given":"José"}],"issued":{"date-parts":[["2012",7]]}},"locator":"201"}],"schema":"https://github.com/citation-style-language/schema/raw/master/csl-citation.json"}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[21]</w:t>
      </w:r>
      <w:r w:rsidRPr="00257F02">
        <w:rPr>
          <w:rFonts w:ascii="Book Antiqua" w:hAnsi="Book Antiqua"/>
          <w:color w:val="000000"/>
          <w:lang w:val="en-US"/>
        </w:rPr>
        <w:fldChar w:fldCharType="end"/>
      </w:r>
      <w:r w:rsidRPr="00257F02">
        <w:rPr>
          <w:rFonts w:ascii="Book Antiqua" w:hAnsi="Book Antiqua"/>
          <w:color w:val="000000"/>
          <w:lang w:val="en-US"/>
        </w:rPr>
        <w:t xml:space="preserve">. </w:t>
      </w:r>
    </w:p>
    <w:p w:rsidR="001D4918" w:rsidRPr="00257F02" w:rsidRDefault="001D4918" w:rsidP="007742D4">
      <w:pPr>
        <w:spacing w:line="360" w:lineRule="auto"/>
        <w:ind w:firstLineChars="100" w:firstLine="240"/>
        <w:jc w:val="both"/>
        <w:rPr>
          <w:rFonts w:ascii="Book Antiqua" w:hAnsi="Book Antiqua" w:cs="AdvPTimes"/>
          <w:lang w:val="en-US"/>
        </w:rPr>
      </w:pPr>
      <w:r w:rsidRPr="00257F02">
        <w:rPr>
          <w:rFonts w:ascii="Book Antiqua" w:hAnsi="Book Antiqua"/>
          <w:color w:val="000000"/>
          <w:lang w:val="en-US"/>
        </w:rPr>
        <w:t xml:space="preserve">The second index was developed in 2008 and it is called </w:t>
      </w:r>
      <w:r w:rsidRPr="00257F02">
        <w:rPr>
          <w:rFonts w:ascii="Book Antiqua" w:hAnsi="Book Antiqua" w:cs="AdvPTimesB"/>
          <w:lang w:val="en-US"/>
        </w:rPr>
        <w:t>Capsule Endoscopy Crohn’s Disease Activity Index (CECDAI). It ranges from 0 to 36, and the correlation between two observers is also excellent</w:t>
      </w:r>
      <w:r w:rsidRPr="00257F02">
        <w:rPr>
          <w:rFonts w:ascii="Book Antiqua" w:hAnsi="Book Antiqua" w:cs="AdvPTimesB"/>
          <w:lang w:val="en-US"/>
        </w:rPr>
        <w:fldChar w:fldCharType="begin"/>
      </w:r>
      <w:r w:rsidRPr="00257F02">
        <w:rPr>
          <w:rFonts w:ascii="Book Antiqua" w:hAnsi="Book Antiqua" w:cs="AdvPTimesB"/>
          <w:lang w:val="en-US"/>
        </w:rPr>
        <w:instrText xml:space="preserve"> ADDIN ZOTERO_ITEM CSL_CITATION {"citationID":"jBHmg9og","properties":{"formattedCitation":"\\super [22]\\nosupersub{}","plainCitation":"[22]","noteIndex":0},"citationItems":[{"id":2682,"uris":["http://zotero.org/users/3734960/items/NM4CWWIS"],"uri":["http://zotero.org/users/3734960/items/NM4CWWIS"],"itemData":{"id":2682,"type":"article-journal","title":"Assessment and validation of the new capsule endoscopy Crohn's disease activity index (CECDAI)","container-title":"Digestive Diseases and Sciences","page":"1933-1937","volume":"53","issue":"7","source":"PubMed","abstract":"BACKGROUND: Capsule endoscopy is a relatively new imaging tool for the detection of small bowel pathology. The assessment of the severity of Crohn's disease by capsule endoscopy is not standardized and is limited by interobserver variations in interpreting the findings.\nAIM: To develop, assess and validate a new, simple capsule endoscopy Crohn's disease activity index (CECDAI) in order to grade the severity of small bowel capsule endoscopy findings.\nMETHODS: The system involves dividing the small bowel into proximal and distal segments according to transit time and then rating each segment on the basis of three parameters: inflammation (A), extent of disease (B) and presence of strictures (C). The segmental score is calculated by multiplying the inflammation subscore by the disease-subextent score and adding the stricture subscore (A x B + C); the final score is calculated by adding the two segmental scores: CECDAI = (A1 x B1 + C1) + (A2 x B2 + C2). In the present study, four senior endoscopists (two with experience in capsule endoscopy interpretation) independently reviewed coded capsule endoscopy videos of 20 patients with Crohn's disease and rated them according to the CECDAI. Interobserver variability was analyzed by Spearman's correlation test.\nRESULTS: The CECDAI total scores for the 20 patients ranged from 0 to 26. The correlation for the total score assigned between every two observers was 0.867 (0.700-1.000 = strong degree association; WHO classification; P &lt; 0.0001). The Kappa statistics for agreement among all observers for the subscores and total scores were as follows: A1, 0.31 +/- 0.05; B1, 0.25 +/- 0.05; C1 (no cases); A2, 0.51 +/- 0.05; B2, 0.57 +/- 0.05; C2, 0.27 +/- 0.07. All examiners reported that the system was simple to learn and apply.\nCONCLUSIONS: The CECDAI score may serve as a convenient, reliable and reproducible diagnostic and follow-up tool for use by experienced endoscopists in the evaluation of patients with Crohn's disease of the small bowel.","DOI":"10.1007/s10620-007-0084-y","ISSN":"0163-2116","note":"PMID: 18034304","journalAbbreviation":"Dig. Dis. Sci.","language":"eng","author":[{"family":"Gal","given":"Eyal"},{"family":"Geller","given":"Alex"},{"family":"Fraser","given":"Gerald"},{"family":"Levi","given":"Zohar"},{"family":"Niv","given":"Yaron"}],"issued":{"date-parts":[["2008",7]]}}}],"schema":"https://github.com/citation-style-language/schema/raw/master/csl-citation.json"} </w:instrText>
      </w:r>
      <w:r w:rsidRPr="00257F02">
        <w:rPr>
          <w:rFonts w:ascii="Book Antiqua" w:hAnsi="Book Antiqua" w:cs="AdvPTimesB"/>
          <w:lang w:val="en-US"/>
        </w:rPr>
        <w:fldChar w:fldCharType="separate"/>
      </w:r>
      <w:r w:rsidRPr="00257F02">
        <w:rPr>
          <w:rFonts w:ascii="Book Antiqua" w:hAnsi="Book Antiqua"/>
          <w:vertAlign w:val="superscript"/>
          <w:lang w:val="en-US"/>
        </w:rPr>
        <w:t>[22]</w:t>
      </w:r>
      <w:r w:rsidRPr="00257F02">
        <w:rPr>
          <w:rFonts w:ascii="Book Antiqua" w:hAnsi="Book Antiqua" w:cs="AdvPTimesB"/>
          <w:lang w:val="en-US"/>
        </w:rPr>
        <w:fldChar w:fldCharType="end"/>
      </w:r>
      <w:r w:rsidRPr="00257F02">
        <w:rPr>
          <w:rFonts w:ascii="Book Antiqua" w:hAnsi="Book Antiqua" w:cs="AdvPTimesB"/>
          <w:lang w:val="en-US"/>
        </w:rPr>
        <w:t>. This score was validated in 2012 in a cohort of 50 patients with known SB CD</w:t>
      </w:r>
      <w:r w:rsidRPr="00257F02">
        <w:rPr>
          <w:rFonts w:ascii="Book Antiqua" w:hAnsi="Book Antiqua" w:cs="AdvPTimesB"/>
          <w:lang w:val="en-US"/>
        </w:rPr>
        <w:fldChar w:fldCharType="begin"/>
      </w:r>
      <w:r w:rsidRPr="00257F02">
        <w:rPr>
          <w:rFonts w:ascii="Book Antiqua" w:hAnsi="Book Antiqua" w:cs="AdvPTimesB"/>
          <w:lang w:val="en-US"/>
        </w:rPr>
        <w:instrText xml:space="preserve"> ADDIN ZOTERO_ITEM CSL_CITATION {"citationID":"lUo3nqtp","properties":{"formattedCitation":"\\super [23]\\nosupersub{}","plainCitation":"[23]","noteIndex":0},"citationItems":[{"id":2893,"uris":["http://zotero.org/users/3734960/items/V2MKYW4A"],"uri":["http://zotero.org/users/3734960/items/V2MKYW4A"],"itemData":{"id":2893,"type":"article-journal","title":"Validation of the Capsule Endoscopy Crohn's Disease Activity Index (CECDAI or Niv score): a multicenter prospective study","container-title":"Endoscopy","page":"21-26","volume":"44","issue":"1","source":"PubMed","abstract":"BACKGROUND AND STUDY AIMS: The Capsule Endoscopy Crohn's Disease Activity Index (CECDAI or Niv score) was devised to measure mucosal disease activity using video capsule endoscopy (VCE). The aim of the current study was to prospectively validate the use of the scoring system in daily practice.\nMETHODS: This was a multicenter, double-blind, prospective, controlled study of VCE videos from 62 consecutive patients with isolated small-bowel Crohn's disease. The CECDAI was designed to evaluate three main parameters of Crohn's disease: inflammation (A), extent of disease (B), and stricture (C), in both the proximal and distal segments of the small bowel. The final score was calculated by adding the two segmental scores: CECDAI =</w:instrText>
      </w:r>
      <w:r w:rsidRPr="00257F02">
        <w:rPr>
          <w:lang w:val="en-US"/>
        </w:rPr>
        <w:instrText> </w:instrText>
      </w:r>
      <w:r w:rsidRPr="00257F02">
        <w:rPr>
          <w:rFonts w:ascii="Book Antiqua" w:hAnsi="Book Antiqua" w:cs="AdvPTimesB"/>
          <w:lang w:val="en-US"/>
        </w:rPr>
        <w:instrText>([A1</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B1] +</w:instrText>
      </w:r>
      <w:r w:rsidRPr="00257F02">
        <w:rPr>
          <w:lang w:val="en-US"/>
        </w:rPr>
        <w:instrText> </w:instrText>
      </w:r>
      <w:r w:rsidRPr="00257F02">
        <w:rPr>
          <w:rFonts w:ascii="Book Antiqua" w:hAnsi="Book Antiqua" w:cs="AdvPTimesB"/>
          <w:lang w:val="en-US"/>
        </w:rPr>
        <w:instrText>C1) +</w:instrText>
      </w:r>
      <w:r w:rsidRPr="00257F02">
        <w:rPr>
          <w:lang w:val="en-US"/>
        </w:rPr>
        <w:instrText> </w:instrText>
      </w:r>
      <w:r w:rsidRPr="00257F02">
        <w:rPr>
          <w:rFonts w:ascii="Book Antiqua" w:hAnsi="Book Antiqua" w:cs="AdvPTimesB"/>
          <w:lang w:val="en-US"/>
        </w:rPr>
        <w:instrText>([A2</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B2] +</w:instrText>
      </w:r>
      <w:r w:rsidRPr="00257F02">
        <w:rPr>
          <w:lang w:val="en-US"/>
        </w:rPr>
        <w:instrText> </w:instrText>
      </w:r>
      <w:r w:rsidRPr="00257F02">
        <w:rPr>
          <w:rFonts w:ascii="Book Antiqua" w:hAnsi="Book Antiqua" w:cs="AdvPTimesB"/>
          <w:lang w:val="en-US"/>
        </w:rPr>
        <w:instrText>C2). Each examiner in every site interpreted 6</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10 videos and calculated the CECDAI. The de-identified CD-ROMs were then coded and sent to the principal investigator for CECDAI calculation.\nRESULTS: The cecum was reached in 72</w:instrText>
      </w:r>
      <w:r w:rsidRPr="00257F02">
        <w:rPr>
          <w:lang w:val="en-US"/>
        </w:rPr>
        <w:instrText> </w:instrText>
      </w:r>
      <w:r w:rsidRPr="00257F02">
        <w:rPr>
          <w:rFonts w:ascii="Book Antiqua" w:hAnsi="Book Antiqua" w:cs="AdvPTimesB"/>
          <w:lang w:val="en-US"/>
        </w:rPr>
        <w:instrText>% and 86</w:instrText>
      </w:r>
      <w:r w:rsidRPr="00257F02">
        <w:rPr>
          <w:lang w:val="en-US"/>
        </w:rPr>
        <w:instrText> </w:instrText>
      </w:r>
      <w:r w:rsidRPr="00257F02">
        <w:rPr>
          <w:rFonts w:ascii="Book Antiqua" w:hAnsi="Book Antiqua" w:cs="AdvPTimesB"/>
          <w:lang w:val="en-US"/>
        </w:rPr>
        <w:instrText>% of examinations, and proximal small-bowel involvement was found in 56</w:instrText>
      </w:r>
      <w:r w:rsidRPr="00257F02">
        <w:rPr>
          <w:lang w:val="en-US"/>
        </w:rPr>
        <w:instrText> </w:instrText>
      </w:r>
      <w:r w:rsidRPr="00257F02">
        <w:rPr>
          <w:rFonts w:ascii="Book Antiqua" w:hAnsi="Book Antiqua" w:cs="AdvPTimesB"/>
          <w:lang w:val="en-US"/>
        </w:rPr>
        <w:instrText>% and 62</w:instrText>
      </w:r>
      <w:r w:rsidRPr="00257F02">
        <w:rPr>
          <w:lang w:val="en-US"/>
        </w:rPr>
        <w:instrText> </w:instrText>
      </w:r>
      <w:r w:rsidRPr="00257F02">
        <w:rPr>
          <w:rFonts w:ascii="Book Antiqua" w:hAnsi="Book Antiqua" w:cs="AdvPTimesB"/>
          <w:lang w:val="en-US"/>
        </w:rPr>
        <w:instrText>% of the patients, according to the site investigators and principal investigator, respectively. Significant correlation was demonstrated between the calculation of the CECDAI by the individual site investigators and that performed by the principal investigator. Overall correlation between endoscopists from the different study centers was good, with r</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0.767 (range 0.717</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0.985; Kappa 0.66; P</w:instrText>
      </w:r>
      <w:r w:rsidRPr="00257F02">
        <w:rPr>
          <w:lang w:val="en-US"/>
        </w:rPr>
        <w:instrText> </w:instrText>
      </w:r>
      <w:r w:rsidRPr="00257F02">
        <w:rPr>
          <w:rFonts w:ascii="Book Antiqua" w:hAnsi="Book Antiqua" w:cs="AdvPTimesB"/>
          <w:lang w:val="en-US"/>
        </w:rPr>
        <w:instrText>&lt;</w:instrText>
      </w:r>
      <w:r w:rsidRPr="00257F02">
        <w:rPr>
          <w:lang w:val="en-US"/>
        </w:rPr>
        <w:instrText> </w:instrText>
      </w:r>
      <w:r w:rsidRPr="00257F02">
        <w:rPr>
          <w:rFonts w:ascii="Book Antiqua" w:hAnsi="Book Antiqua" w:cs="AdvPTimesB"/>
          <w:lang w:val="en-US"/>
        </w:rPr>
        <w:instrText xml:space="preserve">0.001). There was no correlation between the CECDAI and the Crohn's Disease Activity Index or the Inflammatory Bowel Disease Quality of Life Questionnaire or any of their components.\nCONCLUSION: A new scoring system of mucosal injury in Crohn's disease of the small intestine, the CECDAI, was validated. Its use in controlled trials and/or regular follow-up of these patients is advocated.","DOI":"10.1055/s-0031-1291385","ISSN":"1438-8812","note":"PMID: 22125196","title-short":"Validation of the Capsule Endoscopy Crohn's Disease Activity Index (CECDAI or Niv score)","journalAbbreviation":"Endoscopy","language":"eng","author":[{"family":"Niv","given":"Y."},{"family":"Ilani","given":"S."},{"family":"Levi","given":"Z."},{"family":"Hershkowitz","given":"M."},{"family":"Niv","given":"E."},{"family":"Fireman","given":"Z."},{"family":"O'Donnel","given":"S."},{"family":"O'Morain","given":"C."},{"family":"Eliakim","given":"R."},{"family":"Scapa","given":"E."},{"family":"Kalantzis","given":"N."},{"family":"Kalantzis","given":"C."},{"family":"Apostolopoulos","given":"P."},{"family":"Gal","given":"E."}],"issued":{"date-parts":[["2012",1]]}}}],"schema":"https://github.com/citation-style-language/schema/raw/master/csl-citation.json"} </w:instrText>
      </w:r>
      <w:r w:rsidRPr="00257F02">
        <w:rPr>
          <w:rFonts w:ascii="Book Antiqua" w:hAnsi="Book Antiqua" w:cs="AdvPTimesB"/>
          <w:lang w:val="en-US"/>
        </w:rPr>
        <w:fldChar w:fldCharType="separate"/>
      </w:r>
      <w:r w:rsidRPr="00257F02">
        <w:rPr>
          <w:rFonts w:ascii="Book Antiqua" w:hAnsi="Book Antiqua"/>
          <w:vertAlign w:val="superscript"/>
          <w:lang w:val="en-US"/>
        </w:rPr>
        <w:t>[23]</w:t>
      </w:r>
      <w:r w:rsidRPr="00257F02">
        <w:rPr>
          <w:rFonts w:ascii="Book Antiqua" w:hAnsi="Book Antiqua" w:cs="AdvPTimesB"/>
          <w:lang w:val="en-US"/>
        </w:rPr>
        <w:fldChar w:fldCharType="end"/>
      </w:r>
      <w:r w:rsidRPr="00257F02">
        <w:rPr>
          <w:rFonts w:ascii="Book Antiqua" w:hAnsi="Book Antiqua" w:cs="AdvPTimesB"/>
          <w:lang w:val="en-US"/>
        </w:rPr>
        <w:t>. Two recent studies showed a significant correlation between the Lewis and CECDAI scores in patients with known SB CD,</w:t>
      </w:r>
      <w:r w:rsidRPr="00257F02">
        <w:rPr>
          <w:rFonts w:ascii="Book Antiqua" w:hAnsi="Book Antiqua" w:cs="AdvPTimes"/>
          <w:lang w:val="en-US"/>
        </w:rPr>
        <w:t xml:space="preserve"> with correlation coefficients of </w:t>
      </w:r>
      <w:r w:rsidRPr="007345E0">
        <w:rPr>
          <w:rFonts w:ascii="Book Antiqua" w:hAnsi="Book Antiqua" w:cs="AdvPTimesI"/>
          <w:i/>
          <w:iCs/>
          <w:lang w:val="en-US"/>
        </w:rPr>
        <w:t xml:space="preserve">r = </w:t>
      </w:r>
      <w:r w:rsidRPr="00257F02">
        <w:rPr>
          <w:rFonts w:ascii="Book Antiqua" w:hAnsi="Book Antiqua" w:cs="AdvPTimes"/>
          <w:lang w:val="en-US"/>
        </w:rPr>
        <w:t>0.632 (</w:t>
      </w:r>
      <w:r w:rsidRPr="007345E0">
        <w:rPr>
          <w:rFonts w:ascii="Book Antiqua" w:hAnsi="Book Antiqua" w:cs="AdvPTimesI"/>
          <w:i/>
          <w:iCs/>
          <w:lang w:val="en-US"/>
        </w:rPr>
        <w:t xml:space="preserve">P &lt; </w:t>
      </w:r>
      <w:r w:rsidRPr="00257F02">
        <w:rPr>
          <w:rFonts w:ascii="Book Antiqua" w:hAnsi="Book Antiqua" w:cs="AdvPTimes"/>
          <w:lang w:val="en-US"/>
        </w:rPr>
        <w:t>0.0001)</w:t>
      </w:r>
      <w:r w:rsidRPr="00257F02">
        <w:rPr>
          <w:rFonts w:ascii="Book Antiqua" w:hAnsi="Book Antiqua" w:cs="AdvPTimes"/>
          <w:lang w:val="en-US"/>
        </w:rPr>
        <w:fldChar w:fldCharType="begin"/>
      </w:r>
      <w:r w:rsidRPr="00257F02">
        <w:rPr>
          <w:rFonts w:ascii="Book Antiqua" w:hAnsi="Book Antiqua" w:cs="AdvPTimes"/>
          <w:lang w:val="en-US"/>
        </w:rPr>
        <w:instrText xml:space="preserve"> ADDIN ZOTERO_ITEM CSL_CITATION {"citationID":"kSlDVhHw","properties":{"formattedCitation":"\\super [24]\\nosupersub{}","plainCitation":"[24]","noteIndex":0},"citationItems":[{"id":2894,"uris":["http://zotero.org/users/3734960/items/NSUX32Y9"],"uri":["http://zotero.org/users/3734960/items/NSUX32Y9"],"itemData":{"id":2894,"type":"article-journal","title":"Lewis Score Correlates More Closely with Fecal Calprotectin Than Capsule Endoscopy Crohn’s Disease Activity Index","container-title":"Digestive Diseases and Sciences","page":"987-993","volume":"57","issue":"4","source":"Crossref","DOI":"10.1007/s10620-011-1956-8","ISSN":"0163-2116, 1573-2568","language":"en","author":[{"family":"Koulaouzidis","given":"Anastasios"},{"family":"Douglas","given":"Sarah"},{"family":"Plevris","given":"John N."}],"issued":{"date-parts":[["2012",4]]}}}],"schema":"https://github.com/citation-style-language/schema/raw/master/csl-citation.json"} </w:instrText>
      </w:r>
      <w:r w:rsidRPr="00257F02">
        <w:rPr>
          <w:rFonts w:ascii="Book Antiqua" w:hAnsi="Book Antiqua" w:cs="AdvPTimes"/>
          <w:lang w:val="en-US"/>
        </w:rPr>
        <w:fldChar w:fldCharType="separate"/>
      </w:r>
      <w:r w:rsidRPr="00257F02">
        <w:rPr>
          <w:rFonts w:ascii="Book Antiqua" w:hAnsi="Book Antiqua"/>
          <w:vertAlign w:val="superscript"/>
          <w:lang w:val="en-US"/>
        </w:rPr>
        <w:t>[24]</w:t>
      </w:r>
      <w:r w:rsidRPr="00257F02">
        <w:rPr>
          <w:rFonts w:ascii="Book Antiqua" w:hAnsi="Book Antiqua" w:cs="AdvPTimes"/>
          <w:lang w:val="en-US"/>
        </w:rPr>
        <w:fldChar w:fldCharType="end"/>
      </w:r>
      <w:r w:rsidRPr="00257F02">
        <w:rPr>
          <w:rFonts w:ascii="Book Antiqua" w:hAnsi="Book Antiqua" w:cs="AdvPTimes"/>
          <w:lang w:val="en-US"/>
        </w:rPr>
        <w:t xml:space="preserve"> and </w:t>
      </w:r>
      <w:r w:rsidRPr="007345E0">
        <w:rPr>
          <w:rFonts w:ascii="Book Antiqua" w:hAnsi="Book Antiqua" w:cs="DIN-RegularItalic"/>
          <w:i/>
          <w:iCs/>
          <w:lang w:val="en-US"/>
        </w:rPr>
        <w:t xml:space="preserve">r = </w:t>
      </w:r>
      <w:r w:rsidRPr="00257F02">
        <w:rPr>
          <w:rFonts w:ascii="Book Antiqua" w:hAnsi="Book Antiqua" w:cs="DIN-Regular"/>
          <w:lang w:val="en-US"/>
        </w:rPr>
        <w:t>0.81 (</w:t>
      </w:r>
      <w:r w:rsidRPr="007345E0">
        <w:rPr>
          <w:rFonts w:ascii="Book Antiqua" w:hAnsi="Book Antiqua" w:cs="DIN-RegularItalic"/>
          <w:i/>
          <w:iCs/>
          <w:lang w:val="en-US"/>
        </w:rPr>
        <w:t xml:space="preserve">P = </w:t>
      </w:r>
      <w:r w:rsidRPr="00257F02">
        <w:rPr>
          <w:rFonts w:ascii="Book Antiqua" w:hAnsi="Book Antiqua" w:cs="DIN-Regular"/>
          <w:lang w:val="en-US"/>
        </w:rPr>
        <w:t>0.0001)</w:t>
      </w:r>
      <w:r w:rsidRPr="00257F02">
        <w:rPr>
          <w:rFonts w:ascii="Book Antiqua" w:hAnsi="Book Antiqua" w:cs="DIN-Regular"/>
          <w:lang w:val="en-US"/>
        </w:rPr>
        <w:fldChar w:fldCharType="begin"/>
      </w:r>
      <w:r w:rsidRPr="00257F02">
        <w:rPr>
          <w:rFonts w:ascii="Book Antiqua" w:hAnsi="Book Antiqua" w:cs="DIN-Regular"/>
          <w:lang w:val="en-US"/>
        </w:rPr>
        <w:instrText xml:space="preserve"> ADDIN ZOTERO_ITEM CSL_CITATION {"citationID":"yfDP6czr","properties":{"formattedCitation":"\\super [25]\\nosupersub{}","plainCitation":"[25]","noteIndex":0},"citationItems":[{"id":2642,"uris":["http://zotero.org/users/3734960/items/R7A64SIY"],"uri":["http://zotero.org/users/3734960/items/R7A64SIY"],"itemData":{"id":2642,"type":"article-journal","title":"The Lewis score or the capsule endoscopy Crohn's disease activity index: which one is better for the assessment of small bowel inflammation in established Crohn's disease?","container-title":"Therapeutic Advances in Gastroenterology","page":"1756283X17747780","volume":"11","source":"PubMed","abstract":"Background: Small-bowel capsule endoscopy (CE) is a prime modality for evaluation of the small bowel. The Lewis score (LS) and the Capsule Endoscopy Crohn's Disease Activity Index (CECDAI) are validated endoscopic indices for quantification of small-bowel inflammation on CE. It is unclear whether these indexes are interchangeable for the evaluation of mucosal inflammation in established Crohn's disease (CD). The aim of this study was to compare the quantitative evaluation of small- bowel inflammation by LS and CECDAI.\nMethods: Patients with known quiescent small-bowel CD for at least 3 months (Crohn's disease activity index &lt; 150) were prospectively recruited and underwent CE. The LS was calculated using RAPID 8 capsule-reading software and the CECDAI was calculated manually. Cumulative LS (C-LS) was calculated by summation of individual tertile LS. Fecal calprotectin (FCP) and C-reactive protein (CRP) levels were measured and correlated with the scores.\nResults: A total of 50 patients were included in the study. There was a moderate correlation between the worst segment LS and CECDAI (Pearson's r = 0.66, p = 0.001), and a strong correlation between C-LS and CECDAI (r = 0.81, p = 0.0001). CECDAI &lt; 5.4 corresponded to mucosal healing (LS &lt; 135), while CECDAI &gt; 9.2 corresponded to moderate-to-severe inflammation (LS </w:instrText>
      </w:r>
      <w:r w:rsidRPr="00257F02">
        <w:rPr>
          <w:rFonts w:ascii="Cambria Math" w:hAnsi="Cambria Math" w:cs="Cambria Math"/>
          <w:lang w:val="en-US"/>
        </w:rPr>
        <w:instrText>⩾</w:instrText>
      </w:r>
      <w:r w:rsidRPr="00257F02">
        <w:rPr>
          <w:rFonts w:ascii="Book Antiqua" w:hAnsi="Book Antiqua" w:cs="DIN-Regular"/>
          <w:lang w:val="en-US"/>
        </w:rPr>
        <w:instrText xml:space="preserve"> 790). There was a moderate correlation between capsule scores and FCP levels (r = 0.39, p = 0.002 for LS, r = 0.48, p = 0.001 for C-LS, and r = 0.53, p = 0.001 for CECDAI, respectively). CRP levels were not significantly correlated with either score.\nConclusions: CECDAI and C-LS are strongly correlated and perform similarly for quantitative assessment of mucosal inflammation in established CD.","DOI":"10.1177/1756283X17747780","ISSN":"1756-283X","note":"PMID: 29399042\nPMCID: PMC5788095","title-short":"The Lewis score or the capsule endoscopy Crohn's disease activity index","journalAbbreviation":"Therap Adv Gastroenterol","language":"eng","author":[{"family":"Yablecovitch","given":"Doron"},{"family":"Lahat","given":"Adi"},{"family":"Neuman","given":"Sandra"},{"family":"Levhar","given":"Nina"},{"family":"Avidan","given":"Benjamin"},{"family":"Ben-Horin","given":"Shomron"},{"family":"Eliakim","given":"Rami"},{"family":"Kopylov","given":"Uri"}],"issued":{"date-parts":[["2018"]]}}}],"schema":"https://github.com/citation-style-language/schema/raw/master/csl-citation.json"} </w:instrText>
      </w:r>
      <w:r w:rsidRPr="00257F02">
        <w:rPr>
          <w:rFonts w:ascii="Book Antiqua" w:hAnsi="Book Antiqua" w:cs="DIN-Regular"/>
          <w:lang w:val="en-US"/>
        </w:rPr>
        <w:fldChar w:fldCharType="separate"/>
      </w:r>
      <w:r w:rsidRPr="00257F02">
        <w:rPr>
          <w:rFonts w:ascii="Book Antiqua" w:hAnsi="Book Antiqua"/>
          <w:vertAlign w:val="superscript"/>
          <w:lang w:val="en-US"/>
        </w:rPr>
        <w:t>[25]</w:t>
      </w:r>
      <w:r w:rsidRPr="00257F02">
        <w:rPr>
          <w:rFonts w:ascii="Book Antiqua" w:hAnsi="Book Antiqua" w:cs="DIN-Regular"/>
          <w:lang w:val="en-US"/>
        </w:rPr>
        <w:fldChar w:fldCharType="end"/>
      </w:r>
      <w:r w:rsidRPr="00257F02">
        <w:rPr>
          <w:rFonts w:ascii="Book Antiqua" w:hAnsi="Book Antiqua" w:cs="DIN-Regular"/>
          <w:lang w:val="en-US"/>
        </w:rPr>
        <w:t>, respectively.</w:t>
      </w:r>
      <w:r w:rsidRPr="00257F02">
        <w:rPr>
          <w:rFonts w:ascii="Book Antiqua" w:hAnsi="Book Antiqua" w:cs="AdvPTimesB"/>
          <w:lang w:val="en-US"/>
        </w:rPr>
        <w:t xml:space="preserve"> </w:t>
      </w:r>
      <w:r w:rsidRPr="00257F02">
        <w:rPr>
          <w:rFonts w:ascii="Book Antiqua" w:hAnsi="Book Antiqua" w:cs="AdvPTimes"/>
          <w:lang w:val="en-US"/>
        </w:rPr>
        <w:t>Lewis score thresholds of 135 and 790 correspond with CECDAI levels of 3.8 and 5.8, respectively</w:t>
      </w:r>
      <w:r w:rsidRPr="00257F02">
        <w:rPr>
          <w:rFonts w:ascii="Book Antiqua" w:hAnsi="Book Antiqua" w:cs="AdvPTimes"/>
          <w:lang w:val="en-US"/>
        </w:rPr>
        <w:fldChar w:fldCharType="begin"/>
      </w:r>
      <w:r w:rsidRPr="00257F02">
        <w:rPr>
          <w:rFonts w:ascii="Book Antiqua" w:hAnsi="Book Antiqua" w:cs="AdvPTimes"/>
          <w:lang w:val="en-US"/>
        </w:rPr>
        <w:instrText xml:space="preserve"> ADDIN ZOTERO_ITEM CSL_CITATION {"citationID":"wW52REXh","properties":{"formattedCitation":"\\super [24]\\nosupersub{}","plainCitation":"[24]","noteIndex":0},"citationItems":[{"id":2894,"uris":["http://zotero.org/users/3734960/items/NSUX32Y9"],"uri":["http://zotero.org/users/3734960/items/NSUX32Y9"],"itemData":{"id":2894,"type":"article-journal","title":"Lewis Score Correlates More Closely with Fecal Calprotectin Than Capsule Endoscopy Crohn’s Disease Activity Index","container-title":"Digestive Diseases and Sciences","page":"987-993","volume":"57","issue":"4","source":"Crossref","DOI":"10.1007/s10620-011-1956-8","ISSN":"0163-2116, 1573-2568","language":"en","author":[{"family":"Koulaouzidis","given":"Anastasios"},{"family":"Douglas","given":"Sarah"},{"family":"Plevris","given":"John N."}],"issued":{"date-parts":[["2012",4]]}}}],"schema":"https://github.com/citation-style-language/schema/raw/master/csl-citation.json"} </w:instrText>
      </w:r>
      <w:r w:rsidRPr="00257F02">
        <w:rPr>
          <w:rFonts w:ascii="Book Antiqua" w:hAnsi="Book Antiqua" w:cs="AdvPTimes"/>
          <w:lang w:val="en-US"/>
        </w:rPr>
        <w:fldChar w:fldCharType="separate"/>
      </w:r>
      <w:r w:rsidRPr="00257F02">
        <w:rPr>
          <w:rFonts w:ascii="Book Antiqua" w:hAnsi="Book Antiqua"/>
          <w:vertAlign w:val="superscript"/>
          <w:lang w:val="en-US"/>
        </w:rPr>
        <w:t>[24]</w:t>
      </w:r>
      <w:r w:rsidRPr="00257F02">
        <w:rPr>
          <w:rFonts w:ascii="Book Antiqua" w:hAnsi="Book Antiqua" w:cs="AdvPTimes"/>
          <w:lang w:val="en-US"/>
        </w:rPr>
        <w:fldChar w:fldCharType="end"/>
      </w:r>
      <w:r w:rsidRPr="00257F02">
        <w:rPr>
          <w:rFonts w:ascii="Book Antiqua" w:hAnsi="Book Antiqua" w:cs="AdvPTimes"/>
          <w:lang w:val="en-US"/>
        </w:rPr>
        <w:t xml:space="preserve">. </w:t>
      </w:r>
    </w:p>
    <w:p w:rsidR="001D4918" w:rsidRPr="00257F02" w:rsidRDefault="001D4918" w:rsidP="007742D4">
      <w:pPr>
        <w:spacing w:line="360" w:lineRule="auto"/>
        <w:ind w:firstLineChars="100" w:firstLine="240"/>
        <w:jc w:val="both"/>
        <w:rPr>
          <w:rFonts w:ascii="Book Antiqua" w:hAnsi="Book Antiqua" w:cs="AdvOT6e5d2ec0"/>
          <w:lang w:val="en-US"/>
        </w:rPr>
      </w:pPr>
      <w:r w:rsidRPr="00257F02">
        <w:rPr>
          <w:rFonts w:ascii="Book Antiqua" w:hAnsi="Book Antiqua"/>
          <w:color w:val="000000"/>
          <w:lang w:val="en-US"/>
        </w:rPr>
        <w:t xml:space="preserve">Compared to the MRE scores, the Lewis score was significantly correlated with both </w:t>
      </w:r>
      <w:proofErr w:type="spellStart"/>
      <w:r w:rsidRPr="00257F02">
        <w:rPr>
          <w:rFonts w:ascii="Book Antiqua" w:hAnsi="Book Antiqua"/>
          <w:color w:val="000000"/>
          <w:lang w:val="en-US"/>
        </w:rPr>
        <w:t>MaRIA</w:t>
      </w:r>
      <w:proofErr w:type="spellEnd"/>
      <w:r w:rsidRPr="00257F02">
        <w:rPr>
          <w:rFonts w:ascii="Book Antiqua" w:hAnsi="Book Antiqua"/>
          <w:color w:val="000000"/>
          <w:lang w:val="en-US"/>
        </w:rPr>
        <w:t xml:space="preserve"> and Clermont scores (</w:t>
      </w:r>
      <w:r w:rsidRPr="007345E0">
        <w:rPr>
          <w:rFonts w:ascii="Book Antiqua" w:hAnsi="Book Antiqua" w:cs="DIN-RegularItalic"/>
          <w:i/>
          <w:iCs/>
          <w:lang w:val="en-US"/>
        </w:rPr>
        <w:t xml:space="preserve">r = </w:t>
      </w:r>
      <w:r w:rsidRPr="00257F02">
        <w:rPr>
          <w:rFonts w:ascii="Book Antiqua" w:hAnsi="Book Antiqua" w:cs="DIN-Regular"/>
          <w:lang w:val="en-US"/>
        </w:rPr>
        <w:t xml:space="preserve">0.50, </w:t>
      </w:r>
      <w:r w:rsidRPr="007345E0">
        <w:rPr>
          <w:rFonts w:ascii="Book Antiqua" w:hAnsi="Book Antiqua" w:cs="DIN-RegularItalic"/>
          <w:i/>
          <w:iCs/>
          <w:lang w:val="en-US"/>
        </w:rPr>
        <w:t xml:space="preserve">P = </w:t>
      </w:r>
      <w:r w:rsidRPr="00257F02">
        <w:rPr>
          <w:rFonts w:ascii="Book Antiqua" w:hAnsi="Book Antiqua" w:cs="DIN-Regular"/>
          <w:lang w:val="en-US"/>
        </w:rPr>
        <w:t xml:space="preserve">0.001 and </w:t>
      </w:r>
      <w:r w:rsidRPr="007345E0">
        <w:rPr>
          <w:rFonts w:ascii="Book Antiqua" w:hAnsi="Book Antiqua" w:cs="DIN-RegularItalic"/>
          <w:i/>
          <w:iCs/>
          <w:lang w:val="en-US"/>
        </w:rPr>
        <w:t xml:space="preserve">r = </w:t>
      </w:r>
      <w:r w:rsidRPr="00257F02">
        <w:rPr>
          <w:rFonts w:ascii="Book Antiqua" w:hAnsi="Book Antiqua" w:cs="DIN-Regular"/>
          <w:lang w:val="en-US"/>
        </w:rPr>
        <w:t xml:space="preserve">0.53, </w:t>
      </w:r>
      <w:r w:rsidRPr="007345E0">
        <w:rPr>
          <w:rFonts w:ascii="Book Antiqua" w:hAnsi="Book Antiqua" w:cs="DIN-RegularItalic"/>
          <w:i/>
          <w:iCs/>
          <w:lang w:val="en-US"/>
        </w:rPr>
        <w:t xml:space="preserve">P = </w:t>
      </w:r>
      <w:r w:rsidRPr="00257F02">
        <w:rPr>
          <w:rFonts w:ascii="Book Antiqua" w:hAnsi="Book Antiqua" w:cs="DIN-Regular"/>
          <w:lang w:val="en-US"/>
        </w:rPr>
        <w:t xml:space="preserve">0.001, respectively), </w:t>
      </w:r>
      <w:r w:rsidRPr="00257F02">
        <w:rPr>
          <w:rFonts w:ascii="Book Antiqua" w:hAnsi="Book Antiqua"/>
          <w:color w:val="000000"/>
          <w:lang w:val="en-US"/>
        </w:rPr>
        <w:t>especially for detecting moderate to severe inflammation</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{"citationID":"1fbbeMt9","properties":{"formattedCitation":"\\super [26]\\nosupersub{}","plainCitation":"[26]","noteIndex":0},"citationItems":[{"id":2641,"uris":["http://zotero.org/users/3734960/items/SJ35J6T9"],"uri":["http://zotero.org/users/3734960/items/SJ35J6T9"],"itemData":{"id":2641,"type":"article-journal","title":"Magnetic resonance enterography versus capsule endoscopy activity indices for quantification of small bowel inflammation in Crohn's disease","container-title":"Therapeutic Advances in Gastroenterology","page":"655-663","volume":"9","issue":"5","source":"PubMed","abstract":"BACKGROUND: Video capsule endoscopy (VCE) and magnetic resonance enterography (MRE) are the prime modalities for the evaluation of small bowel (SB) Crohn's disease (CD). Mucosal inflammation on VCE is quantified using the Lewis score (LS). Diffusion-weighted (DW) magnetic resonance imaging (MRI) allows for accurate assessment of SB inflammation without administration of intravenous contrast material. The Magnetic Resonance Index of Activity (MaRiA) and the Clermont index are quantitative activity indices validated for contrast-enhanced MRE and DW-MRE, respectively. The aim of this study was to compare the quantification of distal SB inflammation by VCE and MR-related activity indices.\nMETHODS: Patients with known quiescent SB CD were prospectively recruited and underwent MRE and VCE. LS, MaRIA and Clermont scores were calculated for the distal SB.\nRESULTS: Both MRI-based indices significantly correlated with the LS and the Clermont index (r = 0.50, p = 0.001 and r = 0.53, p = 0.001, respectively). Both MaRIA and Clermont scores were significantly lower in patients with mucosal healing (LS &lt; 135). The area under the curve (AUC) with both MR scores was moderate for prediction of any mucosal inflammation (LS </w:instrText>
      </w:r>
      <w:r w:rsidRPr="00257F02">
        <w:rPr>
          <w:rFonts w:ascii="Cambria Math" w:hAnsi="Cambria Math" w:cs="Cambria Math"/>
          <w:color w:val="000000"/>
          <w:lang w:val="en-US"/>
        </w:rPr>
        <w:instrText>⩾</w:instrText>
      </w:r>
      <w:r w:rsidRPr="00257F02">
        <w:rPr>
          <w:rFonts w:ascii="Book Antiqua" w:hAnsi="Book Antiqua"/>
          <w:color w:val="000000"/>
          <w:lang w:val="en-US"/>
        </w:rPr>
        <w:instrText xml:space="preserve"> 135) and excellent for prediction of moderate-to-severe inflammation (LS </w:instrText>
      </w:r>
      <w:r w:rsidRPr="00257F02">
        <w:rPr>
          <w:rFonts w:ascii="Cambria Math" w:hAnsi="Cambria Math" w:cs="Cambria Math"/>
          <w:color w:val="000000"/>
          <w:lang w:val="en-US"/>
        </w:rPr>
        <w:instrText>⩾</w:instrText>
      </w:r>
      <w:r w:rsidRPr="00257F02">
        <w:rPr>
          <w:rFonts w:ascii="Book Antiqua" w:hAnsi="Book Antiqua"/>
          <w:color w:val="000000"/>
          <w:lang w:val="en-US"/>
        </w:rPr>
        <w:instrText xml:space="preserve"> 790) (0.71 and 0.74 versus 0.93 and 0.91 for MaRIA and Clermont score, respectively).\nCONCLUSIONS: Modest correlation between VCE- and MRE-based quantitative indices of inflammation in patients with quiescent SB CD was observed. Between-modality correlation was higher in patients with endoscopically severe disease. DW-MRE gauged by Clermont score was at least as accurate as contrast-enhanced MRE for quantification of SB inflammation.","DOI":"10.1177/1756283X16649143","ISSN":"1756-283X","note":"PMID: 27582877\nPMCID: PMC4984327","journalAbbreviation":"Therap Adv Gastroenterol","language":"eng","author":[{"family":"Kopylov","given":"Uri"},{"family":"Klang","given":"Eyal"},{"family":"Yablecovitch","given":"Doron"},{"family":"Lahat","given":"Adi"},{"family":"Avidan","given":"Benjamin"},{"family":"Neuman","given":"Sandra"},{"family":"Levhar","given":"Nina"},{"family":"Greener","given":"Tomer"},{"family":"Rozendorn","given":"Noa"},{"family":"Beytelman","given":"Arkadi"},{"family":"Yanai","given":"Henit"},{"family":"Dotan","given":"Iris"},{"family":"Chowers","given":"Yehuda"},{"family":"Weiss","given":"Batya"},{"family":"Ben-Horin","given":"Shomron"},{"family":"Amitai","given":"Marianne M."},{"family":"Eliakim","given":"Rami"},{"literal":"Israeli IBD research Nucleus (IIRN)"}],"issued":{"date-parts":[["2016",9]]}}}],"schema":"https://github.com/citation-style-language/schema/raw/master/csl-citation.json"}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[26]</w:t>
      </w:r>
      <w:r w:rsidRPr="00257F02">
        <w:rPr>
          <w:rFonts w:ascii="Book Antiqua" w:hAnsi="Book Antiqua"/>
          <w:color w:val="000000"/>
          <w:lang w:val="en-US"/>
        </w:rPr>
        <w:fldChar w:fldCharType="end"/>
      </w:r>
      <w:r w:rsidRPr="00257F02">
        <w:rPr>
          <w:rFonts w:ascii="Book Antiqua" w:hAnsi="Book Antiqua"/>
          <w:color w:val="000000"/>
          <w:lang w:val="en-US"/>
        </w:rPr>
        <w:t>. However, the Lewis score was weakly correlated with clinical activity as measured by the Harvey Bradshaw index (</w:t>
      </w:r>
      <w:r w:rsidRPr="007345E0">
        <w:rPr>
          <w:rFonts w:ascii="Book Antiqua" w:hAnsi="Book Antiqua"/>
          <w:i/>
          <w:iCs/>
          <w:color w:val="000000"/>
          <w:lang w:val="en-US"/>
        </w:rPr>
        <w:t xml:space="preserve">r = </w:t>
      </w:r>
      <w:r w:rsidRPr="00257F02">
        <w:rPr>
          <w:rFonts w:ascii="Book Antiqua" w:hAnsi="Book Antiqua" w:cs="AdvOT6e5d2ec0"/>
          <w:lang w:val="en-US"/>
        </w:rPr>
        <w:t xml:space="preserve">0.213, </w:t>
      </w:r>
      <w:r w:rsidRPr="007345E0">
        <w:rPr>
          <w:rFonts w:ascii="Book Antiqua" w:hAnsi="Book Antiqua" w:cs="AdvOT6e5d2ec0"/>
          <w:i/>
          <w:iCs/>
          <w:lang w:val="en-US"/>
        </w:rPr>
        <w:t xml:space="preserve">P = </w:t>
      </w:r>
      <w:r w:rsidRPr="00257F02">
        <w:rPr>
          <w:rFonts w:ascii="Book Antiqua" w:hAnsi="Book Antiqua" w:cs="AdvOT6e5d2ec0"/>
          <w:lang w:val="en-US"/>
        </w:rPr>
        <w:t xml:space="preserve">0.019) and no correlation was found between </w:t>
      </w:r>
      <w:r w:rsidR="00A20785">
        <w:rPr>
          <w:rFonts w:ascii="Book Antiqua" w:hAnsi="Book Antiqua" w:cs="AdvOT6e5d2ec0"/>
          <w:lang w:val="en-US"/>
        </w:rPr>
        <w:t>CD</w:t>
      </w:r>
      <w:r w:rsidRPr="00257F02">
        <w:rPr>
          <w:rFonts w:ascii="Book Antiqua" w:hAnsi="Book Antiqua" w:cs="AdvOT6e5d2ec0"/>
          <w:lang w:val="en-US"/>
        </w:rPr>
        <w:t xml:space="preserve"> activity index (CDAI) and the CECDAI</w:t>
      </w:r>
      <w:r w:rsidRPr="00257F02">
        <w:rPr>
          <w:rFonts w:ascii="Book Antiqua" w:hAnsi="Book Antiqua" w:cs="AdvPTimesB"/>
          <w:lang w:val="en-US"/>
        </w:rPr>
        <w:fldChar w:fldCharType="begin"/>
      </w:r>
      <w:r w:rsidRPr="00257F02">
        <w:rPr>
          <w:rFonts w:ascii="Book Antiqua" w:hAnsi="Book Antiqua" w:cs="AdvPTimesB"/>
          <w:lang w:val="en-US"/>
        </w:rPr>
        <w:instrText xml:space="preserve"> ADDIN ZOTERO_ITEM CSL_CITATION {"citationID":"ENwBO38v","properties":{"formattedCitation":"\\super [23]\\nosupersub{}","plainCitation":"[23]","noteIndex":0},"citationItems":[{"id":2893,"uris":["http://zotero.org/users/3734960/items/V2MKYW4A"],"uri":["http://zotero.org/users/3734960/items/V2MKYW4A"],"itemData":{"id":2893,"type":"article-journal","title":"Validation of the Capsule Endoscopy Crohn's Disease Activity Index (CECDAI or Niv score): a multicenter prospective study","container-title":"Endoscopy","page":"21-26","volume":"44","issue":"1","source":"PubMed","abstract":"BACKGROUND AND STUDY AIMS: The Capsule Endoscopy Crohn's Disease Activity Index (CECDAI or Niv score) was devised to measure mucosal disease activity using video capsule endoscopy (VCE). The aim of the current study was to prospectively validate the use of the scoring system in daily practice.\nMETHODS: This was a multicenter, double-blind, prospective, controlled study of VCE videos from 62 consecutive patients with isolated small-bowel Crohn's disease. The CECDAI was designed to evaluate three main parameters of Crohn's disease: inflammation (A), extent of disease (B), and stricture (C), in both the proximal and distal segments of the small bowel. The final score was calculated by adding the two segmental scores: CECDAI =</w:instrText>
      </w:r>
      <w:r w:rsidRPr="00257F02">
        <w:rPr>
          <w:lang w:val="en-US"/>
        </w:rPr>
        <w:instrText> </w:instrText>
      </w:r>
      <w:r w:rsidRPr="00257F02">
        <w:rPr>
          <w:rFonts w:ascii="Book Antiqua" w:hAnsi="Book Antiqua" w:cs="AdvPTimesB"/>
          <w:lang w:val="en-US"/>
        </w:rPr>
        <w:instrText>([A1</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B1] +</w:instrText>
      </w:r>
      <w:r w:rsidRPr="00257F02">
        <w:rPr>
          <w:lang w:val="en-US"/>
        </w:rPr>
        <w:instrText> </w:instrText>
      </w:r>
      <w:r w:rsidRPr="00257F02">
        <w:rPr>
          <w:rFonts w:ascii="Book Antiqua" w:hAnsi="Book Antiqua" w:cs="AdvPTimesB"/>
          <w:lang w:val="en-US"/>
        </w:rPr>
        <w:instrText>C1) +</w:instrText>
      </w:r>
      <w:r w:rsidRPr="00257F02">
        <w:rPr>
          <w:lang w:val="en-US"/>
        </w:rPr>
        <w:instrText> </w:instrText>
      </w:r>
      <w:r w:rsidRPr="00257F02">
        <w:rPr>
          <w:rFonts w:ascii="Book Antiqua" w:hAnsi="Book Antiqua" w:cs="AdvPTimesB"/>
          <w:lang w:val="en-US"/>
        </w:rPr>
        <w:instrText>([A2</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B2] +</w:instrText>
      </w:r>
      <w:r w:rsidRPr="00257F02">
        <w:rPr>
          <w:lang w:val="en-US"/>
        </w:rPr>
        <w:instrText> </w:instrText>
      </w:r>
      <w:r w:rsidRPr="00257F02">
        <w:rPr>
          <w:rFonts w:ascii="Book Antiqua" w:hAnsi="Book Antiqua" w:cs="AdvPTimesB"/>
          <w:lang w:val="en-US"/>
        </w:rPr>
        <w:instrText>C2). Each examiner in every site interpreted 6</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10 videos and calculated the CECDAI. The de-identified CD-ROMs were then coded and sent to the principal investigator for CECDAI calculation.\nRESULTS: The cecum was reached in 72</w:instrText>
      </w:r>
      <w:r w:rsidRPr="00257F02">
        <w:rPr>
          <w:lang w:val="en-US"/>
        </w:rPr>
        <w:instrText> </w:instrText>
      </w:r>
      <w:r w:rsidRPr="00257F02">
        <w:rPr>
          <w:rFonts w:ascii="Book Antiqua" w:hAnsi="Book Antiqua" w:cs="AdvPTimesB"/>
          <w:lang w:val="en-US"/>
        </w:rPr>
        <w:instrText>% and 86</w:instrText>
      </w:r>
      <w:r w:rsidRPr="00257F02">
        <w:rPr>
          <w:lang w:val="en-US"/>
        </w:rPr>
        <w:instrText> </w:instrText>
      </w:r>
      <w:r w:rsidRPr="00257F02">
        <w:rPr>
          <w:rFonts w:ascii="Book Antiqua" w:hAnsi="Book Antiqua" w:cs="AdvPTimesB"/>
          <w:lang w:val="en-US"/>
        </w:rPr>
        <w:instrText>% of examinations, and proximal small-bowel involvement was found in 56</w:instrText>
      </w:r>
      <w:r w:rsidRPr="00257F02">
        <w:rPr>
          <w:lang w:val="en-US"/>
        </w:rPr>
        <w:instrText> </w:instrText>
      </w:r>
      <w:r w:rsidRPr="00257F02">
        <w:rPr>
          <w:rFonts w:ascii="Book Antiqua" w:hAnsi="Book Antiqua" w:cs="AdvPTimesB"/>
          <w:lang w:val="en-US"/>
        </w:rPr>
        <w:instrText>% and 62</w:instrText>
      </w:r>
      <w:r w:rsidRPr="00257F02">
        <w:rPr>
          <w:lang w:val="en-US"/>
        </w:rPr>
        <w:instrText> </w:instrText>
      </w:r>
      <w:r w:rsidRPr="00257F02">
        <w:rPr>
          <w:rFonts w:ascii="Book Antiqua" w:hAnsi="Book Antiqua" w:cs="AdvPTimesB"/>
          <w:lang w:val="en-US"/>
        </w:rPr>
        <w:instrText>% of the patients, according to the site investigators and principal investigator, respectively. Significant correlation was demonstrated between the calculation of the CECDAI by the individual site investigators and that performed by the principal investigator. Overall correlation between endoscopists from the different study centers was good, with r</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0.767 (range 0.717</w:instrText>
      </w:r>
      <w:r w:rsidRPr="00257F02">
        <w:rPr>
          <w:lang w:val="en-US"/>
        </w:rPr>
        <w:instrText> </w:instrText>
      </w:r>
      <w:r w:rsidRPr="00257F02">
        <w:rPr>
          <w:rFonts w:ascii="Book Antiqua" w:hAnsi="Book Antiqua" w:cs="AdvPTimesB"/>
          <w:lang w:val="en-US"/>
        </w:rPr>
        <w:instrText>-</w:instrText>
      </w:r>
      <w:r w:rsidRPr="00257F02">
        <w:rPr>
          <w:lang w:val="en-US"/>
        </w:rPr>
        <w:instrText> </w:instrText>
      </w:r>
      <w:r w:rsidRPr="00257F02">
        <w:rPr>
          <w:rFonts w:ascii="Book Antiqua" w:hAnsi="Book Antiqua" w:cs="AdvPTimesB"/>
          <w:lang w:val="en-US"/>
        </w:rPr>
        <w:instrText>0.985; Kappa 0.66; P</w:instrText>
      </w:r>
      <w:r w:rsidRPr="00257F02">
        <w:rPr>
          <w:lang w:val="en-US"/>
        </w:rPr>
        <w:instrText> </w:instrText>
      </w:r>
      <w:r w:rsidRPr="00257F02">
        <w:rPr>
          <w:rFonts w:ascii="Book Antiqua" w:hAnsi="Book Antiqua" w:cs="AdvPTimesB"/>
          <w:lang w:val="en-US"/>
        </w:rPr>
        <w:instrText>&lt;</w:instrText>
      </w:r>
      <w:r w:rsidRPr="00257F02">
        <w:rPr>
          <w:lang w:val="en-US"/>
        </w:rPr>
        <w:instrText> </w:instrText>
      </w:r>
      <w:r w:rsidRPr="00257F02">
        <w:rPr>
          <w:rFonts w:ascii="Book Antiqua" w:hAnsi="Book Antiqua" w:cs="AdvPTimesB"/>
          <w:lang w:val="en-US"/>
        </w:rPr>
        <w:instrText xml:space="preserve">0.001). There was no correlation between the CECDAI and the Crohn's Disease Activity Index or the Inflammatory Bowel Disease Quality of Life Questionnaire or any of their components.\nCONCLUSION: A new scoring system of mucosal injury in Crohn's disease of the small intestine, the CECDAI, was validated. Its use in controlled trials and/or regular follow-up of these patients is advocated.","DOI":"10.1055/s-0031-1291385","ISSN":"1438-8812","note":"PMID: 22125196","title-short":"Validation of the Capsule Endoscopy Crohn's Disease Activity Index (CECDAI or Niv score)","journalAbbreviation":"Endoscopy","language":"eng","author":[{"family":"Niv","given":"Y."},{"family":"Ilani","given":"S."},{"family":"Levi","given":"Z."},{"family":"Hershkowitz","given":"M."},{"family":"Niv","given":"E."},{"family":"Fireman","given":"Z."},{"family":"O'Donnel","given":"S."},{"family":"O'Morain","given":"C."},{"family":"Eliakim","given":"R."},{"family":"Scapa","given":"E."},{"family":"Kalantzis","given":"N."},{"family":"Kalantzis","given":"C."},{"family":"Apostolopoulos","given":"P."},{"family":"Gal","given":"E."}],"issued":{"date-parts":[["2012",1]]}}}],"schema":"https://github.com/citation-style-language/schema/raw/master/csl-citation.json"} </w:instrText>
      </w:r>
      <w:r w:rsidRPr="00257F02">
        <w:rPr>
          <w:rFonts w:ascii="Book Antiqua" w:hAnsi="Book Antiqua" w:cs="AdvPTimesB"/>
          <w:lang w:val="en-US"/>
        </w:rPr>
        <w:fldChar w:fldCharType="separate"/>
      </w:r>
      <w:r w:rsidRPr="00257F02">
        <w:rPr>
          <w:rFonts w:ascii="Book Antiqua" w:hAnsi="Book Antiqua"/>
          <w:vertAlign w:val="superscript"/>
          <w:lang w:val="en-US"/>
        </w:rPr>
        <w:t>[23]</w:t>
      </w:r>
      <w:r w:rsidRPr="00257F02">
        <w:rPr>
          <w:rFonts w:ascii="Book Antiqua" w:hAnsi="Book Antiqua" w:cs="AdvPTimesB"/>
          <w:lang w:val="en-US"/>
        </w:rPr>
        <w:fldChar w:fldCharType="end"/>
      </w:r>
      <w:r w:rsidRPr="00257F02">
        <w:rPr>
          <w:rFonts w:ascii="Book Antiqua" w:hAnsi="Book Antiqua" w:cs="AdvOT6e5d2ec0"/>
          <w:lang w:val="en-US"/>
        </w:rPr>
        <w:t>. The Lewis score moderately correlated with C-reactive protein (</w:t>
      </w:r>
      <w:r w:rsidRPr="007345E0">
        <w:rPr>
          <w:rFonts w:ascii="Book Antiqua" w:hAnsi="Book Antiqua" w:cs="AdvOT1deab444.I"/>
          <w:i/>
          <w:iCs/>
          <w:lang w:val="en-US"/>
        </w:rPr>
        <w:t xml:space="preserve">r = </w:t>
      </w:r>
      <w:r w:rsidRPr="00257F02">
        <w:rPr>
          <w:rFonts w:ascii="Book Antiqua" w:hAnsi="Book Antiqua" w:cs="AdvOT6e5d2ec0"/>
          <w:lang w:val="en-US"/>
        </w:rPr>
        <w:t xml:space="preserve">0.326, </w:t>
      </w:r>
      <w:r w:rsidRPr="007345E0">
        <w:rPr>
          <w:rFonts w:ascii="Book Antiqua" w:hAnsi="Book Antiqua" w:cs="AdvOT6e5d2ec0"/>
          <w:i/>
          <w:iCs/>
          <w:lang w:val="en-US"/>
        </w:rPr>
        <w:t xml:space="preserve">P &lt; </w:t>
      </w:r>
      <w:r w:rsidRPr="00257F02">
        <w:rPr>
          <w:rFonts w:ascii="Book Antiqua" w:hAnsi="Book Antiqua" w:cs="AdvP4C4E51"/>
          <w:lang w:val="en-US"/>
        </w:rPr>
        <w:t>0</w:t>
      </w:r>
      <w:r w:rsidRPr="00257F02">
        <w:rPr>
          <w:rFonts w:ascii="Book Antiqua" w:hAnsi="Book Antiqua" w:cs="AdvOT6e5d2ec0"/>
          <w:lang w:val="en-US"/>
        </w:rPr>
        <w:t>.001)</w:t>
      </w:r>
      <w:r w:rsidRPr="00257F02">
        <w:rPr>
          <w:rFonts w:ascii="Book Antiqua" w:hAnsi="Book Antiqua" w:cs="AdvOT6e5d2ec0"/>
          <w:lang w:val="en-US"/>
        </w:rPr>
        <w:fldChar w:fldCharType="begin"/>
      </w:r>
      <w:r w:rsidRPr="00257F02">
        <w:rPr>
          <w:rFonts w:ascii="Book Antiqua" w:hAnsi="Book Antiqua" w:cs="AdvOT6e5d2ec0"/>
          <w:lang w:val="en-US"/>
        </w:rPr>
        <w:instrText xml:space="preserve"> ADDIN ZOTERO_ITEM CSL_CITATION {"citationID":"OkIl7bNZ","properties":{"formattedCitation":"\\super [27]\\nosupersub{}","plainCitation":"[27]","noteIndex":0},"citationItems":[{"id":2644,"uris":["http://zotero.org/users/3734960/items/STTWC3F2"],"uri":["http://zotero.org/users/3734960/items/STTWC3F2"],"itemData":{"id":2644,"type":"article-journal","title":"Relationships of capsule endoscopy Lewis score with clinical disease activity indices, C-reactive protein, and small bowel transit time in pediatric and adult patients with small bowel Crohn's disease","container-title":"Medicine","page":"e7780","volume":"96","issue":"33","source":"PubMed","abstract":"Relationships between the capsule endoscopy Lewis score (LS) and clinical disease activity indices and C-reactive protein (CRP) are controversial in adult patients with Crohn's disease (CD). Also, data on pediatric patients are relatively less. However, correlation between LS and small bowel transit time (SBTT) remains investigational. The aim of the present study was to explore the correlations between LS and clinical disease activity indices, CRP, SBTT in pediatric, and adult patients with small bowel CD.Retrospective, single-center study on consecutive inpatients with established small bowel CD was conducted. The clinical disease activity index was determined using the abbreviated Pediatric Crohn's Disease Activity Index (aPCDAI) in patients aged &lt;18 years and the Harvey-Bradshaw Simple Index (HBI) in adults. Spearman's rank correlation coefficient was used to assess the correlations of LS with aPCDAI, HBI, CRP, and SBTT, respectively.150 patients were enrolled (30 children and adolescents). In pediatric patients, correlations between LS and aPCDAI, CRP were moderate (r1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0.413; r2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0.379; P1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.023; P2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.044). There was no correlation between LS and SBTT (r</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-0.029; P</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.88). In adults, weak correlations were found between LS and HBI, SBTT (r1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0.213; r2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0.237; P1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.019; P2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.009). Correlation between LS and CRP was moderate (r</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0.326; P</w:instrText>
      </w:r>
      <w:r w:rsidRPr="00257F02">
        <w:rPr>
          <w:lang w:val="en-US"/>
        </w:rPr>
        <w:instrText> </w:instrText>
      </w:r>
      <w:r w:rsidRPr="00257F02">
        <w:rPr>
          <w:rFonts w:ascii="Book Antiqua" w:hAnsi="Book Antiqua" w:cs="AdvOT6e5d2ec0"/>
          <w:lang w:val="en-US"/>
        </w:rPr>
        <w:instrText>&lt;</w:instrText>
      </w:r>
      <w:r w:rsidRPr="00257F02">
        <w:rPr>
          <w:lang w:val="en-US"/>
        </w:rPr>
        <w:instrText> </w:instrText>
      </w:r>
      <w:r w:rsidRPr="00257F02">
        <w:rPr>
          <w:rFonts w:ascii="Book Antiqua" w:hAnsi="Book Antiqua" w:cs="AdvOT6e5d2ec0"/>
          <w:lang w:val="en-US"/>
        </w:rPr>
        <w:instrText>.001). Strong correlations were found between CRP and HBI, aPCDAI (r1</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0.522; r2</w:instrText>
      </w:r>
      <w:r w:rsidRPr="00257F02">
        <w:rPr>
          <w:lang w:val="en-US"/>
        </w:rPr>
        <w:instrText> </w:instrText>
      </w:r>
      <w:r w:rsidRPr="00257F02">
        <w:rPr>
          <w:rFonts w:ascii="Book Antiqua" w:hAnsi="Book Antiqua" w:cs="AdvOT6e5d2ec0"/>
          <w:lang w:val="en-US"/>
        </w:rPr>
        <w:instrText>=</w:instrText>
      </w:r>
      <w:r w:rsidRPr="00257F02">
        <w:rPr>
          <w:lang w:val="en-US"/>
        </w:rPr>
        <w:instrText> </w:instrText>
      </w:r>
      <w:r w:rsidRPr="00257F02">
        <w:rPr>
          <w:rFonts w:ascii="Book Antiqua" w:hAnsi="Book Antiqua" w:cs="AdvOT6e5d2ec0"/>
          <w:lang w:val="en-US"/>
        </w:rPr>
        <w:instrText>0.650; P</w:instrText>
      </w:r>
      <w:r w:rsidRPr="00257F02">
        <w:rPr>
          <w:lang w:val="en-US"/>
        </w:rPr>
        <w:instrText> </w:instrText>
      </w:r>
      <w:r w:rsidRPr="00257F02">
        <w:rPr>
          <w:rFonts w:ascii="Book Antiqua" w:hAnsi="Book Antiqua" w:cs="AdvOT6e5d2ec0"/>
          <w:lang w:val="en-US"/>
        </w:rPr>
        <w:instrText>&lt;</w:instrText>
      </w:r>
      <w:r w:rsidRPr="00257F02">
        <w:rPr>
          <w:lang w:val="en-US"/>
        </w:rPr>
        <w:instrText> </w:instrText>
      </w:r>
      <w:r w:rsidRPr="00257F02">
        <w:rPr>
          <w:rFonts w:ascii="Book Antiqua" w:hAnsi="Book Antiqua" w:cs="AdvOT6e5d2ec0"/>
          <w:lang w:val="en-US"/>
        </w:rPr>
        <w:instrText xml:space="preserve">.001). The follow-up patients were all in clinical remission after treatment within 4 months, whereas only a minority reached mucosal healing. HBI, aPCDAI, CRP, and LS in all patients were reduced after treatment, whereas difference in CRP in pediatric patients and difference in LS in adults between baseline and follow-up were not found to be statistically significant. Also, the average SBTT at baseline was not found to be different from that at follow-up in all patients.The role of capsule endoscopy should be emphasized both in pediatric and adult patients with small bowel CD. Furthermore, the small bowel transit time may not be affected by the grade of small intestinal inflammation.","DOI":"10.1097/MD.0000000000007780","ISSN":"1536-5964","note":"PMID: 28816962\nPMCID: PMC5571699","journalAbbreviation":"Medicine (Baltimore)","language":"eng","author":[{"family":"He","given":"Chengcheng"},{"family":"Zhang","given":"Jie"},{"family":"Chen","given":"Zhenyu"},{"family":"Feng","given":"Xicheng"},{"family":"Luo","given":"Zibin"},{"family":"Wan","given":"Tianmo"},{"family":"Li","given":"Aimin"},{"family":"Liu","given":"Side"},{"family":"Ren","given":"Yuexin"}],"issued":{"date-parts":[["2017",8]]}}}],"schema":"https://github.com/citation-style-language/schema/raw/master/csl-citation.json"} </w:instrText>
      </w:r>
      <w:r w:rsidRPr="00257F02">
        <w:rPr>
          <w:rFonts w:ascii="Book Antiqua" w:hAnsi="Book Antiqua" w:cs="AdvOT6e5d2ec0"/>
          <w:lang w:val="en-US"/>
        </w:rPr>
        <w:fldChar w:fldCharType="separate"/>
      </w:r>
      <w:r w:rsidRPr="00257F02">
        <w:rPr>
          <w:rFonts w:ascii="Book Antiqua" w:hAnsi="Book Antiqua"/>
          <w:vertAlign w:val="superscript"/>
          <w:lang w:val="en-US"/>
        </w:rPr>
        <w:t>[27]</w:t>
      </w:r>
      <w:r w:rsidRPr="00257F02">
        <w:rPr>
          <w:rFonts w:ascii="Book Antiqua" w:hAnsi="Book Antiqua" w:cs="AdvOT6e5d2ec0"/>
          <w:lang w:val="en-US"/>
        </w:rPr>
        <w:fldChar w:fldCharType="end"/>
      </w:r>
      <w:r w:rsidRPr="00257F02">
        <w:rPr>
          <w:rFonts w:ascii="Book Antiqua" w:hAnsi="Book Antiqua" w:cs="AdvOT6e5d2ec0"/>
          <w:lang w:val="en-US"/>
        </w:rPr>
        <w:t>, and a</w:t>
      </w:r>
      <w:r w:rsidRPr="00257F02">
        <w:rPr>
          <w:rFonts w:ascii="Book Antiqua" w:hAnsi="Book Antiqua" w:cs="DIN-Regular"/>
          <w:lang w:val="en-US"/>
        </w:rPr>
        <w:t xml:space="preserve"> moderate correlation was demonstrated between SBCE scores and fecal calprotectin (</w:t>
      </w:r>
      <w:r w:rsidRPr="007345E0">
        <w:rPr>
          <w:rFonts w:ascii="Book Antiqua" w:hAnsi="Book Antiqua" w:cs="DIN-RegularItalic"/>
          <w:i/>
          <w:iCs/>
          <w:lang w:val="en-US"/>
        </w:rPr>
        <w:t xml:space="preserve">r = </w:t>
      </w:r>
      <w:r w:rsidRPr="00257F02">
        <w:rPr>
          <w:rFonts w:ascii="Book Antiqua" w:hAnsi="Book Antiqua" w:cs="DIN-Regular"/>
          <w:lang w:val="en-US"/>
        </w:rPr>
        <w:t xml:space="preserve">0.48, </w:t>
      </w:r>
      <w:r w:rsidRPr="007345E0">
        <w:rPr>
          <w:rFonts w:ascii="Book Antiqua" w:hAnsi="Book Antiqua" w:cs="DIN-RegularItalic"/>
          <w:i/>
          <w:iCs/>
          <w:lang w:val="en-US"/>
        </w:rPr>
        <w:t xml:space="preserve">P = </w:t>
      </w:r>
      <w:r w:rsidRPr="00257F02">
        <w:rPr>
          <w:rFonts w:ascii="Book Antiqua" w:hAnsi="Book Antiqua" w:cs="DIN-Regular"/>
          <w:lang w:val="en-US"/>
        </w:rPr>
        <w:t xml:space="preserve">0.001 for Lewis score, and </w:t>
      </w:r>
      <w:r w:rsidRPr="007345E0">
        <w:rPr>
          <w:rFonts w:ascii="Book Antiqua" w:hAnsi="Book Antiqua" w:cs="DIN-RegularItalic"/>
          <w:i/>
          <w:iCs/>
          <w:lang w:val="en-US"/>
        </w:rPr>
        <w:t xml:space="preserve">r = </w:t>
      </w:r>
      <w:r w:rsidRPr="00257F02">
        <w:rPr>
          <w:rFonts w:ascii="Book Antiqua" w:hAnsi="Book Antiqua" w:cs="DIN-Regular"/>
          <w:lang w:val="en-US"/>
        </w:rPr>
        <w:t xml:space="preserve">0.53, </w:t>
      </w:r>
      <w:r w:rsidRPr="007345E0">
        <w:rPr>
          <w:rFonts w:ascii="Book Antiqua" w:hAnsi="Book Antiqua" w:cs="DIN-RegularItalic"/>
          <w:i/>
          <w:iCs/>
          <w:lang w:val="en-US"/>
        </w:rPr>
        <w:t xml:space="preserve">P = </w:t>
      </w:r>
      <w:r w:rsidRPr="00257F02">
        <w:rPr>
          <w:rFonts w:ascii="Book Antiqua" w:hAnsi="Book Antiqua" w:cs="DIN-Regular"/>
          <w:lang w:val="en-US"/>
        </w:rPr>
        <w:t>0.001 for CECDAI)</w:t>
      </w:r>
      <w:r w:rsidRPr="00257F02">
        <w:rPr>
          <w:rFonts w:ascii="Book Antiqua" w:hAnsi="Book Antiqua" w:cs="DIN-Regular"/>
          <w:lang w:val="en-US"/>
        </w:rPr>
        <w:fldChar w:fldCharType="begin"/>
      </w:r>
      <w:r w:rsidRPr="00257F02">
        <w:rPr>
          <w:rFonts w:ascii="Book Antiqua" w:hAnsi="Book Antiqua" w:cs="DIN-Regular"/>
          <w:lang w:val="en-US"/>
        </w:rPr>
        <w:instrText xml:space="preserve"> ADDIN ZOTERO_ITEM CSL_CITATION {"citationID":"RKZZyOy8","properties":{"formattedCitation":"\\super [25]\\nosupersub{}","plainCitation":"[25]","noteIndex":0},"citationItems":[{"id":2642,"uris":["http://zotero.org/users/3734960/items/R7A64SIY"],"uri":["http://zotero.org/users/3734960/items/R7A64SIY"],"itemData":{"id":2642,"type":"article-journal","title":"The Lewis score or the capsule endoscopy Crohn's disease activity index: which one is better for the assessment of small bowel inflammation in established Crohn's disease?","container-title":"Therapeutic Advances in Gastroenterology","page":"1756283X17747780","volume":"11","source":"PubMed","abstract":"Background: Small-bowel capsule endoscopy (CE) is a prime modality for evaluation of the small bowel. The Lewis score (LS) and the Capsule Endoscopy Crohn's Disease Activity Index (CECDAI) are validated endoscopic indices for quantification of small-bowel inflammation on CE. It is unclear whether these indexes are interchangeable for the evaluation of mucosal inflammation in established Crohn's disease (CD). The aim of this study was to compare the quantitative evaluation of small- bowel inflammation by LS and CECDAI.\nMethods: Patients with known quiescent small-bowel CD for at least 3 months (Crohn's disease activity index &lt; 150) were prospectively recruited and underwent CE. The LS was calculated using RAPID 8 capsule-reading software and the CECDAI was calculated manually. Cumulative LS (C-LS) was calculated by summation of individual tertile LS. Fecal calprotectin (FCP) and C-reactive protein (CRP) levels were measured and correlated with the scores.\nResults: A total of 50 patients were included in the study. There was a moderate correlation between the worst segment LS and CECDAI (Pearson's r = 0.66, p = 0.001), and a strong correlation between C-LS and CECDAI (r = 0.81, p = 0.0001). CECDAI &lt; 5.4 corresponded to mucosal healing (LS &lt; 135), while CECDAI &gt; 9.2 corresponded to moderate-to-severe inflammation (LS </w:instrText>
      </w:r>
      <w:r w:rsidRPr="00257F02">
        <w:rPr>
          <w:rFonts w:ascii="Cambria Math" w:hAnsi="Cambria Math" w:cs="Cambria Math"/>
          <w:lang w:val="en-US"/>
        </w:rPr>
        <w:instrText>⩾</w:instrText>
      </w:r>
      <w:r w:rsidRPr="00257F02">
        <w:rPr>
          <w:rFonts w:ascii="Book Antiqua" w:hAnsi="Book Antiqua" w:cs="DIN-Regular"/>
          <w:lang w:val="en-US"/>
        </w:rPr>
        <w:instrText xml:space="preserve"> 790). There was a moderate correlation between capsule scores and FCP levels (r = 0.39, p = 0.002 for LS, r = 0.48, p = 0.001 for C-LS, and r = 0.53, p = 0.001 for CECDAI, respectively). CRP levels were not significantly correlated with either score.\nConclusions: CECDAI and C-LS are strongly correlated and perform similarly for quantitative assessment of mucosal inflammation in established CD.","DOI":"10.1177/1756283X17747780","ISSN":"1756-283X","note":"PMID: 29399042\nPMCID: PMC5788095","title-short":"The Lewis score or the capsule endoscopy Crohn's disease activity index","journalAbbreviation":"Therap Adv Gastroenterol","language":"eng","author":[{"family":"Yablecovitch","given":"Doron"},{"family":"Lahat","given":"Adi"},{"family":"Neuman","given":"Sandra"},{"family":"Levhar","given":"Nina"},{"family":"Avidan","given":"Benjamin"},{"family":"Ben-Horin","given":"Shomron"},{"family":"Eliakim","given":"Rami"},{"family":"Kopylov","given":"Uri"}],"issued":{"date-parts":[["2018"]]}}}],"schema":"https://github.com/citation-style-language/schema/raw/master/csl-citation.json"} </w:instrText>
      </w:r>
      <w:r w:rsidRPr="00257F02">
        <w:rPr>
          <w:rFonts w:ascii="Book Antiqua" w:hAnsi="Book Antiqua" w:cs="DIN-Regular"/>
          <w:lang w:val="en-US"/>
        </w:rPr>
        <w:fldChar w:fldCharType="separate"/>
      </w:r>
      <w:r w:rsidRPr="00257F02">
        <w:rPr>
          <w:rFonts w:ascii="Book Antiqua" w:hAnsi="Book Antiqua"/>
          <w:vertAlign w:val="superscript"/>
          <w:lang w:val="en-US"/>
        </w:rPr>
        <w:t>[25]</w:t>
      </w:r>
      <w:r w:rsidRPr="00257F02">
        <w:rPr>
          <w:rFonts w:ascii="Book Antiqua" w:hAnsi="Book Antiqua" w:cs="DIN-Regular"/>
          <w:lang w:val="en-US"/>
        </w:rPr>
        <w:fldChar w:fldCharType="end"/>
      </w:r>
      <w:r w:rsidRPr="00257F02">
        <w:rPr>
          <w:rFonts w:ascii="Book Antiqua" w:hAnsi="Book Antiqua" w:cs="DIN-Regular"/>
          <w:lang w:val="en-US"/>
        </w:rPr>
        <w:t>.</w:t>
      </w:r>
      <w:r w:rsidRPr="00257F02">
        <w:rPr>
          <w:rFonts w:ascii="Book Antiqua" w:hAnsi="Book Antiqua" w:cs="DIN-Regular"/>
          <w:sz w:val="20"/>
          <w:szCs w:val="20"/>
          <w:lang w:val="en-US"/>
        </w:rPr>
        <w:t xml:space="preserve"> </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 xml:space="preserve">Disease reclassification and prognosis </w:t>
      </w:r>
      <w:r w:rsidRPr="00257F02">
        <w:rPr>
          <w:rFonts w:ascii="Book Antiqua" w:hAnsi="Book Antiqua" w:cs="AdvOTdc5ff126"/>
          <w:b/>
          <w:i/>
          <w:lang w:val="en-US"/>
        </w:rPr>
        <w:t>(22 studies)</w:t>
      </w:r>
    </w:p>
    <w:p w:rsidR="001D4918" w:rsidRPr="00257F02" w:rsidRDefault="001D4918" w:rsidP="007742D4">
      <w:pPr>
        <w:autoSpaceDE w:val="0"/>
        <w:autoSpaceDN w:val="0"/>
        <w:adjustRightInd w:val="0"/>
        <w:spacing w:line="360" w:lineRule="auto"/>
        <w:jc w:val="both"/>
        <w:rPr>
          <w:rFonts w:ascii="Book Antiqua" w:hAnsi="Book Antiqua" w:cs="GulliverRM"/>
          <w:color w:val="000000"/>
          <w:lang w:val="en-US"/>
        </w:rPr>
      </w:pPr>
      <w:r w:rsidRPr="00257F02">
        <w:rPr>
          <w:rFonts w:ascii="Book Antiqua" w:hAnsi="Book Antiqua" w:cs="GulliverRM"/>
          <w:color w:val="000000"/>
          <w:lang w:val="en-US"/>
        </w:rPr>
        <w:t xml:space="preserve">Table 1 describes the key </w:t>
      </w:r>
      <w:r w:rsidRPr="00257F02">
        <w:rPr>
          <w:rFonts w:ascii="Book Antiqua" w:hAnsi="Book Antiqua"/>
          <w:lang w:val="en-US"/>
        </w:rPr>
        <w:t xml:space="preserve">studies that show the potential impact of SBCE on disease reclassification of patients suspected or diagnosed with IBD, and gives an overview of the subsequent therapeutic management. Most of those studies focused on reclassifying the CD location by assessing SB in patients with known or suspected CD. All showed positive SBCE findings, including jejunal lesions that had not previously been visualized using conventional endoscopy or imaging. All of the studies that compared SBCE to other diagnostic modalities showed a significant incremental diagnostic yield of SBCE. Compared to push </w:t>
      </w:r>
      <w:proofErr w:type="spellStart"/>
      <w:r w:rsidRPr="00257F02">
        <w:rPr>
          <w:rFonts w:ascii="Book Antiqua" w:hAnsi="Book Antiqua"/>
          <w:lang w:val="en-US"/>
        </w:rPr>
        <w:t>enteroscopy</w:t>
      </w:r>
      <w:proofErr w:type="spellEnd"/>
      <w:r w:rsidRPr="00257F02">
        <w:rPr>
          <w:rFonts w:ascii="Book Antiqua" w:hAnsi="Book Antiqua"/>
          <w:lang w:val="en-US"/>
        </w:rPr>
        <w:t>, SBCE had an incremental diagnostic yield of 63.6% in patients with known CD, although the difference was not significant in patients with suspected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{"citationID":"iDhumJSQ","properties":{"formattedCitation":"\\super [28]\\nosupersub{}","plainCitation":"[28]","noteIndex":0},"citationItems":[{"id":2654,"uris":["http://zotero.org/users/3734960/items/D5SYSNDE"],"uri":["http://zotero.org/users/3734960/items/D5SYSNDE"],"itemData":{"id":2654,"type":"article-journal","title":"Capsule endoscopy vs. push enteroscopy and enteroclysis in suspected small-bowel Crohn's disease","container-title":"Gastrointestinal Endoscopy","page":"255-261","volume":"61","issue":"2","source":"PubMed","abstract":"BACKGROUND: The diagnosis of small-bowel Crohn's disease sometimes is difficult and may be missed by conventional imaging studies. Capsule endoscopy might identify small-bowel disease undetected by other investigations.\nMETHODS: Patients with or without known Crohn's disease who were suspected to have small-bowel Crohn's disease were prospectively evaluated with push enteroscopy, enteroclysis, and capsule endoscopy. Each examiner was blinded to results of other investigations. Referring doctors were required to complete questionnaires before and after the investigations.\nRESULTS: Twenty-two patients were known to have Crohn's disease (Group 1), and 21 were suspected to have small-bowel Crohn's disease (Group 2). In Group 1, capsule endoscopy detected more erosions than the other two investigations (p &lt; 0.001). In Group 2, a new diagnosis of Crohn's disease was made in two patients, but there was no significant difference in yield compared with the other two investigations. Referring physicians rated the usefulness of capsule endoscopy as 4.4 on a scale of 5. Capsule endoscopy changed management for 30 patients (70%).\nCONCLUSIONS: Capsule endoscopy has a higher yield than push enteroscopy and enteroclysis in patients with known Crohn's disease when small-bowel mucosal disease is suspected, and this leads to a change in management in the majority of these patients.","ISSN":"0016-5107","note":"PMID: 15729235","journalAbbreviation":"Gastrointest. Endosc.","language":"eng","author":[{"family":"Chong","given":"André Kheng Ho"},{"family":"Taylor","given":"Andrew"},{"family":"Miller","given":"Ashley"},{"family":"Hennessy","given":"Oliver"},{"family":"Connell","given":"William"},{"family":"Desmond","given":"Paul"}],"issued":{"date-parts":[["2005",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[28]</w:t>
      </w:r>
      <w:r w:rsidRPr="00257F02">
        <w:rPr>
          <w:rFonts w:ascii="Book Antiqua" w:hAnsi="Book Antiqua"/>
          <w:lang w:val="en-US"/>
        </w:rPr>
        <w:fldChar w:fldCharType="end"/>
      </w:r>
      <w:r w:rsidRPr="00257F02">
        <w:rPr>
          <w:rFonts w:ascii="Book Antiqua" w:hAnsi="Book Antiqua"/>
          <w:lang w:val="en-US"/>
        </w:rPr>
        <w:t xml:space="preserve">. Two studies compared the diagnostic </w:t>
      </w:r>
      <w:r w:rsidRPr="00257F02">
        <w:rPr>
          <w:rFonts w:ascii="Book Antiqua" w:hAnsi="Book Antiqua"/>
          <w:lang w:val="en-US"/>
        </w:rPr>
        <w:lastRenderedPageBreak/>
        <w:t xml:space="preserve">yield of SBCE to that of </w:t>
      </w:r>
      <w:proofErr w:type="spellStart"/>
      <w:r w:rsidRPr="00257F02">
        <w:rPr>
          <w:rFonts w:ascii="Book Antiqua" w:hAnsi="Book Antiqua"/>
          <w:lang w:val="en-US"/>
        </w:rPr>
        <w:t>enteroclysis</w:t>
      </w:r>
      <w:proofErr w:type="spellEnd"/>
      <w:r w:rsidRPr="00257F02">
        <w:rPr>
          <w:rFonts w:ascii="Book Antiqua" w:hAnsi="Book Antiqua"/>
          <w:lang w:val="en-US"/>
        </w:rPr>
        <w:t>, and both demonstrated a significant incremental diagnostic yield of 62.0%</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{"citationID":"CwvvkvuD","properties":{"formattedCitation":"\\super [28]\\nosupersub{}","plainCitation":"[28]","noteIndex":0},"citationItems":[{"id":2654,"uris":["http://zotero.org/users/3734960/items/D5SYSNDE"],"uri":["http://zotero.org/users/3734960/items/D5SYSNDE"],"itemData":{"id":2654,"type":"article-journal","title":"Capsule endoscopy vs. push enteroscopy and enteroclysis in suspected small-bowel Crohn's disease","container-title":"Gastrointestinal Endoscopy","page":"255-261","volume":"61","issue":"2","source":"PubMed","abstract":"BACKGROUND: The diagnosis of small-bowel Crohn's disease sometimes is difficult and may be missed by conventional imaging studies. Capsule endoscopy might identify small-bowel disease undetected by other investigations.\nMETHODS: Patients with or without known Crohn's disease who were suspected to have small-bowel Crohn's disease were prospectively evaluated with push enteroscopy, enteroclysis, and capsule endoscopy. Each examiner was blinded to results of other investigations. Referring doctors were required to complete questionnaires before and after the investigations.\nRESULTS: Twenty-two patients were known to have Crohn's disease (Group 1), and 21 were suspected to have small-bowel Crohn's disease (Group 2). In Group 1, capsule endoscopy detected more erosions than the other two investigations (p &lt; 0.001). In Group 2, a new diagnosis of Crohn's disease was made in two patients, but there was no significant difference in yield compared with the other two investigations. Referring physicians rated the usefulness of capsule endoscopy as 4.4 on a scale of 5. Capsule endoscopy changed management for 30 patients (70%).\nCONCLUSIONS: Capsule endoscopy has a higher yield than push enteroscopy and enteroclysis in patients with known Crohn's disease when small-bowel mucosal disease is suspected, and this leads to a change in management in the majority of these patients.","ISSN":"0016-5107","note":"PMID: 15729235","journalAbbreviation":"Gastrointest. Endosc.","language":"eng","author":[{"family":"Chong","given":"André Kheng Ho"},{"family":"Taylor","given":"Andrew"},{"family":"Miller","given":"Ashley"},{"family":"Hennessy","given":"Oliver"},{"family":"Connell","given":"William"},{"family":"Desmond","given":"Paul"}],"issued":{"date-parts":[["2005",2]]}},"locator":"20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[28]</w:t>
      </w:r>
      <w:r w:rsidRPr="00257F02">
        <w:rPr>
          <w:rFonts w:ascii="Book Antiqua" w:hAnsi="Book Antiqua"/>
          <w:lang w:val="en-US"/>
        </w:rPr>
        <w:fldChar w:fldCharType="end"/>
      </w:r>
      <w:r w:rsidRPr="00257F02">
        <w:rPr>
          <w:rFonts w:ascii="Book Antiqua" w:hAnsi="Book Antiqua"/>
          <w:lang w:val="en-US"/>
        </w:rPr>
        <w:t xml:space="preserve"> and 33.4%</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{"citationID":"utSB0tSE","properties":{"formattedCitation":"\\super [29]\\nosupersub{}","plainCitation":"[29]","noteIndex":0},"citationItems":[{"id":2687,"uris":["http://zotero.org/users/3734960/items/WSJSJ79R"],"uri":["http://zotero.org/users/3734960/items/WSJSJ79R"],"itemData":{"id":2687,"type":"article-journal","title":"Wireless capsule endoscopy versus enteroclysis in the diagnosis of small-bowel Crohn's disease","container-title":"European Journal of Gastroenterology &amp; Hepatology","page":"866-871","volume":"21","issue":"8","source":"PubMed","abstract":"OBJECTIVES: The aim of this study was to prospectively compare the diagnostic yield of wireless capsule endoscopy (WCE) and enteroclysis in the detection of Crohn's disease (CD) of the small bowel.\nMETHODS: Twenty-nine patients with known CD (group 1) suspected to have more extensive small-bowel involvement and 26 patients, who were suspected to suffer from CD but did not have an earlier history of it (group 2) were prospectively evaluated with enteroclysis and WCE. Each examiner was blinded to the results of other investigations.\nRESULTS: Enteroclysis was unsuccessful in two patients from group 1 8 and six patients from group 2, respectively. In group 1, abnormal findings consistent with CD were detected in 20 patients by using WCE and in 11 patients by using enteroclysis, out of the total 27, at per-protocol analysis (74.1 vs. 40.7%, P&lt;0.05). Of the 11 patients who had ileal CD on enteroclysis, three had more extensive small-bowel disease, which was detected only by WCE. In group 2, WCE showed findings consistent with CD in 13 of 20 patients, in contrast with enteroclysis, which was positive for CD in only six of 20 patients (65 vs. 30%, P&lt;0.05). Three more patients had findings compatible with CD on WCE, but they failed their enteroclysis. Overall, a new diagnosis of CD was made in 16 patients.\nCONCLUSION: WCE has a higher diagnostic yield than enteroclysis in the detection of CD of the small bowel, both in patients with known and newly suspected CD.","DOI":"10.1097/MEG.0b013e32831af1ec","ISSN":"1473-5687","note":"PMID: 19417679","journalAbbreviation":"Eur J Gastroenterol Hepatol","language":"eng","author":[{"family":"Efthymiou","given":"Alkiviadis"},{"family":"Viazis","given":"Nikos"},{"family":"Vlachogiannakos","given":"Jiannis"},{"family":"Georgiadis","given":"Dimosthenis"},{"family":"Kalogeropoulos","given":"Ioannis"},{"family":"Mantzaris","given":"Gerassimos"},{"family":"Karamanolis","given":"Dimitrios G."}],"issued":{"date-parts":[["2009",8]]}}}],"schema":"https://github.com/citation-style-language/schema/raw/master/csl-citation.json"}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[29]</w:t>
      </w:r>
      <w:r w:rsidRPr="00257F02">
        <w:rPr>
          <w:rFonts w:ascii="Book Antiqua" w:hAnsi="Book Antiqua"/>
          <w:lang w:val="en-US"/>
        </w:rPr>
        <w:fldChar w:fldCharType="end"/>
      </w:r>
      <w:r w:rsidRPr="00257F02">
        <w:rPr>
          <w:rFonts w:ascii="Book Antiqua" w:hAnsi="Book Antiqua"/>
          <w:lang w:val="en-US"/>
        </w:rPr>
        <w:t xml:space="preserve"> in patients with known CD. In patients with suspected CD and negative </w:t>
      </w:r>
      <w:proofErr w:type="spellStart"/>
      <w:r w:rsidRPr="00257F02">
        <w:rPr>
          <w:rFonts w:ascii="Book Antiqua" w:hAnsi="Book Antiqua"/>
          <w:lang w:val="en-US"/>
        </w:rPr>
        <w:t>ileocolonoscopy</w:t>
      </w:r>
      <w:proofErr w:type="spellEnd"/>
      <w:r w:rsidRPr="00257F02">
        <w:rPr>
          <w:rFonts w:ascii="Book Antiqua" w:hAnsi="Book Antiqua"/>
          <w:lang w:val="en-US"/>
        </w:rPr>
        <w:t>, an intestinal ultrasound and SBCE had a similar diagnostic yield (38%)</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{"citationID":"ppSxE4Ov","properties":{"formattedCitation":"\\super [30]\\nosupersub{}","plainCitation":"[30]","noteIndex":0},"citationItems":[{"id":2875,"uris":["http://zotero.org/users/3734960/items/L4THPT2U"],"uri":["http://zotero.org/users/3734960/items/L4THPT2U"],"itemData":{"id":2875,"type":"article-journal","title":"The accuracy of intestinal ultrasound compared with small bowel capsule endoscopy in assessment of suspected Crohn’s disease in patients with negative ileocolonoscopy","container-title":"Therapeutic Advances in Gastroenterology","page":"175628481876590","volume":"11","source":"Crossref","abstract":"Background: Small bowel involvement in Crohn’s disease (CD) is frequently proximal to the ileocecal valve and inaccessible by conventional ileocolonoscopy (IC). Small bowel capsule endoscopy (SBCE) is among the prime modalities for assessment of small bowel disease in these patients. Intestinal ultrasound (IUS) is an accurate bedside fast and low-cost diagnostic modality utilized in CD for both diagnosis and monitoring. The aim of this study was to examine the accuracy of IUS in patients with suspected CD after a negative IC, and to evaluate the correlation of IUS with SBCE, inflammatory biomarkers and other cross-sectional imaging techniques.\nMethods: Prospective single center study in which patients with suspected CD underwent IUS and SBCE examinations within 3 days. IUS results were blindly compared with SBCE that served as the gold standard. A post hoc comparison was performed of IUS and SBCE results and available cross-sectional imaging results (computed tomography or magnetic resonance enterography) as well as inflammatory biomarkers if measured. The study cohort was followed for 1 year. In case of discordance between the IUS and SBCE results, the diagnosis at 1 year was reported.\nResults: Fifty patients were included in the study. The diagnostic yield of both IUS and SBCE for the diagnosis of small bowel CD was 38%. The IUS findings significantly correlated to small bowel inflammation detected by SBCE (r = 0.532, p &lt; 0.001), with fair sensitivity and specificity (72% and 84%). Cross-sectional imaging results significantly correlated to IUS as well (r = 0.46, p = 0.018). Follow up was available in 8 of the 10 cases of discordance between IUS and SBCE. In all of these cases, diagnosis of CD was not fully established at the end of the follow up.\nConclusions: The diagnostic yield of CE and IUS for detection of CD in patients with negative ileocolonoscopy was similar. IUS can be a useful diagnostic tool in suspected CD when IC is negative.","DOI":"10.1177/1756284818765908","ISSN":"1756-2848, 1756-2848","language":"en","author":[{"family":"Carter","given":"Dan"},{"family":"Katz","given":"Lior H."},{"family":"Bardan","given":"Eytan"},{"family":"Salomon","given":"Eti"},{"family":"Goldstein","given":"Shulamit"},{"family":"Ben Horin","given":"Shomron"},{"family":"Kopylov","given":"Uri"},{"family":"Eliakim","given":"Rami"}],"issued":{"date-parts":[["2018",1]]}}}],"schema":"https://github.com/citation-style-language/schema/raw/master/csl-citation.json"}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[30]</w:t>
      </w:r>
      <w:r w:rsidRPr="00257F02">
        <w:rPr>
          <w:rFonts w:ascii="Book Antiqua" w:hAnsi="Book Antiqua"/>
          <w:lang w:val="en-US"/>
        </w:rPr>
        <w:fldChar w:fldCharType="end"/>
      </w:r>
      <w:r w:rsidRPr="00257F02">
        <w:rPr>
          <w:rFonts w:ascii="Book Antiqua" w:hAnsi="Book Antiqua"/>
          <w:lang w:val="en-US"/>
        </w:rPr>
        <w:t>. However, in patients with known CD of the distal ileum, SBCE had an incremental diagnostic yield of 41% compared to the small intestine contrast ultrasonography (SICUS) for the detection of upper SB lesions, while the detection rate of distal SB lesions was similar for both modalities (93%)</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{"citationID":"3X140JZP","properties":{"formattedCitation":"\\super [31]\\nosupersub{}","plainCitation":"[31]","noteIndex":0},"citationItems":[{"id":2817,"uris":["http://zotero.org/users/3734960/items/RHFZ6U4C"],"uri":["http://zotero.org/users/3734960/items/RHFZ6U4C"],"itemData":{"id":2817,"type":"article-journal","title":"Wireless capsule endoscopy and proximal small bowel lesions in Crohn&amp;rsquo;s disease","container-title":"World Journal of Gastroenterology","page":"3299-3304","volume":"16","issue":"26","source":"www.wjgnet.com","abstract":"Wireless capsule endoscopy and proximal small bowel lesions in Crohn&amp;rsquo;s disease","DOI":"10.3748/wjg.v16.i26.3299","language":"en","author":[{"family":"Petruzziello","given":"Carmelina"},{"family":"Onali","given":"Sara"},{"family":"Calabrese","given":"Emma"},{"family":"Zorzi","given":"Francesca"},{"family":"Ascolani","given":"Marta"},{"family":"Condino","given":"Giovanna"},{"family":"Lolli","given":"Elisabetta"},{"family":"Naccarato","given":"Paola"},{"family":"Pallone","given":"Francesco"},{"family":"Biancone","given":"Livia"}],"issued":{"date-parts":[["2010",7,14]]}}}],"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[31]</w:t>
      </w:r>
      <w:r w:rsidRPr="00257F02">
        <w:rPr>
          <w:rFonts w:ascii="Book Antiqua" w:hAnsi="Book Antiqua"/>
          <w:lang w:val="en-US"/>
        </w:rPr>
        <w:fldChar w:fldCharType="end"/>
      </w:r>
      <w:r w:rsidRPr="00257F02">
        <w:rPr>
          <w:rFonts w:ascii="Book Antiqua" w:hAnsi="Book Antiqua"/>
          <w:lang w:val="en-US"/>
        </w:rPr>
        <w:t>. Compared to cross-sectional imaging, three studies demonstrated that SBCE was superior in detecting SB lesions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{"citationID":"3Q26SgJY","properties":{"formattedCitation":"\\super [10,32,33]\\nosupersub{}","plainCitation":"[10,32,33]","noteIndex":0},"citationItems":[{"id":2658,"uris":["http://zotero.org/users/3734960/items/2NQXT42K"],"uri":["http://zotero.org/users/3734960/items/2NQXT42K"],"itemData":{"id":2658,"type":"article-journal","title":"The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(IIRN)"}],"issued":{"date-parts":[["2016",5]]}}},{"id":2660,"uris":["http://zotero.org/users/3734960/items/SFKPYNKQ"],"uri":["http://zotero.org/users/3734960/items/SFKPYNKQ"],"itemData":{"id":2660,"type":"article-journal","title":"Clinically Significant Small Bowel Crohn's Disease Might Only be Detected by Capsule Endoscopy","container-title":"Inflammatory Bowel Diseases","page":"1566-1574","volume":"24","issue":"7","source":"PubMed","abstract":"Background: In Crohn's disease (CD) a small bowel study-in addition to colonoscopy-is considered necessary for diagnosis/staging. In this study we re-examined the role of capsule endoscopy (CE), colonoscopy, imaging tests [magnetic resonance enterography/computed tomographic enterography (MRE/CTE)], and inflammatory markers [fecal lactoferrin and C-reactive protein (FL/CRP)] in CD patients who had undergone intestinal resection and in those who never had surgery.\nMethods: In this retrospective study 43 consecutive patients underwent CE because of staging/symptoms unexplained by colonoscopy/imaging. We compared colonoscopy, imaging, and FL/CRP with CE and evaluated the impact of the latter on clinical management and outcomes.\nResults: In patients who never had surgery imaging was negative with a positive CE in 8/15 (53%) of cases. Colonoscopy was insufficient for disease staging in 10/20 (50%) cases. CRP and FL were normal with a positive CE in 35% and 28% of cases, respectively. CE findings changed the management in 6/20 (30%) of cases, with 83% showing clinical/biochemical improvement after up to 15 months of follow-up. In postoperative patients CE was positive with negative imaging in 6/8 (75%) cases. Colonoscopy was insufficient for disease staging in 13/22 (59%) cases. CRP and FL were normal in 42% and 31.8% of patients with positive CE. In these patients CE findings changed the management in 12/23 (52%) cases with 83% of them showing clinical/biochemical improvement after up to 18 months of follow-up.\nConclusions: Omitting CE from diagnostic/staging algorithms in CD tends to underdiagnose clinically significant small bowel lesions, thus impacting on patients' management and outcomes. 10.1093/ibd/izy048_video1izy048.video15794820403001.","DOI":"10.1093/ibd/izy048","ISSN":"1536-4844","note":"PMID: 29893950","journalAbbreviation":"Inflamm. Bowel Dis.","language":"eng","author":[{"family":"Sorrentino","given":"Dario"},{"family":"Nguyen","given":"Vu Q."}],"issued":{"date-parts":[["2018",6,8]]}}},{"id":2656,"uris":["http://zotero.org/users/3734960/items/FBX684SV"],"uri":["http://zotero.org/users/3734960/items/FBX684SV"],"itemData":{"id":2656,"type":"article-journal","title":"Comparison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[10,32,33]</w:t>
      </w:r>
      <w:r w:rsidRPr="00257F02">
        <w:rPr>
          <w:rFonts w:ascii="Book Antiqua" w:hAnsi="Book Antiqua"/>
          <w:lang w:val="en-US"/>
        </w:rPr>
        <w:fldChar w:fldCharType="end"/>
      </w:r>
      <w:r w:rsidRPr="00257F02">
        <w:rPr>
          <w:rFonts w:ascii="Book Antiqua" w:hAnsi="Book Antiqua"/>
          <w:lang w:val="en-US"/>
        </w:rPr>
        <w:t>, with an incremental diagnostic yield up to 31.9%</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{"citationID":"OMlydUDc","properties":{"formattedCitation":"\\super [33]\\nosupersub{}","plainCitation":"[33]","noteIndex":0},"citationItems":[{"id":2656,"uris":["http://zotero.org/users/3734960/items/FBX684SV"],"uri":["http://zotero.org/users/3734960/items/FBX684SV"],"itemData":{"id":2656,"type":"article-journal","title":"Comparison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[33]</w:t>
      </w:r>
      <w:r w:rsidRPr="00257F02">
        <w:rPr>
          <w:rFonts w:ascii="Book Antiqua" w:hAnsi="Book Antiqua"/>
          <w:lang w:val="en-US"/>
        </w:rPr>
        <w:fldChar w:fldCharType="end"/>
      </w:r>
      <w:r w:rsidRPr="00257F02">
        <w:rPr>
          <w:rFonts w:ascii="Book Antiqua" w:hAnsi="Book Antiqua"/>
          <w:lang w:val="en-US"/>
        </w:rPr>
        <w:t>, especially for the detection of proximal SB CD location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{"citationID":"5tFdSpWT","properties":{"formattedCitation":"\\super [10,33]\\nosupersub{}","plainCitation":"[10,33]","noteIndex":0},"citationItems":[{"id":2658,"uris":["http://zotero.org/users/3734960/items/2NQXT42K"],"uri":["http://zotero.org/users/3734960/items/2NQXT42K"],"itemData":{"id":2658,"type":"article-journal","title":"The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[10,33]</w:t>
      </w:r>
      <w:r w:rsidRPr="00257F02">
        <w:rPr>
          <w:rFonts w:ascii="Book Antiqua" w:hAnsi="Book Antiqua"/>
          <w:lang w:val="en-US"/>
        </w:rPr>
        <w:fldChar w:fldCharType="end"/>
      </w:r>
      <w:r w:rsidRPr="00257F02">
        <w:rPr>
          <w:rFonts w:ascii="Book Antiqua" w:hAnsi="Book Antiqua"/>
          <w:lang w:val="en-US"/>
        </w:rPr>
        <w:t xml:space="preserve">. However, the lesions that were considered for the diagnosis of CD varied greatly from one study to another, making it difficult to compare these studies.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lang w:val="en-US"/>
        </w:rPr>
        <w:t xml:space="preserve">A single study focused on the comparison of SBCE findings between CD patients with and without perianal disease, showing that patients with perianal involvement had significantly more relevant SB lesions (94.1% </w:t>
      </w:r>
      <w:r w:rsidRPr="007345E0">
        <w:rPr>
          <w:rFonts w:ascii="Book Antiqua" w:hAnsi="Book Antiqua"/>
          <w:i/>
          <w:iCs/>
          <w:lang w:val="en-US"/>
        </w:rPr>
        <w:t>vs</w:t>
      </w:r>
      <w:r w:rsidRPr="00257F02">
        <w:rPr>
          <w:rFonts w:ascii="Book Antiqua" w:hAnsi="Book Antiqua"/>
          <w:lang w:val="en-US"/>
        </w:rPr>
        <w:t xml:space="preserve"> 66.6%, </w:t>
      </w:r>
      <w:r w:rsidRPr="007345E0">
        <w:rPr>
          <w:rFonts w:ascii="Book Antiqua" w:hAnsi="Book Antiqua"/>
          <w:i/>
          <w:iCs/>
          <w:lang w:val="en-US"/>
        </w:rPr>
        <w:t xml:space="preserve">P = </w:t>
      </w:r>
      <w:r w:rsidRPr="00257F02">
        <w:rPr>
          <w:rFonts w:ascii="Book Antiqua" w:hAnsi="Book Antiqua"/>
          <w:lang w:val="en-US"/>
        </w:rPr>
        <w:t xml:space="preserve">0.03) and higher inflammatory activity with a Lewis score </w:t>
      </w:r>
      <w:r w:rsidRPr="00257F02">
        <w:rPr>
          <w:rFonts w:ascii="Book Antiqua" w:eastAsia="SabonLTStd-Roman" w:hAnsi="Book Antiqua" w:cs="SabonLTStd-Roman"/>
          <w:lang w:val="en-US"/>
        </w:rPr>
        <w:t>≥</w:t>
      </w:r>
      <w:r>
        <w:rPr>
          <w:rFonts w:ascii="Book Antiqua" w:eastAsia="SabonLTStd-Roman" w:hAnsi="Book Antiqua" w:cs="SabonLTStd-Roman"/>
          <w:lang w:val="en-US"/>
        </w:rPr>
        <w:t xml:space="preserve"> </w:t>
      </w:r>
      <w:r w:rsidRPr="00257F02">
        <w:rPr>
          <w:rFonts w:ascii="Book Antiqua" w:hAnsi="Book Antiqua" w:cs="Times-Roman"/>
          <w:lang w:val="en-US"/>
        </w:rPr>
        <w:t xml:space="preserve">135 (94.1% </w:t>
      </w:r>
      <w:r w:rsidRPr="007345E0">
        <w:rPr>
          <w:rFonts w:ascii="Book Antiqua" w:hAnsi="Book Antiqua" w:cs="Times-Roman"/>
          <w:i/>
          <w:iCs/>
          <w:lang w:val="en-US"/>
        </w:rPr>
        <w:t>vs</w:t>
      </w:r>
      <w:r w:rsidRPr="00257F02">
        <w:rPr>
          <w:rFonts w:ascii="Book Antiqua" w:hAnsi="Book Antiqua" w:cs="Times-Roman"/>
          <w:lang w:val="en-US"/>
        </w:rPr>
        <w:t xml:space="preserve"> 64.8%, </w:t>
      </w:r>
      <w:r w:rsidRPr="007345E0">
        <w:rPr>
          <w:rFonts w:ascii="Book Antiqua" w:hAnsi="Book Antiqua" w:cs="Times-Roman"/>
          <w:i/>
          <w:iCs/>
          <w:lang w:val="en-US"/>
        </w:rPr>
        <w:t xml:space="preserve">P = </w:t>
      </w:r>
      <w:r w:rsidRPr="00257F02">
        <w:rPr>
          <w:rFonts w:ascii="Book Antiqua" w:hAnsi="Book Antiqua" w:cs="Times-Roman"/>
          <w:lang w:val="en-US"/>
        </w:rPr>
        <w:t>0.03), especially in proximal SB segments, compared to patients without perianal CD</w:t>
      </w:r>
      <w:r w:rsidRPr="00257F02">
        <w:rPr>
          <w:rFonts w:ascii="Book Antiqua" w:hAnsi="Book Antiqua" w:cs="Times-Roman"/>
          <w:lang w:val="en-US"/>
        </w:rPr>
        <w:fldChar w:fldCharType="begin"/>
      </w:r>
      <w:r w:rsidRPr="00257F02">
        <w:rPr>
          <w:rFonts w:ascii="Book Antiqua" w:hAnsi="Book Antiqua" w:cs="Times-Roman"/>
          <w:lang w:val="en-US"/>
        </w:rPr>
        <w:instrText xml:space="preserve"> ADDIN ZOTERO_ITEM CSL_CITATION {"citationID":"NPiNiz36","properties":{"formattedCitation":"\\super [34]\\nosupersub{}","plainCitation":"[34]","noteIndex":0},"citationItems":[{"id":2647,"uris":["http://zotero.org/users/3734960/items/ETJP79IK"],"uri":["http://zotero.org/users/3734960/items/ETJP79IK"],"itemData":{"id":2647,"type":"article-journal","title":"Perianal Crohn’s disease – association with significant inflammatory activity in proximal small bowel segments","container-title":"Scandinavian Journal of Gastroenterology","page":"426-429","volume":"53","issue":"4","source":"Crossref","DOI":"10.1080/00365521.2018.1437928","ISSN":"0036-5521, 1502-7708","language":"en","author":[{"family":"Xavier","given":"Sofia"},{"family":"Cúrdia Gonçalves","given":"Tiago"},{"family":"Dias de Castro","given":"Francisca"},{"family":"Magalhães","given":"Joana"},{"family":"Rosa","given":"Bruno"},{"family":"Moreira","given":"Maria João"},{"family":"Cotter","given":"José"}],"issued":{"date-parts":[["2018",4,3]]}}}],"schema":"https://github.com/citation-style-language/schema/raw/master/csl-citation.json"} </w:instrText>
      </w:r>
      <w:r w:rsidRPr="00257F02">
        <w:rPr>
          <w:rFonts w:ascii="Book Antiqua" w:hAnsi="Book Antiqua" w:cs="Times-Roman"/>
          <w:lang w:val="en-US"/>
        </w:rPr>
        <w:fldChar w:fldCharType="separate"/>
      </w:r>
      <w:r w:rsidRPr="00257F02">
        <w:rPr>
          <w:rFonts w:ascii="Book Antiqua" w:hAnsi="Book Antiqua"/>
          <w:vertAlign w:val="superscript"/>
          <w:lang w:val="en-US"/>
        </w:rPr>
        <w:t>[34]</w:t>
      </w:r>
      <w:r w:rsidRPr="00257F02">
        <w:rPr>
          <w:rFonts w:ascii="Book Antiqua" w:hAnsi="Book Antiqua" w:cs="Times-Roman"/>
          <w:lang w:val="en-US"/>
        </w:rPr>
        <w:fldChar w:fldCharType="end"/>
      </w:r>
      <w:r w:rsidRPr="00257F02">
        <w:rPr>
          <w:rFonts w:ascii="Book Antiqua" w:hAnsi="Book Antiqua" w:cs="Times-Roman"/>
          <w:lang w:val="en-US"/>
        </w:rPr>
        <w:t xml:space="preserve">.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lang w:val="en-US"/>
        </w:rPr>
        <w:t xml:space="preserve">Only three of the included studies focused on reclassifying the IBD type in patients who were diagnosed with IBD-unclassified, indeterminate colitis or </w:t>
      </w:r>
      <w:proofErr w:type="spellStart"/>
      <w:r w:rsidRPr="00257F02">
        <w:rPr>
          <w:rFonts w:ascii="Book Antiqua" w:hAnsi="Book Antiqua"/>
          <w:lang w:val="en-US"/>
        </w:rPr>
        <w:t>pouchitis</w:t>
      </w:r>
      <w:proofErr w:type="spellEnd"/>
      <w:r w:rsidRPr="00257F02">
        <w:rPr>
          <w:rFonts w:ascii="Book Antiqua" w:hAnsi="Book Antiqua"/>
          <w:lang w:val="en-US"/>
        </w:rPr>
        <w:t xml:space="preserve">. The lesions that were considered for the diagnosis of CD were very different depending on the study. However, SBCE detected SB lesions allowing the physician to suspect or even make the diagnosis of CD in 16.7% to 50.0% of patients with IBD-unclassified or indeterminate colitis, and up to 65.2% of patients who were diagnosed with </w:t>
      </w:r>
      <w:proofErr w:type="spellStart"/>
      <w:r w:rsidRPr="00257F02">
        <w:rPr>
          <w:rFonts w:ascii="Book Antiqua" w:hAnsi="Book Antiqua"/>
          <w:lang w:val="en-US"/>
        </w:rPr>
        <w:t>pouchitis</w:t>
      </w:r>
      <w:proofErr w:type="spellEnd"/>
      <w:r w:rsidRPr="00257F02">
        <w:rPr>
          <w:rFonts w:ascii="Book Antiqua" w:hAnsi="Book Antiqua"/>
          <w:lang w:val="en-US"/>
        </w:rPr>
        <w:t xml:space="preserve"> following </w:t>
      </w:r>
      <w:proofErr w:type="spellStart"/>
      <w:r w:rsidRPr="00257F02">
        <w:rPr>
          <w:rFonts w:ascii="Book Antiqua" w:hAnsi="Book Antiqua"/>
          <w:lang w:val="en-US"/>
        </w:rPr>
        <w:t>ileo</w:t>
      </w:r>
      <w:proofErr w:type="spellEnd"/>
      <w:r w:rsidRPr="00257F02">
        <w:rPr>
          <w:rFonts w:ascii="Book Antiqua" w:hAnsi="Book Antiqua"/>
          <w:lang w:val="en-US"/>
        </w:rPr>
        <w:t>-anal anastomosis</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{"citationID":"dqsm8Jgz","properties":{"formattedCitation":"\\super [35\\uc0\\u8211{}37]\\nosupersub{}","plainCitation":"[35–37]","noteIndex":0},"citationItems":[{"id":2677,"uris":["http://zotero.org/users/3734960/items/M36PM4P9"],"uri":["http://zotero.org/users/3734960/items/M36PM4P9"],"itemData":{"id":2677,"type":"article-journal","title":"Value of wireless capsule endoscopy in patients with indeterminate colitis (inflammatory bowel disease type unclassified)","container-title":"Inflammatory Bowel Diseases","page":"152-155","volume":"13","issue":"2","source":"PubMed","abstract":"BACKGROUND: Wireless capsule endoscopy (WCE) can identify small bowel mucosal lesions not seen with other imaging modalities. This technique can therefore play an important diagnostic role in the evaluation of patients with inflammatory bowel disease type unclassified (IBDU). We report on a multicentric study whose objective was to evaluate the value of WCE to increase diagnostic accuracy in categorizing IBDU.\nMETHODS: Thirty patients with IBDU and negative serology were included. WCE was performed with a standard Pillcam capsule. Outcome measures were classified as suggestive of Crohn's disease (CD) when -3 ulcerations were present.\nRESULTS: WCE displayed endoscopic features suggestive for CD in 5 patients. In 6 other patients, WCE was negative, but repeated ileocolonoscopy with biopsies performed during follow-up evaluation revealed CD in 5 and ulcerative colitis (UC) in 1 patient. UC was found in a seventh case at colectomy performed just after WCE. Eighteen patients remained with a diagnosis of IBDU 16 months on average after WCE.\nCONCLUSIONS: WCE is a potentially clinically useful technique for categorizing a subgroup of patients with IBDU, although negative WCE does not exclude further diagnosis of CD. Patients with negative WCE who remain IBDU at follow-up evaluation may belong to an original subgroup of IBD.","DOI":"10.1002/ibd.20060","ISSN":"1078-0998","note":"PMID: 17206697","journalAbbreviation":"Inflamm. Bowel Dis.","language":"eng","author":[{"family":"Maunoury","given":"Vincent"},{"family":"Savoye","given":"Guillaume"},{"family":"Bourreille","given":"Arnaud"},{"family":"Bouhnik","given":"Yoram"},{"family":"Jarry","given":"Marine"},{"family":"Sacher-Huvelin","given":"Sylvie"},{"family":"Ben Soussan","given":"Emmanuel"},{"family":"Lerebours","given":"Eric"},{"family":"Galmiche","given":"Jean-Paul"},{"family":"Colombel","given":"Jean-Frederic"}],"issued":{"date-parts":[["2007",2]]}}},{"id":2672,"uris":["http://zotero.org/users/3734960/items/V5XEHCWF"],"uri":["http://zotero.org/users/3734960/items/V5XEHCWF"],"itemData":{"id":2672,"type":"article-journal","title":"Capsule endoscopy in inflammatory bowel disease type unclassified and indeterminate colitis serologically negative","container-title":"Inflammatory Bowel Diseases","page":"1663-1668","volume":"16","issue":"10","source":"PubMed","abstract":"BACKGROUND: The value of capsule endoscopy in the setting of inflammatory bowel disease type unclassified (IBDU) and indeterminate colitis (IC) remains obscure. The aim was to evaluate the clinical impact of capsule endoscopy on IBDU/IC patients with negative serology.\nMETHODS: Eighteen patients with long-standing IBDU (n = 14) and IC (n = 4) were enrolled to undergo a capsule endoscopy and then followed prospectively. Lesions considered diagnostic of Crohn's disease (CD) were 4 or more erosions/ulcers and/or a stricture. The median follow-up time after capsule endoscopy was 32 ± 11 months (23-54 months).\nRESULTS: Total enteroscopy was possible in all patients. In 2 patients the examination was normal (Group 1). In 9 patients subtle findings were observed (Group 2): focal villi denudation (n = 1) and fewer than 4 erosions/ulcers (n = 8). In 7 patients, 4 or more erosions/ulcers were detected (Group 3), leading to a diagnosis of CD. However, their treatment was not reassessed on the basis of the capsule findings. Until now, a definitive diagnosis has been achieved in 2 additional patients: 1 from Group 1 (ulcerative colitis) and another patient from Group 2 (CD), who began infliximab infusions. Nine patients remained indeterminate at follow-up.\nCONCLUSIONS: Although capsule endoscopy enabled the diagnosis of CD in 7 patients, in none of them was the clinical management changed. Moreover, a change in therapy due to a diagnosis of CD was made for only 1 patient, who presented nonspecific findings. Our results suggest that capsule findings are not helpful in the work-up of these patients.","DOI":"10.1002/ibd.21249","ISSN":"1536-4844","note":"PMID: 20848457","journalAbbreviation":"Inflamm. Bowel Dis.","language":"eng","author":[{"family":"Lopes","given":"Sandra"},{"family":"Figueiredo","given":"Pedro"},{"family":"Portela","given":"Francisco"},{"family":"Freire","given":"Paulo"},{"family":"Almeida","given":"Nuno"},{"family":"Lérias","given":"Clotilde"},{"family":"Gouveia","given":"Hermano"},{"family":"Leitão","given":"Maximino Correia"}],"issued":{"date-parts":[["2010",10]]}}},{"id":2657,"uris":["http://zotero.org/users/3734960/items/DQ99LEMS"],"uri":["http://zotero.org/users/3734960/items/DQ99LEMS"],"itemData":{"id":2657,"type":"article-journal","title":"Impact of capsule endoscopy on management of inflammatory bowel disease: a single tertiary care center experience","container-title":"Inflammatory Bowel Diseases","page":"1855-1862","volume":"17","issue":"9","source":"PubMed","abstract":"BACKGROUND: Capsule endoscopy (CE) is performed to assess inflammatory bowel disease (IBD). We aimed to define the results of CE in subtypes of IBD and to determine whether CE results in management changes.\nMETHODS: A retrospective cohort study was performed of all CEs for IBD at a tertiary care center from 2003-2009. Descriptive statistics were used to compare IBD-specific medications, surgeries, and imaging studies in the 3 months prior and 3 months after CE.\nRESULTS: Of 907 CEs performed from 2003-2009, 128 were for an indication of symptomatic IBD and 124 capsules left the stomach (86 for Crohn's disease [CD], 15 for indeterminate colitis [IC], 23 for pouchitis). Only 22.1% of CEs done for CD were normal, as compared to 53.3% for IC and 34.8% for pouchitis. Severe findings in CD consisted of multiple aphthae/ulcers (22.1%), stenosis (8.1%), and stenosis with immediate retention (17.4%). In CD, 61.6% had a change in medication in the 3 months after the CE, with 39.5% initiating a new IBD medication, most commonly budesonide or corticosteroids. In the 3 months following CE, 12.8% of patients with CD underwent surgery. Severe findings on CE in patients with CD, as compared to no/minimal findings, resulted in significant differences in medication changes (73.2% versus 51.1%, P = 0.04), addition of medications (58.5% versus 22.2%, P &lt; 0.01), and surgeries (21.9% versus 4.4%, P = 0.01).\nCONCLUSIONS: CE results in management changes in the majority of cases of symptomatic IBD, regardless of the subtype of IBD.","DOI":"10.1002/ibd.21571","ISSN":"1536-4844","note":"PMID: 21830264\nPMCID: PMC3116981","title-short":"Impact of capsule endoscopy on management of inflammatory bowel disease","journalAbbreviation":"Inflamm. Bowel Dis.","language":"eng","author":[{"family":"Long","given":"Millie D."},{"family":"Barnes","given":"Edward"},{"family":"Isaacs","given":"Kim"},{"family":"Morgan","given":"Douglas"},{"family":"Herfarth","given":"Hans H."}],"issued":{"date-parts":[["2011",9]]}}}],"schema":"https://github.com/citation-style-language/schema/raw/master/csl-citation.json"}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[35–37]</w:t>
      </w:r>
      <w:r w:rsidRPr="00257F02">
        <w:rPr>
          <w:rFonts w:ascii="Book Antiqua" w:hAnsi="Book Antiqua"/>
          <w:lang w:val="en-US"/>
        </w:rPr>
        <w:fldChar w:fldCharType="end"/>
      </w:r>
      <w:r w:rsidRPr="00257F02">
        <w:rPr>
          <w:rFonts w:ascii="Book Antiqua" w:hAnsi="Book Antiqua"/>
          <w:lang w:val="en-US"/>
        </w:rPr>
        <w:t>.</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lang w:val="en-US"/>
        </w:rPr>
        <w:t xml:space="preserve">For the impact on therapeutic management, most of the studies showed that SBCE findings led to a </w:t>
      </w:r>
      <w:r w:rsidRPr="00257F02">
        <w:rPr>
          <w:rFonts w:ascii="Book Antiqua" w:hAnsi="Book Antiqua" w:cs="AdvSMyr"/>
          <w:lang w:val="en-US"/>
        </w:rPr>
        <w:t>change in the dose or change of immunomodulatory agent, initiation of biologic treatment, or avoidance of surgery, in more than one-third of patients, and even in 100% of patients in four studies</w:t>
      </w:r>
      <w:r w:rsidRPr="00257F02">
        <w:rPr>
          <w:rFonts w:ascii="Book Antiqua" w:hAnsi="Book Antiqua" w:cs="AdvSMyr"/>
          <w:lang w:val="en-US"/>
        </w:rPr>
        <w:fldChar w:fldCharType="begin"/>
      </w:r>
      <w:r w:rsidRPr="00257F02">
        <w:rPr>
          <w:rFonts w:ascii="Book Antiqua" w:hAnsi="Book Antiqua" w:cs="AdvSMyr"/>
          <w:lang w:val="en-US"/>
        </w:rPr>
        <w:instrText xml:space="preserve"> ADDIN ZOTERO_ITEM CSL_CITATION {"citationID":"uMngiG0b","properties":{"formattedCitation":"\\super [38\\uc0\\u8211{}41]\\nosupersub{}","plainCitation":"[38–41]","noteIndex":0},"citationItems":[{"id":2877,"uris":["http://zotero.org/users/3734960/items/Z2TUNMIC"],"uri":["http://zotero.org/users/3734960/items/Z2TUNMIC"],"itemData":{"id":2877,"type":"article-journal","title":"Capsule endoscopy findings in patients with suspected Crohn's disease and biochemical markers of inflammation","page":"331-335","volume":"38","issue":"5","DOI":"10.1016/j.dld.2006.02.004","journalAbbreviation":"Dig Liver Dis","author":[{"family":"De Bona","given":"M."},{"family":"Bellumat","given":"A."},{"family":"Cian","given":"E."},{"family":"Valiante","given":"F."},{"family":"Moschini","given":"A."},{"family":"De Boni","given":"M."}],"issued":{"date-parts":[["2006",5]]}}},{"id":2675,"uris":["http://zotero.org/users/3734960/items/SSZW9U6M"],"uri":["http://zotero.org/users/3734960/items/SSZW9U6M"],"itemData":{"id":2675,"type":"article-journal","title":"Capsule endoscopy in patients with Crohn's disease: diagnostic yield and safety","container-title":"Gastrointestinal Endoscopy","page":"121-127","volume":"71","issue":"1","source":"PubMed","abstract":"BACKGROUND: Capsule endoscopy (CE) is increasingly used in patients with suspected or known Crohn's disease (CD).\nOBJECTIVE: To determine the diagnostic yield of CE and the distribution of small-bowel (SB) lesions in symptomatic patients with known CD.\nDESIGN AND SETTING: Retrospective review of CE procedures performed in patients with CD between 2001 and 2005 in a tertiary care center.\nPATIENTS: One hundred thirty-four patients with an established diagnosis of CD and symptoms suggestive of active disease.\nINTERVENTIONS: Swallowing the capsule.\nMAIN OUTCOME MEASUREMENTS: Diagnostic yield of CE and distribution of SB lesions in patients with CD.\nRESULTS: One hundred forty-six CE procedures were performed on 134 CD patients. Fifty-two (39%) of 134 patients had CE findings diagnostic of active CD (&gt; 3 ulcerations), and 17 (13%) had findings suggestive of active CD (&lt; or = 3 ulcerations). Fifty-seven (42%) patients had normal findings, and 6% had normal but incomplete studies. The distribution of SB lesions was 32% in the duodenum, 53% in the jejunum, 67% in the proximal ileum, and 85% in the distal ileum. CE was comparable to ileoscopy in detecting ileal ulcerations (55% vs 48%), but superior to SB follow-through in detecting CD lesions in the SB (incremental yield of 32%; 95% CI, 9%-54%; P = .0017).\nLIMITATIONS: Retrospective study from a single center.\nCONCLUSIONS: CE identified SB lesions in approximately half of symptomatic CD patients. Large-scale prospective studies are needed to evaluate whether positive CE findings may affect disease outcomes.","DOI":"10.1016/j.gie.2009.06.034","ISSN":"1097-6779","note":"PMID: 19863957","title-short":"Capsule endoscopy in patients with Crohn's disease","journalAbbreviation":"Gastrointest. Endosc.","language":"eng","author":[{"family":"Mehdizadeh","given":"Shahab"},{"family":"Chen","given":"Gary C."},{"family":"Barkodar","given":"Linda"},{"family":"Enayati","given":"Pedram J."},{"family":"Pirouz","given":"Shahriar"},{"family":"Yadegari","given":"Michael"},{"family":"Ippoliti","given":"Andrew"},{"family":"Vasiliauskas","given":"Eric A."},{"family":"Lo","given":"Simon K."},{"family":"Papadakis","given":"Konstantinos Antonios"}],"issued":{"date-parts":[["2010",1]]}}},{"id":2671,"uris":["http://zotero.org/users/3734960/items/VRM76UPQ"],"uri":["http://zotero.org/users/3734960/items/VRM76UPQ"],"itemData":{"id":2671,"type":"article-journal","title":"Impact of capsule endoscopy findings in the management of Crohn's Disease","container-title":"Digestive Diseases and Sciences","page":"411-414","volume":"55","issue":"2","source":"PubMed","abstract":"BACKGROUND: Capsule endoscopy (CE) has proven efficacy in detecting mucosal lesions of the upper gastrointestinal tract and it has been widely evaluated for assessing small-bowel lesions in patients with suspected or established Crohn's disease (CD).\nAIMS: To evaluate the impact of CE on the management of patients with established CD.\nMETHODS: All patients with known CD that underwent CE were identified from IBD and endoscopy databases. Baseline characteristics of the study population, CE findings, changes in therapy, and patient outcome were recorded. Patients were followed for 18 months after CE.\nRESULTS: CE was performed in 14 CD patients for iron deficiency anemia (n = 5) or abdominal pain of unknown origin (n = 3), or re-evaluation of disease location (n = 6). The overall diagnostic yield was 85.7%. As a result of the CE findings, CD therapy was changed in 64% of cases. Clinical outcome changed in three out of five patients with iron deficiency anemia and in two out of three patients with abdominal pain.\nCONCLUSIONS: CE has a high diagnostic yield even in patients with previously known CD, and its findings may influence disease management and clinical outcome.","DOI":"10.1007/s10620-009-0758-8","ISSN":"1573-2568","note":"PMID: 19255845","journalAbbreviation":"Dig. Dis. Sci.","language":"eng","author":[{"family":"Lorenzo-Zúñiga","given":"Vicente"},{"family":"Vega","given":"Vicente Moreno","non-dropping-particle":"de"},{"family":"Domènech","given":"Eugeni"},{"family":"Cabré","given":"Eduard"},{"family":"Mañosa","given":"Míriam"},{"family":"Boix","given":"Jaume"}],"issued":{"date-parts":[["2010",2]]}}},{"id":2663,"uris":["http://zotero.org/users/3734960/items/DA2EN8DA"],"uri":["http://zotero.org/users/3734960/items/DA2EN8DA"],"itemData":{"id":2663,"type":"article-journal","title":"But how many misunderstood Crohn's disease are revealed \"by chance\" using Capsule Endoscopy in Chronic Recurrent OGIB? Experience of a Single Italian Center and long term follow-up","container-title":"European Review for Medical and Pharmacological Sciences","page":"4553-4557","volume":"19","issue":"23","source":"PubMed","abstract":"OBJECTIVE: The role of capsule endoscopy (CE) in Crohn's disease (CD) has expanded with greater understanding of the technology. The ability of CE to differentiate CD from other causes of inflammation has been questioned. Longitudinal studies are required to assess the long-term impact and significance of CE findings in suspected CD. The aim of this work is to verify in how many misunderstood cases of suspected Crohn's Disease CE was able to identify precociously and \"by chance\" when it is performed for recurrent obscure GI bleeding (OGIB), to evaluate how many of them were later confirmed during a median 24 months follow-up. Moreover, we observed the role of the early diagnosis in changing the clinical management of these patients.\nPATIENTS AND METHODS: A retrospective review was carried out on CE procedures performed for suspected OGIB. 1008 consecutive patients was enrolled and 492 included in the study. Previous investigations such as ileo-colonoscopy and/or previous small bowel imaging were documented. Only patients with at least 6 months of documented follow-up were included. A chart review was undertaken to record CE findings/correlate with subsequent diagnosis and outcome.\nRESULTS: 94/492 (19.1%) patients positive for suspected CD were identified. Follow-up data were available 64/94 (68%). The mean follow-up was 24 months. There was a strong positive correlation between results of CE and subsequent clinical diagnosis. The suspected CD was confirmed in 100% (94/94) of follow-up patients.\nCONCLUSIONS: CE appears able to identify lesions compatible with suspected Crohn's disease otherwise unacknowledged with consequently change in treatment options for the patients.","ISSN":"2284-0729","note":"PMID: 26698252","title-short":"But how many misunderstood Crohn's disease are revealed \"by chance\" using Capsule Endoscopy in Chronic Recurrent OGIB?","journalAbbreviation":"Eur Rev Med Pharmacol Sci","language":"eng","author":[{"family":"Urgesi","given":"R."},{"family":"Cianci","given":"R."},{"family":"Marmo","given":"C."},{"family":"Costamagna","given":"G."},{"family":"Riccioni","given":"M. E."}],"issued":{"date-parts":[["2015",12]]}}}],"schema":"https://github.com/citation-style-language/schema/raw/master/csl-citation.json"} </w:instrText>
      </w:r>
      <w:r w:rsidRPr="00257F02">
        <w:rPr>
          <w:rFonts w:ascii="Book Antiqua" w:hAnsi="Book Antiqua" w:cs="AdvSMyr"/>
          <w:lang w:val="en-US"/>
        </w:rPr>
        <w:fldChar w:fldCharType="separate"/>
      </w:r>
      <w:r w:rsidRPr="00257F02">
        <w:rPr>
          <w:rFonts w:ascii="Book Antiqua" w:hAnsi="Book Antiqua"/>
          <w:vertAlign w:val="superscript"/>
          <w:lang w:val="en-US"/>
        </w:rPr>
        <w:t>[38–41]</w:t>
      </w:r>
      <w:r w:rsidRPr="00257F02">
        <w:rPr>
          <w:rFonts w:ascii="Book Antiqua" w:hAnsi="Book Antiqua" w:cs="AdvSMyr"/>
          <w:lang w:val="en-US"/>
        </w:rPr>
        <w:fldChar w:fldCharType="end"/>
      </w:r>
      <w:r w:rsidRPr="00257F02">
        <w:rPr>
          <w:rFonts w:ascii="Book Antiqua" w:hAnsi="Book Antiqua" w:cs="AdvSMyr"/>
          <w:lang w:val="en-US"/>
        </w:rPr>
        <w:t>.</w:t>
      </w:r>
    </w:p>
    <w:p w:rsidR="001D4918" w:rsidRPr="00257F02" w:rsidRDefault="001D4918" w:rsidP="007742D4">
      <w:pPr>
        <w:autoSpaceDE w:val="0"/>
        <w:autoSpaceDN w:val="0"/>
        <w:adjustRightInd w:val="0"/>
        <w:spacing w:line="360" w:lineRule="auto"/>
        <w:jc w:val="both"/>
        <w:rPr>
          <w:rFonts w:ascii="Book Antiqua" w:hAnsi="Book Antiqua" w:cs="GulliverRM"/>
          <w:color w:val="000000"/>
          <w:lang w:val="en-US"/>
        </w:rPr>
      </w:pPr>
    </w:p>
    <w:p w:rsidR="001D4918" w:rsidRPr="00257F02" w:rsidRDefault="001D4918" w:rsidP="007742D4">
      <w:pPr>
        <w:autoSpaceDE w:val="0"/>
        <w:autoSpaceDN w:val="0"/>
        <w:adjustRightInd w:val="0"/>
        <w:spacing w:line="360" w:lineRule="auto"/>
        <w:jc w:val="both"/>
        <w:rPr>
          <w:rFonts w:ascii="Book Antiqua" w:hAnsi="Book Antiqua" w:cs="TradeGothicLTStd-Bd2"/>
          <w:b/>
          <w:bCs/>
          <w:i/>
          <w:color w:val="000000"/>
          <w:lang w:val="en-US"/>
        </w:rPr>
      </w:pPr>
      <w:r w:rsidRPr="00257F02">
        <w:rPr>
          <w:rFonts w:ascii="Book Antiqua" w:hAnsi="Book Antiqua"/>
          <w:b/>
          <w:i/>
          <w:color w:val="000000"/>
          <w:lang w:val="en-US"/>
        </w:rPr>
        <w:t xml:space="preserve">Assessing mucosal healing in patients with </w:t>
      </w:r>
      <w:r>
        <w:rPr>
          <w:rFonts w:ascii="Book Antiqua" w:hAnsi="Book Antiqua"/>
          <w:b/>
          <w:i/>
          <w:color w:val="000000"/>
          <w:lang w:val="en-US" w:eastAsia="zh-CN"/>
        </w:rPr>
        <w:t>CD</w:t>
      </w:r>
      <w:r w:rsidRPr="00257F02">
        <w:rPr>
          <w:rFonts w:ascii="Book Antiqua" w:hAnsi="Book Antiqua" w:cs="TradeGothicLTStd-Bd2"/>
          <w:b/>
          <w:bCs/>
          <w:i/>
          <w:color w:val="000000"/>
          <w:lang w:val="en-US"/>
        </w:rPr>
        <w:t xml:space="preserve"> </w:t>
      </w:r>
      <w:r w:rsidRPr="00257F02">
        <w:rPr>
          <w:rFonts w:ascii="Book Antiqua" w:hAnsi="Book Antiqua" w:cs="AdvOTdc5ff126"/>
          <w:b/>
          <w:i/>
          <w:lang w:val="en-US"/>
        </w:rPr>
        <w:t>(nine studies)</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Table 2 summarizes the nine studies that evaluated the use of SBCE to assess mucosal healing in patients who were diagnosed with CD. All but one study had a prospective design. Most of these studies did not evaluate a specific treatment, except for two studies, one of which focused on adalimumab and azathioprine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{"citationID":"t7gXgMOW","properties":{"formattedCitation":"\\super [42]\\nosupersub{}","plainCitation":"[42]","noteIndex":0},"citationItems":[{"id":2664,"uris":["http://zotero.org/users/3734960/items/N8WLSPJZ"],"uri":["http://zotero.org/users/3734960/items/N8WLSPJZ"],"itemData":{"id":2664,"type":"article-journal","title":"A prospective 52 week mucosal healing assessment of small bowel Crohn's disease as detected by capsule endoscopy","container-title":"Journal of Crohn's &amp; Colitis","page":"1601-1609","volume":"8","issue":"12","source":"PubMed","abstract":"BACKGROUND: Mucosal healing is increasingly recognised as an important treatment goal in Crohn's disease (CD). Data from colonic disease shows improved long-term outcomes in patients achieving complete mucosal healing. Little is currently known of this with regard to ileitis which is increasingly diagnosed using capsule endoscopy (SBCE). This is the first study to prospectively assess mucosal healing and deep remission rates following 52 weeks of therapy in a cohort of symptomatic small bowel CD patients commencing immunomodulator or biologic therapy.\nMETHODS: Baseline demographics, quality of life questionnaires and Harvey Bradshaw Index were collected along with C-reactive protein &amp; calprotectin. Capsule endoscopy Crohn's disease activity (CECDAI) index was used to assess ileitis severity. All parameters were reassessed at week 52. Results at baseline &amp; week 52 were compared using univariate analysis, p &lt; 0.05 considered significant.\nRESULTS: In total, 108 capsule procedures were performed on 43 patients. Based on the CECDAI, 39 (90%) demonstrated active small bowel CD at baseline with 28 (65%) undergoing 52 week assessment. In total, 12 (42%) participants achieved complete mucosal healing and deep remission by 52 week assessment (p&lt;0.0001 95% CI -0.62 to -0.22). Despite overall impressive mucosal healing rates, patients with strictures were less likely to demonstrate a decrease in CECDAI and were more likely to have symptoms.\nCONCLUSION: In patients with active small bowel CD symptomatic and biochemical response to treatment appears to be mirrored by endoscopic remission in 42% of individuals. Strictures identified prior to therapy appear to be a poor indicator for success of treatment.","DOI":"10.1016/j.crohns.2014.09.005","ISSN":"1876-4479","note":"PMID: 25257546","journalAbbreviation":"J Crohns Colitis","language":"eng","author":[{"family":"Hall","given":"Barry"},{"family":"Holleran","given":"Grainne"},{"family":"Chin","given":"Jun-Liong"},{"family":"Smith","given":"Sinead"},{"family":"Ryan","given":"Barbara"},{"family":"Mahmud","given":"Nasir"},{"family":"McNamara","given":"Deirdre"}],"issued":{"date-parts":[["2014",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[42]</w:t>
      </w:r>
      <w:r w:rsidRPr="00257F02">
        <w:rPr>
          <w:rFonts w:ascii="Book Antiqua" w:hAnsi="Book Antiqua"/>
          <w:lang w:val="en-US"/>
        </w:rPr>
        <w:fldChar w:fldCharType="end"/>
      </w:r>
      <w:r w:rsidRPr="00257F02">
        <w:rPr>
          <w:rFonts w:ascii="Book Antiqua" w:hAnsi="Book Antiqua"/>
          <w:lang w:val="en-US"/>
        </w:rPr>
        <w:t xml:space="preserve"> and the other that focused on certolizumab pegol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{"citationID":"mZjXniwi","properties":{"formattedCitation":"\\super [43]\\nosupersub{}","plainCitation":"[43]","noteIndex":0},"citationItems":[{"id":2649,"uris":["http://zotero.org/users/3734960/items/CTBSN4FQ"],"uri":["http://zotero.org/users/3734960/items/CTBSN4FQ"],"itemData":{"id":2649,"type":"article-journal","title":"Evaluation of mucosal healing in Small Bowel Crohn’s disease treated with Certolizumab Pegol assessed by wireless capsule endoscopy","container-title":"Clinical Case Reports and Reviews","volume":"2","issue":"11","source":"Crossref","URL":"https://oatext.com/Evaluation-of-mucosal-healing-in-Small-Bowel-Crohns-disease-treated-with-Certolizumab-Pegol-assessed-by-wireless-capsule-endoscopy.php","DOI":"10.15761/CCRR.1000284","ISSN":"20590393","author":[{"family":"Shafran","given":"Ira"},{"family":"Burgunder","given":"Patricia"},{"family":"DePanicis","given":"Renee"},{"family":"Fitch","given":"Kara"},{"family":"Hewit","given":"Sally"},{"family":"Abbott","given":"Laurie"}],"issued":{"date-parts":[["2016"]]},"accessed":{"date-parts":[["2019",2,5]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[43]</w:t>
      </w:r>
      <w:r w:rsidRPr="00257F02">
        <w:rPr>
          <w:rFonts w:ascii="Book Antiqua" w:hAnsi="Book Antiqua"/>
          <w:lang w:val="en-US"/>
        </w:rPr>
        <w:fldChar w:fldCharType="end"/>
      </w:r>
      <w:r w:rsidRPr="00257F02">
        <w:rPr>
          <w:rFonts w:ascii="Book Antiqua" w:hAnsi="Book Antiqua"/>
          <w:lang w:val="en-US"/>
        </w:rPr>
        <w:t xml:space="preserve">. Another study was </w:t>
      </w:r>
      <w:r w:rsidRPr="00257F02">
        <w:rPr>
          <w:rFonts w:ascii="Book Antiqua" w:hAnsi="Book Antiqua" w:cs="AdvTTae86113c"/>
          <w:lang w:val="en-US"/>
        </w:rPr>
        <w:t>a sub-study of a prospective, randomized, double blind placebo-controlled study that assessed the safety, tolerability and efficacy of glatiramer acetate (Copaxone</w:t>
      </w:r>
      <w:r w:rsidRPr="00257F02">
        <w:rPr>
          <w:rFonts w:ascii="Book Antiqua" w:hAnsi="Book Antiqua" w:cs="AdvTTae86113c"/>
          <w:vertAlign w:val="superscript"/>
          <w:lang w:val="en-US"/>
        </w:rPr>
        <w:t>®</w:t>
      </w:r>
      <w:r w:rsidRPr="00257F02">
        <w:rPr>
          <w:rFonts w:ascii="Book Antiqua" w:hAnsi="Book Antiqua" w:cs="AdvTTae86113c"/>
          <w:lang w:val="en-US"/>
        </w:rPr>
        <w:t>)</w:t>
      </w:r>
      <w:r w:rsidRPr="00257F02">
        <w:rPr>
          <w:rFonts w:ascii="Book Antiqua" w:hAnsi="Book Antiqua" w:cs="AdvTTae86113c"/>
          <w:lang w:val="en-US"/>
        </w:rPr>
        <w:fldChar w:fldCharType="begin"/>
      </w:r>
      <w:r w:rsidRPr="00257F02">
        <w:rPr>
          <w:rFonts w:ascii="Book Antiqua" w:hAnsi="Book Antiqua" w:cs="AdvTTae86113c"/>
          <w:lang w:val="en-US"/>
        </w:rPr>
        <w:instrText xml:space="preserve"> ADDIN ZOTERO_ITEM CSL_CITATION {"citationID":"iO3mznvz","properties":{"formattedCitation":"\\super [44]\\nosupersub{}","plainCitation":"[44]","noteIndex":0},"citationItems":[{"id":2665,"uris":["http://zotero.org/users/3734960/items/LYFCP4EQ"],"uri":["http://zotero.org/users/3734960/items/LYFCP4EQ"],"itemData":{"id":2665,"type":"article-journal","title":"Sequential capsule endoscopy of the small bowel for follow-up of patients with known Crohn's disease","container-title":"Journal of Crohn's &amp; Colitis","page":"1616-1623","volume":"8","issue":"12","source":"PubMed","abstract":"BACKGROUND AND AIMS: The aim of this study was to perform sequential small bowel (SB) capsule endoscopy (CE) studies in patients with known active Crohn's disease (CD) during different treatments, to characterize the changes in the SB mucosa over time, and to correlate the CE findings with clinical and laboratory parameters of inflammation.\nMETHODS: Consecutive patients with known moderately active CD were prospectively recruited. After proven patency with Agile capsule, CE studies were performed at baseline and after 4, 12 and 24 weeks. CE parameters and a Lewis score were calculated. Clinical and laboratory parameters were correlated. A control group of 178 non-CD patients was used for comparisons.\nRESULTS: Thirty-one CD patients were recruited and 19 met the inclusion criteria. A total of 43 CE studies were performed over the time. There was no capsule retention despite a high rate of previous SB surgery. The mean baseline CDAI, IBDQ and Lewis scores were 306±56, 135±26.6 and 1730±1780, respectively. There was no correlation at the baseline between clinical and laboratory parameters (CDAI, CRP, IBDQ) and mucosal disease (Lewis scores). CDAI and IBDQ changes over a period of 4 and 12 weeks did not correlate with the Lewis score. The cecum arrival rate of the CD patients was significantly lower (p=0.0047) and the SB transit time was significantly longer (p=0.005) compared to those of the controls.\nCONCLUSIONS: Sequential CE studies are feasible and safe in CD patients. In patients with complete CE studies, they provide reliable information on mucosal changes in CD and should be considered as an independent and objective follow-up tool in known CD patients.","DOI":"10.1016/j.crohns.2014.03.003","ISSN":"1876-4479","note":"PMID: 24666976","journalAbbreviation":"J Crohns Colitis","language":"eng","author":[{"family":"Niv","given":"Eva"},{"family":"Fishman","given":"Sigal"},{"family":"Kachman","given":"Helena"},{"family":"Arnon","given":"Ruth"},{"family":"Dotan","given":"Iris"}],"issued":{"date-parts":[["2014",12]]}}}],"schema":"https://github.com/citation-style-language/schema/raw/master/csl-citation.json"} </w:instrText>
      </w:r>
      <w:r w:rsidRPr="00257F02">
        <w:rPr>
          <w:rFonts w:ascii="Book Antiqua" w:hAnsi="Book Antiqua" w:cs="AdvTTae86113c"/>
          <w:lang w:val="en-US"/>
        </w:rPr>
        <w:fldChar w:fldCharType="separate"/>
      </w:r>
      <w:r w:rsidRPr="00257F02">
        <w:rPr>
          <w:rFonts w:ascii="Book Antiqua" w:hAnsi="Book Antiqua"/>
          <w:vertAlign w:val="superscript"/>
          <w:lang w:val="en-US"/>
        </w:rPr>
        <w:t>[44]</w:t>
      </w:r>
      <w:r w:rsidRPr="00257F02">
        <w:rPr>
          <w:rFonts w:ascii="Book Antiqua" w:hAnsi="Book Antiqua" w:cs="AdvTTae86113c"/>
          <w:lang w:val="en-US"/>
        </w:rPr>
        <w:fldChar w:fldCharType="end"/>
      </w:r>
      <w:r w:rsidRPr="00257F02">
        <w:rPr>
          <w:rFonts w:ascii="Book Antiqua" w:hAnsi="Book Antiqua" w:cs="AdvTTae86113c"/>
          <w:lang w:val="en-US"/>
        </w:rPr>
        <w:t>. In three of the nine included studies, there was no comparison between SBCE findings at baseline and during follow-up, because the included patients—most of whom were in clinical remission—had only one SBCE after treatment</w:t>
      </w:r>
      <w:r w:rsidRPr="00257F02">
        <w:rPr>
          <w:rFonts w:ascii="Book Antiqua" w:hAnsi="Book Antiqua" w:cs="AdvTTae86113c"/>
          <w:lang w:val="en-US"/>
        </w:rPr>
        <w:fldChar w:fldCharType="begin"/>
      </w:r>
      <w:r w:rsidRPr="00257F02">
        <w:rPr>
          <w:rFonts w:ascii="Book Antiqua" w:hAnsi="Book Antiqua" w:cs="AdvTTae86113c"/>
          <w:lang w:val="en-US"/>
        </w:rPr>
        <w:instrText xml:space="preserve"> ADDIN ZOTERO_ITEM CSL_CITATION {"citationID":"LJENTDuc","properties":{"formattedCitation":"\\super [45\\uc0\\u8211{}47]\\nosupersub{}","plainCitation":"[45–47]","noteIndex":0},"citationItems":[{"id":118,"uris":["http://zotero.org/users/3734960/items/GRCFDADW"],"uri":["http://zotero.org/users/3734960/items/GRCFDADW"],"itemData":{"id":118,"type":"article-journal","title":"Detection of Small Bowel Mucosal Healing and Deep Remission in Patients With Known Small Bowel Crohn's Disease Using Biomarkers, Capsule Endoscopy, and Imaging","container-title":"The American Journal of Gastroenterology","page":"1316-1323","volume":"110","issue":"9","source":"PubMed","abstract":"OBJECTIVES: Mucosal healing (MH) and deep remission (DR) are associated with improved outcomes in Crohn's disease (CD). However, most of the current data pertain to colonic MH and DR, whereas the evidence regarding the prevalence and impact of small bowel (SB) MH is scarce. The aim of this study was to to evaluate the prevalence of SBMH and DR in quiescent SBCD.\nMETHODS: Patients with known SBCD in clinical remission (CDAI&lt;150) or with mild symptoms (CDAI&lt;220) were prospectively recruited and underwent video capsule endoscopy after verification of SB patency. Inflammation was quantified using the Lewis score (LS). SBMH was defined as LS&lt;135, whereas a significant inflammation was defined as LS&gt;790. Clinico-biomarker remission was defined as a combination of clinical remission and normal biomarkers. DR was defined as a combination of clinico-biomarker remission and MH.\nRESULTS: Fifty-six patients with proven SB patency were enrolled; 52 (92.9%) patients were in clinical remission and 21 (40.4%) in clinico-biomarker remission. SBMH was demonstrated in 8/52 (15.4%) of patients in clinical remission. Moderate-to-severe SB inflammation was demonstrated in 11/52 (21.1%) of patients in clinical remission and in 1/21 (4.7%) of patients in clinical and biomarker remission. Only 7/52 (13.5%) patients were in DR.\nCONCLUSIONS: SB inflammation is detected in the majority of CD patients in clinical and biomarker remission. SBMH and DR were rare and were independent of treatment modality. Our findings represent the true inflammatory burden in quiescent patients with SBCD.","DOI":"10.1038/ajg.2015.221","ISSN":"1572-0241","note":"PMID: 26215531","journalAbbreviation":"Am. J. Gastroenterol.","language":"eng","author":[{"family":"Kopylov","given":"Uri"},{"family":"Yablecovitch","given":"Doron"},{"family":"Lahat","given":"Adi"},{"family":"Neuman","given":"Sandra"},{"family":"Levhar","given":"Nina"},{"family":"Greener","given":"Tomer"},{"family":"Klang","given":"Eyal"},{"family":"Rozendorn","given":"Noa"},{"family":"Amitai","given":"Marianne M."},{"family":"Ben-Horin","given":"Shomron"},{"family":"Eliakim","given":"Rami"}],"issued":{"date-parts":[["2015",9]]}}},{"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I."}],"issued":{"date-parts":[["2017",12]]}}},{"id":2689,"uris":["http://zotero.org/users/3734960/items/3GHETJEQ"],"uri":["http://zotero.org/users/3734960/items/3GHETJEQ"],"itemData":{"id":2689,"type":"article-journal","title":"Association of clinical and inflammatory markers with small bowel capsule endoscopy findings in Crohn's disease","container-title":"European Journal of Gastroenterology &amp; Hepatology","page":"861-867","volume":"30","issue":"8","source":"PubMed","abstract":"BACKGROUND: Mucosal healing is an established treatment endpoint in Crohn's disease (CD). Still, clinical indices and inflammatory markers are used widely in CD surveillance.\nAIM: The aim of this study was to investigate the diagnostic performance as well as the relationship of C-reactive protein (CRP) and Crohn's Disease Activity Index (CDAI) with small bowel capsule endoscopy's (SBCE) inflammation scoring index, the Lewis Score (LS).\nPATIENTS AND METHODS: CDAI, CRP, and SBCE findings of 30 CD patients with isolated small bowel disease were retrieved from our academic institution patient records and were analyzed statistically.\nRESULTS: SBCE showed significant mucosal inflammation [mean (SD) LS: 1599 (1380)], in nine (60.0%) of 15 patients who were in both clinical and biochemical remission. CDAI and CRP showed a weak and moderate correlation with LS (r=0.317, P=0.088 and r=0.516, P=0.004, respectively). The diagnostic performance of CDAI and CRP in predicting mucosal inflammation was as follows: sensitivity 23.8 and 52.4%; specificity 100 and 66.7%; positive predictive value 100 and 78.6%; and negative predictive value 36.0 and 37.5%. The area under the curve toward endoscopic activity prediction was 0.70 and 0.69, respectively.\nCONCLUSION: Both CDAI and CRP underestimated endoscopic activity as expressed by the LS in a significant proportion of patients with quiescent disease.","DOI":"10.1097/MEG.0000000000001146","ISSN":"1473-5687","note":"PMID: 29697457","journalAbbreviation":"Eur J Gastroenterol Hepatol","language":"eng","author":[{"family":"Mitselos","given":"Ioannis V."},{"family":"Katsanos","given":"Konstantinos H."},{"family":"Tatsioni","given":"Athina"},{"family":"Skamnelos","given":"Alexandros"},{"family":"Eliakim","given":"Rami"},{"family":"Tsianos","given":"Epameinondas V."},{"family":"Christodoulou","given":"Dimitrios K."}],"issued":{"date-parts":[["2018"]]}}}],"schema":"https://github.com/citation-style-language/schema/raw/master/csl-citation.json"} </w:instrText>
      </w:r>
      <w:r w:rsidRPr="00257F02">
        <w:rPr>
          <w:rFonts w:ascii="Book Antiqua" w:hAnsi="Book Antiqua" w:cs="AdvTTae86113c"/>
          <w:lang w:val="en-US"/>
        </w:rPr>
        <w:fldChar w:fldCharType="separate"/>
      </w:r>
      <w:r w:rsidRPr="00257F02">
        <w:rPr>
          <w:rFonts w:ascii="Book Antiqua" w:hAnsi="Book Antiqua"/>
          <w:vertAlign w:val="superscript"/>
          <w:lang w:val="en-US"/>
        </w:rPr>
        <w:t>[45–47]</w:t>
      </w:r>
      <w:r w:rsidRPr="00257F02">
        <w:rPr>
          <w:rFonts w:ascii="Book Antiqua" w:hAnsi="Book Antiqua" w:cs="AdvTTae86113c"/>
          <w:lang w:val="en-US"/>
        </w:rPr>
        <w:fldChar w:fldCharType="end"/>
      </w:r>
      <w:r w:rsidRPr="00257F02">
        <w:rPr>
          <w:rFonts w:ascii="Book Antiqua" w:hAnsi="Book Antiqua" w:cs="AdvTTae86113c"/>
          <w:lang w:val="en-US"/>
        </w:rPr>
        <w:t>. The SBCE</w:t>
      </w:r>
      <w:r w:rsidRPr="00257F02">
        <w:rPr>
          <w:rFonts w:ascii="Book Antiqua" w:hAnsi="Book Antiqua"/>
          <w:lang w:val="en-US"/>
        </w:rPr>
        <w:t xml:space="preserve"> findings that were considered for the assessment of mucosal healing differed according to the studies, although most of them were based on the calculation of the Lewis score, with a normal value below 135.</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cs="AdvTTae86113c"/>
          <w:lang w:val="en-US"/>
        </w:rPr>
      </w:pPr>
      <w:r w:rsidRPr="00257F02">
        <w:rPr>
          <w:rFonts w:ascii="Book Antiqua" w:hAnsi="Book Antiqua" w:cs="AdvTTae86113c"/>
          <w:lang w:val="en-US"/>
        </w:rPr>
        <w:t xml:space="preserve">Overall, despite high heterogeneity in these studies, the results indicated that </w:t>
      </w:r>
      <w:r w:rsidRPr="00257F02">
        <w:rPr>
          <w:rFonts w:ascii="Book Antiqua" w:hAnsi="Book Antiqua"/>
          <w:lang w:val="en-US"/>
        </w:rPr>
        <w:t>mucosal healing can be evaluated by SBCE to monitor the effect of medical</w:t>
      </w:r>
      <w:r w:rsidRPr="00257F02">
        <w:rPr>
          <w:rFonts w:ascii="Book Antiqua" w:hAnsi="Book Antiqua" w:cs="AdvTTae86113c"/>
          <w:lang w:val="en-US"/>
        </w:rPr>
        <w:t xml:space="preserve"> </w:t>
      </w:r>
      <w:r w:rsidRPr="00257F02">
        <w:rPr>
          <w:rFonts w:ascii="Book Antiqua" w:hAnsi="Book Antiqua"/>
          <w:lang w:val="en-US"/>
        </w:rPr>
        <w:t>treatment in patients with CD, with a significant correlation between the Lewis score and fecal calprotectin (</w:t>
      </w:r>
      <w:r w:rsidRPr="007345E0">
        <w:rPr>
          <w:rFonts w:ascii="Book Antiqua" w:hAnsi="Book Antiqua"/>
          <w:i/>
          <w:iCs/>
          <w:lang w:val="en-US"/>
        </w:rPr>
        <w:t xml:space="preserve">r = </w:t>
      </w:r>
      <w:r w:rsidRPr="00257F02">
        <w:rPr>
          <w:rFonts w:ascii="Book Antiqua" w:hAnsi="Book Antiqua"/>
          <w:lang w:val="en-US"/>
        </w:rPr>
        <w:t xml:space="preserve">0.82, </w:t>
      </w:r>
      <w:r w:rsidRPr="007345E0">
        <w:rPr>
          <w:rFonts w:ascii="Book Antiqua" w:hAnsi="Book Antiqua"/>
          <w:i/>
          <w:iCs/>
          <w:lang w:val="en-US"/>
        </w:rPr>
        <w:t xml:space="preserve">P &lt; </w:t>
      </w:r>
      <w:r w:rsidRPr="00257F02">
        <w:rPr>
          <w:rFonts w:ascii="Book Antiqua" w:hAnsi="Book Antiqua"/>
          <w:lang w:val="en-US"/>
        </w:rPr>
        <w:t>0.0001)</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{"citationID":"AuCOQUyM","properties":{"formattedCitation":"\\super [46]\\nosupersub{}","plainCitation":"[46]","noteIndex":0},"citationItems":[{"id":2674,"uris":["http://zotero.org/users/3734960/items/YWMXLPYZ"],"uri":["http://zotero.org/users/3734960/items/YWMXLPYZ"],"itemData":{"id":2674,"type":"article-journal","title":"Role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[46]</w:t>
      </w:r>
      <w:r w:rsidRPr="00257F02">
        <w:rPr>
          <w:rFonts w:ascii="Book Antiqua" w:hAnsi="Book Antiqua"/>
          <w:lang w:val="en-US"/>
        </w:rPr>
        <w:fldChar w:fldCharType="end"/>
      </w:r>
      <w:r w:rsidRPr="00257F02">
        <w:rPr>
          <w:rFonts w:ascii="Book Antiqua" w:hAnsi="Book Antiqua"/>
          <w:lang w:val="en-US"/>
        </w:rPr>
        <w:t>, while there was no significant correlation between this score and clinical activity as measured by the CDAI</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{"citationID":"WgEHXTjZ","properties":{"formattedCitation":"\\super [44,47]\\nosupersub{}","plainCitation":"[44,47]","noteIndex":0},"citationItems":[{"id":2665,"uris":["http://zotero.org/users/3734960/items/LYFCP4EQ"],"uri":["http://zotero.org/users/3734960/items/LYFCP4EQ"],"itemData":{"id":2665,"type":"article-journal","title":"Sequential capsule endoscopy of the small bowel for follow-up of patients with known Crohn's disease","container-title":"Journal of Crohn's &amp; Colitis","page":"1616-1623","volume":"8","issue":"12","source":"PubMed","abstract":"BACKGROUND AND AIMS: The aim of this study was to perform sequential small bowel (SB) capsule endoscopy (CE) studies in patients with known active Crohn's disease (CD) during different treatments, to characterize the changes in the SB mucosa over time, and to correlate the CE findings with clinical and laboratory parameters of inflammation.\nMETHODS: Consecutive patients with known moderately active CD were prospectively recruited. After proven patency with Agile capsule, CE studies were performed at baseline and after 4, 12 and 24 weeks. CE parameters and a Lewis score were calculated. Clinical and laboratory parameters were correlated. A control group of 178 non-CD patients was used for comparisons.\nRESULTS: Thirty-one CD patients were recruited and 19 met the inclusion criteria. A total of 43 CE studies were performed over the time. There was no capsule retention despite a high rate of previous SB surgery. The mean baseline CDAI, IBDQ and Lewis scores were 306±56, 135±26.6 and 1730±1780, respectively. There was no correlation at the baseline between clinical and laboratory parameters (CDAI, CRP, IBDQ) and mucosal disease (Lewis scores). CDAI and IBDQ changes over a period of 4 and 12 weeks did not correlate with the Lewis score. The cecum arrival rate of the CD patients was significantly lower (p=0.0047) and the SB transit time was significantly longer (p=0.005) compared to those of the controls.\nCONCLUSIONS: Sequential CE studies are feasible and safe in CD patients. In patients with complete CE studies, they provide reliable information on mucosal changes in CD and should be considered as an independent and objective follow-up tool in known CD patients.","DOI":"10.1016/j.crohns.2014.03.003","ISSN":"1876-4479","note":"PMID: 24666976","journalAbbreviation":"J Crohns Colitis","language":"eng","author":[{"family":"Niv","given":"Eva"},{"family":"Fishman","given":"Sigal"},{"family":"Kachman","given":"Helena"},{"family":"Arnon","given":"Ruth"},{"family":"Dotan","given":"Iris"}],"issued":{"date-parts":[["2014",12]]}}},{"id":2689,"uris":["http://zotero.org/users/3734960/items/3GHETJEQ"],"uri":["http://zotero.org/users/3734960/items/3GHETJEQ"],"itemData":{"id":2689,"type":"article-journal","title":"Association of clinical and inflammatory markers with small bowel capsule endoscopy findings in Crohn's disease","container-title":"European Journal of Gastroenterology &amp; Hepatology","page":"861-867","volume":"30","issue":"8","source":"PubMed","abstract":"BACKGROUND: Mucosal healing is an established treatment endpoint in Crohn's disease (CD). Still, clinical indices and inflammatory markers are used widely in CD surveillance.\nAIM: The aim of this study was to investigate the diagnostic performance as well as the relationship of C-reactive protein (CRP) and Crohn's Disease Activity Index (CDAI) with small bowel capsule endoscopy's (SBCE) inflammation scoring index, the Lewis Score (LS).\nPATIENTS AND METHODS: CDAI, CRP, and SBCE findings of 30 CD patients with isolated small bowel disease were retrieved from our academic institution patient records and were analyzed statistically.\nRESULTS: SBCE showed significant mucosal inflammation [mean (SD) LS: 1599 (1380)], in nine (60.0%) of 15 patients who were in both clinical and biochemical remission. CDAI and CRP showed a weak and moderate correlation with LS (r=0.317, P=0.088 and r=0.516, P=0.004, respectively). The diagnostic performance of CDAI and CRP in predicting mucosal inflammation was as follows: sensitivity 23.8 and 52.4%; specificity 100 and 66.7%; positive predictive value 100 and 78.6%; and negative predictive value 36.0 and 37.5%. The area under the curve toward endoscopic activity prediction was 0.70 and 0.69, respectively.\nCONCLUSION: Both CDAI and CRP underestimated endoscopic activity as expressed by the LS in a significant proportion of patients with quiescent disease.","DOI":"10.1097/MEG.0000000000001146","ISSN":"1473-5687","note":"PMID: 29697457","journalAbbreviation":"Eur J Gastroenterol Hepatol","language":"eng","author":[{"family":"Mitselos","given":"Ioannis V."},{"family":"Katsanos","given":"Konstantinos H."},{"family":"Tatsioni","given":"Athina"},{"family":"Skamnelos","given":"Alexandros"},{"family":"Eliakim","given":"Rami"},{"family":"Tsianos","given":"Epameinondas V."},{"family":"Christodoulou","given":"Dimitrios K."}],"issued":{"date-parts":[["2018"]]}}}],"schema":"https://github.com/citation-style-language/schema/raw/master/csl-citation.json"}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[44,47]</w:t>
      </w:r>
      <w:r w:rsidRPr="00257F02">
        <w:rPr>
          <w:rFonts w:ascii="Book Antiqua" w:hAnsi="Book Antiqua"/>
          <w:lang w:val="en-US"/>
        </w:rPr>
        <w:fldChar w:fldCharType="end"/>
      </w:r>
      <w:r w:rsidRPr="00257F02">
        <w:rPr>
          <w:rFonts w:ascii="Book Antiqua" w:hAnsi="Book Antiqua"/>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cs="AdvOTdc5ff126"/>
          <w:b/>
          <w:i/>
          <w:lang w:val="en-US"/>
        </w:rPr>
      </w:pPr>
      <w:r w:rsidRPr="00257F02">
        <w:rPr>
          <w:rFonts w:ascii="Book Antiqua" w:hAnsi="Book Antiqua"/>
          <w:b/>
          <w:i/>
          <w:lang w:val="en-US"/>
        </w:rPr>
        <w:t xml:space="preserve">Monitoring patients with </w:t>
      </w:r>
      <w:r w:rsidRPr="007345E0">
        <w:rPr>
          <w:rFonts w:ascii="Book Antiqua" w:hAnsi="Book Antiqua"/>
          <w:b/>
          <w:i/>
          <w:lang w:val="en-US"/>
        </w:rPr>
        <w:t>CD</w:t>
      </w:r>
      <w:r w:rsidRPr="00257F02">
        <w:rPr>
          <w:rFonts w:ascii="Book Antiqua" w:hAnsi="Book Antiqua"/>
          <w:b/>
          <w:i/>
          <w:lang w:val="en-US"/>
        </w:rPr>
        <w:t xml:space="preserve"> in the post-operative setting </w:t>
      </w:r>
      <w:r w:rsidRPr="00257F02">
        <w:rPr>
          <w:rFonts w:ascii="Book Antiqua" w:hAnsi="Book Antiqua" w:cs="AdvOTdc5ff126"/>
          <w:b/>
          <w:i/>
          <w:lang w:val="en-US"/>
        </w:rPr>
        <w:t>(seven studies)</w:t>
      </w:r>
    </w:p>
    <w:p w:rsidR="001D4918" w:rsidRPr="00257F02" w:rsidRDefault="001D4918" w:rsidP="007742D4">
      <w:pPr>
        <w:autoSpaceDE w:val="0"/>
        <w:autoSpaceDN w:val="0"/>
        <w:adjustRightInd w:val="0"/>
        <w:spacing w:line="360" w:lineRule="auto"/>
        <w:jc w:val="both"/>
        <w:rPr>
          <w:rFonts w:ascii="Book Antiqua" w:hAnsi="Book Antiqua" w:cs="AdvOTdc5ff126"/>
          <w:lang w:val="en-US"/>
        </w:rPr>
      </w:pPr>
      <w:r w:rsidRPr="00257F02">
        <w:rPr>
          <w:rFonts w:ascii="Book Antiqua" w:hAnsi="Book Antiqua" w:cs="AdvOTdc5ff126"/>
          <w:lang w:val="en-US"/>
        </w:rPr>
        <w:t>Only seven of the included studies focused on the monitoring of patients with CD in the post-operative setting. The results are summarized in Table 3. All but one of the studies were prospective, and they all had small-sized cohorts with less than 35 patients. The single retrospective study included 83 patients with no risk factor for post-operative recurrence. The design methodology varied greatly between studies, making them difficult to compare. First, indications for surgery were different depending on the study, with varying proportions of treatment failure, stenosis, and fistula or abscess. The existence of risk factors for post-operative recurrence was also variable between studies, especially for smoking (range, 11</w:t>
      </w:r>
      <w:r>
        <w:rPr>
          <w:rFonts w:ascii="Book Antiqua" w:hAnsi="Book Antiqua" w:cs="AdvOTdc5ff126" w:hint="eastAsia"/>
          <w:lang w:val="en-US" w:eastAsia="zh-CN"/>
        </w:rPr>
        <w:t>%</w:t>
      </w:r>
      <w:r w:rsidRPr="00257F02">
        <w:rPr>
          <w:rFonts w:ascii="Book Antiqua" w:hAnsi="Book Antiqua" w:cs="AdvOTdc5ff126"/>
          <w:lang w:val="en-US"/>
        </w:rPr>
        <w:t>–50%) and penetrating phenotype (range, 7</w:t>
      </w:r>
      <w:r>
        <w:rPr>
          <w:rFonts w:ascii="Book Antiqua" w:hAnsi="Book Antiqua" w:cs="AdvOTdc5ff126" w:hint="eastAsia"/>
          <w:lang w:val="en-US" w:eastAsia="zh-CN"/>
        </w:rPr>
        <w:t>%</w:t>
      </w:r>
      <w:r w:rsidRPr="00257F02">
        <w:rPr>
          <w:rFonts w:ascii="Book Antiqua" w:hAnsi="Book Antiqua" w:cs="AdvOTdc5ff126"/>
          <w:lang w:val="en-US"/>
        </w:rPr>
        <w:t xml:space="preserve">–58%). In some studies, post-operative prophylactic treatment was forbidden, while others allowed the use of immunosuppressive drugs or biologics. </w:t>
      </w:r>
      <w:r w:rsidRPr="00257F02">
        <w:rPr>
          <w:rFonts w:ascii="Book Antiqua" w:hAnsi="Book Antiqua" w:cs="AdvOTdc5ff126"/>
          <w:lang w:val="en-US"/>
        </w:rPr>
        <w:lastRenderedPageBreak/>
        <w:t xml:space="preserve">The interval between surgery and the endoscopic re-assessment was also extremely variable, ranging from less than 3 </w:t>
      </w:r>
      <w:proofErr w:type="spellStart"/>
      <w:r w:rsidRPr="00257F02">
        <w:rPr>
          <w:rFonts w:ascii="Book Antiqua" w:hAnsi="Book Antiqua" w:cs="AdvOTdc5ff126"/>
          <w:lang w:val="en-US"/>
        </w:rPr>
        <w:t>mo</w:t>
      </w:r>
      <w:proofErr w:type="spellEnd"/>
      <w:r w:rsidRPr="00257F02">
        <w:rPr>
          <w:rFonts w:ascii="Book Antiqua" w:hAnsi="Book Antiqua" w:cs="AdvOTdc5ff126"/>
          <w:lang w:val="en-US"/>
        </w:rPr>
        <w:t xml:space="preserve"> to 1 year. Finally, SBCE findings that were considered for defining post-operative recurrence were also different across studies, and they were mostly based on the Lewis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 xml:space="preserve">135) </w:t>
      </w:r>
      <w:r w:rsidRPr="00257F02">
        <w:rPr>
          <w:rFonts w:ascii="Book Antiqua" w:hAnsi="Book Antiqua" w:cs="AdvOTdc5ff126"/>
          <w:lang w:val="en-US"/>
        </w:rPr>
        <w:t xml:space="preserve">or the </w:t>
      </w:r>
      <w:proofErr w:type="spellStart"/>
      <w:r w:rsidRPr="00257F02">
        <w:rPr>
          <w:rFonts w:ascii="Book Antiqua" w:hAnsi="Book Antiqua" w:cs="AdvOTdc5ff126"/>
          <w:lang w:val="en-US"/>
        </w:rPr>
        <w:t>Rutgeerts</w:t>
      </w:r>
      <w:proofErr w:type="spellEnd"/>
      <w:r w:rsidRPr="00257F02">
        <w:rPr>
          <w:rFonts w:ascii="Book Antiqua" w:hAnsi="Book Antiqua" w:cs="AdvOTdc5ff126"/>
          <w:lang w:val="en-US"/>
        </w:rPr>
        <w:t xml:space="preserve">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i,1 or i,2)</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{"citationID":"qzfiQeeA","properties":{"formattedCitation":"\\super [48]\\nosupersub{}","plainCitation":"[48]","noteIndex":0},"citationItems":[{"id":450,"uris":["http://zotero.org/users/3734960/items/Y82V3JIB"],"uri":["http://zotero.org/users/3734960/items/Y82V3JIB"],"itemData":{"id":450,"type":"article-journal","title":"Predictability of the postoperative course of Crohn's disease","container-title":"Gastroenterology","page":"956-963","volume":"99","issue":"4","source":"PubMed","abstract":"Eighty-nine patients who had been treated by ileal resection for Crohn's disease between 1979 and 1984 were included in a prospective cohort follow up to study the natural course of early postoperative lesions. Recurrent lesions were observed endoscopically in the neoterminal ileum within 1 year of surgery in 73% of the patients, although only 20% of the patients had symptoms. Three years after surgery, the endoscopic recurrence rate had increased to 85% and symptomatic recurrence occurred in 34%. The ultimate course of the disease was best predicted by the severity of the early postoperative lesions, as observed at ileoscopy. Clinical parameters that influenced outcome were preoperative disease activity, the indication for surgery, and the number of surgical resections. When patients were stratified for preoperative disease activity, the severity of lesions found at endoscopy remained a strong predictive factor for symptomatic recurrence. In 22 other patients submitted to \"curative\" ileal resection and ileocolonic anastomosis, the segment to be used as neoterminal ileum was carefully examined during surgery, and two large biopsies were taken before making the anastomosis. An ileoscopy was performed 6 months after surgery. Although all patients had a macroscopically normal neoterminal ileum and 19 had entirely normal biopsies at the time of surgery, 21 patients were found at ileoscopy to have developed ileitis involving a 15-cm segment (range, 4-30 cm), and 20 had unequivocal microscopic lesions on biopsies. These studies suggest that early lesions in the neoterminal ileum after Crohn's resection do not originate from microscopic inflammation present in this bowel segment at the time of surgery. The early postoperative lesions in the neoterminal ileum seem to be a suitable model to study the pathogenesis of Crohn's disease and also to evaluate new therapeutic modalities, either to prevent development of these early lesions or to treat progressive recurrence.","ISSN":"0016-5085","note":"PMID: 2394349","journalAbbreviation":"Gastroenterology","language":"eng","author":[{"family":"Rutgeerts","given":"P."},{"family":"Geboes","given":"K."},{"family":"Vantrappen","given":"G."},{"family":"Beyls","given":"J."},{"family":"Kerremans","given":"R."},{"family":"Hiele","given":"M."}],"issued":{"date-parts":[["1990",10]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[48]</w:t>
      </w:r>
      <w:r w:rsidRPr="00257F02">
        <w:rPr>
          <w:rFonts w:ascii="Book Antiqua" w:hAnsi="Book Antiqua"/>
          <w:lang w:val="en-US"/>
        </w:rPr>
        <w:fldChar w:fldCharType="end"/>
      </w:r>
      <w:r w:rsidRPr="00257F02">
        <w:rPr>
          <w:rFonts w:ascii="Book Antiqua" w:hAnsi="Book Antiqua" w:cs="AdvOTdc5ff126"/>
          <w:lang w:val="en-US"/>
        </w:rPr>
        <w:t xml:space="preserve">.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cs="AdvOTdc5ff126"/>
          <w:szCs w:val="28"/>
          <w:lang w:val="en-US"/>
        </w:rPr>
      </w:pPr>
      <w:r w:rsidRPr="00257F02">
        <w:rPr>
          <w:rFonts w:ascii="Book Antiqua" w:hAnsi="Book Antiqua" w:cs="AdvOTdc5ff126"/>
          <w:lang w:val="en-US"/>
        </w:rPr>
        <w:t xml:space="preserve">All but one study compared SBCE to </w:t>
      </w:r>
      <w:proofErr w:type="spellStart"/>
      <w:r w:rsidRPr="00257F02">
        <w:rPr>
          <w:rFonts w:ascii="Book Antiqua" w:hAnsi="Book Antiqua" w:cs="AdvOTdc5ff126"/>
          <w:lang w:val="en-US"/>
        </w:rPr>
        <w:t>ileocolonoscopy</w:t>
      </w:r>
      <w:proofErr w:type="spellEnd"/>
      <w:r w:rsidRPr="00257F02">
        <w:rPr>
          <w:rFonts w:ascii="Book Antiqua" w:hAnsi="Book Antiqua" w:cs="AdvOTdc5ff126"/>
          <w:lang w:val="en-US"/>
        </w:rPr>
        <w:t xml:space="preserve">, which is the current gold standard for assessing </w:t>
      </w:r>
      <w:r w:rsidRPr="00257F02">
        <w:rPr>
          <w:rFonts w:ascii="Book Antiqua" w:hAnsi="Book Antiqua" w:cs="AdvOTdc5ff126"/>
          <w:szCs w:val="28"/>
          <w:lang w:val="en-US"/>
        </w:rPr>
        <w:t xml:space="preserve">post-operative recurrence in patients with CD. Although two studies showed that the sensitivity of </w:t>
      </w:r>
      <w:r w:rsidRPr="00257F02">
        <w:rPr>
          <w:rFonts w:ascii="Book Antiqua" w:hAnsi="Book Antiqua"/>
          <w:szCs w:val="28"/>
          <w:lang w:val="en-US"/>
        </w:rPr>
        <w:t xml:space="preserve">SBCE in detecting recurrence in the </w:t>
      </w:r>
      <w:proofErr w:type="spellStart"/>
      <w:r w:rsidRPr="00257F02">
        <w:rPr>
          <w:rFonts w:ascii="Book Antiqua" w:hAnsi="Book Antiqua"/>
          <w:szCs w:val="28"/>
          <w:lang w:val="en-US"/>
        </w:rPr>
        <w:t>neoterminal</w:t>
      </w:r>
      <w:proofErr w:type="spellEnd"/>
      <w:r w:rsidRPr="00257F02">
        <w:rPr>
          <w:rFonts w:ascii="Book Antiqua" w:hAnsi="Book Antiqua"/>
          <w:szCs w:val="28"/>
          <w:lang w:val="en-US"/>
        </w:rPr>
        <w:t xml:space="preserve"> ileum was not superior to that of</w:t>
      </w:r>
      <w:r w:rsidRPr="00257F02">
        <w:rPr>
          <w:rFonts w:ascii="Book Antiqua" w:hAnsi="Book Antiqua" w:cs="AdvOTdc5ff126"/>
          <w:szCs w:val="28"/>
          <w:lang w:val="en-US"/>
        </w:rPr>
        <w:t xml:space="preserve"> </w:t>
      </w:r>
      <w:proofErr w:type="spellStart"/>
      <w:r w:rsidRPr="00257F02">
        <w:rPr>
          <w:rFonts w:ascii="Book Antiqua" w:hAnsi="Book Antiqua"/>
          <w:szCs w:val="28"/>
          <w:lang w:val="en-US"/>
        </w:rPr>
        <w:t>ileocolonoscopy</w:t>
      </w:r>
      <w:proofErr w:type="spellEnd"/>
      <w:r w:rsidRPr="00257F02">
        <w:rPr>
          <w:rFonts w:ascii="Book Antiqua" w:hAnsi="Book Antiqua"/>
          <w:szCs w:val="28"/>
          <w:lang w:val="en-US"/>
        </w:rPr>
        <w:fldChar w:fldCharType="begin"/>
      </w:r>
      <w:r w:rsidRPr="00257F02">
        <w:rPr>
          <w:rFonts w:ascii="Book Antiqua" w:hAnsi="Book Antiqua"/>
          <w:szCs w:val="28"/>
          <w:lang w:val="en-US"/>
        </w:rPr>
        <w:instrText xml:space="preserve"> ADDIN ZOTERO_ITEM CSL_CITATION {"citationID":"nADKd5Xu","properties":{"formattedCitation":"\\super [49,50]\\nosupersub{}","plainCitation":"[49,50]","noteIndex":0},"citationItems":[{"id":2692,"uris":["http://zotero.org/users/3734960/items/6CADSF5P"],"uri":["http://zotero.org/users/3734960/items/6CADSF5P"],"itemData":{"id":2692,"type":"article-journal","title":"Wireless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P."}],"issued":{"date-parts":[["2006",7]]}}},{"id":2688,"uris":["http://zotero.org/users/3734960/items/TY52RV5Q"],"uri":["http://zotero.org/users/3734960/items/TY52RV5Q"],"itemData":{"id":2688,"type":"article-journal","title":"Wireless capsule endoscopy and small intestine contrast ultrasonography in recurrence of Crohn's disease","container-title":"Inflammatory Bowel Diseases","page":"1256-1265","volume":"13","issue":"10","source":"PubMed","abstract":"BACKGROUND: The best available tool to assess recurrence of Crohn's disease (CD) is ileocolonoscopy (CC). Small intestine contrast ultrasonography (SICUS) and wireless capsule endoscopy (WCE) are noninvasive techniques able to detect small bowel lesions. In a prospective longitudinal study, we aimed to investigate the usefulness of SICUS and WCE for assessing postoperative recurrence of CD 1 year after surgery, using CC as the gold standard.\nMETHODS: Twenty-two patients (11 men, median age 33 years, range 22-67 years) undergoing ileocolonic resection for CD were prospectively followed from July 2003 to May 2006, with the Crohn's Disease Activity Index (CDAI) used for clinical assessment every 3 months for 1 year. At 1 year, recurrence was assessed by SICUS and CC, followed by WCE. CD recurrence was assessed by CC (Rutgeerts score). SICUS was performed after ingestion of polyethylene glycol, and WCE was performed with Given M2A equipment.\nRESULTS: At 1 year, all 22 patients had inactive CD (CDAI &lt; 150). In 5 patients, WCE was not performed because of luminal narrowing or stenosis. Seventeen of the 22 patients had all 3 techniques performed. CC detected recurrence in 21 of 22 patients. Lesions compatible with recurrence were detected by SICUS in all 22 patients (1 false positive). When considering only the 17 patients studied by all 3 techniques, recurrence was detected by CC in 16 of 17 patients, whereas lesions compatible with recurrence were detected by SICUS in all 17 patients (16 true positives [TPs], 1 FP) and by WCE in 16 of 17 patients (16 TPs, 1 true negative).\nCONCLUSIONS: The present findings suggest that SICUS and WCE may be used as noninvasive techniques for the assessment of recurrence of CD in patients being regularly followed up after ileocolonic resection.","DOI":"10.1002/ibd.20199","ISSN":"1078-0998","note":"PMID: 17577246","journalAbbreviation":"Inflamm. Bowel Dis.","language":"eng","author":[{"family":"Biancone","given":"Livia"},{"family":"Calabrese","given":"Emma"},{"family":"Petruzziello","given":"Carmelina"},{"family":"Onali","given":"Sara"},{"family":"Caruso","given":"Anna"},{"family":"Palmieri","given":"Giampiero"},{"family":"Sica","given":"Giuseppe S."},{"family":"Pallone","given":"Francesco"}],"issued":{"date-parts":[["2007",10]]}}}],"schema":"https://github.com/citation-style-language/schema/raw/master/csl-citation.json"} </w:instrText>
      </w:r>
      <w:r w:rsidRPr="00257F02">
        <w:rPr>
          <w:rFonts w:ascii="Book Antiqua" w:hAnsi="Book Antiqua"/>
          <w:szCs w:val="28"/>
          <w:lang w:val="en-US"/>
        </w:rPr>
        <w:fldChar w:fldCharType="separate"/>
      </w:r>
      <w:r w:rsidRPr="00257F02">
        <w:rPr>
          <w:rFonts w:ascii="Book Antiqua" w:hAnsi="Book Antiqua"/>
          <w:vertAlign w:val="superscript"/>
          <w:lang w:val="en-US"/>
        </w:rPr>
        <w:t>[49,50]</w:t>
      </w:r>
      <w:r w:rsidRPr="00257F02">
        <w:rPr>
          <w:rFonts w:ascii="Book Antiqua" w:hAnsi="Book Antiqua"/>
          <w:szCs w:val="28"/>
          <w:lang w:val="en-US"/>
        </w:rPr>
        <w:fldChar w:fldCharType="end"/>
      </w:r>
      <w:r w:rsidRPr="00257F02">
        <w:rPr>
          <w:rFonts w:ascii="Book Antiqua" w:hAnsi="Book Antiqua"/>
          <w:szCs w:val="28"/>
          <w:lang w:val="en-US"/>
        </w:rPr>
        <w:t>,</w:t>
      </w:r>
      <w:r w:rsidRPr="00257F02">
        <w:rPr>
          <w:rFonts w:ascii="Book Antiqua" w:hAnsi="Book Antiqua" w:cs="AdvOTdc5ff126"/>
          <w:szCs w:val="28"/>
          <w:lang w:val="en-US"/>
        </w:rPr>
        <w:t xml:space="preserve"> the other studies showed that SBCE could detect post-operative recurrence more frequently than </w:t>
      </w:r>
      <w:proofErr w:type="spellStart"/>
      <w:r w:rsidRPr="00257F02">
        <w:rPr>
          <w:rFonts w:ascii="Book Antiqua" w:hAnsi="Book Antiqua" w:cs="AdvOTdc5ff126"/>
          <w:szCs w:val="28"/>
          <w:lang w:val="en-US"/>
        </w:rPr>
        <w:t>ileocolonoscopy</w:t>
      </w:r>
      <w:proofErr w:type="spellEnd"/>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{"citationID":"FGA4VgA4","properties":{"formattedCitation":"\\super [51\\uc0\\u8211{}54]\\nosupersub{}","plainCitation":"[51–54]","noteIndex":0},"citationItems":[{"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id":2890,"uris":["http://zotero.org/users/3734960/items/TKAWBNUU"],"uri":["http://zotero.org/users/3734960/items/TKAWBNUU"],"itemData":{"id":2890,"type":"article-journal","title":"Prospective postsurgical capsule endoscopy in patients with Crohn's disease","container-title":"World Journal of Gastrointestinal Endoscopy","page":"88-98","volume":"6","issue":"3","source":"PubMed","abstract":"AIM: To clarify the usefulness of postsurgical capsule endoscopy (CE) in the diagnosis of recurrent small bowel lesions of Crohn's disease (CD).\nMETHODS: This prospective study included 19 patients who underwent ileocolectomy or partial ileal resection for CD. CE was performed 2-3 wk after surgery to check for the presence/absence and severity of lesions remaining in the small bowel, and for any recurrence at the anastomosed area. CE was repeated 6-8 mo after surgery and the findings were compared with those obtained shortly after surgery. The Lewis score (LS) was used to evaluate any inflammatory changes of the small bowel.\nRESULTS: One patient was excluded from analysis because of insufficient endoscopy data at the initial CE. The total LS shortly after surgery was 428.3 on average (median, 174; range, 8-4264), and was ≥ 135 (active stage) in 78% (14 of 18) of the patients. When the remaining unresected small bowel was divided into 3 equal portions according to the transition time (proximal, middle, and distal tertiles), the mean LS was 286.6, 83.0, and 146.7, respectively, without any significant difference. Ulcerous lesions in the anastomosed area were observed in 83% of all patients. In 38% of the 13 patients who could undergo CE again after 6-8 mo, the total LS was higher by ≥ 100 than that recorded shortly after surgery, thus indicating a diagnosis of endoscopic progressive recurrence.\nCONCLUSION: Our pilot study suggests that CE can be used to objectively evaluate the postoperative recurrence of small bowel lesions after surgery for CD.","DOI":"10.4253/wjge.v6.i3.88","ISSN":"1948-5190","note":"PMID: 24634713\nPMCID: PMC3952165","journalAbbreviation":"World J Gastrointest Endosc","language":"eng","author":[{"family":"Kono","given":"Tomoaki"},{"family":"Hida","given":"Nobuyuki"},{"family":"Nogami","given":"Koji"},{"family":"Iimuro","given":"Masaki"},{"family":"Ohda","given":"Yoshio"},{"family":"Yokoyama","given":"Yoko"},{"family":"Kamikozuru","given":"Koji"},{"family":"Tozawa","given":"Katsuyuki"},{"family":"Kawai","given":"Mikio"},{"family":"Ogawa","given":"Tomohiro"},{"family":"Hori","given":"Kazutoshi"},{"family":"Ikeuchi","given":"Hiroki"},{"family":"Miwa","given":"Hiroto"},{"family":"Nakamura","given":"Shiro"},{"family":"Matsumoto","given":"Takayuki"}],"issued":{"date-parts":[["2014",3,16]]}}},{"id":2678,"uris":["http://zotero.org/users/3734960/items/Q7CPENIU"],"uri":["http://zotero.org/users/3734960/items/Q7CPENIU"],"itemData":{"id":2678,"type":"article-journal","title":"Pan-intestinal capsule endoscopy in patients with postoperative Crohn's disease: a pilot study","container-title":"Scandinavian Journal of Gastroenterology","page":"840-845","volume":"52","issue":"8","source":"PubMed","abstract":"BACKGROUND: Patients are at increased risk of disease recurrence after surgical treatment of Crohn's disease. Endoscopic detection of postoperative, ileo-colonic inflammation is well established, but the potential of pan-intestinal endoscopy is yet unknown.\nMETHODS: This prospective multicenter pilot study assessed the value of pan-intestinal capsule endoscopy using a colon capsule endoscope for the detection of inflammatory recurrence of Crohn´s disease. Patients who had been operatively treated for Crohn´s disease were included. Colon capsule endoscopy was performed 4-8 weeks (d1) and 4-8 months (d2) postoperatively together with ileo-colonoscopy at d2 using a modified Ruttgeerts index for evaluating disease activity.\nRESULTS: Twenty-two patients were included into this study. At d1, significant disease activity (Ruttgeerts index ≥2) was detected in 3/16 (19%) of the patients. At d2, half of the patients (6/12) showed active disease, whereas ileo-colonoscopy revealed significant inflammation in 5/15 (33%). All patients rated as having active disease by ileo-colonoscopy had been revealed by PICE as well. These findings influenced the medical treatment in every case.\nCONCLUSION: Pan-intestinal capsule endoscopy seems to be feasible in the postoperative surveillance of Crohn's disease. Disease activity is reliably detected. Especially, the findings in the small bowl might be a significant advantage in comparison to ileo-colonoscopy, as they can have significant impact on clinical management. Further studies with a larger number of patients are needed to confirm these findings and might lead to a replacement of the flexible ileo-colonoscopy with pan-intestinal capsule endoscopy in this indication in the future.","DOI":"10.1080/00365521.2017.1310289","ISSN":"1502-7708","note":"PMID: 28431493","title-short":"Pan-intestinal capsule endoscopy in patients with postoperative Crohn's disease","journalAbbreviation":"Scand. J. Gastroenterol.","language":"eng","author":[{"family":"Hausmann","given":"Johannes"},{"family":"Schmelz","given":"Renate"},{"family":"Walldorf","given":"Jens"},{"family":"Filmann","given":"Natalie"},{"family":"Zeuzem","given":"Stefan"},{"family":"Albert","given":"Jörg G."}],"issued":{"date-parts":[["2017",8]]}}},{"id":2679,"uris":["http://zotero.org/users/3734960/items/DBFITEDG"],"uri":["http://zotero.org/users/3734960/items/DBFITEDG"],"itemData":{"id":2679,"type":"article-journal","title":"Impact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rPr>
        <w:t>[51–54]</w:t>
      </w:r>
      <w:r w:rsidRPr="00257F02">
        <w:rPr>
          <w:rFonts w:ascii="Book Antiqua" w:hAnsi="Book Antiqua" w:cs="AdvOTdc5ff126"/>
          <w:szCs w:val="28"/>
          <w:lang w:val="en-US"/>
        </w:rPr>
        <w:fldChar w:fldCharType="end"/>
      </w:r>
      <w:r w:rsidRPr="00257F02">
        <w:rPr>
          <w:rFonts w:ascii="Book Antiqua" w:hAnsi="Book Antiqua" w:cs="AdvOTdc5ff126"/>
          <w:szCs w:val="28"/>
          <w:lang w:val="en-US"/>
        </w:rPr>
        <w:t>, and with a better tolerance</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{"citationID":"GWWHdU3e","properties":{"formattedCitation":"\\super [51]\\nosupersub{}","plainCitation":"[51]","noteIndex":0},"citationItems":[{"id":2673,"uris":["http://zotero.org/users/3734960/items/D4YM5SGU"],"uri":["http://zotero.org/users/3734960/items/D4YM5SGU"],"itemData":{"id":2673,"type":"article-journal","title":"Evaluation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lang w:val="en-US"/>
        </w:rPr>
        <w:t>[51]</w:t>
      </w:r>
      <w:r w:rsidRPr="00257F02">
        <w:rPr>
          <w:rFonts w:ascii="Book Antiqua" w:hAnsi="Book Antiqua" w:cs="AdvOTdc5ff126"/>
          <w:szCs w:val="28"/>
          <w:lang w:val="en-US"/>
        </w:rPr>
        <w:fldChar w:fldCharType="end"/>
      </w:r>
      <w:r w:rsidRPr="00257F02">
        <w:rPr>
          <w:rFonts w:ascii="Book Antiqua" w:hAnsi="Book Antiqua" w:cs="AdvOTdc5ff126"/>
          <w:szCs w:val="28"/>
          <w:lang w:val="en-US"/>
        </w:rPr>
        <w:t xml:space="preserve">. Moreover, two studies demonstrated that SBCE detected lesions outside the scope of </w:t>
      </w:r>
      <w:proofErr w:type="spellStart"/>
      <w:r w:rsidRPr="00257F02">
        <w:rPr>
          <w:rFonts w:ascii="Book Antiqua" w:hAnsi="Book Antiqua" w:cs="AdvOTdc5ff126"/>
          <w:szCs w:val="28"/>
          <w:lang w:val="en-US"/>
        </w:rPr>
        <w:t>ileocolonoscopy</w:t>
      </w:r>
      <w:proofErr w:type="spellEnd"/>
      <w:r w:rsidRPr="00257F02">
        <w:rPr>
          <w:rFonts w:ascii="Book Antiqua" w:hAnsi="Book Antiqua" w:cs="AdvOTdc5ff126"/>
          <w:szCs w:val="28"/>
          <w:lang w:val="en-US"/>
        </w:rPr>
        <w:t xml:space="preserve"> in more than half of the patients</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{"citationID":"jTee0xzT","properties":{"formattedCitation":"\\super [49,51]\\nosupersub{}","plainCitation":"[49,51]","noteIndex":0},"citationItems":[{"id":2692,"uris":["http://zotero.org/users/3734960/items/6CADSF5P"],"uri":["http://zotero.org/users/3734960/items/6CADSF5P"],"itemData":{"id":2692,"type":"article-journal","title":"Wireless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lang w:val="en-US"/>
        </w:rPr>
        <w:t>[49,51]</w:t>
      </w:r>
      <w:r w:rsidRPr="00257F02">
        <w:rPr>
          <w:rFonts w:ascii="Book Antiqua" w:hAnsi="Book Antiqua" w:cs="AdvOTdc5ff126"/>
          <w:szCs w:val="28"/>
          <w:lang w:val="en-US"/>
        </w:rPr>
        <w:fldChar w:fldCharType="end"/>
      </w:r>
      <w:r w:rsidRPr="00257F02">
        <w:rPr>
          <w:rFonts w:ascii="Book Antiqua" w:hAnsi="Book Antiqua" w:cs="AdvOTdc5ff126"/>
          <w:szCs w:val="28"/>
          <w:lang w:val="en-US"/>
        </w:rPr>
        <w:t xml:space="preserve">, which might be a substantial advantage as compared to conventional endoscopy because of the prognostic impact of these lesions on therapeutic management. </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cs="AdvOTdc5ff126"/>
          <w:lang w:val="en-US"/>
        </w:rPr>
        <w:t xml:space="preserve">The retrospective study was also interesting and </w:t>
      </w:r>
      <w:r w:rsidRPr="00257F02">
        <w:rPr>
          <w:rFonts w:ascii="Book Antiqua" w:hAnsi="Book Antiqua"/>
          <w:lang w:val="en-US"/>
        </w:rPr>
        <w:t xml:space="preserve">evaluated the impact of SBCE findings on clinical outcomes in asymptomatic patients without medical prophylaxis after ileocolonic resection. Two groups of patients were compared. Group 1 underwent </w:t>
      </w:r>
      <w:proofErr w:type="spellStart"/>
      <w:r w:rsidRPr="00257F02">
        <w:rPr>
          <w:rFonts w:ascii="Book Antiqua" w:hAnsi="Book Antiqua"/>
          <w:lang w:val="en-US"/>
        </w:rPr>
        <w:t>ileocolonoscopy</w:t>
      </w:r>
      <w:proofErr w:type="spellEnd"/>
      <w:r w:rsidRPr="00257F02">
        <w:rPr>
          <w:rFonts w:ascii="Book Antiqua" w:hAnsi="Book Antiqua"/>
          <w:lang w:val="en-US"/>
        </w:rPr>
        <w:t xml:space="preserve"> and SBCE</w:t>
      </w:r>
      <w:r w:rsidRPr="00257F02">
        <w:rPr>
          <w:rFonts w:ascii="Book Antiqua" w:hAnsi="Book Antiqua" w:cs="AdvOTdc5ff126"/>
          <w:lang w:val="en-US"/>
        </w:rPr>
        <w:t xml:space="preserve"> </w:t>
      </w:r>
      <w:r w:rsidRPr="00257F02">
        <w:rPr>
          <w:rFonts w:ascii="Book Antiqua" w:hAnsi="Book Antiqua"/>
          <w:lang w:val="en-US"/>
        </w:rPr>
        <w:t xml:space="preserve">within 1 year after surgery, whereas group 2 only had </w:t>
      </w:r>
      <w:proofErr w:type="spellStart"/>
      <w:r w:rsidRPr="00257F02">
        <w:rPr>
          <w:rFonts w:ascii="Book Antiqua" w:hAnsi="Book Antiqua"/>
          <w:lang w:val="en-US"/>
        </w:rPr>
        <w:t>ileocolonoscopy</w:t>
      </w:r>
      <w:proofErr w:type="spellEnd"/>
      <w:r w:rsidRPr="00257F02">
        <w:rPr>
          <w:rFonts w:ascii="Book Antiqua" w:hAnsi="Book Antiqua"/>
          <w:lang w:val="en-US"/>
        </w:rPr>
        <w:t>. Patients with endoscopic</w:t>
      </w:r>
      <w:r w:rsidRPr="00257F02">
        <w:rPr>
          <w:rFonts w:ascii="Book Antiqua" w:hAnsi="Book Antiqua" w:cs="AdvOTdc5ff126"/>
          <w:lang w:val="en-US"/>
        </w:rPr>
        <w:t xml:space="preserve"> </w:t>
      </w:r>
      <w:r w:rsidRPr="00257F02">
        <w:rPr>
          <w:rFonts w:ascii="Book Antiqua" w:hAnsi="Book Antiqua"/>
          <w:lang w:val="en-US"/>
        </w:rPr>
        <w:t xml:space="preserve">recurrence detected by either </w:t>
      </w:r>
      <w:proofErr w:type="spellStart"/>
      <w:r w:rsidRPr="00257F02">
        <w:rPr>
          <w:rFonts w:ascii="Book Antiqua" w:hAnsi="Book Antiqua"/>
          <w:lang w:val="en-US"/>
        </w:rPr>
        <w:t>ileocolonoscopy</w:t>
      </w:r>
      <w:proofErr w:type="spellEnd"/>
      <w:r w:rsidRPr="00257F02">
        <w:rPr>
          <w:rFonts w:ascii="Book Antiqua" w:hAnsi="Book Antiqua"/>
          <w:lang w:val="en-US"/>
        </w:rPr>
        <w:t xml:space="preserve"> or SBCE received azathioprine</w:t>
      </w:r>
      <w:r w:rsidRPr="00257F02">
        <w:rPr>
          <w:rFonts w:ascii="Book Antiqua" w:hAnsi="Book Antiqua" w:cs="AdvOTdc5ff126"/>
          <w:lang w:val="en-US"/>
        </w:rPr>
        <w:t xml:space="preserve"> </w:t>
      </w:r>
      <w:r w:rsidRPr="00257F02">
        <w:rPr>
          <w:rFonts w:ascii="Book Antiqua" w:hAnsi="Book Antiqua"/>
          <w:lang w:val="en-US"/>
        </w:rPr>
        <w:t xml:space="preserve">or infliximab. One year later, disease activity was re-assessed by </w:t>
      </w:r>
      <w:proofErr w:type="spellStart"/>
      <w:r w:rsidRPr="00257F02">
        <w:rPr>
          <w:rFonts w:ascii="Book Antiqua" w:hAnsi="Book Antiqua"/>
          <w:lang w:val="en-US"/>
        </w:rPr>
        <w:t>ileocolonoscopy</w:t>
      </w:r>
      <w:proofErr w:type="spellEnd"/>
      <w:r w:rsidRPr="00257F02">
        <w:rPr>
          <w:rFonts w:ascii="Book Antiqua" w:hAnsi="Book Antiqua"/>
          <w:lang w:val="en-US"/>
        </w:rPr>
        <w:t>. The clinical recurrence rate was 2.7% in group 1 compared with</w:t>
      </w:r>
      <w:r w:rsidRPr="00257F02">
        <w:rPr>
          <w:rFonts w:ascii="Book Antiqua" w:hAnsi="Book Antiqua" w:cs="AdvOTdc5ff126"/>
          <w:lang w:val="en-US"/>
        </w:rPr>
        <w:t xml:space="preserve"> </w:t>
      </w:r>
      <w:r w:rsidRPr="00257F02">
        <w:rPr>
          <w:rFonts w:ascii="Book Antiqua" w:hAnsi="Book Antiqua"/>
          <w:lang w:val="en-US"/>
        </w:rPr>
        <w:t>21.7% in group 2 (</w:t>
      </w:r>
      <w:r w:rsidRPr="007345E0">
        <w:rPr>
          <w:rFonts w:ascii="Book Antiqua" w:hAnsi="Book Antiqua"/>
          <w:i/>
          <w:iCs/>
          <w:lang w:val="en-US"/>
        </w:rPr>
        <w:t xml:space="preserve">P = </w:t>
      </w:r>
      <w:r w:rsidRPr="00257F02">
        <w:rPr>
          <w:rFonts w:ascii="Book Antiqua" w:hAnsi="Book Antiqua"/>
          <w:lang w:val="en-US"/>
        </w:rPr>
        <w:t>0.019), and the endoscopic recurrence rates were 21.6% and 43.5% (</w:t>
      </w:r>
      <w:r w:rsidRPr="007345E0">
        <w:rPr>
          <w:rFonts w:ascii="Book Antiqua" w:hAnsi="Book Antiqua"/>
          <w:i/>
          <w:iCs/>
          <w:lang w:val="en-US"/>
        </w:rPr>
        <w:t xml:space="preserve">P = </w:t>
      </w:r>
      <w:r w:rsidRPr="00257F02">
        <w:rPr>
          <w:rFonts w:ascii="Book Antiqua" w:hAnsi="Book Antiqua"/>
          <w:lang w:val="en-US"/>
        </w:rPr>
        <w:t>0.036), respectively</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{"citationID":"dNOhCBS0","properties":{"formattedCitation":"\\super [54]\\nosupersub{}","plainCitation":"[54]","noteIndex":0},"citationItems":[{"id":2679,"uris":["http://zotero.org/users/3734960/items/DBFITEDG"],"uri":["http://zotero.org/users/3734960/items/DBFITEDG"],"itemData":{"id":2679,"type":"article-journal","title":"Impact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[54]</w:t>
      </w:r>
      <w:r w:rsidRPr="00257F02">
        <w:rPr>
          <w:rFonts w:ascii="Book Antiqua" w:hAnsi="Book Antiqua"/>
          <w:lang w:val="en-US"/>
        </w:rPr>
        <w:fldChar w:fldCharType="end"/>
      </w:r>
      <w:r w:rsidRPr="00257F02">
        <w:rPr>
          <w:rFonts w:ascii="Book Antiqua" w:hAnsi="Book Antiqua"/>
          <w:lang w:val="en-US"/>
        </w:rPr>
        <w:t>, suggesting that SBCE could be useful in detecting post-operative recurrence especially in patients without pharmacological prophylaxis.</w:t>
      </w:r>
    </w:p>
    <w:p w:rsidR="001D4918" w:rsidRPr="00257F02" w:rsidRDefault="001D4918" w:rsidP="007742D4">
      <w:pPr>
        <w:autoSpaceDE w:val="0"/>
        <w:autoSpaceDN w:val="0"/>
        <w:adjustRightInd w:val="0"/>
        <w:spacing w:line="360" w:lineRule="auto"/>
        <w:ind w:firstLineChars="100" w:firstLine="240"/>
        <w:jc w:val="both"/>
        <w:rPr>
          <w:rFonts w:ascii="Book Antiqua" w:hAnsi="Book Antiqua"/>
          <w:lang w:val="en-US"/>
        </w:rPr>
      </w:pPr>
      <w:r w:rsidRPr="00257F02">
        <w:rPr>
          <w:rFonts w:ascii="Book Antiqua" w:hAnsi="Book Antiqua" w:cs="AdvOTdc5ff126"/>
          <w:lang w:val="en-US"/>
        </w:rPr>
        <w:t xml:space="preserve">This is reinforced by the results of another study that aimed to </w:t>
      </w:r>
      <w:r w:rsidRPr="00257F02">
        <w:rPr>
          <w:rFonts w:ascii="Book Antiqua" w:hAnsi="Book Antiqua"/>
          <w:lang w:val="en-US"/>
        </w:rPr>
        <w:t>assess residual SB lesions in 25 CD patients immediately after surgery (&lt;</w:t>
      </w:r>
      <w:r>
        <w:rPr>
          <w:rFonts w:ascii="Book Antiqua" w:hAnsi="Book Antiqua"/>
          <w:lang w:val="en-US"/>
        </w:rPr>
        <w:t xml:space="preserve"> </w:t>
      </w:r>
      <w:r w:rsidRPr="00257F02">
        <w:rPr>
          <w:rFonts w:ascii="Book Antiqua" w:hAnsi="Book Antiqua"/>
          <w:lang w:val="en-US"/>
        </w:rPr>
        <w:t xml:space="preserve">3 </w:t>
      </w:r>
      <w:proofErr w:type="spellStart"/>
      <w:r w:rsidRPr="00257F02">
        <w:rPr>
          <w:rFonts w:ascii="Book Antiqua" w:hAnsi="Book Antiqua"/>
          <w:lang w:val="en-US"/>
        </w:rPr>
        <w:t>mo</w:t>
      </w:r>
      <w:proofErr w:type="spellEnd"/>
      <w:r w:rsidRPr="00257F02">
        <w:rPr>
          <w:rFonts w:ascii="Book Antiqua" w:hAnsi="Book Antiqua"/>
          <w:lang w:val="en-US"/>
        </w:rPr>
        <w:t>). The mean Lewis score was 751.3, and 84.0% had endoscopic activity, and these residual lesions, especially in the distal SB, were associated with postoperative clinical recurrence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{"citationID":"LyrOl84T","properties":{"formattedCitation":"\\super [55]\\nosupersub{}","plainCitation":"[55]","noteIndex":0},"citationItems":[{"id":2669,"uris":["http://zotero.org/users/3734960/items/CV83RQSL"],"uri":["http://zotero.org/users/3734960/items/CV83RQSL"],"itemData":{"id":2669,"type":"article-journal","title":"Residual Lesions on Capsule Endoscopy Is Associated with Postoperative Clinical Recurrence in Patients with Crohn's Disease","container-title":"Digestive Diseases and Sciences","page":"768-774","volume":"63","issue":"3","source":"PubMed","abstract":"BACKGROUND: In order to optimize postoperative therapy in patients with Crohn's disease (CD), it is important to detect endoscopic recurrence preceding clinical recurrence. However, we have little knowledge about how high the rate of residual lesions is and whether these lesions have an influence on postoperative course or not.\nAIMS: To assess residual lesions in small bowel immediately after surgery.\nMETHODS: Capsule endoscopy (CE) was performed immediately after surgery (&lt; 3 months), and endoscopic activity was assessed using the Lewis score (LS) composed of the highest tertile score (in first, second, and third tertile) and the stenosis score (in whole small intestine). The relationship between these residual lesions and postoperative clinical recurrence was prospectively evaluated.\nRESULTS: After assessing patency using a patency capsule, CE was performed in 25 patients. The mean LS was 751.3, and 84.0% (21/25) had endoscopic activity. These lesions were detected by preoperative examinations in 0% and by a serosal side view during surgery in 16.0%. Regarding the cumulative clinical recurrence rate according to endoscopic severity (normal, mild, and moderate-to-severe) immediately after surgery, no significant difference was found. However, comparing groups divided according to the highest tertile score, the cumulative clinical recurrence rate was significantly higher in the group with the highest third tertile score. Furthermore, patients with ulcers in the third tertile had a significantly higher recurrence rate.\nCONCLUSIONS: Many cases with CD had endoscopic activity immediately after \"curative\" surgery. These residual lesions, especially in the distal small intestine, were associated with postoperative clinical recurrence.","DOI":"10.1007/s10620-018-4942-6","ISSN":"1573-2568","note":"PMID: 29380174","journalAbbreviation":"Dig. Dis. Sci.","language":"eng","author":[{"family":"Kusaka","given":"Jun"},{"family":"Shiga","given":"Hisashi"},{"family":"Kuroha","given":"Masatake"},{"family":"Kimura","given":"Tomoya"},{"family":"Kakuta","given":"Yoichi"},{"family":"Endo","given":"Katsuya"},{"family":"Kinouchi","given":"Yoshitaka"},{"family":"Shimosegawa","given":"Tooru"}],"issued":{"date-parts":[["2018",3]]}}}],"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[55]</w:t>
      </w:r>
      <w:r w:rsidRPr="00257F02">
        <w:rPr>
          <w:rFonts w:ascii="Book Antiqua" w:hAnsi="Book Antiqua"/>
          <w:lang w:val="en-US"/>
        </w:rPr>
        <w:fldChar w:fldCharType="end"/>
      </w:r>
      <w:r w:rsidRPr="00257F02">
        <w:rPr>
          <w:rFonts w:ascii="Book Antiqua" w:hAnsi="Book Antiqua"/>
          <w:lang w:val="en-US"/>
        </w:rPr>
        <w:t xml:space="preserve">, suggesting that SBCE could be used to detect very early post-operative recurrence, particularly in </w:t>
      </w:r>
      <w:r w:rsidRPr="00257F02">
        <w:rPr>
          <w:rFonts w:ascii="Book Antiqua" w:hAnsi="Book Antiqua"/>
          <w:lang w:val="en-US"/>
        </w:rPr>
        <w:lastRenderedPageBreak/>
        <w:t xml:space="preserve">patients without any risk factors who do not necessarily require prophylactic treatment according to the current guidelines.  </w:t>
      </w:r>
    </w:p>
    <w:p w:rsidR="001D4918" w:rsidRPr="00257F02" w:rsidRDefault="001D4918" w:rsidP="007742D4">
      <w:pPr>
        <w:autoSpaceDE w:val="0"/>
        <w:autoSpaceDN w:val="0"/>
        <w:adjustRightInd w:val="0"/>
        <w:spacing w:line="360" w:lineRule="auto"/>
        <w:jc w:val="both"/>
        <w:rPr>
          <w:rFonts w:ascii="Book Antiqua" w:hAnsi="Book Antiqua" w:cs="AdvOTdc5ff126"/>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DISCUSSION</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This systematic review aimed to provide a global overview of the published data on the use of SBCE for close monitoring of patients with CD. In a treat-to-target strategy, SBCE could be useful for refining disease location and prognosis, assessing mucosal healing in patients receiving treatment, and monitoring patients in the post-operative setting.</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 xml:space="preserve">In contrast to disease phenotype that has long been recognized as an independent risk factor for poor outcome when complicated, disease location was not considered to be substantial in defining disease prognosis until recently. Several studies have now demonstrated that jejunal disease is associated with an increased risk of </w:t>
      </w:r>
      <w:proofErr w:type="spellStart"/>
      <w:r w:rsidRPr="00257F02">
        <w:rPr>
          <w:rFonts w:ascii="Book Antiqua" w:hAnsi="Book Antiqua" w:cs="Arial"/>
          <w:color w:val="000000"/>
          <w:shd w:val="clear" w:color="auto" w:fill="FFFFFF"/>
          <w:lang w:val="en-US"/>
        </w:rPr>
        <w:t>stricturing</w:t>
      </w:r>
      <w:proofErr w:type="spellEnd"/>
      <w:r w:rsidRPr="00257F02">
        <w:rPr>
          <w:rFonts w:ascii="Book Antiqua" w:hAnsi="Book Antiqua" w:cs="Arial"/>
          <w:color w:val="000000"/>
          <w:shd w:val="clear" w:color="auto" w:fill="FFFFFF"/>
          <w:lang w:val="en-US"/>
        </w:rPr>
        <w:t xml:space="preserve"> disease and abdominal surgeries as compared to either </w:t>
      </w:r>
      <w:proofErr w:type="spellStart"/>
      <w:r w:rsidRPr="00257F02">
        <w:rPr>
          <w:rFonts w:ascii="Book Antiqua" w:hAnsi="Book Antiqua" w:cs="Arial"/>
          <w:color w:val="000000"/>
          <w:shd w:val="clear" w:color="auto" w:fill="FFFFFF"/>
          <w:lang w:val="en-US"/>
        </w:rPr>
        <w:t>esophagogastroduodenal</w:t>
      </w:r>
      <w:proofErr w:type="spellEnd"/>
      <w:r w:rsidRPr="00257F02">
        <w:rPr>
          <w:rFonts w:ascii="Book Antiqua" w:hAnsi="Book Antiqua" w:cs="Arial"/>
          <w:color w:val="000000"/>
          <w:shd w:val="clear" w:color="auto" w:fill="FFFFFF"/>
          <w:lang w:val="en-US"/>
        </w:rPr>
        <w:t xml:space="preserve"> (EGD) or </w:t>
      </w:r>
      <w:proofErr w:type="spellStart"/>
      <w:r w:rsidRPr="00257F02">
        <w:rPr>
          <w:rFonts w:ascii="Book Antiqua" w:hAnsi="Book Antiqua" w:cs="Arial"/>
          <w:color w:val="000000"/>
          <w:shd w:val="clear" w:color="auto" w:fill="FFFFFF"/>
          <w:lang w:val="en-US"/>
        </w:rPr>
        <w:t>ileocolonic</w:t>
      </w:r>
      <w:proofErr w:type="spellEnd"/>
      <w:r w:rsidRPr="00257F02">
        <w:rPr>
          <w:rFonts w:ascii="Book Antiqua" w:hAnsi="Book Antiqua" w:cs="Arial"/>
          <w:color w:val="000000"/>
          <w:shd w:val="clear" w:color="auto" w:fill="FFFFFF"/>
          <w:lang w:val="en-US"/>
        </w:rPr>
        <w:t xml:space="preserve"> disease</w:t>
      </w:r>
      <w:r w:rsidRPr="00257F02">
        <w:rPr>
          <w:rStyle w:val="highlight"/>
          <w:rFonts w:ascii="Book Antiqua" w:hAnsi="Book Antiqua" w:cs="Arial"/>
          <w:color w:val="000000"/>
          <w:shd w:val="clear" w:color="auto" w:fill="FFFFFF"/>
          <w:lang w:val="en-US"/>
        </w:rPr>
        <w:fldChar w:fldCharType="begin"/>
      </w:r>
      <w:r w:rsidRPr="00257F02">
        <w:rPr>
          <w:rStyle w:val="highlight"/>
          <w:rFonts w:ascii="Book Antiqua" w:hAnsi="Book Antiqua" w:cs="Arial"/>
          <w:color w:val="000000"/>
          <w:shd w:val="clear" w:color="auto" w:fill="FFFFFF"/>
          <w:lang w:val="en-US"/>
        </w:rPr>
        <w:instrText xml:space="preserve"> ADDIN ZOTERO_ITEM CSL_CITATION {"citationID":"Ev7YXWha","properties":{"formattedCitation":"\\super [5\\uc0\\u8211{}7]\\nosupersub{}","plainCitation":"[5–7]","noteIndex":0},"citationItems":[{"id":2843,"uris":["http://zotero.org/users/3734960/items/E3IGLSB5"],"uri":["http://zotero.org/users/3734960/items/E3IGLSB5"],"itemData":{"id":2843,"type":"article-journal","title":"Relationship between proximal Crohn's disease location and disease behavior and surgery: a cross-sectional study of the IBD Genetics Consortium","container-title":"The American Journal of Gastroenterology","page":"106-112","volume":"108","issue":"1","source":"PubMed","abstract":"OBJECTIVES: In classifying Crohn's disease (CD) location, proximal (L4) disease includes esophagogastroduodenal (EGD) and jejunal disease. Our aim was to determine the influence of proximal disease on outcomes of behavior and need for surgery and to determine if there was significant clinical heterogeneity between EGD and jejunal disease.\nMETHODS: We performed a cross-sectional query of the NIDDK (National Institute of Diabetes and Digestive and Kidney Disease) Inflammatory Bowel Disease Genetics Consortium (IBDGC) database of patients with a confirmed diagnosis of CD and phenotyped per the IBDGC manual. Presence of any L4, L4-EGD, L4-jejunal, and non-L4 disease (L1-ileal, L2-colonic, and L3-ileocolonic) was compared with demographic features including age, race, ethnicity, smoking and inflammatory bowel disease (IBD) family history, diagnosis age, disease duration, clinical outcomes of inflammatory, stricturing or penetrating behavior, and CD abdominal surgeries. Univariate and multivariable analyses were performed with R.\nRESULTS: Among 2,105 patients with complete disease location data, 346 had L4 disease (175 L4-EGD, 115 L4-jejunal, and 56 EGD and jejunal) with 321 having concurrent L1-L3 disease. In all, 1,759 had only L1-L3 disease. L4 vs. non-L4 patients were more likely (P&lt;0.001) to be younger at diagnosis, non-smokers, have coexisting ileal involvement, and have stricturing disease. L4-jejunal vs. L4-EGD patients were at least twice as likely (P&lt;0.001) to have had ileal disease, stricturing behavior, and any or multiple abdominal surgeries. Remarkably, L4-jejunal patients had more (P&lt;0.001) stricturing behavior and multiple abdominal surgeries than non-L4 ileal disease patients. Logistic regression showed stricturing risks were ileal (without proximal) site (odds ratio (OR) 3.18; 95% confidence interval 2.23-4.64), longer disease duration (OR 1.33/decade; 1.19-1.49), jejunal site (OR 2.90; 1.89-4.45), and older age at diagnosis (OR 1.21/decade; 1.10-1.34). Multiple surgery risks were disease duration (OR 3.74/decade; 3.05-4.64), penetrating disease (OR 2.60; 1.64-4.21), and jejunal site (OR 2.39; 1.36-4.20), with short duration from diagnosis to first surgery protective (OR 0.87/decade to first surgery; 0.84-0.90).\nCONCLUSIONS: Jejunal disease is a significantly greater risk factor for stricturing disease and multiple abdominal surgeries than either EGD or ileal (without proximal) disease. The Montreal site classification should be revised to include separate designations for jejunal and EGD disease.","DOI":"10.1038/ajg.2012.389","ISSN":"1572-0241","note":"PMID: 23229423\nPMCID: PMC4059598","title-short":"Relationship between proximal Crohn's disease location and disease behavior and surgery","journalAbbreviation":"Am. J. Gastroenterol.","language":"eng","author":[{"family":"Lazarev","given":"Mark"},{"family":"Huang","given":"Chengrui"},{"family":"Bitton","given":"Alain"},{"family":"Cho","given":"Judy H."},{"family":"Duerr","given":"Richard H."},{"family":"McGovern","given":"Dermot P."},{"family":"Proctor","given":"Deborah D."},{"family":"Regueiro","given":"Miguel"},{"family":"Rioux","given":"John D."},{"family":"Schumm","given":"Philip P."},{"family":"Taylor","given":"Kent D."},{"family":"Silverberg","given":"Mark S."},{"family":"Steinhart","given":"A. Hillary"},{"family":"Hutfless","given":"Susan"},{"family":"Brant","given":"Steven R."}],"issued":{"date-parts":[["2013",1]]}}},{"id":2842,"uris":["http://zotero.org/users/3734960/items/JP64VSKN"],"uri":["http://zotero.org/users/3734960/items/JP64VSKN"],"itemData":{"id":2842,"type":"article-journal","title":"Phenotype at diagnosis predicts recurrence rates in Crohn's disease","container-title":"Gut","page":"1124-1130","volume":"55","issue":"8","source":"PubMed","abstract":"BACKGROUND: In Crohn's disease (CD), studies associating phenotype at diagnosis and subsequent disease activity are important for patient counselling and health care planning.\nAIMS: To calculate disease recurrence rates and to correlate these with phenotypic traits at diagnosis.\nMETHODS: A prospectively assembled uniformly diagnosed European population based inception cohort of CD patients was classified according to the Vienna classification for disease phenotype at diagnosis. Surgical and non-surgical recurrence rates throughout a 10 year follow up period were calculated. Multivariate analysis was performed to classify risk factors present at diagnosis for recurrent disease.\nRESULTS: A total of 358 were classified for phenotype at diagnosis, of whom 262 (73.2%) had a first recurrence and 113 patients (31.6%) a first surgical recurrence during the first 10 years after diagnosis. Patients with upper gastrointestinal disease at diagnosis had an excess risk of recurrence (hazard ratio 1.54 (95% confidence interval (CI) 1.13-2.10)) whereas age &gt;/=40 years at diagnosis was protective (hazard ratio 0.82 (95% CI 0.70-0.97)). Colonic disease was a protective characteristic for resective surgery (hazard ratio 0.38 (95% CI 0.21-0.69)). More frequent resective surgical recurrences were reported from Copenhagen (hazard ratio 3.23 (95% CI 1.32-7.89)).\nCONCLUSIONS: A mild course of disease in terms of disease recurrence was observed in this European cohort. Phenotype at diagnosis had predictive value for disease recurrence with upper gastrointestinal disease being the most important positive predictor. A phenotypic North-South gradient in CD may be present, illustrated by higher surgery risks in some of the Northern European centres.","DOI":"10.1136/gut.2005.084061","ISSN":"0017-5749","note":"PMID: 16361306\nPMCID: PMC1856253","journalAbbreviation":"Gut","language":"eng","author":[{"family":"Wolters","given":"F. L."},{"family":"Russel","given":"M. G."},{"family":"Sijbrandij","given":"J."},{"family":"Ambergen","given":"T."},{"family":"Odes","given":"S."},{"family":"Riis","given":"L."},{"family":"Langholz","given":"E."},{"family":"Politi","given":"P."},{"family":"Qasim","given":"A."},{"family":"Koutroubakis","given":"I."},{"family":"Tsianos","given":"E."},{"family":"Vermeire","given":"S."},{"family":"Freitas","given":"J."},{"family":"Zeijl","given":"G.","non-dropping-particle":"van"},{"family":"Hoie","given":"O."},{"family":"Bernklev","given":"T."},{"family":"Beltrami","given":"M."},{"family":"Rodriguez","given":"D."},{"family":"Stockbrügger","given":"R. W."},{"family":"Moum","given":"B."}],"issued":{"date-parts":[["2006",8]]}}},{"id":2841,"uris":["http://zotero.org/users/3734960/items/ZDQB7QVF"],"uri":["http://zotero.org/users/3734960/items/ZDQB7QVF"],"itemData":{"id":2841,"type":"article-journal","title":"Upper gastrointestinal tract phenotype of Crohn's disease is associated with early surgery and further hospitalization","container-title":"Inflammatory Bowel Diseases","page":"551-557","volume":"15","issue":"4","source":"PubMed","abstract":"BACKGROUND: According to the Montreal Classification, upper gastrointestinal tract phenotype L4 is uncommon in Caucasian patients with Crohn's disease (CD) but carries excess risk of recurrence. We studied the clinical course of CD in Chinese patients presenting with the L4 phenotype and factors predicting its occurrence upon longitudinal follow-up.\nMETHODS: This prospective cohort study included 132 Chinese CD patients (median age at diagnosis, 30.0 years, range: 14.0-77.0 years) who were followed for 770 person-years. Demographic data including disease behavior and location, details of surgery, and hospitalization were collected. The Kaplan-Meier method was used to estimate the probabilities of further hospitalization and major surgery followed by Cox proportional hazards regression to determine if clinical variables independently predicted the endpoints.\nRESULTS: The L4 phenotype was found in 30 (22.7%) patients at presentation. There were significantly more stricturing (46.7% versus 18.6%) and penetrating (30.0% versus 3.9%) phenotypes in the L4 group than in the non-L4 group (P &lt; 0.0001). The 3-year cumulative probability of further hospitalization was 86.9% (95% confidence interval [CI]: 73.8%-100.0%) in the L4 group as compared with 49.3% (95% CI: 39.3%-59.3%) in the non-L4 group (log-rank test, P &lt; 0.0001). The L4 phenotype independently predicted further hospitalization (adjusted hazards ratio [HR]: 2.1; 95% CI: 1.3-3.5). The cumulative probability of major surgery was significantly higher in the L4 than in the non-L4 group (P &lt; 0.0001). Eighteen (17.6%) patients developed the L4 phenotype on follow-up and the stricturing phenotype predicted its occurrence (adjusted HR: 5.5; 95% CI: 2.2-14.0).\nCONCLUSIONS: Chinese CD patients more often had the L4 phenotype, which predicted the need of subsequent hospitalization.","DOI":"10.1002/ibd.20804","ISSN":"1536-4844","note":"PMID: 19067420","journalAbbreviation":"Inflamm. Bowel Dis.","language":"eng","author":[{"family":"Chow","given":"Dorothy K. L."},{"family":"Sung","given":"Joseph J. Y."},{"family":"Wu","given":"Justin C. Y."},{"family":"Tsoi","given":"Kelvin K. F."},{"family":"Leong","given":"Rupert W. L."},{"family":"Chan","given":"Francis K. L."}],"issued":{"date-parts":[["2009",4]]}}}],"schema":"https://github.com/citation-style-language/schema/raw/master/csl-citation.json"} </w:instrText>
      </w:r>
      <w:r w:rsidRPr="00257F02">
        <w:rPr>
          <w:rStyle w:val="highlight"/>
          <w:rFonts w:ascii="Book Antiqua" w:hAnsi="Book Antiqua" w:cs="Arial"/>
          <w:color w:val="000000"/>
          <w:shd w:val="clear" w:color="auto" w:fill="FFFFFF"/>
          <w:lang w:val="en-US"/>
        </w:rPr>
        <w:fldChar w:fldCharType="separate"/>
      </w:r>
      <w:r w:rsidRPr="00257F02">
        <w:rPr>
          <w:rFonts w:ascii="Book Antiqua" w:hAnsi="Book Antiqua"/>
          <w:vertAlign w:val="superscript"/>
          <w:lang w:val="en-US"/>
        </w:rPr>
        <w:t>[5–7]</w:t>
      </w:r>
      <w:r w:rsidRPr="00257F02">
        <w:rPr>
          <w:rStyle w:val="highlight"/>
          <w:rFonts w:ascii="Book Antiqua" w:hAnsi="Book Antiqua" w:cs="Arial"/>
          <w:color w:val="000000"/>
          <w:shd w:val="clear" w:color="auto" w:fill="FFFFFF"/>
          <w:lang w:val="en-US"/>
        </w:rPr>
        <w:fldChar w:fldCharType="end"/>
      </w:r>
      <w:r w:rsidRPr="00257F02">
        <w:rPr>
          <w:rStyle w:val="highlight"/>
          <w:rFonts w:ascii="Book Antiqua" w:hAnsi="Book Antiqua" w:cs="Arial"/>
          <w:color w:val="000000"/>
          <w:shd w:val="clear" w:color="auto" w:fill="FFFFFF"/>
          <w:lang w:val="en-US"/>
        </w:rPr>
        <w:t xml:space="preserve">. </w:t>
      </w:r>
      <w:r w:rsidRPr="00257F02">
        <w:rPr>
          <w:rFonts w:ascii="Book Antiqua" w:hAnsi="Book Antiqua"/>
          <w:lang w:val="en-US"/>
        </w:rPr>
        <w:t>Clarity in disease distribution is therefore crucial, and pediatricians have already modified and modernized the Montreal classification, all the more so as upper gastrointestinal involvement is much more frequent in children than in adults (30</w:t>
      </w:r>
      <w:r>
        <w:rPr>
          <w:rFonts w:ascii="Book Antiqua" w:hAnsi="Book Antiqua" w:hint="eastAsia"/>
          <w:lang w:val="en-US" w:eastAsia="zh-CN"/>
        </w:rPr>
        <w:t>%</w:t>
      </w:r>
      <w:r w:rsidRPr="00257F02">
        <w:rPr>
          <w:rFonts w:ascii="Book Antiqua" w:hAnsi="Book Antiqua"/>
          <w:lang w:val="en-US"/>
        </w:rPr>
        <w:t xml:space="preserve">-80% </w:t>
      </w:r>
      <w:r w:rsidRPr="007345E0">
        <w:rPr>
          <w:rFonts w:ascii="Book Antiqua" w:hAnsi="Book Antiqua"/>
          <w:i/>
          <w:iCs/>
          <w:lang w:val="en-US"/>
        </w:rPr>
        <w:t>vs</w:t>
      </w:r>
      <w:r w:rsidRPr="00257F02">
        <w:rPr>
          <w:rFonts w:ascii="Book Antiqua" w:hAnsi="Book Antiqua"/>
          <w:lang w:val="en-US"/>
        </w:rPr>
        <w:t xml:space="preserve"> 10</w:t>
      </w:r>
      <w:r>
        <w:rPr>
          <w:rFonts w:ascii="Book Antiqua" w:hAnsi="Book Antiqua" w:hint="eastAsia"/>
          <w:lang w:val="en-US" w:eastAsia="zh-CN"/>
        </w:rPr>
        <w:t>%</w:t>
      </w:r>
      <w:r w:rsidRPr="00257F02">
        <w:rPr>
          <w:rFonts w:ascii="Book Antiqua" w:hAnsi="Book Antiqua"/>
          <w:lang w:val="en-US"/>
        </w:rPr>
        <w:t xml:space="preserve">-15%). </w:t>
      </w:r>
      <w:r w:rsidRPr="00257F02">
        <w:rPr>
          <w:rStyle w:val="highlight"/>
          <w:rFonts w:ascii="Book Antiqua" w:hAnsi="Book Antiqua" w:cs="Arial"/>
          <w:color w:val="000000"/>
          <w:shd w:val="clear" w:color="auto" w:fill="FFFFFF"/>
          <w:lang w:val="en-US"/>
        </w:rPr>
        <w:t>The</w:t>
      </w:r>
      <w:r w:rsidRPr="00257F02">
        <w:rPr>
          <w:rFonts w:ascii="Book Antiqua" w:hAnsi="Book Antiqua"/>
          <w:lang w:val="en-US"/>
        </w:rPr>
        <w:t xml:space="preserve"> Paris classification tried to avoid any ambiguity in the meaning of upper gastrointestinal lesions (L4), by distinguishing the lesions that are </w:t>
      </w:r>
      <w:r w:rsidRPr="00257F02">
        <w:rPr>
          <w:rFonts w:ascii="Book Antiqua" w:hAnsi="Book Antiqua" w:cs="Arial"/>
          <w:color w:val="000000"/>
          <w:shd w:val="clear" w:color="auto" w:fill="FFFFFF"/>
          <w:lang w:val="en-US"/>
        </w:rPr>
        <w:t>proximal to the ligament of Treitz (L4a) and those that are distal to the ligament of Treitz but proximal to the distal one-third of the ileum (L4b)</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{"citationID":"irfS2PMk","properties":{"formattedCitation":"\\super [56]\\nosupersub{}","plainCitation":"[56]","noteIndex":0},"citationItems":[{"id":2840,"uris":["http://zotero.org/users/3734960/items/TKJFGJ79"],"uri":["http://zotero.org/users/3734960/items/TKJFGJ79"],"itemData":{"id":2840,"type":"article-journal","title":"Pediatric modification of the Montreal classification for inflammatory bowel disease: the Paris classification","container-title":"Inflammatory Bowel Diseases","page":"1314-1321","volume":"17","issue":"6","source":"PubMed","abstract":"BACKGROUND: Crohn's disease and ulcerative colitis are complex disorders with some shared and many unique predisposing genes. Accurate phenotype classification is essential in determining the utility of genotype-phenotype correlation. The Montreal Classification of IBD has several weaknesses with respect to classification of children. The dynamic features of pediatric disease phenotype (change in disease location and behavior over time, growth failure) are not sufficiently captured by the current Montreal Classification.\nMETHODS: Focusing on facilitating research in pediatric inflammatory bowel disease (IBD), and creating uniform standards for defining IBD phenotypes, an international group of pediatric IBD experts met in Paris, France to develop evidence-based consensus recommendations for a pediatric modification of the Montreal criteria.\nRESULTS: Important modifications developed include classifying age at diagnosis as A1a (0 to &lt;10 years), A1b (10 to &lt;17 years), A2 (17 to 40 years), and A3 (&gt;40 years), distinguishing disease above the distal ileum as L4a (proximal to ligament of Treitz) and L4b (ligament of Treitz to above distal ileum), allowing both stenosing and penetrating disease to be classified in the same patient (B2B3), denoting the presence of growth failure in the patient at any time as G(1) versus G(0) (never growth failure), adding E4 to denote extent of ulcerative colitis that is proximal to the hepatic flexure, and denoting ever severe ulcerative colitis during disease course by S1.\nCONCLUSIONS: These modifications are termed the Paris Classification. By adhering to the Montreal framework, we have not jeopardized or altered the ability to use this classification for adult onset disease or by adult gastroenterologists.","DOI":"10.1002/ibd.21493","ISSN":"1536-4844","note":"PMID: 21560194","title-short":"Pediatric modification of the Montreal classification for inflammatory bowel disease","journalAbbreviation":"Inflamm. Bowel Dis.","language":"eng","author":[{"family":"Levine","given":"Arie"},{"family":"Griffiths","given":"Anne"},{"family":"Markowitz","given":"James"},{"family":"Wilson","given":"David C."},{"family":"Turner","given":"Dan"},{"family":"Russell","given":"Richard K."},{"family":"Fell","given":"John"},{"family":"Ruemmele","given":"Frank M."},{"family":"Walters","given":"Thomas"},{"family":"Sherlock","given":"Mary"},{"family":"Dubinsky","given":"Marla"},{"family":"Hyams","given":"Jeffrey S."}],"issued":{"date-parts":[["2011",6]]}}}],"schema":"https://github.com/citation-style-language/schema/raw/master/csl-citation.json"}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vertAlign w:val="superscript"/>
          <w:lang w:val="en-US"/>
        </w:rPr>
        <w:t>[56]</w:t>
      </w:r>
      <w:r w:rsidRPr="00257F02">
        <w:rPr>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xml:space="preserve">. </w:t>
      </w:r>
      <w:r w:rsidRPr="00257F02">
        <w:rPr>
          <w:rFonts w:ascii="Book Antiqua" w:hAnsi="Book Antiqua"/>
          <w:color w:val="000000"/>
          <w:shd w:val="clear" w:color="auto" w:fill="FFFFFF"/>
          <w:lang w:val="en-US"/>
        </w:rPr>
        <w:t>Further characterization of the L4 phenotype in the Montreal classification into three specific subgroups including L4-EGD, L4-jejunal, and L4-proximal ileal disease may be warranted, similar to the Paris classification of pediatric patients. This was suggested by a recent retrospective cohort study in which L4 disease had a worse prognosis compared to non-L4 disease, and within L4 disease, the phenotype of L4-jejunal and L4-proximal ileal disease indicated a higher risk for intestinal surgery</w:t>
      </w:r>
      <w:r w:rsidRPr="00257F02">
        <w:rPr>
          <w:rFonts w:ascii="Book Antiqua" w:hAnsi="Book Antiqua"/>
          <w:color w:val="000000"/>
          <w:shd w:val="clear" w:color="auto" w:fill="FFFFFF"/>
          <w:lang w:val="en-US"/>
        </w:rPr>
        <w:fldChar w:fldCharType="begin"/>
      </w:r>
      <w:r w:rsidRPr="00257F02">
        <w:rPr>
          <w:rFonts w:ascii="Book Antiqua" w:hAnsi="Book Antiqua"/>
          <w:color w:val="000000"/>
          <w:shd w:val="clear" w:color="auto" w:fill="FFFFFF"/>
          <w:lang w:val="en-US"/>
        </w:rPr>
        <w:instrText xml:space="preserve"> ADDIN ZOTERO_ITEM CSL_CITATION {"citationID":"kMZY7nyQ","properties":{"formattedCitation":"\\super [57]\\nosupersub{}","plainCitation":"[57]","noteIndex":0},"citationItems":[{"id":2981,"uris":["http://zotero.org/users/3734960/items/4U6HIVBX"],"uri":["http://zotero.org/users/3734960/items/4U6HIVBX"],"itemData":{"id":2981,"type":"article-journal","title":"Different clinical outcomes in Crohn’s disease patients with esophagogastroduodenal, jejunal, and proximal ileal disease involvement: is L4 truly a single phenotype?","container-title":"Therapeutic Advances in Gastroenterology","volume":"11","source":"PubMed Central","abstract":"Background:\nThe Montreal classification defines L4 Crohn’s disease (CD) as any disease location\nproximal to the terminal ileum, which anatomically includes L4-esophagogastroduodenal\n(EGD), L4-jejunal, and L4-proximal ileal involvement. L4-jejunal disease was established\nto be associated with poor prognosis. However, the outcome of patients with L4-proximal\nileal disease or L4-EGD remains to be clarified. Our study aimed to investigate whether\nthe outcome differs among CD patients with L4-EGD, L4-jejunal, and L4-proximal ileal\ndisease.\n\nMethods:\nIn our retrospective cohort study, 483 patients with confirmed CD were included. The\nprimary outcome was intestinal surgery. Demographic features and outcomes were compared\namong L4-EGD, L4-jejunal, and L4-proximal ileal disease.\n\nResults:\nThirty-nine (8.1%) patients had isolated L4 disease, whereas 146 patients had L4 as\nwell as concomitant L1, L2, or L3 disease. During a median follow up of 5.8 years, L4\npatients were more likely to have intestinal surgeries compared to non-L4 patients (31%\nversus 16%, p &lt; 0.001). The percentage of\nL4-jejunal patients who underwent surgery was higher than that of L4-proximal ileal (66%\nversus 28%, p &lt; 0.001), and both of these\nsubtypes of L4 were at higher risk for intestinal resection compared to L4-EGD patients\n(66% and 28% versus 9%, respectively, p &lt; 0.001 and\np &lt; 0.05). On multi-variable analysis, L4-jejunal (HR 3.08; 95% CI\n1.30–7.31) and L4-proximal ileal disease (HR 1.83; 95% CI 1.07–3.15) were independent\npredictors for intestinal resection.\n\nConclusions:\nL4 disease had worse prognosis compared to non-L4 disease. Within L4 disease, phenotype\nof L4-jejunal and L4-proximal ileal disease indicated higher risk for intestinal\nsurgery. It might be justified to further characterize the L4 phenotype of the Montreal\nclassification into three specific subgroups including L4-EGD, L4-jejunal, and\nL4-proximal ileal disease, similar to the Paris classification of pediatric\npatients.","URL":"https://www.ncbi.nlm.nih.gov/pmc/articles/PMC5990878/","DOI":"10.1177/1756284818777938","ISSN":"1756-283X","note":"PMID: 29899757\nPMCID: PMC5990878","title-short":"Different clinical outcomes in Crohn’s disease patients with esophagogastroduodenal, jejunal, and proximal ileal disease involvement","journalAbbreviation":"Therap Adv Gastroenterol","author":[{"family":"Mao","given":"Ren"},{"family":"Tang","given":"Rui-Han"},{"family":"Qiu","given":"Yun"},{"family":"Chen","given":"Bai-Li"},{"family":"Guo","given":"Jing"},{"family":"Zhang","given":"Sheng-Hong"},{"family":"Li","given":"Xue-Hua"},{"family":"Feng","given":"Rui"},{"family":"He","given":"Yao"},{"family":"Li","given":"Zi-Ping"},{"family":"Zeng","given":"Zhi-Rong"},{"family":"Eliakim","given":"Rami"},{"family":"Ben-Horin","given":"Shomron"},{"family":"Chen","given":"Min-Hu"}],"issued":{"date-parts":[["2018",6,5]]},"accessed":{"date-parts":[["2019",3,5]]}}}],"schema":"https://github.com/citation-style-language/schema/raw/master/csl-citation.json"} </w:instrText>
      </w:r>
      <w:r w:rsidRPr="00257F02">
        <w:rPr>
          <w:rFonts w:ascii="Book Antiqua" w:hAnsi="Book Antiqua"/>
          <w:color w:val="000000"/>
          <w:shd w:val="clear" w:color="auto" w:fill="FFFFFF"/>
          <w:lang w:val="en-US"/>
        </w:rPr>
        <w:fldChar w:fldCharType="separate"/>
      </w:r>
      <w:r w:rsidRPr="00257F02">
        <w:rPr>
          <w:rFonts w:ascii="Book Antiqua" w:hAnsi="Book Antiqua"/>
          <w:color w:val="000000"/>
          <w:vertAlign w:val="superscript"/>
          <w:lang w:val="en-US"/>
        </w:rPr>
        <w:t>[57]</w:t>
      </w:r>
      <w:r w:rsidRPr="00257F02">
        <w:rPr>
          <w:rFonts w:ascii="Book Antiqua" w:hAnsi="Book Antiqua"/>
          <w:color w:val="000000"/>
          <w:shd w:val="clear" w:color="auto" w:fill="FFFFFF"/>
          <w:lang w:val="en-US"/>
        </w:rPr>
        <w:fldChar w:fldCharType="end"/>
      </w:r>
      <w:r w:rsidRPr="00257F02">
        <w:rPr>
          <w:rFonts w:ascii="Book Antiqua" w:hAnsi="Book Antiqua"/>
          <w:color w:val="000000"/>
          <w:shd w:val="clear" w:color="auto" w:fill="FFFFFF"/>
          <w:lang w:val="en-US"/>
        </w:rPr>
        <w:t xml:space="preserve">. Thus, SBCE could be particularly appropriate to detect </w:t>
      </w:r>
      <w:r w:rsidRPr="00257F02">
        <w:rPr>
          <w:rFonts w:ascii="Book Antiqua" w:hAnsi="Book Antiqua"/>
          <w:lang w:val="en-US"/>
        </w:rPr>
        <w:t>lesions outside the scope of conventional endoscopy</w:t>
      </w:r>
      <w:r w:rsidRPr="00257F02">
        <w:rPr>
          <w:rFonts w:ascii="Book Antiqua" w:hAnsi="Book Antiqua"/>
          <w:color w:val="000000"/>
          <w:shd w:val="clear" w:color="auto" w:fill="FFFFFF"/>
          <w:lang w:val="en-US"/>
        </w:rPr>
        <w:t xml:space="preserve"> because </w:t>
      </w:r>
      <w:r w:rsidRPr="00257F02">
        <w:rPr>
          <w:rFonts w:ascii="Book Antiqua" w:hAnsi="Book Antiqua"/>
          <w:lang w:val="en-US"/>
        </w:rPr>
        <w:t>it seems to be more sensitive than imaging to detect a previously unrecognized disease location</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{"citationID":"Ofjg3J7l","properties":{"formattedCitation":"\\super [10]\\nosupersub{}","plainCitation":"[10]","noteIndex":0},"citationItems":[{"id":2658,"uris":["http://zotero.org/users/3734960/items/2NQXT42K"],"uri":["http://zotero.org/users/3734960/items/2NQXT42K"],"itemData":{"id":2658,"type":"article-journal","title":"The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[10]</w:t>
      </w:r>
      <w:r w:rsidRPr="00257F02">
        <w:rPr>
          <w:rFonts w:ascii="Book Antiqua" w:hAnsi="Book Antiqua"/>
          <w:lang w:val="en-US"/>
        </w:rPr>
        <w:fldChar w:fldCharType="end"/>
      </w:r>
      <w:r w:rsidRPr="00257F02">
        <w:rPr>
          <w:rFonts w:ascii="Book Antiqua" w:hAnsi="Book Antiqua"/>
          <w:lang w:val="en-US"/>
        </w:rPr>
        <w:t xml:space="preserve">. Similarly, SBCE could also be valuable in patients with IBD-U, indeterminate colitis or </w:t>
      </w:r>
      <w:proofErr w:type="spellStart"/>
      <w:r w:rsidRPr="00257F02">
        <w:rPr>
          <w:rFonts w:ascii="Book Antiqua" w:hAnsi="Book Antiqua"/>
          <w:lang w:val="en-US"/>
        </w:rPr>
        <w:t>pouchitis</w:t>
      </w:r>
      <w:proofErr w:type="spellEnd"/>
      <w:r w:rsidRPr="00257F02">
        <w:rPr>
          <w:rFonts w:ascii="Book Antiqua" w:hAnsi="Book Antiqua"/>
          <w:lang w:val="en-US"/>
        </w:rPr>
        <w:t xml:space="preserve">, as it may lead to the diagnosis of CD in up to two-thirds of patients, impacting the therapeutic management in most cases. </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 xml:space="preserve">With the advent of the treat-to-target paradigm in IBD patients, endoscopic remission has become part of the therapeutic goal, combined with clinical remission, </w:t>
      </w:r>
      <w:r w:rsidRPr="00257F02">
        <w:rPr>
          <w:rFonts w:ascii="Book Antiqua" w:hAnsi="Book Antiqua"/>
          <w:lang w:val="en-US"/>
        </w:rPr>
        <w:lastRenderedPageBreak/>
        <w:t>leading to the concept of “deep remission”. Given the weak correlation that exists between symptoms and endoscopic disease activity in patients with CD, the STRIDE consensus recommended assessment of endoscopic activity at 6- to 9-mo intervals during the active phase of CD</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{"citationID":"9N75RRMK","properties":{"formattedCitation":"\\super [15]\\nosupersub{}","plainCitation":"[15]","noteIndex":0},"citationItems":[{"id":500,"uris":["http://zotero.org/users/3734960/items/YJVQPYTD"],"uri":["http://zotero.org/users/3734960/items/YJVQPYTD"],"itemData":{"id":500,"type":"article-journal","title":"Selecting Therapeutic Targets in Inflammatory Bowel Disease (STRIDE): Determining Therapeutic Goals for Treat-to-Target","container-title":"The American Journal of Gastroenterology","page":"1324-1338","volume":"110","issue":"9","source":"www.nature.com.gate2.inist.fr","abstract":"OBJECTIVES:The Selecting Therapeutic Targets in Inflammatory Bowel Disease (STRIDE) program was initiated by the International Organization for the Study of Inflammatory Bowel Diseases (IOIBD). It examined potential treatment targets for inflammatory bowel disease (IBD) to be used for a “treat-to-target” clinical management strategy using an evidence-based expert consensus process.METHODS:A Steering Committee of 28 IBD specialists developed recommendations based on a systematic literature review and expert opinion. Consensus was gained if ≥75% of participants scored the recommendation as 7–10 on a 10-point rating scale (where 10=agree completely).RESULTS:The group agreed upon 12 recommendations for ulcerative colitis (UC) and Crohn’s disease (CD). The agreed target for UC was clinical/patient-reported outcome (PRO) remission (defined as resolution of rectal bleeding and diarrhea/altered bowel habit) and endoscopic remission (defined as a Mayo endoscopic subscore of 0–1). Histological remission was considered as an adjunctive goal. Clinical/PRO remission was also agreed upon as a target for CD and defined as resolution of abdominal pain and diarrhea/altered bowel habit; and endoscopic remission, defined as resolution of ulceration at ileocolonoscopy, or resolution of findings of inflammation on cross-sectional imaging in patients who cannot be adequately assessed with ileocolonoscopy. Biomarker remission (normal C-reactive protein (CRP) and calprotectin) was considered as an adjunctive target.CONCLUSIONS:Evidence- and consensus-based recommendations for selecting the goals for treat-to-target strategies in patients with IBD are made available. Prospective studies are needed to determine how these targets will change disease course and patients’ quality of life.","DOI":"10.1038/ajg.2015.233","ISSN":"1572-0241","title-short":"Selecting Therapeutic Targets in Inflammatory Bowel Disease (STRIDE)","language":"en","author":[{"family":"Peyrin-Biroulet","given":"L."},{"family":"Sandborn","given":"W."},{"family":"Sands","given":"B. E."},{"family":"Reinisch","given":"W."},{"family":"Bemelman","given":"W."},{"family":"Bryant","given":"R. V."},{"family":"D'Haens","given":"G."},{"family":"Dotan","given":"I."},{"family":"Dubinsky","given":"M."},{"family":"Feagan","given":"B."},{"family":"Fiorino","given":"G."},{"family":"Gearry","given":"R."},{"family":"Krishnareddy","given":"S."},{"family":"Lakatos","given":"P. L."},{"family":"Jr","given":"E. V. Loftus"},{"family":"Marteau","given":"P."},{"family":"Munkholm","given":"P."},{"family":"Murdoch","given":"T. B."},{"family":"Ordás","given":"I."},{"family":"Panaccione","given":"R."},{"family":"Riddell","given":"R. H."},{"family":"Ruel","given":"J."},{"family":"Rubin","given":"D. T."},{"family":"Samaan","given":"M."},{"family":"Siegel","given":"C. A."},{"family":"Silverberg","given":"M. S."},{"family":"Stoker","given":"J."},{"family":"Schreiber","given":"S."},{"family":"Travis","given":"S."},{"family":"Assche","given":"G. Van"},{"family":"Danese","given":"S."},{"family":"Panes","given":"J."},{"family":"Bouguen","given":"G."},{"family":"O'Donnell","given":"S."},{"family":"Pariente","given":"B."},{"family":"Winer","given":"S."},{"family":"Hanauer","given":"S."},{"family":"Colombel","given":"J.-F."}],"issued":{"date-parts":[["2015",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[15]</w:t>
      </w:r>
      <w:r w:rsidRPr="00257F02">
        <w:rPr>
          <w:rFonts w:ascii="Book Antiqua" w:hAnsi="Book Antiqua"/>
          <w:lang w:val="en-US"/>
        </w:rPr>
        <w:fldChar w:fldCharType="end"/>
      </w:r>
      <w:r w:rsidRPr="00257F02">
        <w:rPr>
          <w:rFonts w:ascii="Book Antiqua" w:hAnsi="Book Antiqua"/>
          <w:lang w:val="en-US"/>
        </w:rPr>
        <w:t>. Thus, SBCE appears to be more feasible as compared to conventional endoscopy, with better patient acceptance, and more sensitive to assess mucosal inflammation than cross-sectional imaging. This review showed that mucosal healing can be assessed by SBCE to monitor the effect of medical</w:t>
      </w:r>
      <w:r w:rsidRPr="00257F02">
        <w:rPr>
          <w:rFonts w:ascii="Book Antiqua" w:hAnsi="Book Antiqua" w:cs="AdvTTae86113c"/>
          <w:lang w:val="en-US"/>
        </w:rPr>
        <w:t xml:space="preserve"> </w:t>
      </w:r>
      <w:r w:rsidRPr="00257F02">
        <w:rPr>
          <w:rFonts w:ascii="Book Antiqua" w:hAnsi="Book Antiqua"/>
          <w:lang w:val="en-US"/>
        </w:rPr>
        <w:t>treatment in patients with CD, with a significant correlation between the Lewis score and fecal calprotectin (</w:t>
      </w:r>
      <w:r w:rsidRPr="007345E0">
        <w:rPr>
          <w:rFonts w:ascii="Book Antiqua" w:hAnsi="Book Antiqua"/>
          <w:i/>
          <w:iCs/>
          <w:lang w:val="en-US"/>
        </w:rPr>
        <w:t xml:space="preserve">r = </w:t>
      </w:r>
      <w:r w:rsidRPr="00257F02">
        <w:rPr>
          <w:rFonts w:ascii="Book Antiqua" w:hAnsi="Book Antiqua"/>
          <w:lang w:val="en-US"/>
        </w:rPr>
        <w:t xml:space="preserve">0.82, </w:t>
      </w:r>
      <w:r w:rsidRPr="007345E0">
        <w:rPr>
          <w:rFonts w:ascii="Book Antiqua" w:hAnsi="Book Antiqua"/>
          <w:i/>
          <w:iCs/>
          <w:lang w:val="en-US"/>
        </w:rPr>
        <w:t xml:space="preserve">P &lt; </w:t>
      </w:r>
      <w:r w:rsidRPr="00257F02">
        <w:rPr>
          <w:rFonts w:ascii="Book Antiqua" w:hAnsi="Book Antiqua"/>
          <w:lang w:val="en-US"/>
        </w:rPr>
        <w:t>0.0001)</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{"citationID":"YeD2GIW9","properties":{"formattedCitation":"\\super [46]\\nosupersub{}","plainCitation":"[46]","noteIndex":0},"citationItems":[{"id":2674,"uris":["http://zotero.org/users/3734960/items/YWMXLPYZ"],"uri":["http://zotero.org/users/3734960/items/YWMXLPYZ"],"itemData":{"id":2674,"type":"article-journal","title":"Role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[46]</w:t>
      </w:r>
      <w:r w:rsidRPr="00257F02">
        <w:rPr>
          <w:rFonts w:ascii="Book Antiqua" w:hAnsi="Book Antiqua"/>
          <w:lang w:val="en-US"/>
        </w:rPr>
        <w:fldChar w:fldCharType="end"/>
      </w:r>
      <w:r w:rsidRPr="00257F02">
        <w:rPr>
          <w:rFonts w:ascii="Book Antiqua" w:hAnsi="Book Antiqua"/>
          <w:lang w:val="en-US"/>
        </w:rPr>
        <w:t xml:space="preserve">. However, the definition of endoscopic remission as assessed by SBCE remains unknown because there is currently no consensus on the therapeutic objective to reach in luminal SB CD (normalization of SBCE or absence of deep or superficial ulcerations). Similarly, endoscopic re-assessment should be timely in the post-operative setting to detect post-operative recurrence at an early stage. </w:t>
      </w:r>
      <w:proofErr w:type="spellStart"/>
      <w:r w:rsidRPr="00257F02">
        <w:rPr>
          <w:rFonts w:ascii="Book Antiqua" w:hAnsi="Book Antiqua" w:cs="UniversLTStd"/>
          <w:lang w:val="en-US"/>
        </w:rPr>
        <w:t>Ileocolonoscopy</w:t>
      </w:r>
      <w:proofErr w:type="spellEnd"/>
      <w:r w:rsidRPr="00257F02">
        <w:rPr>
          <w:rFonts w:ascii="Book Antiqua" w:hAnsi="Book Antiqua" w:cs="UniversLTStd"/>
          <w:lang w:val="en-US"/>
        </w:rPr>
        <w:t xml:space="preserve"> remains the gold standard for this indication and it is recommended within the first year after surgery, when treatment decisions may be affected</w:t>
      </w:r>
      <w:r w:rsidRPr="00257F02">
        <w:rPr>
          <w:rFonts w:ascii="Book Antiqua" w:hAnsi="Book Antiqua" w:cs="UniversLTStd"/>
          <w:lang w:val="en-US"/>
        </w:rPr>
        <w:fldChar w:fldCharType="begin"/>
      </w:r>
      <w:r w:rsidRPr="00257F02">
        <w:rPr>
          <w:rFonts w:ascii="Book Antiqua" w:hAnsi="Book Antiqua" w:cs="UniversLTStd"/>
          <w:lang w:val="en-US"/>
        </w:rPr>
        <w:instrText xml:space="preserve"> ADDIN ZOTERO_ITEM CSL_CITATION {"citationID":"PMKYJmW1","properties":{"formattedCitation":"\\super [58]\\nosupersub{}","plainCitation":"[58]","noteIndex":0},"citationItems":[{"id":394,"uris":["http://zotero.org/users/3734960/items/D7LEDRAP"],"uri":["http://zotero.org/users/3734960/items/D7LEDRAP"],"itemData":{"id":394,"type":"article-journal","title":"3rd European Evidence-based Consensus on the Diagnosis and Management of Crohn’s Disease 2016: Part 2: Surgical Management and Special Situations","container-title":"Journal of Crohn's and Colitis","page":"135-149","volume":"11","issue":"2","source":"academic.oup.com","abstract":"This paper is the second in a series of two publications relating to the European Crohn’s and Colitis Organisation [ECCO] evidence-based consensus on the diagnosis and management of Crohn’s disease [CD] and concerns the surgical management of CD as well as special situations including management of perianal CD and extraintestinal manifestations. Diagnostic approaches and medical management of CD of this ECCO Consensus are covered in the first paper [Gomollon et al. JCC 2016].","DOI":"10.1093/ecco-jcc/jjw169","ISSN":"1873-9946","title-short":"3rd European Evidence-based Consensus on the Diagnosis and Management of Crohn’s Disease 2016","journalAbbreviation":"J Crohns Colitis","language":"en","author":[{"family":"Gionchetti","given":"Paolo"},{"family":"Dignass","given":"Axel"},{"family":"Danese","given":"Silvio"},{"family":"Dias","given":"Magro"},{"family":"José","given":"Fernando"},{"family":"Rogler","given":"Gerhard"},{"family":"Lakatos","given":"Péter Laszlo"},{"family":"Adamina","given":"Michel"},{"family":"Ardizzone","given":"Sandro"},{"family":"Buskens","given":"Christianne J."},{"family":"Sebastian","given":"Shaji"},{"family":"Laureti","given":"Silvio"},{"family":"Sampietro","given":"Gianluca M."},{"family":"Vucelic","given":"Boris"},{"family":"Woude","given":"Van Der"},{"family":"Janneke","given":"C."},{"family":"Barreiro-de Acosta","given":"Manuel"},{"family":"Maaser","given":"Christian"},{"family":"Portela","given":"Francisco"},{"family":"Vavricka","given":"Stephan R."},{"family":"Gomollón","given":"Fernando"}],"issued":{"date-parts":[["2017",2,1]]}}}],"schema":"https://github.com/citation-style-language/schema/raw/master/csl-citation.json"} </w:instrText>
      </w:r>
      <w:r w:rsidRPr="00257F02">
        <w:rPr>
          <w:rFonts w:ascii="Book Antiqua" w:hAnsi="Book Antiqua" w:cs="UniversLTStd"/>
          <w:lang w:val="en-US"/>
        </w:rPr>
        <w:fldChar w:fldCharType="separate"/>
      </w:r>
      <w:r w:rsidRPr="00257F02">
        <w:rPr>
          <w:rFonts w:ascii="Book Antiqua" w:hAnsi="Book Antiqua"/>
          <w:vertAlign w:val="superscript"/>
          <w:lang w:val="en-US"/>
        </w:rPr>
        <w:t>[58]</w:t>
      </w:r>
      <w:r w:rsidRPr="00257F02">
        <w:rPr>
          <w:rFonts w:ascii="Book Antiqua" w:hAnsi="Book Antiqua" w:cs="UniversLTStd"/>
          <w:lang w:val="en-US"/>
        </w:rPr>
        <w:fldChar w:fldCharType="end"/>
      </w:r>
      <w:r w:rsidRPr="00257F02">
        <w:rPr>
          <w:rFonts w:ascii="Book Antiqua" w:hAnsi="Book Antiqua" w:cs="UniversLTStd"/>
          <w:lang w:val="en-US"/>
        </w:rPr>
        <w:t xml:space="preserve">. This review demonstrated that SBCE could effectively detect post-operative recurrence to a similar extent as </w:t>
      </w:r>
      <w:proofErr w:type="spellStart"/>
      <w:r w:rsidRPr="00257F02">
        <w:rPr>
          <w:rFonts w:ascii="Book Antiqua" w:hAnsi="Book Antiqua" w:cs="UniversLTStd"/>
          <w:lang w:val="en-US"/>
        </w:rPr>
        <w:t>ileocolonoscopy</w:t>
      </w:r>
      <w:proofErr w:type="spellEnd"/>
      <w:r w:rsidRPr="00257F02">
        <w:rPr>
          <w:rFonts w:ascii="Book Antiqua" w:hAnsi="Book Antiqua" w:cs="UniversLTStd"/>
          <w:lang w:val="en-US"/>
        </w:rPr>
        <w:t>, and that it can detect proximal SB lesions beyond the reach of the colonoscope in more than half of the patients</w:t>
      </w:r>
      <w:r w:rsidRPr="00257F02">
        <w:rPr>
          <w:rFonts w:ascii="Book Antiqua" w:hAnsi="Book Antiqua" w:cs="AdvOTdc5ff126"/>
          <w:szCs w:val="28"/>
          <w:lang w:val="en-US"/>
        </w:rPr>
        <w:fldChar w:fldCharType="begin"/>
      </w:r>
      <w:r w:rsidRPr="00257F02">
        <w:rPr>
          <w:rFonts w:ascii="Book Antiqua" w:hAnsi="Book Antiqua" w:cs="AdvOTdc5ff126"/>
          <w:szCs w:val="28"/>
          <w:lang w:val="en-US"/>
        </w:rPr>
        <w:instrText xml:space="preserve"> ADDIN ZOTERO_ITEM CSL_CITATION {"citationID":"HXg9xq1u","properties":{"formattedCitation":"\\super [49,51]\\nosupersub{}","plainCitation":"[49,51]","noteIndex":0},"citationItems":[{"id":2692,"uris":["http://zotero.org/users/3734960/items/6CADSF5P"],"uri":["http://zotero.org/users/3734960/items/6CADSF5P"],"itemData":{"id":2692,"type":"article-journal","title":"Wireless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cs="AdvOTdc5ff126"/>
          <w:szCs w:val="28"/>
          <w:lang w:val="en-US"/>
        </w:rPr>
        <w:fldChar w:fldCharType="separate"/>
      </w:r>
      <w:r w:rsidRPr="00257F02">
        <w:rPr>
          <w:rFonts w:ascii="Book Antiqua" w:hAnsi="Book Antiqua"/>
          <w:vertAlign w:val="superscript"/>
          <w:lang w:val="en-US"/>
        </w:rPr>
        <w:t>[49,51]</w:t>
      </w:r>
      <w:r w:rsidRPr="00257F02">
        <w:rPr>
          <w:rFonts w:ascii="Book Antiqua" w:hAnsi="Book Antiqua" w:cs="AdvOTdc5ff126"/>
          <w:szCs w:val="28"/>
          <w:lang w:val="en-US"/>
        </w:rPr>
        <w:fldChar w:fldCharType="end"/>
      </w:r>
      <w:r w:rsidRPr="00257F02">
        <w:rPr>
          <w:rFonts w:ascii="Book Antiqua" w:hAnsi="Book Antiqua" w:cs="AdvOTdc5ff126"/>
          <w:szCs w:val="28"/>
          <w:lang w:val="en-US"/>
        </w:rPr>
        <w:t xml:space="preserve">. </w:t>
      </w:r>
      <w:r w:rsidRPr="00257F02">
        <w:rPr>
          <w:rFonts w:ascii="Book Antiqua" w:hAnsi="Book Antiqua"/>
          <w:lang w:val="en-US"/>
        </w:rPr>
        <w:t>SBCE could be used to detect very early post-operative recurrence especially in patients without any risk factors who do not necessarily require pharmacological prophylaxis immediately after surgery</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{"citationID":"jMAiXZmK","properties":{"formattedCitation":"\\super [54,55]\\nosupersub{}","plainCitation":"[54,55]","noteIndex":0},"citationItems":[{"id":2679,"uris":["http://zotero.org/users/3734960/items/DBFITEDG"],"uri":["http://zotero.org/users/3734960/items/DBFITEDG"],"itemData":{"id":2679,"type":"article-journal","title":"Impact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id":2669,"uris":["http://zotero.org/users/3734960/items/CV83RQSL"],"uri":["http://zotero.org/users/3734960/items/CV83RQSL"],"itemData":{"id":2669,"type":"article-journal","title":"Residual Lesions on Capsule Endoscopy Is Associated with Postoperative Clinical Recurrence in Patients with Crohn's Disease","container-title":"Digestive Diseases and Sciences","page":"768-774","volume":"63","issue":"3","source":"PubMed","abstract":"BACKGROUND: In order to optimize postoperative therapy in patients with Crohn's disease (CD), it is important to detect endoscopic recurrence preceding clinical recurrence. However, we have little knowledge about how high the rate of residual lesions is and whether these lesions have an influence on postoperative course or not.\nAIMS: To assess residual lesions in small bowel immediately after surgery.\nMETHODS: Capsule endoscopy (CE) was performed immediately after surgery (&lt; 3 months), and endoscopic activity was assessed using the Lewis score (LS) composed of the highest tertile score (in first, second, and third tertile) and the stenosis score (in whole small intestine). The relationship between these residual lesions and postoperative clinical recurrence was prospectively evaluated.\nRESULTS: After assessing patency using a patency capsule, CE was performed in 25 patients. The mean LS was 751.3, and 84.0% (21/25) had endoscopic activity. These lesions were detected by preoperative examinations in 0% and by a serosal side view during surgery in 16.0%. Regarding the cumulative clinical recurrence rate according to endoscopic severity (normal, mild, and moderate-to-severe) immediately after surgery, no significant difference was found. However, comparing groups divided according to the highest tertile score, the cumulative clinical recurrence rate was significantly higher in the group with the highest third tertile score. Furthermore, patients with ulcers in the third tertile had a significantly higher recurrence rate.\nCONCLUSIONS: Many cases with CD had endoscopic activity immediately after \"curative\" surgery. These residual lesions, especially in the distal small intestine, were associated with postoperative clinical recurrence.","DOI":"10.1007/s10620-018-4942-6","ISSN":"1573-2568","note":"PMID: 29380174","journalAbbreviation":"Dig. Dis. Sci.","language":"eng","author":[{"family":"Kusaka","given":"Jun"},{"family":"Shiga","given":"Hisashi"},{"family":"Kuroha","given":"Masatake"},{"family":"Kimura","given":"Tomoya"},{"family":"Kakuta","given":"Yoichi"},{"family":"Endo","given":"Katsuya"},{"family":"Kinouchi","given":"Yoshitaka"},{"family":"Shimosegawa","given":"Tooru"}],"issued":{"date-parts":[["2018",3]]}},"locator":"20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[54,55]</w:t>
      </w:r>
      <w:r w:rsidRPr="00257F02">
        <w:rPr>
          <w:rFonts w:ascii="Book Antiqua" w:hAnsi="Book Antiqua"/>
          <w:lang w:val="en-US"/>
        </w:rPr>
        <w:fldChar w:fldCharType="end"/>
      </w:r>
      <w:r w:rsidRPr="00257F02">
        <w:rPr>
          <w:rFonts w:ascii="Book Antiqua" w:hAnsi="Book Antiqua"/>
          <w:lang w:val="en-US"/>
        </w:rPr>
        <w:t xml:space="preserve">. </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lang w:val="en-US"/>
        </w:rPr>
        <w:t>Randomized controlled trials are required to confirm the usefulness and reliability of SBCE in such indications before its incorporation in treat-to-target algorithms. However, validated criteria for the diagnosis of CD at SBCE are needed because some studies have questioned the specificity of SBCE findings for CD, and to date, the lesions that are used to define CD vary greatly across studies. A panel of international experts is currently putting together a three-round Delphi consensus to define exactly which SBCE findings constitute a diagnosis of CD, as has been done recently for the terminology and description of the most frequent and relevant vascular lesions in SBCE</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{"citationID":"1vs55DRA","properties":{"formattedCitation":"\\super [59]\\nosupersub{}","plainCitation":"[59]","noteIndex":0},"citationItems":[{"id":2991,"uris":["http://zotero.org/users/3734960/items/IS9BBM6X"],"uri":["http://zotero.org/users/3734960/items/IS9BBM6X"],"itemData":{"id":2991,"type":"article-journal","title":"Sa1028 TERMINOLOGY AND DESCRIPTION OF VASCULAR LESIONS IN SMALL BOWEL CAPSULE ENDOSCOPY: AN INTERNATIONAL DELPHI CONSENSUS STATEMENT","container-title":"Gastrointestinal Endoscopy","page":"AB149-AB150","volume":"87","issue":"6","source":"www.giejournal.org","abstract":"The terminology and description of small bowel (SB) vascular lesions in capsule endoscopy\n(CE) are scarce in the medical litterature. They are mostly based on the reader's\nbackground and opinion, and therefore remain mainly subjective, with a potential negative\nimpact on clinical care, teaching and research regarding SB-CE. Our aim was to define\nand to describe the most frequent vascular lesions in SB-CE.","DOI":"10.1016/j.gie.2018.04.1379","ISSN":"0016-5107, 1097-6779","title-short":"Sa1028 TERMINOLOGY AND DESCRIPTION OF VASCULAR LESIONS IN SMALL BOWEL CAPSULE ENDOSCOPY","journalAbbreviation":"Gastrointestinal Endoscopy","language":"English","author":[{"family":"Leenhardt","given":"Romain"},{"family":"Li","given":"Cynthia"},{"family":"Koulaouzidis","given":"Anastasios"},{"family":"Cavallaro","given":"Flaminia"},{"family":"Cholet","given":"Franck"},{"family":"Eliakim","given":"Abraham R."},{"family":"Fernandez-Urien","given":"Ignacio"},{"family":"Kopylov","given":"Uri"},{"family":"McAlindon","given":"Mark"},{"family":"Nemeth","given":"Artur"},{"family":"Plevris","given":"John N."},{"family":"Rahmi","given":"Gabriel"},{"family":"Rondonotti","given":"Emanuele"},{"family":"Saurin","given":"Jean-Christophe"},{"family":"Tontini","given":"Gian Eugenio"},{"family":"Toth","given":"Ervin"},{"family":"Yung","given":"Diana E."},{"family":"Marteau","given":"Philippe R."},{"family":"Dray","given":"Xavier"}],"issued":{"date-parts":[["2018",6,1]]}}}],"schema":"https://github.com/citation-style-language/schema/raw/master/csl-citation.json"}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[59]</w:t>
      </w:r>
      <w:r w:rsidRPr="00257F02">
        <w:rPr>
          <w:rFonts w:ascii="Book Antiqua" w:hAnsi="Book Antiqua"/>
          <w:lang w:val="en-US"/>
        </w:rPr>
        <w:fldChar w:fldCharType="end"/>
      </w:r>
      <w:r w:rsidRPr="00257F02">
        <w:rPr>
          <w:rFonts w:ascii="Book Antiqua" w:hAnsi="Book Antiqua"/>
          <w:lang w:val="en-US"/>
        </w:rPr>
        <w:t>. These terms and descriptions will be useful for both medical research and daily practice.</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lang w:val="en-US"/>
        </w:rPr>
        <w:lastRenderedPageBreak/>
        <w:t xml:space="preserve">In addition, the practical modalities of performing SBCE may highly influence the results. There are currently five available CE systems to explore the SB: </w:t>
      </w:r>
      <w:proofErr w:type="spellStart"/>
      <w:r w:rsidRPr="00257F02">
        <w:rPr>
          <w:rFonts w:ascii="Book Antiqua" w:hAnsi="Book Antiqua" w:cs="Arial"/>
          <w:color w:val="000000"/>
          <w:shd w:val="clear" w:color="auto" w:fill="FFFFFF"/>
          <w:lang w:val="en-US"/>
        </w:rPr>
        <w:t>PillCam</w:t>
      </w:r>
      <w:proofErr w:type="spellEnd"/>
      <w:r w:rsidRPr="00257F02">
        <w:rPr>
          <w:rFonts w:ascii="Book Antiqua" w:hAnsi="Book Antiqua" w:cs="Arial"/>
          <w:color w:val="000000"/>
          <w:shd w:val="clear" w:color="auto" w:fill="FFFFFF"/>
          <w:lang w:val="en-US"/>
        </w:rPr>
        <w:t xml:space="preserve"> SB3 (</w:t>
      </w:r>
      <w:r w:rsidRPr="00257F02">
        <w:rPr>
          <w:rFonts w:ascii="Book Antiqua" w:hAnsi="Book Antiqua" w:cs="Minion Pro"/>
          <w:color w:val="000000"/>
          <w:lang w:val="en-US"/>
        </w:rPr>
        <w:t>Medtronic, Dublin, Ireland),</w:t>
      </w:r>
      <w:r w:rsidRPr="00257F02">
        <w:rPr>
          <w:rFonts w:ascii="Book Antiqua" w:hAnsi="Book Antiqua" w:cs="Arial"/>
          <w:color w:val="000000"/>
          <w:shd w:val="clear" w:color="auto" w:fill="FFFFFF"/>
          <w:lang w:val="en-US"/>
        </w:rPr>
        <w:t xml:space="preserve"> </w:t>
      </w:r>
      <w:proofErr w:type="spellStart"/>
      <w:r w:rsidRPr="00257F02">
        <w:rPr>
          <w:rFonts w:ascii="Book Antiqua" w:hAnsi="Book Antiqua" w:cs="Arial"/>
          <w:color w:val="000000"/>
          <w:shd w:val="clear" w:color="auto" w:fill="FFFFFF"/>
          <w:lang w:val="en-US"/>
        </w:rPr>
        <w:t>EndoCapsule</w:t>
      </w:r>
      <w:proofErr w:type="spellEnd"/>
      <w:r w:rsidRPr="00257F02">
        <w:rPr>
          <w:rFonts w:ascii="Book Antiqua" w:hAnsi="Book Antiqua" w:cs="Arial"/>
          <w:color w:val="000000"/>
          <w:shd w:val="clear" w:color="auto" w:fill="FFFFFF"/>
          <w:lang w:val="en-US"/>
        </w:rPr>
        <w:t xml:space="preserve"> (</w:t>
      </w:r>
      <w:r w:rsidRPr="00257F02">
        <w:rPr>
          <w:rFonts w:ascii="Book Antiqua" w:hAnsi="Book Antiqua" w:cs="Minion Pro"/>
          <w:color w:val="000000"/>
          <w:lang w:val="en-US"/>
        </w:rPr>
        <w:t>Olympus, Tokyo, Japan)</w:t>
      </w:r>
      <w:r w:rsidRPr="00257F02">
        <w:rPr>
          <w:rFonts w:ascii="Book Antiqua" w:hAnsi="Book Antiqua" w:cs="Arial"/>
          <w:color w:val="000000"/>
          <w:shd w:val="clear" w:color="auto" w:fill="FFFFFF"/>
          <w:lang w:val="en-US"/>
        </w:rPr>
        <w:t xml:space="preserve">, </w:t>
      </w:r>
      <w:proofErr w:type="spellStart"/>
      <w:r w:rsidRPr="00257F02">
        <w:rPr>
          <w:rFonts w:ascii="Book Antiqua" w:hAnsi="Book Antiqua" w:cs="Arial"/>
          <w:color w:val="000000"/>
          <w:shd w:val="clear" w:color="auto" w:fill="FFFFFF"/>
          <w:lang w:val="en-US"/>
        </w:rPr>
        <w:t>MiroCam</w:t>
      </w:r>
      <w:proofErr w:type="spellEnd"/>
      <w:r w:rsidRPr="00257F02">
        <w:rPr>
          <w:rFonts w:ascii="Book Antiqua" w:hAnsi="Book Antiqua" w:cs="Minion Pro"/>
          <w:color w:val="000000"/>
          <w:lang w:val="en-US"/>
        </w:rPr>
        <w:t xml:space="preserve"> (</w:t>
      </w:r>
      <w:proofErr w:type="spellStart"/>
      <w:r w:rsidRPr="00257F02">
        <w:rPr>
          <w:rFonts w:ascii="Book Antiqua" w:hAnsi="Book Antiqua" w:cs="Minion Pro"/>
          <w:color w:val="000000"/>
          <w:lang w:val="en-US"/>
        </w:rPr>
        <w:t>Intromedic</w:t>
      </w:r>
      <w:proofErr w:type="spellEnd"/>
      <w:r w:rsidRPr="00257F02">
        <w:rPr>
          <w:rFonts w:ascii="Book Antiqua" w:hAnsi="Book Antiqua" w:cs="Minion Pro"/>
          <w:color w:val="000000"/>
          <w:lang w:val="en-US"/>
        </w:rPr>
        <w:t>, Seoul, South Korea),</w:t>
      </w:r>
      <w:r w:rsidRPr="00257F02">
        <w:rPr>
          <w:rFonts w:ascii="Book Antiqua" w:hAnsi="Book Antiqua" w:cs="Arial"/>
          <w:color w:val="000000"/>
          <w:shd w:val="clear" w:color="auto" w:fill="FFFFFF"/>
          <w:lang w:val="en-US"/>
        </w:rPr>
        <w:t xml:space="preserve"> </w:t>
      </w:r>
      <w:proofErr w:type="spellStart"/>
      <w:r w:rsidRPr="00257F02">
        <w:rPr>
          <w:rFonts w:ascii="Book Antiqua" w:hAnsi="Book Antiqua" w:cs="Arial"/>
          <w:color w:val="000000"/>
          <w:shd w:val="clear" w:color="auto" w:fill="FFFFFF"/>
          <w:lang w:val="en-US"/>
        </w:rPr>
        <w:t>CapsoCam</w:t>
      </w:r>
      <w:proofErr w:type="spellEnd"/>
      <w:r w:rsidRPr="00257F02">
        <w:rPr>
          <w:rFonts w:ascii="Book Antiqua" w:hAnsi="Book Antiqua" w:cs="Arial"/>
          <w:color w:val="000000"/>
          <w:shd w:val="clear" w:color="auto" w:fill="FFFFFF"/>
          <w:lang w:val="en-US"/>
        </w:rPr>
        <w:t xml:space="preserve"> </w:t>
      </w:r>
      <w:r w:rsidRPr="00257F02">
        <w:rPr>
          <w:rFonts w:ascii="Book Antiqua" w:hAnsi="Book Antiqua" w:cs="Minion Pro"/>
          <w:color w:val="000000"/>
          <w:lang w:val="en-US"/>
        </w:rPr>
        <w:t>(</w:t>
      </w:r>
      <w:proofErr w:type="spellStart"/>
      <w:r w:rsidRPr="00257F02">
        <w:rPr>
          <w:rFonts w:ascii="Book Antiqua" w:hAnsi="Book Antiqua" w:cs="Minion Pro"/>
          <w:color w:val="000000"/>
          <w:lang w:val="en-US"/>
        </w:rPr>
        <w:t>CapsoVision</w:t>
      </w:r>
      <w:proofErr w:type="spellEnd"/>
      <w:r w:rsidRPr="00257F02">
        <w:rPr>
          <w:rFonts w:ascii="Book Antiqua" w:hAnsi="Book Antiqua" w:cs="Minion Pro"/>
          <w:color w:val="000000"/>
          <w:lang w:val="en-US"/>
        </w:rPr>
        <w:t>, Saratoga, U</w:t>
      </w:r>
      <w:r>
        <w:rPr>
          <w:rFonts w:ascii="Book Antiqua" w:hAnsi="Book Antiqua" w:cs="Minion Pro" w:hint="eastAsia"/>
          <w:color w:val="000000"/>
          <w:lang w:val="en-US" w:eastAsia="zh-CN"/>
        </w:rPr>
        <w:t>nited</w:t>
      </w:r>
      <w:r>
        <w:rPr>
          <w:rFonts w:ascii="Book Antiqua" w:hAnsi="Book Antiqua" w:cs="Minion Pro"/>
          <w:color w:val="000000"/>
          <w:lang w:val="en-US"/>
        </w:rPr>
        <w:t xml:space="preserve"> S</w:t>
      </w:r>
      <w:r>
        <w:rPr>
          <w:rFonts w:ascii="Book Antiqua" w:hAnsi="Book Antiqua" w:cs="Minion Pro" w:hint="eastAsia"/>
          <w:color w:val="000000"/>
          <w:lang w:val="en-US" w:eastAsia="zh-CN"/>
        </w:rPr>
        <w:t>tates</w:t>
      </w:r>
      <w:r w:rsidRPr="00257F02">
        <w:rPr>
          <w:rFonts w:ascii="Book Antiqua" w:hAnsi="Book Antiqua" w:cs="Minion Pro"/>
          <w:color w:val="000000"/>
          <w:lang w:val="en-US"/>
        </w:rPr>
        <w:t xml:space="preserve">), and the </w:t>
      </w:r>
      <w:proofErr w:type="spellStart"/>
      <w:r w:rsidRPr="00257F02">
        <w:rPr>
          <w:rFonts w:ascii="Book Antiqua" w:hAnsi="Book Antiqua" w:cs="Minion Pro"/>
          <w:color w:val="000000"/>
          <w:lang w:val="en-US"/>
        </w:rPr>
        <w:t>Pillcam</w:t>
      </w:r>
      <w:proofErr w:type="spellEnd"/>
      <w:r w:rsidRPr="00257F02">
        <w:rPr>
          <w:rFonts w:ascii="Book Antiqua" w:hAnsi="Book Antiqua" w:cs="Minion Pro"/>
          <w:color w:val="000000"/>
          <w:lang w:val="en-US"/>
        </w:rPr>
        <w:t xml:space="preserve"> COLON2 (Medtronic, Dublin, Ireland). The </w:t>
      </w:r>
      <w:proofErr w:type="spellStart"/>
      <w:r w:rsidRPr="00257F02">
        <w:rPr>
          <w:rFonts w:ascii="Book Antiqua" w:hAnsi="Book Antiqua" w:cs="Minion Pro"/>
          <w:color w:val="000000"/>
          <w:lang w:val="en-US"/>
        </w:rPr>
        <w:t>Pillcam</w:t>
      </w:r>
      <w:proofErr w:type="spellEnd"/>
      <w:r w:rsidRPr="00257F02">
        <w:rPr>
          <w:rFonts w:ascii="Book Antiqua" w:hAnsi="Book Antiqua" w:cs="Minion Pro"/>
          <w:color w:val="000000"/>
          <w:lang w:val="en-US"/>
        </w:rPr>
        <w:t xml:space="preserve"> COLON2 also visualizes the SB, even though it was designed to explore the colon. Although all these devices are based on comparable technologies, significant differences exist in the number of cameras, frame rate, field of view, viewing direction, image resolution and battery life</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{"citationID":"c2nqk23q","properties":{"formattedCitation":"\\super [60]\\nosupersub{}","plainCitation":"[60]","noteIndex":0},"citationItems":[{"id":2686,"uris":["http://zotero.org/users/3734960/items/UZFLS53U"],"uri":["http://zotero.org/users/3734960/items/UZFLS53U"],"itemData":{"id":2686,"type":"article-journal","title":"Capsule endoscopy for the diagnosis and follow up of Crohn’s disease: a comprehensive review of current status","container-title":"Annals of Gastroenterology : Quarterly Publication of the Hellenic Society of Gastroenterology","page":"168-178","volume":"30","issue":"2","source":"PubMed Central","abstract":"Capsule endoscopy (CE) has revolutionized the diagnosis and monitoring of small bowel Crohn’s disease (CD). The procedure is patient friendly and noninvasive, and compared to cross-sectional imaging, CE allows a direct and detailed evaluation of the entire small bowel mucosa with a high sensitivity for the earliest lesions of CD. Today, CE is the leading modality for visualizing the small bowel in suspected CD, and validated activity indices are available for the follow up of patients with established CD. CE of the entire gastrointestinal tract (panenteric CE) was recently introduced as a new diagnostic approach in patients examined for CD, and preliminary results are promising. There are important limitations, involving mainly capsule retention. Furthermore, a diagnostic criterion for CD has never been validated, and lesions detected by CE are not specific for CD. Hence, concern has been raised about a low specificity compared to other diagnostic modalities. Important questions about the optimal bowel preparation, selection of patients for CE and the optimal reading protocol remain to be clarified. The aim of this review is to evaluate the performance of CE for diagnosing CD and assess disease activity in known CD; to compare the diagnostic accuracy of CE to that of cross-sectional imaging; to discuss limitations; and to define the place of CE in the diagnostic algorithm in suspected or known CD.","DOI":"10.20524/aog.2016.0119","ISSN":"1108-7471","note":"PMID: 28243037\nPMCID: PMC5320029","title-short":"Capsule endoscopy for the diagnosis and follow up of Crohn’s disease","journalAbbreviation":"Ann Gastroenterol","author":[{"family":"Jensen","given":"Michael Dam"},{"family":"Brodersen","given":"Jacob Broder"},{"family":"Kjeldsen","given":"Jens"}],"issued":{"date-parts":[["2017"]]}}}],"schema":"https://github.com/citation-style-language/schema/raw/master/csl-citation.json"}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[60]</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xml:space="preserve">. These differences could theoretically influence diagnostic performance, but there are currently no available head-to-head studies comparing these devices in patients with CD. Most of studies have been performed using the </w:t>
      </w:r>
      <w:proofErr w:type="spellStart"/>
      <w:r w:rsidRPr="00257F02">
        <w:rPr>
          <w:rFonts w:ascii="Book Antiqua" w:hAnsi="Book Antiqua" w:cs="Minion Pro"/>
          <w:color w:val="000000"/>
          <w:lang w:val="en-US"/>
        </w:rPr>
        <w:t>PillCam</w:t>
      </w:r>
      <w:proofErr w:type="spellEnd"/>
      <w:r w:rsidRPr="00257F02">
        <w:rPr>
          <w:rFonts w:ascii="Book Antiqua" w:hAnsi="Book Antiqua" w:cs="Minion Pro"/>
          <w:color w:val="000000"/>
          <w:lang w:val="en-US"/>
        </w:rPr>
        <w:t xml:space="preserve"> SB because this CE system has dominated the world market for many years. </w:t>
      </w:r>
    </w:p>
    <w:p w:rsidR="001D4918" w:rsidRPr="00257F02" w:rsidRDefault="001D4918" w:rsidP="007742D4">
      <w:pPr>
        <w:spacing w:line="360" w:lineRule="auto"/>
        <w:jc w:val="both"/>
        <w:rPr>
          <w:rFonts w:ascii="Book Antiqua" w:hAnsi="Book Antiqua" w:cs="Minion Pro"/>
          <w:color w:val="000000"/>
          <w:lang w:val="en-US"/>
        </w:rPr>
      </w:pPr>
      <w:r w:rsidRPr="00257F02">
        <w:rPr>
          <w:rFonts w:ascii="Book Antiqua" w:hAnsi="Book Antiqua" w:cs="Minion Pro"/>
          <w:color w:val="000000"/>
          <w:lang w:val="en-US"/>
        </w:rPr>
        <w:t>In addition to the choice of the CE system, SB preparation before the SBCE may improve visualization, diagnostic sensitivity, and transit time. Optimal SB preparation remains controversial. Multiple studies examined the effect of different bowel cleansing regimens on mucosal visualization, diagnostic yield and completion rates, and several meta-analyses tried to determine the best strategy, but conflicting results have been obtained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{"citationID":"TEHVLkiP","properties":{"formattedCitation":"\\super [61\\uc0\\u8211{}64]\\nosupersub{}","plainCitation":"[61–64]","noteIndex":0},"citationItems":[{"id":3000,"uris":["http://zotero.org/users/3734960/items/HB4WZRPE"],"uri":["http://zotero.org/users/3734960/items/HB4WZRPE"],"itemData":{"id":3000,"type":"article-journal","title":"Does purgative preparation influence the diagnostic yield of small bowel video capsule endoscopy?: A meta-analysis","container-title":"The American Journal of Gastroenterology","page":"219-227","volume":"104","issue":"1","source":"PubMed","abstract":"OBJECTIVES: Video capsule endoscopy (VCE) is a useful tool in investigating small bowel pathology. However, the role of bowel preparation is controversial. Therefore, the aim of this study was to explore the role of bowel preparation and in particular its consequences on diagnostic yield in a meta-analysis of all relevant studies.\nMETHODS: Extensive English-language medical literature searches were performed up to February 2008, using suitable keywords, looking for human studies that compared different modes of small bowel preparation (purgative vs. clear liquids diet). We examined the effects of this preparation on the following three primary end points, diagnostic yield (DY), small bowel visualization quality (SBVQ), and VCE completion rate (CR) by meta-analysis of relevant studies.\nRESULTS: A total of 12 eligible studies (6 prospective, 6 retrospective) were identified, including 16 sets of data relevant to our primary end points. There were significant differences between patients prepared with purgative vs. those prepared with clear liquids diet in DY (263 vs. 213 patients, respectively; OR (95% CI)=1.813 (1.251-2.628), P=0.002) and SBVQ (404 vs. 249 patients, respectively; OR (95% CI)=2.113 (1.252-3.566), P=0.005). There was no statistically significant difference regarding CR rate. Purgatives did not affect VCE gastric transit time (GTT) or VCE small bowel transit time (SBTT).\nCONCLUSIONS: Pooled data showed that in comparison to clear liquids diet, purgative bowel cleansing, before VCE, improves the SBVQ and increases the DY of the examination, but does not affect the VCE completion rate.","DOI":"10.1038/ajg.2008.63","ISSN":"1572-0241","note":"PMID: 19098872","title-short":"Does purgative preparation influence the diagnostic yield of small bowel video capsule endoscopy?","journalAbbreviation":"Am. J. Gastroenterol.","language":"eng","author":[{"family":"Rokkas","given":"T."},{"family":"Papaxoinis","given":"K."},{"family":"Triantafyllou","given":"K."},{"family":"Pistiolas","given":"D."},{"family":"Ladas","given":"S. D."}],"issued":{"date-parts":[["2009",1]]}}},{"id":2996,"uris":["http://zotero.org/users/3734960/items/PYSFNRDJ"],"uri":["http://zotero.org/users/3734960/items/PYSFNRDJ"],"itemData":{"id":2996,"type":"article-journal","title":"Do prokinetics influence the completion rate in small-bowel capsule endoscopy? A systematic review and meta-analysis","container-title":"Current Medical Research and Opinion","page":"1171-1185","volume":"29","issue":"9","source":"PubMed","abstract":"BACKGROUND: The use of purging for bowel cleansing prior to small-bowel capsule endoscopy (SBCE) has now been established in clinical practice. Despite that, the number of incomplete SBCEs is still around 15-20%. To date, the use of prokinetics in SBCE - aiming to improve completion rate (CR) - remains a contentious issue resulting in lack of consensus among capsule experts.\nMETHODS: Extensive medical literature searches were conducted (to November 2012), using suitable MeSH terms and keywords, in search of studies that compared capsule ingestion with prokinetic agents vs. controls or placebo. We examined the effects of prokinetic administration on SBCE CR (primary end point), as well as on the following secondary end points: diagnostic yield (DY), gastric transit time (GTT) and small-bowel transit time (SBTT) by meta-analysis of all relevant studies.\nRESULTS: A total of 17 eligible studies (14 prospective, 3 retrospective) were identified, including 1028 individuals who ingested the capsule with no prokinetic vs. 876 who received a prokinetic. Overall, there was a higher CR in patients who ingested the capsule with prokinetics vs. controls (OR [95% CI]: 1.96 [1.38-2.78]). Of the two most readily available prokinetics, metoclopramide was associated with superior SBCE CR vs. control (OR [95% CI]: 2.8 [1.35-3.21]), while erythromycin showed no benefit (OR [95% CI]: 1.36 [0.61-3.03]). Where prokinetics were used alone, neither metoclopramide nor erythromycin showed any benefit on CR. There was no benefit of prokinetics (over controls) on DY. However, metoclopramide had a significant effect on GTT and SBTT.\nLIMITATIONS: The majority of the included studies were heterogeneous, and the effect of prokinetics on image quality and mucosal visualization was not examined.\nCONCLUSION: Our pooled data shows that the use of prokinetics for capsule ingestion improves CR in SBCE. This effect appears to be particularly evident with metoclopramide, when used concurrently with purging and/or use of real-time monitoring. In a small number of studies, erythromycin showed - through its gastrokinetic effect - marginal benefit. No prokinetic has a beneficial effect on SBCE DY.","DOI":"10.1185/03007995.2013.818532","ISSN":"1473-4877","note":"PMID: 23790243","title-short":"Do prokinetics influence the completion rate in small-bowel capsule endoscopy?","journalAbbreviation":"Curr Med Res Opin","language":"eng","author":[{"family":"Koulaouzidis","given":"Anastasios"},{"family":"Giannakou","given":"Andry"},{"family":"Yung","given":"Diana E."},{"family":"Dabos","given":"Konstantinos J."},{"family":"Plevris","given":"John N."}],"issued":{"date-parts":[["2013",9]]}}},{"id":3002,"uris":["http://zotero.org/users/3734960/items/2EMBUCYP"],"uri":["http://zotero.org/users/3734960/items/2EMBUCYP"],"itemData":{"id":3002,"type":"article-journal","title":"Should bowel preparation, antifoaming agents, or prokinetics be used before video capsule endoscopy? A systematic review and meta-analysis","container-title":"European Journal of Gastroenterology &amp; Hepatology","page":"137-145","volume":"26","issue":"2","source":"PubMed","abstract":"OBJECTIVES: The ideal bowel preparation regime before small bowel video capsule endoscopy (VCE) is not known. We carried out a systematic review and meta-analysis to study the effect of purgatives, antifoaming agents, and prokinetics on the outcomes associated with VCE.\nMATERIALS AND METHODS: We performed literature searches in MEDLINE and Cochrane Library and included randomized-controlled trials studying the effect of purgatives, antifoaming agents, and prokinetics in patients undergoing VCE. Our outcomes of interest were visualization quality, diagnostic yield, and completion rate. Meta-analyses were carried out using the RevMan software and heterogeneity was assessed using the I statistic.\nRESULTS: Fifteen studies fulfilled the inclusion criteria. As compared with no bowel preparation, bowel preparation with polyethylene glycol (PEG) led to adequate visualization in a significantly higher number of patients undergoing VCE [odds ratio (OR) 3.13; 95% confidence interval (CI) 1.70-5.75]. Both PEG and sodium phosphate significantly improved the diagnostic yield (OR 1.68; 95% CI 1.16-2.42 and OR 1.77; 95% CI 1.18-2.64, respectively) but did not affect the completion rate. All studies with simethicone showed significantly improved visualization quality with its use as compared with overnight fasting or purgatives alone. Prokinetics did not significantly improve the completion rate of VCE.\nCONCLUSION: On the basis of the data available, a combination of PEG and simethicone appears to be the best approach for small bowel preparation before VCE. However, large multicenter randomized-controlled trials are needed to validate this recommendation and to evaluate the ideal dose of PEG and timing of bowel preparation before VCE. Prokinetics administered before VCE do not improve the completion rate and should not be used.","DOI":"10.1097/MEG.0b013e328365b9d4","ISSN":"1473-5687","note":"PMID: 24220156","title-short":"Should bowel preparation, antifoaming agents, or prokinetics be used before video capsule endoscopy?","journalAbbreviation":"Eur J Gastroenterol Hepatol","language":"eng","author":[{"family":"Kotwal","given":"Vikram S."},{"family":"Attar","given":"Bashar M."},{"family":"Gupta","given":"Saurabh"},{"family":"Agarwal","given":"Rajender"}],"issued":{"date-parts":[["2014",2]]}}},{"id":2998,"uris":["http://zotero.org/users/3734960/items/IBFYHRS4"],"uri":["http://zotero.org/users/3734960/items/IBFYHRS4"],"itemData":{"id":2998,"type":"article-journal","title":"Systematic review and meta-analysis: is bowel preparation still necessary in small bowel capsule endoscopy?","container-title":"Expert Review of Gastroenterology &amp; Hepatology","page":"979-993","volume":"11","issue":"10","source":"PubMed","abstract":"INTRODUCTION: Optimal bowel preparation for small bowel capsule endoscopy(SBCE) is controversial. This meta-analysis aimed to investigate the effects of laxatives in SBCE.\nMETHODS: A comprehensive literature search was conducted for studies investigating the use of laxatives in SBCE. The primary outcome was diagnostic yield(DY) for SB findings; secondary outcomes SB visualization quality(SBVQ) and completion rate(CR). Pooled odds ratios(ORs) with 95% confidence intervals(CIs) and number needed to treat(NNT) were calculated.\nRESULTS: Forty studies (4380 patients with laxatives, 2185 without) were included. Laxative use did not improve DY of SB findings overall (OR 1.11 (95%CI 0.85-1.44)) or for significant SB findings (OR 1.10 (95%CI 0.76-1.60)). However, SBVQ improved with the use of laxatives (OR 1.60 (95%CI 1.08-2.06)), NNT 14. The OR for completed SBCE was 1.30 (95%CI 0.95-1.78). Patients given polyethylene glycol(PEG) had lower DY than sodium phosphate(NaP). SBVQ improved more with NaP (NNT 7) than PEG (NNT 53).\nCONCLUSIONS: Laxatives do not significantly improve DY or CR in SBCE, but do improve SBQV. The use of laxatives may be beneficial in patients likely to have subtle findings. There are significant differences in methodology/definitions between studies, hence the need for standardized visualization scoring and recording of SBCE findings.","DOI":"10.1080/17474124.2017.1359540","ISSN":"1747-4132","note":"PMID: 28737439","title-short":"Systematic review and meta-analysis","journalAbbreviation":"Expert Rev Gastroenterol Hepatol","language":"eng","author":[{"family":"Yung","given":"Diana E."},{"family":"Rondonotti","given":"Emanuele"},{"family":"Sykes","given":"Catherine"},{"family":"Pennazio","given":"Marco"},{"family":"Plevris","given":"John N."},{"family":"Koulaouzidis","given":"Anastastios"}],"issued":{"date-parts":[["2017",10]]}}}],"schema":"https://github.com/citation-style-language/schema/raw/master/csl-citation.json"}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[61–64]</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Prokinetics do not seem to improve the diagnostic yield and should probably not be used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{"citationID":"RIJAtmOs","properties":{"formattedCitation":"\\super [62,63]\\nosupersub{}","plainCitation":"[62,63]","noteIndex":0},"citationItems":[{"id":2996,"uris":["http://zotero.org/users/3734960/items/PYSFNRDJ"],"uri":["http://zotero.org/users/3734960/items/PYSFNRDJ"],"itemData":{"id":2996,"type":"article-journal","title":"Do prokinetics influence the completion rate in small-bowel capsule endoscopy? A systematic review and meta-analysis","container-title":"Current Medical Research and Opinion","page":"1171-1185","volume":"29","issue":"9","source":"PubMed","abstract":"BACKGROUND: The use of purging for bowel cleansing prior to small-bowel capsule endoscopy (SBCE) has now been established in clinical practice. Despite that, the number of incomplete SBCEs is still around 15-20%. To date, the use of prokinetics in SBCE - aiming to improve completion rate (CR) - remains a contentious issue resulting in lack of consensus among capsule experts.\nMETHODS: Extensive medical literature searches were conducted (to November 2012), using suitable MeSH terms and keywords, in search of studies that compared capsule ingestion with prokinetic agents vs. controls or placebo. We examined the effects of prokinetic administration on SBCE CR (primary end point), as well as on the following secondary end points: diagnostic yield (DY), gastric transit time (GTT) and small-bowel transit time (SBTT) by meta-analysis of all relevant studies.\nRESULTS: A total of 17 eligible studies (14 prospective, 3 retrospective) were identified, including 1028 individuals who ingested the capsule with no prokinetic vs. 876 who received a prokinetic. Overall, there was a higher CR in patients who ingested the capsule with prokinetics vs. controls (OR [95% CI]: 1.96 [1.38-2.78]). Of the two most readily available prokinetics, metoclopramide was associated with superior SBCE CR vs. control (OR [95% CI]: 2.8 [1.35-3.21]), while erythromycin showed no benefit (OR [95% CI]: 1.36 [0.61-3.03]). Where prokinetics were used alone, neither metoclopramide nor erythromycin showed any benefit on CR. There was no benefit of prokinetics (over controls) on DY. However, metoclopramide had a significant effect on GTT and SBTT.\nLIMITATIONS: The majority of the included studies were heterogeneous, and the effect of prokinetics on image quality and mucosal visualization was not examined.\nCONCLUSION: Our pooled data shows that the use of prokinetics for capsule ingestion improves CR in SBCE. This effect appears to be particularly evident with metoclopramide, when used concurrently with purging and/or use of real-time monitoring. In a small number of studies, erythromycin showed - through its gastrokinetic effect - marginal benefit. No prokinetic has a beneficial effect on SBCE DY.","DOI":"10.1185/03007995.2013.818532","ISSN":"1473-4877","note":"PMID: 23790243","title-short":"Do prokinetics influence the completion rate in small-bowel capsule endoscopy?","journalAbbreviation":"Curr Med Res Opin","language":"eng","author":[{"family":"Koulaouzidis","given":"Anastasios"},{"family":"Giannakou","given":"Andry"},{"family":"Yung","given":"Diana E."},{"family":"Dabos","given":"Konstantinos J."},{"family":"Plevris","given":"John N."}],"issued":{"date-parts":[["2013",9]]}}},{"id":3002,"uris":["http://zotero.org/users/3734960/items/2EMBUCYP"],"uri":["http://zotero.org/users/3734960/items/2EMBUCYP"],"itemData":{"id":3002,"type":"article-journal","title":"Should bowel preparation, antifoaming agents, or prokinetics be used before video capsule endoscopy? A systematic review and meta-analysis","container-title":"European Journal of Gastroenterology &amp; Hepatology","page":"137-145","volume":"26","issue":"2","source":"PubMed","abstract":"OBJECTIVES: The ideal bowel preparation regime before small bowel video capsule endoscopy (VCE) is not known. We carried out a systematic review and meta-analysis to study the effect of purgatives, antifoaming agents, and prokinetics on the outcomes associated with VCE.\nMATERIALS AND METHODS: We performed literature searches in MEDLINE and Cochrane Library and included randomized-controlled trials studying the effect of purgatives, antifoaming agents, and prokinetics in patients undergoing VCE. Our outcomes of interest were visualization quality, diagnostic yield, and completion rate. Meta-analyses were carried out using the RevMan software and heterogeneity was assessed using the I statistic.\nRESULTS: Fifteen studies fulfilled the inclusion criteria. As compared with no bowel preparation, bowel preparation with polyethylene glycol (PEG) led to adequate visualization in a significantly higher number of patients undergoing VCE [odds ratio (OR) 3.13; 95% confidence interval (CI) 1.70-5.75]. Both PEG and sodium phosphate significantly improved the diagnostic yield (OR 1.68; 95% CI 1.16-2.42 and OR 1.77; 95% CI 1.18-2.64, respectively) but did not affect the completion rate. All studies with simethicone showed significantly improved visualization quality with its use as compared with overnight fasting or purgatives alone. Prokinetics did not significantly improve the completion rate of VCE.\nCONCLUSION: On the basis of the data available, a combination of PEG and simethicone appears to be the best approach for small bowel preparation before VCE. However, large multicenter randomized-controlled trials are needed to validate this recommendation and to evaluate the ideal dose of PEG and timing of bowel preparation before VCE. Prokinetics administered before VCE do not improve the completion rate and should not be used.","DOI":"10.1097/MEG.0b013e328365b9d4","ISSN":"1473-5687","note":"PMID: 24220156","title-short":"Should bowel preparation, antifoaming agents, or prokinetics be used before video capsule endoscopy?","journalAbbreviation":"Eur J Gastroenterol Hepatol","language":"eng","author":[{"family":"Kotwal","given":"Vikram S."},{"family":"Attar","given":"Bashar M."},{"family":"Gupta","given":"Saurabh"},{"family":"Agarwal","given":"Rajender"}],"issued":{"date-parts":[["2014",2]]}}}],"schema":"https://github.com/citation-style-language/schema/raw/master/csl-citation.json"}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[62,63]</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xml:space="preserve">. Simethicone and </w:t>
      </w:r>
      <w:r w:rsidRPr="00257F02">
        <w:rPr>
          <w:rFonts w:ascii="Book Antiqua" w:hAnsi="Book Antiqua" w:cs="Arial"/>
          <w:color w:val="000000"/>
          <w:shd w:val="clear" w:color="auto" w:fill="FFFFFF"/>
          <w:lang w:val="en-US"/>
        </w:rPr>
        <w:t>laxatives, including polyethylene glycol (PEG) and sodium phosphate, could be used because they seem to improve SB quality visualization. However, their effect on diagnostic yield remains controversial</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{"citationID":"y1C4F7MN","properties":{"unsorted":true,"formattedCitation":"\\super [61,65,63,64]\\nosupersub{}","plainCitation":"[61,65,63,64]","noteIndex":0},"citationItems":[{"id":3000,"uris":["http://zotero.org/users/3734960/items/HB4WZRPE"],"uri":["http://zotero.org/users/3734960/items/HB4WZRPE"],"itemData":{"id":3000,"type":"article-journal","title":"Does purgative preparation influence the diagnostic yield of small bowel video capsule endoscopy?: A meta-analysis","container-title":"The American Journal of Gastroenterology","page":"219-227","volume":"104","issue":"1","source":"PubMed","abstract":"OBJECTIVES: Video capsule endoscopy (VCE) is a useful tool in investigating small bowel pathology. However, the role of bowel preparation is controversial. Therefore, the aim of this study was to explore the role of bowel preparation and in particular its consequences on diagnostic yield in a meta-analysis of all relevant studies.\nMETHODS: Extensive English-language medical literature searches were performed up to February 2008, using suitable keywords, looking for human studies that compared different modes of small bowel preparation (purgative vs. clear liquids diet). We examined the effects of this preparation on the following three primary end points, diagnostic yield (DY), small bowel visualization quality (SBVQ), and VCE completion rate (CR) by meta-analysis of relevant studies.\nRESULTS: A total of 12 eligible studies (6 prospective, 6 retrospective) were identified, including 16 sets of data relevant to our primary end points. There were significant differences between patients prepared with purgative vs. those prepared with clear liquids diet in DY (263 vs. 213 patients, respectively; OR (95% CI)=1.813 (1.251-2.628), P=0.002) and SBVQ (404 vs. 249 patients, respectively; OR (95% CI)=2.113 (1.252-3.566), P=0.005). There was no statistically significant difference regarding CR rate. Purgatives did not affect VCE gastric transit time (GTT) or VCE small bowel transit time (SBTT).\nCONCLUSIONS: Pooled data showed that in comparison to clear liquids diet, purgative bowel cleansing, before VCE, improves the SBVQ and increases the DY of the examination, but does not affect the VCE completion rate.","DOI":"10.1038/ajg.2008.63","ISSN":"1572-0241","note":"PMID: 19098872","title-short":"Does purgative preparation influence the diagnostic yield of small bowel video capsule endoscopy?","journalAbbreviation":"Am. J. Gastroenterol.","language":"eng","author":[{"family":"Rokkas","given":"T."},{"family":"Papaxoinis","given":"K."},{"family":"Triantafyllou","given":"K."},{"family":"Pistiolas","given":"D."},{"family":"Ladas","given":"S. D."}],"issued":{"date-parts":[["2009",1]]}}},{"id":3007,"uris":["http://zotero.org/users/3734960/items/NTBL2RYF"],"uri":["http://zotero.org/users/3734960/items/NTBL2RYF"],"itemData":{"id":3007,"type":"article-journal","title":"Systematic review and meta-analysis of randomized controlled trials of Simethicone for gastrointestinal endoscopic visibility","container-title":"Scandinavian Journal of Gastroenterology","page":"227-235","volume":"46","issue":"2","source":"PubMed","abstract":"BACKGROUND: The value of supplemental use of Simethicone in endoscopy including capsule endoscopy (CE), colonoscopy and esophagogastroduodenoscopy is not addressed and is controversial.\nMETHODS: A systematic review and meta-analysis of randomized controlled studies on the use of Simethicone for endoscopy were carried out. The effects of this preparation on the following endpoints were examined: small bowel visualization quality (SBVQ), completion rate, gastric transit time, small bowel transit time, diagnostic yield, efficacy of bowel preparation, degree of air bubbles and duration time.\nRESULTS: A total of 13 studies were eligible in this meta-analysis; 4 studies comparing purgative or fasting plus Simethicone with purgative or fasting alone for capsule endoscopy were identified. For patients who had supplemental Simethicone before CE, the SBVQ was significantly better ([odds ratio] OR = 2.84, 95% CI: 1.74-4.65, p = 0.00), and the completion rate was comparable (OR = 0.80, 95% CI: 0.44-1.44, p = 0.454). Also, 7 studies comparing purgative plus Simethicone with purgative alone for colonoscopy were identified. For patients who had supplemental Simethicone before colonoscopy, the efficacy of colon preparation was comparable (OR = 2.06, 95% CI: 0.56-7.53, p = 0.27), but the air bubbles were significantly decreased (OR = 39.32, 95% CI: 11.38-135.86, p = 0.00).\nCONCLUSION: Supplemental use of Simethicone before endoscopy improves the SBVQ, especially for patients who received no purgative, but does not affect the CE completion rate. It decreases air bubbles in the colonic lumen, but does not improve bowel preparation. And its effect on diagnostic yield remains controversial.","DOI":"10.3109/00365521.2010.525714","ISSN":"1502-7708","note":"PMID: 20977386","journalAbbreviation":"Scand. J. Gastroenterol.","language":"eng","author":[{"family":"Wu","given":"Liucheng"},{"family":"Cao","given":"Yunfei"},{"family":"Liao","given":"Cun"},{"family":"Huang","given":"Jiahao"},{"family":"Gao","given":"Feng"}],"issued":{"date-parts":[["2011",2]]}}},{"id":3002,"uris":["http://zotero.org/users/3734960/items/2EMBUCYP"],"uri":["http://zotero.org/users/3734960/items/2EMBUCYP"],"itemData":{"id":3002,"type":"article-journal","title":"Should bowel preparation, antifoaming agents, or prokinetics be used before video capsule endoscopy? A systematic review and meta-analysis","container-title":"European Journal of Gastroenterology &amp; Hepatology","page":"137-145","volume":"26","issue":"2","source":"PubMed","abstract":"OBJECTIVES: The ideal bowel preparation regime before small bowel video capsule endoscopy (VCE) is not known. We carried out a systematic review and meta-analysis to study the effect of purgatives, antifoaming agents, and prokinetics on the outcomes associated with VCE.\nMATERIALS AND METHODS: We performed literature searches in MEDLINE and Cochrane Library and included randomized-controlled trials studying the effect of purgatives, antifoaming agents, and prokinetics in patients undergoing VCE. Our outcomes of interest were visualization quality, diagnostic yield, and completion rate. Meta-analyses were carried out using the RevMan software and heterogeneity was assessed using the I statistic.\nRESULTS: Fifteen studies fulfilled the inclusion criteria. As compared with no bowel preparation, bowel preparation with polyethylene glycol (PEG) led to adequate visualization in a significantly higher number of patients undergoing VCE [odds ratio (OR) 3.13; 95% confidence interval (CI) 1.70-5.75]. Both PEG and sodium phosphate significantly improved the diagnostic yield (OR 1.68; 95% CI 1.16-2.42 and OR 1.77; 95% CI 1.18-2.64, respectively) but did not affect the completion rate. All studies with simethicone showed significantly improved visualization quality with its use as compared with overnight fasting or purgatives alone. Prokinetics did not significantly improve the completion rate of VCE.\nCONCLUSION: On the basis of the data available, a combination of PEG and simethicone appears to be the best approach for small bowel preparation before VCE. However, large multicenter randomized-controlled trials are needed to validate this recommendation and to evaluate the ideal dose of PEG and timing of bowel preparation before VCE. Prokinetics administered before VCE do not improve the completion rate and should not be used.","DOI":"10.1097/MEG.0b013e328365b9d4","ISSN":"1473-5687","note":"PMID: 24220156","title-short":"Should bowel preparation, antifoaming agents, or prokinetics be used before video capsule endoscopy?","journalAbbreviation":"Eur J Gastroenterol Hepatol","language":"eng","author":[{"family":"Kotwal","given":"Vikram S."},{"family":"Attar","given":"Bashar M."},{"family":"Gupta","given":"Saurabh"},{"family":"Agarwal","given":"Rajender"}],"issued":{"date-parts":[["2014",2]]}}},{"id":2998,"uris":["http://zotero.org/users/3734960/items/IBFYHRS4"],"uri":["http://zotero.org/users/3734960/items/IBFYHRS4"],"itemData":{"id":2998,"type":"article-journal","title":"Systematic review and meta-analysis: is bowel preparation still necessary in small bowel capsule endoscopy?","container-title":"Expert Review of Gastroenterology &amp; Hepatology","page":"979-993","volume":"11","issue":"10","source":"PubMed","abstract":"INTRODUCTION: Optimal bowel preparation for small bowel capsule endoscopy(SBCE) is controversial. This meta-analysis aimed to investigate the effects of laxatives in SBCE.\nMETHODS: A comprehensive literature search was conducted for studies investigating the use of laxatives in SBCE. The primary outcome was diagnostic yield(DY) for SB findings; secondary outcomes SB visualization quality(SBVQ) and completion rate(CR). Pooled odds ratios(ORs) with 95% confidence intervals(CIs) and number needed to treat(NNT) were calculated.\nRESULTS: Forty studies (4380 patients with laxatives, 2185 without) were included. Laxative use did not improve DY of SB findings overall (OR 1.11 (95%CI 0.85-1.44)) or for significant SB findings (OR 1.10 (95%CI 0.76-1.60)). However, SBVQ improved with the use of laxatives (OR 1.60 (95%CI 1.08-2.06)), NNT 14. The OR for completed SBCE was 1.30 (95%CI 0.95-1.78). Patients given polyethylene glycol(PEG) had lower DY than sodium phosphate(NaP). SBVQ improved more with NaP (NNT 7) than PEG (NNT 53).\nCONCLUSIONS: Laxatives do not significantly improve DY or CR in SBCE, but do improve SBQV. The use of laxatives may be beneficial in patients likely to have subtle findings. There are significant differences in methodology/definitions between studies, hence the need for standardized visualization scoring and recording of SBCE findings.","DOI":"10.1080/17474124.2017.1359540","ISSN":"1747-4132","note":"PMID: 28737439","title-short":"Systematic review and meta-analysis","journalAbbreviation":"Expert Rev Gastroenterol Hepatol","language":"eng","author":[{"family":"Yung","given":"Diana E."},{"family":"Rondonotti","given":"Emanuele"},{"family":"Sykes","given":"Catherine"},{"family":"Pennazio","given":"Marco"},{"family":"Plevris","given":"John N."},{"family":"Koulaouzidis","given":"Anastastios"}],"issued":{"date-parts":[["2017",10]]}}}],"schema":"https://github.com/citation-style-language/schema/raw/master/csl-citation.json"}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color w:val="000000"/>
          <w:vertAlign w:val="superscript"/>
          <w:lang w:val="en-US"/>
        </w:rPr>
        <w:t>[61</w:t>
      </w:r>
      <w:r w:rsidRPr="00CA395C">
        <w:rPr>
          <w:rFonts w:ascii="Book Antiqua" w:hAnsi="Book Antiqua" w:cs="Arial"/>
          <w:color w:val="000000"/>
          <w:shd w:val="clear" w:color="auto" w:fill="FFFFFF"/>
          <w:vertAlign w:val="superscript"/>
          <w:lang w:val="en-US"/>
        </w:rPr>
        <w:t>,</w:t>
      </w:r>
      <w:r>
        <w:rPr>
          <w:rFonts w:ascii="Book Antiqua" w:hAnsi="Book Antiqua"/>
          <w:color w:val="000000"/>
          <w:vertAlign w:val="superscript"/>
          <w:lang w:val="en-US"/>
        </w:rPr>
        <w:t>63</w:t>
      </w:r>
      <w:r>
        <w:rPr>
          <w:rFonts w:ascii="Book Antiqua" w:hAnsi="Book Antiqua" w:hint="eastAsia"/>
          <w:color w:val="000000"/>
          <w:vertAlign w:val="superscript"/>
          <w:lang w:val="en-US" w:eastAsia="zh-CN"/>
        </w:rPr>
        <w:t>-</w:t>
      </w:r>
      <w:r w:rsidRPr="00257F02">
        <w:rPr>
          <w:rFonts w:ascii="Book Antiqua" w:hAnsi="Book Antiqua"/>
          <w:color w:val="000000"/>
          <w:vertAlign w:val="superscript"/>
          <w:lang w:val="en-US"/>
        </w:rPr>
        <w:t>6</w:t>
      </w:r>
      <w:r>
        <w:rPr>
          <w:rFonts w:ascii="Book Antiqua" w:hAnsi="Book Antiqua"/>
          <w:color w:val="000000"/>
          <w:vertAlign w:val="superscript"/>
          <w:lang w:val="en-US"/>
        </w:rPr>
        <w:t>5</w:t>
      </w:r>
      <w:r w:rsidRPr="00257F02">
        <w:rPr>
          <w:rFonts w:ascii="Book Antiqua" w:hAnsi="Book Antiqua"/>
          <w:color w:val="000000"/>
          <w:vertAlign w:val="superscript"/>
          <w:lang w:val="en-US"/>
        </w:rPr>
        <w:t>]</w:t>
      </w:r>
      <w:r w:rsidRPr="00257F02">
        <w:rPr>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A recent study demonstrated in a cohort of 860 patients that</w:t>
      </w:r>
      <w:r w:rsidRPr="00257F02">
        <w:rPr>
          <w:rFonts w:ascii="Book Antiqua" w:hAnsi="Book Antiqua"/>
          <w:color w:val="000000"/>
          <w:shd w:val="clear" w:color="auto" w:fill="FFFFFF"/>
          <w:lang w:val="en-US"/>
        </w:rPr>
        <w:t xml:space="preserve"> clear liquid fasting had similar preparation quality and diagnostic yield compared to a 2-L PEG protocol</w:t>
      </w:r>
      <w:r w:rsidRPr="00257F02">
        <w:rPr>
          <w:rFonts w:ascii="Book Antiqua" w:hAnsi="Book Antiqua"/>
          <w:color w:val="000000"/>
          <w:shd w:val="clear" w:color="auto" w:fill="FFFFFF"/>
          <w:lang w:val="en-US"/>
        </w:rPr>
        <w:fldChar w:fldCharType="begin"/>
      </w:r>
      <w:r w:rsidRPr="00257F02">
        <w:rPr>
          <w:rFonts w:ascii="Book Antiqua" w:hAnsi="Book Antiqua"/>
          <w:color w:val="000000"/>
          <w:shd w:val="clear" w:color="auto" w:fill="FFFFFF"/>
          <w:lang w:val="en-US"/>
        </w:rPr>
        <w:instrText xml:space="preserve"> ADDIN ZOTERO_ITEM CSL_CITATION {"citationID":"d4R9RUzv","properties":{"formattedCitation":"\\super [66]\\nosupersub{}","plainCitation":"[66]","noteIndex":0},"citationItems":[{"id":3004,"uris":["http://zotero.org/users/3734960/items/MWIQ9FLY"],"uri":["http://zotero.org/users/3734960/items/MWIQ9FLY"],"itemData":{"id":3004,"type":"article-journal","title":"Bowel preparation in “real-life” small bowel capsule endoscopy: a two-center experience","container-title":"Annals of Gastroenterology : Quarterly Publication of the Hellenic Society of Gastroenterology","page":"196-200","volume":"29","issue":"2","source":"PubMed Central","abstract":"Background\nVideo capsule endoscopy (VCE) is an established diagnostic tool for the investigation of small bowel (SB) pathology. Bowel preparation prior to VCE may improve visualization, transit time, and diagnostic yield. We aimed to evaluate the “real-life” experience comparing two different preparation protocols in patients undergoing SB VCE.\n\nMethods\nWe performed a retrospective analysis of prospectively collected data from SB VCE procedures, performed in two tertiary care medical centers in Israel. VCE procedures performed at “Sheba Medical Center” used a 2-L polyethylene glycol (PEG) bowel preparation (n=360) while VCEs performed at “Rambam Health Care campus” used a clear liquid diet plus 12-h fast protocol (n=500). A dichotomous preparation scale (adequate, inadequate) was used to classify cleansing quality. Data collection included patient and procedural details. The proportion of VCE procedures with adequate bowel preparation and the overall positive SB findings in the two different bowel preparation protocols were evaluated.\n\nResults\nSB completion rates were higher in the PEG protocol (96% vs. 83%, P&lt;0.001) and SB passage time was significantly faster in the PEG protocol (mean 217±73 vs. 238±77 min, P&lt;0.001). Bowel preparation quality was similar between groups (8% vs. 7% inadequate preparation, P=0.591). Overall positive SB findings were similar between the two groups (57% clear liquid fasting only vs. 51% PEG protocol, P=0.119).\n\nConclusion\nIn this large cohort, a 2-L PEG protocol had similar preparation quality and diagnostic yield compared with clear liquid fasting.","DOI":"10.20524/aog.2016.0012","ISSN":"1108-7471","note":"PMID: 27064840\nPMCID: PMC4805740","title-short":"Bowel preparation in “real-life” small bowel capsule endoscopy","journalAbbreviation":"Ann Gastroenterol","author":[{"family":"Klein","given":"Amir"},{"family":"Dashkovsky","given":"Marianna"},{"family":"Gralnek","given":"Ian"},{"family":"Peled","given":"Ravit"},{"family":"Chowers","given":"Yehuda"},{"family":"Khamaysi","given":"Iyad"},{"family":"Har-Noy","given":"Ofir"},{"family":"Levi","given":"Idan"},{"family":"Nadler","given":"Moshe"},{"family":"Eliakim","given":"Rami"},{"family":"Kopylov","given":"Uri"}],"issued":{"date-parts":[["2016"]]}}}],"schema":"https://github.com/citation-style-language/schema/raw/master/csl-citation.json"} </w:instrText>
      </w:r>
      <w:r w:rsidRPr="00257F02">
        <w:rPr>
          <w:rFonts w:ascii="Book Antiqua" w:hAnsi="Book Antiqua"/>
          <w:color w:val="000000"/>
          <w:shd w:val="clear" w:color="auto" w:fill="FFFFFF"/>
          <w:lang w:val="en-US"/>
        </w:rPr>
        <w:fldChar w:fldCharType="separate"/>
      </w:r>
      <w:r w:rsidRPr="00257F02">
        <w:rPr>
          <w:rFonts w:ascii="Book Antiqua" w:hAnsi="Book Antiqua"/>
          <w:color w:val="000000"/>
          <w:vertAlign w:val="superscript"/>
          <w:lang w:val="en-US"/>
        </w:rPr>
        <w:t>[66]</w:t>
      </w:r>
      <w:r w:rsidRPr="00257F02">
        <w:rPr>
          <w:rFonts w:ascii="Book Antiqua" w:hAnsi="Book Antiqua"/>
          <w:color w:val="000000"/>
          <w:shd w:val="clear" w:color="auto" w:fill="FFFFFF"/>
          <w:lang w:val="en-US"/>
        </w:rPr>
        <w:fldChar w:fldCharType="end"/>
      </w:r>
      <w:r w:rsidRPr="00257F02">
        <w:rPr>
          <w:rFonts w:ascii="Book Antiqua" w:hAnsi="Book Antiqua"/>
          <w:color w:val="000000"/>
          <w:shd w:val="clear" w:color="auto" w:fill="FFFFFF"/>
          <w:lang w:val="en-US"/>
        </w:rPr>
        <w:t xml:space="preserve">. Thus, </w:t>
      </w:r>
      <w:r w:rsidRPr="00257F02">
        <w:rPr>
          <w:rFonts w:ascii="Book Antiqua" w:hAnsi="Book Antiqua" w:cs="Minion Pro"/>
          <w:color w:val="000000"/>
          <w:lang w:val="en-US"/>
        </w:rPr>
        <w:t>there is still no consensus on the use of bowel cleansing before SBCE in patients examined for CD.</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cs="Minion Pro"/>
          <w:color w:val="000000"/>
          <w:lang w:val="en-US"/>
        </w:rPr>
        <w:t>Reading protocols might also impact the diagnostic accuracy of SBCE. Time-consuming video analysis is a substantial limitation of using SBCE in daily practice, and the available software, Given RAPID Reader</w:t>
      </w:r>
      <w:r w:rsidRPr="00257F02">
        <w:rPr>
          <w:rFonts w:ascii="Book Antiqua" w:hAnsi="Book Antiqua" w:cs="Minion Pro"/>
          <w:color w:val="000000"/>
          <w:vertAlign w:val="superscript"/>
          <w:lang w:val="en-US"/>
        </w:rPr>
        <w:t>®</w:t>
      </w:r>
      <w:r w:rsidRPr="00257F02">
        <w:rPr>
          <w:rFonts w:ascii="Book Antiqua" w:hAnsi="Book Antiqua" w:cs="Minion Pro"/>
          <w:color w:val="000000"/>
          <w:lang w:val="en-US"/>
        </w:rPr>
        <w:t>, for SBCE analysis has developed several techniques to shorten reading times. Physicians can first modify the viewing mode from single to dual or quad view, and the frame rate can be adjusted from 5 to 40 frames per second (</w:t>
      </w:r>
      <w:proofErr w:type="spellStart"/>
      <w:r w:rsidRPr="00257F02">
        <w:rPr>
          <w:rFonts w:ascii="Book Antiqua" w:hAnsi="Book Antiqua" w:cs="Minion Pro"/>
          <w:color w:val="000000"/>
          <w:lang w:val="en-US"/>
        </w:rPr>
        <w:t>fr</w:t>
      </w:r>
      <w:proofErr w:type="spellEnd"/>
      <w:r w:rsidRPr="00257F02">
        <w:rPr>
          <w:rFonts w:ascii="Book Antiqua" w:hAnsi="Book Antiqua" w:cs="Minion Pro"/>
          <w:color w:val="000000"/>
          <w:lang w:val="en-US"/>
        </w:rPr>
        <w:t xml:space="preserve">/s). A recent study compared a single view, dual view, and </w:t>
      </w:r>
      <w:r w:rsidRPr="00257F02">
        <w:rPr>
          <w:rFonts w:ascii="Book Antiqua" w:hAnsi="Book Antiqua" w:cs="Minion Pro"/>
          <w:color w:val="000000"/>
          <w:lang w:val="en-US"/>
        </w:rPr>
        <w:lastRenderedPageBreak/>
        <w:t xml:space="preserve">quad view at different frame rates using a SB video sequence with 60 pathological images of SB </w:t>
      </w:r>
      <w:proofErr w:type="spellStart"/>
      <w:r w:rsidRPr="00257F02">
        <w:rPr>
          <w:rFonts w:ascii="Book Antiqua" w:hAnsi="Book Antiqua" w:cs="Minion Pro"/>
          <w:color w:val="000000"/>
          <w:lang w:val="en-US"/>
        </w:rPr>
        <w:t>angioectasias</w:t>
      </w:r>
      <w:proofErr w:type="spellEnd"/>
      <w:r w:rsidRPr="00257F02">
        <w:rPr>
          <w:rFonts w:ascii="Book Antiqua" w:hAnsi="Book Antiqua" w:cs="Minion Pro"/>
          <w:color w:val="000000"/>
          <w:lang w:val="en-US"/>
        </w:rPr>
        <w:t>, and it showed that both viewing mode and frame rate significantly influence lesion detection, with an increase in detection rate using the dual and quad view compared to single view, but a decrease in the number of positive findings when increasing the frame rate</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{"citationID":"1HmRWGU1","properties":{"formattedCitation":"\\super [67]\\nosupersub{}","plainCitation":"[67]","noteIndex":0},"citationItems":[{"id":3021,"uris":["http://zotero.org/users/3734960/items/CCRVY7VF"],"uri":["http://zotero.org/users/3734960/items/CCRVY7VF"],"itemData":{"id":3021,"type":"article-journal","title":"A Critical Analysis of the Effect of View Mode and Frame Rate on Reading Time and Lesion Detection During Capsule Endoscopy","container-title":"Digestive Diseases and Sciences","page":"1743-1747","volume":"60","issue":"6","source":"Springer Link","abstract":"Background and AimFactors influencing reading time and detection of lesions include the view mode (VM) and frame rate (FR) applied during reading of small bowel capsule endoscopy images. The aims of this study were to examine the impact of VM and FR on reading time and lesion detection using a standardized, single-type lesion model.MethodsA selected video clip containing a known number of positive images (n = 60) of small bowel angioectasias was read using nine different combinations of VM and FR (VM1, VM2, and VM4 × FR10, FR15, and FR25) in randomized order by six capsule endoscopists. Readers were asked to count all positive images of angioectasias (maximum number of positive images, MPIs) seen during reading. The main outcome measurements were effect of VM and FR on reading time and lesion detection.ResultsMean MPIs for all VM2 and VM4 were 36 (60 %) and 38 (64 %). They were significantly higher than VM1 of 24 (40 %) (P = 0.011, 0.008). A statistical difference was found when the total MPIs at FR10 were compared to FR15 (P = 0.008) and to FR25 (P &lt; 0.001).ConclusionsBoth VM and FR significantly influence lesion detection during capsule endoscopy reading.","DOI":"10.1007/s10620-014-3496-5","ISSN":"1573-2568","journalAbbreviation":"Dig Dis Sci","language":"en","author":[{"family":"Nakamura","given":"Masanao"},{"family":"Murino","given":"Alberto"},{"family":"O’Rourke","given":"Aine"},{"family":"Fraser","given":"Chris"}],"issued":{"date-parts":[["2015",6,1]]}}}],"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[67]</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However, for CD, increasing the viewing speed may be feasible, as illustrated by another study in which overlooked lesions did not change the final result of the examination</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{"citationID":"iV4HcevD","properties":{"formattedCitation":"\\super [68]\\nosupersub{}","plainCitation":"[68]","noteIndex":0},"citationItems":[{"id":3019,"uris":["http://zotero.org/users/3734960/items/UJYQNG6G"],"uri":["http://zotero.org/users/3734960/items/UJYQNG6G"],"itemData":{"id":3019,"type":"article-journal","title":"Capsule endoscopy: comparison of two different reading modes","container-title":"International Journal of Colorectal Disease","page":"521-525","volume":"27","issue":"4","source":"PubMed","abstract":"PURPOSE: Capsule endoscopy (CE) is a very useful tool for the evaluation of the small intestine, but it is time consuming. The aim of this study was to compare evaluation times and detection rates in two different reading modes (single view at a speed of 10 frames per second (fps) and four images simultaneously, i.e., quadview mode at a speed of 20 fps) to find the optimum setting mode for evaluation of CE videos.\nMETHODS: CE videos of 70 patients performed for different indications (obscure bleeding, n</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50; suspected Crohn's disease, n</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10; and suspected or complicated celiac disease, n</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10) were reviewed by investigators A and B in the two different reading modes.\nRESULTS: The mean evaluation time using single view at 10 fps was 22 min (SD</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9.1 min) and 11.9 min (SD</w:instrText>
      </w:r>
      <w:r w:rsidRPr="00257F02">
        <w:rPr>
          <w:color w:val="000000"/>
          <w:lang w:val="en-US"/>
        </w:rPr>
        <w:instrText> </w:instrText>
      </w:r>
      <w:r w:rsidRPr="00257F02">
        <w:rPr>
          <w:rFonts w:ascii="Book Antiqua" w:hAnsi="Book Antiqua" w:cs="Minion Pro"/>
          <w:color w:val="000000"/>
          <w:lang w:val="en-US"/>
        </w:rPr>
        <w:instrText>±</w:instrText>
      </w:r>
      <w:r w:rsidRPr="00257F02">
        <w:rPr>
          <w:color w:val="000000"/>
          <w:lang w:val="en-US"/>
        </w:rPr>
        <w:instrText> </w:instrText>
      </w:r>
      <w:r w:rsidRPr="00257F02">
        <w:rPr>
          <w:rFonts w:ascii="Book Antiqua" w:hAnsi="Book Antiqua" w:cs="Minion Pro"/>
          <w:color w:val="000000"/>
          <w:lang w:val="en-US"/>
        </w:rPr>
        <w:instrText xml:space="preserve">4.8 min) using quadview mode at 20 fps. The detection rates of angiodysplasias, erosions, small ulcers, and small polyps were only discreetly lower using the quadview mode at 20 fps. In Crohn's disease and celiac disease, the essential aspects of inflamed or atrophic mucosa segments were equally detected in both reading modes. In one case of complicated celiac disease with severe erosive jejunitis, a lymphoma-suspect lesion was overlooked in the quadview mode at 20 fps.\nCONCLUSIONS: It is often possible to read CE videos in quadview mode at a higher speed with even so a high diagnostic yield in a shortened evaluation time.","DOI":"10.1007/s00384-011-1347-9","ISSN":"1432-1262","note":"PMID: 22065113","title-short":"Capsule endoscopy","journalAbbreviation":"Int J Colorectal Dis","language":"eng","author":[{"family":"Günther","given":"Ute"},{"family":"Daum","given":"Severin"},{"family":"Zeitz","given":"Martin"},{"family":"Bojarski","given":"Christian"}],"issued":{"date-parts":[["2012",4]]}}}],"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[68]</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xml:space="preserve">, given that CD lesions are multiple and often widespread in the SB. Another way to shorten reading times is to use the </w:t>
      </w:r>
      <w:proofErr w:type="spellStart"/>
      <w:r w:rsidRPr="00257F02">
        <w:rPr>
          <w:rFonts w:ascii="Book Antiqua" w:hAnsi="Book Antiqua" w:cs="Minion Pro"/>
          <w:color w:val="000000"/>
          <w:lang w:val="en-US"/>
        </w:rPr>
        <w:t>Quickview</w:t>
      </w:r>
      <w:proofErr w:type="spellEnd"/>
      <w:r w:rsidRPr="00257F02">
        <w:rPr>
          <w:rFonts w:ascii="Book Antiqua" w:hAnsi="Book Antiqua" w:cs="Minion Pro"/>
          <w:color w:val="000000"/>
          <w:lang w:val="en-US"/>
        </w:rPr>
        <w:t xml:space="preserve"> function provided by Given RAPID Reader</w:t>
      </w:r>
      <w:r w:rsidRPr="00257F02">
        <w:rPr>
          <w:rFonts w:ascii="Book Antiqua" w:hAnsi="Book Antiqua" w:cs="Minion Pro"/>
          <w:color w:val="000000"/>
          <w:vertAlign w:val="superscript"/>
          <w:lang w:val="en-US"/>
        </w:rPr>
        <w:t>®</w:t>
      </w:r>
      <w:r w:rsidRPr="00257F02">
        <w:rPr>
          <w:rFonts w:ascii="Book Antiqua" w:hAnsi="Book Antiqua" w:cs="Minion Pro"/>
          <w:color w:val="000000"/>
          <w:lang w:val="en-US"/>
        </w:rPr>
        <w:t xml:space="preserve"> which filters and reduces the number of images shown to the capsule endoscopist based on a specific algorithm that was developed by the manufacturer. Sampling rates between 2% and 80% can be chosen. A recent study showed that </w:t>
      </w:r>
      <w:r w:rsidRPr="00257F02">
        <w:rPr>
          <w:rFonts w:ascii="Book Antiqua" w:hAnsi="Book Antiqua" w:cs="Arial"/>
          <w:color w:val="000000"/>
          <w:shd w:val="clear" w:color="auto" w:fill="FFFFFF"/>
          <w:lang w:val="en-US"/>
        </w:rPr>
        <w:t xml:space="preserve">the frequencies of the selected lesions picked up by </w:t>
      </w:r>
      <w:proofErr w:type="spellStart"/>
      <w:r w:rsidRPr="00257F02">
        <w:rPr>
          <w:rFonts w:ascii="Book Antiqua" w:hAnsi="Book Antiqua" w:cs="Arial"/>
          <w:color w:val="000000"/>
          <w:shd w:val="clear" w:color="auto" w:fill="FFFFFF"/>
          <w:lang w:val="en-US"/>
        </w:rPr>
        <w:t>Quickview</w:t>
      </w:r>
      <w:proofErr w:type="spellEnd"/>
      <w:r w:rsidRPr="00257F02">
        <w:rPr>
          <w:rFonts w:ascii="Book Antiqua" w:hAnsi="Book Antiqua" w:cs="Arial"/>
          <w:color w:val="000000"/>
          <w:shd w:val="clear" w:color="auto" w:fill="FFFFFF"/>
          <w:lang w:val="en-US"/>
        </w:rPr>
        <w:t xml:space="preserve"> mode using percentages for sensitivity settings of 5%, 15%, 25%, and 35% were 61%, 74%, 93%, and 98%, respectively.</w:t>
      </w:r>
      <w:r w:rsidRPr="00257F02">
        <w:rPr>
          <w:rFonts w:ascii="Arial" w:hAnsi="Arial" w:cs="Arial"/>
          <w:color w:val="000000"/>
          <w:sz w:val="20"/>
          <w:szCs w:val="20"/>
          <w:shd w:val="clear" w:color="auto" w:fill="FFFFFF"/>
          <w:lang w:val="en-US"/>
        </w:rPr>
        <w:t> </w:t>
      </w:r>
      <w:r w:rsidRPr="00257F02">
        <w:rPr>
          <w:rFonts w:ascii="Book Antiqua" w:hAnsi="Book Antiqua" w:cs="Minion Pro"/>
          <w:color w:val="000000"/>
          <w:lang w:val="en-US"/>
        </w:rPr>
        <w:t>With a 25% sampling rate, only 7% of lesions were missed, and the reading time was reduced by approximately 50%</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{"citationID":"HcQ6q2fZ","properties":{"formattedCitation":"\\super [69]\\nosupersub{}","plainCitation":"[69]","noteIndex":0},"citationItems":[{"id":3022,"uris":["http://zotero.org/users/3734960/items/P5RMV252"],"uri":["http://zotero.org/users/3734960/items/P5RMV252"],"itemData":{"id":3022,"type":"article-journal","title":"Analysis of small-bowel capsule endoscopy reading by using Quickview mode: training assistants for reading may produce a high diagnostic yield and save time for physicians","container-title":"Journal of Clinical Gastroenterology","page":"e92-95","volume":"46","issue":"10","source":"PubMed","abstract":"GOAL: The aim was to investigate the clinical utility of RAPID Access 6.5 Quickview software and to evaluate whether preview of the capsule endoscopy video by a trained nurse could detect significant lesions accurately compared with endoscopists.\nBACKGROUND: As reading capsule endoscopy is time consuming, one possible cost-effective strategy could be the use of trained nonphysicians or newly available software to preread and identify potentially important capsule images.\nSTUDY: The 100 capsule images of a variety of significant lesions from 87 patients were investigated. The minimum percentages for settings of sensitivity that could pick up the selected images and the detection rate for significant lesions by a well-trained nurse, two endoscopists with limited experience in reading, and one well-trained physician were examined.\nRESULTS: The frequency of the selected lesions picked up by Quickview mode using percentages for sensitivity settings of 5%, 15%, 25%, and 35% were 61%, 74%, 93%, and 98%, respectively. The percentages for sensitivity significantly correlated (r=0.78, P&lt;0.001) with the reading time. The detection rate by the nurse or the well-trained physician was significantly higher than that by the physician with limited capsule experience (87% and 84.1% vs. 62.7%; P&lt;0.01). The clinical use of Quickview at 25% did not significantly improve the detection rate.\nCONCLUSIONS: Quickview mode can reduce reading time but has an unacceptably miss rate for potentially important lesions. Use of a trained nonphysician assistant can reduce physician's time and improve diagnostic yield.","DOI":"10.1097/MCG.0b013e31824fff94","ISSN":"1539-2031","note":"PMID: 22495816","title-short":"Analysis of small-bowel capsule endoscopy reading by using Quickview mode","journalAbbreviation":"J. Clin. Gastroenterol.","language":"eng","author":[{"family":"Shiotani","given":"Akiko"},{"family":"Honda","given":"Keisuke"},{"family":"Kawakami","given":"Makiko"},{"family":"Kimura","given":"Yoshiki"},{"family":"Yamanaka","given":"Yoshiyuki"},{"family":"Fujita","given":"Minoru"},{"family":"Matsumoto","given":"Hiroshi"},{"family":"Tarumi","given":"Ken-ichi"},{"family":"Manabe","given":"Noriaki"},{"family":"Haruma","given":"Ken"}],"issued":{"date-parts":[["2012",12]]}}}],"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color w:val="000000"/>
          <w:vertAlign w:val="superscript"/>
          <w:lang w:val="en-US"/>
        </w:rPr>
        <w:t>[69]</w:t>
      </w:r>
      <w:r w:rsidRPr="00257F02">
        <w:rPr>
          <w:rFonts w:ascii="Book Antiqua" w:hAnsi="Book Antiqua" w:cs="Arial"/>
          <w:color w:val="000000"/>
          <w:shd w:val="clear" w:color="auto" w:fill="FFFFFF"/>
          <w:lang w:val="en-US"/>
        </w:rPr>
        <w:fldChar w:fldCharType="end"/>
      </w:r>
      <w:r w:rsidRPr="00257F02">
        <w:rPr>
          <w:rFonts w:ascii="Book Antiqua" w:hAnsi="Book Antiqua" w:cs="Minion Pro"/>
          <w:color w:val="000000"/>
          <w:lang w:val="en-US"/>
        </w:rPr>
        <w:t>. Two other studies showed that d</w:t>
      </w:r>
      <w:r w:rsidRPr="00257F02">
        <w:rPr>
          <w:rFonts w:ascii="Book Antiqua" w:hAnsi="Book Antiqua" w:cs="Arial"/>
          <w:color w:val="1C1D1E"/>
          <w:shd w:val="clear" w:color="auto" w:fill="FFFFFF"/>
          <w:lang w:val="en-US"/>
        </w:rPr>
        <w:t xml:space="preserve">espite a significant number of missed lesions, </w:t>
      </w:r>
      <w:proofErr w:type="spellStart"/>
      <w:r w:rsidRPr="00257F02">
        <w:rPr>
          <w:rFonts w:ascii="Book Antiqua" w:hAnsi="Book Antiqua" w:cs="Arial"/>
          <w:color w:val="1C1D1E"/>
          <w:shd w:val="clear" w:color="auto" w:fill="FFFFFF"/>
          <w:lang w:val="en-US"/>
        </w:rPr>
        <w:t>Quickview</w:t>
      </w:r>
      <w:proofErr w:type="spellEnd"/>
      <w:r w:rsidRPr="00257F02">
        <w:rPr>
          <w:rFonts w:ascii="Book Antiqua" w:hAnsi="Book Antiqua" w:cs="Arial"/>
          <w:color w:val="1C1D1E"/>
          <w:shd w:val="clear" w:color="auto" w:fill="FFFFFF"/>
          <w:lang w:val="en-US"/>
        </w:rPr>
        <w:t xml:space="preserve"> mode is a safe and time</w:t>
      </w:r>
      <w:r w:rsidRPr="00257F02">
        <w:rPr>
          <w:rFonts w:ascii="Cambria Math" w:hAnsi="Cambria Math" w:cs="Cambria Math"/>
          <w:color w:val="1C1D1E"/>
          <w:shd w:val="clear" w:color="auto" w:fill="FFFFFF"/>
          <w:lang w:val="en-US"/>
        </w:rPr>
        <w:t>‐</w:t>
      </w:r>
      <w:r w:rsidRPr="00257F02">
        <w:rPr>
          <w:rFonts w:ascii="Book Antiqua" w:hAnsi="Book Antiqua" w:cs="Arial"/>
          <w:color w:val="1C1D1E"/>
          <w:shd w:val="clear" w:color="auto" w:fill="FFFFFF"/>
          <w:lang w:val="en-US"/>
        </w:rPr>
        <w:t>reducing method for diagnosing SB CD</w:t>
      </w:r>
      <w:r w:rsidRPr="00257F02">
        <w:rPr>
          <w:rFonts w:ascii="Book Antiqua" w:hAnsi="Book Antiqua" w:cs="Arial"/>
          <w:color w:val="1C1D1E"/>
          <w:shd w:val="clear" w:color="auto" w:fill="FFFFFF"/>
          <w:lang w:val="en-US"/>
        </w:rPr>
        <w:fldChar w:fldCharType="begin"/>
      </w:r>
      <w:r w:rsidRPr="00257F02">
        <w:rPr>
          <w:rFonts w:ascii="Book Antiqua" w:hAnsi="Book Antiqua" w:cs="Arial"/>
          <w:color w:val="1C1D1E"/>
          <w:shd w:val="clear" w:color="auto" w:fill="FFFFFF"/>
          <w:lang w:val="en-US"/>
        </w:rPr>
        <w:instrText xml:space="preserve"> ADDIN ZOTERO_ITEM CSL_CITATION {"citationID":"dbqwtFa5","properties":{"formattedCitation":"\\super [70,71]\\nosupersub{}","plainCitation":"[70,71]","noteIndex":0},"citationItems":[{"id":3024,"uris":["http://zotero.org/users/3734960/items/KXNX8NNL"],"uri":["http://zotero.org/users/3734960/items/KXNX8NNL"],"itemData":{"id":3024,"type":"article-journal","title":"QuickView in small-bowel capsule endoscopy is useful in certain clinical settings, but QuickView with Blue Mode is of no additional benefit","container-title":"European Journal of Gastroenterology &amp; Hepatology","page":"1099-1104","volume":"24","issue":"9","source":"PubMed","abstract":"BACKGROUND: Analysis of small-bowel capsule endoscopy (SBCE) is time-consuming. QuickView (QV) has been added to the RAPID software to reduce the reading times. However, its validity is still under intense review. Recently, we have shown that Blue Mode (BM) provides improvements in images for most lesion categories.\nAIM: To assess the validity of QuickView with white light (QVWL) and QuickView with Blue Mode (QVBM) reading, in a group of patients who underwent SBCE in our centre, by comparing it with the standard video sequence review (used as reference) by experienced SBCE readers.\nMETHODS: This was a retrospective study; all SBCE (August 2008-November 2011), performed with PillCam SB, with complete small-bowel visualization were included. A clinician with previous SBCE experience, unaware of the SBCE reports, reviewed prospectively the video streams on RAPID platform using QVWL and QVBM. All SBCE had been reported previously using the standard mode; these reports were considered as the reference. There were 106 cases of obscure gastrointestinal bleeding (OGIB), 81 cases of known or suspected Crohn's disease (CD) and 10 cases of polyposis syndromes.\nRESULTS: The mean small-bowel evaluation was 475 (± 270) s and 450 (± 156) s for QVWL and QVBM, respectively. In the OGIB (n=106; 21 overt/85 occult), with QVWL, 54 [P0 (28), P1 (18), P2 (8)] lesions were detected, 63 [P0 (48), P1 (13), P2 (2)] with QVBM, as compared with 98 [P0 (67), P1 (23), P2 (8)] by standard (reference) reporting. For P1+P2 lesions, the sensitivity, specificity, positive predictive value and negative predictive value for QVWL (as compared with reference reporting) were 92.3, 96.3, 96 and 92.8%, respectively. For QVBM, the above values were 91, 96, 96.2 and 90.6%, respectively. Eighty-one (n=81) patients underwent SBCE for small-bowel evaluation on the basis of a clinical history of suspected or known CD. With QVWL, 71 mucosal ulcers were detected, 68 with QVBM, as compared with 155 mucosal ulcers with reference reading. Finally, in the polyposis category with QVWL and QVBM, four polypoid lesions were detected compared with seven with standard (reference) review.\nCONCLUSION: QV can be used confidently in OGIB in an urgent inpatient setting and in outpatients with occult OGIB or suspected CD. Furthermore, BM does not confer any additional advantage in the QV setting. Standard review settings should be used in all other cases.","DOI":"10.1097/MEG.0b013e32835563ab","ISSN":"1473-5687","note":"PMID: 22668872","journalAbbreviation":"Eur J Gastroenterol Hepatol","language":"eng","author":[{"family":"Koulaouzidis","given":"Anastasios"},{"family":"Smirnidis","given":"Alexandros"},{"family":"Douglas","given":"Sarah"},{"family":"Plevris","given":"John N."}],"issued":{"date-parts":[["2012",9]]}}},{"id":3026,"uris":["http://zotero.org/users/3734960/items/LBWLRKNM"],"uri":["http://zotero.org/users/3734960/items/LBWLRKNM"],"itemData":{"id":3026,"type":"article-journal","title":"High sensitivity of quick view capsule endoscopy for detection of small bowel Crohn's disease","container-title":"Journal of Gastroenterology and Hepatology","page":"992-996","volume":"29","issue":"5","source":"PubMed","abstract":"BACKGROUND AND AIM: Capsule endoscopy (CE) has a high sensitivity for diagnosing small bowel Crohn's disease, but video analysis is time-consuming. The quick view (qv) function is an effective tool to reduce time consumption. The aim of this study was to determine the rate of missed small bowel ulcerations with qv-CE compared with standard view and the diagnostic accuracy of qv-CE in suspected Crohn's disease.\nMETHODS: This study consisted of two parts: (i) 12 small bowel segments with Crohn's disease of varying severity were selected for a detailed analysis of the number and type of lesions visualized with CE and qv-CE, and (ii) a blinded study of the diagnostic accuracy of qv-CE including 40 patients with suspected Crohn's disease. Ileocolonoscopy and CE served as gold standard.\nRESULTS: Part 1: CE visualized 171 ulcerations compared with 102 detected with qv-CE (miss rate 40%, P</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0.02). Part 2: qv-CE identified 15 of 16 patients with small bowel Crohn's disease corresponding to a 94% sensitivity, and overall, 39 out of 40 patients were classified correct (diagnostic accuracy 98%). Qv-CE was false negative in one patient because of a leap of 3</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min and 20</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s in the terminal ileum. Reading times varied from 5 to 18</w:instrText>
      </w:r>
      <w:r w:rsidRPr="00257F02">
        <w:rPr>
          <w:color w:val="1C1D1E"/>
          <w:shd w:val="clear" w:color="auto" w:fill="FFFFFF"/>
          <w:lang w:val="en-US"/>
        </w:rPr>
        <w:instrText> </w:instrText>
      </w:r>
      <w:r w:rsidRPr="00257F02">
        <w:rPr>
          <w:rFonts w:ascii="Book Antiqua" w:hAnsi="Book Antiqua" w:cs="Arial"/>
          <w:color w:val="1C1D1E"/>
          <w:shd w:val="clear" w:color="auto" w:fill="FFFFFF"/>
          <w:lang w:val="en-US"/>
        </w:rPr>
        <w:instrText xml:space="preserve">min (median 10).\nCONCLUSION: Despite a significant number of missed lesions, qv-CE is a safe and time-reducing method for diagnosing small bowel Crohn's disease. To avoid false negative cases, we recommend viewing the terminal ileum in standard view.","DOI":"10.1111/jgh.12488","ISSN":"1440-1746","note":"PMID: 24325204","journalAbbreviation":"J. Gastroenterol. Hepatol.","language":"eng","author":[{"family":"Halling","given":"Morten Lee"},{"family":"Nathan","given":"Torben"},{"family":"Kjeldsen","given":"Jens"},{"family":"Jensen","given":"Michael Dam"}],"issued":{"date-parts":[["2014",5]]}}}],"schema":"https://github.com/citation-style-language/schema/raw/master/csl-citation.json"} </w:instrText>
      </w:r>
      <w:r w:rsidRPr="00257F02">
        <w:rPr>
          <w:rFonts w:ascii="Book Antiqua" w:hAnsi="Book Antiqua" w:cs="Arial"/>
          <w:color w:val="1C1D1E"/>
          <w:shd w:val="clear" w:color="auto" w:fill="FFFFFF"/>
          <w:lang w:val="en-US"/>
        </w:rPr>
        <w:fldChar w:fldCharType="separate"/>
      </w:r>
      <w:r w:rsidRPr="00257F02">
        <w:rPr>
          <w:rFonts w:ascii="Book Antiqua" w:hAnsi="Book Antiqua"/>
          <w:color w:val="000000"/>
          <w:vertAlign w:val="superscript"/>
          <w:lang w:val="en-US"/>
        </w:rPr>
        <w:t>[70,71]</w:t>
      </w:r>
      <w:r w:rsidRPr="00257F02">
        <w:rPr>
          <w:rFonts w:ascii="Book Antiqua" w:hAnsi="Book Antiqua" w:cs="Arial"/>
          <w:color w:val="1C1D1E"/>
          <w:shd w:val="clear" w:color="auto" w:fill="FFFFFF"/>
          <w:lang w:val="en-US"/>
        </w:rPr>
        <w:fldChar w:fldCharType="end"/>
      </w:r>
      <w:r w:rsidRPr="00257F02">
        <w:rPr>
          <w:rFonts w:ascii="Book Antiqua" w:hAnsi="Book Antiqua" w:cs="Arial"/>
          <w:color w:val="1C1D1E"/>
          <w:shd w:val="clear" w:color="auto" w:fill="FFFFFF"/>
          <w:lang w:val="en-US"/>
        </w:rPr>
        <w:t>.</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cs="Minion Pro"/>
          <w:color w:val="000000"/>
          <w:lang w:val="en-US"/>
        </w:rPr>
        <w:t xml:space="preserve">Finally, discontinuation of </w:t>
      </w:r>
      <w:r w:rsidRPr="00257F02">
        <w:rPr>
          <w:rFonts w:ascii="Book Antiqua" w:hAnsi="Book Antiqua" w:cs="Arial"/>
          <w:color w:val="000000"/>
          <w:shd w:val="clear" w:color="auto" w:fill="FFFFFF"/>
          <w:lang w:val="en-US"/>
        </w:rPr>
        <w:t xml:space="preserve">nonsteroidal anti-inflammatory drugs (NSAIDs) is recommended at least 1 </w:t>
      </w:r>
      <w:proofErr w:type="spellStart"/>
      <w:r w:rsidRPr="00257F02">
        <w:rPr>
          <w:rFonts w:ascii="Book Antiqua" w:hAnsi="Book Antiqua" w:cs="Arial"/>
          <w:color w:val="000000"/>
          <w:shd w:val="clear" w:color="auto" w:fill="FFFFFF"/>
          <w:lang w:val="en-US"/>
        </w:rPr>
        <w:t>mo</w:t>
      </w:r>
      <w:proofErr w:type="spellEnd"/>
      <w:r w:rsidRPr="00257F02">
        <w:rPr>
          <w:rFonts w:ascii="Book Antiqua" w:hAnsi="Book Antiqua" w:cs="Arial"/>
          <w:color w:val="000000"/>
          <w:shd w:val="clear" w:color="auto" w:fill="FFFFFF"/>
          <w:lang w:val="en-US"/>
        </w:rPr>
        <w:t xml:space="preserve"> before SBCE because these drugs may induce SB mucosal lesions that are indistinguishable from those caused by CD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{"citationID":"497XXmSf","properties":{"formattedCitation":"\\super [72]\\nosupersub{}","plainCitation":"[72]","noteIndex":0},"citationItems":[{"id":3009,"uris":["http://zotero.org/users/3734960/items/CAKQXJCL"],"uri":["http://zotero.org/users/3734960/items/CAKQXJCL"],"itemData":{"id":3009,"type":"article-journal","title":"Small-bowel capsule endoscopy and device-assisted enteroscopy for diagnosis and treatment of small-bowel disorders: European Society of Gastrointestinal Endoscopy (ESGE) Clinical Guideline","container-title":"Endoscopy","page":"352-386","volume":"47","issue":"04","source":"www-thieme-connect-com.gate2.inist.fr","abstract":"&lt;p&gt;This Guideline is an official statement of the European Society of Gastrointestinal Endoscopy (ESGE). The Guideline was also reviewed and endorsed by the British Society of Gastroenterology (BSG). It addresses the roles of small-bowel capsule endoscopy and device-assisted enteroscopy for diagnosis and treatment of small-bowel disorders.&lt;/p&gt; &lt;p&gt; &lt;b&gt;Main recommendations&lt;/b&gt; &lt;/p&gt; &lt;p&gt; &lt;b&gt;1&lt;/b&gt; ESGE recommends small-bowel video capsule endoscopy as the first-line investigation in patients with obscure gastrointestinal bleeding (strong recommendation, moderate quality evidence).&lt;/p&gt; &lt;p&gt; &lt;b&gt;2&lt;/b&gt; In patients with overt obscure gastrointestinal bleeding, ESGE recommends performing small-bowel capsule endoscopy as soon as possible after the bleeding episode, optimally within 14 days, in order to maximize the diagnostic yield (strong recommendation, moderate quality evidence).&lt;/p&gt; &lt;p&gt; &lt;b&gt;3&lt;/b&gt; ESGE does not recommend the routine performance of second-look endoscopy prior to small-bowel capsule endoscopy; however whether to perform second-look endoscopy before capsule endoscopy in patients with obscure gastrointestinal bleeding or iron-deficiency anaemia should be decided on a case-by-case basis (strong recommendation, low quality evidence).&lt;/p&gt; &lt;p&gt; &lt;b&gt;4&lt;/b&gt; In patients with positive findings at small-bowel capsule endoscopy, ESGE recommends device-assisted enteroscopy to confirm and possibly treat lesions identified by capsule endoscopy (strong recommendation, high quality evidence).&lt;/p&gt; &lt;p&gt; &lt;b&gt;5&lt;/b&gt; ESGE recommends ileocolonoscopy as the first endoscopic examination for investigating patients with suspected Crohn’s disease (strong recommendation, high quality evidence). &lt;/p&gt; &lt;p&gt;In patients with suspected Crohn’s disease and negative ileocolonoscopy findings, ESGE recommends small-bowel capsule endoscopy as the initial diagnostic modality for investigating the small bowel, in the absence of obstructive symptoms or known stenosis (strong recommendation, moderate quality evidence).&lt;/p&gt; &lt;p&gt;ESGE does not recommend routine small-bowel imaging or the use of the PillCam patency capsule prior to capsule endoscopy in these patients (strong recommendation, low quality evidence). &lt;/p&gt; &lt;p&gt;In the presence of obstructive symptoms or known stenosis, ESGE recommends that dedicated small bowel cross-sectional imaging modalities such as magnetic resonance enterography/enteroclysis or computed tomography enterography/enteroclysis should be used first (strong recommendation, low quality evidence). &lt;/p&gt; &lt;p&gt; &lt;b&gt;6&lt;/b&gt; In patients with established Crohn’s disease, based on ileocolonoscopy findings, ESGE recommends dedicated cross-sectional imaging for small-bowel evaluation since this has the potential to assess extent and location of any Crohn’s disease lesions, to identify strictures, and to assess for extraluminal disease (strong recommendation, low quality evidence). &lt;/p&gt; &lt;p&gt;In patients with unremarkable or nondiagnostic findings from such cross-sectional imaging of the small bowel, ESGE recommends small-bowel capsule endoscopy as a subsequent investigation, if deemed to influence patient management (strong recommendation, low quality evidence). &lt;/p&gt; &lt;p&gt;When capsule endoscopy is indicated, ESGE recommends use of the PillCam patency capsule to confirm functional patency of the small bowel (strong recommendation, low quality evidence).&lt;/p&gt; &lt;p&gt; &lt;b&gt;7&lt;/b&gt; ESGE strongly recommends against the use of small-bowel capsule endoscopy for suspected coeliac disease but suggests that capsule endoscopy could be used in patients unwilling or unable to undergo conventional endoscopy (strong recommendation, low quality evidence).&lt;/p&gt;","DOI":"10.1055/s-0034-1391855","ISSN":"0013-726X, 1438-8812","title-short":"Small-bowel capsule endoscopy and device-assisted enteroscopy for diagnosis and treatment of small-bowel disorders","journalAbbreviation":"Endoscopy","language":"en","author":[{"family":"Pennazio","given":"Marco"},{"family":"Spada","given":"Cristiano"},{"family":"Eliakim","given":"Rami"},{"family":"Keuchel","given":"Martin"},{"family":"May","given":"Andrea"},{"family":"Mulder","given":"Chris J."},{"family":"Rondonotti","given":"Emanuele"},{"family":"Adler","given":"Samuel N."},{"family":"Albert","given":"Joerg"},{"family":"Baltes","given":"Peter"},{"family":"Barbaro","given":"Federico"},{"family":"Cellier","given":"Christophe"},{"family":"Charton","given":"Jean Pierre"},{"family":"Delvaux","given":"Michel"},{"family":"Despott","given":"Edward J."},{"family":"Domagk","given":"Dirk"},{"family":"Klein","given":"Amir"},{"family":"McAlindon","given":"Mark"},{"family":"Rosa","given":"Bruno"},{"family":"Rowse","given":"Georgina"},{"family":"Sanders","given":"David S."},{"family":"Saurin","given":"Jean Christophe"},{"family":"Sidhu","given":"Reena"},{"family":"Dumonceau","given":"Jean-Marc"},{"family":"Hassan","given":"Cesare"},{"family":"Gralnek","given":"Ian M."}],"issued":{"date-parts":[["2015",4]]}}}],"schema":"https://github.com/citation-style-language/schema/raw/master/csl-citation.json"}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[72]</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w:t>
      </w:r>
    </w:p>
    <w:p w:rsidR="001D4918" w:rsidRPr="00257F02" w:rsidRDefault="001D4918" w:rsidP="007742D4">
      <w:pPr>
        <w:spacing w:line="360" w:lineRule="auto"/>
        <w:ind w:firstLineChars="150" w:firstLine="360"/>
        <w:jc w:val="both"/>
        <w:rPr>
          <w:rFonts w:ascii="Book Antiqua" w:hAnsi="Book Antiqua" w:cs="Minion Pro"/>
          <w:color w:val="000000"/>
          <w:lang w:val="en-US"/>
        </w:rPr>
      </w:pPr>
      <w:r w:rsidRPr="00257F02">
        <w:rPr>
          <w:rFonts w:ascii="Book Antiqua" w:eastAsia="Times New Roman" w:hAnsi="Book Antiqua" w:cs="Minion Pro"/>
          <w:color w:val="000000"/>
          <w:lang w:val="en-US" w:eastAsia="en-US"/>
        </w:rPr>
        <w:t>This review showed that CE allows a direct and detailed evaluation of the entire SB mucosa with detection of the earliest CD lesions compared to imaging modalities, with the advantage of being a patient-friendly and noninvasive procedure. SBCE also proved to be cost-effective</w:t>
      </w:r>
      <w:r w:rsidRPr="00257F02">
        <w:rPr>
          <w:rFonts w:ascii="Book Antiqua" w:eastAsia="Times New Roman" w:hAnsi="Book Antiqua" w:cs="Minion Pro"/>
          <w:color w:val="000000"/>
          <w:lang w:val="en-US" w:eastAsia="en-US"/>
        </w:rPr>
        <w:fldChar w:fldCharType="begin"/>
      </w:r>
      <w:r w:rsidRPr="00257F02">
        <w:rPr>
          <w:rFonts w:ascii="Book Antiqua" w:eastAsia="Times New Roman" w:hAnsi="Book Antiqua" w:cs="Minion Pro"/>
          <w:color w:val="000000"/>
          <w:lang w:val="en-US" w:eastAsia="en-US"/>
        </w:rPr>
        <w:instrText xml:space="preserve"> ADDIN ZOTERO_ITEM CSL_CITATION {"citationID":"P8HrvVio","properties":{"formattedCitation":"\\super [73,74]\\nosupersub{}","plainCitation":"[73,74]","noteIndex":0},"citationItems":[{"id":2668,"uris":["http://zotero.org/users/3734960/items/UWV3YYS5"],"uri":["http://zotero.org/users/3734960/items/UWV3YYS5"],"itemData":{"id":2668,"type":"article-journal","title":"Diagnosing Crohn's disease: an economic analysis comparing wireless capsule endoscopy with traditional diagnostic procedures","container-title":"Disease management: DM","page":"292-304","volume":"7","issue":"4","source":"PubMed","abstract":"The purpose of this study was to review economic considerations related to establishing a diagnosis of Crohn's disease, and to compare the costs of a diagnostic algorithm incorporating wireless capsule endoscopy (WCE) with the current algorithm for diagnosing Crohn's disease suspected in the small bowel. Published literature, clinical trial data on WCE in comparison to other diagnostic tools, and input from clinical experts were used as data sources for (1) identifying contributors to the costs of diagnosing Crohn's disease; (2) exploring where WCE should be placed within the diagnostic algorithm for Crohn's; and (3) constructing decision tree models with sensitivity analyses to explore costs (from a payor perspective) of diagnosing Crohn's disease using WCE compared to other diagnostic methods. Literature review confirms that Crohn's disease is a significant and growing public health concern from clinical, humanistic and economic perspectives, and results in a long-term burden for patients, their families, providers, insurers, and employers. Common diagnostic procedures include radiologic studies such as small bowel follow through (SBFT), enteroclysis, CT scans, ultrasounds, and MRIs, as well as serologic testing, and various forms of endoscopy. Diagnostic costs for Crohn's disease can be considerable, especially given the cycle of repeat testing due to the low diagnostic yield of certain procedures and the inability of current diagnostic procedures to image the entire small bowel. WCE has a higher average diagnostic yield than comparative procedures due to imaging clarity and the ability to visualize the entire small bowel. Literature review found the average diagnostic yield of SBFT and colonoscopy for work-up of Crohn's disease to be 53.87%, whereas WCE had a diagnostic yield of 69.59%. A simple decision tree model comparing two arms--colonoscopy and SBFT, or WCE--estimates that WCE produces a cost savings of 291dollars for each case presenting for diagnostic work-up for Crohn's. Sensitivity analysis varying diagnostic yields of colonoscopy and SBFT vs. WCE demonstrates that WCE is still less costly than SBFT and colonoscopy even at their highest reported yields, as long as the diagnostic yield of WCE is 64.10% or better. Employing WCE as a first-line diagnostic procedure appears to be less costly, from a payor perspective, than current common procedures for diagnosing suspected Crohn's disease in the small bowel. Although not addressed in this model, earlier diagnosis with WCE (due to higher diagnostic yield) also could lead to earlier management, improved quality of life and workplace productivity for people with Crohn's disease.","DOI":"10.1089/dis.2004.7.292","ISSN":"1093-507X","note":"PMID: 15671786","title-short":"Diagnosing Crohn's disease","journalAbbreviation":"Dis Manag","language":"eng","author":[{"family":"Goldfarb","given":"Neil I."},{"family":"Pizzi","given":"Laura T."},{"family":"Fuhr","given":"Joseph P."},{"family":"Salvador","given":"Christopher"},{"family":"Sikirica","given":"Vanja"},{"family":"Kornbluth","given":"Asher"},{"family":"Lewis","given":"Blair"}],"issued":{"date-parts":[["2004"]]}}},{"id":2653,"uris":["http://zotero.org/users/3734960/items/9XV7AX3L"],"uri":["http://zotero.org/users/3734960/items/9XV7AX3L"],"itemData":{"id":2653,"type":"article-journal","title":"Capsule endoscopy in suspected small bowel Crohn's disease: economic impact of disease diagnosis and treatment","container-title":"World Journal of Gastroenterology","page":"5685-5692","volume":"15","issue":"45","source":"PubMed","abstract":"AIM: To model clinical and economic benefits of capsule endoscopy (CE) compared to ileo-colonoscopy and small bowel follow-through (SBFT) for evaluation of suspected Crohn's disease (CD).\nMETHODS: Using decision analytic modeling, total and yearly costs of diagnostic work-up for suspected CD were calculated, including procedure-related adverse events, hospitalizations, office visits, and medications. The model compared CE to SBFT following ileo-colonoscopy and secondarily compared CE to SBFT for initial evaluation.\nRESULTS: Aggregate charges for newly diagnosed, medically managed patients are approximately $8295. Patients requiring aggressive medical management costs are $29,508; requiring hospitalization, $49,074. At sensitivity &gt; 98.7% and specificity of &gt; 86.4%, CE is less costly than SBFT.\nCONCLUSION: Costs of CE for diagnostic evaluation of suspected CD is comparable to SBFT and may be used immediately following ileo-colonoscopy.","ISSN":"2219-2840","note":"PMID: 19960565\nPMCID: PMC2789221","title-short":"Capsule endoscopy in suspected small bowel Crohn's disease","journalAbbreviation":"World J. Gastroenterol.","language":"eng","author":[{"family":"Leighton","given":"Jonathan A."},{"family":"Gralnek","given":"Ian M."},{"family":"Richner","given":"Randel E."},{"family":"Lacey","given":"Michael J."},{"family":"Papatheofanis","given":"Frank J."}],"issued":{"date-parts":[["2009",12,7]]}}}],"schema":"https://github.com/citation-style-language/schema/raw/master/csl-citation.json"} </w:instrText>
      </w:r>
      <w:r w:rsidRPr="00257F02">
        <w:rPr>
          <w:rFonts w:ascii="Book Antiqua" w:eastAsia="Times New Roman" w:hAnsi="Book Antiqua" w:cs="Minion Pro"/>
          <w:color w:val="000000"/>
          <w:lang w:val="en-US" w:eastAsia="en-US"/>
        </w:rPr>
        <w:fldChar w:fldCharType="separate"/>
      </w:r>
      <w:r w:rsidRPr="00257F02">
        <w:rPr>
          <w:rFonts w:ascii="Book Antiqua" w:hAnsi="Book Antiqua"/>
          <w:color w:val="000000"/>
          <w:vertAlign w:val="superscript"/>
          <w:lang w:val="en-US"/>
        </w:rPr>
        <w:t>[73,74]</w:t>
      </w:r>
      <w:r w:rsidRPr="00257F02">
        <w:rPr>
          <w:rFonts w:ascii="Book Antiqua" w:eastAsia="Times New Roman" w:hAnsi="Book Antiqua" w:cs="Minion Pro"/>
          <w:color w:val="000000"/>
          <w:lang w:val="en-US" w:eastAsia="en-US"/>
        </w:rPr>
        <w:fldChar w:fldCharType="end"/>
      </w:r>
      <w:r w:rsidRPr="00257F02">
        <w:rPr>
          <w:rFonts w:ascii="Book Antiqua" w:eastAsia="Times New Roman" w:hAnsi="Book Antiqua" w:cs="Minion Pro"/>
          <w:color w:val="000000"/>
          <w:lang w:val="en-US" w:eastAsia="en-US"/>
        </w:rPr>
        <w:t>. However, there are some limitations (Table 4), of which capsule retention is the main concern.</w:t>
      </w:r>
      <w:r w:rsidRPr="00257F02">
        <w:rPr>
          <w:rFonts w:ascii="Book Antiqua" w:hAnsi="Book Antiqua" w:cs="Minion Pro"/>
          <w:color w:val="000000"/>
          <w:lang w:val="en-US"/>
        </w:rPr>
        <w:t xml:space="preserve"> For this risk</w:t>
      </w:r>
      <w:r w:rsidRPr="00257F02">
        <w:rPr>
          <w:rFonts w:ascii="Book Antiqua" w:hAnsi="Book Antiqua"/>
          <w:lang w:val="en-US"/>
        </w:rPr>
        <w:t xml:space="preserve">, the European Society of Gastrointestinal Endoscopy (ESGE) does not recommend routine use of the </w:t>
      </w:r>
      <w:proofErr w:type="spellStart"/>
      <w:r w:rsidRPr="00257F02">
        <w:rPr>
          <w:rFonts w:ascii="Book Antiqua" w:hAnsi="Book Antiqua"/>
          <w:lang w:val="en-US"/>
        </w:rPr>
        <w:t>PillCam</w:t>
      </w:r>
      <w:proofErr w:type="spellEnd"/>
      <w:r w:rsidRPr="00257F02">
        <w:rPr>
          <w:rFonts w:ascii="Book Antiqua" w:hAnsi="Book Antiqua"/>
          <w:lang w:val="en-US"/>
        </w:rPr>
        <w:t xml:space="preserve"> patency capsule before SBCE in patients with suspected CD without any obstructive symptoms. When SBCE is indicated in patients with established CD, </w:t>
      </w:r>
      <w:r w:rsidRPr="00257F02">
        <w:rPr>
          <w:rFonts w:ascii="Book Antiqua" w:hAnsi="Book Antiqua"/>
          <w:color w:val="000000"/>
          <w:lang w:val="en-US"/>
        </w:rPr>
        <w:t>ESGE recommends prior use of the Agile capsule to confirm functional patency of the SB</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{"citationID":"RENF7Ppv","properties":{"formattedCitation":"\\super [72]\\nosupersub{}","plainCitation":"[72]","noteIndex":0},"citationItems":[{"id":3009,"uris":["http://zotero.org/users/3734960/items/CAKQXJCL"],"uri":["http://zotero.org/users/3734960/items/CAKQXJCL"],"itemData":{"id":3009,"type":"article-journal","title":"Small-bowel capsule endoscopy and device-assisted enteroscopy for diagnosis and treatment of small-bowel disorders: European Society of Gastrointestinal Endoscopy (ESGE) Clinical Guideline","container-title":"Endoscopy","page":"352-386","volume":"47","issue":"04","source":"www-thieme-connect-com.gate2.inist.fr","abstract":"&lt;p&gt;This Guideline is an official statement of the European Society of Gastrointestinal Endoscopy (ESGE). The Guideline was also reviewed and endorsed by the British Society of Gastroenterology (BSG). It addresses the roles of small-bowel capsule endoscopy and device-assisted enteroscopy for diagnosis and treatment of small-bowel disorders.&lt;/p&gt; &lt;p&gt; &lt;b&gt;Main recommendations&lt;/b&gt; &lt;/p&gt; &lt;p&gt; &lt;b&gt;1&lt;/b&gt; ESGE recommends small-bowel video capsule endoscopy as the first-line investigation in patients with obscure gastrointestinal bleeding (strong recommendation, moderate quality evidence).&lt;/p&gt; &lt;p&gt; &lt;b&gt;2&lt;/b&gt; In patients with overt obscure gastrointestinal bleeding, ESGE recommends performing small-bowel capsule endoscopy as soon as possible after the bleeding episode, optimally within 14 days, in order to maximize the diagnostic yield (strong recommendation, moderate quality evidence).&lt;/p&gt; &lt;p&gt; &lt;b&gt;3&lt;/b&gt; ESGE does not recommend the routine performance of second-look endoscopy prior to small-bowel capsule endoscopy; however whether to perform second-look endoscopy before capsule endoscopy in patients with obscure gastrointestinal bleeding or iron-deficiency anaemia should be decided on a case-by-case basis (strong recommendation, low quality evidence).&lt;/p&gt; &lt;p&gt; &lt;b&gt;4&lt;/b&gt; In patients with positive findings at small-bowel capsule endoscopy, ESGE recommends device-assisted enteroscopy to confirm and possibly treat lesions identified by capsule endoscopy (strong recommendation, high quality evidence).&lt;/p&gt; &lt;p&gt; &lt;b&gt;5&lt;/b&gt; ESGE recommends ileocolonoscopy as the first endoscopic examination for investigating patients with suspected Crohn’s disease (strong recommendation, high quality evidence). &lt;/p&gt; &lt;p&gt;In patients with suspected Crohn’s disease and negative ileocolonoscopy findings, ESGE recommends small-bowel capsule endoscopy as the initial diagnostic modality for investigating the small bowel, in the absence of obstructive symptoms or known stenosis (strong recommendation, moderate quality evidence).&lt;/p&gt; &lt;p&gt;ESGE does not recommend routine small-bowel imaging or the use of the PillCam patency capsule prior to capsule endoscopy in these patients (strong recommendation, low quality evidence). &lt;/p&gt; &lt;p&gt;In the presence of obstructive symptoms or known stenosis, ESGE recommends that dedicated small bowel cross-sectional imaging modalities such as magnetic resonance enterography/enteroclysis or computed tomography enterography/enteroclysis should be used first (strong recommendation, low quality evidence). &lt;/p&gt; &lt;p&gt; &lt;b&gt;6&lt;/b&gt; In patients with established Crohn’s disease, based on ileocolonoscopy findings, ESGE recommends dedicated cross-sectional imaging for small-bowel evaluation since this has the potential to assess extent and location of any Crohn’s disease lesions, to identify strictures, and to assess for extraluminal disease (strong recommendation, low quality evidence). &lt;/p&gt; &lt;p&gt;In patients with unremarkable or nondiagnostic findings from such cross-sectional imaging of the small bowel, ESGE recommends small-bowel capsule endoscopy as a subsequent investigation, if deemed to influence patient management (strong recommendation, low quality evidence). &lt;/p&gt; &lt;p&gt;When capsule endoscopy is indicated, ESGE recommends use of the PillCam patency capsule to confirm functional patency of the small bowel (strong recommendation, low quality evidence).&lt;/p&gt; &lt;p&gt; &lt;b&gt;7&lt;/b&gt; ESGE strongly recommends against the use of small-bowel capsule endoscopy for suspected coeliac disease but suggests that capsule endoscopy could be used in patients unwilling or unable to undergo conventional endoscopy (strong recommendation, low quality evidence).&lt;/p&gt;","DOI":"10.1055/s-0034-1391855","ISSN":"0013-726X, 1438-8812","title-short":"Small-bowel capsule endoscopy and device-assisted enteroscopy for diagnosis and treatment of small-bowel disorders","journalAbbreviation":"Endoscopy","language":"en","author":[{"family":"Pennazio","given":"Marco"},{"family":"Spada","given":"Cristiano"},{"family":"Eliakim","given":"Rami"},{"family":"Keuchel","given":"Martin"},{"family":"May","given":"Andrea"},{"family":"Mulder","given":"Chris J."},{"family":"Rondonotti","given":"Emanuele"},{"family":"Adler","given":"Samuel N."},{"family":"Albert","given":"Joerg"},{"family":"Baltes","given":"Peter"},{"family":"Barbaro","given":"Federico"},{"family":"Cellier","given":"Christophe"},{"family":"Charton","given":"Jean Pierre"},{"family":"Delvaux","given":"Michel"},{"family":"Despott","given":"Edward J."},{"family":"Domagk","given":"Dirk"},{"family":"Klein","given":"Amir"},{"family":"McAlindon","given":"Mark"},{"family":"Rosa","given":"Bruno"},{"family":"Rowse","given":"Georgina"},{"family":"Sanders","given":"David S."},{"family":"Saurin","given":"Jean Christophe"},{"family":"Sidhu","given":"Reena"},{"family":"Dumonceau","given":"Jean-Marc"},{"family":"Hassan","given":"Cesare"},{"family":"Gralnek","given":"Ian M."}],"issued":{"date-parts":[["2015",4]]}}}],"schema":"https://github.com/citation-style-language/schema/raw/master/csl-citation.json"}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[72]</w:t>
      </w:r>
      <w:r w:rsidRPr="00257F02">
        <w:rPr>
          <w:rFonts w:ascii="Book Antiqua" w:hAnsi="Book Antiqua"/>
          <w:color w:val="000000"/>
          <w:lang w:val="en-US"/>
        </w:rPr>
        <w:fldChar w:fldCharType="end"/>
      </w:r>
      <w:r w:rsidRPr="00257F02">
        <w:rPr>
          <w:rFonts w:ascii="Book Antiqua" w:hAnsi="Book Antiqua"/>
          <w:color w:val="000000"/>
          <w:lang w:val="en-US"/>
        </w:rPr>
        <w:t xml:space="preserve">. Available data suggest that the </w:t>
      </w:r>
      <w:proofErr w:type="spellStart"/>
      <w:r w:rsidRPr="00257F02">
        <w:rPr>
          <w:rFonts w:ascii="Book Antiqua" w:hAnsi="Book Antiqua"/>
          <w:color w:val="000000"/>
          <w:lang w:val="en-US"/>
        </w:rPr>
        <w:t>PillCam</w:t>
      </w:r>
      <w:proofErr w:type="spellEnd"/>
      <w:r w:rsidRPr="00257F02">
        <w:rPr>
          <w:rFonts w:ascii="Book Antiqua" w:hAnsi="Book Antiqua"/>
          <w:color w:val="000000"/>
          <w:lang w:val="en-US"/>
        </w:rPr>
        <w:t xml:space="preserve"> patency capsule is a safe method for testing SB patency before SBCE, even in patients with a radiologically confirmed stricture</w:t>
      </w:r>
      <w:r w:rsidRPr="00257F02">
        <w:rPr>
          <w:rFonts w:ascii="Book Antiqua" w:hAnsi="Book Antiqua"/>
          <w:color w:val="000000"/>
          <w:lang w:val="en-US"/>
        </w:rPr>
        <w:fldChar w:fldCharType="begin"/>
      </w:r>
      <w:r w:rsidRPr="00257F02">
        <w:rPr>
          <w:rFonts w:ascii="Book Antiqua" w:hAnsi="Book Antiqua"/>
          <w:color w:val="000000"/>
          <w:lang w:val="en-US"/>
        </w:rPr>
        <w:instrText xml:space="preserve"> ADDIN ZOTERO_ITEM CSL_CITATION {"citationID":"da8X0Dqy","properties":{"formattedCitation":"\\super [75]\\nosupersub{}","plainCitation":"[75]","noteIndex":0},"citationItems":[{"id":3015,"uris":["http://zotero.org/users/3734960/items/BJEV95HP"],"uri":["http://zotero.org/users/3734960/items/BJEV95HP"],"itemData":{"id":3015,"type":"article-journal","title":"Agile patency system eliminates risk of capsule retention in patients with known intestinal strictures who undergo capsule endoscopy","container-title":"Gastrointestinal Endoscopy","page":"902-909","volume":"67","issue":"6","source":"PubMed","abstract":"BACKGROUND: Capsule endoscopy (CE) of the small bowel has become a standard diagnostic tool, but there have been concerns regarding the risk of capsule retention in certain high-risk groups. The Agile patency system, an ingestible and dissolvable capsule with an external scanner, was developed to allow physicians to perform CE with greater confidence that the capsule will be safely excreted in patients at risk for capsule retention.\nOBJECTIVE: Our purpose was to assess the ability of the device to help physicians identify which patients with known strictures may safely undergo CE.\nDESIGN: Patients with known strictures ingested the new patency capsule and underwent periodic scanning until it was excreted. The intestinal tract was considered to be sufficiently patent if the capsule was excreted intact or if the capsule was not detected by the scanner at 30 hours after ingestion. If patency was established, then standard CE was performed.\nSETTING: International multicenter study.\nPATIENTS: A total of 106 patients with known strictures.\nINTERVENTION: Agile patency system.\nMAIN OUTCOME MEASUREMENTS: Performance and safety of Agile patency system.\nRESULTS: A total of 106 patients ingested the patency capsule. Fifty-nine (56%) excreted it intact and subsequently underwent CE. There were no cases of capsule retention. Significant findings on CE were found in 24 (41%). There were 3 severe adverse events.\nCONCLUSIONS: These results suggest that the Agile patency system is a useful tool for physicians to use before CE in patients with strictures to avoid retention. This group of patients may have a high yield of clinically significant findings at CE. This capsule may determine whether patients who have a contraindication to CE may safely undergo CE and obtain useful diagnostic information.","DOI":"10.1016/j.gie.2007.10.063","ISSN":"0016-5107","note":"PMID: 18355824","journalAbbreviation":"Gastrointest. Endosc.","language":"eng","author":[{"family":"Herrerias","given":"Juan M."},{"family":"Leighton","given":"Jonathan A."},{"family":"Costamagna","given":"Guido"},{"family":"Infantolino","given":"Anthony"},{"family":"Eliakim","given":"Rami"},{"family":"Fischer","given":"Doron"},{"family":"Rubin","given":"David T."},{"family":"Manten","given":"Howard D."},{"family":"Scapa","given":"Eitan"},{"family":"Morgan","given":"Douglas R."},{"family":"Bergwerk","given":"Ari J."},{"family":"Koslowsky","given":"Binyamin"},{"family":"Adler","given":"Samuel N."}],"issued":{"date-parts":[["2008",5]]}}}],"schema":"https://github.com/citation-style-language/schema/raw/master/csl-citation.json"} </w:instrText>
      </w:r>
      <w:r w:rsidRPr="00257F02">
        <w:rPr>
          <w:rFonts w:ascii="Book Antiqua" w:hAnsi="Book Antiqua"/>
          <w:color w:val="000000"/>
          <w:lang w:val="en-US"/>
        </w:rPr>
        <w:fldChar w:fldCharType="separate"/>
      </w:r>
      <w:r w:rsidRPr="00257F02">
        <w:rPr>
          <w:rFonts w:ascii="Book Antiqua" w:hAnsi="Book Antiqua"/>
          <w:color w:val="000000"/>
          <w:vertAlign w:val="superscript"/>
          <w:lang w:val="en-US"/>
        </w:rPr>
        <w:t>[75]</w:t>
      </w:r>
      <w:r w:rsidRPr="00257F02">
        <w:rPr>
          <w:rFonts w:ascii="Book Antiqua" w:hAnsi="Book Antiqua"/>
          <w:color w:val="000000"/>
          <w:lang w:val="en-US"/>
        </w:rPr>
        <w:fldChar w:fldCharType="end"/>
      </w:r>
      <w:r w:rsidRPr="00257F02">
        <w:rPr>
          <w:rFonts w:ascii="Book Antiqua" w:hAnsi="Book Antiqua"/>
          <w:color w:val="000000"/>
          <w:lang w:val="en-US"/>
        </w:rPr>
        <w:t xml:space="preserve">, </w:t>
      </w:r>
      <w:r w:rsidRPr="00257F02">
        <w:rPr>
          <w:rFonts w:ascii="Book Antiqua" w:hAnsi="Book Antiqua"/>
          <w:color w:val="000000"/>
          <w:lang w:val="en-US"/>
        </w:rPr>
        <w:lastRenderedPageBreak/>
        <w:t xml:space="preserve">because </w:t>
      </w:r>
      <w:r w:rsidRPr="00257F02">
        <w:rPr>
          <w:rFonts w:ascii="Book Antiqua" w:hAnsi="Book Antiqua" w:cs="Arial"/>
          <w:color w:val="000000"/>
          <w:shd w:val="clear" w:color="auto" w:fill="FFFFFF"/>
          <w:lang w:val="en-US"/>
        </w:rPr>
        <w:t>symptomatic patency capsule retention is a very rare complication with a favorable prognosis, as demonstrated in a multicenter retrospective case series of 1615 cases</w:t>
      </w:r>
      <w:r w:rsidRPr="00257F02">
        <w:rPr>
          <w:rFonts w:ascii="Book Antiqua" w:hAnsi="Book Antiqua" w:cs="Arial"/>
          <w:color w:val="000000"/>
          <w:shd w:val="clear" w:color="auto" w:fill="FFFFFF"/>
          <w:lang w:val="en-US"/>
        </w:rPr>
        <w:fldChar w:fldCharType="begin"/>
      </w:r>
      <w:r w:rsidRPr="00257F02">
        <w:rPr>
          <w:rFonts w:ascii="Book Antiqua" w:hAnsi="Book Antiqua" w:cs="Arial"/>
          <w:color w:val="000000"/>
          <w:shd w:val="clear" w:color="auto" w:fill="FFFFFF"/>
          <w:lang w:val="en-US"/>
        </w:rPr>
        <w:instrText xml:space="preserve"> ADDIN ZOTERO_ITEM CSL_CITATION {"citationID":"I11Nq8Es","properties":{"formattedCitation":"\\super [76]\\nosupersub{}","plainCitation":"[76]","noteIndex":0},"citationItems":[{"id":3012,"uris":["http://zotero.org/users/3734960/items/J5ZFZ6HG"],"uri":["http://zotero.org/users/3734960/items/J5ZFZ6HG"],"itemData":{"id":3012,"type":"article-journal","title":"Symptomatic retention of the patency capsule: a multicenter real life case series","container-title":"Endoscopy International Open","page":"E964-969","volume":"4","issue":"9","source":"PubMed","abstract":"BACKGROUND AND AIMS: The patency capsule is designed to evaluate the patency of the small bowel before administration of small-bowel capsule endoscopy (SBCE) in patients at high risk of retention. The utilization of a patency capsule may be associated with a risk of symptomatic retention, but very few cases have been reported to date. The aim of our study was to describe our experience with this rare complication of a patency capsule.\nMETHODS: This was a multicenter retrospective case series. The medical records of patients who underwent a patency capsule test were scanned and all cases of symptomatic retention were collected.\nRESULTS: In total, 20 symptomatic cases of retention out of 1615 (1.2</w:instrText>
      </w:r>
      <w:r w:rsidRPr="00257F02">
        <w:rPr>
          <w:color w:val="000000"/>
          <w:shd w:val="clear" w:color="auto" w:fill="FFFFFF"/>
          <w:lang w:val="en-US"/>
        </w:rPr>
        <w:instrText> </w:instrText>
      </w:r>
      <w:r w:rsidRPr="00257F02">
        <w:rPr>
          <w:rFonts w:ascii="Book Antiqua" w:hAnsi="Book Antiqua" w:cs="Arial"/>
          <w:color w:val="000000"/>
          <w:shd w:val="clear" w:color="auto" w:fill="FFFFFF"/>
          <w:lang w:val="en-US"/>
        </w:rPr>
        <w:instrText>%) patency capsule tests were identified; in one patient, the patency capsule was retained in the esophagus, in the rest, the capsule was detected in the small bowel resulting in abdominal pain or small-bowel obstruction. One patient (5</w:instrText>
      </w:r>
      <w:r w:rsidRPr="00257F02">
        <w:rPr>
          <w:color w:val="000000"/>
          <w:shd w:val="clear" w:color="auto" w:fill="FFFFFF"/>
          <w:lang w:val="en-US"/>
        </w:rPr>
        <w:instrText> </w:instrText>
      </w:r>
      <w:r w:rsidRPr="00257F02">
        <w:rPr>
          <w:rFonts w:ascii="Book Antiqua" w:hAnsi="Book Antiqua" w:cs="Arial"/>
          <w:color w:val="000000"/>
          <w:shd w:val="clear" w:color="auto" w:fill="FFFFFF"/>
          <w:lang w:val="en-US"/>
        </w:rPr>
        <w:instrText xml:space="preserve">%) required surgery; all other patients resolved spontaneously or after corticosteroid therapy.\nCONCLUSIONS: Symptomatic patency capsule retention is a very rare complication with a favorable prognosis. It should be recognized but its use in patients with suspected small-bowel stenosis should not be discouraged.","DOI":"10.1055/s-0042-112588","ISSN":"2364-3722","note":"PMID: 27652302\nPMCID: PMC5025315","title-short":"Symptomatic retention of the patency capsule","journalAbbreviation":"Endosc Int Open","language":"eng","author":[{"family":"Kopylov","given":"Uri"},{"family":"Nemeth","given":"Artur"},{"family":"Cebrian","given":"Alba"},{"family":"Wurm Johansson","given":"Gabriele"},{"family":"Thorlacius","given":"Henrik"},{"family":"Fernandez-Urien Sainz","given":"Ignacio"},{"family":"Koulaouzidis","given":"Anastasios"},{"family":"Eliakim","given":"Rami"},{"family":"Toth","given":"Ervin"}],"issued":{"date-parts":[["2016",9]]}}}],"schema":"https://github.com/citation-style-language/schema/raw/master/csl-citation.json"} </w:instrText>
      </w:r>
      <w:r w:rsidRPr="00257F02">
        <w:rPr>
          <w:rFonts w:ascii="Book Antiqua" w:hAnsi="Book Antiqua" w:cs="Arial"/>
          <w:color w:val="000000"/>
          <w:shd w:val="clear" w:color="auto" w:fill="FFFFFF"/>
          <w:lang w:val="en-US"/>
        </w:rPr>
        <w:fldChar w:fldCharType="separate"/>
      </w:r>
      <w:r w:rsidRPr="00257F02">
        <w:rPr>
          <w:rFonts w:ascii="Book Antiqua" w:hAnsi="Book Antiqua"/>
          <w:color w:val="000000"/>
          <w:vertAlign w:val="superscript"/>
          <w:lang w:val="en-US"/>
        </w:rPr>
        <w:t>[76]</w:t>
      </w:r>
      <w:r w:rsidRPr="00257F02">
        <w:rPr>
          <w:rFonts w:ascii="Book Antiqua" w:hAnsi="Book Antiqua" w:cs="Arial"/>
          <w:color w:val="000000"/>
          <w:shd w:val="clear" w:color="auto" w:fill="FFFFFF"/>
          <w:lang w:val="en-US"/>
        </w:rPr>
        <w:fldChar w:fldCharType="end"/>
      </w:r>
      <w:r w:rsidRPr="00257F02">
        <w:rPr>
          <w:rFonts w:ascii="Book Antiqua" w:hAnsi="Book Antiqua" w:cs="Arial"/>
          <w:color w:val="000000"/>
          <w:shd w:val="clear" w:color="auto" w:fill="FFFFFF"/>
          <w:lang w:val="en-US"/>
        </w:rPr>
        <w:t xml:space="preserve">. </w:t>
      </w:r>
    </w:p>
    <w:p w:rsidR="001D4918" w:rsidRPr="00257F02" w:rsidRDefault="001D4918" w:rsidP="007742D4">
      <w:pPr>
        <w:spacing w:line="360" w:lineRule="auto"/>
        <w:ind w:firstLineChars="100" w:firstLine="240"/>
        <w:jc w:val="both"/>
        <w:rPr>
          <w:rFonts w:ascii="Book Antiqua" w:hAnsi="Book Antiqua" w:cs="Minion Pro"/>
          <w:color w:val="000000"/>
          <w:lang w:val="en-US"/>
        </w:rPr>
      </w:pPr>
      <w:r w:rsidRPr="00257F02">
        <w:rPr>
          <w:rFonts w:ascii="Book Antiqua" w:hAnsi="Book Antiqua" w:cs="Minion Pro"/>
          <w:color w:val="000000"/>
          <w:lang w:val="en-US"/>
        </w:rPr>
        <w:t xml:space="preserve">Taken together, the results of this systematic review demonstrate that SBCE might be used for close monitoring and incorporated into the treat-to-target algorithm for patients diagnosed with CD, in order </w:t>
      </w:r>
      <w:r w:rsidRPr="00257F02">
        <w:rPr>
          <w:rFonts w:ascii="Book Antiqua" w:hAnsi="Book Antiqua"/>
          <w:lang w:val="en-US"/>
        </w:rPr>
        <w:t xml:space="preserve">to regularly evaluate disease activity </w:t>
      </w:r>
      <w:r w:rsidRPr="00257F02">
        <w:rPr>
          <w:rFonts w:ascii="Book Antiqua" w:hAnsi="Book Antiqua" w:cs="Minion Pro"/>
          <w:color w:val="000000"/>
          <w:lang w:val="en-US"/>
        </w:rPr>
        <w:t>(Figure 3). The development of pan-enteric video capsule endoscopy should allow broadening of the indications for SBCE in patients with CD</w:t>
      </w:r>
      <w:r w:rsidRPr="00257F02">
        <w:rPr>
          <w:rFonts w:ascii="Book Antiqua" w:hAnsi="Book Antiqua" w:cs="Minion Pro"/>
          <w:color w:val="000000"/>
          <w:lang w:val="en-US"/>
        </w:rPr>
        <w:fldChar w:fldCharType="begin"/>
      </w:r>
      <w:r w:rsidRPr="00257F02">
        <w:rPr>
          <w:rFonts w:ascii="Book Antiqua" w:hAnsi="Book Antiqua" w:cs="Minion Pro"/>
          <w:color w:val="000000"/>
          <w:lang w:val="en-US"/>
        </w:rPr>
        <w:instrText xml:space="preserve"> ADDIN ZOTERO_ITEM CSL_CITATION {"citationID":"wsmhm64D","properties":{"formattedCitation":"\\super [77]\\nosupersub{}","plainCitation":"[77]","noteIndex":0},"citationItems":[{"id":3017,"uris":["http://zotero.org/users/3734960/items/AWYQ5GKC"],"uri":["http://zotero.org/users/3734960/items/AWYQ5GKC"],"itemData":{"id":3017,"type":"article-journal","title":"Comparing diagnostic yield of a novel pan-enteric video capsule endoscope with ileocolonoscopy in patients with active Crohn's disease: a feasibility study","container-title":"Gastrointestinal Endoscopy","page":"196-205.e1","volume":"85","issue":"1","source":"PubMed","abstract":"BACKGROUND AND AIMS: Crohn's disease (CD) is typically diagnosed with ileocolonoscopy (IC); however, when inflammation is localized solely in the small bowel, visualization of the entire small-bowel mucosa can be challenging. The aim of this study was to compare the diagnostic yield of a pan-enteric video capsule endoscope (small-bowel colon [SBC] capsule) versus IC in patients with active CD.\nMETHODS: This was a prospective, multicenter study. Patients with known active CD and proven bowel luminal patency underwent a standardized colon cleansing protocol followed by ingestion of the capsule. After passage of the capsule, IC was performed and recorded. Lesions indicative of active CD were assessed.\nRESULTS: One hundred fourteen subjects were screened; 66 subjects completed both endoscopic procedures. The per-subject diagnostic yield rate for active CD lesions was 83.3% for SBC and 69.7% for IC (yield difference, 13.6%; 95% confidence interval [CI], 2.6%-24.7%); 65% of subjects had active CD lesions identified by both modalities. Of the 12 subjects who were positive for active CD by SBC only, 5 subjects were found to have active CD lesions in the terminal ileum. Three subjects were positive for active CD by IC only. Three hundred fifty-five classifying bowel segments were analyzed; the per-segment diagnostic yield rate was 40.6% for SBC and 32.7% for IC (yield difference 7.9%; 95% CI, 3.3%-12.4%).\nCONCLUSION: This preliminary study shows that the diagnostic yields for SBC might be higher than IC; however, the magnitude of difference between the two is difficult to estimate. Further study is needed to confirm these findings.","DOI":"10.1016/j.gie.2016.09.009","ISSN":"1097-6779","note":"PMID: 27658907","title-short":"Comparing diagnostic yield of a novel pan-enteric video capsule endoscope with ileocolonoscopy in patients with active Crohn's disease","journalAbbreviation":"Gastrointest. Endosc.","language":"eng","author":[{"family":"Leighton","given":"Jonathan A."},{"family":"Helper","given":"Debra J."},{"family":"Gralnek","given":"Ian M."},{"family":"Dotan","given":"Iris"},{"family":"Fernandez-Urien","given":"Ignacio"},{"family":"Lahat","given":"Adi"},{"family":"Malik","given":"Pramod"},{"family":"Mullin","given":"Gerard E."},{"family":"Rosa","given":"Bruno"}],"issued":{"date-parts":[["2017",1]]}}}],"schema":"https://github.com/citation-style-language/schema/raw/master/csl-citation.json"} </w:instrText>
      </w:r>
      <w:r w:rsidRPr="00257F02">
        <w:rPr>
          <w:rFonts w:ascii="Book Antiqua" w:hAnsi="Book Antiqua" w:cs="Minion Pro"/>
          <w:color w:val="000000"/>
          <w:lang w:val="en-US"/>
        </w:rPr>
        <w:fldChar w:fldCharType="separate"/>
      </w:r>
      <w:r w:rsidRPr="00257F02">
        <w:rPr>
          <w:rFonts w:ascii="Book Antiqua" w:hAnsi="Book Antiqua"/>
          <w:color w:val="000000"/>
          <w:vertAlign w:val="superscript"/>
          <w:lang w:val="en-US"/>
        </w:rPr>
        <w:t>[77]</w:t>
      </w:r>
      <w:r w:rsidRPr="00257F02">
        <w:rPr>
          <w:rFonts w:ascii="Book Antiqua" w:hAnsi="Book Antiqua" w:cs="Minion Pro"/>
          <w:color w:val="000000"/>
          <w:lang w:val="en-US"/>
        </w:rPr>
        <w:fldChar w:fldCharType="end"/>
      </w:r>
      <w:r w:rsidRPr="00257F02">
        <w:rPr>
          <w:rFonts w:ascii="Book Antiqua" w:hAnsi="Book Antiqua" w:cs="Minion Pro"/>
          <w:color w:val="000000"/>
          <w:lang w:val="en-US"/>
        </w:rPr>
        <w:t>. Finally, artificial intelligence is expected to help reduce the burden on capsule endoscopists by automatically detecting and classifying lesions with the development of deep learning systems.</w:t>
      </w:r>
    </w:p>
    <w:p w:rsidR="001D4918" w:rsidRPr="00257F02" w:rsidRDefault="001D4918" w:rsidP="007742D4">
      <w:pPr>
        <w:spacing w:line="360" w:lineRule="auto"/>
        <w:ind w:firstLineChars="100" w:firstLine="240"/>
        <w:jc w:val="both"/>
        <w:rPr>
          <w:rFonts w:ascii="Book Antiqua" w:hAnsi="Book Antiqua"/>
          <w:lang w:val="en-US"/>
        </w:rPr>
      </w:pPr>
      <w:r w:rsidRPr="00257F02">
        <w:rPr>
          <w:rFonts w:ascii="Book Antiqua" w:hAnsi="Book Antiqua"/>
          <w:color w:val="000000"/>
          <w:lang w:val="en-US"/>
        </w:rPr>
        <w:t xml:space="preserve">This systematic review aimed to provide a global overview of the potential applications of SBCE in a treat-to-target strategy in patients with CD. SBCE should, therefore, be useful for classifying disease location at baseline, with a prognostic impact of proximal SB lesions. SBCE may also allow physicians to assess the achievement of endoscopic remission in patients receiving treatment, and to detect early post-operative recurrence. However, randomized controlled trials are required to confirm the usefulness and reliability of SBCE for these indications, and </w:t>
      </w:r>
      <w:r w:rsidRPr="00257F02">
        <w:rPr>
          <w:rFonts w:ascii="Book Antiqua" w:hAnsi="Book Antiqua"/>
          <w:lang w:val="en-US"/>
        </w:rPr>
        <w:t>validated criteria for the diagnosis of CD at SBCE are eagerly awaited.</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ARTICLE HIGHLIGHTS</w:t>
      </w: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background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olor w:val="000000"/>
          <w:lang w:val="en-US"/>
        </w:rPr>
        <w:t xml:space="preserve">Crohn’s disease (CD) may affect any part of the digestive tract. Proximal small bowel (SB) lesions, especially jejunal lesions, are associated with </w:t>
      </w:r>
      <w:r w:rsidRPr="00257F02">
        <w:rPr>
          <w:rFonts w:ascii="Book Antiqua" w:hAnsi="Book Antiqua"/>
          <w:lang w:val="en-US"/>
        </w:rPr>
        <w:t xml:space="preserve">an increased risk of </w:t>
      </w:r>
      <w:proofErr w:type="spellStart"/>
      <w:r w:rsidRPr="00257F02">
        <w:rPr>
          <w:rFonts w:ascii="Book Antiqua" w:hAnsi="Book Antiqua" w:cs="Arial"/>
          <w:color w:val="000000"/>
          <w:shd w:val="clear" w:color="auto" w:fill="FFFFFF"/>
          <w:lang w:val="en-US"/>
        </w:rPr>
        <w:t>stricturing</w:t>
      </w:r>
      <w:proofErr w:type="spellEnd"/>
      <w:r w:rsidRPr="00257F02">
        <w:rPr>
          <w:rFonts w:ascii="Book Antiqua" w:hAnsi="Book Antiqua" w:cs="Arial"/>
          <w:color w:val="000000"/>
          <w:shd w:val="clear" w:color="auto" w:fill="FFFFFF"/>
          <w:lang w:val="en-US"/>
        </w:rPr>
        <w:t xml:space="preserve"> disease and abdominal surgeries compared to </w:t>
      </w:r>
      <w:proofErr w:type="spellStart"/>
      <w:r w:rsidRPr="00257F02">
        <w:rPr>
          <w:rFonts w:ascii="Book Antiqua" w:hAnsi="Book Antiqua" w:cs="Arial"/>
          <w:color w:val="000000"/>
          <w:shd w:val="clear" w:color="auto" w:fill="FFFFFF"/>
          <w:lang w:val="en-US"/>
        </w:rPr>
        <w:t>esophagogastroduodenal</w:t>
      </w:r>
      <w:proofErr w:type="spellEnd"/>
      <w:r w:rsidRPr="00257F02">
        <w:rPr>
          <w:rFonts w:ascii="Book Antiqua" w:hAnsi="Book Antiqua" w:cs="Arial"/>
          <w:color w:val="000000"/>
          <w:shd w:val="clear" w:color="auto" w:fill="FFFFFF"/>
          <w:lang w:val="en-US"/>
        </w:rPr>
        <w:t xml:space="preserve"> or </w:t>
      </w:r>
      <w:proofErr w:type="spellStart"/>
      <w:r w:rsidRPr="00257F02">
        <w:rPr>
          <w:rFonts w:ascii="Book Antiqua" w:hAnsi="Book Antiqua" w:cs="Arial"/>
          <w:color w:val="000000"/>
          <w:shd w:val="clear" w:color="auto" w:fill="FFFFFF"/>
          <w:lang w:val="en-US"/>
        </w:rPr>
        <w:t>ileocolonic</w:t>
      </w:r>
      <w:proofErr w:type="spellEnd"/>
      <w:r w:rsidRPr="00257F02">
        <w:rPr>
          <w:rFonts w:ascii="Book Antiqua" w:hAnsi="Book Antiqua" w:cs="Arial"/>
          <w:color w:val="000000"/>
          <w:shd w:val="clear" w:color="auto" w:fill="FFFFFF"/>
          <w:lang w:val="en-US"/>
        </w:rPr>
        <w:t xml:space="preserve"> disease. Thus, assessing</w:t>
      </w:r>
      <w:r w:rsidRPr="00257F02">
        <w:rPr>
          <w:rFonts w:ascii="Book Antiqua" w:hAnsi="Book Antiqua"/>
          <w:lang w:val="en-US"/>
        </w:rPr>
        <w:t xml:space="preserve"> the SB may have a significant impact on prognosis. The treat-to-target paradigm was developed in 2015 because of the poor correlation that exists between symptoms and endoscopic disease activity in patients with CD. This concept is based on regular and objective assessment of disease activity and subsequent adjustment of treatment, with the final aim of reaching both clinical and endoscopic remission. Until now, the treat-to-target strategy is based on the </w:t>
      </w:r>
      <w:r w:rsidRPr="00257F02">
        <w:rPr>
          <w:rFonts w:ascii="Book Antiqua" w:hAnsi="Book Antiqua"/>
          <w:lang w:val="en-US"/>
        </w:rPr>
        <w:lastRenderedPageBreak/>
        <w:t>assessment of mucosal lesions seen by endoscopy into the ileum and the colon and for the SB by trans-sectional imaging techniques.</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motivation</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The small bowel capsule endoscopy (SBCE) has a higher diagnostic yield compared to the imaging techniques such as the magnetic resonance imaging with </w:t>
      </w:r>
      <w:proofErr w:type="spellStart"/>
      <w:r w:rsidRPr="00257F02">
        <w:rPr>
          <w:rFonts w:ascii="Book Antiqua" w:hAnsi="Book Antiqua"/>
          <w:lang w:val="en-US"/>
        </w:rPr>
        <w:t>enterography</w:t>
      </w:r>
      <w:proofErr w:type="spellEnd"/>
      <w:r w:rsidRPr="00257F02">
        <w:rPr>
          <w:rFonts w:ascii="Book Antiqua" w:hAnsi="Book Antiqua"/>
          <w:lang w:val="en-US"/>
        </w:rPr>
        <w:t xml:space="preserve"> (MRE) to detect mucosal lesions especially for the proximal part of the SB and might be more accurate in a treat-to-target strategy. SBCE and MRE are probably complementary, as MRE assesses transmural involvement, while SBCE allows a direct visualization of the mucosal surface of the entire SB. However, there is no recommendation regarding the use of SBCE during patient follow-up.</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objectives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To investigate the impact of SBCE in a treat-to-target strategy in patients with CD.</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methods</w:t>
      </w:r>
    </w:p>
    <w:p w:rsidR="001D4918" w:rsidRPr="00257F02" w:rsidRDefault="001D4918" w:rsidP="007742D4">
      <w:pPr>
        <w:spacing w:line="360" w:lineRule="auto"/>
        <w:jc w:val="both"/>
        <w:rPr>
          <w:rFonts w:ascii="Verdana" w:hAnsi="Verdana"/>
          <w:color w:val="333333"/>
          <w:sz w:val="20"/>
          <w:szCs w:val="20"/>
          <w:lang w:val="en-GB"/>
        </w:rPr>
      </w:pPr>
      <w:r w:rsidRPr="00257F02">
        <w:rPr>
          <w:rFonts w:ascii="Book Antiqua" w:hAnsi="Book Antiqua"/>
          <w:lang w:val="en-GB"/>
        </w:rPr>
        <w:t>An electronic search of the literature was conducted using PubMed and Cochrane library focusing on studies regarding SBCE in the tight monitoring of patients with CD.</w:t>
      </w:r>
      <w:r w:rsidRPr="00257F02">
        <w:rPr>
          <w:rFonts w:ascii="Verdana" w:hAnsi="Verdana"/>
          <w:color w:val="333333"/>
          <w:sz w:val="20"/>
          <w:szCs w:val="20"/>
          <w:lang w:val="en-GB"/>
        </w:rPr>
        <w:t xml:space="preserve"> </w:t>
      </w:r>
      <w:r w:rsidRPr="00257F02">
        <w:rPr>
          <w:rFonts w:ascii="Book Antiqua" w:eastAsia="BookAntiqua" w:hAnsi="Book Antiqua" w:cs="BookAntiqua"/>
          <w:lang w:val="en-US"/>
        </w:rPr>
        <w:t>A</w:t>
      </w:r>
      <w:r w:rsidRPr="00257F02">
        <w:rPr>
          <w:rFonts w:ascii="Book Antiqua" w:hAnsi="Book Antiqua"/>
          <w:color w:val="111111"/>
          <w:lang w:val="en-US"/>
        </w:rPr>
        <w:t xml:space="preserve">ll articles containing information about SBCE in the context of treat-to-target strategy in patients with CD were included. Full-text articles were retrieved, reference lists were screened manually to </w:t>
      </w:r>
      <w:r w:rsidRPr="00257F02">
        <w:rPr>
          <w:rFonts w:ascii="Book Antiqua" w:hAnsi="Book Antiqua"/>
          <w:lang w:val="en-US"/>
        </w:rPr>
        <w:t>identify additional studies.</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t>Research results</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lang w:val="en-US"/>
        </w:rPr>
        <w:t xml:space="preserve">Forty-seven articles were included in total. </w:t>
      </w:r>
      <w:r w:rsidRPr="00257F02">
        <w:rPr>
          <w:rFonts w:ascii="Book Antiqua" w:hAnsi="Book Antiqua" w:cs="AdvPTimesB"/>
          <w:lang w:val="en-US"/>
        </w:rPr>
        <w:t xml:space="preserve">Twenty-two studies demonstrated the usefulness of SBCE </w:t>
      </w:r>
      <w:r w:rsidRPr="00257F02">
        <w:rPr>
          <w:rFonts w:ascii="Book Antiqua" w:hAnsi="Book Antiqua"/>
          <w:lang w:val="en-US"/>
        </w:rPr>
        <w:t xml:space="preserve">on disease reclassification of patients suspected or diagnosed with CD, with a significant incremental diagnostic yield compared to other diagnostic modalities. Nine studies showed </w:t>
      </w:r>
      <w:r w:rsidRPr="00257F02">
        <w:rPr>
          <w:rFonts w:ascii="Book Antiqua" w:hAnsi="Book Antiqua" w:cs="AdvTTae86113c"/>
          <w:lang w:val="en-US"/>
        </w:rPr>
        <w:t xml:space="preserve">that </w:t>
      </w:r>
      <w:r w:rsidRPr="00257F02">
        <w:rPr>
          <w:rFonts w:ascii="Book Antiqua" w:hAnsi="Book Antiqua"/>
          <w:lang w:val="en-US"/>
        </w:rPr>
        <w:t>mucosal healing can be evaluated by SBCE to monitor the effect of medical</w:t>
      </w:r>
      <w:r w:rsidRPr="00257F02">
        <w:rPr>
          <w:rFonts w:ascii="Book Antiqua" w:hAnsi="Book Antiqua" w:cs="AdvTTae86113c"/>
          <w:lang w:val="en-US"/>
        </w:rPr>
        <w:t xml:space="preserve"> </w:t>
      </w:r>
      <w:r w:rsidRPr="00257F02">
        <w:rPr>
          <w:rFonts w:ascii="Book Antiqua" w:hAnsi="Book Antiqua"/>
          <w:lang w:val="en-US"/>
        </w:rPr>
        <w:t xml:space="preserve">treatment. Seven studies </w:t>
      </w:r>
      <w:r w:rsidRPr="00257F02">
        <w:rPr>
          <w:rFonts w:ascii="Book Antiqua" w:hAnsi="Book Antiqua" w:cs="UniversLTStd"/>
          <w:lang w:val="en-US"/>
        </w:rPr>
        <w:t xml:space="preserve">demonstrated that SBCE could detect post-operative recurrence to a similar extent as </w:t>
      </w:r>
      <w:proofErr w:type="spellStart"/>
      <w:r w:rsidRPr="00257F02">
        <w:rPr>
          <w:rFonts w:ascii="Book Antiqua" w:hAnsi="Book Antiqua" w:cs="UniversLTStd"/>
          <w:lang w:val="en-US"/>
        </w:rPr>
        <w:t>ileocolonoscopy</w:t>
      </w:r>
      <w:proofErr w:type="spellEnd"/>
      <w:r w:rsidRPr="00257F02">
        <w:rPr>
          <w:rFonts w:ascii="Book Antiqua" w:hAnsi="Book Antiqua" w:cs="UniversLTStd"/>
          <w:lang w:val="en-US"/>
        </w:rPr>
        <w:t>, and proximal SB lesions beyond the reach of the colonoscope in more than half of the patients</w:t>
      </w:r>
      <w:r w:rsidRPr="00257F02">
        <w:rPr>
          <w:rFonts w:ascii="Book Antiqua" w:hAnsi="Book Antiqua" w:cs="AdvOTdc5ff126"/>
          <w:lang w:val="en-US"/>
        </w:rPr>
        <w:t xml:space="preserve">. </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b/>
          <w:i/>
          <w:color w:val="000000"/>
          <w:lang w:val="en-US"/>
        </w:rPr>
      </w:pPr>
      <w:r w:rsidRPr="00257F02">
        <w:rPr>
          <w:rFonts w:ascii="Book Antiqua" w:hAnsi="Book Antiqua"/>
          <w:b/>
          <w:i/>
          <w:color w:val="000000"/>
          <w:lang w:val="en-US"/>
        </w:rPr>
        <w:lastRenderedPageBreak/>
        <w:t>Research conclusions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olor w:val="000000"/>
          <w:lang w:val="en-US"/>
        </w:rPr>
        <w:t>This systematic review provided</w:t>
      </w:r>
      <w:r w:rsidRPr="00257F02">
        <w:rPr>
          <w:rFonts w:ascii="Book Antiqua" w:hAnsi="Book Antiqua"/>
          <w:lang w:val="en-US"/>
        </w:rPr>
        <w:t xml:space="preserve"> a global overview of the published studies assessing the use of SBCE in the tight monitoring of patients with CD. SBCE might </w:t>
      </w:r>
      <w:r w:rsidRPr="00257F02">
        <w:rPr>
          <w:rFonts w:ascii="Book Antiqua" w:hAnsi="Book Antiqua" w:cs="Minion Pro"/>
          <w:color w:val="000000"/>
          <w:lang w:val="en-US"/>
        </w:rPr>
        <w:t xml:space="preserve">be incorporated in the treat-to-target algorithm </w:t>
      </w:r>
      <w:r w:rsidRPr="00257F02">
        <w:rPr>
          <w:rFonts w:ascii="Book Antiqua" w:hAnsi="Book Antiqua"/>
          <w:lang w:val="en-US"/>
        </w:rPr>
        <w:t xml:space="preserve">and could be useful for refining disease location and prognosis, assessing mucosal healing in patients under treatment, and monitoring patients in the post-operative setting. </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b/>
          <w:i/>
          <w:color w:val="000000"/>
          <w:lang w:val="en-US"/>
        </w:rPr>
        <w:t>Research perspectives</w:t>
      </w:r>
    </w:p>
    <w:p w:rsidR="001D4918" w:rsidRPr="00257F02" w:rsidRDefault="001D4918" w:rsidP="007742D4">
      <w:pPr>
        <w:spacing w:line="360" w:lineRule="auto"/>
        <w:jc w:val="both"/>
        <w:rPr>
          <w:rFonts w:ascii="Book Antiqua" w:hAnsi="Book Antiqua"/>
          <w:color w:val="000000"/>
          <w:lang w:val="en-US"/>
        </w:rPr>
      </w:pPr>
      <w:r w:rsidRPr="00257F02">
        <w:rPr>
          <w:rFonts w:ascii="Book Antiqua" w:hAnsi="Book Antiqua"/>
          <w:color w:val="000000"/>
          <w:lang w:val="en-US"/>
        </w:rPr>
        <w:t>Randomized controlled trials are required to confirm the reliability of SBCE in the treat-to-target algorithm of patients with CD. In addition, t</w:t>
      </w:r>
      <w:r w:rsidRPr="00257F02">
        <w:rPr>
          <w:rFonts w:ascii="Book Antiqua" w:hAnsi="Book Antiqua" w:cs="Minion Pro"/>
          <w:color w:val="000000"/>
          <w:lang w:val="en-US"/>
        </w:rPr>
        <w:t>he development of pan-enteric video capsule endoscopy should allow to broaden its indications, all the more so as artificial intelligence is expected to help reduce the burden of capsule endoscopists by automatically detecting and classifying lesions.</w:t>
      </w:r>
    </w:p>
    <w:p w:rsidR="001D4918" w:rsidRPr="00257F02" w:rsidRDefault="001D4918" w:rsidP="007742D4">
      <w:pPr>
        <w:spacing w:line="360" w:lineRule="auto"/>
        <w:jc w:val="both"/>
        <w:rPr>
          <w:rFonts w:ascii="Book Antiqua" w:hAnsi="Book Antiqua"/>
          <w:color w:val="000000"/>
          <w:lang w:val="en-US"/>
        </w:rPr>
      </w:pPr>
    </w:p>
    <w:p w:rsidR="001D4918" w:rsidRPr="00257F02" w:rsidRDefault="001D4918" w:rsidP="007742D4">
      <w:pPr>
        <w:spacing w:line="360" w:lineRule="auto"/>
        <w:jc w:val="both"/>
        <w:rPr>
          <w:rFonts w:ascii="Book Antiqua" w:hAnsi="Book Antiqua"/>
          <w:color w:val="000000"/>
          <w:lang w:val="en-US"/>
        </w:rPr>
        <w:sectPr w:rsidR="001D4918" w:rsidRPr="00257F02">
          <w:pgSz w:w="11906" w:h="16838"/>
          <w:pgMar w:top="1417" w:right="1417" w:bottom="1417" w:left="1417" w:header="708" w:footer="708" w:gutter="0"/>
          <w:cols w:space="708"/>
          <w:docGrid w:linePitch="360"/>
        </w:sectPr>
      </w:pPr>
    </w:p>
    <w:p w:rsidR="001D4918" w:rsidRDefault="001D4918" w:rsidP="007742D4">
      <w:pPr>
        <w:spacing w:line="360" w:lineRule="auto"/>
        <w:jc w:val="both"/>
        <w:rPr>
          <w:rFonts w:ascii="Book Antiqua" w:hAnsi="Book Antiqua"/>
          <w:b/>
          <w:color w:val="000000"/>
          <w:lang w:val="en-US"/>
        </w:rPr>
      </w:pPr>
      <w:r w:rsidRPr="00257F02">
        <w:rPr>
          <w:rFonts w:ascii="Book Antiqua" w:hAnsi="Book Antiqua"/>
          <w:b/>
          <w:color w:val="000000"/>
          <w:lang w:val="en-US"/>
        </w:rPr>
        <w:lastRenderedPageBreak/>
        <w:t>REFERENCES</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 </w:t>
      </w:r>
      <w:r w:rsidRPr="002D48C0">
        <w:rPr>
          <w:rFonts w:ascii="Book Antiqua" w:eastAsiaTheme="minorEastAsia" w:hAnsi="Book Antiqua" w:cstheme="minorBidi"/>
          <w:b/>
          <w:kern w:val="2"/>
          <w:lang w:val="en-US" w:eastAsia="zh-CN"/>
        </w:rPr>
        <w:t>Silverberg MS</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Satsangi</w:t>
      </w:r>
      <w:proofErr w:type="spellEnd"/>
      <w:r w:rsidRPr="002D48C0">
        <w:rPr>
          <w:rFonts w:ascii="Book Antiqua" w:eastAsiaTheme="minorEastAsia" w:hAnsi="Book Antiqua" w:cstheme="minorBidi"/>
          <w:kern w:val="2"/>
          <w:lang w:val="en-US" w:eastAsia="zh-CN"/>
        </w:rPr>
        <w:t xml:space="preserve"> J, Ahmad T, Arnott ID, Bernstein CN, Brant SR, </w:t>
      </w:r>
      <w:proofErr w:type="spellStart"/>
      <w:r w:rsidRPr="002D48C0">
        <w:rPr>
          <w:rFonts w:ascii="Book Antiqua" w:eastAsiaTheme="minorEastAsia" w:hAnsi="Book Antiqua" w:cstheme="minorBidi"/>
          <w:kern w:val="2"/>
          <w:lang w:val="en-US" w:eastAsia="zh-CN"/>
        </w:rPr>
        <w:t>Caprilli</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w:t>
      </w:r>
      <w:proofErr w:type="spellStart"/>
      <w:r w:rsidRPr="002D48C0">
        <w:rPr>
          <w:rFonts w:ascii="Book Antiqua" w:eastAsiaTheme="minorEastAsia" w:hAnsi="Book Antiqua" w:cstheme="minorBidi"/>
          <w:kern w:val="2"/>
          <w:lang w:val="en-US" w:eastAsia="zh-CN"/>
        </w:rPr>
        <w:t>Gasche</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Geboes</w:t>
      </w:r>
      <w:proofErr w:type="spellEnd"/>
      <w:r w:rsidRPr="002D48C0">
        <w:rPr>
          <w:rFonts w:ascii="Book Antiqua" w:eastAsiaTheme="minorEastAsia" w:hAnsi="Book Antiqua" w:cstheme="minorBidi"/>
          <w:kern w:val="2"/>
          <w:lang w:val="en-US" w:eastAsia="zh-CN"/>
        </w:rPr>
        <w:t xml:space="preserve"> K, Jewell DP, </w:t>
      </w:r>
      <w:proofErr w:type="spellStart"/>
      <w:r w:rsidRPr="002D48C0">
        <w:rPr>
          <w:rFonts w:ascii="Book Antiqua" w:eastAsiaTheme="minorEastAsia" w:hAnsi="Book Antiqua" w:cstheme="minorBidi"/>
          <w:kern w:val="2"/>
          <w:lang w:val="en-US" w:eastAsia="zh-CN"/>
        </w:rPr>
        <w:t>Karban</w:t>
      </w:r>
      <w:proofErr w:type="spellEnd"/>
      <w:r w:rsidRPr="002D48C0">
        <w:rPr>
          <w:rFonts w:ascii="Book Antiqua" w:eastAsiaTheme="minorEastAsia" w:hAnsi="Book Antiqua" w:cstheme="minorBidi"/>
          <w:kern w:val="2"/>
          <w:lang w:val="en-US" w:eastAsia="zh-CN"/>
        </w:rPr>
        <w:t xml:space="preserve"> A, Loftus EV Jr, Peña AS, Riddell RH, Sachar DB, Schreiber S, Steinhart AH, </w:t>
      </w:r>
      <w:proofErr w:type="spellStart"/>
      <w:r w:rsidRPr="002D48C0">
        <w:rPr>
          <w:rFonts w:ascii="Book Antiqua" w:eastAsiaTheme="minorEastAsia" w:hAnsi="Book Antiqua" w:cstheme="minorBidi"/>
          <w:kern w:val="2"/>
          <w:lang w:val="en-US" w:eastAsia="zh-CN"/>
        </w:rPr>
        <w:t>Targan</w:t>
      </w:r>
      <w:proofErr w:type="spellEnd"/>
      <w:r w:rsidRPr="002D48C0">
        <w:rPr>
          <w:rFonts w:ascii="Book Antiqua" w:eastAsiaTheme="minorEastAsia" w:hAnsi="Book Antiqua" w:cstheme="minorBidi"/>
          <w:kern w:val="2"/>
          <w:lang w:val="en-US" w:eastAsia="zh-CN"/>
        </w:rPr>
        <w:t xml:space="preserve"> SR, </w:t>
      </w:r>
      <w:proofErr w:type="spellStart"/>
      <w:r w:rsidRPr="002D48C0">
        <w:rPr>
          <w:rFonts w:ascii="Book Antiqua" w:eastAsiaTheme="minorEastAsia" w:hAnsi="Book Antiqua" w:cstheme="minorBidi"/>
          <w:kern w:val="2"/>
          <w:lang w:val="en-US" w:eastAsia="zh-CN"/>
        </w:rPr>
        <w:t>Vermeire</w:t>
      </w:r>
      <w:proofErr w:type="spellEnd"/>
      <w:r w:rsidRPr="002D48C0">
        <w:rPr>
          <w:rFonts w:ascii="Book Antiqua" w:eastAsiaTheme="minorEastAsia" w:hAnsi="Book Antiqua" w:cstheme="minorBidi"/>
          <w:kern w:val="2"/>
          <w:lang w:val="en-US" w:eastAsia="zh-CN"/>
        </w:rPr>
        <w:t xml:space="preserve"> S, Warren BF. Toward an integrated clinical, molecular and serological classification of inflammatory bowel disease: report of a Working Party of the 2005 Montreal World Congress of Gastroenterology. </w:t>
      </w:r>
      <w:r w:rsidRPr="002D48C0">
        <w:rPr>
          <w:rFonts w:ascii="Book Antiqua" w:eastAsiaTheme="minorEastAsia" w:hAnsi="Book Antiqua" w:cstheme="minorBidi"/>
          <w:i/>
          <w:kern w:val="2"/>
          <w:lang w:val="en-US" w:eastAsia="zh-CN"/>
        </w:rPr>
        <w:t>Can J Gastroenterol</w:t>
      </w:r>
      <w:r w:rsidRPr="002D48C0">
        <w:rPr>
          <w:rFonts w:ascii="Book Antiqua" w:eastAsiaTheme="minorEastAsia" w:hAnsi="Book Antiqua" w:cstheme="minorBidi"/>
          <w:kern w:val="2"/>
          <w:lang w:val="en-US" w:eastAsia="zh-CN"/>
        </w:rPr>
        <w:t xml:space="preserve"> 2005; </w:t>
      </w:r>
      <w:r w:rsidRPr="002D48C0">
        <w:rPr>
          <w:rFonts w:ascii="Book Antiqua" w:eastAsiaTheme="minorEastAsia" w:hAnsi="Book Antiqua" w:cstheme="minorBidi"/>
          <w:b/>
          <w:kern w:val="2"/>
          <w:lang w:val="en-US" w:eastAsia="zh-CN"/>
        </w:rPr>
        <w:t xml:space="preserve">19 </w:t>
      </w:r>
      <w:r w:rsidRPr="002D48C0">
        <w:rPr>
          <w:rFonts w:ascii="Book Antiqua" w:eastAsiaTheme="minorEastAsia" w:hAnsi="Book Antiqua" w:cstheme="minorBidi"/>
          <w:bCs/>
          <w:kern w:val="2"/>
          <w:lang w:val="en-US" w:eastAsia="zh-CN"/>
        </w:rPr>
        <w:t>Suppl A:</w:t>
      </w:r>
      <w:r w:rsidRPr="002D48C0">
        <w:rPr>
          <w:rFonts w:ascii="Book Antiqua" w:eastAsiaTheme="minorEastAsia" w:hAnsi="Book Antiqua" w:cstheme="minorBidi"/>
          <w:kern w:val="2"/>
          <w:lang w:val="en-US" w:eastAsia="zh-CN"/>
        </w:rPr>
        <w:t xml:space="preserve"> 5A-36A [PMID: 16151544]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 </w:t>
      </w:r>
      <w:proofErr w:type="spellStart"/>
      <w:r w:rsidRPr="002D48C0">
        <w:rPr>
          <w:rFonts w:ascii="Book Antiqua" w:eastAsiaTheme="minorEastAsia" w:hAnsi="Book Antiqua" w:cstheme="minorBidi"/>
          <w:b/>
          <w:kern w:val="2"/>
          <w:lang w:val="en-US" w:eastAsia="zh-CN"/>
        </w:rPr>
        <w:t>Gasche</w:t>
      </w:r>
      <w:proofErr w:type="spellEnd"/>
      <w:r w:rsidRPr="002D48C0">
        <w:rPr>
          <w:rFonts w:ascii="Book Antiqua" w:eastAsiaTheme="minorEastAsia" w:hAnsi="Book Antiqua" w:cstheme="minorBidi"/>
          <w:b/>
          <w:kern w:val="2"/>
          <w:lang w:val="en-US" w:eastAsia="zh-CN"/>
        </w:rPr>
        <w:t xml:space="preserve"> C</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Scholmerich</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Brynskov</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D'Haens</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Hanauer</w:t>
      </w:r>
      <w:proofErr w:type="spellEnd"/>
      <w:r w:rsidRPr="002D48C0">
        <w:rPr>
          <w:rFonts w:ascii="Book Antiqua" w:eastAsiaTheme="minorEastAsia" w:hAnsi="Book Antiqua" w:cstheme="minorBidi"/>
          <w:kern w:val="2"/>
          <w:lang w:val="en-US" w:eastAsia="zh-CN"/>
        </w:rPr>
        <w:t xml:space="preserve"> SB, Irvine EJ, Jewell DP, </w:t>
      </w:r>
      <w:proofErr w:type="spellStart"/>
      <w:r w:rsidRPr="002D48C0">
        <w:rPr>
          <w:rFonts w:ascii="Book Antiqua" w:eastAsiaTheme="minorEastAsia" w:hAnsi="Book Antiqua" w:cstheme="minorBidi"/>
          <w:kern w:val="2"/>
          <w:lang w:val="en-US" w:eastAsia="zh-CN"/>
        </w:rPr>
        <w:t>Rachmilewitz</w:t>
      </w:r>
      <w:proofErr w:type="spellEnd"/>
      <w:r w:rsidRPr="002D48C0">
        <w:rPr>
          <w:rFonts w:ascii="Book Antiqua" w:eastAsiaTheme="minorEastAsia" w:hAnsi="Book Antiqua" w:cstheme="minorBidi"/>
          <w:kern w:val="2"/>
          <w:lang w:val="en-US" w:eastAsia="zh-CN"/>
        </w:rPr>
        <w:t xml:space="preserve"> D, </w:t>
      </w:r>
      <w:proofErr w:type="spellStart"/>
      <w:r w:rsidRPr="002D48C0">
        <w:rPr>
          <w:rFonts w:ascii="Book Antiqua" w:eastAsiaTheme="minorEastAsia" w:hAnsi="Book Antiqua" w:cstheme="minorBidi"/>
          <w:kern w:val="2"/>
          <w:lang w:val="en-US" w:eastAsia="zh-CN"/>
        </w:rPr>
        <w:t>Sachar</w:t>
      </w:r>
      <w:proofErr w:type="spellEnd"/>
      <w:r w:rsidRPr="002D48C0">
        <w:rPr>
          <w:rFonts w:ascii="Book Antiqua" w:eastAsiaTheme="minorEastAsia" w:hAnsi="Book Antiqua" w:cstheme="minorBidi"/>
          <w:kern w:val="2"/>
          <w:lang w:val="en-US" w:eastAsia="zh-CN"/>
        </w:rPr>
        <w:t xml:space="preserve"> DB, </w:t>
      </w:r>
      <w:proofErr w:type="spellStart"/>
      <w:r w:rsidRPr="002D48C0">
        <w:rPr>
          <w:rFonts w:ascii="Book Antiqua" w:eastAsiaTheme="minorEastAsia" w:hAnsi="Book Antiqua" w:cstheme="minorBidi"/>
          <w:kern w:val="2"/>
          <w:lang w:val="en-US" w:eastAsia="zh-CN"/>
        </w:rPr>
        <w:t>Sandborn</w:t>
      </w:r>
      <w:proofErr w:type="spellEnd"/>
      <w:r w:rsidRPr="002D48C0">
        <w:rPr>
          <w:rFonts w:ascii="Book Antiqua" w:eastAsiaTheme="minorEastAsia" w:hAnsi="Book Antiqua" w:cstheme="minorBidi"/>
          <w:kern w:val="2"/>
          <w:lang w:val="en-US" w:eastAsia="zh-CN"/>
        </w:rPr>
        <w:t xml:space="preserve"> WJ, Sutherland LR. A simple classification of Crohn's disease: report of the Working Party for the World Congresses of Gastroenterology, Vienna 1998.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2000; </w:t>
      </w:r>
      <w:r w:rsidRPr="002D48C0">
        <w:rPr>
          <w:rFonts w:ascii="Book Antiqua" w:eastAsiaTheme="minorEastAsia" w:hAnsi="Book Antiqua" w:cstheme="minorBidi"/>
          <w:b/>
          <w:kern w:val="2"/>
          <w:lang w:val="en-US" w:eastAsia="zh-CN"/>
        </w:rPr>
        <w:t>6</w:t>
      </w:r>
      <w:r w:rsidRPr="002D48C0">
        <w:rPr>
          <w:rFonts w:ascii="Book Antiqua" w:eastAsiaTheme="minorEastAsia" w:hAnsi="Book Antiqua" w:cstheme="minorBidi"/>
          <w:kern w:val="2"/>
          <w:lang w:val="en-US" w:eastAsia="zh-CN"/>
        </w:rPr>
        <w:t>: 8-15 [PMID: 10701144]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 </w:t>
      </w:r>
      <w:proofErr w:type="spellStart"/>
      <w:r w:rsidRPr="002D48C0">
        <w:rPr>
          <w:rFonts w:ascii="Book Antiqua" w:eastAsiaTheme="minorEastAsia" w:hAnsi="Book Antiqua" w:cstheme="minorBidi"/>
          <w:b/>
          <w:kern w:val="2"/>
          <w:lang w:val="en-US" w:eastAsia="zh-CN"/>
        </w:rPr>
        <w:t>Cosnes</w:t>
      </w:r>
      <w:proofErr w:type="spellEnd"/>
      <w:r w:rsidRPr="002D48C0">
        <w:rPr>
          <w:rFonts w:ascii="Book Antiqua" w:eastAsiaTheme="minorEastAsia" w:hAnsi="Book Antiqua" w:cstheme="minorBidi"/>
          <w:b/>
          <w:kern w:val="2"/>
          <w:lang w:val="en-US" w:eastAsia="zh-CN"/>
        </w:rPr>
        <w:t xml:space="preserve"> J</w:t>
      </w:r>
      <w:r w:rsidRPr="002D48C0">
        <w:rPr>
          <w:rFonts w:ascii="Book Antiqua" w:eastAsiaTheme="minorEastAsia" w:hAnsi="Book Antiqua" w:cstheme="minorBidi"/>
          <w:kern w:val="2"/>
          <w:lang w:val="en-US" w:eastAsia="zh-CN"/>
        </w:rPr>
        <w:t xml:space="preserve">, Gower-Rousseau C, </w:t>
      </w:r>
      <w:proofErr w:type="spellStart"/>
      <w:r w:rsidRPr="002D48C0">
        <w:rPr>
          <w:rFonts w:ascii="Book Antiqua" w:eastAsiaTheme="minorEastAsia" w:hAnsi="Book Antiqua" w:cstheme="minorBidi"/>
          <w:kern w:val="2"/>
          <w:lang w:val="en-US" w:eastAsia="zh-CN"/>
        </w:rPr>
        <w:t>Seksik</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Cortot</w:t>
      </w:r>
      <w:proofErr w:type="spellEnd"/>
      <w:r w:rsidRPr="002D48C0">
        <w:rPr>
          <w:rFonts w:ascii="Book Antiqua" w:eastAsiaTheme="minorEastAsia" w:hAnsi="Book Antiqua" w:cstheme="minorBidi"/>
          <w:kern w:val="2"/>
          <w:lang w:val="en-US" w:eastAsia="zh-CN"/>
        </w:rPr>
        <w:t xml:space="preserve"> A. Epidemiology and natural history of inflammatory bowel diseases. </w:t>
      </w:r>
      <w:r w:rsidRPr="002D48C0">
        <w:rPr>
          <w:rFonts w:ascii="Book Antiqua" w:eastAsiaTheme="minorEastAsia" w:hAnsi="Book Antiqua" w:cstheme="minorBidi"/>
          <w:i/>
          <w:kern w:val="2"/>
          <w:lang w:val="en-US" w:eastAsia="zh-CN"/>
        </w:rPr>
        <w:t>Gastroenterology</w:t>
      </w:r>
      <w:r w:rsidRPr="002D48C0">
        <w:rPr>
          <w:rFonts w:ascii="Book Antiqua" w:eastAsiaTheme="minorEastAsia" w:hAnsi="Book Antiqua" w:cstheme="minorBidi"/>
          <w:kern w:val="2"/>
          <w:lang w:val="en-US" w:eastAsia="zh-CN"/>
        </w:rPr>
        <w:t xml:space="preserve"> 2011; </w:t>
      </w:r>
      <w:r w:rsidRPr="002D48C0">
        <w:rPr>
          <w:rFonts w:ascii="Book Antiqua" w:eastAsiaTheme="minorEastAsia" w:hAnsi="Book Antiqua" w:cstheme="minorBidi"/>
          <w:b/>
          <w:kern w:val="2"/>
          <w:lang w:val="en-US" w:eastAsia="zh-CN"/>
        </w:rPr>
        <w:t>140</w:t>
      </w:r>
      <w:r w:rsidRPr="002D48C0">
        <w:rPr>
          <w:rFonts w:ascii="Book Antiqua" w:eastAsiaTheme="minorEastAsia" w:hAnsi="Book Antiqua" w:cstheme="minorBidi"/>
          <w:kern w:val="2"/>
          <w:lang w:val="en-US" w:eastAsia="zh-CN"/>
        </w:rPr>
        <w:t>: 1785-1794 [PMID: 21530745 DOI: 10.1053/j.gastro.2011.01.055]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 </w:t>
      </w:r>
      <w:proofErr w:type="spellStart"/>
      <w:r w:rsidRPr="002D48C0">
        <w:rPr>
          <w:rFonts w:ascii="Book Antiqua" w:eastAsiaTheme="minorEastAsia" w:hAnsi="Book Antiqua" w:cstheme="minorBidi"/>
          <w:b/>
          <w:kern w:val="2"/>
          <w:lang w:val="en-US" w:eastAsia="zh-CN"/>
        </w:rPr>
        <w:t>Rutgeerts</w:t>
      </w:r>
      <w:proofErr w:type="spellEnd"/>
      <w:r w:rsidRPr="002D48C0">
        <w:rPr>
          <w:rFonts w:ascii="Book Antiqua" w:eastAsiaTheme="minorEastAsia" w:hAnsi="Book Antiqua" w:cstheme="minorBidi"/>
          <w:b/>
          <w:kern w:val="2"/>
          <w:lang w:val="en-US" w:eastAsia="zh-CN"/>
        </w:rPr>
        <w:t xml:space="preserve"> P</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Onette</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Vantrappen</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Geboes</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Broeckaert</w:t>
      </w:r>
      <w:proofErr w:type="spellEnd"/>
      <w:r w:rsidRPr="002D48C0">
        <w:rPr>
          <w:rFonts w:ascii="Book Antiqua" w:eastAsiaTheme="minorEastAsia" w:hAnsi="Book Antiqua" w:cstheme="minorBidi"/>
          <w:kern w:val="2"/>
          <w:lang w:val="en-US" w:eastAsia="zh-CN"/>
        </w:rPr>
        <w:t xml:space="preserve"> L, </w:t>
      </w:r>
      <w:proofErr w:type="spellStart"/>
      <w:r w:rsidRPr="002D48C0">
        <w:rPr>
          <w:rFonts w:ascii="Book Antiqua" w:eastAsiaTheme="minorEastAsia" w:hAnsi="Book Antiqua" w:cstheme="minorBidi"/>
          <w:kern w:val="2"/>
          <w:lang w:val="en-US" w:eastAsia="zh-CN"/>
        </w:rPr>
        <w:t>Talloen</w:t>
      </w:r>
      <w:proofErr w:type="spellEnd"/>
      <w:r w:rsidRPr="002D48C0">
        <w:rPr>
          <w:rFonts w:ascii="Book Antiqua" w:eastAsiaTheme="minorEastAsia" w:hAnsi="Book Antiqua" w:cstheme="minorBidi"/>
          <w:kern w:val="2"/>
          <w:lang w:val="en-US" w:eastAsia="zh-CN"/>
        </w:rPr>
        <w:t xml:space="preserve"> L. Crohn's disease of the stomach and duodenum: A clinical study with emphasis on the value of endoscopy and endoscopic biopsies. </w:t>
      </w:r>
      <w:r w:rsidRPr="002D48C0">
        <w:rPr>
          <w:rFonts w:ascii="Book Antiqua" w:eastAsiaTheme="minorEastAsia" w:hAnsi="Book Antiqua" w:cstheme="minorBidi"/>
          <w:i/>
          <w:kern w:val="2"/>
          <w:lang w:val="en-US" w:eastAsia="zh-CN"/>
        </w:rPr>
        <w:t>Endoscopy</w:t>
      </w:r>
      <w:r w:rsidRPr="002D48C0">
        <w:rPr>
          <w:rFonts w:ascii="Book Antiqua" w:eastAsiaTheme="minorEastAsia" w:hAnsi="Book Antiqua" w:cstheme="minorBidi"/>
          <w:kern w:val="2"/>
          <w:lang w:val="en-US" w:eastAsia="zh-CN"/>
        </w:rPr>
        <w:t xml:space="preserve"> 1980; </w:t>
      </w:r>
      <w:r w:rsidRPr="002D48C0">
        <w:rPr>
          <w:rFonts w:ascii="Book Antiqua" w:eastAsiaTheme="minorEastAsia" w:hAnsi="Book Antiqua" w:cstheme="minorBidi"/>
          <w:b/>
          <w:kern w:val="2"/>
          <w:lang w:val="en-US" w:eastAsia="zh-CN"/>
        </w:rPr>
        <w:t>12</w:t>
      </w:r>
      <w:r w:rsidRPr="002D48C0">
        <w:rPr>
          <w:rFonts w:ascii="Book Antiqua" w:eastAsiaTheme="minorEastAsia" w:hAnsi="Book Antiqua" w:cstheme="minorBidi"/>
          <w:kern w:val="2"/>
          <w:lang w:val="en-US" w:eastAsia="zh-CN"/>
        </w:rPr>
        <w:t>: 288-294 [PMID: 7428736 DOI: 10.1055/s-2007-1021762]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 </w:t>
      </w:r>
      <w:proofErr w:type="spellStart"/>
      <w:r w:rsidRPr="002D48C0">
        <w:rPr>
          <w:rFonts w:ascii="Book Antiqua" w:eastAsiaTheme="minorEastAsia" w:hAnsi="Book Antiqua" w:cstheme="minorBidi"/>
          <w:b/>
          <w:kern w:val="2"/>
          <w:lang w:val="en-US" w:eastAsia="zh-CN"/>
        </w:rPr>
        <w:t>Lazarev</w:t>
      </w:r>
      <w:proofErr w:type="spellEnd"/>
      <w:r w:rsidRPr="002D48C0">
        <w:rPr>
          <w:rFonts w:ascii="Book Antiqua" w:eastAsiaTheme="minorEastAsia" w:hAnsi="Book Antiqua" w:cstheme="minorBidi"/>
          <w:b/>
          <w:kern w:val="2"/>
          <w:lang w:val="en-US" w:eastAsia="zh-CN"/>
        </w:rPr>
        <w:t xml:space="preserve"> M</w:t>
      </w:r>
      <w:r w:rsidRPr="002D48C0">
        <w:rPr>
          <w:rFonts w:ascii="Book Antiqua" w:eastAsiaTheme="minorEastAsia" w:hAnsi="Book Antiqua" w:cstheme="minorBidi"/>
          <w:kern w:val="2"/>
          <w:lang w:val="en-US" w:eastAsia="zh-CN"/>
        </w:rPr>
        <w:t xml:space="preserve">, Huang C, </w:t>
      </w:r>
      <w:proofErr w:type="spellStart"/>
      <w:r w:rsidRPr="002D48C0">
        <w:rPr>
          <w:rFonts w:ascii="Book Antiqua" w:eastAsiaTheme="minorEastAsia" w:hAnsi="Book Antiqua" w:cstheme="minorBidi"/>
          <w:kern w:val="2"/>
          <w:lang w:val="en-US" w:eastAsia="zh-CN"/>
        </w:rPr>
        <w:t>Bitton</w:t>
      </w:r>
      <w:proofErr w:type="spellEnd"/>
      <w:r w:rsidRPr="002D48C0">
        <w:rPr>
          <w:rFonts w:ascii="Book Antiqua" w:eastAsiaTheme="minorEastAsia" w:hAnsi="Book Antiqua" w:cstheme="minorBidi"/>
          <w:kern w:val="2"/>
          <w:lang w:val="en-US" w:eastAsia="zh-CN"/>
        </w:rPr>
        <w:t xml:space="preserve"> A, Cho JH, </w:t>
      </w:r>
      <w:proofErr w:type="spellStart"/>
      <w:r w:rsidRPr="002D48C0">
        <w:rPr>
          <w:rFonts w:ascii="Book Antiqua" w:eastAsiaTheme="minorEastAsia" w:hAnsi="Book Antiqua" w:cstheme="minorBidi"/>
          <w:kern w:val="2"/>
          <w:lang w:val="en-US" w:eastAsia="zh-CN"/>
        </w:rPr>
        <w:t>Duerr</w:t>
      </w:r>
      <w:proofErr w:type="spellEnd"/>
      <w:r w:rsidRPr="002D48C0">
        <w:rPr>
          <w:rFonts w:ascii="Book Antiqua" w:eastAsiaTheme="minorEastAsia" w:hAnsi="Book Antiqua" w:cstheme="minorBidi"/>
          <w:kern w:val="2"/>
          <w:lang w:val="en-US" w:eastAsia="zh-CN"/>
        </w:rPr>
        <w:t xml:space="preserve"> RH, McGovern DP, Proctor DD, </w:t>
      </w:r>
      <w:proofErr w:type="spellStart"/>
      <w:r w:rsidRPr="002D48C0">
        <w:rPr>
          <w:rFonts w:ascii="Book Antiqua" w:eastAsiaTheme="minorEastAsia" w:hAnsi="Book Antiqua" w:cstheme="minorBidi"/>
          <w:kern w:val="2"/>
          <w:lang w:val="en-US" w:eastAsia="zh-CN"/>
        </w:rPr>
        <w:t>Regueiro</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Rioux</w:t>
      </w:r>
      <w:proofErr w:type="spellEnd"/>
      <w:r w:rsidRPr="002D48C0">
        <w:rPr>
          <w:rFonts w:ascii="Book Antiqua" w:eastAsiaTheme="minorEastAsia" w:hAnsi="Book Antiqua" w:cstheme="minorBidi"/>
          <w:kern w:val="2"/>
          <w:lang w:val="en-US" w:eastAsia="zh-CN"/>
        </w:rPr>
        <w:t xml:space="preserve"> JD, Schumm PP, Taylor KD, Silverberg MS, Steinhart AH, </w:t>
      </w:r>
      <w:proofErr w:type="spellStart"/>
      <w:r w:rsidRPr="002D48C0">
        <w:rPr>
          <w:rFonts w:ascii="Book Antiqua" w:eastAsiaTheme="minorEastAsia" w:hAnsi="Book Antiqua" w:cstheme="minorBidi"/>
          <w:kern w:val="2"/>
          <w:lang w:val="en-US" w:eastAsia="zh-CN"/>
        </w:rPr>
        <w:t>Hutfless</w:t>
      </w:r>
      <w:proofErr w:type="spellEnd"/>
      <w:r w:rsidRPr="002D48C0">
        <w:rPr>
          <w:rFonts w:ascii="Book Antiqua" w:eastAsiaTheme="minorEastAsia" w:hAnsi="Book Antiqua" w:cstheme="minorBidi"/>
          <w:kern w:val="2"/>
          <w:lang w:val="en-US" w:eastAsia="zh-CN"/>
        </w:rPr>
        <w:t xml:space="preserve"> S, Brant SR. Relationship between proximal Crohn's disease location and disease behavior and surgery: a cross-sectional study of the IBD Genetics Consortium. </w:t>
      </w:r>
      <w:r w:rsidRPr="002D48C0">
        <w:rPr>
          <w:rFonts w:ascii="Book Antiqua" w:eastAsiaTheme="minorEastAsia" w:hAnsi="Book Antiqua" w:cstheme="minorBidi"/>
          <w:i/>
          <w:kern w:val="2"/>
          <w:lang w:val="en-US" w:eastAsia="zh-CN"/>
        </w:rPr>
        <w:t>Am J Gastroenterol</w:t>
      </w:r>
      <w:r w:rsidRPr="002D48C0">
        <w:rPr>
          <w:rFonts w:ascii="Book Antiqua" w:eastAsiaTheme="minorEastAsia" w:hAnsi="Book Antiqua" w:cstheme="minorBidi"/>
          <w:kern w:val="2"/>
          <w:lang w:val="en-US" w:eastAsia="zh-CN"/>
        </w:rPr>
        <w:t xml:space="preserve"> 2013; </w:t>
      </w:r>
      <w:r w:rsidRPr="002D48C0">
        <w:rPr>
          <w:rFonts w:ascii="Book Antiqua" w:eastAsiaTheme="minorEastAsia" w:hAnsi="Book Antiqua" w:cstheme="minorBidi"/>
          <w:b/>
          <w:kern w:val="2"/>
          <w:lang w:val="en-US" w:eastAsia="zh-CN"/>
        </w:rPr>
        <w:t>108</w:t>
      </w:r>
      <w:r w:rsidRPr="002D48C0">
        <w:rPr>
          <w:rFonts w:ascii="Book Antiqua" w:eastAsiaTheme="minorEastAsia" w:hAnsi="Book Antiqua" w:cstheme="minorBidi"/>
          <w:kern w:val="2"/>
          <w:lang w:val="en-US" w:eastAsia="zh-CN"/>
        </w:rPr>
        <w:t>: 106-112 [PMID: 23229423 DOI: 10.1038/ajg.2012.389]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 </w:t>
      </w:r>
      <w:r w:rsidRPr="002D48C0">
        <w:rPr>
          <w:rFonts w:ascii="Book Antiqua" w:eastAsiaTheme="minorEastAsia" w:hAnsi="Book Antiqua" w:cstheme="minorBidi"/>
          <w:b/>
          <w:kern w:val="2"/>
          <w:lang w:val="en-US" w:eastAsia="zh-CN"/>
        </w:rPr>
        <w:t>Wolters FL</w:t>
      </w:r>
      <w:r w:rsidRPr="002D48C0">
        <w:rPr>
          <w:rFonts w:ascii="Book Antiqua" w:eastAsiaTheme="minorEastAsia" w:hAnsi="Book Antiqua" w:cstheme="minorBidi"/>
          <w:kern w:val="2"/>
          <w:lang w:val="en-US" w:eastAsia="zh-CN"/>
        </w:rPr>
        <w:t xml:space="preserve">, Russel MG, </w:t>
      </w:r>
      <w:proofErr w:type="spellStart"/>
      <w:r w:rsidRPr="002D48C0">
        <w:rPr>
          <w:rFonts w:ascii="Book Antiqua" w:eastAsiaTheme="minorEastAsia" w:hAnsi="Book Antiqua" w:cstheme="minorBidi"/>
          <w:kern w:val="2"/>
          <w:lang w:val="en-US" w:eastAsia="zh-CN"/>
        </w:rPr>
        <w:t>Sijbrandij</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Ambergen</w:t>
      </w:r>
      <w:proofErr w:type="spellEnd"/>
      <w:r w:rsidRPr="002D48C0">
        <w:rPr>
          <w:rFonts w:ascii="Book Antiqua" w:eastAsiaTheme="minorEastAsia" w:hAnsi="Book Antiqua" w:cstheme="minorBidi"/>
          <w:kern w:val="2"/>
          <w:lang w:val="en-US" w:eastAsia="zh-CN"/>
        </w:rPr>
        <w:t xml:space="preserve"> T, Odes S, Riis L, </w:t>
      </w:r>
      <w:proofErr w:type="spellStart"/>
      <w:r w:rsidRPr="002D48C0">
        <w:rPr>
          <w:rFonts w:ascii="Book Antiqua" w:eastAsiaTheme="minorEastAsia" w:hAnsi="Book Antiqua" w:cstheme="minorBidi"/>
          <w:kern w:val="2"/>
          <w:lang w:val="en-US" w:eastAsia="zh-CN"/>
        </w:rPr>
        <w:t>Langholz</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Politi</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Qasim</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Koutroubakis</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Tsianos</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Vermeire</w:t>
      </w:r>
      <w:proofErr w:type="spellEnd"/>
      <w:r w:rsidRPr="002D48C0">
        <w:rPr>
          <w:rFonts w:ascii="Book Antiqua" w:eastAsiaTheme="minorEastAsia" w:hAnsi="Book Antiqua" w:cstheme="minorBidi"/>
          <w:kern w:val="2"/>
          <w:lang w:val="en-US" w:eastAsia="zh-CN"/>
        </w:rPr>
        <w:t xml:space="preserve"> S, Freitas J, van </w:t>
      </w:r>
      <w:proofErr w:type="spellStart"/>
      <w:r w:rsidRPr="002D48C0">
        <w:rPr>
          <w:rFonts w:ascii="Book Antiqua" w:eastAsiaTheme="minorEastAsia" w:hAnsi="Book Antiqua" w:cstheme="minorBidi"/>
          <w:kern w:val="2"/>
          <w:lang w:val="en-US" w:eastAsia="zh-CN"/>
        </w:rPr>
        <w:t>Zeijl</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Hoie</w:t>
      </w:r>
      <w:proofErr w:type="spellEnd"/>
      <w:r w:rsidRPr="002D48C0">
        <w:rPr>
          <w:rFonts w:ascii="Book Antiqua" w:eastAsiaTheme="minorEastAsia" w:hAnsi="Book Antiqua" w:cstheme="minorBidi"/>
          <w:kern w:val="2"/>
          <w:lang w:val="en-US" w:eastAsia="zh-CN"/>
        </w:rPr>
        <w:t xml:space="preserve"> O, </w:t>
      </w:r>
      <w:proofErr w:type="spellStart"/>
      <w:r w:rsidRPr="002D48C0">
        <w:rPr>
          <w:rFonts w:ascii="Book Antiqua" w:eastAsiaTheme="minorEastAsia" w:hAnsi="Book Antiqua" w:cstheme="minorBidi"/>
          <w:kern w:val="2"/>
          <w:lang w:val="en-US" w:eastAsia="zh-CN"/>
        </w:rPr>
        <w:t>Bernklev</w:t>
      </w:r>
      <w:proofErr w:type="spellEnd"/>
      <w:r w:rsidRPr="002D48C0">
        <w:rPr>
          <w:rFonts w:ascii="Book Antiqua" w:eastAsiaTheme="minorEastAsia" w:hAnsi="Book Antiqua" w:cstheme="minorBidi"/>
          <w:kern w:val="2"/>
          <w:lang w:val="en-US" w:eastAsia="zh-CN"/>
        </w:rPr>
        <w:t xml:space="preserve"> T, Beltrami M, Rodriguez D, </w:t>
      </w:r>
      <w:proofErr w:type="spellStart"/>
      <w:r w:rsidRPr="002D48C0">
        <w:rPr>
          <w:rFonts w:ascii="Book Antiqua" w:eastAsiaTheme="minorEastAsia" w:hAnsi="Book Antiqua" w:cstheme="minorBidi"/>
          <w:kern w:val="2"/>
          <w:lang w:val="en-US" w:eastAsia="zh-CN"/>
        </w:rPr>
        <w:t>Stockbrügger</w:t>
      </w:r>
      <w:proofErr w:type="spellEnd"/>
      <w:r w:rsidRPr="002D48C0">
        <w:rPr>
          <w:rFonts w:ascii="Book Antiqua" w:eastAsiaTheme="minorEastAsia" w:hAnsi="Book Antiqua" w:cstheme="minorBidi"/>
          <w:kern w:val="2"/>
          <w:lang w:val="en-US" w:eastAsia="zh-CN"/>
        </w:rPr>
        <w:t xml:space="preserve"> RW, </w:t>
      </w:r>
      <w:proofErr w:type="spellStart"/>
      <w:r w:rsidRPr="002D48C0">
        <w:rPr>
          <w:rFonts w:ascii="Book Antiqua" w:eastAsiaTheme="minorEastAsia" w:hAnsi="Book Antiqua" w:cstheme="minorBidi"/>
          <w:kern w:val="2"/>
          <w:lang w:val="en-US" w:eastAsia="zh-CN"/>
        </w:rPr>
        <w:t>Moum</w:t>
      </w:r>
      <w:proofErr w:type="spellEnd"/>
      <w:r w:rsidRPr="002D48C0">
        <w:rPr>
          <w:rFonts w:ascii="Book Antiqua" w:eastAsiaTheme="minorEastAsia" w:hAnsi="Book Antiqua" w:cstheme="minorBidi"/>
          <w:kern w:val="2"/>
          <w:lang w:val="en-US" w:eastAsia="zh-CN"/>
        </w:rPr>
        <w:t xml:space="preserve"> B. Phenotype at diagnosis predicts recurrence rates in Crohn's disease. </w:t>
      </w:r>
      <w:r w:rsidRPr="002D48C0">
        <w:rPr>
          <w:rFonts w:ascii="Book Antiqua" w:eastAsiaTheme="minorEastAsia" w:hAnsi="Book Antiqua" w:cstheme="minorBidi"/>
          <w:i/>
          <w:kern w:val="2"/>
          <w:lang w:val="en-US" w:eastAsia="zh-CN"/>
        </w:rPr>
        <w:t>Gut</w:t>
      </w:r>
      <w:r w:rsidRPr="002D48C0">
        <w:rPr>
          <w:rFonts w:ascii="Book Antiqua" w:eastAsiaTheme="minorEastAsia" w:hAnsi="Book Antiqua" w:cstheme="minorBidi"/>
          <w:kern w:val="2"/>
          <w:lang w:val="en-US" w:eastAsia="zh-CN"/>
        </w:rPr>
        <w:t xml:space="preserve"> 2006; </w:t>
      </w:r>
      <w:r w:rsidRPr="002D48C0">
        <w:rPr>
          <w:rFonts w:ascii="Book Antiqua" w:eastAsiaTheme="minorEastAsia" w:hAnsi="Book Antiqua" w:cstheme="minorBidi"/>
          <w:b/>
          <w:kern w:val="2"/>
          <w:lang w:val="en-US" w:eastAsia="zh-CN"/>
        </w:rPr>
        <w:t>55</w:t>
      </w:r>
      <w:r w:rsidRPr="002D48C0">
        <w:rPr>
          <w:rFonts w:ascii="Book Antiqua" w:eastAsiaTheme="minorEastAsia" w:hAnsi="Book Antiqua" w:cstheme="minorBidi"/>
          <w:kern w:val="2"/>
          <w:lang w:val="en-US" w:eastAsia="zh-CN"/>
        </w:rPr>
        <w:t>: 1124-1130 [PMID: 16361306 DOI: 10.1136/gut.2005.084061]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 </w:t>
      </w:r>
      <w:r w:rsidRPr="002D48C0">
        <w:rPr>
          <w:rFonts w:ascii="Book Antiqua" w:eastAsiaTheme="minorEastAsia" w:hAnsi="Book Antiqua" w:cstheme="minorBidi"/>
          <w:b/>
          <w:kern w:val="2"/>
          <w:lang w:val="en-US" w:eastAsia="zh-CN"/>
        </w:rPr>
        <w:t>Chow DK</w:t>
      </w:r>
      <w:r w:rsidRPr="002D48C0">
        <w:rPr>
          <w:rFonts w:ascii="Book Antiqua" w:eastAsiaTheme="minorEastAsia" w:hAnsi="Book Antiqua" w:cstheme="minorBidi"/>
          <w:kern w:val="2"/>
          <w:lang w:val="en-US" w:eastAsia="zh-CN"/>
        </w:rPr>
        <w:t xml:space="preserve">, Sung JJ, Wu JC, Tsoi KK, Leong RW, Chan FK. Upper gastrointestinal tract phenotype of Crohn's disease is associated with early surgery and further hospitalization.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15</w:t>
      </w:r>
      <w:r w:rsidRPr="002D48C0">
        <w:rPr>
          <w:rFonts w:ascii="Book Antiqua" w:eastAsiaTheme="minorEastAsia" w:hAnsi="Book Antiqua" w:cstheme="minorBidi"/>
          <w:kern w:val="2"/>
          <w:lang w:val="en-US" w:eastAsia="zh-CN"/>
        </w:rPr>
        <w:t xml:space="preserve">: 551-557 [PMID: 19067420 DOI: </w:t>
      </w:r>
      <w:r w:rsidRPr="002D48C0">
        <w:rPr>
          <w:rFonts w:ascii="Book Antiqua" w:eastAsiaTheme="minorEastAsia" w:hAnsi="Book Antiqua" w:cstheme="minorBidi"/>
          <w:kern w:val="2"/>
          <w:lang w:val="en-US" w:eastAsia="zh-CN"/>
        </w:rPr>
        <w:lastRenderedPageBreak/>
        <w:t>10.1002/ibd.20804]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 </w:t>
      </w:r>
      <w:proofErr w:type="spellStart"/>
      <w:r w:rsidRPr="002D48C0">
        <w:rPr>
          <w:rFonts w:ascii="Book Antiqua" w:eastAsiaTheme="minorEastAsia" w:hAnsi="Book Antiqua" w:cstheme="minorBidi"/>
          <w:b/>
          <w:kern w:val="2"/>
          <w:lang w:val="en-US" w:eastAsia="zh-CN"/>
        </w:rPr>
        <w:t>Kopylov</w:t>
      </w:r>
      <w:proofErr w:type="spellEnd"/>
      <w:r w:rsidRPr="002D48C0">
        <w:rPr>
          <w:rFonts w:ascii="Book Antiqua" w:eastAsiaTheme="minorEastAsia" w:hAnsi="Book Antiqua" w:cstheme="minorBidi"/>
          <w:b/>
          <w:kern w:val="2"/>
          <w:lang w:val="en-US" w:eastAsia="zh-CN"/>
        </w:rPr>
        <w:t xml:space="preserve"> U</w:t>
      </w:r>
      <w:r w:rsidRPr="002D48C0">
        <w:rPr>
          <w:rFonts w:ascii="Book Antiqua" w:eastAsiaTheme="minorEastAsia" w:hAnsi="Book Antiqua" w:cstheme="minorBidi"/>
          <w:kern w:val="2"/>
          <w:lang w:val="en-US" w:eastAsia="zh-CN"/>
        </w:rPr>
        <w:t>, Ben-</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Seidman EG, Eliakim R. Video Capsule Endoscopy of the Small Bowel for Monitoring of Crohn's Disease.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21</w:t>
      </w:r>
      <w:r w:rsidRPr="002D48C0">
        <w:rPr>
          <w:rFonts w:ascii="Book Antiqua" w:eastAsiaTheme="minorEastAsia" w:hAnsi="Book Antiqua" w:cstheme="minorBidi"/>
          <w:kern w:val="2"/>
          <w:lang w:val="en-US" w:eastAsia="zh-CN"/>
        </w:rPr>
        <w:t>: 2726-2735 [PMID: 26193349 DOI: 10.1097/MIB.0000000000000497]</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9 </w:t>
      </w:r>
      <w:proofErr w:type="spellStart"/>
      <w:r w:rsidRPr="002D48C0">
        <w:rPr>
          <w:rFonts w:ascii="Book Antiqua" w:eastAsiaTheme="minorEastAsia" w:hAnsi="Book Antiqua" w:cstheme="minorBidi"/>
          <w:b/>
          <w:kern w:val="2"/>
          <w:lang w:val="en-US" w:eastAsia="zh-CN"/>
        </w:rPr>
        <w:t>Gomollón</w:t>
      </w:r>
      <w:proofErr w:type="spellEnd"/>
      <w:r w:rsidRPr="002D48C0">
        <w:rPr>
          <w:rFonts w:ascii="Book Antiqua" w:eastAsiaTheme="minorEastAsia" w:hAnsi="Book Antiqua" w:cstheme="minorBidi"/>
          <w:b/>
          <w:kern w:val="2"/>
          <w:lang w:val="en-US" w:eastAsia="zh-CN"/>
        </w:rPr>
        <w:t xml:space="preserve"> F</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Dignass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Annese</w:t>
      </w:r>
      <w:proofErr w:type="spellEnd"/>
      <w:r w:rsidRPr="002D48C0">
        <w:rPr>
          <w:rFonts w:ascii="Book Antiqua" w:eastAsiaTheme="minorEastAsia" w:hAnsi="Book Antiqua" w:cstheme="minorBidi"/>
          <w:kern w:val="2"/>
          <w:lang w:val="en-US" w:eastAsia="zh-CN"/>
        </w:rPr>
        <w:t xml:space="preserve"> V, </w:t>
      </w:r>
      <w:proofErr w:type="spellStart"/>
      <w:r w:rsidRPr="002D48C0">
        <w:rPr>
          <w:rFonts w:ascii="Book Antiqua" w:eastAsiaTheme="minorEastAsia" w:hAnsi="Book Antiqua" w:cstheme="minorBidi"/>
          <w:kern w:val="2"/>
          <w:lang w:val="en-US" w:eastAsia="zh-CN"/>
        </w:rPr>
        <w:t>Tilg</w:t>
      </w:r>
      <w:proofErr w:type="spellEnd"/>
      <w:r w:rsidRPr="002D48C0">
        <w:rPr>
          <w:rFonts w:ascii="Book Antiqua" w:eastAsiaTheme="minorEastAsia" w:hAnsi="Book Antiqua" w:cstheme="minorBidi"/>
          <w:kern w:val="2"/>
          <w:lang w:val="en-US" w:eastAsia="zh-CN"/>
        </w:rPr>
        <w:t xml:space="preserve"> H, Van </w:t>
      </w:r>
      <w:proofErr w:type="spellStart"/>
      <w:r w:rsidRPr="002D48C0">
        <w:rPr>
          <w:rFonts w:ascii="Book Antiqua" w:eastAsiaTheme="minorEastAsia" w:hAnsi="Book Antiqua" w:cstheme="minorBidi"/>
          <w:kern w:val="2"/>
          <w:lang w:val="en-US" w:eastAsia="zh-CN"/>
        </w:rPr>
        <w:t>Assche</w:t>
      </w:r>
      <w:proofErr w:type="spellEnd"/>
      <w:r w:rsidRPr="002D48C0">
        <w:rPr>
          <w:rFonts w:ascii="Book Antiqua" w:eastAsiaTheme="minorEastAsia" w:hAnsi="Book Antiqua" w:cstheme="minorBidi"/>
          <w:kern w:val="2"/>
          <w:lang w:val="en-US" w:eastAsia="zh-CN"/>
        </w:rPr>
        <w:t xml:space="preserve"> G, Lindsay JO, </w:t>
      </w:r>
      <w:proofErr w:type="spellStart"/>
      <w:r w:rsidRPr="002D48C0">
        <w:rPr>
          <w:rFonts w:ascii="Book Antiqua" w:eastAsiaTheme="minorEastAsia" w:hAnsi="Book Antiqua" w:cstheme="minorBidi"/>
          <w:kern w:val="2"/>
          <w:lang w:val="en-US" w:eastAsia="zh-CN"/>
        </w:rPr>
        <w:t>Peyrin-Biroulet</w:t>
      </w:r>
      <w:proofErr w:type="spellEnd"/>
      <w:r w:rsidRPr="002D48C0">
        <w:rPr>
          <w:rFonts w:ascii="Book Antiqua" w:eastAsiaTheme="minorEastAsia" w:hAnsi="Book Antiqua" w:cstheme="minorBidi"/>
          <w:kern w:val="2"/>
          <w:lang w:val="en-US" w:eastAsia="zh-CN"/>
        </w:rPr>
        <w:t xml:space="preserve"> L, Cullen GJ, </w:t>
      </w:r>
      <w:proofErr w:type="spellStart"/>
      <w:r w:rsidRPr="002D48C0">
        <w:rPr>
          <w:rFonts w:ascii="Book Antiqua" w:eastAsiaTheme="minorEastAsia" w:hAnsi="Book Antiqua" w:cstheme="minorBidi"/>
          <w:kern w:val="2"/>
          <w:lang w:val="en-US" w:eastAsia="zh-CN"/>
        </w:rPr>
        <w:t>Daperno</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Kucharzik</w:t>
      </w:r>
      <w:proofErr w:type="spellEnd"/>
      <w:r w:rsidRPr="002D48C0">
        <w:rPr>
          <w:rFonts w:ascii="Book Antiqua" w:eastAsiaTheme="minorEastAsia" w:hAnsi="Book Antiqua" w:cstheme="minorBidi"/>
          <w:kern w:val="2"/>
          <w:lang w:val="en-US" w:eastAsia="zh-CN"/>
        </w:rPr>
        <w:t xml:space="preserve"> T, </w:t>
      </w:r>
      <w:proofErr w:type="spellStart"/>
      <w:r w:rsidRPr="002D48C0">
        <w:rPr>
          <w:rFonts w:ascii="Book Antiqua" w:eastAsiaTheme="minorEastAsia" w:hAnsi="Book Antiqua" w:cstheme="minorBidi"/>
          <w:kern w:val="2"/>
          <w:lang w:val="en-US" w:eastAsia="zh-CN"/>
        </w:rPr>
        <w:t>Rieder</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Almer</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Armuzzi</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Harbord</w:t>
      </w:r>
      <w:proofErr w:type="spellEnd"/>
      <w:r w:rsidRPr="002D48C0">
        <w:rPr>
          <w:rFonts w:ascii="Book Antiqua" w:eastAsiaTheme="minorEastAsia" w:hAnsi="Book Antiqua" w:cstheme="minorBidi"/>
          <w:kern w:val="2"/>
          <w:lang w:val="en-US" w:eastAsia="zh-CN"/>
        </w:rPr>
        <w:t xml:space="preserve"> M, Langhorst J, Sans M, </w:t>
      </w:r>
      <w:proofErr w:type="spellStart"/>
      <w:r w:rsidRPr="002D48C0">
        <w:rPr>
          <w:rFonts w:ascii="Book Antiqua" w:eastAsiaTheme="minorEastAsia" w:hAnsi="Book Antiqua" w:cstheme="minorBidi"/>
          <w:kern w:val="2"/>
          <w:lang w:val="en-US" w:eastAsia="zh-CN"/>
        </w:rPr>
        <w:t>Chowers</w:t>
      </w:r>
      <w:proofErr w:type="spellEnd"/>
      <w:r w:rsidRPr="002D48C0">
        <w:rPr>
          <w:rFonts w:ascii="Book Antiqua" w:eastAsiaTheme="minorEastAsia" w:hAnsi="Book Antiqua" w:cstheme="minorBidi"/>
          <w:kern w:val="2"/>
          <w:lang w:val="en-US" w:eastAsia="zh-CN"/>
        </w:rPr>
        <w:t xml:space="preserve"> Y, </w:t>
      </w:r>
      <w:proofErr w:type="spellStart"/>
      <w:r w:rsidRPr="002D48C0">
        <w:rPr>
          <w:rFonts w:ascii="Book Antiqua" w:eastAsiaTheme="minorEastAsia" w:hAnsi="Book Antiqua" w:cstheme="minorBidi"/>
          <w:kern w:val="2"/>
          <w:lang w:val="en-US" w:eastAsia="zh-CN"/>
        </w:rPr>
        <w:t>Fiorino</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Juillerat</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Mantzaris</w:t>
      </w:r>
      <w:proofErr w:type="spellEnd"/>
      <w:r w:rsidRPr="002D48C0">
        <w:rPr>
          <w:rFonts w:ascii="Book Antiqua" w:eastAsiaTheme="minorEastAsia" w:hAnsi="Book Antiqua" w:cstheme="minorBidi"/>
          <w:kern w:val="2"/>
          <w:lang w:val="en-US" w:eastAsia="zh-CN"/>
        </w:rPr>
        <w:t xml:space="preserve"> GJ, </w:t>
      </w:r>
      <w:proofErr w:type="spellStart"/>
      <w:r w:rsidRPr="002D48C0">
        <w:rPr>
          <w:rFonts w:ascii="Book Antiqua" w:eastAsiaTheme="minorEastAsia" w:hAnsi="Book Antiqua" w:cstheme="minorBidi"/>
          <w:kern w:val="2"/>
          <w:lang w:val="en-US" w:eastAsia="zh-CN"/>
        </w:rPr>
        <w:t>Rizzello</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Vavricka</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Gionchetti</w:t>
      </w:r>
      <w:proofErr w:type="spellEnd"/>
      <w:r w:rsidRPr="002D48C0">
        <w:rPr>
          <w:rFonts w:ascii="Book Antiqua" w:eastAsiaTheme="minorEastAsia" w:hAnsi="Book Antiqua" w:cstheme="minorBidi"/>
          <w:kern w:val="2"/>
          <w:lang w:val="en-US" w:eastAsia="zh-CN"/>
        </w:rPr>
        <w:t xml:space="preserve"> P; ECCO. 3rd European Evidence-based Consensus on the Diagnosis and Management of Crohn's Disease 2016: Part 1: Diagnosis and Medical Management.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11</w:t>
      </w:r>
      <w:r w:rsidRPr="002D48C0">
        <w:rPr>
          <w:rFonts w:ascii="Book Antiqua" w:eastAsiaTheme="minorEastAsia" w:hAnsi="Book Antiqua" w:cstheme="minorBidi"/>
          <w:kern w:val="2"/>
          <w:lang w:val="en-US" w:eastAsia="zh-CN"/>
        </w:rPr>
        <w:t>: 3-25 [PMID: 27660341 DOI: 10.1093/</w:t>
      </w:r>
      <w:proofErr w:type="spellStart"/>
      <w:r w:rsidRPr="002D48C0">
        <w:rPr>
          <w:rFonts w:ascii="Book Antiqua" w:eastAsiaTheme="minorEastAsia" w:hAnsi="Book Antiqua" w:cstheme="minorBidi"/>
          <w:kern w:val="2"/>
          <w:lang w:val="en-US" w:eastAsia="zh-CN"/>
        </w:rPr>
        <w:t>ecco-jcc</w:t>
      </w:r>
      <w:proofErr w:type="spellEnd"/>
      <w:r w:rsidRPr="002D48C0">
        <w:rPr>
          <w:rFonts w:ascii="Book Antiqua" w:eastAsiaTheme="minorEastAsia" w:hAnsi="Book Antiqua" w:cstheme="minorBidi"/>
          <w:kern w:val="2"/>
          <w:lang w:val="en-US" w:eastAsia="zh-CN"/>
        </w:rPr>
        <w:t>/jjw168]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10 </w:t>
      </w:r>
      <w:r w:rsidRPr="002D48C0">
        <w:rPr>
          <w:rFonts w:ascii="Book Antiqua" w:eastAsiaTheme="minorEastAsia" w:hAnsi="Book Antiqua" w:cstheme="minorBidi"/>
          <w:b/>
          <w:kern w:val="2"/>
          <w:lang w:val="en-US" w:eastAsia="zh-CN"/>
        </w:rPr>
        <w:t>Greener T</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Klang</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Yablecovitch</w:t>
      </w:r>
      <w:proofErr w:type="spellEnd"/>
      <w:r w:rsidRPr="002D48C0">
        <w:rPr>
          <w:rFonts w:ascii="Book Antiqua" w:eastAsiaTheme="minorEastAsia" w:hAnsi="Book Antiqua" w:cstheme="minorBidi"/>
          <w:kern w:val="2"/>
          <w:lang w:val="en-US" w:eastAsia="zh-CN"/>
        </w:rPr>
        <w:t xml:space="preserve"> D, Lahat A, </w:t>
      </w:r>
      <w:proofErr w:type="spellStart"/>
      <w:r w:rsidRPr="002D48C0">
        <w:rPr>
          <w:rFonts w:ascii="Book Antiqua" w:eastAsiaTheme="minorEastAsia" w:hAnsi="Book Antiqua" w:cstheme="minorBidi"/>
          <w:kern w:val="2"/>
          <w:lang w:val="en-US" w:eastAsia="zh-CN"/>
        </w:rPr>
        <w:t>Neuman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Levhar</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Avidan</w:t>
      </w:r>
      <w:proofErr w:type="spellEnd"/>
      <w:r w:rsidRPr="002D48C0">
        <w:rPr>
          <w:rFonts w:ascii="Book Antiqua" w:eastAsiaTheme="minorEastAsia" w:hAnsi="Book Antiqua" w:cstheme="minorBidi"/>
          <w:kern w:val="2"/>
          <w:lang w:val="en-US" w:eastAsia="zh-CN"/>
        </w:rPr>
        <w:t xml:space="preserve"> B, </w:t>
      </w:r>
      <w:proofErr w:type="spellStart"/>
      <w:r w:rsidRPr="002D48C0">
        <w:rPr>
          <w:rFonts w:ascii="Book Antiqua" w:eastAsiaTheme="minorEastAsia" w:hAnsi="Book Antiqua" w:cstheme="minorBidi"/>
          <w:kern w:val="2"/>
          <w:lang w:val="en-US" w:eastAsia="zh-CN"/>
        </w:rPr>
        <w:t>Yanai</w:t>
      </w:r>
      <w:proofErr w:type="spellEnd"/>
      <w:r w:rsidRPr="002D48C0">
        <w:rPr>
          <w:rFonts w:ascii="Book Antiqua" w:eastAsiaTheme="minorEastAsia" w:hAnsi="Book Antiqua" w:cstheme="minorBidi"/>
          <w:kern w:val="2"/>
          <w:lang w:val="en-US" w:eastAsia="zh-CN"/>
        </w:rPr>
        <w:t xml:space="preserve"> H, </w:t>
      </w:r>
      <w:proofErr w:type="spellStart"/>
      <w:r w:rsidRPr="002D48C0">
        <w:rPr>
          <w:rFonts w:ascii="Book Antiqua" w:eastAsiaTheme="minorEastAsia" w:hAnsi="Book Antiqua" w:cstheme="minorBidi"/>
          <w:kern w:val="2"/>
          <w:lang w:val="en-US" w:eastAsia="zh-CN"/>
        </w:rPr>
        <w:t>Dotan</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Chowers</w:t>
      </w:r>
      <w:proofErr w:type="spellEnd"/>
      <w:r w:rsidRPr="002D48C0">
        <w:rPr>
          <w:rFonts w:ascii="Book Antiqua" w:eastAsiaTheme="minorEastAsia" w:hAnsi="Book Antiqua" w:cstheme="minorBidi"/>
          <w:kern w:val="2"/>
          <w:lang w:val="en-US" w:eastAsia="zh-CN"/>
        </w:rPr>
        <w:t xml:space="preserve"> Y, Weiss B, </w:t>
      </w:r>
      <w:proofErr w:type="spellStart"/>
      <w:r w:rsidRPr="002D48C0">
        <w:rPr>
          <w:rFonts w:ascii="Book Antiqua" w:eastAsiaTheme="minorEastAsia" w:hAnsi="Book Antiqua" w:cstheme="minorBidi"/>
          <w:kern w:val="2"/>
          <w:lang w:val="en-US" w:eastAsia="zh-CN"/>
        </w:rPr>
        <w:t>Saibil</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Amitai</w:t>
      </w:r>
      <w:proofErr w:type="spellEnd"/>
      <w:r w:rsidRPr="002D48C0">
        <w:rPr>
          <w:rFonts w:ascii="Book Antiqua" w:eastAsiaTheme="minorEastAsia" w:hAnsi="Book Antiqua" w:cstheme="minorBidi"/>
          <w:kern w:val="2"/>
          <w:lang w:val="en-US" w:eastAsia="zh-CN"/>
        </w:rPr>
        <w:t xml:space="preserve"> MM, Ben-</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Kopylov</w:t>
      </w:r>
      <w:proofErr w:type="spellEnd"/>
      <w:r w:rsidRPr="002D48C0">
        <w:rPr>
          <w:rFonts w:ascii="Book Antiqua" w:eastAsiaTheme="minorEastAsia" w:hAnsi="Book Antiqua" w:cstheme="minorBidi"/>
          <w:kern w:val="2"/>
          <w:lang w:val="en-US" w:eastAsia="zh-CN"/>
        </w:rPr>
        <w:t xml:space="preserve"> U, Eliakim R; Israeli IBD Research Nucleus (IIRN). The Impact of Magnetic Resonance </w:t>
      </w:r>
      <w:proofErr w:type="spellStart"/>
      <w:r w:rsidRPr="002D48C0">
        <w:rPr>
          <w:rFonts w:ascii="Book Antiqua" w:eastAsiaTheme="minorEastAsia" w:hAnsi="Book Antiqua" w:cstheme="minorBidi"/>
          <w:kern w:val="2"/>
          <w:lang w:val="en-US" w:eastAsia="zh-CN"/>
        </w:rPr>
        <w:t>Enterography</w:t>
      </w:r>
      <w:proofErr w:type="spellEnd"/>
      <w:r w:rsidRPr="002D48C0">
        <w:rPr>
          <w:rFonts w:ascii="Book Antiqua" w:eastAsiaTheme="minorEastAsia" w:hAnsi="Book Antiqua" w:cstheme="minorBidi"/>
          <w:kern w:val="2"/>
          <w:lang w:val="en-US" w:eastAsia="zh-CN"/>
        </w:rPr>
        <w:t xml:space="preserve"> and Capsule Endoscopy on the Re-classification of Disease in Patients with Known Crohn's Disease: A Prospective Israeli IBD Research Nucleus (IIRN) Study.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2016; </w:t>
      </w:r>
      <w:r w:rsidRPr="002D48C0">
        <w:rPr>
          <w:rFonts w:ascii="Book Antiqua" w:eastAsiaTheme="minorEastAsia" w:hAnsi="Book Antiqua" w:cstheme="minorBidi"/>
          <w:b/>
          <w:kern w:val="2"/>
          <w:lang w:val="en-US" w:eastAsia="zh-CN"/>
        </w:rPr>
        <w:t>10</w:t>
      </w:r>
      <w:r w:rsidRPr="002D48C0">
        <w:rPr>
          <w:rFonts w:ascii="Book Antiqua" w:eastAsiaTheme="minorEastAsia" w:hAnsi="Book Antiqua" w:cstheme="minorBidi"/>
          <w:kern w:val="2"/>
          <w:lang w:val="en-US" w:eastAsia="zh-CN"/>
        </w:rPr>
        <w:t>: 525-531 [PMID: 26748404 DOI: 10.1093/</w:t>
      </w:r>
      <w:proofErr w:type="spellStart"/>
      <w:r w:rsidRPr="002D48C0">
        <w:rPr>
          <w:rFonts w:ascii="Book Antiqua" w:eastAsiaTheme="minorEastAsia" w:hAnsi="Book Antiqua" w:cstheme="minorBidi"/>
          <w:kern w:val="2"/>
          <w:lang w:val="en-US" w:eastAsia="zh-CN"/>
        </w:rPr>
        <w:t>ecco-jcc</w:t>
      </w:r>
      <w:proofErr w:type="spellEnd"/>
      <w:r w:rsidRPr="002D48C0">
        <w:rPr>
          <w:rFonts w:ascii="Book Antiqua" w:eastAsiaTheme="minorEastAsia" w:hAnsi="Book Antiqua" w:cstheme="minorBidi"/>
          <w:kern w:val="2"/>
          <w:lang w:val="en-US" w:eastAsia="zh-CN"/>
        </w:rPr>
        <w:t>/jjw006]</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11 </w:t>
      </w:r>
      <w:r w:rsidRPr="002D48C0">
        <w:rPr>
          <w:rFonts w:ascii="Book Antiqua" w:eastAsiaTheme="minorEastAsia" w:hAnsi="Book Antiqua" w:cstheme="minorBidi"/>
          <w:b/>
          <w:kern w:val="2"/>
          <w:lang w:val="en-US" w:eastAsia="zh-CN"/>
        </w:rPr>
        <w:t>Modigliani R</w:t>
      </w:r>
      <w:r w:rsidRPr="002D48C0">
        <w:rPr>
          <w:rFonts w:ascii="Book Antiqua" w:eastAsiaTheme="minorEastAsia" w:hAnsi="Book Antiqua" w:cstheme="minorBidi"/>
          <w:kern w:val="2"/>
          <w:lang w:val="en-US" w:eastAsia="zh-CN"/>
        </w:rPr>
        <w:t xml:space="preserve">, Mary JY, Simon JF, </w:t>
      </w:r>
      <w:proofErr w:type="spellStart"/>
      <w:r w:rsidRPr="002D48C0">
        <w:rPr>
          <w:rFonts w:ascii="Book Antiqua" w:eastAsiaTheme="minorEastAsia" w:hAnsi="Book Antiqua" w:cstheme="minorBidi"/>
          <w:kern w:val="2"/>
          <w:lang w:val="en-US" w:eastAsia="zh-CN"/>
        </w:rPr>
        <w:t>Cortot</w:t>
      </w:r>
      <w:proofErr w:type="spellEnd"/>
      <w:r w:rsidRPr="002D48C0">
        <w:rPr>
          <w:rFonts w:ascii="Book Antiqua" w:eastAsiaTheme="minorEastAsia" w:hAnsi="Book Antiqua" w:cstheme="minorBidi"/>
          <w:kern w:val="2"/>
          <w:lang w:val="en-US" w:eastAsia="zh-CN"/>
        </w:rPr>
        <w:t xml:space="preserve"> A, Soule JC, </w:t>
      </w:r>
      <w:proofErr w:type="spellStart"/>
      <w:r w:rsidRPr="002D48C0">
        <w:rPr>
          <w:rFonts w:ascii="Book Antiqua" w:eastAsiaTheme="minorEastAsia" w:hAnsi="Book Antiqua" w:cstheme="minorBidi"/>
          <w:kern w:val="2"/>
          <w:lang w:val="en-US" w:eastAsia="zh-CN"/>
        </w:rPr>
        <w:t>Gendre</w:t>
      </w:r>
      <w:proofErr w:type="spellEnd"/>
      <w:r w:rsidRPr="002D48C0">
        <w:rPr>
          <w:rFonts w:ascii="Book Antiqua" w:eastAsiaTheme="minorEastAsia" w:hAnsi="Book Antiqua" w:cstheme="minorBidi"/>
          <w:kern w:val="2"/>
          <w:lang w:val="en-US" w:eastAsia="zh-CN"/>
        </w:rPr>
        <w:t xml:space="preserve"> JP, Rene E. Clinical, biological, and endoscopic picture of attacks of Crohn's disease. Evolution on prednisolone. </w:t>
      </w:r>
      <w:proofErr w:type="spellStart"/>
      <w:r w:rsidRPr="002D48C0">
        <w:rPr>
          <w:rFonts w:ascii="Book Antiqua" w:eastAsiaTheme="minorEastAsia" w:hAnsi="Book Antiqua" w:cstheme="minorBidi"/>
          <w:kern w:val="2"/>
          <w:lang w:val="en-US" w:eastAsia="zh-CN"/>
        </w:rPr>
        <w:t>Groupe</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d'Etude</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Thérapeutique</w:t>
      </w:r>
      <w:proofErr w:type="spellEnd"/>
      <w:r w:rsidRPr="002D48C0">
        <w:rPr>
          <w:rFonts w:ascii="Book Antiqua" w:eastAsiaTheme="minorEastAsia" w:hAnsi="Book Antiqua" w:cstheme="minorBidi"/>
          <w:kern w:val="2"/>
          <w:lang w:val="en-US" w:eastAsia="zh-CN"/>
        </w:rPr>
        <w:t xml:space="preserve"> des Affections </w:t>
      </w:r>
      <w:proofErr w:type="spellStart"/>
      <w:r w:rsidRPr="002D48C0">
        <w:rPr>
          <w:rFonts w:ascii="Book Antiqua" w:eastAsiaTheme="minorEastAsia" w:hAnsi="Book Antiqua" w:cstheme="minorBidi"/>
          <w:kern w:val="2"/>
          <w:lang w:val="en-US" w:eastAsia="zh-CN"/>
        </w:rPr>
        <w:t>Inflammatoires</w:t>
      </w:r>
      <w:proofErr w:type="spellEnd"/>
      <w:r w:rsidRPr="002D48C0">
        <w:rPr>
          <w:rFonts w:ascii="Book Antiqua" w:eastAsiaTheme="minorEastAsia" w:hAnsi="Book Antiqua" w:cstheme="minorBidi"/>
          <w:kern w:val="2"/>
          <w:lang w:val="en-US" w:eastAsia="zh-CN"/>
        </w:rPr>
        <w:t xml:space="preserve"> Digestives. </w:t>
      </w:r>
      <w:r w:rsidRPr="002D48C0">
        <w:rPr>
          <w:rFonts w:ascii="Book Antiqua" w:eastAsiaTheme="minorEastAsia" w:hAnsi="Book Antiqua" w:cstheme="minorBidi"/>
          <w:i/>
          <w:kern w:val="2"/>
          <w:lang w:val="en-US" w:eastAsia="zh-CN"/>
        </w:rPr>
        <w:t>Gastroenterology</w:t>
      </w:r>
      <w:r w:rsidRPr="002D48C0">
        <w:rPr>
          <w:rFonts w:ascii="Book Antiqua" w:eastAsiaTheme="minorEastAsia" w:hAnsi="Book Antiqua" w:cstheme="minorBidi"/>
          <w:kern w:val="2"/>
          <w:lang w:val="en-US" w:eastAsia="zh-CN"/>
        </w:rPr>
        <w:t xml:space="preserve"> 1990; </w:t>
      </w:r>
      <w:r w:rsidRPr="002D48C0">
        <w:rPr>
          <w:rFonts w:ascii="Book Antiqua" w:eastAsiaTheme="minorEastAsia" w:hAnsi="Book Antiqua" w:cstheme="minorBidi"/>
          <w:b/>
          <w:kern w:val="2"/>
          <w:lang w:val="en-US" w:eastAsia="zh-CN"/>
        </w:rPr>
        <w:t>98</w:t>
      </w:r>
      <w:r w:rsidRPr="002D48C0">
        <w:rPr>
          <w:rFonts w:ascii="Book Antiqua" w:eastAsiaTheme="minorEastAsia" w:hAnsi="Book Antiqua" w:cstheme="minorBidi"/>
          <w:kern w:val="2"/>
          <w:lang w:val="en-US" w:eastAsia="zh-CN"/>
        </w:rPr>
        <w:t>: 811-818 [PMID: 2179031]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12 </w:t>
      </w:r>
      <w:proofErr w:type="spellStart"/>
      <w:r w:rsidRPr="002D48C0">
        <w:rPr>
          <w:rFonts w:ascii="Book Antiqua" w:eastAsiaTheme="minorEastAsia" w:hAnsi="Book Antiqua" w:cstheme="minorBidi"/>
          <w:b/>
          <w:kern w:val="2"/>
          <w:lang w:val="en-US" w:eastAsia="zh-CN"/>
        </w:rPr>
        <w:t>Cellier</w:t>
      </w:r>
      <w:proofErr w:type="spellEnd"/>
      <w:r w:rsidRPr="002D48C0">
        <w:rPr>
          <w:rFonts w:ascii="Book Antiqua" w:eastAsiaTheme="minorEastAsia" w:hAnsi="Book Antiqua" w:cstheme="minorBidi"/>
          <w:b/>
          <w:kern w:val="2"/>
          <w:lang w:val="en-US" w:eastAsia="zh-CN"/>
        </w:rPr>
        <w:t xml:space="preserve"> C</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Sahmoud</w:t>
      </w:r>
      <w:proofErr w:type="spellEnd"/>
      <w:r w:rsidRPr="002D48C0">
        <w:rPr>
          <w:rFonts w:ascii="Book Antiqua" w:eastAsiaTheme="minorEastAsia" w:hAnsi="Book Antiqua" w:cstheme="minorBidi"/>
          <w:kern w:val="2"/>
          <w:lang w:val="en-US" w:eastAsia="zh-CN"/>
        </w:rPr>
        <w:t xml:space="preserve"> T, </w:t>
      </w:r>
      <w:proofErr w:type="spellStart"/>
      <w:r w:rsidRPr="002D48C0">
        <w:rPr>
          <w:rFonts w:ascii="Book Antiqua" w:eastAsiaTheme="minorEastAsia" w:hAnsi="Book Antiqua" w:cstheme="minorBidi"/>
          <w:kern w:val="2"/>
          <w:lang w:val="en-US" w:eastAsia="zh-CN"/>
        </w:rPr>
        <w:t>Froguel</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Adenis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Belaiche</w:t>
      </w:r>
      <w:proofErr w:type="spellEnd"/>
      <w:r w:rsidRPr="002D48C0">
        <w:rPr>
          <w:rFonts w:ascii="Book Antiqua" w:eastAsiaTheme="minorEastAsia" w:hAnsi="Book Antiqua" w:cstheme="minorBidi"/>
          <w:kern w:val="2"/>
          <w:lang w:val="en-US" w:eastAsia="zh-CN"/>
        </w:rPr>
        <w:t xml:space="preserve"> J, Bretagne JF, </w:t>
      </w:r>
      <w:proofErr w:type="spellStart"/>
      <w:r w:rsidRPr="002D48C0">
        <w:rPr>
          <w:rFonts w:ascii="Book Antiqua" w:eastAsiaTheme="minorEastAsia" w:hAnsi="Book Antiqua" w:cstheme="minorBidi"/>
          <w:kern w:val="2"/>
          <w:lang w:val="en-US" w:eastAsia="zh-CN"/>
        </w:rPr>
        <w:t>Florent</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Bouvry</w:t>
      </w:r>
      <w:proofErr w:type="spellEnd"/>
      <w:r w:rsidRPr="002D48C0">
        <w:rPr>
          <w:rFonts w:ascii="Book Antiqua" w:eastAsiaTheme="minorEastAsia" w:hAnsi="Book Antiqua" w:cstheme="minorBidi"/>
          <w:kern w:val="2"/>
          <w:lang w:val="en-US" w:eastAsia="zh-CN"/>
        </w:rPr>
        <w:t xml:space="preserve"> M, Mary JY, Modigliani R. Correlations between clinical activity, endoscopic severity, and biological parameters in colonic or ileocolonic Crohn's disease. A prospective </w:t>
      </w:r>
      <w:proofErr w:type="spellStart"/>
      <w:r w:rsidRPr="002D48C0">
        <w:rPr>
          <w:rFonts w:ascii="Book Antiqua" w:eastAsiaTheme="minorEastAsia" w:hAnsi="Book Antiqua" w:cstheme="minorBidi"/>
          <w:kern w:val="2"/>
          <w:lang w:val="en-US" w:eastAsia="zh-CN"/>
        </w:rPr>
        <w:t>multicentre</w:t>
      </w:r>
      <w:proofErr w:type="spellEnd"/>
      <w:r w:rsidRPr="002D48C0">
        <w:rPr>
          <w:rFonts w:ascii="Book Antiqua" w:eastAsiaTheme="minorEastAsia" w:hAnsi="Book Antiqua" w:cstheme="minorBidi"/>
          <w:kern w:val="2"/>
          <w:lang w:val="en-US" w:eastAsia="zh-CN"/>
        </w:rPr>
        <w:t xml:space="preserve"> study of 121 cases. The </w:t>
      </w:r>
      <w:proofErr w:type="spellStart"/>
      <w:r w:rsidRPr="002D48C0">
        <w:rPr>
          <w:rFonts w:ascii="Book Antiqua" w:eastAsiaTheme="minorEastAsia" w:hAnsi="Book Antiqua" w:cstheme="minorBidi"/>
          <w:kern w:val="2"/>
          <w:lang w:val="en-US" w:eastAsia="zh-CN"/>
        </w:rPr>
        <w:t>Groupe</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d'Etudes</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Thérapeutiques</w:t>
      </w:r>
      <w:proofErr w:type="spellEnd"/>
      <w:r w:rsidRPr="002D48C0">
        <w:rPr>
          <w:rFonts w:ascii="Book Antiqua" w:eastAsiaTheme="minorEastAsia" w:hAnsi="Book Antiqua" w:cstheme="minorBidi"/>
          <w:kern w:val="2"/>
          <w:lang w:val="en-US" w:eastAsia="zh-CN"/>
        </w:rPr>
        <w:t xml:space="preserve"> des Affections </w:t>
      </w:r>
      <w:proofErr w:type="spellStart"/>
      <w:r w:rsidRPr="002D48C0">
        <w:rPr>
          <w:rFonts w:ascii="Book Antiqua" w:eastAsiaTheme="minorEastAsia" w:hAnsi="Book Antiqua" w:cstheme="minorBidi"/>
          <w:kern w:val="2"/>
          <w:lang w:val="en-US" w:eastAsia="zh-CN"/>
        </w:rPr>
        <w:t>Inflammatoires</w:t>
      </w:r>
      <w:proofErr w:type="spellEnd"/>
      <w:r w:rsidRPr="002D48C0">
        <w:rPr>
          <w:rFonts w:ascii="Book Antiqua" w:eastAsiaTheme="minorEastAsia" w:hAnsi="Book Antiqua" w:cstheme="minorBidi"/>
          <w:kern w:val="2"/>
          <w:lang w:val="en-US" w:eastAsia="zh-CN"/>
        </w:rPr>
        <w:t xml:space="preserve"> Digestives. </w:t>
      </w:r>
      <w:r w:rsidRPr="002D48C0">
        <w:rPr>
          <w:rFonts w:ascii="Book Antiqua" w:eastAsiaTheme="minorEastAsia" w:hAnsi="Book Antiqua" w:cstheme="minorBidi"/>
          <w:i/>
          <w:kern w:val="2"/>
          <w:lang w:val="en-US" w:eastAsia="zh-CN"/>
        </w:rPr>
        <w:t>Gut</w:t>
      </w:r>
      <w:r w:rsidRPr="002D48C0">
        <w:rPr>
          <w:rFonts w:ascii="Book Antiqua" w:eastAsiaTheme="minorEastAsia" w:hAnsi="Book Antiqua" w:cstheme="minorBidi"/>
          <w:kern w:val="2"/>
          <w:lang w:val="en-US" w:eastAsia="zh-CN"/>
        </w:rPr>
        <w:t xml:space="preserve"> 1994; </w:t>
      </w:r>
      <w:r w:rsidRPr="002D48C0">
        <w:rPr>
          <w:rFonts w:ascii="Book Antiqua" w:eastAsiaTheme="minorEastAsia" w:hAnsi="Book Antiqua" w:cstheme="minorBidi"/>
          <w:b/>
          <w:kern w:val="2"/>
          <w:lang w:val="en-US" w:eastAsia="zh-CN"/>
        </w:rPr>
        <w:t>35</w:t>
      </w:r>
      <w:r w:rsidRPr="002D48C0">
        <w:rPr>
          <w:rFonts w:ascii="Book Antiqua" w:eastAsiaTheme="minorEastAsia" w:hAnsi="Book Antiqua" w:cstheme="minorBidi"/>
          <w:kern w:val="2"/>
          <w:lang w:val="en-US" w:eastAsia="zh-CN"/>
        </w:rPr>
        <w:t>: 231-235 [PMID: 7508411]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13 </w:t>
      </w:r>
      <w:proofErr w:type="spellStart"/>
      <w:r w:rsidRPr="002D48C0">
        <w:rPr>
          <w:rFonts w:ascii="Book Antiqua" w:eastAsiaTheme="minorEastAsia" w:hAnsi="Book Antiqua" w:cstheme="minorBidi"/>
          <w:b/>
          <w:kern w:val="2"/>
          <w:lang w:val="en-US" w:eastAsia="zh-CN"/>
        </w:rPr>
        <w:t>Peyrin-Biroulet</w:t>
      </w:r>
      <w:proofErr w:type="spellEnd"/>
      <w:r w:rsidRPr="002D48C0">
        <w:rPr>
          <w:rFonts w:ascii="Book Antiqua" w:eastAsiaTheme="minorEastAsia" w:hAnsi="Book Antiqua" w:cstheme="minorBidi"/>
          <w:b/>
          <w:kern w:val="2"/>
          <w:lang w:val="en-US" w:eastAsia="zh-CN"/>
        </w:rPr>
        <w:t xml:space="preserve"> L</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Reinisch</w:t>
      </w:r>
      <w:proofErr w:type="spellEnd"/>
      <w:r w:rsidRPr="002D48C0">
        <w:rPr>
          <w:rFonts w:ascii="Book Antiqua" w:eastAsiaTheme="minorEastAsia" w:hAnsi="Book Antiqua" w:cstheme="minorBidi"/>
          <w:kern w:val="2"/>
          <w:lang w:val="en-US" w:eastAsia="zh-CN"/>
        </w:rPr>
        <w:t xml:space="preserve"> W,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w:t>
      </w:r>
      <w:proofErr w:type="spellStart"/>
      <w:r w:rsidRPr="002D48C0">
        <w:rPr>
          <w:rFonts w:ascii="Book Antiqua" w:eastAsiaTheme="minorEastAsia" w:hAnsi="Book Antiqua" w:cstheme="minorBidi"/>
          <w:kern w:val="2"/>
          <w:lang w:val="en-US" w:eastAsia="zh-CN"/>
        </w:rPr>
        <w:t>Mantzaris</w:t>
      </w:r>
      <w:proofErr w:type="spellEnd"/>
      <w:r w:rsidRPr="002D48C0">
        <w:rPr>
          <w:rFonts w:ascii="Book Antiqua" w:eastAsiaTheme="minorEastAsia" w:hAnsi="Book Antiqua" w:cstheme="minorBidi"/>
          <w:kern w:val="2"/>
          <w:lang w:val="en-US" w:eastAsia="zh-CN"/>
        </w:rPr>
        <w:t xml:space="preserve"> GJ, Kornbluth A, Diamond R, </w:t>
      </w:r>
      <w:proofErr w:type="spellStart"/>
      <w:r w:rsidRPr="002D48C0">
        <w:rPr>
          <w:rFonts w:ascii="Book Antiqua" w:eastAsiaTheme="minorEastAsia" w:hAnsi="Book Antiqua" w:cstheme="minorBidi"/>
          <w:kern w:val="2"/>
          <w:lang w:val="en-US" w:eastAsia="zh-CN"/>
        </w:rPr>
        <w:t>Rutgeerts</w:t>
      </w:r>
      <w:proofErr w:type="spellEnd"/>
      <w:r w:rsidRPr="002D48C0">
        <w:rPr>
          <w:rFonts w:ascii="Book Antiqua" w:eastAsiaTheme="minorEastAsia" w:hAnsi="Book Antiqua" w:cstheme="minorBidi"/>
          <w:kern w:val="2"/>
          <w:lang w:val="en-US" w:eastAsia="zh-CN"/>
        </w:rPr>
        <w:t xml:space="preserve"> P, Tang LK, </w:t>
      </w:r>
      <w:proofErr w:type="spellStart"/>
      <w:r w:rsidRPr="002D48C0">
        <w:rPr>
          <w:rFonts w:ascii="Book Antiqua" w:eastAsiaTheme="minorEastAsia" w:hAnsi="Book Antiqua" w:cstheme="minorBidi"/>
          <w:kern w:val="2"/>
          <w:lang w:val="en-US" w:eastAsia="zh-CN"/>
        </w:rPr>
        <w:t>Cornillie</w:t>
      </w:r>
      <w:proofErr w:type="spellEnd"/>
      <w:r w:rsidRPr="002D48C0">
        <w:rPr>
          <w:rFonts w:ascii="Book Antiqua" w:eastAsiaTheme="minorEastAsia" w:hAnsi="Book Antiqua" w:cstheme="minorBidi"/>
          <w:kern w:val="2"/>
          <w:lang w:val="en-US" w:eastAsia="zh-CN"/>
        </w:rPr>
        <w:t xml:space="preserve"> FJ, </w:t>
      </w:r>
      <w:proofErr w:type="spellStart"/>
      <w:r w:rsidRPr="002D48C0">
        <w:rPr>
          <w:rFonts w:ascii="Book Antiqua" w:eastAsiaTheme="minorEastAsia" w:hAnsi="Book Antiqua" w:cstheme="minorBidi"/>
          <w:kern w:val="2"/>
          <w:lang w:val="en-US" w:eastAsia="zh-CN"/>
        </w:rPr>
        <w:t>Sandborn</w:t>
      </w:r>
      <w:proofErr w:type="spellEnd"/>
      <w:r w:rsidRPr="002D48C0">
        <w:rPr>
          <w:rFonts w:ascii="Book Antiqua" w:eastAsiaTheme="minorEastAsia" w:hAnsi="Book Antiqua" w:cstheme="minorBidi"/>
          <w:kern w:val="2"/>
          <w:lang w:val="en-US" w:eastAsia="zh-CN"/>
        </w:rPr>
        <w:t xml:space="preserve"> WJ. Clinical disease activity, C-reactive protein </w:t>
      </w:r>
      <w:proofErr w:type="spellStart"/>
      <w:r w:rsidRPr="002D48C0">
        <w:rPr>
          <w:rFonts w:ascii="Book Antiqua" w:eastAsiaTheme="minorEastAsia" w:hAnsi="Book Antiqua" w:cstheme="minorBidi"/>
          <w:kern w:val="2"/>
          <w:lang w:val="en-US" w:eastAsia="zh-CN"/>
        </w:rPr>
        <w:t>normalisation</w:t>
      </w:r>
      <w:proofErr w:type="spellEnd"/>
      <w:r w:rsidRPr="002D48C0">
        <w:rPr>
          <w:rFonts w:ascii="Book Antiqua" w:eastAsiaTheme="minorEastAsia" w:hAnsi="Book Antiqua" w:cstheme="minorBidi"/>
          <w:kern w:val="2"/>
          <w:lang w:val="en-US" w:eastAsia="zh-CN"/>
        </w:rPr>
        <w:t xml:space="preserve"> and mucosal healing in Crohn's disease in the SONIC trial. </w:t>
      </w:r>
      <w:r w:rsidRPr="002D48C0">
        <w:rPr>
          <w:rFonts w:ascii="Book Antiqua" w:eastAsiaTheme="minorEastAsia" w:hAnsi="Book Antiqua" w:cstheme="minorBidi"/>
          <w:i/>
          <w:kern w:val="2"/>
          <w:lang w:val="en-US" w:eastAsia="zh-CN"/>
        </w:rPr>
        <w:t>Gut</w:t>
      </w:r>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63</w:t>
      </w:r>
      <w:r w:rsidRPr="002D48C0">
        <w:rPr>
          <w:rFonts w:ascii="Book Antiqua" w:eastAsiaTheme="minorEastAsia" w:hAnsi="Book Antiqua" w:cstheme="minorBidi"/>
          <w:kern w:val="2"/>
          <w:lang w:val="en-US" w:eastAsia="zh-CN"/>
        </w:rPr>
        <w:t>: 88-95 [PMID: 23974954 DOI: 10.1136/gutjnl-2013-304984]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14 </w:t>
      </w:r>
      <w:proofErr w:type="spellStart"/>
      <w:r w:rsidRPr="002D48C0">
        <w:rPr>
          <w:rFonts w:ascii="Book Antiqua" w:eastAsiaTheme="minorEastAsia" w:hAnsi="Book Antiqua" w:cstheme="minorBidi"/>
          <w:b/>
          <w:kern w:val="2"/>
          <w:lang w:val="en-US" w:eastAsia="zh-CN"/>
        </w:rPr>
        <w:t>Bouguen</w:t>
      </w:r>
      <w:proofErr w:type="spellEnd"/>
      <w:r w:rsidRPr="002D48C0">
        <w:rPr>
          <w:rFonts w:ascii="Book Antiqua" w:eastAsiaTheme="minorEastAsia" w:hAnsi="Book Antiqua" w:cstheme="minorBidi"/>
          <w:b/>
          <w:kern w:val="2"/>
          <w:lang w:val="en-US" w:eastAsia="zh-CN"/>
        </w:rPr>
        <w:t xml:space="preserve"> G</w:t>
      </w:r>
      <w:r w:rsidRPr="002D48C0">
        <w:rPr>
          <w:rFonts w:ascii="Book Antiqua" w:eastAsiaTheme="minorEastAsia" w:hAnsi="Book Antiqua" w:cstheme="minorBidi"/>
          <w:kern w:val="2"/>
          <w:lang w:val="en-US" w:eastAsia="zh-CN"/>
        </w:rPr>
        <w:t xml:space="preserve">, Levesque BG, </w:t>
      </w:r>
      <w:proofErr w:type="spellStart"/>
      <w:r w:rsidRPr="002D48C0">
        <w:rPr>
          <w:rFonts w:ascii="Book Antiqua" w:eastAsiaTheme="minorEastAsia" w:hAnsi="Book Antiqua" w:cstheme="minorBidi"/>
          <w:kern w:val="2"/>
          <w:lang w:val="en-US" w:eastAsia="zh-CN"/>
        </w:rPr>
        <w:t>Feagan</w:t>
      </w:r>
      <w:proofErr w:type="spellEnd"/>
      <w:r w:rsidRPr="002D48C0">
        <w:rPr>
          <w:rFonts w:ascii="Book Antiqua" w:eastAsiaTheme="minorEastAsia" w:hAnsi="Book Antiqua" w:cstheme="minorBidi"/>
          <w:kern w:val="2"/>
          <w:lang w:val="en-US" w:eastAsia="zh-CN"/>
        </w:rPr>
        <w:t xml:space="preserve"> BG, </w:t>
      </w:r>
      <w:proofErr w:type="spellStart"/>
      <w:r w:rsidRPr="002D48C0">
        <w:rPr>
          <w:rFonts w:ascii="Book Antiqua" w:eastAsiaTheme="minorEastAsia" w:hAnsi="Book Antiqua" w:cstheme="minorBidi"/>
          <w:kern w:val="2"/>
          <w:lang w:val="en-US" w:eastAsia="zh-CN"/>
        </w:rPr>
        <w:t>Kavanaugh</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Peyrin-Biroulet</w:t>
      </w:r>
      <w:proofErr w:type="spellEnd"/>
      <w:r w:rsidRPr="002D48C0">
        <w:rPr>
          <w:rFonts w:ascii="Book Antiqua" w:eastAsiaTheme="minorEastAsia" w:hAnsi="Book Antiqua" w:cstheme="minorBidi"/>
          <w:kern w:val="2"/>
          <w:lang w:val="en-US" w:eastAsia="zh-CN"/>
        </w:rPr>
        <w:t xml:space="preserve"> L,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w:t>
      </w:r>
      <w:r w:rsidRPr="002D48C0">
        <w:rPr>
          <w:rFonts w:ascii="Book Antiqua" w:eastAsiaTheme="minorEastAsia" w:hAnsi="Book Antiqua" w:cstheme="minorBidi"/>
          <w:kern w:val="2"/>
          <w:lang w:val="en-US" w:eastAsia="zh-CN"/>
        </w:rPr>
        <w:lastRenderedPageBreak/>
        <w:t xml:space="preserve">JF, </w:t>
      </w:r>
      <w:proofErr w:type="spellStart"/>
      <w:r w:rsidRPr="002D48C0">
        <w:rPr>
          <w:rFonts w:ascii="Book Antiqua" w:eastAsiaTheme="minorEastAsia" w:hAnsi="Book Antiqua" w:cstheme="minorBidi"/>
          <w:kern w:val="2"/>
          <w:lang w:val="en-US" w:eastAsia="zh-CN"/>
        </w:rPr>
        <w:t>Hanauer</w:t>
      </w:r>
      <w:proofErr w:type="spellEnd"/>
      <w:r w:rsidRPr="002D48C0">
        <w:rPr>
          <w:rFonts w:ascii="Book Antiqua" w:eastAsiaTheme="minorEastAsia" w:hAnsi="Book Antiqua" w:cstheme="minorBidi"/>
          <w:kern w:val="2"/>
          <w:lang w:val="en-US" w:eastAsia="zh-CN"/>
        </w:rPr>
        <w:t xml:space="preserve"> SB, </w:t>
      </w:r>
      <w:proofErr w:type="spellStart"/>
      <w:r w:rsidRPr="002D48C0">
        <w:rPr>
          <w:rFonts w:ascii="Book Antiqua" w:eastAsiaTheme="minorEastAsia" w:hAnsi="Book Antiqua" w:cstheme="minorBidi"/>
          <w:kern w:val="2"/>
          <w:lang w:val="en-US" w:eastAsia="zh-CN"/>
        </w:rPr>
        <w:t>Sandborn</w:t>
      </w:r>
      <w:proofErr w:type="spellEnd"/>
      <w:r w:rsidRPr="002D48C0">
        <w:rPr>
          <w:rFonts w:ascii="Book Antiqua" w:eastAsiaTheme="minorEastAsia" w:hAnsi="Book Antiqua" w:cstheme="minorBidi"/>
          <w:kern w:val="2"/>
          <w:lang w:val="en-US" w:eastAsia="zh-CN"/>
        </w:rPr>
        <w:t xml:space="preserve"> WJ. Treat to target: a proposed new paradigm for the management of Crohn's disease. </w:t>
      </w:r>
      <w:proofErr w:type="spellStart"/>
      <w:r w:rsidRPr="002D48C0">
        <w:rPr>
          <w:rFonts w:ascii="Book Antiqua" w:eastAsiaTheme="minorEastAsia" w:hAnsi="Book Antiqua" w:cstheme="minorBidi"/>
          <w:i/>
          <w:kern w:val="2"/>
          <w:lang w:val="en-US" w:eastAsia="zh-CN"/>
        </w:rPr>
        <w:t>Clin</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13</w:t>
      </w:r>
      <w:r w:rsidRPr="002D48C0">
        <w:rPr>
          <w:rFonts w:ascii="Book Antiqua" w:eastAsiaTheme="minorEastAsia" w:hAnsi="Book Antiqua" w:cstheme="minorBidi"/>
          <w:kern w:val="2"/>
          <w:lang w:val="en-US" w:eastAsia="zh-CN"/>
        </w:rPr>
        <w:t>: 1042-</w:t>
      </w:r>
      <w:proofErr w:type="gramStart"/>
      <w:r w:rsidRPr="002D48C0">
        <w:rPr>
          <w:rFonts w:ascii="Book Antiqua" w:eastAsiaTheme="minorEastAsia" w:hAnsi="Book Antiqua" w:cstheme="minorBidi"/>
          <w:kern w:val="2"/>
          <w:lang w:val="en-US" w:eastAsia="zh-CN"/>
        </w:rPr>
        <w:t>50.e</w:t>
      </w:r>
      <w:proofErr w:type="gramEnd"/>
      <w:r w:rsidRPr="002D48C0">
        <w:rPr>
          <w:rFonts w:ascii="Book Antiqua" w:eastAsiaTheme="minorEastAsia" w:hAnsi="Book Antiqua" w:cstheme="minorBidi"/>
          <w:kern w:val="2"/>
          <w:lang w:val="en-US" w:eastAsia="zh-CN"/>
        </w:rPr>
        <w:t>2 [PMID: 24036054 DOI: 10.1016/j.cgh.2013.09.006]</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15 </w:t>
      </w:r>
      <w:proofErr w:type="spellStart"/>
      <w:r w:rsidRPr="002D48C0">
        <w:rPr>
          <w:rFonts w:ascii="Book Antiqua" w:eastAsiaTheme="minorEastAsia" w:hAnsi="Book Antiqua" w:cstheme="minorBidi"/>
          <w:b/>
          <w:kern w:val="2"/>
          <w:lang w:val="en-US" w:eastAsia="zh-CN"/>
        </w:rPr>
        <w:t>Peyrin-Biroulet</w:t>
      </w:r>
      <w:proofErr w:type="spellEnd"/>
      <w:r w:rsidRPr="002D48C0">
        <w:rPr>
          <w:rFonts w:ascii="Book Antiqua" w:eastAsiaTheme="minorEastAsia" w:hAnsi="Book Antiqua" w:cstheme="minorBidi"/>
          <w:b/>
          <w:kern w:val="2"/>
          <w:lang w:val="en-US" w:eastAsia="zh-CN"/>
        </w:rPr>
        <w:t xml:space="preserve"> L</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Sandborn</w:t>
      </w:r>
      <w:proofErr w:type="spellEnd"/>
      <w:r w:rsidRPr="002D48C0">
        <w:rPr>
          <w:rFonts w:ascii="Book Antiqua" w:eastAsiaTheme="minorEastAsia" w:hAnsi="Book Antiqua" w:cstheme="minorBidi"/>
          <w:kern w:val="2"/>
          <w:lang w:val="en-US" w:eastAsia="zh-CN"/>
        </w:rPr>
        <w:t xml:space="preserve"> W, Sands BE, </w:t>
      </w:r>
      <w:proofErr w:type="spellStart"/>
      <w:r w:rsidRPr="002D48C0">
        <w:rPr>
          <w:rFonts w:ascii="Book Antiqua" w:eastAsiaTheme="minorEastAsia" w:hAnsi="Book Antiqua" w:cstheme="minorBidi"/>
          <w:kern w:val="2"/>
          <w:lang w:val="en-US" w:eastAsia="zh-CN"/>
        </w:rPr>
        <w:t>Reinisch</w:t>
      </w:r>
      <w:proofErr w:type="spellEnd"/>
      <w:r w:rsidRPr="002D48C0">
        <w:rPr>
          <w:rFonts w:ascii="Book Antiqua" w:eastAsiaTheme="minorEastAsia" w:hAnsi="Book Antiqua" w:cstheme="minorBidi"/>
          <w:kern w:val="2"/>
          <w:lang w:val="en-US" w:eastAsia="zh-CN"/>
        </w:rPr>
        <w:t xml:space="preserve"> W, </w:t>
      </w:r>
      <w:proofErr w:type="spellStart"/>
      <w:r w:rsidRPr="002D48C0">
        <w:rPr>
          <w:rFonts w:ascii="Book Antiqua" w:eastAsiaTheme="minorEastAsia" w:hAnsi="Book Antiqua" w:cstheme="minorBidi"/>
          <w:kern w:val="2"/>
          <w:lang w:val="en-US" w:eastAsia="zh-CN"/>
        </w:rPr>
        <w:t>Bemelman</w:t>
      </w:r>
      <w:proofErr w:type="spellEnd"/>
      <w:r w:rsidRPr="002D48C0">
        <w:rPr>
          <w:rFonts w:ascii="Book Antiqua" w:eastAsiaTheme="minorEastAsia" w:hAnsi="Book Antiqua" w:cstheme="minorBidi"/>
          <w:kern w:val="2"/>
          <w:lang w:val="en-US" w:eastAsia="zh-CN"/>
        </w:rPr>
        <w:t xml:space="preserve"> W, Bryant RV, </w:t>
      </w:r>
      <w:proofErr w:type="spellStart"/>
      <w:r w:rsidRPr="002D48C0">
        <w:rPr>
          <w:rFonts w:ascii="Book Antiqua" w:eastAsiaTheme="minorEastAsia" w:hAnsi="Book Antiqua" w:cstheme="minorBidi"/>
          <w:kern w:val="2"/>
          <w:lang w:val="en-US" w:eastAsia="zh-CN"/>
        </w:rPr>
        <w:t>D'Haens</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Dotan</w:t>
      </w:r>
      <w:proofErr w:type="spellEnd"/>
      <w:r w:rsidRPr="002D48C0">
        <w:rPr>
          <w:rFonts w:ascii="Book Antiqua" w:eastAsiaTheme="minorEastAsia" w:hAnsi="Book Antiqua" w:cstheme="minorBidi"/>
          <w:kern w:val="2"/>
          <w:lang w:val="en-US" w:eastAsia="zh-CN"/>
        </w:rPr>
        <w:t xml:space="preserve"> I, Dubinsky M, </w:t>
      </w:r>
      <w:proofErr w:type="spellStart"/>
      <w:r w:rsidRPr="002D48C0">
        <w:rPr>
          <w:rFonts w:ascii="Book Antiqua" w:eastAsiaTheme="minorEastAsia" w:hAnsi="Book Antiqua" w:cstheme="minorBidi"/>
          <w:kern w:val="2"/>
          <w:lang w:val="en-US" w:eastAsia="zh-CN"/>
        </w:rPr>
        <w:t>Feagan</w:t>
      </w:r>
      <w:proofErr w:type="spellEnd"/>
      <w:r w:rsidRPr="002D48C0">
        <w:rPr>
          <w:rFonts w:ascii="Book Antiqua" w:eastAsiaTheme="minorEastAsia" w:hAnsi="Book Antiqua" w:cstheme="minorBidi"/>
          <w:kern w:val="2"/>
          <w:lang w:val="en-US" w:eastAsia="zh-CN"/>
        </w:rPr>
        <w:t xml:space="preserve"> B, </w:t>
      </w:r>
      <w:proofErr w:type="spellStart"/>
      <w:r w:rsidRPr="002D48C0">
        <w:rPr>
          <w:rFonts w:ascii="Book Antiqua" w:eastAsiaTheme="minorEastAsia" w:hAnsi="Book Antiqua" w:cstheme="minorBidi"/>
          <w:kern w:val="2"/>
          <w:lang w:val="en-US" w:eastAsia="zh-CN"/>
        </w:rPr>
        <w:t>Fiorino</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Gearry</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Krishnareddy</w:t>
      </w:r>
      <w:proofErr w:type="spellEnd"/>
      <w:r w:rsidRPr="002D48C0">
        <w:rPr>
          <w:rFonts w:ascii="Book Antiqua" w:eastAsiaTheme="minorEastAsia" w:hAnsi="Book Antiqua" w:cstheme="minorBidi"/>
          <w:kern w:val="2"/>
          <w:lang w:val="en-US" w:eastAsia="zh-CN"/>
        </w:rPr>
        <w:t xml:space="preserve"> S, Lakatos PL, Loftus EV Jr, </w:t>
      </w:r>
      <w:proofErr w:type="spellStart"/>
      <w:r w:rsidRPr="002D48C0">
        <w:rPr>
          <w:rFonts w:ascii="Book Antiqua" w:eastAsiaTheme="minorEastAsia" w:hAnsi="Book Antiqua" w:cstheme="minorBidi"/>
          <w:kern w:val="2"/>
          <w:lang w:val="en-US" w:eastAsia="zh-CN"/>
        </w:rPr>
        <w:t>Marteau</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Munkholm</w:t>
      </w:r>
      <w:proofErr w:type="spellEnd"/>
      <w:r w:rsidRPr="002D48C0">
        <w:rPr>
          <w:rFonts w:ascii="Book Antiqua" w:eastAsiaTheme="minorEastAsia" w:hAnsi="Book Antiqua" w:cstheme="minorBidi"/>
          <w:kern w:val="2"/>
          <w:lang w:val="en-US" w:eastAsia="zh-CN"/>
        </w:rPr>
        <w:t xml:space="preserve"> P, Murdoch TB, </w:t>
      </w:r>
      <w:proofErr w:type="spellStart"/>
      <w:r w:rsidRPr="002D48C0">
        <w:rPr>
          <w:rFonts w:ascii="Book Antiqua" w:eastAsiaTheme="minorEastAsia" w:hAnsi="Book Antiqua" w:cstheme="minorBidi"/>
          <w:kern w:val="2"/>
          <w:lang w:val="en-US" w:eastAsia="zh-CN"/>
        </w:rPr>
        <w:t>Ordás</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Panaccione</w:t>
      </w:r>
      <w:proofErr w:type="spellEnd"/>
      <w:r w:rsidRPr="002D48C0">
        <w:rPr>
          <w:rFonts w:ascii="Book Antiqua" w:eastAsiaTheme="minorEastAsia" w:hAnsi="Book Antiqua" w:cstheme="minorBidi"/>
          <w:kern w:val="2"/>
          <w:lang w:val="en-US" w:eastAsia="zh-CN"/>
        </w:rPr>
        <w:t xml:space="preserve"> R, Riddell RH, Ruel J, Rubin DT, Samaan M, Siegel CA, Silverberg MS, Stoker J, Schreiber S, Travis S, Van </w:t>
      </w:r>
      <w:proofErr w:type="spellStart"/>
      <w:r w:rsidRPr="002D48C0">
        <w:rPr>
          <w:rFonts w:ascii="Book Antiqua" w:eastAsiaTheme="minorEastAsia" w:hAnsi="Book Antiqua" w:cstheme="minorBidi"/>
          <w:kern w:val="2"/>
          <w:lang w:val="en-US" w:eastAsia="zh-CN"/>
        </w:rPr>
        <w:t>Assche</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Danese</w:t>
      </w:r>
      <w:proofErr w:type="spellEnd"/>
      <w:r w:rsidRPr="002D48C0">
        <w:rPr>
          <w:rFonts w:ascii="Book Antiqua" w:eastAsiaTheme="minorEastAsia" w:hAnsi="Book Antiqua" w:cstheme="minorBidi"/>
          <w:kern w:val="2"/>
          <w:lang w:val="en-US" w:eastAsia="zh-CN"/>
        </w:rPr>
        <w:t xml:space="preserve"> S, Panes J, </w:t>
      </w:r>
      <w:proofErr w:type="spellStart"/>
      <w:r w:rsidRPr="002D48C0">
        <w:rPr>
          <w:rFonts w:ascii="Book Antiqua" w:eastAsiaTheme="minorEastAsia" w:hAnsi="Book Antiqua" w:cstheme="minorBidi"/>
          <w:kern w:val="2"/>
          <w:lang w:val="en-US" w:eastAsia="zh-CN"/>
        </w:rPr>
        <w:t>Bouguen</w:t>
      </w:r>
      <w:proofErr w:type="spellEnd"/>
      <w:r w:rsidRPr="002D48C0">
        <w:rPr>
          <w:rFonts w:ascii="Book Antiqua" w:eastAsiaTheme="minorEastAsia" w:hAnsi="Book Antiqua" w:cstheme="minorBidi"/>
          <w:kern w:val="2"/>
          <w:lang w:val="en-US" w:eastAsia="zh-CN"/>
        </w:rPr>
        <w:t xml:space="preserve"> G, O'Donnell S, </w:t>
      </w:r>
      <w:proofErr w:type="spellStart"/>
      <w:r w:rsidRPr="002D48C0">
        <w:rPr>
          <w:rFonts w:ascii="Book Antiqua" w:eastAsiaTheme="minorEastAsia" w:hAnsi="Book Antiqua" w:cstheme="minorBidi"/>
          <w:kern w:val="2"/>
          <w:lang w:val="en-US" w:eastAsia="zh-CN"/>
        </w:rPr>
        <w:t>Pariente</w:t>
      </w:r>
      <w:proofErr w:type="spellEnd"/>
      <w:r w:rsidRPr="002D48C0">
        <w:rPr>
          <w:rFonts w:ascii="Book Antiqua" w:eastAsiaTheme="minorEastAsia" w:hAnsi="Book Antiqua" w:cstheme="minorBidi"/>
          <w:kern w:val="2"/>
          <w:lang w:val="en-US" w:eastAsia="zh-CN"/>
        </w:rPr>
        <w:t xml:space="preserve"> B, Winer S, </w:t>
      </w:r>
      <w:proofErr w:type="spellStart"/>
      <w:r w:rsidRPr="002D48C0">
        <w:rPr>
          <w:rFonts w:ascii="Book Antiqua" w:eastAsiaTheme="minorEastAsia" w:hAnsi="Book Antiqua" w:cstheme="minorBidi"/>
          <w:kern w:val="2"/>
          <w:lang w:val="en-US" w:eastAsia="zh-CN"/>
        </w:rPr>
        <w:t>Hanauer</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Selecting Therapeutic Targets in Inflammatory Bowel Disease (STRIDE): Determining Therapeutic Goals for Treat-to-Target. </w:t>
      </w:r>
      <w:r w:rsidRPr="002D48C0">
        <w:rPr>
          <w:rFonts w:ascii="Book Antiqua" w:eastAsiaTheme="minorEastAsia" w:hAnsi="Book Antiqua" w:cstheme="minorBidi"/>
          <w:i/>
          <w:kern w:val="2"/>
          <w:lang w:val="en-US" w:eastAsia="zh-CN"/>
        </w:rPr>
        <w:t>Am J Gastroenterol</w:t>
      </w:r>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110</w:t>
      </w:r>
      <w:r w:rsidRPr="002D48C0">
        <w:rPr>
          <w:rFonts w:ascii="Book Antiqua" w:eastAsiaTheme="minorEastAsia" w:hAnsi="Book Antiqua" w:cstheme="minorBidi"/>
          <w:kern w:val="2"/>
          <w:lang w:val="en-US" w:eastAsia="zh-CN"/>
        </w:rPr>
        <w:t>: 1324-1338 [PMID: 26303131 DOI: 10.1038/ajg.2015.233]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16 </w:t>
      </w:r>
      <w:r w:rsidRPr="002D48C0">
        <w:rPr>
          <w:rFonts w:ascii="Book Antiqua" w:eastAsiaTheme="minorEastAsia" w:hAnsi="Book Antiqua" w:cstheme="minorBidi"/>
          <w:b/>
          <w:kern w:val="2"/>
          <w:lang w:val="en-US" w:eastAsia="zh-CN"/>
        </w:rPr>
        <w:t>Lichtenstein GR</w:t>
      </w:r>
      <w:r w:rsidRPr="002D48C0">
        <w:rPr>
          <w:rFonts w:ascii="Book Antiqua" w:eastAsiaTheme="minorEastAsia" w:hAnsi="Book Antiqua" w:cstheme="minorBidi"/>
          <w:kern w:val="2"/>
          <w:lang w:val="en-US" w:eastAsia="zh-CN"/>
        </w:rPr>
        <w:t xml:space="preserve">, Loftus EV, Isaacs KL, </w:t>
      </w:r>
      <w:proofErr w:type="spellStart"/>
      <w:r w:rsidRPr="002D48C0">
        <w:rPr>
          <w:rFonts w:ascii="Book Antiqua" w:eastAsiaTheme="minorEastAsia" w:hAnsi="Book Antiqua" w:cstheme="minorBidi"/>
          <w:kern w:val="2"/>
          <w:lang w:val="en-US" w:eastAsia="zh-CN"/>
        </w:rPr>
        <w:t>Regueiro</w:t>
      </w:r>
      <w:proofErr w:type="spellEnd"/>
      <w:r w:rsidRPr="002D48C0">
        <w:rPr>
          <w:rFonts w:ascii="Book Antiqua" w:eastAsiaTheme="minorEastAsia" w:hAnsi="Book Antiqua" w:cstheme="minorBidi"/>
          <w:kern w:val="2"/>
          <w:lang w:val="en-US" w:eastAsia="zh-CN"/>
        </w:rPr>
        <w:t xml:space="preserve"> MD, Gerson LB, Sands BE. ACG Clinical Guideline: Management of Crohn's Disease in Adults. </w:t>
      </w:r>
      <w:r w:rsidRPr="002D48C0">
        <w:rPr>
          <w:rFonts w:ascii="Book Antiqua" w:eastAsiaTheme="minorEastAsia" w:hAnsi="Book Antiqua" w:cstheme="minorBidi"/>
          <w:i/>
          <w:kern w:val="2"/>
          <w:lang w:val="en-US" w:eastAsia="zh-CN"/>
        </w:rPr>
        <w:t>Am J Gastroenterol</w:t>
      </w:r>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113</w:t>
      </w:r>
      <w:r w:rsidRPr="002D48C0">
        <w:rPr>
          <w:rFonts w:ascii="Book Antiqua" w:eastAsiaTheme="minorEastAsia" w:hAnsi="Book Antiqua" w:cstheme="minorBidi"/>
          <w:kern w:val="2"/>
          <w:lang w:val="en-US" w:eastAsia="zh-CN"/>
        </w:rPr>
        <w:t>: 481-517 [PMID: 29610508 DOI: 10.1038/ajg.2018.27]</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17 </w:t>
      </w:r>
      <w:proofErr w:type="spellStart"/>
      <w:r w:rsidRPr="002D48C0">
        <w:rPr>
          <w:rFonts w:ascii="Book Antiqua" w:eastAsiaTheme="minorEastAsia" w:hAnsi="Book Antiqua" w:cstheme="minorBidi"/>
          <w:b/>
          <w:kern w:val="2"/>
          <w:lang w:val="en-US" w:eastAsia="zh-CN"/>
        </w:rPr>
        <w:t>Bourreille</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Ignjatovic</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Aabakken</w:t>
      </w:r>
      <w:proofErr w:type="spellEnd"/>
      <w:r w:rsidRPr="002D48C0">
        <w:rPr>
          <w:rFonts w:ascii="Book Antiqua" w:eastAsiaTheme="minorEastAsia" w:hAnsi="Book Antiqua" w:cstheme="minorBidi"/>
          <w:kern w:val="2"/>
          <w:lang w:val="en-US" w:eastAsia="zh-CN"/>
        </w:rPr>
        <w:t xml:space="preserve"> L, Loftus EV Jr, </w:t>
      </w:r>
      <w:proofErr w:type="spellStart"/>
      <w:r w:rsidRPr="002D48C0">
        <w:rPr>
          <w:rFonts w:ascii="Book Antiqua" w:eastAsiaTheme="minorEastAsia" w:hAnsi="Book Antiqua" w:cstheme="minorBidi"/>
          <w:kern w:val="2"/>
          <w:lang w:val="en-US" w:eastAsia="zh-CN"/>
        </w:rPr>
        <w:t>Eliakim</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Pennazio</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Bouhnik</w:t>
      </w:r>
      <w:proofErr w:type="spellEnd"/>
      <w:r w:rsidRPr="002D48C0">
        <w:rPr>
          <w:rFonts w:ascii="Book Antiqua" w:eastAsiaTheme="minorEastAsia" w:hAnsi="Book Antiqua" w:cstheme="minorBidi"/>
          <w:kern w:val="2"/>
          <w:lang w:val="en-US" w:eastAsia="zh-CN"/>
        </w:rPr>
        <w:t xml:space="preserve"> Y, Seidman E, Keuchel M, Albert JG, </w:t>
      </w:r>
      <w:proofErr w:type="spellStart"/>
      <w:r w:rsidRPr="002D48C0">
        <w:rPr>
          <w:rFonts w:ascii="Book Antiqua" w:eastAsiaTheme="minorEastAsia" w:hAnsi="Book Antiqua" w:cstheme="minorBidi"/>
          <w:kern w:val="2"/>
          <w:lang w:val="en-US" w:eastAsia="zh-CN"/>
        </w:rPr>
        <w:t>Ardizzone</w:t>
      </w:r>
      <w:proofErr w:type="spellEnd"/>
      <w:r w:rsidRPr="002D48C0">
        <w:rPr>
          <w:rFonts w:ascii="Book Antiqua" w:eastAsiaTheme="minorEastAsia" w:hAnsi="Book Antiqua" w:cstheme="minorBidi"/>
          <w:kern w:val="2"/>
          <w:lang w:val="en-US" w:eastAsia="zh-CN"/>
        </w:rPr>
        <w:t xml:space="preserve"> S, Bar-Meir S, </w:t>
      </w:r>
      <w:proofErr w:type="spellStart"/>
      <w:r w:rsidRPr="002D48C0">
        <w:rPr>
          <w:rFonts w:ascii="Book Antiqua" w:eastAsiaTheme="minorEastAsia" w:hAnsi="Book Antiqua" w:cstheme="minorBidi"/>
          <w:kern w:val="2"/>
          <w:lang w:val="en-US" w:eastAsia="zh-CN"/>
        </w:rPr>
        <w:t>Bisschops</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Despott</w:t>
      </w:r>
      <w:proofErr w:type="spellEnd"/>
      <w:r w:rsidRPr="002D48C0">
        <w:rPr>
          <w:rFonts w:ascii="Book Antiqua" w:eastAsiaTheme="minorEastAsia" w:hAnsi="Book Antiqua" w:cstheme="minorBidi"/>
          <w:kern w:val="2"/>
          <w:lang w:val="en-US" w:eastAsia="zh-CN"/>
        </w:rPr>
        <w:t xml:space="preserve"> EJ, </w:t>
      </w:r>
      <w:proofErr w:type="spellStart"/>
      <w:r w:rsidRPr="002D48C0">
        <w:rPr>
          <w:rFonts w:ascii="Book Antiqua" w:eastAsiaTheme="minorEastAsia" w:hAnsi="Book Antiqua" w:cstheme="minorBidi"/>
          <w:kern w:val="2"/>
          <w:lang w:val="en-US" w:eastAsia="zh-CN"/>
        </w:rPr>
        <w:t>Fortun</w:t>
      </w:r>
      <w:proofErr w:type="spellEnd"/>
      <w:r w:rsidRPr="002D48C0">
        <w:rPr>
          <w:rFonts w:ascii="Book Antiqua" w:eastAsiaTheme="minorEastAsia" w:hAnsi="Book Antiqua" w:cstheme="minorBidi"/>
          <w:kern w:val="2"/>
          <w:lang w:val="en-US" w:eastAsia="zh-CN"/>
        </w:rPr>
        <w:t xml:space="preserve"> PF, </w:t>
      </w:r>
      <w:proofErr w:type="spellStart"/>
      <w:r w:rsidRPr="002D48C0">
        <w:rPr>
          <w:rFonts w:ascii="Book Antiqua" w:eastAsiaTheme="minorEastAsia" w:hAnsi="Book Antiqua" w:cstheme="minorBidi"/>
          <w:kern w:val="2"/>
          <w:lang w:val="en-US" w:eastAsia="zh-CN"/>
        </w:rPr>
        <w:t>Heuschkel</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Kammermeier</w:t>
      </w:r>
      <w:proofErr w:type="spellEnd"/>
      <w:r w:rsidRPr="002D48C0">
        <w:rPr>
          <w:rFonts w:ascii="Book Antiqua" w:eastAsiaTheme="minorEastAsia" w:hAnsi="Book Antiqua" w:cstheme="minorBidi"/>
          <w:kern w:val="2"/>
          <w:lang w:val="en-US" w:eastAsia="zh-CN"/>
        </w:rPr>
        <w:t xml:space="preserve"> J, Leighton JA, </w:t>
      </w:r>
      <w:proofErr w:type="spellStart"/>
      <w:r w:rsidRPr="002D48C0">
        <w:rPr>
          <w:rFonts w:ascii="Book Antiqua" w:eastAsiaTheme="minorEastAsia" w:hAnsi="Book Antiqua" w:cstheme="minorBidi"/>
          <w:kern w:val="2"/>
          <w:lang w:val="en-US" w:eastAsia="zh-CN"/>
        </w:rPr>
        <w:t>Mantzaris</w:t>
      </w:r>
      <w:proofErr w:type="spellEnd"/>
      <w:r w:rsidRPr="002D48C0">
        <w:rPr>
          <w:rFonts w:ascii="Book Antiqua" w:eastAsiaTheme="minorEastAsia" w:hAnsi="Book Antiqua" w:cstheme="minorBidi"/>
          <w:kern w:val="2"/>
          <w:lang w:val="en-US" w:eastAsia="zh-CN"/>
        </w:rPr>
        <w:t xml:space="preserve"> GJ, </w:t>
      </w:r>
      <w:proofErr w:type="spellStart"/>
      <w:r w:rsidRPr="002D48C0">
        <w:rPr>
          <w:rFonts w:ascii="Book Antiqua" w:eastAsiaTheme="minorEastAsia" w:hAnsi="Book Antiqua" w:cstheme="minorBidi"/>
          <w:kern w:val="2"/>
          <w:lang w:val="en-US" w:eastAsia="zh-CN"/>
        </w:rPr>
        <w:t>Moussata</w:t>
      </w:r>
      <w:proofErr w:type="spellEnd"/>
      <w:r w:rsidRPr="002D48C0">
        <w:rPr>
          <w:rFonts w:ascii="Book Antiqua" w:eastAsiaTheme="minorEastAsia" w:hAnsi="Book Antiqua" w:cstheme="minorBidi"/>
          <w:kern w:val="2"/>
          <w:lang w:val="en-US" w:eastAsia="zh-CN"/>
        </w:rPr>
        <w:t xml:space="preserve"> D, Lo S, Paulsen V, </w:t>
      </w:r>
      <w:proofErr w:type="spellStart"/>
      <w:r w:rsidRPr="002D48C0">
        <w:rPr>
          <w:rFonts w:ascii="Book Antiqua" w:eastAsiaTheme="minorEastAsia" w:hAnsi="Book Antiqua" w:cstheme="minorBidi"/>
          <w:kern w:val="2"/>
          <w:lang w:val="en-US" w:eastAsia="zh-CN"/>
        </w:rPr>
        <w:t>Panés</w:t>
      </w:r>
      <w:proofErr w:type="spellEnd"/>
      <w:r w:rsidRPr="002D48C0">
        <w:rPr>
          <w:rFonts w:ascii="Book Antiqua" w:eastAsiaTheme="minorEastAsia" w:hAnsi="Book Antiqua" w:cstheme="minorBidi"/>
          <w:kern w:val="2"/>
          <w:lang w:val="en-US" w:eastAsia="zh-CN"/>
        </w:rPr>
        <w:t xml:space="preserve"> J, Radford-Smith G, </w:t>
      </w:r>
      <w:proofErr w:type="spellStart"/>
      <w:r w:rsidRPr="002D48C0">
        <w:rPr>
          <w:rFonts w:ascii="Book Antiqua" w:eastAsiaTheme="minorEastAsia" w:hAnsi="Book Antiqua" w:cstheme="minorBidi"/>
          <w:kern w:val="2"/>
          <w:lang w:val="en-US" w:eastAsia="zh-CN"/>
        </w:rPr>
        <w:t>Reinisch</w:t>
      </w:r>
      <w:proofErr w:type="spellEnd"/>
      <w:r w:rsidRPr="002D48C0">
        <w:rPr>
          <w:rFonts w:ascii="Book Antiqua" w:eastAsiaTheme="minorEastAsia" w:hAnsi="Book Antiqua" w:cstheme="minorBidi"/>
          <w:kern w:val="2"/>
          <w:lang w:val="en-US" w:eastAsia="zh-CN"/>
        </w:rPr>
        <w:t xml:space="preserve"> W, </w:t>
      </w:r>
      <w:proofErr w:type="spellStart"/>
      <w:r w:rsidRPr="002D48C0">
        <w:rPr>
          <w:rFonts w:ascii="Book Antiqua" w:eastAsiaTheme="minorEastAsia" w:hAnsi="Book Antiqua" w:cstheme="minorBidi"/>
          <w:kern w:val="2"/>
          <w:lang w:val="en-US" w:eastAsia="zh-CN"/>
        </w:rPr>
        <w:t>Rondonotti</w:t>
      </w:r>
      <w:proofErr w:type="spellEnd"/>
      <w:r w:rsidRPr="002D48C0">
        <w:rPr>
          <w:rFonts w:ascii="Book Antiqua" w:eastAsiaTheme="minorEastAsia" w:hAnsi="Book Antiqua" w:cstheme="minorBidi"/>
          <w:kern w:val="2"/>
          <w:lang w:val="en-US" w:eastAsia="zh-CN"/>
        </w:rPr>
        <w:t xml:space="preserve"> E, Sanders DS, </w:t>
      </w:r>
      <w:proofErr w:type="spellStart"/>
      <w:r w:rsidRPr="002D48C0">
        <w:rPr>
          <w:rFonts w:ascii="Book Antiqua" w:eastAsiaTheme="minorEastAsia" w:hAnsi="Book Antiqua" w:cstheme="minorBidi"/>
          <w:kern w:val="2"/>
          <w:lang w:val="en-US" w:eastAsia="zh-CN"/>
        </w:rPr>
        <w:t>Swoger</w:t>
      </w:r>
      <w:proofErr w:type="spellEnd"/>
      <w:r w:rsidRPr="002D48C0">
        <w:rPr>
          <w:rFonts w:ascii="Book Antiqua" w:eastAsiaTheme="minorEastAsia" w:hAnsi="Book Antiqua" w:cstheme="minorBidi"/>
          <w:kern w:val="2"/>
          <w:lang w:val="en-US" w:eastAsia="zh-CN"/>
        </w:rPr>
        <w:t xml:space="preserve"> JM, Yamamoto H, Travis S,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Van </w:t>
      </w:r>
      <w:proofErr w:type="spellStart"/>
      <w:r w:rsidRPr="002D48C0">
        <w:rPr>
          <w:rFonts w:ascii="Book Antiqua" w:eastAsiaTheme="minorEastAsia" w:hAnsi="Book Antiqua" w:cstheme="minorBidi"/>
          <w:kern w:val="2"/>
          <w:lang w:val="en-US" w:eastAsia="zh-CN"/>
        </w:rPr>
        <w:t>Gossum</w:t>
      </w:r>
      <w:proofErr w:type="spellEnd"/>
      <w:r w:rsidRPr="002D48C0">
        <w:rPr>
          <w:rFonts w:ascii="Book Antiqua" w:eastAsiaTheme="minorEastAsia" w:hAnsi="Book Antiqua" w:cstheme="minorBidi"/>
          <w:kern w:val="2"/>
          <w:lang w:val="en-US" w:eastAsia="zh-CN"/>
        </w:rPr>
        <w:t xml:space="preserve"> A; World </w:t>
      </w:r>
      <w:proofErr w:type="spellStart"/>
      <w:r w:rsidRPr="002D48C0">
        <w:rPr>
          <w:rFonts w:ascii="Book Antiqua" w:eastAsiaTheme="minorEastAsia" w:hAnsi="Book Antiqua" w:cstheme="minorBidi"/>
          <w:kern w:val="2"/>
          <w:lang w:val="en-US" w:eastAsia="zh-CN"/>
        </w:rPr>
        <w:t>Organisation</w:t>
      </w:r>
      <w:proofErr w:type="spellEnd"/>
      <w:r w:rsidRPr="002D48C0">
        <w:rPr>
          <w:rFonts w:ascii="Book Antiqua" w:eastAsiaTheme="minorEastAsia" w:hAnsi="Book Antiqua" w:cstheme="minorBidi"/>
          <w:kern w:val="2"/>
          <w:lang w:val="en-US" w:eastAsia="zh-CN"/>
        </w:rPr>
        <w:t xml:space="preserve"> of Digestive Endoscopy (OMED) and the European Crohn's and Colitis </w:t>
      </w:r>
      <w:proofErr w:type="spellStart"/>
      <w:r w:rsidRPr="002D48C0">
        <w:rPr>
          <w:rFonts w:ascii="Book Antiqua" w:eastAsiaTheme="minorEastAsia" w:hAnsi="Book Antiqua" w:cstheme="minorBidi"/>
          <w:kern w:val="2"/>
          <w:lang w:val="en-US" w:eastAsia="zh-CN"/>
        </w:rPr>
        <w:t>Organisation</w:t>
      </w:r>
      <w:proofErr w:type="spellEnd"/>
      <w:r w:rsidRPr="002D48C0">
        <w:rPr>
          <w:rFonts w:ascii="Book Antiqua" w:eastAsiaTheme="minorEastAsia" w:hAnsi="Book Antiqua" w:cstheme="minorBidi"/>
          <w:kern w:val="2"/>
          <w:lang w:val="en-US" w:eastAsia="zh-CN"/>
        </w:rPr>
        <w:t xml:space="preserve"> (ECCO). Role of small-bowel endoscopy in the management of patients with inflammatory bowel disease: an international OMED-ECCO consensus. </w:t>
      </w:r>
      <w:r w:rsidRPr="002D48C0">
        <w:rPr>
          <w:rFonts w:ascii="Book Antiqua" w:eastAsiaTheme="minorEastAsia" w:hAnsi="Book Antiqua" w:cstheme="minorBidi"/>
          <w:i/>
          <w:kern w:val="2"/>
          <w:lang w:val="en-US" w:eastAsia="zh-CN"/>
        </w:rPr>
        <w:t>Endoscopy</w:t>
      </w:r>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41</w:t>
      </w:r>
      <w:r w:rsidRPr="002D48C0">
        <w:rPr>
          <w:rFonts w:ascii="Book Antiqua" w:eastAsiaTheme="minorEastAsia" w:hAnsi="Book Antiqua" w:cstheme="minorBidi"/>
          <w:kern w:val="2"/>
          <w:lang w:val="en-US" w:eastAsia="zh-CN"/>
        </w:rPr>
        <w:t>: 618-637 [PMID: 19588292 DOI: 10.1055/s-0029-1214790]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18 </w:t>
      </w:r>
      <w:proofErr w:type="spellStart"/>
      <w:r w:rsidRPr="002D48C0">
        <w:rPr>
          <w:rFonts w:ascii="Book Antiqua" w:eastAsiaTheme="minorEastAsia" w:hAnsi="Book Antiqua" w:cstheme="minorBidi"/>
          <w:b/>
          <w:kern w:val="2"/>
          <w:lang w:val="en-US" w:eastAsia="zh-CN"/>
        </w:rPr>
        <w:t>Liberati</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Altman DG, </w:t>
      </w:r>
      <w:proofErr w:type="spellStart"/>
      <w:r w:rsidRPr="002D48C0">
        <w:rPr>
          <w:rFonts w:ascii="Book Antiqua" w:eastAsiaTheme="minorEastAsia" w:hAnsi="Book Antiqua" w:cstheme="minorBidi"/>
          <w:kern w:val="2"/>
          <w:lang w:val="en-US" w:eastAsia="zh-CN"/>
        </w:rPr>
        <w:t>Tetzlaff</w:t>
      </w:r>
      <w:proofErr w:type="spellEnd"/>
      <w:r w:rsidRPr="002D48C0">
        <w:rPr>
          <w:rFonts w:ascii="Book Antiqua" w:eastAsiaTheme="minorEastAsia" w:hAnsi="Book Antiqua" w:cstheme="minorBidi"/>
          <w:kern w:val="2"/>
          <w:lang w:val="en-US" w:eastAsia="zh-CN"/>
        </w:rPr>
        <w:t xml:space="preserve"> J, Mulrow C, </w:t>
      </w:r>
      <w:proofErr w:type="spellStart"/>
      <w:r w:rsidRPr="002D48C0">
        <w:rPr>
          <w:rFonts w:ascii="Book Antiqua" w:eastAsiaTheme="minorEastAsia" w:hAnsi="Book Antiqua" w:cstheme="minorBidi"/>
          <w:kern w:val="2"/>
          <w:lang w:val="en-US" w:eastAsia="zh-CN"/>
        </w:rPr>
        <w:t>Gøtzsche</w:t>
      </w:r>
      <w:proofErr w:type="spellEnd"/>
      <w:r w:rsidRPr="002D48C0">
        <w:rPr>
          <w:rFonts w:ascii="Book Antiqua" w:eastAsiaTheme="minorEastAsia" w:hAnsi="Book Antiqua" w:cstheme="minorBidi"/>
          <w:kern w:val="2"/>
          <w:lang w:val="en-US" w:eastAsia="zh-CN"/>
        </w:rPr>
        <w:t xml:space="preserve"> PC, Ioannidis JP, Clarke M, </w:t>
      </w:r>
      <w:proofErr w:type="spellStart"/>
      <w:r w:rsidRPr="002D48C0">
        <w:rPr>
          <w:rFonts w:ascii="Book Antiqua" w:eastAsiaTheme="minorEastAsia" w:hAnsi="Book Antiqua" w:cstheme="minorBidi"/>
          <w:kern w:val="2"/>
          <w:lang w:val="en-US" w:eastAsia="zh-CN"/>
        </w:rPr>
        <w:t>Devereaux</w:t>
      </w:r>
      <w:proofErr w:type="spellEnd"/>
      <w:r w:rsidRPr="002D48C0">
        <w:rPr>
          <w:rFonts w:ascii="Book Antiqua" w:eastAsiaTheme="minorEastAsia" w:hAnsi="Book Antiqua" w:cstheme="minorBidi"/>
          <w:kern w:val="2"/>
          <w:lang w:val="en-US" w:eastAsia="zh-CN"/>
        </w:rPr>
        <w:t xml:space="preserve"> PJ, </w:t>
      </w:r>
      <w:proofErr w:type="spellStart"/>
      <w:r w:rsidRPr="002D48C0">
        <w:rPr>
          <w:rFonts w:ascii="Book Antiqua" w:eastAsiaTheme="minorEastAsia" w:hAnsi="Book Antiqua" w:cstheme="minorBidi"/>
          <w:kern w:val="2"/>
          <w:lang w:val="en-US" w:eastAsia="zh-CN"/>
        </w:rPr>
        <w:t>Kleijnen</w:t>
      </w:r>
      <w:proofErr w:type="spellEnd"/>
      <w:r w:rsidRPr="002D48C0">
        <w:rPr>
          <w:rFonts w:ascii="Book Antiqua" w:eastAsiaTheme="minorEastAsia" w:hAnsi="Book Antiqua" w:cstheme="minorBidi"/>
          <w:kern w:val="2"/>
          <w:lang w:val="en-US" w:eastAsia="zh-CN"/>
        </w:rPr>
        <w:t xml:space="preserve"> J, Moher D. The PRISMA statement for reporting systematic reviews and meta-analyses of studies that evaluate health care interventions: explanation and elaboration. </w:t>
      </w:r>
      <w:r w:rsidRPr="002D48C0">
        <w:rPr>
          <w:rFonts w:ascii="Book Antiqua" w:eastAsiaTheme="minorEastAsia" w:hAnsi="Book Antiqua" w:cstheme="minorBidi"/>
          <w:i/>
          <w:kern w:val="2"/>
          <w:lang w:val="en-US" w:eastAsia="zh-CN"/>
        </w:rPr>
        <w:t>Ann Intern Med</w:t>
      </w:r>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151</w:t>
      </w:r>
      <w:r w:rsidRPr="002D48C0">
        <w:rPr>
          <w:rFonts w:ascii="Book Antiqua" w:eastAsiaTheme="minorEastAsia" w:hAnsi="Book Antiqua" w:cstheme="minorBidi"/>
          <w:kern w:val="2"/>
          <w:lang w:val="en-US" w:eastAsia="zh-CN"/>
        </w:rPr>
        <w:t>: W65-W94 [PMID: 19622512]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19 </w:t>
      </w:r>
      <w:proofErr w:type="spellStart"/>
      <w:r w:rsidRPr="002D48C0">
        <w:rPr>
          <w:rFonts w:ascii="Book Antiqua" w:eastAsiaTheme="minorEastAsia" w:hAnsi="Book Antiqua" w:cstheme="minorBidi"/>
          <w:b/>
          <w:kern w:val="2"/>
          <w:lang w:val="en-US" w:eastAsia="zh-CN"/>
        </w:rPr>
        <w:t>Gralnek</w:t>
      </w:r>
      <w:proofErr w:type="spellEnd"/>
      <w:r w:rsidRPr="002D48C0">
        <w:rPr>
          <w:rFonts w:ascii="Book Antiqua" w:eastAsiaTheme="minorEastAsia" w:hAnsi="Book Antiqua" w:cstheme="minorBidi"/>
          <w:b/>
          <w:kern w:val="2"/>
          <w:lang w:val="en-US" w:eastAsia="zh-CN"/>
        </w:rPr>
        <w:t xml:space="preserve"> IM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Defranchis</w:t>
      </w:r>
      <w:proofErr w:type="spellEnd"/>
      <w:r w:rsidRPr="002D48C0">
        <w:rPr>
          <w:rFonts w:ascii="Book Antiqua" w:eastAsiaTheme="minorEastAsia" w:hAnsi="Book Antiqua" w:cstheme="minorBidi"/>
          <w:kern w:val="2"/>
          <w:lang w:val="en-US" w:eastAsia="zh-CN"/>
        </w:rPr>
        <w:t xml:space="preserve"> R, Seidman E, Leighton JA, </w:t>
      </w:r>
      <w:proofErr w:type="spellStart"/>
      <w:r w:rsidRPr="002D48C0">
        <w:rPr>
          <w:rFonts w:ascii="Book Antiqua" w:eastAsiaTheme="minorEastAsia" w:hAnsi="Book Antiqua" w:cstheme="minorBidi"/>
          <w:kern w:val="2"/>
          <w:lang w:val="en-US" w:eastAsia="zh-CN"/>
        </w:rPr>
        <w:t>Legnani</w:t>
      </w:r>
      <w:proofErr w:type="spellEnd"/>
      <w:r w:rsidRPr="002D48C0">
        <w:rPr>
          <w:rFonts w:ascii="Book Antiqua" w:eastAsiaTheme="minorEastAsia" w:hAnsi="Book Antiqua" w:cstheme="minorBidi"/>
          <w:kern w:val="2"/>
          <w:lang w:val="en-US" w:eastAsia="zh-CN"/>
        </w:rPr>
        <w:t xml:space="preserve"> P, Lewis BS. Development of a capsule endoscopy scoring index for small bowel mucosal inflammatory change. </w:t>
      </w:r>
      <w:r w:rsidRPr="002D48C0">
        <w:rPr>
          <w:rFonts w:ascii="Book Antiqua" w:eastAsiaTheme="minorEastAsia" w:hAnsi="Book Antiqua" w:cstheme="minorBidi"/>
          <w:i/>
          <w:kern w:val="2"/>
          <w:lang w:val="en-US" w:eastAsia="zh-CN"/>
        </w:rPr>
        <w:t xml:space="preserve">Aliment </w:t>
      </w:r>
      <w:proofErr w:type="spellStart"/>
      <w:r w:rsidRPr="002D48C0">
        <w:rPr>
          <w:rFonts w:ascii="Book Antiqua" w:eastAsiaTheme="minorEastAsia" w:hAnsi="Book Antiqua" w:cstheme="minorBidi"/>
          <w:i/>
          <w:kern w:val="2"/>
          <w:lang w:val="en-US" w:eastAsia="zh-CN"/>
        </w:rPr>
        <w:t>Pharmacol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Ther</w:t>
      </w:r>
      <w:proofErr w:type="spellEnd"/>
      <w:r w:rsidRPr="002D48C0">
        <w:rPr>
          <w:rFonts w:ascii="Book Antiqua" w:eastAsiaTheme="minorEastAsia" w:hAnsi="Book Antiqua" w:cstheme="minorBidi"/>
          <w:kern w:val="2"/>
          <w:lang w:val="en-US" w:eastAsia="zh-CN"/>
        </w:rPr>
        <w:t xml:space="preserve"> 2008; </w:t>
      </w:r>
      <w:r w:rsidRPr="002D48C0">
        <w:rPr>
          <w:rFonts w:ascii="Book Antiqua" w:eastAsiaTheme="minorEastAsia" w:hAnsi="Book Antiqua" w:cstheme="minorBidi"/>
          <w:b/>
          <w:kern w:val="2"/>
          <w:lang w:val="en-US" w:eastAsia="zh-CN"/>
        </w:rPr>
        <w:t>27</w:t>
      </w:r>
      <w:r w:rsidRPr="002D48C0">
        <w:rPr>
          <w:rFonts w:ascii="Book Antiqua" w:eastAsiaTheme="minorEastAsia" w:hAnsi="Book Antiqua" w:cstheme="minorBidi"/>
          <w:kern w:val="2"/>
          <w:lang w:val="en-US" w:eastAsia="zh-CN"/>
        </w:rPr>
        <w:t xml:space="preserve">: 146-154 [PMID: 17956598 DOI: </w:t>
      </w:r>
      <w:r w:rsidRPr="002D48C0">
        <w:rPr>
          <w:rFonts w:ascii="Book Antiqua" w:eastAsiaTheme="minorEastAsia" w:hAnsi="Book Antiqua" w:cstheme="minorBidi"/>
          <w:kern w:val="2"/>
          <w:lang w:val="en-US" w:eastAsia="zh-CN"/>
        </w:rPr>
        <w:lastRenderedPageBreak/>
        <w:t>10.1111/j.1365-2036.</w:t>
      </w:r>
      <w:proofErr w:type="gramStart"/>
      <w:r w:rsidRPr="002D48C0">
        <w:rPr>
          <w:rFonts w:ascii="Book Antiqua" w:eastAsiaTheme="minorEastAsia" w:hAnsi="Book Antiqua" w:cstheme="minorBidi"/>
          <w:kern w:val="2"/>
          <w:lang w:val="en-US" w:eastAsia="zh-CN"/>
        </w:rPr>
        <w:t>2007.03556.x</w:t>
      </w:r>
      <w:proofErr w:type="gramEnd"/>
      <w:r w:rsidRPr="002D48C0">
        <w:rPr>
          <w:rFonts w:ascii="Book Antiqua" w:eastAsiaTheme="minorEastAsia" w:hAnsi="Book Antiqua" w:cstheme="minorBidi"/>
          <w:kern w:val="2"/>
          <w:lang w:val="en-US" w:eastAsia="zh-CN"/>
        </w:rPr>
        <w:t>]</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20 </w:t>
      </w:r>
      <w:r w:rsidRPr="002D48C0">
        <w:rPr>
          <w:rFonts w:ascii="Book Antiqua" w:eastAsiaTheme="minorEastAsia" w:hAnsi="Book Antiqua" w:cstheme="minorBidi"/>
          <w:b/>
          <w:kern w:val="2"/>
          <w:lang w:val="en-US" w:eastAsia="zh-CN"/>
        </w:rPr>
        <w:t>Cotter J</w:t>
      </w:r>
      <w:r w:rsidRPr="002D48C0">
        <w:rPr>
          <w:rFonts w:ascii="Book Antiqua" w:eastAsiaTheme="minorEastAsia" w:hAnsi="Book Antiqua" w:cstheme="minorBidi"/>
          <w:kern w:val="2"/>
          <w:lang w:val="en-US" w:eastAsia="zh-CN"/>
        </w:rPr>
        <w:t xml:space="preserve">, Dias de Castro F, </w:t>
      </w:r>
      <w:proofErr w:type="spellStart"/>
      <w:r w:rsidRPr="002D48C0">
        <w:rPr>
          <w:rFonts w:ascii="Book Antiqua" w:eastAsiaTheme="minorEastAsia" w:hAnsi="Book Antiqua" w:cstheme="minorBidi"/>
          <w:kern w:val="2"/>
          <w:lang w:val="en-US" w:eastAsia="zh-CN"/>
        </w:rPr>
        <w:t>Magalhães</w:t>
      </w:r>
      <w:proofErr w:type="spellEnd"/>
      <w:r w:rsidRPr="002D48C0">
        <w:rPr>
          <w:rFonts w:ascii="Book Antiqua" w:eastAsiaTheme="minorEastAsia" w:hAnsi="Book Antiqua" w:cstheme="minorBidi"/>
          <w:kern w:val="2"/>
          <w:lang w:val="en-US" w:eastAsia="zh-CN"/>
        </w:rPr>
        <w:t xml:space="preserve"> J, Moreira MJ, Rosa B. Validation of the Lewis score for the evaluation of small-bowel Crohn's disease activity. </w:t>
      </w:r>
      <w:r w:rsidRPr="002D48C0">
        <w:rPr>
          <w:rFonts w:ascii="Book Antiqua" w:eastAsiaTheme="minorEastAsia" w:hAnsi="Book Antiqua" w:cstheme="minorBidi"/>
          <w:i/>
          <w:kern w:val="2"/>
          <w:lang w:val="en-US" w:eastAsia="zh-CN"/>
        </w:rPr>
        <w:t>Endoscopy</w:t>
      </w:r>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47</w:t>
      </w:r>
      <w:r w:rsidRPr="002D48C0">
        <w:rPr>
          <w:rFonts w:ascii="Book Antiqua" w:eastAsiaTheme="minorEastAsia" w:hAnsi="Book Antiqua" w:cstheme="minorBidi"/>
          <w:kern w:val="2"/>
          <w:lang w:val="en-US" w:eastAsia="zh-CN"/>
        </w:rPr>
        <w:t>: 330-335 [PMID: 25412092 DOI: 10.1055/s-0034-1390894]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21 </w:t>
      </w:r>
      <w:r w:rsidRPr="002D48C0">
        <w:rPr>
          <w:rFonts w:ascii="Book Antiqua" w:eastAsiaTheme="minorEastAsia" w:hAnsi="Book Antiqua" w:cstheme="minorBidi"/>
          <w:b/>
          <w:kern w:val="2"/>
          <w:lang w:val="en-US" w:eastAsia="zh-CN"/>
        </w:rPr>
        <w:t>Rosa B</w:t>
      </w:r>
      <w:r w:rsidRPr="002D48C0">
        <w:rPr>
          <w:rFonts w:ascii="Book Antiqua" w:eastAsiaTheme="minorEastAsia" w:hAnsi="Book Antiqua" w:cstheme="minorBidi"/>
          <w:kern w:val="2"/>
          <w:lang w:val="en-US" w:eastAsia="zh-CN"/>
        </w:rPr>
        <w:t xml:space="preserve">, Moreira MJ, </w:t>
      </w:r>
      <w:proofErr w:type="spellStart"/>
      <w:r w:rsidRPr="002D48C0">
        <w:rPr>
          <w:rFonts w:ascii="Book Antiqua" w:eastAsiaTheme="minorEastAsia" w:hAnsi="Book Antiqua" w:cstheme="minorBidi"/>
          <w:kern w:val="2"/>
          <w:lang w:val="en-US" w:eastAsia="zh-CN"/>
        </w:rPr>
        <w:t>Rebelo</w:t>
      </w:r>
      <w:proofErr w:type="spellEnd"/>
      <w:r w:rsidRPr="002D48C0">
        <w:rPr>
          <w:rFonts w:ascii="Book Antiqua" w:eastAsiaTheme="minorEastAsia" w:hAnsi="Book Antiqua" w:cstheme="minorBidi"/>
          <w:kern w:val="2"/>
          <w:lang w:val="en-US" w:eastAsia="zh-CN"/>
        </w:rPr>
        <w:t xml:space="preserve"> A, Cotter J. Lewis Score: a useful clinical tool for patients with suspected Crohn's Disease submitted to capsule endoscopy.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2012; </w:t>
      </w:r>
      <w:r w:rsidRPr="002D48C0">
        <w:rPr>
          <w:rFonts w:ascii="Book Antiqua" w:eastAsiaTheme="minorEastAsia" w:hAnsi="Book Antiqua" w:cstheme="minorBidi"/>
          <w:b/>
          <w:kern w:val="2"/>
          <w:lang w:val="en-US" w:eastAsia="zh-CN"/>
        </w:rPr>
        <w:t>6</w:t>
      </w:r>
      <w:r w:rsidRPr="002D48C0">
        <w:rPr>
          <w:rFonts w:ascii="Book Antiqua" w:eastAsiaTheme="minorEastAsia" w:hAnsi="Book Antiqua" w:cstheme="minorBidi"/>
          <w:kern w:val="2"/>
          <w:lang w:val="en-US" w:eastAsia="zh-CN"/>
        </w:rPr>
        <w:t>: 692-697 [PMID: 22398099 DOI: 10.1016/j.crohns.2011.12.002]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22 </w:t>
      </w:r>
      <w:r w:rsidRPr="002D48C0">
        <w:rPr>
          <w:rFonts w:ascii="Book Antiqua" w:eastAsiaTheme="minorEastAsia" w:hAnsi="Book Antiqua" w:cstheme="minorBidi"/>
          <w:b/>
          <w:kern w:val="2"/>
          <w:lang w:val="en-US" w:eastAsia="zh-CN"/>
        </w:rPr>
        <w:t>Gal E</w:t>
      </w:r>
      <w:r w:rsidRPr="002D48C0">
        <w:rPr>
          <w:rFonts w:ascii="Book Antiqua" w:eastAsiaTheme="minorEastAsia" w:hAnsi="Book Antiqua" w:cstheme="minorBidi"/>
          <w:kern w:val="2"/>
          <w:lang w:val="en-US" w:eastAsia="zh-CN"/>
        </w:rPr>
        <w:t xml:space="preserve">, Geller A, Fraser G, Levi Z, </w:t>
      </w:r>
      <w:proofErr w:type="spellStart"/>
      <w:r w:rsidRPr="002D48C0">
        <w:rPr>
          <w:rFonts w:ascii="Book Antiqua" w:eastAsiaTheme="minorEastAsia" w:hAnsi="Book Antiqua" w:cstheme="minorBidi"/>
          <w:kern w:val="2"/>
          <w:lang w:val="en-US" w:eastAsia="zh-CN"/>
        </w:rPr>
        <w:t>Niv</w:t>
      </w:r>
      <w:proofErr w:type="spellEnd"/>
      <w:r w:rsidRPr="002D48C0">
        <w:rPr>
          <w:rFonts w:ascii="Book Antiqua" w:eastAsiaTheme="minorEastAsia" w:hAnsi="Book Antiqua" w:cstheme="minorBidi"/>
          <w:kern w:val="2"/>
          <w:lang w:val="en-US" w:eastAsia="zh-CN"/>
        </w:rPr>
        <w:t xml:space="preserve"> Y. Assessment and validation of the new capsule endoscopy Crohn's disease activity index (CECDAI). </w:t>
      </w:r>
      <w:r w:rsidRPr="002D48C0">
        <w:rPr>
          <w:rFonts w:ascii="Book Antiqua" w:eastAsiaTheme="minorEastAsia" w:hAnsi="Book Antiqua" w:cstheme="minorBidi"/>
          <w:i/>
          <w:kern w:val="2"/>
          <w:lang w:val="en-US" w:eastAsia="zh-CN"/>
        </w:rPr>
        <w:t>Dig Dis Sci</w:t>
      </w:r>
      <w:r w:rsidRPr="002D48C0">
        <w:rPr>
          <w:rFonts w:ascii="Book Antiqua" w:eastAsiaTheme="minorEastAsia" w:hAnsi="Book Antiqua" w:cstheme="minorBidi"/>
          <w:kern w:val="2"/>
          <w:lang w:val="en-US" w:eastAsia="zh-CN"/>
        </w:rPr>
        <w:t xml:space="preserve"> 2008; </w:t>
      </w:r>
      <w:r w:rsidRPr="002D48C0">
        <w:rPr>
          <w:rFonts w:ascii="Book Antiqua" w:eastAsiaTheme="minorEastAsia" w:hAnsi="Book Antiqua" w:cstheme="minorBidi"/>
          <w:b/>
          <w:kern w:val="2"/>
          <w:lang w:val="en-US" w:eastAsia="zh-CN"/>
        </w:rPr>
        <w:t>53</w:t>
      </w:r>
      <w:r w:rsidRPr="002D48C0">
        <w:rPr>
          <w:rFonts w:ascii="Book Antiqua" w:eastAsiaTheme="minorEastAsia" w:hAnsi="Book Antiqua" w:cstheme="minorBidi"/>
          <w:kern w:val="2"/>
          <w:lang w:val="en-US" w:eastAsia="zh-CN"/>
        </w:rPr>
        <w:t>: 1933-1937 [PMID: 18034304 DOI: 10.1007/s10620-007-0084-y]</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23 </w:t>
      </w:r>
      <w:proofErr w:type="spellStart"/>
      <w:r w:rsidRPr="002D48C0">
        <w:rPr>
          <w:rFonts w:ascii="Book Antiqua" w:eastAsiaTheme="minorEastAsia" w:hAnsi="Book Antiqua" w:cstheme="minorBidi"/>
          <w:b/>
          <w:kern w:val="2"/>
          <w:lang w:val="en-US" w:eastAsia="zh-CN"/>
        </w:rPr>
        <w:t>Niv</w:t>
      </w:r>
      <w:proofErr w:type="spellEnd"/>
      <w:r w:rsidRPr="002D48C0">
        <w:rPr>
          <w:rFonts w:ascii="Book Antiqua" w:eastAsiaTheme="minorEastAsia" w:hAnsi="Book Antiqua" w:cstheme="minorBidi"/>
          <w:b/>
          <w:kern w:val="2"/>
          <w:lang w:val="en-US" w:eastAsia="zh-CN"/>
        </w:rPr>
        <w:t xml:space="preserve"> Y</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Ilani</w:t>
      </w:r>
      <w:proofErr w:type="spellEnd"/>
      <w:r w:rsidRPr="002D48C0">
        <w:rPr>
          <w:rFonts w:ascii="Book Antiqua" w:eastAsiaTheme="minorEastAsia" w:hAnsi="Book Antiqua" w:cstheme="minorBidi"/>
          <w:kern w:val="2"/>
          <w:lang w:val="en-US" w:eastAsia="zh-CN"/>
        </w:rPr>
        <w:t xml:space="preserve"> S, Levi Z, </w:t>
      </w:r>
      <w:proofErr w:type="spellStart"/>
      <w:r w:rsidRPr="002D48C0">
        <w:rPr>
          <w:rFonts w:ascii="Book Antiqua" w:eastAsiaTheme="minorEastAsia" w:hAnsi="Book Antiqua" w:cstheme="minorBidi"/>
          <w:kern w:val="2"/>
          <w:lang w:val="en-US" w:eastAsia="zh-CN"/>
        </w:rPr>
        <w:t>Hershkowitz</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Niv</w:t>
      </w:r>
      <w:proofErr w:type="spellEnd"/>
      <w:r w:rsidRPr="002D48C0">
        <w:rPr>
          <w:rFonts w:ascii="Book Antiqua" w:eastAsiaTheme="minorEastAsia" w:hAnsi="Book Antiqua" w:cstheme="minorBidi"/>
          <w:kern w:val="2"/>
          <w:lang w:val="en-US" w:eastAsia="zh-CN"/>
        </w:rPr>
        <w:t xml:space="preserve"> E, Fireman Z, </w:t>
      </w:r>
      <w:proofErr w:type="spellStart"/>
      <w:r w:rsidRPr="002D48C0">
        <w:rPr>
          <w:rFonts w:ascii="Book Antiqua" w:eastAsiaTheme="minorEastAsia" w:hAnsi="Book Antiqua" w:cstheme="minorBidi"/>
          <w:kern w:val="2"/>
          <w:lang w:val="en-US" w:eastAsia="zh-CN"/>
        </w:rPr>
        <w:t>O'Donnel</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O'Morain</w:t>
      </w:r>
      <w:proofErr w:type="spellEnd"/>
      <w:r w:rsidRPr="002D48C0">
        <w:rPr>
          <w:rFonts w:ascii="Book Antiqua" w:eastAsiaTheme="minorEastAsia" w:hAnsi="Book Antiqua" w:cstheme="minorBidi"/>
          <w:kern w:val="2"/>
          <w:lang w:val="en-US" w:eastAsia="zh-CN"/>
        </w:rPr>
        <w:t xml:space="preserve"> C, Eliakim R, Scapa E, </w:t>
      </w:r>
      <w:proofErr w:type="spellStart"/>
      <w:r w:rsidRPr="002D48C0">
        <w:rPr>
          <w:rFonts w:ascii="Book Antiqua" w:eastAsiaTheme="minorEastAsia" w:hAnsi="Book Antiqua" w:cstheme="minorBidi"/>
          <w:kern w:val="2"/>
          <w:lang w:val="en-US" w:eastAsia="zh-CN"/>
        </w:rPr>
        <w:t>Kalantzis</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Kalantzis</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Apostolopoulos</w:t>
      </w:r>
      <w:proofErr w:type="spellEnd"/>
      <w:r w:rsidRPr="002D48C0">
        <w:rPr>
          <w:rFonts w:ascii="Book Antiqua" w:eastAsiaTheme="minorEastAsia" w:hAnsi="Book Antiqua" w:cstheme="minorBidi"/>
          <w:kern w:val="2"/>
          <w:lang w:val="en-US" w:eastAsia="zh-CN"/>
        </w:rPr>
        <w:t xml:space="preserve"> P, Gal E. Validation of the Capsule Endoscopy Crohn's Disease Activity Index (CECDAI or </w:t>
      </w:r>
      <w:proofErr w:type="spellStart"/>
      <w:r w:rsidRPr="002D48C0">
        <w:rPr>
          <w:rFonts w:ascii="Book Antiqua" w:eastAsiaTheme="minorEastAsia" w:hAnsi="Book Antiqua" w:cstheme="minorBidi"/>
          <w:kern w:val="2"/>
          <w:lang w:val="en-US" w:eastAsia="zh-CN"/>
        </w:rPr>
        <w:t>Niv</w:t>
      </w:r>
      <w:proofErr w:type="spellEnd"/>
      <w:r w:rsidRPr="002D48C0">
        <w:rPr>
          <w:rFonts w:ascii="Book Antiqua" w:eastAsiaTheme="minorEastAsia" w:hAnsi="Book Antiqua" w:cstheme="minorBidi"/>
          <w:kern w:val="2"/>
          <w:lang w:val="en-US" w:eastAsia="zh-CN"/>
        </w:rPr>
        <w:t xml:space="preserve"> score): a multicenter prospective study. </w:t>
      </w:r>
      <w:r w:rsidRPr="002D48C0">
        <w:rPr>
          <w:rFonts w:ascii="Book Antiqua" w:eastAsiaTheme="minorEastAsia" w:hAnsi="Book Antiqua" w:cstheme="minorBidi"/>
          <w:i/>
          <w:kern w:val="2"/>
          <w:lang w:val="en-US" w:eastAsia="zh-CN"/>
        </w:rPr>
        <w:t>Endoscopy</w:t>
      </w:r>
      <w:r w:rsidRPr="002D48C0">
        <w:rPr>
          <w:rFonts w:ascii="Book Antiqua" w:eastAsiaTheme="minorEastAsia" w:hAnsi="Book Antiqua" w:cstheme="minorBidi"/>
          <w:kern w:val="2"/>
          <w:lang w:val="en-US" w:eastAsia="zh-CN"/>
        </w:rPr>
        <w:t xml:space="preserve"> 2012; </w:t>
      </w:r>
      <w:r w:rsidRPr="002D48C0">
        <w:rPr>
          <w:rFonts w:ascii="Book Antiqua" w:eastAsiaTheme="minorEastAsia" w:hAnsi="Book Antiqua" w:cstheme="minorBidi"/>
          <w:b/>
          <w:kern w:val="2"/>
          <w:lang w:val="en-US" w:eastAsia="zh-CN"/>
        </w:rPr>
        <w:t>44</w:t>
      </w:r>
      <w:r w:rsidRPr="002D48C0">
        <w:rPr>
          <w:rFonts w:ascii="Book Antiqua" w:eastAsiaTheme="minorEastAsia" w:hAnsi="Book Antiqua" w:cstheme="minorBidi"/>
          <w:kern w:val="2"/>
          <w:lang w:val="en-US" w:eastAsia="zh-CN"/>
        </w:rPr>
        <w:t>: 21-26 [PMID: 22125196 DOI: 10.1055/s-0031-1291385]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24 </w:t>
      </w:r>
      <w:proofErr w:type="spellStart"/>
      <w:r w:rsidRPr="002D48C0">
        <w:rPr>
          <w:rFonts w:ascii="Book Antiqua" w:eastAsiaTheme="minorEastAsia" w:hAnsi="Book Antiqua" w:cstheme="minorBidi"/>
          <w:b/>
          <w:kern w:val="2"/>
          <w:lang w:val="en-US" w:eastAsia="zh-CN"/>
        </w:rPr>
        <w:t>Koulaouzidis</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Douglas S, </w:t>
      </w:r>
      <w:proofErr w:type="spellStart"/>
      <w:r w:rsidRPr="002D48C0">
        <w:rPr>
          <w:rFonts w:ascii="Book Antiqua" w:eastAsiaTheme="minorEastAsia" w:hAnsi="Book Antiqua" w:cstheme="minorBidi"/>
          <w:kern w:val="2"/>
          <w:lang w:val="en-US" w:eastAsia="zh-CN"/>
        </w:rPr>
        <w:t>Plevris</w:t>
      </w:r>
      <w:proofErr w:type="spellEnd"/>
      <w:r w:rsidRPr="002D48C0">
        <w:rPr>
          <w:rFonts w:ascii="Book Antiqua" w:eastAsiaTheme="minorEastAsia" w:hAnsi="Book Antiqua" w:cstheme="minorBidi"/>
          <w:kern w:val="2"/>
          <w:lang w:val="en-US" w:eastAsia="zh-CN"/>
        </w:rPr>
        <w:t xml:space="preserve"> JN. Lewis score correlates more closely with fecal calprotectin than Capsule Endoscopy Crohn's Disease Activity Index. </w:t>
      </w:r>
      <w:r w:rsidRPr="002D48C0">
        <w:rPr>
          <w:rFonts w:ascii="Book Antiqua" w:eastAsiaTheme="minorEastAsia" w:hAnsi="Book Antiqua" w:cstheme="minorBidi"/>
          <w:i/>
          <w:kern w:val="2"/>
          <w:lang w:val="en-US" w:eastAsia="zh-CN"/>
        </w:rPr>
        <w:t>Dig Dis Sci</w:t>
      </w:r>
      <w:r w:rsidRPr="002D48C0">
        <w:rPr>
          <w:rFonts w:ascii="Book Antiqua" w:eastAsiaTheme="minorEastAsia" w:hAnsi="Book Antiqua" w:cstheme="minorBidi"/>
          <w:kern w:val="2"/>
          <w:lang w:val="en-US" w:eastAsia="zh-CN"/>
        </w:rPr>
        <w:t xml:space="preserve"> 2012; </w:t>
      </w:r>
      <w:r w:rsidRPr="002D48C0">
        <w:rPr>
          <w:rFonts w:ascii="Book Antiqua" w:eastAsiaTheme="minorEastAsia" w:hAnsi="Book Antiqua" w:cstheme="minorBidi"/>
          <w:b/>
          <w:kern w:val="2"/>
          <w:lang w:val="en-US" w:eastAsia="zh-CN"/>
        </w:rPr>
        <w:t>57</w:t>
      </w:r>
      <w:r w:rsidRPr="002D48C0">
        <w:rPr>
          <w:rFonts w:ascii="Book Antiqua" w:eastAsiaTheme="minorEastAsia" w:hAnsi="Book Antiqua" w:cstheme="minorBidi"/>
          <w:kern w:val="2"/>
          <w:lang w:val="en-US" w:eastAsia="zh-CN"/>
        </w:rPr>
        <w:t>: 987-993 [PMID: 22057284 DOI: 10.1007/s10620-011-1956-8]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25 </w:t>
      </w:r>
      <w:proofErr w:type="spellStart"/>
      <w:r w:rsidRPr="002D48C0">
        <w:rPr>
          <w:rFonts w:ascii="Book Antiqua" w:eastAsiaTheme="minorEastAsia" w:hAnsi="Book Antiqua" w:cstheme="minorBidi"/>
          <w:b/>
          <w:kern w:val="2"/>
          <w:lang w:val="en-US" w:eastAsia="zh-CN"/>
        </w:rPr>
        <w:t>Yablecovitch</w:t>
      </w:r>
      <w:proofErr w:type="spellEnd"/>
      <w:r w:rsidRPr="002D48C0">
        <w:rPr>
          <w:rFonts w:ascii="Book Antiqua" w:eastAsiaTheme="minorEastAsia" w:hAnsi="Book Antiqua" w:cstheme="minorBidi"/>
          <w:b/>
          <w:kern w:val="2"/>
          <w:lang w:val="en-US" w:eastAsia="zh-CN"/>
        </w:rPr>
        <w:t xml:space="preserve"> D</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Lahat</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Neuman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Levhar</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Avidan</w:t>
      </w:r>
      <w:proofErr w:type="spellEnd"/>
      <w:r w:rsidRPr="002D48C0">
        <w:rPr>
          <w:rFonts w:ascii="Book Antiqua" w:eastAsiaTheme="minorEastAsia" w:hAnsi="Book Antiqua" w:cstheme="minorBidi"/>
          <w:kern w:val="2"/>
          <w:lang w:val="en-US" w:eastAsia="zh-CN"/>
        </w:rPr>
        <w:t xml:space="preserve"> B, Ben-</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Eliakim</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Kopylov</w:t>
      </w:r>
      <w:proofErr w:type="spellEnd"/>
      <w:r w:rsidRPr="002D48C0">
        <w:rPr>
          <w:rFonts w:ascii="Book Antiqua" w:eastAsiaTheme="minorEastAsia" w:hAnsi="Book Antiqua" w:cstheme="minorBidi"/>
          <w:kern w:val="2"/>
          <w:lang w:val="en-US" w:eastAsia="zh-CN"/>
        </w:rPr>
        <w:t xml:space="preserve"> U. The Lewis score or the capsule endoscopy Crohn's disease activity index: which one is better for the assessment of small bowel inflammation in established Crohn's disease? </w:t>
      </w:r>
      <w:proofErr w:type="spellStart"/>
      <w:r w:rsidRPr="002D48C0">
        <w:rPr>
          <w:rFonts w:ascii="Book Antiqua" w:eastAsiaTheme="minorEastAsia" w:hAnsi="Book Antiqua" w:cstheme="minorBidi"/>
          <w:i/>
          <w:kern w:val="2"/>
          <w:lang w:val="en-US" w:eastAsia="zh-CN"/>
        </w:rPr>
        <w:t>Therap</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Adv</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11</w:t>
      </w:r>
      <w:r w:rsidRPr="002D48C0">
        <w:rPr>
          <w:rFonts w:ascii="Book Antiqua" w:eastAsiaTheme="minorEastAsia" w:hAnsi="Book Antiqua" w:cstheme="minorBidi"/>
          <w:kern w:val="2"/>
          <w:lang w:val="en-US" w:eastAsia="zh-CN"/>
        </w:rPr>
        <w:t>: 1756283X17747780 [PMID: 29399042 DOI: 10.1177/1756283X17747780]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26 </w:t>
      </w:r>
      <w:proofErr w:type="spellStart"/>
      <w:r w:rsidRPr="002D48C0">
        <w:rPr>
          <w:rFonts w:ascii="Book Antiqua" w:eastAsiaTheme="minorEastAsia" w:hAnsi="Book Antiqua" w:cstheme="minorBidi"/>
          <w:b/>
          <w:kern w:val="2"/>
          <w:lang w:val="en-US" w:eastAsia="zh-CN"/>
        </w:rPr>
        <w:t>Kopylov</w:t>
      </w:r>
      <w:proofErr w:type="spellEnd"/>
      <w:r w:rsidRPr="002D48C0">
        <w:rPr>
          <w:rFonts w:ascii="Book Antiqua" w:eastAsiaTheme="minorEastAsia" w:hAnsi="Book Antiqua" w:cstheme="minorBidi"/>
          <w:b/>
          <w:kern w:val="2"/>
          <w:lang w:val="en-US" w:eastAsia="zh-CN"/>
        </w:rPr>
        <w:t xml:space="preserve"> U</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Klang</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Yablecovitch</w:t>
      </w:r>
      <w:proofErr w:type="spellEnd"/>
      <w:r w:rsidRPr="002D48C0">
        <w:rPr>
          <w:rFonts w:ascii="Book Antiqua" w:eastAsiaTheme="minorEastAsia" w:hAnsi="Book Antiqua" w:cstheme="minorBidi"/>
          <w:kern w:val="2"/>
          <w:lang w:val="en-US" w:eastAsia="zh-CN"/>
        </w:rPr>
        <w:t xml:space="preserve"> D, </w:t>
      </w:r>
      <w:proofErr w:type="spellStart"/>
      <w:r w:rsidRPr="002D48C0">
        <w:rPr>
          <w:rFonts w:ascii="Book Antiqua" w:eastAsiaTheme="minorEastAsia" w:hAnsi="Book Antiqua" w:cstheme="minorBidi"/>
          <w:kern w:val="2"/>
          <w:lang w:val="en-US" w:eastAsia="zh-CN"/>
        </w:rPr>
        <w:t>Lahat</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Avidan</w:t>
      </w:r>
      <w:proofErr w:type="spellEnd"/>
      <w:r w:rsidRPr="002D48C0">
        <w:rPr>
          <w:rFonts w:ascii="Book Antiqua" w:eastAsiaTheme="minorEastAsia" w:hAnsi="Book Antiqua" w:cstheme="minorBidi"/>
          <w:kern w:val="2"/>
          <w:lang w:val="en-US" w:eastAsia="zh-CN"/>
        </w:rPr>
        <w:t xml:space="preserve"> B, </w:t>
      </w:r>
      <w:proofErr w:type="spellStart"/>
      <w:r w:rsidRPr="002D48C0">
        <w:rPr>
          <w:rFonts w:ascii="Book Antiqua" w:eastAsiaTheme="minorEastAsia" w:hAnsi="Book Antiqua" w:cstheme="minorBidi"/>
          <w:kern w:val="2"/>
          <w:lang w:val="en-US" w:eastAsia="zh-CN"/>
        </w:rPr>
        <w:t>Neuman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Levhar</w:t>
      </w:r>
      <w:proofErr w:type="spellEnd"/>
      <w:r w:rsidRPr="002D48C0">
        <w:rPr>
          <w:rFonts w:ascii="Book Antiqua" w:eastAsiaTheme="minorEastAsia" w:hAnsi="Book Antiqua" w:cstheme="minorBidi"/>
          <w:kern w:val="2"/>
          <w:lang w:val="en-US" w:eastAsia="zh-CN"/>
        </w:rPr>
        <w:t xml:space="preserve"> N, Greener T, </w:t>
      </w:r>
      <w:proofErr w:type="spellStart"/>
      <w:r w:rsidRPr="002D48C0">
        <w:rPr>
          <w:rFonts w:ascii="Book Antiqua" w:eastAsiaTheme="minorEastAsia" w:hAnsi="Book Antiqua" w:cstheme="minorBidi"/>
          <w:kern w:val="2"/>
          <w:lang w:val="en-US" w:eastAsia="zh-CN"/>
        </w:rPr>
        <w:t>Rozendorn</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Beytelman</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Yanai</w:t>
      </w:r>
      <w:proofErr w:type="spellEnd"/>
      <w:r w:rsidRPr="002D48C0">
        <w:rPr>
          <w:rFonts w:ascii="Book Antiqua" w:eastAsiaTheme="minorEastAsia" w:hAnsi="Book Antiqua" w:cstheme="minorBidi"/>
          <w:kern w:val="2"/>
          <w:lang w:val="en-US" w:eastAsia="zh-CN"/>
        </w:rPr>
        <w:t xml:space="preserve"> H, </w:t>
      </w:r>
      <w:proofErr w:type="spellStart"/>
      <w:r w:rsidRPr="002D48C0">
        <w:rPr>
          <w:rFonts w:ascii="Book Antiqua" w:eastAsiaTheme="minorEastAsia" w:hAnsi="Book Antiqua" w:cstheme="minorBidi"/>
          <w:kern w:val="2"/>
          <w:lang w:val="en-US" w:eastAsia="zh-CN"/>
        </w:rPr>
        <w:t>Dotan</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Chowers</w:t>
      </w:r>
      <w:proofErr w:type="spellEnd"/>
      <w:r w:rsidRPr="002D48C0">
        <w:rPr>
          <w:rFonts w:ascii="Book Antiqua" w:eastAsiaTheme="minorEastAsia" w:hAnsi="Book Antiqua" w:cstheme="minorBidi"/>
          <w:kern w:val="2"/>
          <w:lang w:val="en-US" w:eastAsia="zh-CN"/>
        </w:rPr>
        <w:t xml:space="preserve"> Y, Weiss B, Ben-</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Amitai</w:t>
      </w:r>
      <w:proofErr w:type="spellEnd"/>
      <w:r w:rsidRPr="002D48C0">
        <w:rPr>
          <w:rFonts w:ascii="Book Antiqua" w:eastAsiaTheme="minorEastAsia" w:hAnsi="Book Antiqua" w:cstheme="minorBidi"/>
          <w:kern w:val="2"/>
          <w:lang w:val="en-US" w:eastAsia="zh-CN"/>
        </w:rPr>
        <w:t xml:space="preserve"> MM, Eliakim R; Israeli IBD research Nucleus (IIRN). Magnetic resonance </w:t>
      </w:r>
      <w:proofErr w:type="spellStart"/>
      <w:r w:rsidRPr="002D48C0">
        <w:rPr>
          <w:rFonts w:ascii="Book Antiqua" w:eastAsiaTheme="minorEastAsia" w:hAnsi="Book Antiqua" w:cstheme="minorBidi"/>
          <w:kern w:val="2"/>
          <w:lang w:val="en-US" w:eastAsia="zh-CN"/>
        </w:rPr>
        <w:t>enterography</w:t>
      </w:r>
      <w:proofErr w:type="spellEnd"/>
      <w:r w:rsidRPr="002D48C0">
        <w:rPr>
          <w:rFonts w:ascii="Book Antiqua" w:eastAsiaTheme="minorEastAsia" w:hAnsi="Book Antiqua" w:cstheme="minorBidi"/>
          <w:kern w:val="2"/>
          <w:lang w:val="en-US" w:eastAsia="zh-CN"/>
        </w:rPr>
        <w:t xml:space="preserve"> versus capsule endoscopy activity indices for quantification of small bowel inflammation in Crohn's disease. </w:t>
      </w:r>
      <w:proofErr w:type="spellStart"/>
      <w:r w:rsidRPr="002D48C0">
        <w:rPr>
          <w:rFonts w:ascii="Book Antiqua" w:eastAsiaTheme="minorEastAsia" w:hAnsi="Book Antiqua" w:cstheme="minorBidi"/>
          <w:i/>
          <w:kern w:val="2"/>
          <w:lang w:val="en-US" w:eastAsia="zh-CN"/>
        </w:rPr>
        <w:t>Therap</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Adv</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2016; </w:t>
      </w:r>
      <w:r w:rsidRPr="002D48C0">
        <w:rPr>
          <w:rFonts w:ascii="Book Antiqua" w:eastAsiaTheme="minorEastAsia" w:hAnsi="Book Antiqua" w:cstheme="minorBidi"/>
          <w:b/>
          <w:kern w:val="2"/>
          <w:lang w:val="en-US" w:eastAsia="zh-CN"/>
        </w:rPr>
        <w:t>9</w:t>
      </w:r>
      <w:r w:rsidRPr="002D48C0">
        <w:rPr>
          <w:rFonts w:ascii="Book Antiqua" w:eastAsiaTheme="minorEastAsia" w:hAnsi="Book Antiqua" w:cstheme="minorBidi"/>
          <w:kern w:val="2"/>
          <w:lang w:val="en-US" w:eastAsia="zh-CN"/>
        </w:rPr>
        <w:t>: 655-663 [PMID: 27582877 DOI: 10.1177/1756283X16649143]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27 </w:t>
      </w:r>
      <w:r w:rsidRPr="002D48C0">
        <w:rPr>
          <w:rFonts w:ascii="Book Antiqua" w:eastAsiaTheme="minorEastAsia" w:hAnsi="Book Antiqua" w:cstheme="minorBidi"/>
          <w:b/>
          <w:kern w:val="2"/>
          <w:lang w:val="en-US" w:eastAsia="zh-CN"/>
        </w:rPr>
        <w:t>He C</w:t>
      </w:r>
      <w:r w:rsidRPr="002D48C0">
        <w:rPr>
          <w:rFonts w:ascii="Book Antiqua" w:eastAsiaTheme="minorEastAsia" w:hAnsi="Book Antiqua" w:cstheme="minorBidi"/>
          <w:kern w:val="2"/>
          <w:lang w:val="en-US" w:eastAsia="zh-CN"/>
        </w:rPr>
        <w:t xml:space="preserve">, Zhang J, Chen Z, Feng X, Luo Z, Wan T, Li A, Liu S, Ren Y. Relationships of capsule endoscopy Lewis score with clinical disease activity indices, C-reactive protein, </w:t>
      </w:r>
      <w:r w:rsidRPr="002D48C0">
        <w:rPr>
          <w:rFonts w:ascii="Book Antiqua" w:eastAsiaTheme="minorEastAsia" w:hAnsi="Book Antiqua" w:cstheme="minorBidi"/>
          <w:kern w:val="2"/>
          <w:lang w:val="en-US" w:eastAsia="zh-CN"/>
        </w:rPr>
        <w:lastRenderedPageBreak/>
        <w:t xml:space="preserve">and small bowel transit time in pediatric and adult patients with small bowel Crohn's disease. </w:t>
      </w:r>
      <w:r w:rsidRPr="002D48C0">
        <w:rPr>
          <w:rFonts w:ascii="Book Antiqua" w:eastAsiaTheme="minorEastAsia" w:hAnsi="Book Antiqua" w:cstheme="minorBidi"/>
          <w:i/>
          <w:kern w:val="2"/>
          <w:lang w:val="en-US" w:eastAsia="zh-CN"/>
        </w:rPr>
        <w:t>Medicine (Baltimore)</w:t>
      </w:r>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96</w:t>
      </w:r>
      <w:r w:rsidRPr="002D48C0">
        <w:rPr>
          <w:rFonts w:ascii="Book Antiqua" w:eastAsiaTheme="minorEastAsia" w:hAnsi="Book Antiqua" w:cstheme="minorBidi"/>
          <w:kern w:val="2"/>
          <w:lang w:val="en-US" w:eastAsia="zh-CN"/>
        </w:rPr>
        <w:t>: e7780 [PMID: 28816962 DOI: 10.1097/MD.0000000000007780]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28 </w:t>
      </w:r>
      <w:r w:rsidRPr="002D48C0">
        <w:rPr>
          <w:rFonts w:ascii="Book Antiqua" w:eastAsiaTheme="minorEastAsia" w:hAnsi="Book Antiqua" w:cstheme="minorBidi"/>
          <w:b/>
          <w:kern w:val="2"/>
          <w:lang w:val="en-US" w:eastAsia="zh-CN"/>
        </w:rPr>
        <w:t>Chong AK</w:t>
      </w:r>
      <w:r w:rsidRPr="002D48C0">
        <w:rPr>
          <w:rFonts w:ascii="Book Antiqua" w:eastAsiaTheme="minorEastAsia" w:hAnsi="Book Antiqua" w:cstheme="minorBidi"/>
          <w:kern w:val="2"/>
          <w:lang w:val="en-US" w:eastAsia="zh-CN"/>
        </w:rPr>
        <w:t xml:space="preserve">, Taylor A, Miller A, Hennessy O, Connell W, Desmond P. Capsule endoscopy vs. push </w:t>
      </w:r>
      <w:proofErr w:type="spellStart"/>
      <w:r w:rsidRPr="002D48C0">
        <w:rPr>
          <w:rFonts w:ascii="Book Antiqua" w:eastAsiaTheme="minorEastAsia" w:hAnsi="Book Antiqua" w:cstheme="minorBidi"/>
          <w:kern w:val="2"/>
          <w:lang w:val="en-US" w:eastAsia="zh-CN"/>
        </w:rPr>
        <w:t>enteroscopy</w:t>
      </w:r>
      <w:proofErr w:type="spellEnd"/>
      <w:r w:rsidRPr="002D48C0">
        <w:rPr>
          <w:rFonts w:ascii="Book Antiqua" w:eastAsiaTheme="minorEastAsia" w:hAnsi="Book Antiqua" w:cstheme="minorBidi"/>
          <w:kern w:val="2"/>
          <w:lang w:val="en-US" w:eastAsia="zh-CN"/>
        </w:rPr>
        <w:t xml:space="preserve"> and </w:t>
      </w:r>
      <w:proofErr w:type="spellStart"/>
      <w:r w:rsidRPr="002D48C0">
        <w:rPr>
          <w:rFonts w:ascii="Book Antiqua" w:eastAsiaTheme="minorEastAsia" w:hAnsi="Book Antiqua" w:cstheme="minorBidi"/>
          <w:kern w:val="2"/>
          <w:lang w:val="en-US" w:eastAsia="zh-CN"/>
        </w:rPr>
        <w:t>enteroclysis</w:t>
      </w:r>
      <w:proofErr w:type="spellEnd"/>
      <w:r w:rsidRPr="002D48C0">
        <w:rPr>
          <w:rFonts w:ascii="Book Antiqua" w:eastAsiaTheme="minorEastAsia" w:hAnsi="Book Antiqua" w:cstheme="minorBidi"/>
          <w:kern w:val="2"/>
          <w:lang w:val="en-US" w:eastAsia="zh-CN"/>
        </w:rPr>
        <w:t xml:space="preserve"> in suspected small-bowel Crohn's disease.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2005; </w:t>
      </w:r>
      <w:r w:rsidRPr="002D48C0">
        <w:rPr>
          <w:rFonts w:ascii="Book Antiqua" w:eastAsiaTheme="minorEastAsia" w:hAnsi="Book Antiqua" w:cstheme="minorBidi"/>
          <w:b/>
          <w:kern w:val="2"/>
          <w:lang w:val="en-US" w:eastAsia="zh-CN"/>
        </w:rPr>
        <w:t>61</w:t>
      </w:r>
      <w:r w:rsidRPr="002D48C0">
        <w:rPr>
          <w:rFonts w:ascii="Book Antiqua" w:eastAsiaTheme="minorEastAsia" w:hAnsi="Book Antiqua" w:cstheme="minorBidi"/>
          <w:kern w:val="2"/>
          <w:lang w:val="en-US" w:eastAsia="zh-CN"/>
        </w:rPr>
        <w:t>: 255-261 [PMID: 15729235]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29 </w:t>
      </w:r>
      <w:proofErr w:type="spellStart"/>
      <w:r w:rsidRPr="002D48C0">
        <w:rPr>
          <w:rFonts w:ascii="Book Antiqua" w:eastAsiaTheme="minorEastAsia" w:hAnsi="Book Antiqua" w:cstheme="minorBidi"/>
          <w:b/>
          <w:kern w:val="2"/>
          <w:lang w:val="en-US" w:eastAsia="zh-CN"/>
        </w:rPr>
        <w:t>Efthymiou</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Viazis</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Vlachogiannakos</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Georgiadis</w:t>
      </w:r>
      <w:proofErr w:type="spellEnd"/>
      <w:r w:rsidRPr="002D48C0">
        <w:rPr>
          <w:rFonts w:ascii="Book Antiqua" w:eastAsiaTheme="minorEastAsia" w:hAnsi="Book Antiqua" w:cstheme="minorBidi"/>
          <w:kern w:val="2"/>
          <w:lang w:val="en-US" w:eastAsia="zh-CN"/>
        </w:rPr>
        <w:t xml:space="preserve"> D, </w:t>
      </w:r>
      <w:proofErr w:type="spellStart"/>
      <w:r w:rsidRPr="002D48C0">
        <w:rPr>
          <w:rFonts w:ascii="Book Antiqua" w:eastAsiaTheme="minorEastAsia" w:hAnsi="Book Antiqua" w:cstheme="minorBidi"/>
          <w:kern w:val="2"/>
          <w:lang w:val="en-US" w:eastAsia="zh-CN"/>
        </w:rPr>
        <w:t>Kalogeropoulos</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Mantzaris</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Karamanolis</w:t>
      </w:r>
      <w:proofErr w:type="spellEnd"/>
      <w:r w:rsidRPr="002D48C0">
        <w:rPr>
          <w:rFonts w:ascii="Book Antiqua" w:eastAsiaTheme="minorEastAsia" w:hAnsi="Book Antiqua" w:cstheme="minorBidi"/>
          <w:kern w:val="2"/>
          <w:lang w:val="en-US" w:eastAsia="zh-CN"/>
        </w:rPr>
        <w:t xml:space="preserve"> DG. Wireless capsule endoscopy versus </w:t>
      </w:r>
      <w:proofErr w:type="spellStart"/>
      <w:r w:rsidRPr="002D48C0">
        <w:rPr>
          <w:rFonts w:ascii="Book Antiqua" w:eastAsiaTheme="minorEastAsia" w:hAnsi="Book Antiqua" w:cstheme="minorBidi"/>
          <w:kern w:val="2"/>
          <w:lang w:val="en-US" w:eastAsia="zh-CN"/>
        </w:rPr>
        <w:t>enteroclysis</w:t>
      </w:r>
      <w:proofErr w:type="spellEnd"/>
      <w:r w:rsidRPr="002D48C0">
        <w:rPr>
          <w:rFonts w:ascii="Book Antiqua" w:eastAsiaTheme="minorEastAsia" w:hAnsi="Book Antiqua" w:cstheme="minorBidi"/>
          <w:kern w:val="2"/>
          <w:lang w:val="en-US" w:eastAsia="zh-CN"/>
        </w:rPr>
        <w:t xml:space="preserve"> in the diagnosis of small-bowel Crohn's disease. </w:t>
      </w:r>
      <w:proofErr w:type="spellStart"/>
      <w:r w:rsidRPr="002D48C0">
        <w:rPr>
          <w:rFonts w:ascii="Book Antiqua" w:eastAsiaTheme="minorEastAsia" w:hAnsi="Book Antiqua" w:cstheme="minorBidi"/>
          <w:i/>
          <w:kern w:val="2"/>
          <w:lang w:val="en-US" w:eastAsia="zh-CN"/>
        </w:rPr>
        <w:t>Eur</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21</w:t>
      </w:r>
      <w:r w:rsidRPr="002D48C0">
        <w:rPr>
          <w:rFonts w:ascii="Book Antiqua" w:eastAsiaTheme="minorEastAsia" w:hAnsi="Book Antiqua" w:cstheme="minorBidi"/>
          <w:kern w:val="2"/>
          <w:lang w:val="en-US" w:eastAsia="zh-CN"/>
        </w:rPr>
        <w:t>: 866-871 [PMID: 19417679 DOI: 10.1097/MEG.0b013e32831af1ec]</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30 </w:t>
      </w:r>
      <w:r w:rsidRPr="002D48C0">
        <w:rPr>
          <w:rFonts w:ascii="Book Antiqua" w:eastAsiaTheme="minorEastAsia" w:hAnsi="Book Antiqua" w:cstheme="minorBidi"/>
          <w:b/>
          <w:kern w:val="2"/>
          <w:lang w:val="en-US" w:eastAsia="zh-CN"/>
        </w:rPr>
        <w:t>Carter D</w:t>
      </w:r>
      <w:r w:rsidRPr="002D48C0">
        <w:rPr>
          <w:rFonts w:ascii="Book Antiqua" w:eastAsiaTheme="minorEastAsia" w:hAnsi="Book Antiqua" w:cstheme="minorBidi"/>
          <w:kern w:val="2"/>
          <w:lang w:val="en-US" w:eastAsia="zh-CN"/>
        </w:rPr>
        <w:t xml:space="preserve">, Katz LH, </w:t>
      </w:r>
      <w:proofErr w:type="spellStart"/>
      <w:r w:rsidRPr="002D48C0">
        <w:rPr>
          <w:rFonts w:ascii="Book Antiqua" w:eastAsiaTheme="minorEastAsia" w:hAnsi="Book Antiqua" w:cstheme="minorBidi"/>
          <w:kern w:val="2"/>
          <w:lang w:val="en-US" w:eastAsia="zh-CN"/>
        </w:rPr>
        <w:t>Bardan</w:t>
      </w:r>
      <w:proofErr w:type="spellEnd"/>
      <w:r w:rsidRPr="002D48C0">
        <w:rPr>
          <w:rFonts w:ascii="Book Antiqua" w:eastAsiaTheme="minorEastAsia" w:hAnsi="Book Antiqua" w:cstheme="minorBidi"/>
          <w:kern w:val="2"/>
          <w:lang w:val="en-US" w:eastAsia="zh-CN"/>
        </w:rPr>
        <w:t xml:space="preserve"> E, Salomon E, Goldstein S, Ben </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Kopylov</w:t>
      </w:r>
      <w:proofErr w:type="spellEnd"/>
      <w:r w:rsidRPr="002D48C0">
        <w:rPr>
          <w:rFonts w:ascii="Book Antiqua" w:eastAsiaTheme="minorEastAsia" w:hAnsi="Book Antiqua" w:cstheme="minorBidi"/>
          <w:kern w:val="2"/>
          <w:lang w:val="en-US" w:eastAsia="zh-CN"/>
        </w:rPr>
        <w:t xml:space="preserve"> U, Eliakim R. The accuracy of intestinal ultrasound compared with small bowel capsule endoscopy in assessment of suspected Crohn's disease in patients with negative </w:t>
      </w:r>
      <w:proofErr w:type="spellStart"/>
      <w:r w:rsidRPr="002D48C0">
        <w:rPr>
          <w:rFonts w:ascii="Book Antiqua" w:eastAsiaTheme="minorEastAsia" w:hAnsi="Book Antiqua" w:cstheme="minorBidi"/>
          <w:kern w:val="2"/>
          <w:lang w:val="en-US" w:eastAsia="zh-CN"/>
        </w:rPr>
        <w:t>ileocolonoscopy</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i/>
          <w:kern w:val="2"/>
          <w:lang w:val="en-US" w:eastAsia="zh-CN"/>
        </w:rPr>
        <w:t>Therap</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Adv</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11</w:t>
      </w:r>
      <w:r w:rsidRPr="002D48C0">
        <w:rPr>
          <w:rFonts w:ascii="Book Antiqua" w:eastAsiaTheme="minorEastAsia" w:hAnsi="Book Antiqua" w:cstheme="minorBidi"/>
          <w:kern w:val="2"/>
          <w:lang w:val="en-US" w:eastAsia="zh-CN"/>
        </w:rPr>
        <w:t>: 1756284818765908 [PMID: 29662538 DOI: 10.1177/1756284818765908]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31 </w:t>
      </w:r>
      <w:proofErr w:type="spellStart"/>
      <w:r w:rsidRPr="002D48C0">
        <w:rPr>
          <w:rFonts w:ascii="Book Antiqua" w:eastAsiaTheme="minorEastAsia" w:hAnsi="Book Antiqua" w:cstheme="minorBidi"/>
          <w:b/>
          <w:kern w:val="2"/>
          <w:lang w:val="en-US" w:eastAsia="zh-CN"/>
        </w:rPr>
        <w:t>Petruzziello</w:t>
      </w:r>
      <w:proofErr w:type="spellEnd"/>
      <w:r w:rsidRPr="002D48C0">
        <w:rPr>
          <w:rFonts w:ascii="Book Antiqua" w:eastAsiaTheme="minorEastAsia" w:hAnsi="Book Antiqua" w:cstheme="minorBidi"/>
          <w:b/>
          <w:kern w:val="2"/>
          <w:lang w:val="en-US" w:eastAsia="zh-CN"/>
        </w:rPr>
        <w:t xml:space="preserve"> C</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Onali</w:t>
      </w:r>
      <w:proofErr w:type="spellEnd"/>
      <w:r w:rsidRPr="002D48C0">
        <w:rPr>
          <w:rFonts w:ascii="Book Antiqua" w:eastAsiaTheme="minorEastAsia" w:hAnsi="Book Antiqua" w:cstheme="minorBidi"/>
          <w:kern w:val="2"/>
          <w:lang w:val="en-US" w:eastAsia="zh-CN"/>
        </w:rPr>
        <w:t xml:space="preserve"> S, Calabrese E, </w:t>
      </w:r>
      <w:proofErr w:type="spellStart"/>
      <w:r w:rsidRPr="002D48C0">
        <w:rPr>
          <w:rFonts w:ascii="Book Antiqua" w:eastAsiaTheme="minorEastAsia" w:hAnsi="Book Antiqua" w:cstheme="minorBidi"/>
          <w:kern w:val="2"/>
          <w:lang w:val="en-US" w:eastAsia="zh-CN"/>
        </w:rPr>
        <w:t>Zorzi</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Ascolani</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Condino</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Lolli</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Naccarato</w:t>
      </w:r>
      <w:proofErr w:type="spellEnd"/>
      <w:r w:rsidRPr="002D48C0">
        <w:rPr>
          <w:rFonts w:ascii="Book Antiqua" w:eastAsiaTheme="minorEastAsia" w:hAnsi="Book Antiqua" w:cstheme="minorBidi"/>
          <w:kern w:val="2"/>
          <w:lang w:val="en-US" w:eastAsia="zh-CN"/>
        </w:rPr>
        <w:t xml:space="preserve"> P, Pallone F, </w:t>
      </w:r>
      <w:proofErr w:type="spellStart"/>
      <w:r w:rsidRPr="002D48C0">
        <w:rPr>
          <w:rFonts w:ascii="Book Antiqua" w:eastAsiaTheme="minorEastAsia" w:hAnsi="Book Antiqua" w:cstheme="minorBidi"/>
          <w:kern w:val="2"/>
          <w:lang w:val="en-US" w:eastAsia="zh-CN"/>
        </w:rPr>
        <w:t>Biancone</w:t>
      </w:r>
      <w:proofErr w:type="spellEnd"/>
      <w:r w:rsidRPr="002D48C0">
        <w:rPr>
          <w:rFonts w:ascii="Book Antiqua" w:eastAsiaTheme="minorEastAsia" w:hAnsi="Book Antiqua" w:cstheme="minorBidi"/>
          <w:kern w:val="2"/>
          <w:lang w:val="en-US" w:eastAsia="zh-CN"/>
        </w:rPr>
        <w:t xml:space="preserve"> L. Wireless capsule endoscopy and proximal small bowel lesions in Crohn's disease. </w:t>
      </w:r>
      <w:r w:rsidRPr="002D48C0">
        <w:rPr>
          <w:rFonts w:ascii="Book Antiqua" w:eastAsiaTheme="minorEastAsia" w:hAnsi="Book Antiqua" w:cstheme="minorBidi"/>
          <w:i/>
          <w:kern w:val="2"/>
          <w:lang w:val="en-US" w:eastAsia="zh-CN"/>
        </w:rPr>
        <w:t>World J Gastroenterol</w:t>
      </w:r>
      <w:r w:rsidRPr="002D48C0">
        <w:rPr>
          <w:rFonts w:ascii="Book Antiqua" w:eastAsiaTheme="minorEastAsia" w:hAnsi="Book Antiqua" w:cstheme="minorBidi"/>
          <w:kern w:val="2"/>
          <w:lang w:val="en-US" w:eastAsia="zh-CN"/>
        </w:rPr>
        <w:t xml:space="preserve"> 2010; </w:t>
      </w:r>
      <w:r w:rsidRPr="002D48C0">
        <w:rPr>
          <w:rFonts w:ascii="Book Antiqua" w:eastAsiaTheme="minorEastAsia" w:hAnsi="Book Antiqua" w:cstheme="minorBidi"/>
          <w:b/>
          <w:kern w:val="2"/>
          <w:lang w:val="en-US" w:eastAsia="zh-CN"/>
        </w:rPr>
        <w:t>16</w:t>
      </w:r>
      <w:r w:rsidRPr="002D48C0">
        <w:rPr>
          <w:rFonts w:ascii="Book Antiqua" w:eastAsiaTheme="minorEastAsia" w:hAnsi="Book Antiqua" w:cstheme="minorBidi"/>
          <w:kern w:val="2"/>
          <w:lang w:val="en-US" w:eastAsia="zh-CN"/>
        </w:rPr>
        <w:t>: 3299-3304 [PMID: 20614486 DOI: 10.3748/</w:t>
      </w:r>
      <w:proofErr w:type="gramStart"/>
      <w:r w:rsidRPr="002D48C0">
        <w:rPr>
          <w:rFonts w:ascii="Book Antiqua" w:eastAsiaTheme="minorEastAsia" w:hAnsi="Book Antiqua" w:cstheme="minorBidi"/>
          <w:kern w:val="2"/>
          <w:lang w:val="en-US" w:eastAsia="zh-CN"/>
        </w:rPr>
        <w:t>wjg.v16.i</w:t>
      </w:r>
      <w:proofErr w:type="gramEnd"/>
      <w:r w:rsidRPr="002D48C0">
        <w:rPr>
          <w:rFonts w:ascii="Book Antiqua" w:eastAsiaTheme="minorEastAsia" w:hAnsi="Book Antiqua" w:cstheme="minorBidi"/>
          <w:kern w:val="2"/>
          <w:lang w:val="en-US" w:eastAsia="zh-CN"/>
        </w:rPr>
        <w:t>26.3299]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32 </w:t>
      </w:r>
      <w:r w:rsidRPr="002D48C0">
        <w:rPr>
          <w:rFonts w:ascii="Book Antiqua" w:eastAsiaTheme="minorEastAsia" w:hAnsi="Book Antiqua" w:cstheme="minorBidi"/>
          <w:b/>
          <w:kern w:val="2"/>
          <w:lang w:val="en-US" w:eastAsia="zh-CN"/>
        </w:rPr>
        <w:t>Sorrentino D</w:t>
      </w:r>
      <w:r w:rsidRPr="002D48C0">
        <w:rPr>
          <w:rFonts w:ascii="Book Antiqua" w:eastAsiaTheme="minorEastAsia" w:hAnsi="Book Antiqua" w:cstheme="minorBidi"/>
          <w:kern w:val="2"/>
          <w:lang w:val="en-US" w:eastAsia="zh-CN"/>
        </w:rPr>
        <w:t xml:space="preserve">, Nguyen VQ. Clinically Significant Small Bowel Crohn's Disease Might Only be Detected by Capsule Endoscopy.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24</w:t>
      </w:r>
      <w:r w:rsidRPr="002D48C0">
        <w:rPr>
          <w:rFonts w:ascii="Book Antiqua" w:eastAsiaTheme="minorEastAsia" w:hAnsi="Book Antiqua" w:cstheme="minorBidi"/>
          <w:kern w:val="2"/>
          <w:lang w:val="en-US" w:eastAsia="zh-CN"/>
        </w:rPr>
        <w:t>: 1566-1574 [PMID: 29893950 DOI: 10.1093/</w:t>
      </w:r>
      <w:proofErr w:type="spellStart"/>
      <w:r w:rsidRPr="002D48C0">
        <w:rPr>
          <w:rFonts w:ascii="Book Antiqua" w:eastAsiaTheme="minorEastAsia" w:hAnsi="Book Antiqua" w:cstheme="minorBidi"/>
          <w:kern w:val="2"/>
          <w:lang w:val="en-US" w:eastAsia="zh-CN"/>
        </w:rPr>
        <w:t>ibd</w:t>
      </w:r>
      <w:proofErr w:type="spellEnd"/>
      <w:r w:rsidRPr="002D48C0">
        <w:rPr>
          <w:rFonts w:ascii="Book Antiqua" w:eastAsiaTheme="minorEastAsia" w:hAnsi="Book Antiqua" w:cstheme="minorBidi"/>
          <w:kern w:val="2"/>
          <w:lang w:val="en-US" w:eastAsia="zh-CN"/>
        </w:rPr>
        <w:t>/izy048]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33 </w:t>
      </w:r>
      <w:r w:rsidRPr="002D48C0">
        <w:rPr>
          <w:rFonts w:ascii="Book Antiqua" w:eastAsiaTheme="minorEastAsia" w:hAnsi="Book Antiqua" w:cstheme="minorBidi"/>
          <w:b/>
          <w:kern w:val="2"/>
          <w:lang w:val="en-US" w:eastAsia="zh-CN"/>
        </w:rPr>
        <w:t>González-Suárez B</w:t>
      </w:r>
      <w:r w:rsidRPr="002D48C0">
        <w:rPr>
          <w:rFonts w:ascii="Book Antiqua" w:eastAsiaTheme="minorEastAsia" w:hAnsi="Book Antiqua" w:cstheme="minorBidi"/>
          <w:kern w:val="2"/>
          <w:lang w:val="en-US" w:eastAsia="zh-CN"/>
        </w:rPr>
        <w:t xml:space="preserve">, Rodriguez S, </w:t>
      </w:r>
      <w:proofErr w:type="spellStart"/>
      <w:r w:rsidRPr="002D48C0">
        <w:rPr>
          <w:rFonts w:ascii="Book Antiqua" w:eastAsiaTheme="minorEastAsia" w:hAnsi="Book Antiqua" w:cstheme="minorBidi"/>
          <w:kern w:val="2"/>
          <w:lang w:val="en-US" w:eastAsia="zh-CN"/>
        </w:rPr>
        <w:t>Ricart</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Ordás</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Rimola</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Díaz</w:t>
      </w:r>
      <w:proofErr w:type="spellEnd"/>
      <w:r w:rsidRPr="002D48C0">
        <w:rPr>
          <w:rFonts w:ascii="Book Antiqua" w:eastAsiaTheme="minorEastAsia" w:hAnsi="Book Antiqua" w:cstheme="minorBidi"/>
          <w:kern w:val="2"/>
          <w:lang w:val="en-US" w:eastAsia="zh-CN"/>
        </w:rPr>
        <w:t xml:space="preserve">-González Á, Romero C, de Miguel CR, </w:t>
      </w:r>
      <w:proofErr w:type="spellStart"/>
      <w:r w:rsidRPr="002D48C0">
        <w:rPr>
          <w:rFonts w:ascii="Book Antiqua" w:eastAsiaTheme="minorEastAsia" w:hAnsi="Book Antiqua" w:cstheme="minorBidi"/>
          <w:kern w:val="2"/>
          <w:lang w:val="en-US" w:eastAsia="zh-CN"/>
        </w:rPr>
        <w:t>Jáuregui</w:t>
      </w:r>
      <w:proofErr w:type="spellEnd"/>
      <w:r w:rsidRPr="002D48C0">
        <w:rPr>
          <w:rFonts w:ascii="Book Antiqua" w:eastAsiaTheme="minorEastAsia" w:hAnsi="Book Antiqua" w:cstheme="minorBidi"/>
          <w:kern w:val="2"/>
          <w:lang w:val="en-US" w:eastAsia="zh-CN"/>
        </w:rPr>
        <w:t xml:space="preserve"> A, Araujo IK, Ramirez A, </w:t>
      </w:r>
      <w:proofErr w:type="spellStart"/>
      <w:r w:rsidRPr="002D48C0">
        <w:rPr>
          <w:rFonts w:ascii="Book Antiqua" w:eastAsiaTheme="minorEastAsia" w:hAnsi="Book Antiqua" w:cstheme="minorBidi"/>
          <w:kern w:val="2"/>
          <w:lang w:val="en-US" w:eastAsia="zh-CN"/>
        </w:rPr>
        <w:t>Gallego</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Fernández-Esparrach</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Ginés</w:t>
      </w:r>
      <w:proofErr w:type="spellEnd"/>
      <w:r w:rsidRPr="002D48C0">
        <w:rPr>
          <w:rFonts w:ascii="Book Antiqua" w:eastAsiaTheme="minorEastAsia" w:hAnsi="Book Antiqua" w:cstheme="minorBidi"/>
          <w:kern w:val="2"/>
          <w:lang w:val="en-US" w:eastAsia="zh-CN"/>
        </w:rPr>
        <w:t xml:space="preserve"> Á, </w:t>
      </w:r>
      <w:proofErr w:type="spellStart"/>
      <w:r w:rsidRPr="002D48C0">
        <w:rPr>
          <w:rFonts w:ascii="Book Antiqua" w:eastAsiaTheme="minorEastAsia" w:hAnsi="Book Antiqua" w:cstheme="minorBidi"/>
          <w:kern w:val="2"/>
          <w:lang w:val="en-US" w:eastAsia="zh-CN"/>
        </w:rPr>
        <w:t>Sendino</w:t>
      </w:r>
      <w:proofErr w:type="spellEnd"/>
      <w:r w:rsidRPr="002D48C0">
        <w:rPr>
          <w:rFonts w:ascii="Book Antiqua" w:eastAsiaTheme="minorEastAsia" w:hAnsi="Book Antiqua" w:cstheme="minorBidi"/>
          <w:kern w:val="2"/>
          <w:lang w:val="en-US" w:eastAsia="zh-CN"/>
        </w:rPr>
        <w:t xml:space="preserve"> O, </w:t>
      </w:r>
      <w:proofErr w:type="spellStart"/>
      <w:r w:rsidRPr="002D48C0">
        <w:rPr>
          <w:rFonts w:ascii="Book Antiqua" w:eastAsiaTheme="minorEastAsia" w:hAnsi="Book Antiqua" w:cstheme="minorBidi"/>
          <w:kern w:val="2"/>
          <w:lang w:val="en-US" w:eastAsia="zh-CN"/>
        </w:rPr>
        <w:t>Llach</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Panés</w:t>
      </w:r>
      <w:proofErr w:type="spellEnd"/>
      <w:r w:rsidRPr="002D48C0">
        <w:rPr>
          <w:rFonts w:ascii="Book Antiqua" w:eastAsiaTheme="minorEastAsia" w:hAnsi="Book Antiqua" w:cstheme="minorBidi"/>
          <w:kern w:val="2"/>
          <w:lang w:val="en-US" w:eastAsia="zh-CN"/>
        </w:rPr>
        <w:t xml:space="preserve"> J. Comparison of Capsule Endoscopy and Magnetic Resonance </w:t>
      </w:r>
      <w:proofErr w:type="spellStart"/>
      <w:r w:rsidRPr="002D48C0">
        <w:rPr>
          <w:rFonts w:ascii="Book Antiqua" w:eastAsiaTheme="minorEastAsia" w:hAnsi="Book Antiqua" w:cstheme="minorBidi"/>
          <w:kern w:val="2"/>
          <w:lang w:val="en-US" w:eastAsia="zh-CN"/>
        </w:rPr>
        <w:t>Enterography</w:t>
      </w:r>
      <w:proofErr w:type="spellEnd"/>
      <w:r w:rsidRPr="002D48C0">
        <w:rPr>
          <w:rFonts w:ascii="Book Antiqua" w:eastAsiaTheme="minorEastAsia" w:hAnsi="Book Antiqua" w:cstheme="minorBidi"/>
          <w:kern w:val="2"/>
          <w:lang w:val="en-US" w:eastAsia="zh-CN"/>
        </w:rPr>
        <w:t xml:space="preserve"> for the Assessment of Small Bowel Lesions in Crohn's Disease.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24</w:t>
      </w:r>
      <w:r w:rsidRPr="002D48C0">
        <w:rPr>
          <w:rFonts w:ascii="Book Antiqua" w:eastAsiaTheme="minorEastAsia" w:hAnsi="Book Antiqua" w:cstheme="minorBidi"/>
          <w:kern w:val="2"/>
          <w:lang w:val="en-US" w:eastAsia="zh-CN"/>
        </w:rPr>
        <w:t>: 775-780 [PMID: 29506048 DOI: 10.1093/</w:t>
      </w:r>
      <w:proofErr w:type="spellStart"/>
      <w:r w:rsidRPr="002D48C0">
        <w:rPr>
          <w:rFonts w:ascii="Book Antiqua" w:eastAsiaTheme="minorEastAsia" w:hAnsi="Book Antiqua" w:cstheme="minorBidi"/>
          <w:kern w:val="2"/>
          <w:lang w:val="en-US" w:eastAsia="zh-CN"/>
        </w:rPr>
        <w:t>ibd</w:t>
      </w:r>
      <w:proofErr w:type="spellEnd"/>
      <w:r w:rsidRPr="002D48C0">
        <w:rPr>
          <w:rFonts w:ascii="Book Antiqua" w:eastAsiaTheme="minorEastAsia" w:hAnsi="Book Antiqua" w:cstheme="minorBidi"/>
          <w:kern w:val="2"/>
          <w:lang w:val="en-US" w:eastAsia="zh-CN"/>
        </w:rPr>
        <w:t>/izx107]</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34 </w:t>
      </w:r>
      <w:r w:rsidRPr="002D48C0">
        <w:rPr>
          <w:rFonts w:ascii="Book Antiqua" w:eastAsiaTheme="minorEastAsia" w:hAnsi="Book Antiqua" w:cstheme="minorBidi"/>
          <w:b/>
          <w:kern w:val="2"/>
          <w:lang w:val="en-US" w:eastAsia="zh-CN"/>
        </w:rPr>
        <w:t>Xavier S</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Cúrdia</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Gonçalves</w:t>
      </w:r>
      <w:proofErr w:type="spellEnd"/>
      <w:r w:rsidRPr="002D48C0">
        <w:rPr>
          <w:rFonts w:ascii="Book Antiqua" w:eastAsiaTheme="minorEastAsia" w:hAnsi="Book Antiqua" w:cstheme="minorBidi"/>
          <w:kern w:val="2"/>
          <w:lang w:val="en-US" w:eastAsia="zh-CN"/>
        </w:rPr>
        <w:t xml:space="preserve"> T, Dias de Castro F, </w:t>
      </w:r>
      <w:proofErr w:type="spellStart"/>
      <w:r w:rsidRPr="002D48C0">
        <w:rPr>
          <w:rFonts w:ascii="Book Antiqua" w:eastAsiaTheme="minorEastAsia" w:hAnsi="Book Antiqua" w:cstheme="minorBidi"/>
          <w:kern w:val="2"/>
          <w:lang w:val="en-US" w:eastAsia="zh-CN"/>
        </w:rPr>
        <w:t>Magalhães</w:t>
      </w:r>
      <w:proofErr w:type="spellEnd"/>
      <w:r w:rsidRPr="002D48C0">
        <w:rPr>
          <w:rFonts w:ascii="Book Antiqua" w:eastAsiaTheme="minorEastAsia" w:hAnsi="Book Antiqua" w:cstheme="minorBidi"/>
          <w:kern w:val="2"/>
          <w:lang w:val="en-US" w:eastAsia="zh-CN"/>
        </w:rPr>
        <w:t xml:space="preserve"> J, Rosa B, Moreira MJ, Cotter J. Perianal Crohn's disease - association with significant inflammatory activity in proximal small bowel segments. </w:t>
      </w:r>
      <w:proofErr w:type="spellStart"/>
      <w:r w:rsidRPr="002D48C0">
        <w:rPr>
          <w:rFonts w:ascii="Book Antiqua" w:eastAsiaTheme="minorEastAsia" w:hAnsi="Book Antiqua" w:cstheme="minorBidi"/>
          <w:i/>
          <w:kern w:val="2"/>
          <w:lang w:val="en-US" w:eastAsia="zh-CN"/>
        </w:rPr>
        <w:t>Scand</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53</w:t>
      </w:r>
      <w:r w:rsidRPr="002D48C0">
        <w:rPr>
          <w:rFonts w:ascii="Book Antiqua" w:eastAsiaTheme="minorEastAsia" w:hAnsi="Book Antiqua" w:cstheme="minorBidi"/>
          <w:kern w:val="2"/>
          <w:lang w:val="en-US" w:eastAsia="zh-CN"/>
        </w:rPr>
        <w:t xml:space="preserve">: 426-429 [PMID: </w:t>
      </w:r>
      <w:r w:rsidRPr="002D48C0">
        <w:rPr>
          <w:rFonts w:ascii="Book Antiqua" w:eastAsiaTheme="minorEastAsia" w:hAnsi="Book Antiqua" w:cstheme="minorBidi"/>
          <w:kern w:val="2"/>
          <w:lang w:val="en-US" w:eastAsia="zh-CN"/>
        </w:rPr>
        <w:lastRenderedPageBreak/>
        <w:t>29447487 DOI: 10.1080/00365521.2018.1437928]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35 </w:t>
      </w:r>
      <w:proofErr w:type="spellStart"/>
      <w:r w:rsidRPr="002D48C0">
        <w:rPr>
          <w:rFonts w:ascii="Book Antiqua" w:eastAsiaTheme="minorEastAsia" w:hAnsi="Book Antiqua" w:cstheme="minorBidi"/>
          <w:b/>
          <w:kern w:val="2"/>
          <w:lang w:val="en-US" w:eastAsia="zh-CN"/>
        </w:rPr>
        <w:t>Maunoury</w:t>
      </w:r>
      <w:proofErr w:type="spellEnd"/>
      <w:r w:rsidRPr="002D48C0">
        <w:rPr>
          <w:rFonts w:ascii="Book Antiqua" w:eastAsiaTheme="minorEastAsia" w:hAnsi="Book Antiqua" w:cstheme="minorBidi"/>
          <w:b/>
          <w:kern w:val="2"/>
          <w:lang w:val="en-US" w:eastAsia="zh-CN"/>
        </w:rPr>
        <w:t xml:space="preserve"> V</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Savoye</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Bourreille</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Bouhnik</w:t>
      </w:r>
      <w:proofErr w:type="spellEnd"/>
      <w:r w:rsidRPr="002D48C0">
        <w:rPr>
          <w:rFonts w:ascii="Book Antiqua" w:eastAsiaTheme="minorEastAsia" w:hAnsi="Book Antiqua" w:cstheme="minorBidi"/>
          <w:kern w:val="2"/>
          <w:lang w:val="en-US" w:eastAsia="zh-CN"/>
        </w:rPr>
        <w:t xml:space="preserve"> Y, </w:t>
      </w:r>
      <w:proofErr w:type="spellStart"/>
      <w:r w:rsidRPr="002D48C0">
        <w:rPr>
          <w:rFonts w:ascii="Book Antiqua" w:eastAsiaTheme="minorEastAsia" w:hAnsi="Book Antiqua" w:cstheme="minorBidi"/>
          <w:kern w:val="2"/>
          <w:lang w:val="en-US" w:eastAsia="zh-CN"/>
        </w:rPr>
        <w:t>Jarry</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Sacher-Huvelin</w:t>
      </w:r>
      <w:proofErr w:type="spellEnd"/>
      <w:r w:rsidRPr="002D48C0">
        <w:rPr>
          <w:rFonts w:ascii="Book Antiqua" w:eastAsiaTheme="minorEastAsia" w:hAnsi="Book Antiqua" w:cstheme="minorBidi"/>
          <w:kern w:val="2"/>
          <w:lang w:val="en-US" w:eastAsia="zh-CN"/>
        </w:rPr>
        <w:t xml:space="preserve"> S, Ben </w:t>
      </w:r>
      <w:proofErr w:type="spellStart"/>
      <w:r w:rsidRPr="002D48C0">
        <w:rPr>
          <w:rFonts w:ascii="Book Antiqua" w:eastAsiaTheme="minorEastAsia" w:hAnsi="Book Antiqua" w:cstheme="minorBidi"/>
          <w:kern w:val="2"/>
          <w:lang w:val="en-US" w:eastAsia="zh-CN"/>
        </w:rPr>
        <w:t>Soussan</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Lerebours</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Galmiche</w:t>
      </w:r>
      <w:proofErr w:type="spellEnd"/>
      <w:r w:rsidRPr="002D48C0">
        <w:rPr>
          <w:rFonts w:ascii="Book Antiqua" w:eastAsiaTheme="minorEastAsia" w:hAnsi="Book Antiqua" w:cstheme="minorBidi"/>
          <w:kern w:val="2"/>
          <w:lang w:val="en-US" w:eastAsia="zh-CN"/>
        </w:rPr>
        <w:t xml:space="preserve"> JP,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Value of wireless capsule endoscopy in patients with indeterminate colitis (inflammatory bowel disease type unclassified).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2007; </w:t>
      </w:r>
      <w:r w:rsidRPr="002D48C0">
        <w:rPr>
          <w:rFonts w:ascii="Book Antiqua" w:eastAsiaTheme="minorEastAsia" w:hAnsi="Book Antiqua" w:cstheme="minorBidi"/>
          <w:b/>
          <w:kern w:val="2"/>
          <w:lang w:val="en-US" w:eastAsia="zh-CN"/>
        </w:rPr>
        <w:t>13</w:t>
      </w:r>
      <w:r w:rsidRPr="002D48C0">
        <w:rPr>
          <w:rFonts w:ascii="Book Antiqua" w:eastAsiaTheme="minorEastAsia" w:hAnsi="Book Antiqua" w:cstheme="minorBidi"/>
          <w:kern w:val="2"/>
          <w:lang w:val="en-US" w:eastAsia="zh-CN"/>
        </w:rPr>
        <w:t>: 152-155 [PMID: 17206697 DOI: 10.1002/ibd.20060]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36 </w:t>
      </w:r>
      <w:r w:rsidRPr="002D48C0">
        <w:rPr>
          <w:rFonts w:ascii="Book Antiqua" w:eastAsiaTheme="minorEastAsia" w:hAnsi="Book Antiqua" w:cstheme="minorBidi"/>
          <w:b/>
          <w:kern w:val="2"/>
          <w:lang w:val="en-US" w:eastAsia="zh-CN"/>
        </w:rPr>
        <w:t>Lopes S</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Figueiredo</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Portela</w:t>
      </w:r>
      <w:proofErr w:type="spellEnd"/>
      <w:r w:rsidRPr="002D48C0">
        <w:rPr>
          <w:rFonts w:ascii="Book Antiqua" w:eastAsiaTheme="minorEastAsia" w:hAnsi="Book Antiqua" w:cstheme="minorBidi"/>
          <w:kern w:val="2"/>
          <w:lang w:val="en-US" w:eastAsia="zh-CN"/>
        </w:rPr>
        <w:t xml:space="preserve"> F, Freire P, Almeida N, </w:t>
      </w:r>
      <w:proofErr w:type="spellStart"/>
      <w:r w:rsidRPr="002D48C0">
        <w:rPr>
          <w:rFonts w:ascii="Book Antiqua" w:eastAsiaTheme="minorEastAsia" w:hAnsi="Book Antiqua" w:cstheme="minorBidi"/>
          <w:kern w:val="2"/>
          <w:lang w:val="en-US" w:eastAsia="zh-CN"/>
        </w:rPr>
        <w:t>Lérias</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Gouveia</w:t>
      </w:r>
      <w:proofErr w:type="spellEnd"/>
      <w:r w:rsidRPr="002D48C0">
        <w:rPr>
          <w:rFonts w:ascii="Book Antiqua" w:eastAsiaTheme="minorEastAsia" w:hAnsi="Book Antiqua" w:cstheme="minorBidi"/>
          <w:kern w:val="2"/>
          <w:lang w:val="en-US" w:eastAsia="zh-CN"/>
        </w:rPr>
        <w:t xml:space="preserve"> H, </w:t>
      </w:r>
      <w:proofErr w:type="spellStart"/>
      <w:r w:rsidRPr="002D48C0">
        <w:rPr>
          <w:rFonts w:ascii="Book Antiqua" w:eastAsiaTheme="minorEastAsia" w:hAnsi="Book Antiqua" w:cstheme="minorBidi"/>
          <w:kern w:val="2"/>
          <w:lang w:val="en-US" w:eastAsia="zh-CN"/>
        </w:rPr>
        <w:t>Leitão</w:t>
      </w:r>
      <w:proofErr w:type="spellEnd"/>
      <w:r w:rsidRPr="002D48C0">
        <w:rPr>
          <w:rFonts w:ascii="Book Antiqua" w:eastAsiaTheme="minorEastAsia" w:hAnsi="Book Antiqua" w:cstheme="minorBidi"/>
          <w:kern w:val="2"/>
          <w:lang w:val="en-US" w:eastAsia="zh-CN"/>
        </w:rPr>
        <w:t xml:space="preserve"> MC. Capsule endoscopy in inflammatory bowel disease type unclassified and indeterminate colitis serologically negative.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2010; </w:t>
      </w:r>
      <w:r w:rsidRPr="002D48C0">
        <w:rPr>
          <w:rFonts w:ascii="Book Antiqua" w:eastAsiaTheme="minorEastAsia" w:hAnsi="Book Antiqua" w:cstheme="minorBidi"/>
          <w:b/>
          <w:kern w:val="2"/>
          <w:lang w:val="en-US" w:eastAsia="zh-CN"/>
        </w:rPr>
        <w:t>16</w:t>
      </w:r>
      <w:r w:rsidRPr="002D48C0">
        <w:rPr>
          <w:rFonts w:ascii="Book Antiqua" w:eastAsiaTheme="minorEastAsia" w:hAnsi="Book Antiqua" w:cstheme="minorBidi"/>
          <w:kern w:val="2"/>
          <w:lang w:val="en-US" w:eastAsia="zh-CN"/>
        </w:rPr>
        <w:t>: 1663-1668 [PMID: 20848457 DOI: 10.1002/ibd.21249]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37 </w:t>
      </w:r>
      <w:r w:rsidRPr="002D48C0">
        <w:rPr>
          <w:rFonts w:ascii="Book Antiqua" w:eastAsiaTheme="minorEastAsia" w:hAnsi="Book Antiqua" w:cstheme="minorBidi"/>
          <w:b/>
          <w:kern w:val="2"/>
          <w:lang w:val="en-US" w:eastAsia="zh-CN"/>
        </w:rPr>
        <w:t>Long MD</w:t>
      </w:r>
      <w:r w:rsidRPr="002D48C0">
        <w:rPr>
          <w:rFonts w:ascii="Book Antiqua" w:eastAsiaTheme="minorEastAsia" w:hAnsi="Book Antiqua" w:cstheme="minorBidi"/>
          <w:kern w:val="2"/>
          <w:lang w:val="en-US" w:eastAsia="zh-CN"/>
        </w:rPr>
        <w:t xml:space="preserve">, Barnes E, Isaacs K, Morgan D, </w:t>
      </w:r>
      <w:proofErr w:type="spellStart"/>
      <w:r w:rsidRPr="002D48C0">
        <w:rPr>
          <w:rFonts w:ascii="Book Antiqua" w:eastAsiaTheme="minorEastAsia" w:hAnsi="Book Antiqua" w:cstheme="minorBidi"/>
          <w:kern w:val="2"/>
          <w:lang w:val="en-US" w:eastAsia="zh-CN"/>
        </w:rPr>
        <w:t>Herfarth</w:t>
      </w:r>
      <w:proofErr w:type="spellEnd"/>
      <w:r w:rsidRPr="002D48C0">
        <w:rPr>
          <w:rFonts w:ascii="Book Antiqua" w:eastAsiaTheme="minorEastAsia" w:hAnsi="Book Antiqua" w:cstheme="minorBidi"/>
          <w:kern w:val="2"/>
          <w:lang w:val="en-US" w:eastAsia="zh-CN"/>
        </w:rPr>
        <w:t xml:space="preserve"> HH. Impact of capsule endoscopy on management of inflammatory bowel disease: a single tertiary care center experience.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2011; </w:t>
      </w:r>
      <w:r w:rsidRPr="002D48C0">
        <w:rPr>
          <w:rFonts w:ascii="Book Antiqua" w:eastAsiaTheme="minorEastAsia" w:hAnsi="Book Antiqua" w:cstheme="minorBidi"/>
          <w:b/>
          <w:kern w:val="2"/>
          <w:lang w:val="en-US" w:eastAsia="zh-CN"/>
        </w:rPr>
        <w:t>17</w:t>
      </w:r>
      <w:r w:rsidRPr="002D48C0">
        <w:rPr>
          <w:rFonts w:ascii="Book Antiqua" w:eastAsiaTheme="minorEastAsia" w:hAnsi="Book Antiqua" w:cstheme="minorBidi"/>
          <w:kern w:val="2"/>
          <w:lang w:val="en-US" w:eastAsia="zh-CN"/>
        </w:rPr>
        <w:t>: 1855-1862 [PMID: 21830264 DOI: 10.1002/ibd.21571]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38 </w:t>
      </w:r>
      <w:r w:rsidRPr="002D48C0">
        <w:rPr>
          <w:rFonts w:ascii="Book Antiqua" w:eastAsiaTheme="minorEastAsia" w:hAnsi="Book Antiqua" w:cstheme="minorBidi"/>
          <w:b/>
          <w:kern w:val="2"/>
          <w:lang w:val="en-US" w:eastAsia="zh-CN"/>
        </w:rPr>
        <w:t>De Bona 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Bellumat</w:t>
      </w:r>
      <w:proofErr w:type="spellEnd"/>
      <w:r w:rsidRPr="002D48C0">
        <w:rPr>
          <w:rFonts w:ascii="Book Antiqua" w:eastAsiaTheme="minorEastAsia" w:hAnsi="Book Antiqua" w:cstheme="minorBidi"/>
          <w:kern w:val="2"/>
          <w:lang w:val="en-US" w:eastAsia="zh-CN"/>
        </w:rPr>
        <w:t xml:space="preserve"> A, Cian E, </w:t>
      </w:r>
      <w:proofErr w:type="spellStart"/>
      <w:r w:rsidRPr="002D48C0">
        <w:rPr>
          <w:rFonts w:ascii="Book Antiqua" w:eastAsiaTheme="minorEastAsia" w:hAnsi="Book Antiqua" w:cstheme="minorBidi"/>
          <w:kern w:val="2"/>
          <w:lang w:val="en-US" w:eastAsia="zh-CN"/>
        </w:rPr>
        <w:t>Valiante</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Moschini</w:t>
      </w:r>
      <w:proofErr w:type="spellEnd"/>
      <w:r w:rsidRPr="002D48C0">
        <w:rPr>
          <w:rFonts w:ascii="Book Antiqua" w:eastAsiaTheme="minorEastAsia" w:hAnsi="Book Antiqua" w:cstheme="minorBidi"/>
          <w:kern w:val="2"/>
          <w:lang w:val="en-US" w:eastAsia="zh-CN"/>
        </w:rPr>
        <w:t xml:space="preserve"> A, De </w:t>
      </w:r>
      <w:proofErr w:type="spellStart"/>
      <w:r w:rsidRPr="002D48C0">
        <w:rPr>
          <w:rFonts w:ascii="Book Antiqua" w:eastAsiaTheme="minorEastAsia" w:hAnsi="Book Antiqua" w:cstheme="minorBidi"/>
          <w:kern w:val="2"/>
          <w:lang w:val="en-US" w:eastAsia="zh-CN"/>
        </w:rPr>
        <w:t>Boni</w:t>
      </w:r>
      <w:proofErr w:type="spellEnd"/>
      <w:r w:rsidRPr="002D48C0">
        <w:rPr>
          <w:rFonts w:ascii="Book Antiqua" w:eastAsiaTheme="minorEastAsia" w:hAnsi="Book Antiqua" w:cstheme="minorBidi"/>
          <w:kern w:val="2"/>
          <w:lang w:val="en-US" w:eastAsia="zh-CN"/>
        </w:rPr>
        <w:t xml:space="preserve"> M. Capsule endoscopy findings in patients with suspected Crohn's disease and biochemical markers of inflammation. </w:t>
      </w:r>
      <w:r w:rsidRPr="002D48C0">
        <w:rPr>
          <w:rFonts w:ascii="Book Antiqua" w:eastAsiaTheme="minorEastAsia" w:hAnsi="Book Antiqua" w:cstheme="minorBidi"/>
          <w:i/>
          <w:kern w:val="2"/>
          <w:lang w:val="en-US" w:eastAsia="zh-CN"/>
        </w:rPr>
        <w:t>Dig Liver Dis</w:t>
      </w:r>
      <w:r w:rsidRPr="002D48C0">
        <w:rPr>
          <w:rFonts w:ascii="Book Antiqua" w:eastAsiaTheme="minorEastAsia" w:hAnsi="Book Antiqua" w:cstheme="minorBidi"/>
          <w:kern w:val="2"/>
          <w:lang w:val="en-US" w:eastAsia="zh-CN"/>
        </w:rPr>
        <w:t xml:space="preserve"> 2006; </w:t>
      </w:r>
      <w:r w:rsidRPr="002D48C0">
        <w:rPr>
          <w:rFonts w:ascii="Book Antiqua" w:eastAsiaTheme="minorEastAsia" w:hAnsi="Book Antiqua" w:cstheme="minorBidi"/>
          <w:b/>
          <w:kern w:val="2"/>
          <w:lang w:val="en-US" w:eastAsia="zh-CN"/>
        </w:rPr>
        <w:t>38</w:t>
      </w:r>
      <w:r w:rsidRPr="002D48C0">
        <w:rPr>
          <w:rFonts w:ascii="Book Antiqua" w:eastAsiaTheme="minorEastAsia" w:hAnsi="Book Antiqua" w:cstheme="minorBidi"/>
          <w:kern w:val="2"/>
          <w:lang w:val="en-US" w:eastAsia="zh-CN"/>
        </w:rPr>
        <w:t>: 331-335 [PMID: 16569524 DOI: 10.1016/j.dld.2006.02.004]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39 </w:t>
      </w:r>
      <w:proofErr w:type="spellStart"/>
      <w:r w:rsidRPr="002D48C0">
        <w:rPr>
          <w:rFonts w:ascii="Book Antiqua" w:eastAsiaTheme="minorEastAsia" w:hAnsi="Book Antiqua" w:cstheme="minorBidi"/>
          <w:b/>
          <w:kern w:val="2"/>
          <w:lang w:val="en-US" w:eastAsia="zh-CN"/>
        </w:rPr>
        <w:t>Mehdizadeh</w:t>
      </w:r>
      <w:proofErr w:type="spellEnd"/>
      <w:r w:rsidRPr="002D48C0">
        <w:rPr>
          <w:rFonts w:ascii="Book Antiqua" w:eastAsiaTheme="minorEastAsia" w:hAnsi="Book Antiqua" w:cstheme="minorBidi"/>
          <w:b/>
          <w:kern w:val="2"/>
          <w:lang w:val="en-US" w:eastAsia="zh-CN"/>
        </w:rPr>
        <w:t xml:space="preserve"> S</w:t>
      </w:r>
      <w:r w:rsidRPr="002D48C0">
        <w:rPr>
          <w:rFonts w:ascii="Book Antiqua" w:eastAsiaTheme="minorEastAsia" w:hAnsi="Book Antiqua" w:cstheme="minorBidi"/>
          <w:kern w:val="2"/>
          <w:lang w:val="en-US" w:eastAsia="zh-CN"/>
        </w:rPr>
        <w:t xml:space="preserve">, Chen GC, </w:t>
      </w:r>
      <w:proofErr w:type="spellStart"/>
      <w:r w:rsidRPr="002D48C0">
        <w:rPr>
          <w:rFonts w:ascii="Book Antiqua" w:eastAsiaTheme="minorEastAsia" w:hAnsi="Book Antiqua" w:cstheme="minorBidi"/>
          <w:kern w:val="2"/>
          <w:lang w:val="en-US" w:eastAsia="zh-CN"/>
        </w:rPr>
        <w:t>Barkodar</w:t>
      </w:r>
      <w:proofErr w:type="spellEnd"/>
      <w:r w:rsidRPr="002D48C0">
        <w:rPr>
          <w:rFonts w:ascii="Book Antiqua" w:eastAsiaTheme="minorEastAsia" w:hAnsi="Book Antiqua" w:cstheme="minorBidi"/>
          <w:kern w:val="2"/>
          <w:lang w:val="en-US" w:eastAsia="zh-CN"/>
        </w:rPr>
        <w:t xml:space="preserve"> L, </w:t>
      </w:r>
      <w:proofErr w:type="spellStart"/>
      <w:r w:rsidRPr="002D48C0">
        <w:rPr>
          <w:rFonts w:ascii="Book Antiqua" w:eastAsiaTheme="minorEastAsia" w:hAnsi="Book Antiqua" w:cstheme="minorBidi"/>
          <w:kern w:val="2"/>
          <w:lang w:val="en-US" w:eastAsia="zh-CN"/>
        </w:rPr>
        <w:t>Enayati</w:t>
      </w:r>
      <w:proofErr w:type="spellEnd"/>
      <w:r w:rsidRPr="002D48C0">
        <w:rPr>
          <w:rFonts w:ascii="Book Antiqua" w:eastAsiaTheme="minorEastAsia" w:hAnsi="Book Antiqua" w:cstheme="minorBidi"/>
          <w:kern w:val="2"/>
          <w:lang w:val="en-US" w:eastAsia="zh-CN"/>
        </w:rPr>
        <w:t xml:space="preserve"> PJ, </w:t>
      </w:r>
      <w:proofErr w:type="spellStart"/>
      <w:r w:rsidRPr="002D48C0">
        <w:rPr>
          <w:rFonts w:ascii="Book Antiqua" w:eastAsiaTheme="minorEastAsia" w:hAnsi="Book Antiqua" w:cstheme="minorBidi"/>
          <w:kern w:val="2"/>
          <w:lang w:val="en-US" w:eastAsia="zh-CN"/>
        </w:rPr>
        <w:t>Pirouz</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Yadegari</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Ippoliti</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Vasiliauskas</w:t>
      </w:r>
      <w:proofErr w:type="spellEnd"/>
      <w:r w:rsidRPr="002D48C0">
        <w:rPr>
          <w:rFonts w:ascii="Book Antiqua" w:eastAsiaTheme="minorEastAsia" w:hAnsi="Book Antiqua" w:cstheme="minorBidi"/>
          <w:kern w:val="2"/>
          <w:lang w:val="en-US" w:eastAsia="zh-CN"/>
        </w:rPr>
        <w:t xml:space="preserve"> EA, Lo SK, Papadakis KA. Capsule endoscopy in patients with Crohn's disease: diagnostic yield and safety.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2010; </w:t>
      </w:r>
      <w:r w:rsidRPr="002D48C0">
        <w:rPr>
          <w:rFonts w:ascii="Book Antiqua" w:eastAsiaTheme="minorEastAsia" w:hAnsi="Book Antiqua" w:cstheme="minorBidi"/>
          <w:b/>
          <w:kern w:val="2"/>
          <w:lang w:val="en-US" w:eastAsia="zh-CN"/>
        </w:rPr>
        <w:t>71</w:t>
      </w:r>
      <w:r w:rsidRPr="002D48C0">
        <w:rPr>
          <w:rFonts w:ascii="Book Antiqua" w:eastAsiaTheme="minorEastAsia" w:hAnsi="Book Antiqua" w:cstheme="minorBidi"/>
          <w:kern w:val="2"/>
          <w:lang w:val="en-US" w:eastAsia="zh-CN"/>
        </w:rPr>
        <w:t>: 121-127 [PMID: 19863957 DOI: 10.1016/j.gie.2009.06.034]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40 </w:t>
      </w:r>
      <w:r w:rsidRPr="002D48C0">
        <w:rPr>
          <w:rFonts w:ascii="Book Antiqua" w:eastAsiaTheme="minorEastAsia" w:hAnsi="Book Antiqua" w:cstheme="minorBidi"/>
          <w:b/>
          <w:kern w:val="2"/>
          <w:lang w:val="en-US" w:eastAsia="zh-CN"/>
        </w:rPr>
        <w:t>Lorenzo-</w:t>
      </w:r>
      <w:proofErr w:type="spellStart"/>
      <w:r w:rsidRPr="002D48C0">
        <w:rPr>
          <w:rFonts w:ascii="Book Antiqua" w:eastAsiaTheme="minorEastAsia" w:hAnsi="Book Antiqua" w:cstheme="minorBidi"/>
          <w:b/>
          <w:kern w:val="2"/>
          <w:lang w:val="en-US" w:eastAsia="zh-CN"/>
        </w:rPr>
        <w:t>Zúñiga</w:t>
      </w:r>
      <w:proofErr w:type="spellEnd"/>
      <w:r w:rsidRPr="002D48C0">
        <w:rPr>
          <w:rFonts w:ascii="Book Antiqua" w:eastAsiaTheme="minorEastAsia" w:hAnsi="Book Antiqua" w:cstheme="minorBidi"/>
          <w:b/>
          <w:kern w:val="2"/>
          <w:lang w:val="en-US" w:eastAsia="zh-CN"/>
        </w:rPr>
        <w:t xml:space="preserve"> V</w:t>
      </w:r>
      <w:r w:rsidRPr="002D48C0">
        <w:rPr>
          <w:rFonts w:ascii="Book Antiqua" w:eastAsiaTheme="minorEastAsia" w:hAnsi="Book Antiqua" w:cstheme="minorBidi"/>
          <w:kern w:val="2"/>
          <w:lang w:val="en-US" w:eastAsia="zh-CN"/>
        </w:rPr>
        <w:t xml:space="preserve">, de Vega VM, </w:t>
      </w:r>
      <w:proofErr w:type="spellStart"/>
      <w:r w:rsidRPr="002D48C0">
        <w:rPr>
          <w:rFonts w:ascii="Book Antiqua" w:eastAsiaTheme="minorEastAsia" w:hAnsi="Book Antiqua" w:cstheme="minorBidi"/>
          <w:kern w:val="2"/>
          <w:lang w:val="en-US" w:eastAsia="zh-CN"/>
        </w:rPr>
        <w:t>Domènech</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Cabré</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Mañosa</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Boix</w:t>
      </w:r>
      <w:proofErr w:type="spellEnd"/>
      <w:r w:rsidRPr="002D48C0">
        <w:rPr>
          <w:rFonts w:ascii="Book Antiqua" w:eastAsiaTheme="minorEastAsia" w:hAnsi="Book Antiqua" w:cstheme="minorBidi"/>
          <w:kern w:val="2"/>
          <w:lang w:val="en-US" w:eastAsia="zh-CN"/>
        </w:rPr>
        <w:t xml:space="preserve"> J. Impact of capsule endoscopy findings in the management of Crohn's Disease. </w:t>
      </w:r>
      <w:r w:rsidRPr="002D48C0">
        <w:rPr>
          <w:rFonts w:ascii="Book Antiqua" w:eastAsiaTheme="minorEastAsia" w:hAnsi="Book Antiqua" w:cstheme="minorBidi"/>
          <w:i/>
          <w:kern w:val="2"/>
          <w:lang w:val="en-US" w:eastAsia="zh-CN"/>
        </w:rPr>
        <w:t>Dig Dis Sci</w:t>
      </w:r>
      <w:r w:rsidRPr="002D48C0">
        <w:rPr>
          <w:rFonts w:ascii="Book Antiqua" w:eastAsiaTheme="minorEastAsia" w:hAnsi="Book Antiqua" w:cstheme="minorBidi"/>
          <w:kern w:val="2"/>
          <w:lang w:val="en-US" w:eastAsia="zh-CN"/>
        </w:rPr>
        <w:t xml:space="preserve"> 2010; </w:t>
      </w:r>
      <w:r w:rsidRPr="002D48C0">
        <w:rPr>
          <w:rFonts w:ascii="Book Antiqua" w:eastAsiaTheme="minorEastAsia" w:hAnsi="Book Antiqua" w:cstheme="minorBidi"/>
          <w:b/>
          <w:kern w:val="2"/>
          <w:lang w:val="en-US" w:eastAsia="zh-CN"/>
        </w:rPr>
        <w:t>55</w:t>
      </w:r>
      <w:r w:rsidRPr="002D48C0">
        <w:rPr>
          <w:rFonts w:ascii="Book Antiqua" w:eastAsiaTheme="minorEastAsia" w:hAnsi="Book Antiqua" w:cstheme="minorBidi"/>
          <w:kern w:val="2"/>
          <w:lang w:val="en-US" w:eastAsia="zh-CN"/>
        </w:rPr>
        <w:t>: 411-414 [PMID: 19255845 DOI: 10.1007/s10620-009-0758-8]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41 </w:t>
      </w:r>
      <w:proofErr w:type="spellStart"/>
      <w:r w:rsidRPr="002D48C0">
        <w:rPr>
          <w:rFonts w:ascii="Book Antiqua" w:eastAsiaTheme="minorEastAsia" w:hAnsi="Book Antiqua" w:cstheme="minorBidi"/>
          <w:b/>
          <w:kern w:val="2"/>
          <w:lang w:val="en-US" w:eastAsia="zh-CN"/>
        </w:rPr>
        <w:t>Urgesi</w:t>
      </w:r>
      <w:proofErr w:type="spellEnd"/>
      <w:r w:rsidRPr="002D48C0">
        <w:rPr>
          <w:rFonts w:ascii="Book Antiqua" w:eastAsiaTheme="minorEastAsia" w:hAnsi="Book Antiqua" w:cstheme="minorBidi"/>
          <w:b/>
          <w:kern w:val="2"/>
          <w:lang w:val="en-US" w:eastAsia="zh-CN"/>
        </w:rPr>
        <w:t xml:space="preserve"> R</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Cianci</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Marmo</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Costamagna</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Riccioni</w:t>
      </w:r>
      <w:proofErr w:type="spellEnd"/>
      <w:r w:rsidRPr="002D48C0">
        <w:rPr>
          <w:rFonts w:ascii="Book Antiqua" w:eastAsiaTheme="minorEastAsia" w:hAnsi="Book Antiqua" w:cstheme="minorBidi"/>
          <w:kern w:val="2"/>
          <w:lang w:val="en-US" w:eastAsia="zh-CN"/>
        </w:rPr>
        <w:t xml:space="preserve"> ME. But how many misunderstood Crohn's </w:t>
      </w:r>
      <w:proofErr w:type="gramStart"/>
      <w:r w:rsidRPr="002D48C0">
        <w:rPr>
          <w:rFonts w:ascii="Book Antiqua" w:eastAsiaTheme="minorEastAsia" w:hAnsi="Book Antiqua" w:cstheme="minorBidi"/>
          <w:kern w:val="2"/>
          <w:lang w:val="en-US" w:eastAsia="zh-CN"/>
        </w:rPr>
        <w:t>disease</w:t>
      </w:r>
      <w:proofErr w:type="gramEnd"/>
      <w:r w:rsidRPr="002D48C0">
        <w:rPr>
          <w:rFonts w:ascii="Book Antiqua" w:eastAsiaTheme="minorEastAsia" w:hAnsi="Book Antiqua" w:cstheme="minorBidi"/>
          <w:kern w:val="2"/>
          <w:lang w:val="en-US" w:eastAsia="zh-CN"/>
        </w:rPr>
        <w:t xml:space="preserve"> are revealed "by chance" using Capsule Endoscopy in Chronic Recurrent OGIB? Experience of a Single Italian Center and long term follow-up. </w:t>
      </w:r>
      <w:proofErr w:type="spellStart"/>
      <w:r w:rsidRPr="002D48C0">
        <w:rPr>
          <w:rFonts w:ascii="Book Antiqua" w:eastAsiaTheme="minorEastAsia" w:hAnsi="Book Antiqua" w:cstheme="minorBidi"/>
          <w:i/>
          <w:kern w:val="2"/>
          <w:lang w:val="en-US" w:eastAsia="zh-CN"/>
        </w:rPr>
        <w:t>Eur</w:t>
      </w:r>
      <w:proofErr w:type="spellEnd"/>
      <w:r w:rsidRPr="002D48C0">
        <w:rPr>
          <w:rFonts w:ascii="Book Antiqua" w:eastAsiaTheme="minorEastAsia" w:hAnsi="Book Antiqua" w:cstheme="minorBidi"/>
          <w:i/>
          <w:kern w:val="2"/>
          <w:lang w:val="en-US" w:eastAsia="zh-CN"/>
        </w:rPr>
        <w:t xml:space="preserve"> Rev Med </w:t>
      </w:r>
      <w:proofErr w:type="spellStart"/>
      <w:r w:rsidRPr="002D48C0">
        <w:rPr>
          <w:rFonts w:ascii="Book Antiqua" w:eastAsiaTheme="minorEastAsia" w:hAnsi="Book Antiqua" w:cstheme="minorBidi"/>
          <w:i/>
          <w:kern w:val="2"/>
          <w:lang w:val="en-US" w:eastAsia="zh-CN"/>
        </w:rPr>
        <w:t>Pharmacol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Sci</w:t>
      </w:r>
      <w:proofErr w:type="spellEnd"/>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19</w:t>
      </w:r>
      <w:r w:rsidRPr="002D48C0">
        <w:rPr>
          <w:rFonts w:ascii="Book Antiqua" w:eastAsiaTheme="minorEastAsia" w:hAnsi="Book Antiqua" w:cstheme="minorBidi"/>
          <w:kern w:val="2"/>
          <w:lang w:val="en-US" w:eastAsia="zh-CN"/>
        </w:rPr>
        <w:t>: 4553-4557 [PMID: 26698252]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42 </w:t>
      </w:r>
      <w:r w:rsidRPr="002D48C0">
        <w:rPr>
          <w:rFonts w:ascii="Book Antiqua" w:eastAsiaTheme="minorEastAsia" w:hAnsi="Book Antiqua" w:cstheme="minorBidi"/>
          <w:b/>
          <w:kern w:val="2"/>
          <w:lang w:val="en-US" w:eastAsia="zh-CN"/>
        </w:rPr>
        <w:t>Hall B</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Holleran</w:t>
      </w:r>
      <w:proofErr w:type="spellEnd"/>
      <w:r w:rsidRPr="002D48C0">
        <w:rPr>
          <w:rFonts w:ascii="Book Antiqua" w:eastAsiaTheme="minorEastAsia" w:hAnsi="Book Antiqua" w:cstheme="minorBidi"/>
          <w:kern w:val="2"/>
          <w:lang w:val="en-US" w:eastAsia="zh-CN"/>
        </w:rPr>
        <w:t xml:space="preserve"> G, Chin JL, Smith S, Ryan B, Mahmud N, McNamara D. A prospective </w:t>
      </w:r>
      <w:proofErr w:type="gramStart"/>
      <w:r w:rsidRPr="002D48C0">
        <w:rPr>
          <w:rFonts w:ascii="Book Antiqua" w:eastAsiaTheme="minorEastAsia" w:hAnsi="Book Antiqua" w:cstheme="minorBidi"/>
          <w:kern w:val="2"/>
          <w:lang w:val="en-US" w:eastAsia="zh-CN"/>
        </w:rPr>
        <w:t>52 week</w:t>
      </w:r>
      <w:proofErr w:type="gramEnd"/>
      <w:r w:rsidRPr="002D48C0">
        <w:rPr>
          <w:rFonts w:ascii="Book Antiqua" w:eastAsiaTheme="minorEastAsia" w:hAnsi="Book Antiqua" w:cstheme="minorBidi"/>
          <w:kern w:val="2"/>
          <w:lang w:val="en-US" w:eastAsia="zh-CN"/>
        </w:rPr>
        <w:t xml:space="preserve"> mucosal healing assessment of small bowel Crohn's disease as </w:t>
      </w:r>
      <w:r w:rsidRPr="002D48C0">
        <w:rPr>
          <w:rFonts w:ascii="Book Antiqua" w:eastAsiaTheme="minorEastAsia" w:hAnsi="Book Antiqua" w:cstheme="minorBidi"/>
          <w:kern w:val="2"/>
          <w:lang w:val="en-US" w:eastAsia="zh-CN"/>
        </w:rPr>
        <w:lastRenderedPageBreak/>
        <w:t xml:space="preserve">detected by capsule endoscopy.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8</w:t>
      </w:r>
      <w:r w:rsidRPr="002D48C0">
        <w:rPr>
          <w:rFonts w:ascii="Book Antiqua" w:eastAsiaTheme="minorEastAsia" w:hAnsi="Book Antiqua" w:cstheme="minorBidi"/>
          <w:kern w:val="2"/>
          <w:lang w:val="en-US" w:eastAsia="zh-CN"/>
        </w:rPr>
        <w:t>: 1601-1609 [PMID: 25257546 DOI: 10.1016/j.crohns.2014.09.005]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43 </w:t>
      </w:r>
      <w:proofErr w:type="spellStart"/>
      <w:r w:rsidRPr="002D48C0">
        <w:rPr>
          <w:rFonts w:ascii="Book Antiqua" w:eastAsiaTheme="minorEastAsia" w:hAnsi="Book Antiqua" w:cstheme="minorBidi"/>
          <w:b/>
          <w:kern w:val="2"/>
          <w:lang w:val="en-US" w:eastAsia="zh-CN"/>
        </w:rPr>
        <w:t>Shafran</w:t>
      </w:r>
      <w:proofErr w:type="spellEnd"/>
      <w:r w:rsidRPr="002D48C0">
        <w:rPr>
          <w:rFonts w:ascii="Book Antiqua" w:eastAsiaTheme="minorEastAsia" w:hAnsi="Book Antiqua" w:cstheme="minorBidi"/>
          <w:b/>
          <w:kern w:val="2"/>
          <w:lang w:val="en-US" w:eastAsia="zh-CN"/>
        </w:rPr>
        <w:t xml:space="preserve"> </w:t>
      </w:r>
      <w:proofErr w:type="gramStart"/>
      <w:r w:rsidRPr="002D48C0">
        <w:rPr>
          <w:rFonts w:ascii="Book Antiqua" w:eastAsiaTheme="minorEastAsia" w:hAnsi="Book Antiqua" w:cstheme="minorBidi"/>
          <w:b/>
          <w:kern w:val="2"/>
          <w:lang w:val="en-US" w:eastAsia="zh-CN"/>
        </w:rPr>
        <w:t>I,</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Burgunder</w:t>
      </w:r>
      <w:proofErr w:type="spellEnd"/>
      <w:proofErr w:type="gram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DePanicis</w:t>
      </w:r>
      <w:proofErr w:type="spellEnd"/>
      <w:r w:rsidRPr="002D48C0">
        <w:rPr>
          <w:rFonts w:ascii="Book Antiqua" w:eastAsiaTheme="minorEastAsia" w:hAnsi="Book Antiqua" w:cstheme="minorBidi"/>
          <w:kern w:val="2"/>
          <w:lang w:val="en-US" w:eastAsia="zh-CN"/>
        </w:rPr>
        <w:t xml:space="preserve"> R, Fitch K, </w:t>
      </w:r>
      <w:proofErr w:type="spellStart"/>
      <w:r w:rsidRPr="002D48C0">
        <w:rPr>
          <w:rFonts w:ascii="Book Antiqua" w:eastAsiaTheme="minorEastAsia" w:hAnsi="Book Antiqua" w:cstheme="minorBidi"/>
          <w:kern w:val="2"/>
          <w:lang w:val="en-US" w:eastAsia="zh-CN"/>
        </w:rPr>
        <w:t>Hewit</w:t>
      </w:r>
      <w:proofErr w:type="spellEnd"/>
      <w:r w:rsidRPr="002D48C0">
        <w:rPr>
          <w:rFonts w:ascii="Book Antiqua" w:eastAsiaTheme="minorEastAsia" w:hAnsi="Book Antiqua" w:cstheme="minorBidi"/>
          <w:kern w:val="2"/>
          <w:lang w:val="en-US" w:eastAsia="zh-CN"/>
        </w:rPr>
        <w:t xml:space="preserve"> S, Abbott L. Evaluation of mucosal healing in Small Bowel Crohn’s disease treated with Certolizumab Pegol assessed by wireless capsule endoscopy. </w:t>
      </w:r>
      <w:r w:rsidRPr="002D48C0">
        <w:rPr>
          <w:rFonts w:ascii="Book Antiqua" w:eastAsiaTheme="minorEastAsia" w:hAnsi="Book Antiqua" w:cstheme="minorBidi"/>
          <w:i/>
          <w:iCs/>
          <w:kern w:val="2"/>
          <w:lang w:val="en-US" w:eastAsia="zh-CN"/>
        </w:rPr>
        <w:t>Clin Case Rep Rev</w:t>
      </w:r>
      <w:r w:rsidRPr="002D48C0">
        <w:rPr>
          <w:rFonts w:ascii="Book Antiqua" w:eastAsiaTheme="minorEastAsia" w:hAnsi="Book Antiqua" w:cstheme="minorBidi"/>
          <w:kern w:val="2"/>
          <w:lang w:val="en-US" w:eastAsia="zh-CN"/>
        </w:rPr>
        <w:t xml:space="preserve"> 2016; 2 [DOI: 10.15761/CCRR.1000284]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44 </w:t>
      </w:r>
      <w:proofErr w:type="spellStart"/>
      <w:r w:rsidRPr="002D48C0">
        <w:rPr>
          <w:rFonts w:ascii="Book Antiqua" w:eastAsiaTheme="minorEastAsia" w:hAnsi="Book Antiqua" w:cstheme="minorBidi"/>
          <w:b/>
          <w:kern w:val="2"/>
          <w:lang w:val="en-US" w:eastAsia="zh-CN"/>
        </w:rPr>
        <w:t>Niv</w:t>
      </w:r>
      <w:proofErr w:type="spellEnd"/>
      <w:r w:rsidRPr="002D48C0">
        <w:rPr>
          <w:rFonts w:ascii="Book Antiqua" w:eastAsiaTheme="minorEastAsia" w:hAnsi="Book Antiqua" w:cstheme="minorBidi"/>
          <w:b/>
          <w:kern w:val="2"/>
          <w:lang w:val="en-US" w:eastAsia="zh-CN"/>
        </w:rPr>
        <w:t xml:space="preserve"> E</w:t>
      </w:r>
      <w:r w:rsidRPr="002D48C0">
        <w:rPr>
          <w:rFonts w:ascii="Book Antiqua" w:eastAsiaTheme="minorEastAsia" w:hAnsi="Book Antiqua" w:cstheme="minorBidi"/>
          <w:kern w:val="2"/>
          <w:lang w:val="en-US" w:eastAsia="zh-CN"/>
        </w:rPr>
        <w:t xml:space="preserve">, Fishman S, </w:t>
      </w:r>
      <w:proofErr w:type="spellStart"/>
      <w:r w:rsidRPr="002D48C0">
        <w:rPr>
          <w:rFonts w:ascii="Book Antiqua" w:eastAsiaTheme="minorEastAsia" w:hAnsi="Book Antiqua" w:cstheme="minorBidi"/>
          <w:kern w:val="2"/>
          <w:lang w:val="en-US" w:eastAsia="zh-CN"/>
        </w:rPr>
        <w:t>Kachman</w:t>
      </w:r>
      <w:proofErr w:type="spellEnd"/>
      <w:r w:rsidRPr="002D48C0">
        <w:rPr>
          <w:rFonts w:ascii="Book Antiqua" w:eastAsiaTheme="minorEastAsia" w:hAnsi="Book Antiqua" w:cstheme="minorBidi"/>
          <w:kern w:val="2"/>
          <w:lang w:val="en-US" w:eastAsia="zh-CN"/>
        </w:rPr>
        <w:t xml:space="preserve"> H, </w:t>
      </w:r>
      <w:proofErr w:type="spellStart"/>
      <w:r w:rsidRPr="002D48C0">
        <w:rPr>
          <w:rFonts w:ascii="Book Antiqua" w:eastAsiaTheme="minorEastAsia" w:hAnsi="Book Antiqua" w:cstheme="minorBidi"/>
          <w:kern w:val="2"/>
          <w:lang w:val="en-US" w:eastAsia="zh-CN"/>
        </w:rPr>
        <w:t>Arnon</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Dotan</w:t>
      </w:r>
      <w:proofErr w:type="spellEnd"/>
      <w:r w:rsidRPr="002D48C0">
        <w:rPr>
          <w:rFonts w:ascii="Book Antiqua" w:eastAsiaTheme="minorEastAsia" w:hAnsi="Book Antiqua" w:cstheme="minorBidi"/>
          <w:kern w:val="2"/>
          <w:lang w:val="en-US" w:eastAsia="zh-CN"/>
        </w:rPr>
        <w:t xml:space="preserve"> I. Sequential capsule endoscopy of the small bowel for follow-up of patients with known Crohn's disease.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8</w:t>
      </w:r>
      <w:r w:rsidRPr="002D48C0">
        <w:rPr>
          <w:rFonts w:ascii="Book Antiqua" w:eastAsiaTheme="minorEastAsia" w:hAnsi="Book Antiqua" w:cstheme="minorBidi"/>
          <w:kern w:val="2"/>
          <w:lang w:val="en-US" w:eastAsia="zh-CN"/>
        </w:rPr>
        <w:t>: 1616-1623 [PMID: 24666976 DOI: 10.1016/j.crohns.2014.03.003]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45 </w:t>
      </w:r>
      <w:proofErr w:type="spellStart"/>
      <w:r w:rsidRPr="002D48C0">
        <w:rPr>
          <w:rFonts w:ascii="Book Antiqua" w:eastAsiaTheme="minorEastAsia" w:hAnsi="Book Antiqua" w:cstheme="minorBidi"/>
          <w:b/>
          <w:kern w:val="2"/>
          <w:lang w:val="en-US" w:eastAsia="zh-CN"/>
        </w:rPr>
        <w:t>Kopylov</w:t>
      </w:r>
      <w:proofErr w:type="spellEnd"/>
      <w:r w:rsidRPr="002D48C0">
        <w:rPr>
          <w:rFonts w:ascii="Book Antiqua" w:eastAsiaTheme="minorEastAsia" w:hAnsi="Book Antiqua" w:cstheme="minorBidi"/>
          <w:b/>
          <w:kern w:val="2"/>
          <w:lang w:val="en-US" w:eastAsia="zh-CN"/>
        </w:rPr>
        <w:t xml:space="preserve"> U</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Yablecovitch</w:t>
      </w:r>
      <w:proofErr w:type="spellEnd"/>
      <w:r w:rsidRPr="002D48C0">
        <w:rPr>
          <w:rFonts w:ascii="Book Antiqua" w:eastAsiaTheme="minorEastAsia" w:hAnsi="Book Antiqua" w:cstheme="minorBidi"/>
          <w:kern w:val="2"/>
          <w:lang w:val="en-US" w:eastAsia="zh-CN"/>
        </w:rPr>
        <w:t xml:space="preserve"> D, Lahat A, </w:t>
      </w:r>
      <w:proofErr w:type="spellStart"/>
      <w:r w:rsidRPr="002D48C0">
        <w:rPr>
          <w:rFonts w:ascii="Book Antiqua" w:eastAsiaTheme="minorEastAsia" w:hAnsi="Book Antiqua" w:cstheme="minorBidi"/>
          <w:kern w:val="2"/>
          <w:lang w:val="en-US" w:eastAsia="zh-CN"/>
        </w:rPr>
        <w:t>Neuman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Levhar</w:t>
      </w:r>
      <w:proofErr w:type="spellEnd"/>
      <w:r w:rsidRPr="002D48C0">
        <w:rPr>
          <w:rFonts w:ascii="Book Antiqua" w:eastAsiaTheme="minorEastAsia" w:hAnsi="Book Antiqua" w:cstheme="minorBidi"/>
          <w:kern w:val="2"/>
          <w:lang w:val="en-US" w:eastAsia="zh-CN"/>
        </w:rPr>
        <w:t xml:space="preserve"> N, Greener T, </w:t>
      </w:r>
      <w:proofErr w:type="spellStart"/>
      <w:r w:rsidRPr="002D48C0">
        <w:rPr>
          <w:rFonts w:ascii="Book Antiqua" w:eastAsiaTheme="minorEastAsia" w:hAnsi="Book Antiqua" w:cstheme="minorBidi"/>
          <w:kern w:val="2"/>
          <w:lang w:val="en-US" w:eastAsia="zh-CN"/>
        </w:rPr>
        <w:t>Klang</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Rozendorn</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Amitai</w:t>
      </w:r>
      <w:proofErr w:type="spellEnd"/>
      <w:r w:rsidRPr="002D48C0">
        <w:rPr>
          <w:rFonts w:ascii="Book Antiqua" w:eastAsiaTheme="minorEastAsia" w:hAnsi="Book Antiqua" w:cstheme="minorBidi"/>
          <w:kern w:val="2"/>
          <w:lang w:val="en-US" w:eastAsia="zh-CN"/>
        </w:rPr>
        <w:t xml:space="preserve"> MM, Ben-</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Eliakim R. Detection of Small Bowel Mucosal Healing and Deep Remission in Patients </w:t>
      </w:r>
      <w:proofErr w:type="gramStart"/>
      <w:r w:rsidRPr="002D48C0">
        <w:rPr>
          <w:rFonts w:ascii="Book Antiqua" w:eastAsiaTheme="minorEastAsia" w:hAnsi="Book Antiqua" w:cstheme="minorBidi"/>
          <w:kern w:val="2"/>
          <w:lang w:val="en-US" w:eastAsia="zh-CN"/>
        </w:rPr>
        <w:t>With</w:t>
      </w:r>
      <w:proofErr w:type="gramEnd"/>
      <w:r w:rsidRPr="002D48C0">
        <w:rPr>
          <w:rFonts w:ascii="Book Antiqua" w:eastAsiaTheme="minorEastAsia" w:hAnsi="Book Antiqua" w:cstheme="minorBidi"/>
          <w:kern w:val="2"/>
          <w:lang w:val="en-US" w:eastAsia="zh-CN"/>
        </w:rPr>
        <w:t xml:space="preserve"> Known Small Bowel Crohn's Disease Using Biomarkers, Capsule Endoscopy, and Imaging. </w:t>
      </w:r>
      <w:r w:rsidRPr="002D48C0">
        <w:rPr>
          <w:rFonts w:ascii="Book Antiqua" w:eastAsiaTheme="minorEastAsia" w:hAnsi="Book Antiqua" w:cstheme="minorBidi"/>
          <w:i/>
          <w:kern w:val="2"/>
          <w:lang w:val="en-US" w:eastAsia="zh-CN"/>
        </w:rPr>
        <w:t>Am J Gastroenterol</w:t>
      </w:r>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110</w:t>
      </w:r>
      <w:r w:rsidRPr="002D48C0">
        <w:rPr>
          <w:rFonts w:ascii="Book Antiqua" w:eastAsiaTheme="minorEastAsia" w:hAnsi="Book Antiqua" w:cstheme="minorBidi"/>
          <w:kern w:val="2"/>
          <w:lang w:val="en-US" w:eastAsia="zh-CN"/>
        </w:rPr>
        <w:t>: 1316-1323 [PMID: 26215531 DOI: 10.1038/ajg.2015.221]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46 </w:t>
      </w:r>
      <w:r w:rsidRPr="002D48C0">
        <w:rPr>
          <w:rFonts w:ascii="Book Antiqua" w:eastAsiaTheme="minorEastAsia" w:hAnsi="Book Antiqua" w:cstheme="minorBidi"/>
          <w:b/>
          <w:kern w:val="2"/>
          <w:lang w:val="en-US" w:eastAsia="zh-CN"/>
        </w:rPr>
        <w:t>Aggarwal V</w:t>
      </w:r>
      <w:r w:rsidRPr="002D48C0">
        <w:rPr>
          <w:rFonts w:ascii="Book Antiqua" w:eastAsiaTheme="minorEastAsia" w:hAnsi="Book Antiqua" w:cstheme="minorBidi"/>
          <w:kern w:val="2"/>
          <w:lang w:val="en-US" w:eastAsia="zh-CN"/>
        </w:rPr>
        <w:t xml:space="preserve">, Day AS, Connor S, Leach ST, Brown G, Singh R, Friedman A, </w:t>
      </w:r>
      <w:proofErr w:type="spellStart"/>
      <w:r w:rsidRPr="002D48C0">
        <w:rPr>
          <w:rFonts w:ascii="Book Antiqua" w:eastAsiaTheme="minorEastAsia" w:hAnsi="Book Antiqua" w:cstheme="minorBidi"/>
          <w:kern w:val="2"/>
          <w:lang w:val="en-US" w:eastAsia="zh-CN"/>
        </w:rPr>
        <w:t>Zekry</w:t>
      </w:r>
      <w:proofErr w:type="spellEnd"/>
      <w:r w:rsidRPr="002D48C0">
        <w:rPr>
          <w:rFonts w:ascii="Book Antiqua" w:eastAsiaTheme="minorEastAsia" w:hAnsi="Book Antiqua" w:cstheme="minorBidi"/>
          <w:kern w:val="2"/>
          <w:lang w:val="en-US" w:eastAsia="zh-CN"/>
        </w:rPr>
        <w:t xml:space="preserve"> A, Craig PI. Role of capsule endoscopy and fecal biomarkers in small-bowel Crohn's disease to assess remission and predict relapse.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86</w:t>
      </w:r>
      <w:r w:rsidRPr="002D48C0">
        <w:rPr>
          <w:rFonts w:ascii="Book Antiqua" w:eastAsiaTheme="minorEastAsia" w:hAnsi="Book Antiqua" w:cstheme="minorBidi"/>
          <w:kern w:val="2"/>
          <w:lang w:val="en-US" w:eastAsia="zh-CN"/>
        </w:rPr>
        <w:t>: 1070-1078 [PMID: 28947363 DOI: 10.1016/j.gie.2017.09.011]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47 </w:t>
      </w:r>
      <w:proofErr w:type="spellStart"/>
      <w:r w:rsidRPr="002D48C0">
        <w:rPr>
          <w:rFonts w:ascii="Book Antiqua" w:eastAsiaTheme="minorEastAsia" w:hAnsi="Book Antiqua" w:cstheme="minorBidi"/>
          <w:b/>
          <w:kern w:val="2"/>
          <w:lang w:val="en-US" w:eastAsia="zh-CN"/>
        </w:rPr>
        <w:t>Mitselos</w:t>
      </w:r>
      <w:proofErr w:type="spellEnd"/>
      <w:r w:rsidRPr="002D48C0">
        <w:rPr>
          <w:rFonts w:ascii="Book Antiqua" w:eastAsiaTheme="minorEastAsia" w:hAnsi="Book Antiqua" w:cstheme="minorBidi"/>
          <w:b/>
          <w:kern w:val="2"/>
          <w:lang w:val="en-US" w:eastAsia="zh-CN"/>
        </w:rPr>
        <w:t xml:space="preserve"> IV</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Katsanos</w:t>
      </w:r>
      <w:proofErr w:type="spellEnd"/>
      <w:r w:rsidRPr="002D48C0">
        <w:rPr>
          <w:rFonts w:ascii="Book Antiqua" w:eastAsiaTheme="minorEastAsia" w:hAnsi="Book Antiqua" w:cstheme="minorBidi"/>
          <w:kern w:val="2"/>
          <w:lang w:val="en-US" w:eastAsia="zh-CN"/>
        </w:rPr>
        <w:t xml:space="preserve"> KH, </w:t>
      </w:r>
      <w:proofErr w:type="spellStart"/>
      <w:r w:rsidRPr="002D48C0">
        <w:rPr>
          <w:rFonts w:ascii="Book Antiqua" w:eastAsiaTheme="minorEastAsia" w:hAnsi="Book Antiqua" w:cstheme="minorBidi"/>
          <w:kern w:val="2"/>
          <w:lang w:val="en-US" w:eastAsia="zh-CN"/>
        </w:rPr>
        <w:t>Tatsioni</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Skamnelos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Eliakim</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Tsianos</w:t>
      </w:r>
      <w:proofErr w:type="spellEnd"/>
      <w:r w:rsidRPr="002D48C0">
        <w:rPr>
          <w:rFonts w:ascii="Book Antiqua" w:eastAsiaTheme="minorEastAsia" w:hAnsi="Book Antiqua" w:cstheme="minorBidi"/>
          <w:kern w:val="2"/>
          <w:lang w:val="en-US" w:eastAsia="zh-CN"/>
        </w:rPr>
        <w:t xml:space="preserve"> EV, Christodoulou DK. Association of clinical and inflammatory markers with small bowel capsule endoscopy findings in Crohn's disease. </w:t>
      </w:r>
      <w:proofErr w:type="spellStart"/>
      <w:r w:rsidRPr="002D48C0">
        <w:rPr>
          <w:rFonts w:ascii="Book Antiqua" w:eastAsiaTheme="minorEastAsia" w:hAnsi="Book Antiqua" w:cstheme="minorBidi"/>
          <w:i/>
          <w:kern w:val="2"/>
          <w:lang w:val="en-US" w:eastAsia="zh-CN"/>
        </w:rPr>
        <w:t>Eur</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30</w:t>
      </w:r>
      <w:r w:rsidRPr="002D48C0">
        <w:rPr>
          <w:rFonts w:ascii="Book Antiqua" w:eastAsiaTheme="minorEastAsia" w:hAnsi="Book Antiqua" w:cstheme="minorBidi"/>
          <w:kern w:val="2"/>
          <w:lang w:val="en-US" w:eastAsia="zh-CN"/>
        </w:rPr>
        <w:t>: 861-867 [PMID: 29697457 DOI: 10.1097/MEG.0000000000001146]</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48 </w:t>
      </w:r>
      <w:proofErr w:type="spellStart"/>
      <w:r w:rsidRPr="002D48C0">
        <w:rPr>
          <w:rFonts w:ascii="Book Antiqua" w:eastAsiaTheme="minorEastAsia" w:hAnsi="Book Antiqua" w:cstheme="minorBidi"/>
          <w:b/>
          <w:kern w:val="2"/>
          <w:lang w:val="en-US" w:eastAsia="zh-CN"/>
        </w:rPr>
        <w:t>Rutgeerts</w:t>
      </w:r>
      <w:proofErr w:type="spellEnd"/>
      <w:r w:rsidRPr="002D48C0">
        <w:rPr>
          <w:rFonts w:ascii="Book Antiqua" w:eastAsiaTheme="minorEastAsia" w:hAnsi="Book Antiqua" w:cstheme="minorBidi"/>
          <w:b/>
          <w:kern w:val="2"/>
          <w:lang w:val="en-US" w:eastAsia="zh-CN"/>
        </w:rPr>
        <w:t xml:space="preserve"> P</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Geboes</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Vantrappen</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Beyls</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Kerremans</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Hiele</w:t>
      </w:r>
      <w:proofErr w:type="spellEnd"/>
      <w:r w:rsidRPr="002D48C0">
        <w:rPr>
          <w:rFonts w:ascii="Book Antiqua" w:eastAsiaTheme="minorEastAsia" w:hAnsi="Book Antiqua" w:cstheme="minorBidi"/>
          <w:kern w:val="2"/>
          <w:lang w:val="en-US" w:eastAsia="zh-CN"/>
        </w:rPr>
        <w:t xml:space="preserve"> M. Predictability of the postoperative course of Crohn's disease. </w:t>
      </w:r>
      <w:r w:rsidRPr="002D48C0">
        <w:rPr>
          <w:rFonts w:ascii="Book Antiqua" w:eastAsiaTheme="minorEastAsia" w:hAnsi="Book Antiqua" w:cstheme="minorBidi"/>
          <w:i/>
          <w:kern w:val="2"/>
          <w:lang w:val="en-US" w:eastAsia="zh-CN"/>
        </w:rPr>
        <w:t>Gastroenterology</w:t>
      </w:r>
      <w:r w:rsidRPr="002D48C0">
        <w:rPr>
          <w:rFonts w:ascii="Book Antiqua" w:eastAsiaTheme="minorEastAsia" w:hAnsi="Book Antiqua" w:cstheme="minorBidi"/>
          <w:kern w:val="2"/>
          <w:lang w:val="en-US" w:eastAsia="zh-CN"/>
        </w:rPr>
        <w:t xml:space="preserve"> 1990; </w:t>
      </w:r>
      <w:r w:rsidRPr="002D48C0">
        <w:rPr>
          <w:rFonts w:ascii="Book Antiqua" w:eastAsiaTheme="minorEastAsia" w:hAnsi="Book Antiqua" w:cstheme="minorBidi"/>
          <w:b/>
          <w:kern w:val="2"/>
          <w:lang w:val="en-US" w:eastAsia="zh-CN"/>
        </w:rPr>
        <w:t>99</w:t>
      </w:r>
      <w:r w:rsidRPr="002D48C0">
        <w:rPr>
          <w:rFonts w:ascii="Book Antiqua" w:eastAsiaTheme="minorEastAsia" w:hAnsi="Book Antiqua" w:cstheme="minorBidi"/>
          <w:kern w:val="2"/>
          <w:lang w:val="en-US" w:eastAsia="zh-CN"/>
        </w:rPr>
        <w:t>: 956-963 [PMID: 2394349]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49 </w:t>
      </w:r>
      <w:proofErr w:type="spellStart"/>
      <w:r w:rsidRPr="002D48C0">
        <w:rPr>
          <w:rFonts w:ascii="Book Antiqua" w:eastAsiaTheme="minorEastAsia" w:hAnsi="Book Antiqua" w:cstheme="minorBidi"/>
          <w:b/>
          <w:kern w:val="2"/>
          <w:lang w:val="en-US" w:eastAsia="zh-CN"/>
        </w:rPr>
        <w:t>Bourreille</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Jarry</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D'Halluin</w:t>
      </w:r>
      <w:proofErr w:type="spellEnd"/>
      <w:r w:rsidRPr="002D48C0">
        <w:rPr>
          <w:rFonts w:ascii="Book Antiqua" w:eastAsiaTheme="minorEastAsia" w:hAnsi="Book Antiqua" w:cstheme="minorBidi"/>
          <w:kern w:val="2"/>
          <w:lang w:val="en-US" w:eastAsia="zh-CN"/>
        </w:rPr>
        <w:t xml:space="preserve"> PN, Ben-</w:t>
      </w:r>
      <w:proofErr w:type="spellStart"/>
      <w:r w:rsidRPr="002D48C0">
        <w:rPr>
          <w:rFonts w:ascii="Book Antiqua" w:eastAsiaTheme="minorEastAsia" w:hAnsi="Book Antiqua" w:cstheme="minorBidi"/>
          <w:kern w:val="2"/>
          <w:lang w:val="en-US" w:eastAsia="zh-CN"/>
        </w:rPr>
        <w:t>Soussan</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Maunoury</w:t>
      </w:r>
      <w:proofErr w:type="spellEnd"/>
      <w:r w:rsidRPr="002D48C0">
        <w:rPr>
          <w:rFonts w:ascii="Book Antiqua" w:eastAsiaTheme="minorEastAsia" w:hAnsi="Book Antiqua" w:cstheme="minorBidi"/>
          <w:kern w:val="2"/>
          <w:lang w:val="en-US" w:eastAsia="zh-CN"/>
        </w:rPr>
        <w:t xml:space="preserve"> V, </w:t>
      </w:r>
      <w:proofErr w:type="spellStart"/>
      <w:r w:rsidRPr="002D48C0">
        <w:rPr>
          <w:rFonts w:ascii="Book Antiqua" w:eastAsiaTheme="minorEastAsia" w:hAnsi="Book Antiqua" w:cstheme="minorBidi"/>
          <w:kern w:val="2"/>
          <w:lang w:val="en-US" w:eastAsia="zh-CN"/>
        </w:rPr>
        <w:t>Bulois</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Sacher-Huvelin</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Vahedy</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Lerebours</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Heresbach</w:t>
      </w:r>
      <w:proofErr w:type="spellEnd"/>
      <w:r w:rsidRPr="002D48C0">
        <w:rPr>
          <w:rFonts w:ascii="Book Antiqua" w:eastAsiaTheme="minorEastAsia" w:hAnsi="Book Antiqua" w:cstheme="minorBidi"/>
          <w:kern w:val="2"/>
          <w:lang w:val="en-US" w:eastAsia="zh-CN"/>
        </w:rPr>
        <w:t xml:space="preserve"> D, Bretagne JF,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w:t>
      </w:r>
      <w:proofErr w:type="spellStart"/>
      <w:r w:rsidRPr="002D48C0">
        <w:rPr>
          <w:rFonts w:ascii="Book Antiqua" w:eastAsiaTheme="minorEastAsia" w:hAnsi="Book Antiqua" w:cstheme="minorBidi"/>
          <w:kern w:val="2"/>
          <w:lang w:val="en-US" w:eastAsia="zh-CN"/>
        </w:rPr>
        <w:t>Galmiche</w:t>
      </w:r>
      <w:proofErr w:type="spellEnd"/>
      <w:r w:rsidRPr="002D48C0">
        <w:rPr>
          <w:rFonts w:ascii="Book Antiqua" w:eastAsiaTheme="minorEastAsia" w:hAnsi="Book Antiqua" w:cstheme="minorBidi"/>
          <w:kern w:val="2"/>
          <w:lang w:val="en-US" w:eastAsia="zh-CN"/>
        </w:rPr>
        <w:t xml:space="preserve"> JP. Wireless capsule endoscopy versus </w:t>
      </w:r>
      <w:proofErr w:type="spellStart"/>
      <w:r w:rsidRPr="002D48C0">
        <w:rPr>
          <w:rFonts w:ascii="Book Antiqua" w:eastAsiaTheme="minorEastAsia" w:hAnsi="Book Antiqua" w:cstheme="minorBidi"/>
          <w:kern w:val="2"/>
          <w:lang w:val="en-US" w:eastAsia="zh-CN"/>
        </w:rPr>
        <w:t>ileocolonoscopy</w:t>
      </w:r>
      <w:proofErr w:type="spellEnd"/>
      <w:r w:rsidRPr="002D48C0">
        <w:rPr>
          <w:rFonts w:ascii="Book Antiqua" w:eastAsiaTheme="minorEastAsia" w:hAnsi="Book Antiqua" w:cstheme="minorBidi"/>
          <w:kern w:val="2"/>
          <w:lang w:val="en-US" w:eastAsia="zh-CN"/>
        </w:rPr>
        <w:t xml:space="preserve"> for the diagnosis of postoperative recurrence of Crohn's disease: a prospective study. </w:t>
      </w:r>
      <w:r w:rsidRPr="002D48C0">
        <w:rPr>
          <w:rFonts w:ascii="Book Antiqua" w:eastAsiaTheme="minorEastAsia" w:hAnsi="Book Antiqua" w:cstheme="minorBidi"/>
          <w:i/>
          <w:kern w:val="2"/>
          <w:lang w:val="en-US" w:eastAsia="zh-CN"/>
        </w:rPr>
        <w:t>Gut</w:t>
      </w:r>
      <w:r w:rsidRPr="002D48C0">
        <w:rPr>
          <w:rFonts w:ascii="Book Antiqua" w:eastAsiaTheme="minorEastAsia" w:hAnsi="Book Antiqua" w:cstheme="minorBidi"/>
          <w:kern w:val="2"/>
          <w:lang w:val="en-US" w:eastAsia="zh-CN"/>
        </w:rPr>
        <w:t xml:space="preserve"> 2006; </w:t>
      </w:r>
      <w:r w:rsidRPr="002D48C0">
        <w:rPr>
          <w:rFonts w:ascii="Book Antiqua" w:eastAsiaTheme="minorEastAsia" w:hAnsi="Book Antiqua" w:cstheme="minorBidi"/>
          <w:b/>
          <w:kern w:val="2"/>
          <w:lang w:val="en-US" w:eastAsia="zh-CN"/>
        </w:rPr>
        <w:t>55</w:t>
      </w:r>
      <w:r w:rsidRPr="002D48C0">
        <w:rPr>
          <w:rFonts w:ascii="Book Antiqua" w:eastAsiaTheme="minorEastAsia" w:hAnsi="Book Antiqua" w:cstheme="minorBidi"/>
          <w:kern w:val="2"/>
          <w:lang w:val="en-US" w:eastAsia="zh-CN"/>
        </w:rPr>
        <w:t>: 978-983 [PMID: 16401689 DOI: 10.1136/gut.2005.081851]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50 </w:t>
      </w:r>
      <w:proofErr w:type="spellStart"/>
      <w:r w:rsidRPr="002D48C0">
        <w:rPr>
          <w:rFonts w:ascii="Book Antiqua" w:eastAsiaTheme="minorEastAsia" w:hAnsi="Book Antiqua" w:cstheme="minorBidi"/>
          <w:b/>
          <w:kern w:val="2"/>
          <w:lang w:val="en-US" w:eastAsia="zh-CN"/>
        </w:rPr>
        <w:t>Biancone</w:t>
      </w:r>
      <w:proofErr w:type="spellEnd"/>
      <w:r w:rsidRPr="002D48C0">
        <w:rPr>
          <w:rFonts w:ascii="Book Antiqua" w:eastAsiaTheme="minorEastAsia" w:hAnsi="Book Antiqua" w:cstheme="minorBidi"/>
          <w:b/>
          <w:kern w:val="2"/>
          <w:lang w:val="en-US" w:eastAsia="zh-CN"/>
        </w:rPr>
        <w:t xml:space="preserve"> L</w:t>
      </w:r>
      <w:r w:rsidRPr="002D48C0">
        <w:rPr>
          <w:rFonts w:ascii="Book Antiqua" w:eastAsiaTheme="minorEastAsia" w:hAnsi="Book Antiqua" w:cstheme="minorBidi"/>
          <w:kern w:val="2"/>
          <w:lang w:val="en-US" w:eastAsia="zh-CN"/>
        </w:rPr>
        <w:t xml:space="preserve">, Calabrese E, </w:t>
      </w:r>
      <w:proofErr w:type="spellStart"/>
      <w:r w:rsidRPr="002D48C0">
        <w:rPr>
          <w:rFonts w:ascii="Book Antiqua" w:eastAsiaTheme="minorEastAsia" w:hAnsi="Book Antiqua" w:cstheme="minorBidi"/>
          <w:kern w:val="2"/>
          <w:lang w:val="en-US" w:eastAsia="zh-CN"/>
        </w:rPr>
        <w:t>Petruzziello</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Onali</w:t>
      </w:r>
      <w:proofErr w:type="spellEnd"/>
      <w:r w:rsidRPr="002D48C0">
        <w:rPr>
          <w:rFonts w:ascii="Book Antiqua" w:eastAsiaTheme="minorEastAsia" w:hAnsi="Book Antiqua" w:cstheme="minorBidi"/>
          <w:kern w:val="2"/>
          <w:lang w:val="en-US" w:eastAsia="zh-CN"/>
        </w:rPr>
        <w:t xml:space="preserve"> S, Caruso A, Palmieri G, </w:t>
      </w:r>
      <w:proofErr w:type="spellStart"/>
      <w:r w:rsidRPr="002D48C0">
        <w:rPr>
          <w:rFonts w:ascii="Book Antiqua" w:eastAsiaTheme="minorEastAsia" w:hAnsi="Book Antiqua" w:cstheme="minorBidi"/>
          <w:kern w:val="2"/>
          <w:lang w:val="en-US" w:eastAsia="zh-CN"/>
        </w:rPr>
        <w:t>Sica</w:t>
      </w:r>
      <w:proofErr w:type="spellEnd"/>
      <w:r w:rsidRPr="002D48C0">
        <w:rPr>
          <w:rFonts w:ascii="Book Antiqua" w:eastAsiaTheme="minorEastAsia" w:hAnsi="Book Antiqua" w:cstheme="minorBidi"/>
          <w:kern w:val="2"/>
          <w:lang w:val="en-US" w:eastAsia="zh-CN"/>
        </w:rPr>
        <w:t xml:space="preserve"> GS, </w:t>
      </w:r>
      <w:r w:rsidRPr="002D48C0">
        <w:rPr>
          <w:rFonts w:ascii="Book Antiqua" w:eastAsiaTheme="minorEastAsia" w:hAnsi="Book Antiqua" w:cstheme="minorBidi"/>
          <w:kern w:val="2"/>
          <w:lang w:val="en-US" w:eastAsia="zh-CN"/>
        </w:rPr>
        <w:lastRenderedPageBreak/>
        <w:t xml:space="preserve">Pallone F. Wireless capsule endoscopy and small intestine contrast ultrasonography in recurrence of Crohn's disease.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2007; </w:t>
      </w:r>
      <w:r w:rsidRPr="002D48C0">
        <w:rPr>
          <w:rFonts w:ascii="Book Antiqua" w:eastAsiaTheme="minorEastAsia" w:hAnsi="Book Antiqua" w:cstheme="minorBidi"/>
          <w:b/>
          <w:kern w:val="2"/>
          <w:lang w:val="en-US" w:eastAsia="zh-CN"/>
        </w:rPr>
        <w:t>13</w:t>
      </w:r>
      <w:r w:rsidRPr="002D48C0">
        <w:rPr>
          <w:rFonts w:ascii="Book Antiqua" w:eastAsiaTheme="minorEastAsia" w:hAnsi="Book Antiqua" w:cstheme="minorBidi"/>
          <w:kern w:val="2"/>
          <w:lang w:val="en-US" w:eastAsia="zh-CN"/>
        </w:rPr>
        <w:t>: 1256-1265 [PMID: 17577246 DOI: 10.1002/ibd.20199]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51 </w:t>
      </w:r>
      <w:r w:rsidRPr="002D48C0">
        <w:rPr>
          <w:rFonts w:ascii="Book Antiqua" w:eastAsiaTheme="minorEastAsia" w:hAnsi="Book Antiqua" w:cstheme="minorBidi"/>
          <w:b/>
          <w:kern w:val="2"/>
          <w:lang w:val="en-US" w:eastAsia="zh-CN"/>
        </w:rPr>
        <w:t xml:space="preserve">Pons </w:t>
      </w:r>
      <w:proofErr w:type="spellStart"/>
      <w:r w:rsidRPr="002D48C0">
        <w:rPr>
          <w:rFonts w:ascii="Book Antiqua" w:eastAsiaTheme="minorEastAsia" w:hAnsi="Book Antiqua" w:cstheme="minorBidi"/>
          <w:b/>
          <w:kern w:val="2"/>
          <w:lang w:val="en-US" w:eastAsia="zh-CN"/>
        </w:rPr>
        <w:t>Beltrán</w:t>
      </w:r>
      <w:proofErr w:type="spellEnd"/>
      <w:r w:rsidRPr="002D48C0">
        <w:rPr>
          <w:rFonts w:ascii="Book Antiqua" w:eastAsiaTheme="minorEastAsia" w:hAnsi="Book Antiqua" w:cstheme="minorBidi"/>
          <w:b/>
          <w:kern w:val="2"/>
          <w:lang w:val="en-US" w:eastAsia="zh-CN"/>
        </w:rPr>
        <w:t xml:space="preserve"> V</w:t>
      </w:r>
      <w:r w:rsidRPr="002D48C0">
        <w:rPr>
          <w:rFonts w:ascii="Book Antiqua" w:eastAsiaTheme="minorEastAsia" w:hAnsi="Book Antiqua" w:cstheme="minorBidi"/>
          <w:kern w:val="2"/>
          <w:lang w:val="en-US" w:eastAsia="zh-CN"/>
        </w:rPr>
        <w:t xml:space="preserve">, Nos P, </w:t>
      </w:r>
      <w:proofErr w:type="spellStart"/>
      <w:r w:rsidRPr="002D48C0">
        <w:rPr>
          <w:rFonts w:ascii="Book Antiqua" w:eastAsiaTheme="minorEastAsia" w:hAnsi="Book Antiqua" w:cstheme="minorBidi"/>
          <w:kern w:val="2"/>
          <w:lang w:val="en-US" w:eastAsia="zh-CN"/>
        </w:rPr>
        <w:t>Bastida</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Beltrán</w:t>
      </w:r>
      <w:proofErr w:type="spellEnd"/>
      <w:r w:rsidRPr="002D48C0">
        <w:rPr>
          <w:rFonts w:ascii="Book Antiqua" w:eastAsiaTheme="minorEastAsia" w:hAnsi="Book Antiqua" w:cstheme="minorBidi"/>
          <w:kern w:val="2"/>
          <w:lang w:val="en-US" w:eastAsia="zh-CN"/>
        </w:rPr>
        <w:t xml:space="preserve"> B, </w:t>
      </w:r>
      <w:proofErr w:type="spellStart"/>
      <w:r w:rsidRPr="002D48C0">
        <w:rPr>
          <w:rFonts w:ascii="Book Antiqua" w:eastAsiaTheme="minorEastAsia" w:hAnsi="Book Antiqua" w:cstheme="minorBidi"/>
          <w:kern w:val="2"/>
          <w:lang w:val="en-US" w:eastAsia="zh-CN"/>
        </w:rPr>
        <w:t>Argüello</w:t>
      </w:r>
      <w:proofErr w:type="spellEnd"/>
      <w:r w:rsidRPr="002D48C0">
        <w:rPr>
          <w:rFonts w:ascii="Book Antiqua" w:eastAsiaTheme="minorEastAsia" w:hAnsi="Book Antiqua" w:cstheme="minorBidi"/>
          <w:kern w:val="2"/>
          <w:lang w:val="en-US" w:eastAsia="zh-CN"/>
        </w:rPr>
        <w:t xml:space="preserve"> L, </w:t>
      </w:r>
      <w:proofErr w:type="spellStart"/>
      <w:r w:rsidRPr="002D48C0">
        <w:rPr>
          <w:rFonts w:ascii="Book Antiqua" w:eastAsiaTheme="minorEastAsia" w:hAnsi="Book Antiqua" w:cstheme="minorBidi"/>
          <w:kern w:val="2"/>
          <w:lang w:val="en-US" w:eastAsia="zh-CN"/>
        </w:rPr>
        <w:t>Aguas</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Rubín</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Pertejo</w:t>
      </w:r>
      <w:proofErr w:type="spellEnd"/>
      <w:r w:rsidRPr="002D48C0">
        <w:rPr>
          <w:rFonts w:ascii="Book Antiqua" w:eastAsiaTheme="minorEastAsia" w:hAnsi="Book Antiqua" w:cstheme="minorBidi"/>
          <w:kern w:val="2"/>
          <w:lang w:val="en-US" w:eastAsia="zh-CN"/>
        </w:rPr>
        <w:t xml:space="preserve"> V, Sala T. Evaluation of postsurgical recurrence in Crohn's disease: a new indication for capsule endoscopy?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2007; </w:t>
      </w:r>
      <w:r w:rsidRPr="002D48C0">
        <w:rPr>
          <w:rFonts w:ascii="Book Antiqua" w:eastAsiaTheme="minorEastAsia" w:hAnsi="Book Antiqua" w:cstheme="minorBidi"/>
          <w:b/>
          <w:kern w:val="2"/>
          <w:lang w:val="en-US" w:eastAsia="zh-CN"/>
        </w:rPr>
        <w:t>66</w:t>
      </w:r>
      <w:r w:rsidRPr="002D48C0">
        <w:rPr>
          <w:rFonts w:ascii="Book Antiqua" w:eastAsiaTheme="minorEastAsia" w:hAnsi="Book Antiqua" w:cstheme="minorBidi"/>
          <w:kern w:val="2"/>
          <w:lang w:val="en-US" w:eastAsia="zh-CN"/>
        </w:rPr>
        <w:t>: 533-540 [PMID: 17725942 DOI: 10.1016/j.gie.2006.12.059]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52 </w:t>
      </w:r>
      <w:proofErr w:type="spellStart"/>
      <w:r w:rsidRPr="002D48C0">
        <w:rPr>
          <w:rFonts w:ascii="Book Antiqua" w:eastAsiaTheme="minorEastAsia" w:hAnsi="Book Antiqua" w:cstheme="minorBidi"/>
          <w:b/>
          <w:kern w:val="2"/>
          <w:lang w:val="en-US" w:eastAsia="zh-CN"/>
        </w:rPr>
        <w:t>Kono</w:t>
      </w:r>
      <w:proofErr w:type="spellEnd"/>
      <w:r w:rsidRPr="002D48C0">
        <w:rPr>
          <w:rFonts w:ascii="Book Antiqua" w:eastAsiaTheme="minorEastAsia" w:hAnsi="Book Antiqua" w:cstheme="minorBidi"/>
          <w:b/>
          <w:kern w:val="2"/>
          <w:lang w:val="en-US" w:eastAsia="zh-CN"/>
        </w:rPr>
        <w:t xml:space="preserve"> T</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Hida</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Nogami</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Iimuro</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Ohda</w:t>
      </w:r>
      <w:proofErr w:type="spellEnd"/>
      <w:r w:rsidRPr="002D48C0">
        <w:rPr>
          <w:rFonts w:ascii="Book Antiqua" w:eastAsiaTheme="minorEastAsia" w:hAnsi="Book Antiqua" w:cstheme="minorBidi"/>
          <w:kern w:val="2"/>
          <w:lang w:val="en-US" w:eastAsia="zh-CN"/>
        </w:rPr>
        <w:t xml:space="preserve"> Y, Yokoyama Y, </w:t>
      </w:r>
      <w:proofErr w:type="spellStart"/>
      <w:r w:rsidRPr="002D48C0">
        <w:rPr>
          <w:rFonts w:ascii="Book Antiqua" w:eastAsiaTheme="minorEastAsia" w:hAnsi="Book Antiqua" w:cstheme="minorBidi"/>
          <w:kern w:val="2"/>
          <w:lang w:val="en-US" w:eastAsia="zh-CN"/>
        </w:rPr>
        <w:t>Kamikozuru</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Tozawa</w:t>
      </w:r>
      <w:proofErr w:type="spellEnd"/>
      <w:r w:rsidRPr="002D48C0">
        <w:rPr>
          <w:rFonts w:ascii="Book Antiqua" w:eastAsiaTheme="minorEastAsia" w:hAnsi="Book Antiqua" w:cstheme="minorBidi"/>
          <w:kern w:val="2"/>
          <w:lang w:val="en-US" w:eastAsia="zh-CN"/>
        </w:rPr>
        <w:t xml:space="preserve"> K, Kawai M, Ogawa T, Hori K, </w:t>
      </w:r>
      <w:proofErr w:type="spellStart"/>
      <w:r w:rsidRPr="002D48C0">
        <w:rPr>
          <w:rFonts w:ascii="Book Antiqua" w:eastAsiaTheme="minorEastAsia" w:hAnsi="Book Antiqua" w:cstheme="minorBidi"/>
          <w:kern w:val="2"/>
          <w:lang w:val="en-US" w:eastAsia="zh-CN"/>
        </w:rPr>
        <w:t>Ikeuchi</w:t>
      </w:r>
      <w:proofErr w:type="spellEnd"/>
      <w:r w:rsidRPr="002D48C0">
        <w:rPr>
          <w:rFonts w:ascii="Book Antiqua" w:eastAsiaTheme="minorEastAsia" w:hAnsi="Book Antiqua" w:cstheme="minorBidi"/>
          <w:kern w:val="2"/>
          <w:lang w:val="en-US" w:eastAsia="zh-CN"/>
        </w:rPr>
        <w:t xml:space="preserve"> H, Miwa H, Nakamura S, Matsumoto T. Prospective postsurgical capsule endoscopy in patients with Crohn's disease. </w:t>
      </w:r>
      <w:r w:rsidRPr="002D48C0">
        <w:rPr>
          <w:rFonts w:ascii="Book Antiqua" w:eastAsiaTheme="minorEastAsia" w:hAnsi="Book Antiqua" w:cstheme="minorBidi"/>
          <w:i/>
          <w:kern w:val="2"/>
          <w:lang w:val="en-US" w:eastAsia="zh-CN"/>
        </w:rPr>
        <w:t xml:space="preserve">World J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6</w:t>
      </w:r>
      <w:r w:rsidRPr="002D48C0">
        <w:rPr>
          <w:rFonts w:ascii="Book Antiqua" w:eastAsiaTheme="minorEastAsia" w:hAnsi="Book Antiqua" w:cstheme="minorBidi"/>
          <w:kern w:val="2"/>
          <w:lang w:val="en-US" w:eastAsia="zh-CN"/>
        </w:rPr>
        <w:t>: 88-98 [PMID: 24634713 DOI: 10.4253/</w:t>
      </w:r>
      <w:proofErr w:type="gramStart"/>
      <w:r w:rsidRPr="002D48C0">
        <w:rPr>
          <w:rFonts w:ascii="Book Antiqua" w:eastAsiaTheme="minorEastAsia" w:hAnsi="Book Antiqua" w:cstheme="minorBidi"/>
          <w:kern w:val="2"/>
          <w:lang w:val="en-US" w:eastAsia="zh-CN"/>
        </w:rPr>
        <w:t>wjge.v</w:t>
      </w:r>
      <w:proofErr w:type="gramEnd"/>
      <w:r w:rsidRPr="002D48C0">
        <w:rPr>
          <w:rFonts w:ascii="Book Antiqua" w:eastAsiaTheme="minorEastAsia" w:hAnsi="Book Antiqua" w:cstheme="minorBidi"/>
          <w:kern w:val="2"/>
          <w:lang w:val="en-US" w:eastAsia="zh-CN"/>
        </w:rPr>
        <w:t>6.i3.88]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53 </w:t>
      </w:r>
      <w:proofErr w:type="spellStart"/>
      <w:r w:rsidRPr="002D48C0">
        <w:rPr>
          <w:rFonts w:ascii="Book Antiqua" w:eastAsiaTheme="minorEastAsia" w:hAnsi="Book Antiqua" w:cstheme="minorBidi"/>
          <w:b/>
          <w:kern w:val="2"/>
          <w:lang w:val="en-US" w:eastAsia="zh-CN"/>
        </w:rPr>
        <w:t>Hausmann</w:t>
      </w:r>
      <w:proofErr w:type="spellEnd"/>
      <w:r w:rsidRPr="002D48C0">
        <w:rPr>
          <w:rFonts w:ascii="Book Antiqua" w:eastAsiaTheme="minorEastAsia" w:hAnsi="Book Antiqua" w:cstheme="minorBidi"/>
          <w:b/>
          <w:kern w:val="2"/>
          <w:lang w:val="en-US" w:eastAsia="zh-CN"/>
        </w:rPr>
        <w:t xml:space="preserve"> J</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Schmelz</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Walldorf</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Filmann</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Zeuzem</w:t>
      </w:r>
      <w:proofErr w:type="spellEnd"/>
      <w:r w:rsidRPr="002D48C0">
        <w:rPr>
          <w:rFonts w:ascii="Book Antiqua" w:eastAsiaTheme="minorEastAsia" w:hAnsi="Book Antiqua" w:cstheme="minorBidi"/>
          <w:kern w:val="2"/>
          <w:lang w:val="en-US" w:eastAsia="zh-CN"/>
        </w:rPr>
        <w:t xml:space="preserve"> S, Albert JG. Pan-intestinal capsule endoscopy in patients with postoperative Crohn's disease: a pilot study. </w:t>
      </w:r>
      <w:proofErr w:type="spellStart"/>
      <w:r w:rsidRPr="002D48C0">
        <w:rPr>
          <w:rFonts w:ascii="Book Antiqua" w:eastAsiaTheme="minorEastAsia" w:hAnsi="Book Antiqua" w:cstheme="minorBidi"/>
          <w:i/>
          <w:kern w:val="2"/>
          <w:lang w:val="en-US" w:eastAsia="zh-CN"/>
        </w:rPr>
        <w:t>Scand</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52</w:t>
      </w:r>
      <w:r w:rsidRPr="002D48C0">
        <w:rPr>
          <w:rFonts w:ascii="Book Antiqua" w:eastAsiaTheme="minorEastAsia" w:hAnsi="Book Antiqua" w:cstheme="minorBidi"/>
          <w:kern w:val="2"/>
          <w:lang w:val="en-US" w:eastAsia="zh-CN"/>
        </w:rPr>
        <w:t>: 840-845 [PMID: 28431493 DOI: 10.1080/00365521.2017.1310289]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54 </w:t>
      </w:r>
      <w:r w:rsidRPr="002D48C0">
        <w:rPr>
          <w:rFonts w:ascii="Book Antiqua" w:eastAsiaTheme="minorEastAsia" w:hAnsi="Book Antiqua" w:cstheme="minorBidi"/>
          <w:b/>
          <w:kern w:val="2"/>
          <w:lang w:val="en-US" w:eastAsia="zh-CN"/>
        </w:rPr>
        <w:t>Han ZM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Qiao</w:t>
      </w:r>
      <w:proofErr w:type="spellEnd"/>
      <w:r w:rsidRPr="002D48C0">
        <w:rPr>
          <w:rFonts w:ascii="Book Antiqua" w:eastAsiaTheme="minorEastAsia" w:hAnsi="Book Antiqua" w:cstheme="minorBidi"/>
          <w:kern w:val="2"/>
          <w:lang w:val="en-US" w:eastAsia="zh-CN"/>
        </w:rPr>
        <w:t xml:space="preserve"> WG, Ai XY, Li AM, Chen ZY, Feng XC, Zhang J, Wan TM, Xu ZM, Bai Y, Li MS, Liu SD, </w:t>
      </w:r>
      <w:proofErr w:type="spellStart"/>
      <w:r w:rsidRPr="002D48C0">
        <w:rPr>
          <w:rFonts w:ascii="Book Antiqua" w:eastAsiaTheme="minorEastAsia" w:hAnsi="Book Antiqua" w:cstheme="minorBidi"/>
          <w:kern w:val="2"/>
          <w:lang w:val="en-US" w:eastAsia="zh-CN"/>
        </w:rPr>
        <w:t>Zhi</w:t>
      </w:r>
      <w:proofErr w:type="spellEnd"/>
      <w:r w:rsidRPr="002D48C0">
        <w:rPr>
          <w:rFonts w:ascii="Book Antiqua" w:eastAsiaTheme="minorEastAsia" w:hAnsi="Book Antiqua" w:cstheme="minorBidi"/>
          <w:kern w:val="2"/>
          <w:lang w:val="en-US" w:eastAsia="zh-CN"/>
        </w:rPr>
        <w:t xml:space="preserve"> FC. Impact of capsule endoscopy on prevention of postoperative recurrence of Crohn's disease.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87</w:t>
      </w:r>
      <w:r w:rsidRPr="002D48C0">
        <w:rPr>
          <w:rFonts w:ascii="Book Antiqua" w:eastAsiaTheme="minorEastAsia" w:hAnsi="Book Antiqua" w:cstheme="minorBidi"/>
          <w:kern w:val="2"/>
          <w:lang w:val="en-US" w:eastAsia="zh-CN"/>
        </w:rPr>
        <w:t>: 1489-1498 [PMID: 29355520 DOI: 10.1016/j.gie.2018.01.017]</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55 </w:t>
      </w:r>
      <w:proofErr w:type="spellStart"/>
      <w:r w:rsidRPr="002D48C0">
        <w:rPr>
          <w:rFonts w:ascii="Book Antiqua" w:eastAsiaTheme="minorEastAsia" w:hAnsi="Book Antiqua" w:cstheme="minorBidi"/>
          <w:b/>
          <w:kern w:val="2"/>
          <w:lang w:val="en-US" w:eastAsia="zh-CN"/>
        </w:rPr>
        <w:t>Kusaka</w:t>
      </w:r>
      <w:proofErr w:type="spellEnd"/>
      <w:r w:rsidRPr="002D48C0">
        <w:rPr>
          <w:rFonts w:ascii="Book Antiqua" w:eastAsiaTheme="minorEastAsia" w:hAnsi="Book Antiqua" w:cstheme="minorBidi"/>
          <w:b/>
          <w:kern w:val="2"/>
          <w:lang w:val="en-US" w:eastAsia="zh-CN"/>
        </w:rPr>
        <w:t xml:space="preserve"> J</w:t>
      </w:r>
      <w:r w:rsidRPr="002D48C0">
        <w:rPr>
          <w:rFonts w:ascii="Book Antiqua" w:eastAsiaTheme="minorEastAsia" w:hAnsi="Book Antiqua" w:cstheme="minorBidi"/>
          <w:kern w:val="2"/>
          <w:lang w:val="en-US" w:eastAsia="zh-CN"/>
        </w:rPr>
        <w:t xml:space="preserve">, Shiga H, </w:t>
      </w:r>
      <w:proofErr w:type="spellStart"/>
      <w:r w:rsidRPr="002D48C0">
        <w:rPr>
          <w:rFonts w:ascii="Book Antiqua" w:eastAsiaTheme="minorEastAsia" w:hAnsi="Book Antiqua" w:cstheme="minorBidi"/>
          <w:kern w:val="2"/>
          <w:lang w:val="en-US" w:eastAsia="zh-CN"/>
        </w:rPr>
        <w:t>Kuroha</w:t>
      </w:r>
      <w:proofErr w:type="spellEnd"/>
      <w:r w:rsidRPr="002D48C0">
        <w:rPr>
          <w:rFonts w:ascii="Book Antiqua" w:eastAsiaTheme="minorEastAsia" w:hAnsi="Book Antiqua" w:cstheme="minorBidi"/>
          <w:kern w:val="2"/>
          <w:lang w:val="en-US" w:eastAsia="zh-CN"/>
        </w:rPr>
        <w:t xml:space="preserve"> M, Kimura T, </w:t>
      </w:r>
      <w:proofErr w:type="spellStart"/>
      <w:r w:rsidRPr="002D48C0">
        <w:rPr>
          <w:rFonts w:ascii="Book Antiqua" w:eastAsiaTheme="minorEastAsia" w:hAnsi="Book Antiqua" w:cstheme="minorBidi"/>
          <w:kern w:val="2"/>
          <w:lang w:val="en-US" w:eastAsia="zh-CN"/>
        </w:rPr>
        <w:t>Kakuta</w:t>
      </w:r>
      <w:proofErr w:type="spellEnd"/>
      <w:r w:rsidRPr="002D48C0">
        <w:rPr>
          <w:rFonts w:ascii="Book Antiqua" w:eastAsiaTheme="minorEastAsia" w:hAnsi="Book Antiqua" w:cstheme="minorBidi"/>
          <w:kern w:val="2"/>
          <w:lang w:val="en-US" w:eastAsia="zh-CN"/>
        </w:rPr>
        <w:t xml:space="preserve"> Y, Endo K, </w:t>
      </w:r>
      <w:proofErr w:type="spellStart"/>
      <w:r w:rsidRPr="002D48C0">
        <w:rPr>
          <w:rFonts w:ascii="Book Antiqua" w:eastAsiaTheme="minorEastAsia" w:hAnsi="Book Antiqua" w:cstheme="minorBidi"/>
          <w:kern w:val="2"/>
          <w:lang w:val="en-US" w:eastAsia="zh-CN"/>
        </w:rPr>
        <w:t>Kinouchi</w:t>
      </w:r>
      <w:proofErr w:type="spellEnd"/>
      <w:r w:rsidRPr="002D48C0">
        <w:rPr>
          <w:rFonts w:ascii="Book Antiqua" w:eastAsiaTheme="minorEastAsia" w:hAnsi="Book Antiqua" w:cstheme="minorBidi"/>
          <w:kern w:val="2"/>
          <w:lang w:val="en-US" w:eastAsia="zh-CN"/>
        </w:rPr>
        <w:t xml:space="preserve"> Y, </w:t>
      </w:r>
      <w:proofErr w:type="spellStart"/>
      <w:r w:rsidRPr="002D48C0">
        <w:rPr>
          <w:rFonts w:ascii="Book Antiqua" w:eastAsiaTheme="minorEastAsia" w:hAnsi="Book Antiqua" w:cstheme="minorBidi"/>
          <w:kern w:val="2"/>
          <w:lang w:val="en-US" w:eastAsia="zh-CN"/>
        </w:rPr>
        <w:t>Shimosegawa</w:t>
      </w:r>
      <w:proofErr w:type="spellEnd"/>
      <w:r w:rsidRPr="002D48C0">
        <w:rPr>
          <w:rFonts w:ascii="Book Antiqua" w:eastAsiaTheme="minorEastAsia" w:hAnsi="Book Antiqua" w:cstheme="minorBidi"/>
          <w:kern w:val="2"/>
          <w:lang w:val="en-US" w:eastAsia="zh-CN"/>
        </w:rPr>
        <w:t xml:space="preserve"> T. Residual Lesions on Capsule Endoscopy Is Associated with Postoperative Clinical Recurrence in Patients with Crohn's Disease. </w:t>
      </w:r>
      <w:r w:rsidRPr="002D48C0">
        <w:rPr>
          <w:rFonts w:ascii="Book Antiqua" w:eastAsiaTheme="minorEastAsia" w:hAnsi="Book Antiqua" w:cstheme="minorBidi"/>
          <w:i/>
          <w:kern w:val="2"/>
          <w:lang w:val="en-US" w:eastAsia="zh-CN"/>
        </w:rPr>
        <w:t>Dig Dis Sci</w:t>
      </w:r>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63</w:t>
      </w:r>
      <w:r w:rsidRPr="002D48C0">
        <w:rPr>
          <w:rFonts w:ascii="Book Antiqua" w:eastAsiaTheme="minorEastAsia" w:hAnsi="Book Antiqua" w:cstheme="minorBidi"/>
          <w:kern w:val="2"/>
          <w:lang w:val="en-US" w:eastAsia="zh-CN"/>
        </w:rPr>
        <w:t>: 768-774 [PMID: 29380174 DOI: 10.1007/s10620-018-4942-6]</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56 </w:t>
      </w:r>
      <w:r w:rsidRPr="002D48C0">
        <w:rPr>
          <w:rFonts w:ascii="Book Antiqua" w:eastAsiaTheme="minorEastAsia" w:hAnsi="Book Antiqua" w:cstheme="minorBidi"/>
          <w:b/>
          <w:kern w:val="2"/>
          <w:lang w:val="en-US" w:eastAsia="zh-CN"/>
        </w:rPr>
        <w:t>Levine A</w:t>
      </w:r>
      <w:r w:rsidRPr="002D48C0">
        <w:rPr>
          <w:rFonts w:ascii="Book Antiqua" w:eastAsiaTheme="minorEastAsia" w:hAnsi="Book Antiqua" w:cstheme="minorBidi"/>
          <w:kern w:val="2"/>
          <w:lang w:val="en-US" w:eastAsia="zh-CN"/>
        </w:rPr>
        <w:t xml:space="preserve">, Griffiths A, Markowitz J, Wilson DC, Turner D, Russell RK, Fell J, </w:t>
      </w:r>
      <w:proofErr w:type="spellStart"/>
      <w:r w:rsidRPr="002D48C0">
        <w:rPr>
          <w:rFonts w:ascii="Book Antiqua" w:eastAsiaTheme="minorEastAsia" w:hAnsi="Book Antiqua" w:cstheme="minorBidi"/>
          <w:kern w:val="2"/>
          <w:lang w:val="en-US" w:eastAsia="zh-CN"/>
        </w:rPr>
        <w:t>Ruemmele</w:t>
      </w:r>
      <w:proofErr w:type="spellEnd"/>
      <w:r w:rsidRPr="002D48C0">
        <w:rPr>
          <w:rFonts w:ascii="Book Antiqua" w:eastAsiaTheme="minorEastAsia" w:hAnsi="Book Antiqua" w:cstheme="minorBidi"/>
          <w:kern w:val="2"/>
          <w:lang w:val="en-US" w:eastAsia="zh-CN"/>
        </w:rPr>
        <w:t xml:space="preserve"> FM, Walters T, Sherlock M, Dubinsky M, </w:t>
      </w:r>
      <w:proofErr w:type="spellStart"/>
      <w:r w:rsidRPr="002D48C0">
        <w:rPr>
          <w:rFonts w:ascii="Book Antiqua" w:eastAsiaTheme="minorEastAsia" w:hAnsi="Book Antiqua" w:cstheme="minorBidi"/>
          <w:kern w:val="2"/>
          <w:lang w:val="en-US" w:eastAsia="zh-CN"/>
        </w:rPr>
        <w:t>Hyams</w:t>
      </w:r>
      <w:proofErr w:type="spellEnd"/>
      <w:r w:rsidRPr="002D48C0">
        <w:rPr>
          <w:rFonts w:ascii="Book Antiqua" w:eastAsiaTheme="minorEastAsia" w:hAnsi="Book Antiqua" w:cstheme="minorBidi"/>
          <w:kern w:val="2"/>
          <w:lang w:val="en-US" w:eastAsia="zh-CN"/>
        </w:rPr>
        <w:t xml:space="preserve"> JS. Pediatric modification of the Montreal classification for inflammatory bowel disease: the Paris classification.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2011; </w:t>
      </w:r>
      <w:r w:rsidRPr="002D48C0">
        <w:rPr>
          <w:rFonts w:ascii="Book Antiqua" w:eastAsiaTheme="minorEastAsia" w:hAnsi="Book Antiqua" w:cstheme="minorBidi"/>
          <w:b/>
          <w:kern w:val="2"/>
          <w:lang w:val="en-US" w:eastAsia="zh-CN"/>
        </w:rPr>
        <w:t>17</w:t>
      </w:r>
      <w:r w:rsidRPr="002D48C0">
        <w:rPr>
          <w:rFonts w:ascii="Book Antiqua" w:eastAsiaTheme="minorEastAsia" w:hAnsi="Book Antiqua" w:cstheme="minorBidi"/>
          <w:kern w:val="2"/>
          <w:lang w:val="en-US" w:eastAsia="zh-CN"/>
        </w:rPr>
        <w:t>: 1314-1321 [PMID: 21560194 DOI: 10.1002/ibd.21493]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57 </w:t>
      </w:r>
      <w:r w:rsidRPr="002D48C0">
        <w:rPr>
          <w:rFonts w:ascii="Book Antiqua" w:eastAsiaTheme="minorEastAsia" w:hAnsi="Book Antiqua" w:cstheme="minorBidi"/>
          <w:b/>
          <w:kern w:val="2"/>
          <w:lang w:val="en-US" w:eastAsia="zh-CN"/>
        </w:rPr>
        <w:t>Mao R</w:t>
      </w:r>
      <w:r w:rsidRPr="002D48C0">
        <w:rPr>
          <w:rFonts w:ascii="Book Antiqua" w:eastAsiaTheme="minorEastAsia" w:hAnsi="Book Antiqua" w:cstheme="minorBidi"/>
          <w:kern w:val="2"/>
          <w:lang w:val="en-US" w:eastAsia="zh-CN"/>
        </w:rPr>
        <w:t xml:space="preserve">, Tang RH, </w:t>
      </w:r>
      <w:proofErr w:type="spellStart"/>
      <w:r w:rsidRPr="002D48C0">
        <w:rPr>
          <w:rFonts w:ascii="Book Antiqua" w:eastAsiaTheme="minorEastAsia" w:hAnsi="Book Antiqua" w:cstheme="minorBidi"/>
          <w:kern w:val="2"/>
          <w:lang w:val="en-US" w:eastAsia="zh-CN"/>
        </w:rPr>
        <w:t>Qiu</w:t>
      </w:r>
      <w:proofErr w:type="spellEnd"/>
      <w:r w:rsidRPr="002D48C0">
        <w:rPr>
          <w:rFonts w:ascii="Book Antiqua" w:eastAsiaTheme="minorEastAsia" w:hAnsi="Book Antiqua" w:cstheme="minorBidi"/>
          <w:kern w:val="2"/>
          <w:lang w:val="en-US" w:eastAsia="zh-CN"/>
        </w:rPr>
        <w:t xml:space="preserve"> Y, Chen BL, Guo J, Zhang SH, Li XH, Feng R, He Y, Li ZP, Zeng ZR, </w:t>
      </w:r>
      <w:proofErr w:type="spellStart"/>
      <w:r w:rsidRPr="002D48C0">
        <w:rPr>
          <w:rFonts w:ascii="Book Antiqua" w:eastAsiaTheme="minorEastAsia" w:hAnsi="Book Antiqua" w:cstheme="minorBidi"/>
          <w:kern w:val="2"/>
          <w:lang w:val="en-US" w:eastAsia="zh-CN"/>
        </w:rPr>
        <w:t>Eliakim</w:t>
      </w:r>
      <w:proofErr w:type="spellEnd"/>
      <w:r w:rsidRPr="002D48C0">
        <w:rPr>
          <w:rFonts w:ascii="Book Antiqua" w:eastAsiaTheme="minorEastAsia" w:hAnsi="Book Antiqua" w:cstheme="minorBidi"/>
          <w:kern w:val="2"/>
          <w:lang w:val="en-US" w:eastAsia="zh-CN"/>
        </w:rPr>
        <w:t xml:space="preserve"> R, Ben-</w:t>
      </w:r>
      <w:proofErr w:type="spellStart"/>
      <w:r w:rsidRPr="002D48C0">
        <w:rPr>
          <w:rFonts w:ascii="Book Antiqua" w:eastAsiaTheme="minorEastAsia" w:hAnsi="Book Antiqua" w:cstheme="minorBidi"/>
          <w:kern w:val="2"/>
          <w:lang w:val="en-US" w:eastAsia="zh-CN"/>
        </w:rPr>
        <w:t>Horin</w:t>
      </w:r>
      <w:proofErr w:type="spellEnd"/>
      <w:r w:rsidRPr="002D48C0">
        <w:rPr>
          <w:rFonts w:ascii="Book Antiqua" w:eastAsiaTheme="minorEastAsia" w:hAnsi="Book Antiqua" w:cstheme="minorBidi"/>
          <w:kern w:val="2"/>
          <w:lang w:val="en-US" w:eastAsia="zh-CN"/>
        </w:rPr>
        <w:t xml:space="preserve"> S, Chen MH. Different clinical outcomes in Crohn's disease patients with </w:t>
      </w:r>
      <w:proofErr w:type="spellStart"/>
      <w:r w:rsidRPr="002D48C0">
        <w:rPr>
          <w:rFonts w:ascii="Book Antiqua" w:eastAsiaTheme="minorEastAsia" w:hAnsi="Book Antiqua" w:cstheme="minorBidi"/>
          <w:kern w:val="2"/>
          <w:lang w:val="en-US" w:eastAsia="zh-CN"/>
        </w:rPr>
        <w:t>esophagogastroduodenal</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jejunal</w:t>
      </w:r>
      <w:proofErr w:type="spellEnd"/>
      <w:r w:rsidRPr="002D48C0">
        <w:rPr>
          <w:rFonts w:ascii="Book Antiqua" w:eastAsiaTheme="minorEastAsia" w:hAnsi="Book Antiqua" w:cstheme="minorBidi"/>
          <w:kern w:val="2"/>
          <w:lang w:val="en-US" w:eastAsia="zh-CN"/>
        </w:rPr>
        <w:t xml:space="preserve">, and proximal ileal disease involvement: is L4 truly a single phenotype? </w:t>
      </w:r>
      <w:proofErr w:type="spellStart"/>
      <w:r w:rsidRPr="002D48C0">
        <w:rPr>
          <w:rFonts w:ascii="Book Antiqua" w:eastAsiaTheme="minorEastAsia" w:hAnsi="Book Antiqua" w:cstheme="minorBidi"/>
          <w:i/>
          <w:kern w:val="2"/>
          <w:lang w:val="en-US" w:eastAsia="zh-CN"/>
        </w:rPr>
        <w:t>Therap</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Adv</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11</w:t>
      </w:r>
      <w:r w:rsidRPr="002D48C0">
        <w:rPr>
          <w:rFonts w:ascii="Book Antiqua" w:eastAsiaTheme="minorEastAsia" w:hAnsi="Book Antiqua" w:cstheme="minorBidi"/>
          <w:kern w:val="2"/>
          <w:lang w:val="en-US" w:eastAsia="zh-CN"/>
        </w:rPr>
        <w:t>: 1756284818777938 [PMID: 29899757 DOI: 10.1177/1756284818777938]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lastRenderedPageBreak/>
        <w:t xml:space="preserve">58 </w:t>
      </w:r>
      <w:proofErr w:type="spellStart"/>
      <w:r w:rsidRPr="002D48C0">
        <w:rPr>
          <w:rFonts w:ascii="Book Antiqua" w:eastAsiaTheme="minorEastAsia" w:hAnsi="Book Antiqua" w:cstheme="minorBidi"/>
          <w:b/>
          <w:kern w:val="2"/>
          <w:lang w:val="en-US" w:eastAsia="zh-CN"/>
        </w:rPr>
        <w:t>Gionchetti</w:t>
      </w:r>
      <w:proofErr w:type="spellEnd"/>
      <w:r w:rsidRPr="002D48C0">
        <w:rPr>
          <w:rFonts w:ascii="Book Antiqua" w:eastAsiaTheme="minorEastAsia" w:hAnsi="Book Antiqua" w:cstheme="minorBidi"/>
          <w:b/>
          <w:kern w:val="2"/>
          <w:lang w:val="en-US" w:eastAsia="zh-CN"/>
        </w:rPr>
        <w:t xml:space="preserve"> P</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Dignass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Danese</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Magro</w:t>
      </w:r>
      <w:proofErr w:type="spellEnd"/>
      <w:r w:rsidRPr="002D48C0">
        <w:rPr>
          <w:rFonts w:ascii="Book Antiqua" w:eastAsiaTheme="minorEastAsia" w:hAnsi="Book Antiqua" w:cstheme="minorBidi"/>
          <w:kern w:val="2"/>
          <w:lang w:val="en-US" w:eastAsia="zh-CN"/>
        </w:rPr>
        <w:t xml:space="preserve"> Dias FJ, </w:t>
      </w:r>
      <w:proofErr w:type="spellStart"/>
      <w:r w:rsidRPr="002D48C0">
        <w:rPr>
          <w:rFonts w:ascii="Book Antiqua" w:eastAsiaTheme="minorEastAsia" w:hAnsi="Book Antiqua" w:cstheme="minorBidi"/>
          <w:kern w:val="2"/>
          <w:lang w:val="en-US" w:eastAsia="zh-CN"/>
        </w:rPr>
        <w:t>Rogler</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Lakatos</w:t>
      </w:r>
      <w:proofErr w:type="spellEnd"/>
      <w:r w:rsidRPr="002D48C0">
        <w:rPr>
          <w:rFonts w:ascii="Book Antiqua" w:eastAsiaTheme="minorEastAsia" w:hAnsi="Book Antiqua" w:cstheme="minorBidi"/>
          <w:kern w:val="2"/>
          <w:lang w:val="en-US" w:eastAsia="zh-CN"/>
        </w:rPr>
        <w:t xml:space="preserve"> PL, </w:t>
      </w:r>
      <w:proofErr w:type="spellStart"/>
      <w:r w:rsidRPr="002D48C0">
        <w:rPr>
          <w:rFonts w:ascii="Book Antiqua" w:eastAsiaTheme="minorEastAsia" w:hAnsi="Book Antiqua" w:cstheme="minorBidi"/>
          <w:kern w:val="2"/>
          <w:lang w:val="en-US" w:eastAsia="zh-CN"/>
        </w:rPr>
        <w:t>Adamina</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Ardizzone</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Buskens</w:t>
      </w:r>
      <w:proofErr w:type="spellEnd"/>
      <w:r w:rsidRPr="002D48C0">
        <w:rPr>
          <w:rFonts w:ascii="Book Antiqua" w:eastAsiaTheme="minorEastAsia" w:hAnsi="Book Antiqua" w:cstheme="minorBidi"/>
          <w:kern w:val="2"/>
          <w:lang w:val="en-US" w:eastAsia="zh-CN"/>
        </w:rPr>
        <w:t xml:space="preserve"> CJ, Sebastian S, </w:t>
      </w:r>
      <w:proofErr w:type="spellStart"/>
      <w:r w:rsidRPr="002D48C0">
        <w:rPr>
          <w:rFonts w:ascii="Book Antiqua" w:eastAsiaTheme="minorEastAsia" w:hAnsi="Book Antiqua" w:cstheme="minorBidi"/>
          <w:kern w:val="2"/>
          <w:lang w:val="en-US" w:eastAsia="zh-CN"/>
        </w:rPr>
        <w:t>Laureti</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Sampietro</w:t>
      </w:r>
      <w:proofErr w:type="spellEnd"/>
      <w:r w:rsidRPr="002D48C0">
        <w:rPr>
          <w:rFonts w:ascii="Book Antiqua" w:eastAsiaTheme="minorEastAsia" w:hAnsi="Book Antiqua" w:cstheme="minorBidi"/>
          <w:kern w:val="2"/>
          <w:lang w:val="en-US" w:eastAsia="zh-CN"/>
        </w:rPr>
        <w:t xml:space="preserve"> GM, </w:t>
      </w:r>
      <w:proofErr w:type="spellStart"/>
      <w:r w:rsidRPr="002D48C0">
        <w:rPr>
          <w:rFonts w:ascii="Book Antiqua" w:eastAsiaTheme="minorEastAsia" w:hAnsi="Book Antiqua" w:cstheme="minorBidi"/>
          <w:kern w:val="2"/>
          <w:lang w:val="en-US" w:eastAsia="zh-CN"/>
        </w:rPr>
        <w:t>Vucelic</w:t>
      </w:r>
      <w:proofErr w:type="spellEnd"/>
      <w:r w:rsidRPr="002D48C0">
        <w:rPr>
          <w:rFonts w:ascii="Book Antiqua" w:eastAsiaTheme="minorEastAsia" w:hAnsi="Book Antiqua" w:cstheme="minorBidi"/>
          <w:kern w:val="2"/>
          <w:lang w:val="en-US" w:eastAsia="zh-CN"/>
        </w:rPr>
        <w:t xml:space="preserve"> B, van der </w:t>
      </w:r>
      <w:proofErr w:type="spellStart"/>
      <w:r w:rsidRPr="002D48C0">
        <w:rPr>
          <w:rFonts w:ascii="Book Antiqua" w:eastAsiaTheme="minorEastAsia" w:hAnsi="Book Antiqua" w:cstheme="minorBidi"/>
          <w:kern w:val="2"/>
          <w:lang w:val="en-US" w:eastAsia="zh-CN"/>
        </w:rPr>
        <w:t>Woude</w:t>
      </w:r>
      <w:proofErr w:type="spellEnd"/>
      <w:r w:rsidRPr="002D48C0">
        <w:rPr>
          <w:rFonts w:ascii="Book Antiqua" w:eastAsiaTheme="minorEastAsia" w:hAnsi="Book Antiqua" w:cstheme="minorBidi"/>
          <w:kern w:val="2"/>
          <w:lang w:val="en-US" w:eastAsia="zh-CN"/>
        </w:rPr>
        <w:t xml:space="preserve"> CJ, Barreiro-de Acosta M, </w:t>
      </w:r>
      <w:proofErr w:type="spellStart"/>
      <w:r w:rsidRPr="002D48C0">
        <w:rPr>
          <w:rFonts w:ascii="Book Antiqua" w:eastAsiaTheme="minorEastAsia" w:hAnsi="Book Antiqua" w:cstheme="minorBidi"/>
          <w:kern w:val="2"/>
          <w:lang w:val="en-US" w:eastAsia="zh-CN"/>
        </w:rPr>
        <w:t>Maaser</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Portela</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Vavricka</w:t>
      </w:r>
      <w:proofErr w:type="spellEnd"/>
      <w:r w:rsidRPr="002D48C0">
        <w:rPr>
          <w:rFonts w:ascii="Book Antiqua" w:eastAsiaTheme="minorEastAsia" w:hAnsi="Book Antiqua" w:cstheme="minorBidi"/>
          <w:kern w:val="2"/>
          <w:lang w:val="en-US" w:eastAsia="zh-CN"/>
        </w:rPr>
        <w:t xml:space="preserve"> SR, </w:t>
      </w:r>
      <w:proofErr w:type="spellStart"/>
      <w:r w:rsidRPr="002D48C0">
        <w:rPr>
          <w:rFonts w:ascii="Book Antiqua" w:eastAsiaTheme="minorEastAsia" w:hAnsi="Book Antiqua" w:cstheme="minorBidi"/>
          <w:kern w:val="2"/>
          <w:lang w:val="en-US" w:eastAsia="zh-CN"/>
        </w:rPr>
        <w:t>Gomollón</w:t>
      </w:r>
      <w:proofErr w:type="spellEnd"/>
      <w:r w:rsidRPr="002D48C0">
        <w:rPr>
          <w:rFonts w:ascii="Book Antiqua" w:eastAsiaTheme="minorEastAsia" w:hAnsi="Book Antiqua" w:cstheme="minorBidi"/>
          <w:kern w:val="2"/>
          <w:lang w:val="en-US" w:eastAsia="zh-CN"/>
        </w:rPr>
        <w:t xml:space="preserve"> F; ECCO. 3rd European Evidence-based Consensus on the Diagnosis and Management of Crohn's Disease 2016: Part 2: Surgical Management and Special Situations.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11</w:t>
      </w:r>
      <w:r w:rsidRPr="002D48C0">
        <w:rPr>
          <w:rFonts w:ascii="Book Antiqua" w:eastAsiaTheme="minorEastAsia" w:hAnsi="Book Antiqua" w:cstheme="minorBidi"/>
          <w:kern w:val="2"/>
          <w:lang w:val="en-US" w:eastAsia="zh-CN"/>
        </w:rPr>
        <w:t>: 135-149 [PMID: 27660342 DOI: 10.1093/</w:t>
      </w:r>
      <w:proofErr w:type="spellStart"/>
      <w:r w:rsidRPr="002D48C0">
        <w:rPr>
          <w:rFonts w:ascii="Book Antiqua" w:eastAsiaTheme="minorEastAsia" w:hAnsi="Book Antiqua" w:cstheme="minorBidi"/>
          <w:kern w:val="2"/>
          <w:lang w:val="en-US" w:eastAsia="zh-CN"/>
        </w:rPr>
        <w:t>ecco-jcc</w:t>
      </w:r>
      <w:proofErr w:type="spellEnd"/>
      <w:r w:rsidRPr="002D48C0">
        <w:rPr>
          <w:rFonts w:ascii="Book Antiqua" w:eastAsiaTheme="minorEastAsia" w:hAnsi="Book Antiqua" w:cstheme="minorBidi"/>
          <w:kern w:val="2"/>
          <w:lang w:val="en-US" w:eastAsia="zh-CN"/>
        </w:rPr>
        <w:t>/jjw169]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59 </w:t>
      </w:r>
      <w:proofErr w:type="spellStart"/>
      <w:r w:rsidRPr="002D48C0">
        <w:rPr>
          <w:rFonts w:ascii="Book Antiqua" w:eastAsiaTheme="minorEastAsia" w:hAnsi="Book Antiqua" w:cstheme="minorBidi"/>
          <w:b/>
          <w:kern w:val="2"/>
          <w:lang w:val="en-US" w:eastAsia="zh-CN"/>
        </w:rPr>
        <w:t>Leenhardt</w:t>
      </w:r>
      <w:proofErr w:type="spellEnd"/>
      <w:r w:rsidRPr="002D48C0">
        <w:rPr>
          <w:rFonts w:ascii="Book Antiqua" w:eastAsiaTheme="minorEastAsia" w:hAnsi="Book Antiqua" w:cstheme="minorBidi"/>
          <w:b/>
          <w:kern w:val="2"/>
          <w:lang w:val="en-US" w:eastAsia="zh-CN"/>
        </w:rPr>
        <w:t xml:space="preserve"> R,</w:t>
      </w:r>
      <w:r w:rsidRPr="002D48C0">
        <w:rPr>
          <w:rFonts w:ascii="Book Antiqua" w:eastAsiaTheme="minorEastAsia" w:hAnsi="Book Antiqua" w:cstheme="minorBidi"/>
          <w:kern w:val="2"/>
          <w:lang w:val="en-US" w:eastAsia="zh-CN"/>
        </w:rPr>
        <w:t xml:space="preserve">  Li C, </w:t>
      </w:r>
      <w:proofErr w:type="spellStart"/>
      <w:r w:rsidRPr="002D48C0">
        <w:rPr>
          <w:rFonts w:ascii="Book Antiqua" w:eastAsiaTheme="minorEastAsia" w:hAnsi="Book Antiqua" w:cstheme="minorBidi"/>
          <w:kern w:val="2"/>
          <w:lang w:val="en-US" w:eastAsia="zh-CN"/>
        </w:rPr>
        <w:t>Koulaouzidis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Cavallaro</w:t>
      </w:r>
      <w:proofErr w:type="spellEnd"/>
      <w:r w:rsidRPr="002D48C0">
        <w:rPr>
          <w:rFonts w:ascii="Book Antiqua" w:eastAsiaTheme="minorEastAsia" w:hAnsi="Book Antiqua" w:cstheme="minorBidi"/>
          <w:kern w:val="2"/>
          <w:lang w:val="en-US" w:eastAsia="zh-CN"/>
        </w:rPr>
        <w:t xml:space="preserve"> F, Cholet F, </w:t>
      </w:r>
      <w:proofErr w:type="spellStart"/>
      <w:r w:rsidRPr="002D48C0">
        <w:rPr>
          <w:rFonts w:ascii="Book Antiqua" w:eastAsiaTheme="minorEastAsia" w:hAnsi="Book Antiqua" w:cstheme="minorBidi"/>
          <w:kern w:val="2"/>
          <w:lang w:val="en-US" w:eastAsia="zh-CN"/>
        </w:rPr>
        <w:t>Eliakim</w:t>
      </w:r>
      <w:proofErr w:type="spellEnd"/>
      <w:r w:rsidRPr="002D48C0">
        <w:rPr>
          <w:rFonts w:ascii="Book Antiqua" w:eastAsiaTheme="minorEastAsia" w:hAnsi="Book Antiqua" w:cstheme="minorBidi"/>
          <w:kern w:val="2"/>
          <w:lang w:val="en-US" w:eastAsia="zh-CN"/>
        </w:rPr>
        <w:t xml:space="preserve"> AR, Fernandez-</w:t>
      </w:r>
      <w:proofErr w:type="spellStart"/>
      <w:r w:rsidRPr="002D48C0">
        <w:rPr>
          <w:rFonts w:ascii="Book Antiqua" w:eastAsiaTheme="minorEastAsia" w:hAnsi="Book Antiqua" w:cstheme="minorBidi"/>
          <w:kern w:val="2"/>
          <w:lang w:val="en-US" w:eastAsia="zh-CN"/>
        </w:rPr>
        <w:t>Urien</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Kopylov</w:t>
      </w:r>
      <w:proofErr w:type="spellEnd"/>
      <w:r w:rsidRPr="002D48C0">
        <w:rPr>
          <w:rFonts w:ascii="Book Antiqua" w:eastAsiaTheme="minorEastAsia" w:hAnsi="Book Antiqua" w:cstheme="minorBidi"/>
          <w:kern w:val="2"/>
          <w:lang w:val="en-US" w:eastAsia="zh-CN"/>
        </w:rPr>
        <w:t xml:space="preserve"> U, </w:t>
      </w:r>
      <w:proofErr w:type="spellStart"/>
      <w:r w:rsidRPr="002D48C0">
        <w:rPr>
          <w:rFonts w:ascii="Book Antiqua" w:eastAsiaTheme="minorEastAsia" w:hAnsi="Book Antiqua" w:cstheme="minorBidi"/>
          <w:kern w:val="2"/>
          <w:lang w:val="en-US" w:eastAsia="zh-CN"/>
        </w:rPr>
        <w:t>McAlindon</w:t>
      </w:r>
      <w:proofErr w:type="spellEnd"/>
      <w:r w:rsidRPr="002D48C0">
        <w:rPr>
          <w:rFonts w:ascii="Book Antiqua" w:eastAsiaTheme="minorEastAsia" w:hAnsi="Book Antiqua" w:cstheme="minorBidi"/>
          <w:kern w:val="2"/>
          <w:lang w:val="en-US" w:eastAsia="zh-CN"/>
        </w:rPr>
        <w:t xml:space="preserve"> M, Nemeth A, </w:t>
      </w:r>
      <w:proofErr w:type="spellStart"/>
      <w:r w:rsidRPr="002D48C0">
        <w:rPr>
          <w:rFonts w:ascii="Book Antiqua" w:eastAsiaTheme="minorEastAsia" w:hAnsi="Book Antiqua" w:cstheme="minorBidi"/>
          <w:kern w:val="2"/>
          <w:lang w:val="en-US" w:eastAsia="zh-CN"/>
        </w:rPr>
        <w:t>Plevris</w:t>
      </w:r>
      <w:proofErr w:type="spellEnd"/>
      <w:r w:rsidRPr="002D48C0">
        <w:rPr>
          <w:rFonts w:ascii="Book Antiqua" w:eastAsiaTheme="minorEastAsia" w:hAnsi="Book Antiqua" w:cstheme="minorBidi"/>
          <w:kern w:val="2"/>
          <w:lang w:val="en-US" w:eastAsia="zh-CN"/>
        </w:rPr>
        <w:t xml:space="preserve"> JN, </w:t>
      </w:r>
      <w:proofErr w:type="spellStart"/>
      <w:r w:rsidRPr="002D48C0">
        <w:rPr>
          <w:rFonts w:ascii="Book Antiqua" w:eastAsiaTheme="minorEastAsia" w:hAnsi="Book Antiqua" w:cstheme="minorBidi"/>
          <w:kern w:val="2"/>
          <w:lang w:val="en-US" w:eastAsia="zh-CN"/>
        </w:rPr>
        <w:t>Rahmi</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Rondonotti</w:t>
      </w:r>
      <w:proofErr w:type="spellEnd"/>
      <w:r w:rsidRPr="002D48C0">
        <w:rPr>
          <w:rFonts w:ascii="Book Antiqua" w:eastAsiaTheme="minorEastAsia" w:hAnsi="Book Antiqua" w:cstheme="minorBidi"/>
          <w:kern w:val="2"/>
          <w:lang w:val="en-US" w:eastAsia="zh-CN"/>
        </w:rPr>
        <w:t xml:space="preserve"> E, </w:t>
      </w:r>
      <w:proofErr w:type="spellStart"/>
      <w:r w:rsidRPr="002D48C0">
        <w:rPr>
          <w:rFonts w:ascii="Book Antiqua" w:eastAsiaTheme="minorEastAsia" w:hAnsi="Book Antiqua" w:cstheme="minorBidi"/>
          <w:kern w:val="2"/>
          <w:lang w:val="en-US" w:eastAsia="zh-CN"/>
        </w:rPr>
        <w:t>Saurin</w:t>
      </w:r>
      <w:proofErr w:type="spellEnd"/>
      <w:r w:rsidRPr="002D48C0">
        <w:rPr>
          <w:rFonts w:ascii="Book Antiqua" w:eastAsiaTheme="minorEastAsia" w:hAnsi="Book Antiqua" w:cstheme="minorBidi"/>
          <w:kern w:val="2"/>
          <w:lang w:val="en-US" w:eastAsia="zh-CN"/>
        </w:rPr>
        <w:t xml:space="preserve"> J-C, </w:t>
      </w:r>
      <w:proofErr w:type="spellStart"/>
      <w:r w:rsidRPr="002D48C0">
        <w:rPr>
          <w:rFonts w:ascii="Book Antiqua" w:eastAsiaTheme="minorEastAsia" w:hAnsi="Book Antiqua" w:cstheme="minorBidi"/>
          <w:kern w:val="2"/>
          <w:lang w:val="en-US" w:eastAsia="zh-CN"/>
        </w:rPr>
        <w:t>Tontini</w:t>
      </w:r>
      <w:proofErr w:type="spellEnd"/>
      <w:r w:rsidRPr="002D48C0">
        <w:rPr>
          <w:rFonts w:ascii="Book Antiqua" w:eastAsiaTheme="minorEastAsia" w:hAnsi="Book Antiqua" w:cstheme="minorBidi"/>
          <w:kern w:val="2"/>
          <w:lang w:val="en-US" w:eastAsia="zh-CN"/>
        </w:rPr>
        <w:t xml:space="preserve"> GE, </w:t>
      </w:r>
      <w:proofErr w:type="spellStart"/>
      <w:r w:rsidRPr="002D48C0">
        <w:rPr>
          <w:rFonts w:ascii="Book Antiqua" w:eastAsiaTheme="minorEastAsia" w:hAnsi="Book Antiqua" w:cstheme="minorBidi"/>
          <w:kern w:val="2"/>
          <w:lang w:val="en-US" w:eastAsia="zh-CN"/>
        </w:rPr>
        <w:t>Toth</w:t>
      </w:r>
      <w:proofErr w:type="spellEnd"/>
      <w:r w:rsidRPr="002D48C0">
        <w:rPr>
          <w:rFonts w:ascii="Book Antiqua" w:eastAsiaTheme="minorEastAsia" w:hAnsi="Book Antiqua" w:cstheme="minorBidi"/>
          <w:kern w:val="2"/>
          <w:lang w:val="en-US" w:eastAsia="zh-CN"/>
        </w:rPr>
        <w:t xml:space="preserve"> E, Yung DE, Marteau PR, Dray X. Sa1028 Terminology And Description Of Vascular Lesions In Small Bowel Capsule Endoscopy: An International Delphi Consensus Statement. </w:t>
      </w:r>
      <w:proofErr w:type="spellStart"/>
      <w:r w:rsidRPr="002D48C0">
        <w:rPr>
          <w:rFonts w:ascii="Book Antiqua" w:eastAsiaTheme="minorEastAsia" w:hAnsi="Book Antiqua" w:cstheme="minorBidi"/>
          <w:i/>
          <w:iCs/>
          <w:kern w:val="2"/>
          <w:lang w:val="en-US" w:eastAsia="zh-CN"/>
        </w:rPr>
        <w:t>Gastrointest</w:t>
      </w:r>
      <w:proofErr w:type="spellEnd"/>
      <w:r w:rsidRPr="002D48C0">
        <w:rPr>
          <w:rFonts w:ascii="Book Antiqua" w:eastAsiaTheme="minorEastAsia" w:hAnsi="Book Antiqua" w:cstheme="minorBidi"/>
          <w:i/>
          <w:iCs/>
          <w:kern w:val="2"/>
          <w:lang w:val="en-US" w:eastAsia="zh-CN"/>
        </w:rPr>
        <w:t xml:space="preserve"> </w:t>
      </w:r>
      <w:proofErr w:type="spellStart"/>
      <w:r w:rsidRPr="002D48C0">
        <w:rPr>
          <w:rFonts w:ascii="Book Antiqua" w:eastAsiaTheme="minorEastAsia" w:hAnsi="Book Antiqua" w:cstheme="minorBidi"/>
          <w:i/>
          <w:iCs/>
          <w:kern w:val="2"/>
          <w:lang w:val="en-US" w:eastAsia="zh-CN"/>
        </w:rPr>
        <w:t>Endosc</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bCs/>
          <w:kern w:val="2"/>
          <w:lang w:val="en-US" w:eastAsia="zh-CN"/>
        </w:rPr>
        <w:t>87</w:t>
      </w:r>
      <w:r w:rsidRPr="002D48C0">
        <w:rPr>
          <w:rFonts w:ascii="Book Antiqua" w:eastAsiaTheme="minorEastAsia" w:hAnsi="Book Antiqua" w:cstheme="minorBidi"/>
          <w:kern w:val="2"/>
          <w:lang w:val="en-US" w:eastAsia="zh-CN"/>
        </w:rPr>
        <w:t>: AB149–150 [DOI: 10.1016/j.gie.2018.04.1379]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60 </w:t>
      </w:r>
      <w:r w:rsidRPr="002D48C0">
        <w:rPr>
          <w:rFonts w:ascii="Book Antiqua" w:eastAsiaTheme="minorEastAsia" w:hAnsi="Book Antiqua" w:cstheme="minorBidi"/>
          <w:b/>
          <w:kern w:val="2"/>
          <w:lang w:val="en-US" w:eastAsia="zh-CN"/>
        </w:rPr>
        <w:t>Jensen MD</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Brodersen</w:t>
      </w:r>
      <w:proofErr w:type="spellEnd"/>
      <w:r w:rsidRPr="002D48C0">
        <w:rPr>
          <w:rFonts w:ascii="Book Antiqua" w:eastAsiaTheme="minorEastAsia" w:hAnsi="Book Antiqua" w:cstheme="minorBidi"/>
          <w:kern w:val="2"/>
          <w:lang w:val="en-US" w:eastAsia="zh-CN"/>
        </w:rPr>
        <w:t xml:space="preserve"> JB, </w:t>
      </w:r>
      <w:proofErr w:type="spellStart"/>
      <w:r w:rsidRPr="002D48C0">
        <w:rPr>
          <w:rFonts w:ascii="Book Antiqua" w:eastAsiaTheme="minorEastAsia" w:hAnsi="Book Antiqua" w:cstheme="minorBidi"/>
          <w:kern w:val="2"/>
          <w:lang w:val="en-US" w:eastAsia="zh-CN"/>
        </w:rPr>
        <w:t>Kjeldsen</w:t>
      </w:r>
      <w:proofErr w:type="spellEnd"/>
      <w:r w:rsidRPr="002D48C0">
        <w:rPr>
          <w:rFonts w:ascii="Book Antiqua" w:eastAsiaTheme="minorEastAsia" w:hAnsi="Book Antiqua" w:cstheme="minorBidi"/>
          <w:kern w:val="2"/>
          <w:lang w:val="en-US" w:eastAsia="zh-CN"/>
        </w:rPr>
        <w:t xml:space="preserve"> J. Capsule endoscopy for the diagnosis and follow up of Crohn's disease: a comprehensive review of current status. </w:t>
      </w:r>
      <w:r w:rsidRPr="002D48C0">
        <w:rPr>
          <w:rFonts w:ascii="Book Antiqua" w:eastAsiaTheme="minorEastAsia" w:hAnsi="Book Antiqua" w:cstheme="minorBidi"/>
          <w:i/>
          <w:kern w:val="2"/>
          <w:lang w:val="en-US" w:eastAsia="zh-CN"/>
        </w:rPr>
        <w:t>Ann Gastroenterol</w:t>
      </w:r>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30</w:t>
      </w:r>
      <w:r w:rsidRPr="002D48C0">
        <w:rPr>
          <w:rFonts w:ascii="Book Antiqua" w:eastAsiaTheme="minorEastAsia" w:hAnsi="Book Antiqua" w:cstheme="minorBidi"/>
          <w:kern w:val="2"/>
          <w:lang w:val="en-US" w:eastAsia="zh-CN"/>
        </w:rPr>
        <w:t>: 168-178 [PMID: 28243037 DOI: 10.20524/aog.2016.0119]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61 </w:t>
      </w:r>
      <w:proofErr w:type="spellStart"/>
      <w:r w:rsidRPr="002D48C0">
        <w:rPr>
          <w:rFonts w:ascii="Book Antiqua" w:eastAsiaTheme="minorEastAsia" w:hAnsi="Book Antiqua" w:cstheme="minorBidi"/>
          <w:b/>
          <w:kern w:val="2"/>
          <w:lang w:val="en-US" w:eastAsia="zh-CN"/>
        </w:rPr>
        <w:t>Rokkas</w:t>
      </w:r>
      <w:proofErr w:type="spellEnd"/>
      <w:r w:rsidRPr="002D48C0">
        <w:rPr>
          <w:rFonts w:ascii="Book Antiqua" w:eastAsiaTheme="minorEastAsia" w:hAnsi="Book Antiqua" w:cstheme="minorBidi"/>
          <w:b/>
          <w:kern w:val="2"/>
          <w:lang w:val="en-US" w:eastAsia="zh-CN"/>
        </w:rPr>
        <w:t xml:space="preserve"> T</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Papaxoinis</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Triantafyllou</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Pistiolas</w:t>
      </w:r>
      <w:proofErr w:type="spellEnd"/>
      <w:r w:rsidRPr="002D48C0">
        <w:rPr>
          <w:rFonts w:ascii="Book Antiqua" w:eastAsiaTheme="minorEastAsia" w:hAnsi="Book Antiqua" w:cstheme="minorBidi"/>
          <w:kern w:val="2"/>
          <w:lang w:val="en-US" w:eastAsia="zh-CN"/>
        </w:rPr>
        <w:t xml:space="preserve"> D, Ladas SD. Does purgative preparation influence the diagnostic yield of small bowel video capsule </w:t>
      </w:r>
      <w:proofErr w:type="gramStart"/>
      <w:r w:rsidRPr="002D48C0">
        <w:rPr>
          <w:rFonts w:ascii="Book Antiqua" w:eastAsiaTheme="minorEastAsia" w:hAnsi="Book Antiqua" w:cstheme="minorBidi"/>
          <w:kern w:val="2"/>
          <w:lang w:val="en-US" w:eastAsia="zh-CN"/>
        </w:rPr>
        <w:t>endoscopy?:</w:t>
      </w:r>
      <w:proofErr w:type="gramEnd"/>
      <w:r w:rsidRPr="002D48C0">
        <w:rPr>
          <w:rFonts w:ascii="Book Antiqua" w:eastAsiaTheme="minorEastAsia" w:hAnsi="Book Antiqua" w:cstheme="minorBidi"/>
          <w:kern w:val="2"/>
          <w:lang w:val="en-US" w:eastAsia="zh-CN"/>
        </w:rPr>
        <w:t xml:space="preserve"> A meta-analysis. </w:t>
      </w:r>
      <w:r w:rsidRPr="002D48C0">
        <w:rPr>
          <w:rFonts w:ascii="Book Antiqua" w:eastAsiaTheme="minorEastAsia" w:hAnsi="Book Antiqua" w:cstheme="minorBidi"/>
          <w:i/>
          <w:kern w:val="2"/>
          <w:lang w:val="en-US" w:eastAsia="zh-CN"/>
        </w:rPr>
        <w:t>Am J Gastroenterol</w:t>
      </w:r>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104</w:t>
      </w:r>
      <w:r w:rsidRPr="002D48C0">
        <w:rPr>
          <w:rFonts w:ascii="Book Antiqua" w:eastAsiaTheme="minorEastAsia" w:hAnsi="Book Antiqua" w:cstheme="minorBidi"/>
          <w:kern w:val="2"/>
          <w:lang w:val="en-US" w:eastAsia="zh-CN"/>
        </w:rPr>
        <w:t>: 219-227 [PMID: 19098872 DOI: 10.1038/ajg.2008.63]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62 </w:t>
      </w:r>
      <w:proofErr w:type="spellStart"/>
      <w:r w:rsidRPr="002D48C0">
        <w:rPr>
          <w:rFonts w:ascii="Book Antiqua" w:eastAsiaTheme="minorEastAsia" w:hAnsi="Book Antiqua" w:cstheme="minorBidi"/>
          <w:b/>
          <w:kern w:val="2"/>
          <w:lang w:val="en-US" w:eastAsia="zh-CN"/>
        </w:rPr>
        <w:t>Koulaouzidis</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Giannakou</w:t>
      </w:r>
      <w:proofErr w:type="spellEnd"/>
      <w:r w:rsidRPr="002D48C0">
        <w:rPr>
          <w:rFonts w:ascii="Book Antiqua" w:eastAsiaTheme="minorEastAsia" w:hAnsi="Book Antiqua" w:cstheme="minorBidi"/>
          <w:kern w:val="2"/>
          <w:lang w:val="en-US" w:eastAsia="zh-CN"/>
        </w:rPr>
        <w:t xml:space="preserve"> A, Yung DE, </w:t>
      </w:r>
      <w:proofErr w:type="spellStart"/>
      <w:r w:rsidRPr="002D48C0">
        <w:rPr>
          <w:rFonts w:ascii="Book Antiqua" w:eastAsiaTheme="minorEastAsia" w:hAnsi="Book Antiqua" w:cstheme="minorBidi"/>
          <w:kern w:val="2"/>
          <w:lang w:val="en-US" w:eastAsia="zh-CN"/>
        </w:rPr>
        <w:t>Dabos</w:t>
      </w:r>
      <w:proofErr w:type="spellEnd"/>
      <w:r w:rsidRPr="002D48C0">
        <w:rPr>
          <w:rFonts w:ascii="Book Antiqua" w:eastAsiaTheme="minorEastAsia" w:hAnsi="Book Antiqua" w:cstheme="minorBidi"/>
          <w:kern w:val="2"/>
          <w:lang w:val="en-US" w:eastAsia="zh-CN"/>
        </w:rPr>
        <w:t xml:space="preserve"> KJ, </w:t>
      </w:r>
      <w:proofErr w:type="spellStart"/>
      <w:r w:rsidRPr="002D48C0">
        <w:rPr>
          <w:rFonts w:ascii="Book Antiqua" w:eastAsiaTheme="minorEastAsia" w:hAnsi="Book Antiqua" w:cstheme="minorBidi"/>
          <w:kern w:val="2"/>
          <w:lang w:val="en-US" w:eastAsia="zh-CN"/>
        </w:rPr>
        <w:t>Plevris</w:t>
      </w:r>
      <w:proofErr w:type="spellEnd"/>
      <w:r w:rsidRPr="002D48C0">
        <w:rPr>
          <w:rFonts w:ascii="Book Antiqua" w:eastAsiaTheme="minorEastAsia" w:hAnsi="Book Antiqua" w:cstheme="minorBidi"/>
          <w:kern w:val="2"/>
          <w:lang w:val="en-US" w:eastAsia="zh-CN"/>
        </w:rPr>
        <w:t xml:space="preserve"> JN. Do prokinetics influence the completion rate in small-bowel capsule endoscopy? A systematic review and meta-analysis. </w:t>
      </w:r>
      <w:proofErr w:type="spellStart"/>
      <w:r w:rsidRPr="002D48C0">
        <w:rPr>
          <w:rFonts w:ascii="Book Antiqua" w:eastAsiaTheme="minorEastAsia" w:hAnsi="Book Antiqua" w:cstheme="minorBidi"/>
          <w:i/>
          <w:kern w:val="2"/>
          <w:lang w:val="en-US" w:eastAsia="zh-CN"/>
        </w:rPr>
        <w:t>Curr</w:t>
      </w:r>
      <w:proofErr w:type="spellEnd"/>
      <w:r w:rsidRPr="002D48C0">
        <w:rPr>
          <w:rFonts w:ascii="Book Antiqua" w:eastAsiaTheme="minorEastAsia" w:hAnsi="Book Antiqua" w:cstheme="minorBidi"/>
          <w:i/>
          <w:kern w:val="2"/>
          <w:lang w:val="en-US" w:eastAsia="zh-CN"/>
        </w:rPr>
        <w:t xml:space="preserve"> Med Res </w:t>
      </w:r>
      <w:proofErr w:type="spellStart"/>
      <w:r w:rsidRPr="002D48C0">
        <w:rPr>
          <w:rFonts w:ascii="Book Antiqua" w:eastAsiaTheme="minorEastAsia" w:hAnsi="Book Antiqua" w:cstheme="minorBidi"/>
          <w:i/>
          <w:kern w:val="2"/>
          <w:lang w:val="en-US" w:eastAsia="zh-CN"/>
        </w:rPr>
        <w:t>Opin</w:t>
      </w:r>
      <w:proofErr w:type="spellEnd"/>
      <w:r w:rsidRPr="002D48C0">
        <w:rPr>
          <w:rFonts w:ascii="Book Antiqua" w:eastAsiaTheme="minorEastAsia" w:hAnsi="Book Antiqua" w:cstheme="minorBidi"/>
          <w:kern w:val="2"/>
          <w:lang w:val="en-US" w:eastAsia="zh-CN"/>
        </w:rPr>
        <w:t xml:space="preserve"> 2013; </w:t>
      </w:r>
      <w:r w:rsidRPr="002D48C0">
        <w:rPr>
          <w:rFonts w:ascii="Book Antiqua" w:eastAsiaTheme="minorEastAsia" w:hAnsi="Book Antiqua" w:cstheme="minorBidi"/>
          <w:b/>
          <w:kern w:val="2"/>
          <w:lang w:val="en-US" w:eastAsia="zh-CN"/>
        </w:rPr>
        <w:t>29</w:t>
      </w:r>
      <w:r w:rsidRPr="002D48C0">
        <w:rPr>
          <w:rFonts w:ascii="Book Antiqua" w:eastAsiaTheme="minorEastAsia" w:hAnsi="Book Antiqua" w:cstheme="minorBidi"/>
          <w:kern w:val="2"/>
          <w:lang w:val="en-US" w:eastAsia="zh-CN"/>
        </w:rPr>
        <w:t>: 1171-1185 [PMID: 23790243 DOI: 10.1185/03007995.2013.818532]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63 </w:t>
      </w:r>
      <w:r w:rsidRPr="002D48C0">
        <w:rPr>
          <w:rFonts w:ascii="Book Antiqua" w:eastAsiaTheme="minorEastAsia" w:hAnsi="Book Antiqua" w:cstheme="minorBidi"/>
          <w:b/>
          <w:kern w:val="2"/>
          <w:lang w:val="en-US" w:eastAsia="zh-CN"/>
        </w:rPr>
        <w:t>Kotwal VS</w:t>
      </w:r>
      <w:r w:rsidRPr="002D48C0">
        <w:rPr>
          <w:rFonts w:ascii="Book Antiqua" w:eastAsiaTheme="minorEastAsia" w:hAnsi="Book Antiqua" w:cstheme="minorBidi"/>
          <w:kern w:val="2"/>
          <w:lang w:val="en-US" w:eastAsia="zh-CN"/>
        </w:rPr>
        <w:t xml:space="preserve">, Attar BM, Gupta S, Agarwal R. Should bowel preparation, antifoaming agents, or prokinetics be used before video capsule endoscopy? A systematic review and meta-analysis. </w:t>
      </w:r>
      <w:proofErr w:type="spellStart"/>
      <w:r w:rsidRPr="002D48C0">
        <w:rPr>
          <w:rFonts w:ascii="Book Antiqua" w:eastAsiaTheme="minorEastAsia" w:hAnsi="Book Antiqua" w:cstheme="minorBidi"/>
          <w:i/>
          <w:kern w:val="2"/>
          <w:lang w:val="en-US" w:eastAsia="zh-CN"/>
        </w:rPr>
        <w:t>Eur</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26</w:t>
      </w:r>
      <w:r w:rsidRPr="002D48C0">
        <w:rPr>
          <w:rFonts w:ascii="Book Antiqua" w:eastAsiaTheme="minorEastAsia" w:hAnsi="Book Antiqua" w:cstheme="minorBidi"/>
          <w:kern w:val="2"/>
          <w:lang w:val="en-US" w:eastAsia="zh-CN"/>
        </w:rPr>
        <w:t>: 137-145 [PMID: 24220156 DOI: 10.1097/MEG.0b013e328365b9d4]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64 </w:t>
      </w:r>
      <w:r w:rsidRPr="002D48C0">
        <w:rPr>
          <w:rFonts w:ascii="Book Antiqua" w:eastAsiaTheme="minorEastAsia" w:hAnsi="Book Antiqua" w:cstheme="minorBidi"/>
          <w:b/>
          <w:kern w:val="2"/>
          <w:lang w:val="en-US" w:eastAsia="zh-CN"/>
        </w:rPr>
        <w:t>Yung DE</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Rondonotti</w:t>
      </w:r>
      <w:proofErr w:type="spellEnd"/>
      <w:r w:rsidRPr="002D48C0">
        <w:rPr>
          <w:rFonts w:ascii="Book Antiqua" w:eastAsiaTheme="minorEastAsia" w:hAnsi="Book Antiqua" w:cstheme="minorBidi"/>
          <w:kern w:val="2"/>
          <w:lang w:val="en-US" w:eastAsia="zh-CN"/>
        </w:rPr>
        <w:t xml:space="preserve"> E, Sykes C, </w:t>
      </w:r>
      <w:proofErr w:type="spellStart"/>
      <w:r w:rsidRPr="002D48C0">
        <w:rPr>
          <w:rFonts w:ascii="Book Antiqua" w:eastAsiaTheme="minorEastAsia" w:hAnsi="Book Antiqua" w:cstheme="minorBidi"/>
          <w:kern w:val="2"/>
          <w:lang w:val="en-US" w:eastAsia="zh-CN"/>
        </w:rPr>
        <w:t>Pennazio</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Plevris</w:t>
      </w:r>
      <w:proofErr w:type="spellEnd"/>
      <w:r w:rsidRPr="002D48C0">
        <w:rPr>
          <w:rFonts w:ascii="Book Antiqua" w:eastAsiaTheme="minorEastAsia" w:hAnsi="Book Antiqua" w:cstheme="minorBidi"/>
          <w:kern w:val="2"/>
          <w:lang w:val="en-US" w:eastAsia="zh-CN"/>
        </w:rPr>
        <w:t xml:space="preserve"> JN, </w:t>
      </w:r>
      <w:proofErr w:type="spellStart"/>
      <w:r w:rsidRPr="002D48C0">
        <w:rPr>
          <w:rFonts w:ascii="Book Antiqua" w:eastAsiaTheme="minorEastAsia" w:hAnsi="Book Antiqua" w:cstheme="minorBidi"/>
          <w:kern w:val="2"/>
          <w:lang w:val="en-US" w:eastAsia="zh-CN"/>
        </w:rPr>
        <w:t>Koulaouzidis</w:t>
      </w:r>
      <w:proofErr w:type="spellEnd"/>
      <w:r w:rsidRPr="002D48C0">
        <w:rPr>
          <w:rFonts w:ascii="Book Antiqua" w:eastAsiaTheme="minorEastAsia" w:hAnsi="Book Antiqua" w:cstheme="minorBidi"/>
          <w:kern w:val="2"/>
          <w:lang w:val="en-US" w:eastAsia="zh-CN"/>
        </w:rPr>
        <w:t xml:space="preserve"> A. Systematic review and meta-analysis: is bowel preparation still necessary in small bowel capsule endoscopy? </w:t>
      </w:r>
      <w:r w:rsidRPr="002D48C0">
        <w:rPr>
          <w:rFonts w:ascii="Book Antiqua" w:eastAsiaTheme="minorEastAsia" w:hAnsi="Book Antiqua" w:cstheme="minorBidi"/>
          <w:i/>
          <w:kern w:val="2"/>
          <w:lang w:val="en-US" w:eastAsia="zh-CN"/>
        </w:rPr>
        <w:t xml:space="preserve">Expert Rev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11</w:t>
      </w:r>
      <w:r w:rsidRPr="002D48C0">
        <w:rPr>
          <w:rFonts w:ascii="Book Antiqua" w:eastAsiaTheme="minorEastAsia" w:hAnsi="Book Antiqua" w:cstheme="minorBidi"/>
          <w:kern w:val="2"/>
          <w:lang w:val="en-US" w:eastAsia="zh-CN"/>
        </w:rPr>
        <w:t>: 979-993 [PMID: 28737439 DOI: 10.1080/17474124.2017.1359540]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lastRenderedPageBreak/>
        <w:t xml:space="preserve">65 </w:t>
      </w:r>
      <w:r w:rsidRPr="002D48C0">
        <w:rPr>
          <w:rFonts w:ascii="Book Antiqua" w:eastAsiaTheme="minorEastAsia" w:hAnsi="Book Antiqua" w:cstheme="minorBidi"/>
          <w:b/>
          <w:kern w:val="2"/>
          <w:lang w:val="en-US" w:eastAsia="zh-CN"/>
        </w:rPr>
        <w:t>Wu L</w:t>
      </w:r>
      <w:r w:rsidRPr="002D48C0">
        <w:rPr>
          <w:rFonts w:ascii="Book Antiqua" w:eastAsiaTheme="minorEastAsia" w:hAnsi="Book Antiqua" w:cstheme="minorBidi"/>
          <w:kern w:val="2"/>
          <w:lang w:val="en-US" w:eastAsia="zh-CN"/>
        </w:rPr>
        <w:t xml:space="preserve">, Cao Y, Liao C, Huang J, Gao F. Systematic review and meta-analysis of randomized controlled trials of Simethicone for gastrointestinal endoscopic visibility. </w:t>
      </w:r>
      <w:proofErr w:type="spellStart"/>
      <w:r w:rsidRPr="002D48C0">
        <w:rPr>
          <w:rFonts w:ascii="Book Antiqua" w:eastAsiaTheme="minorEastAsia" w:hAnsi="Book Antiqua" w:cstheme="minorBidi"/>
          <w:i/>
          <w:kern w:val="2"/>
          <w:lang w:val="en-US" w:eastAsia="zh-CN"/>
        </w:rPr>
        <w:t>Scand</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kern w:val="2"/>
          <w:lang w:val="en-US" w:eastAsia="zh-CN"/>
        </w:rPr>
        <w:t xml:space="preserve"> 2011; </w:t>
      </w:r>
      <w:r w:rsidRPr="002D48C0">
        <w:rPr>
          <w:rFonts w:ascii="Book Antiqua" w:eastAsiaTheme="minorEastAsia" w:hAnsi="Book Antiqua" w:cstheme="minorBidi"/>
          <w:b/>
          <w:kern w:val="2"/>
          <w:lang w:val="en-US" w:eastAsia="zh-CN"/>
        </w:rPr>
        <w:t>46</w:t>
      </w:r>
      <w:r w:rsidRPr="002D48C0">
        <w:rPr>
          <w:rFonts w:ascii="Book Antiqua" w:eastAsiaTheme="minorEastAsia" w:hAnsi="Book Antiqua" w:cstheme="minorBidi"/>
          <w:kern w:val="2"/>
          <w:lang w:val="en-US" w:eastAsia="zh-CN"/>
        </w:rPr>
        <w:t>: 227-235 [PMID: 20977386 DOI: 10.3109/00365521.2010.525714]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66 </w:t>
      </w:r>
      <w:r w:rsidRPr="002D48C0">
        <w:rPr>
          <w:rFonts w:ascii="Book Antiqua" w:eastAsiaTheme="minorEastAsia" w:hAnsi="Book Antiqua" w:cstheme="minorBidi"/>
          <w:b/>
          <w:kern w:val="2"/>
          <w:lang w:val="en-US" w:eastAsia="zh-CN"/>
        </w:rPr>
        <w:t>Klein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Dashkovsky</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Gralnek</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Peled</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Chowers</w:t>
      </w:r>
      <w:proofErr w:type="spellEnd"/>
      <w:r w:rsidRPr="002D48C0">
        <w:rPr>
          <w:rFonts w:ascii="Book Antiqua" w:eastAsiaTheme="minorEastAsia" w:hAnsi="Book Antiqua" w:cstheme="minorBidi"/>
          <w:kern w:val="2"/>
          <w:lang w:val="en-US" w:eastAsia="zh-CN"/>
        </w:rPr>
        <w:t xml:space="preserve"> Y, </w:t>
      </w:r>
      <w:proofErr w:type="spellStart"/>
      <w:r w:rsidRPr="002D48C0">
        <w:rPr>
          <w:rFonts w:ascii="Book Antiqua" w:eastAsiaTheme="minorEastAsia" w:hAnsi="Book Antiqua" w:cstheme="minorBidi"/>
          <w:kern w:val="2"/>
          <w:lang w:val="en-US" w:eastAsia="zh-CN"/>
        </w:rPr>
        <w:t>Khamaysi</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Har-Noy</w:t>
      </w:r>
      <w:proofErr w:type="spellEnd"/>
      <w:r w:rsidRPr="002D48C0">
        <w:rPr>
          <w:rFonts w:ascii="Book Antiqua" w:eastAsiaTheme="minorEastAsia" w:hAnsi="Book Antiqua" w:cstheme="minorBidi"/>
          <w:kern w:val="2"/>
          <w:lang w:val="en-US" w:eastAsia="zh-CN"/>
        </w:rPr>
        <w:t xml:space="preserve"> O, Levi I, Nadler M, </w:t>
      </w:r>
      <w:proofErr w:type="spellStart"/>
      <w:r w:rsidRPr="002D48C0">
        <w:rPr>
          <w:rFonts w:ascii="Book Antiqua" w:eastAsiaTheme="minorEastAsia" w:hAnsi="Book Antiqua" w:cstheme="minorBidi"/>
          <w:kern w:val="2"/>
          <w:lang w:val="en-US" w:eastAsia="zh-CN"/>
        </w:rPr>
        <w:t>Eliakim</w:t>
      </w:r>
      <w:proofErr w:type="spellEnd"/>
      <w:r w:rsidRPr="002D48C0">
        <w:rPr>
          <w:rFonts w:ascii="Book Antiqua" w:eastAsiaTheme="minorEastAsia" w:hAnsi="Book Antiqua" w:cstheme="minorBidi"/>
          <w:kern w:val="2"/>
          <w:lang w:val="en-US" w:eastAsia="zh-CN"/>
        </w:rPr>
        <w:t xml:space="preserve"> R, </w:t>
      </w:r>
      <w:proofErr w:type="spellStart"/>
      <w:r w:rsidRPr="002D48C0">
        <w:rPr>
          <w:rFonts w:ascii="Book Antiqua" w:eastAsiaTheme="minorEastAsia" w:hAnsi="Book Antiqua" w:cstheme="minorBidi"/>
          <w:kern w:val="2"/>
          <w:lang w:val="en-US" w:eastAsia="zh-CN"/>
        </w:rPr>
        <w:t>Kopylov</w:t>
      </w:r>
      <w:proofErr w:type="spellEnd"/>
      <w:r w:rsidRPr="002D48C0">
        <w:rPr>
          <w:rFonts w:ascii="Book Antiqua" w:eastAsiaTheme="minorEastAsia" w:hAnsi="Book Antiqua" w:cstheme="minorBidi"/>
          <w:kern w:val="2"/>
          <w:lang w:val="en-US" w:eastAsia="zh-CN"/>
        </w:rPr>
        <w:t xml:space="preserve"> U. Bowel preparation in "real-life" small bowel capsule endoscopy: a two-center experience. </w:t>
      </w:r>
      <w:r w:rsidRPr="002D48C0">
        <w:rPr>
          <w:rFonts w:ascii="Book Antiqua" w:eastAsiaTheme="minorEastAsia" w:hAnsi="Book Antiqua" w:cstheme="minorBidi"/>
          <w:i/>
          <w:kern w:val="2"/>
          <w:lang w:val="en-US" w:eastAsia="zh-CN"/>
        </w:rPr>
        <w:t>Ann Gastroenterol</w:t>
      </w:r>
      <w:r w:rsidRPr="002D48C0">
        <w:rPr>
          <w:rFonts w:ascii="Book Antiqua" w:eastAsiaTheme="minorEastAsia" w:hAnsi="Book Antiqua" w:cstheme="minorBidi"/>
          <w:kern w:val="2"/>
          <w:lang w:val="en-US" w:eastAsia="zh-CN"/>
        </w:rPr>
        <w:t xml:space="preserve"> 2016; </w:t>
      </w:r>
      <w:r w:rsidRPr="002D48C0">
        <w:rPr>
          <w:rFonts w:ascii="Book Antiqua" w:eastAsiaTheme="minorEastAsia" w:hAnsi="Book Antiqua" w:cstheme="minorBidi"/>
          <w:b/>
          <w:kern w:val="2"/>
          <w:lang w:val="en-US" w:eastAsia="zh-CN"/>
        </w:rPr>
        <w:t>29</w:t>
      </w:r>
      <w:r w:rsidRPr="002D48C0">
        <w:rPr>
          <w:rFonts w:ascii="Book Antiqua" w:eastAsiaTheme="minorEastAsia" w:hAnsi="Book Antiqua" w:cstheme="minorBidi"/>
          <w:kern w:val="2"/>
          <w:lang w:val="en-US" w:eastAsia="zh-CN"/>
        </w:rPr>
        <w:t>: 196-200 [PMID: 27064840 DOI: 10.20524/aog.2016.0012]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67 </w:t>
      </w:r>
      <w:r w:rsidRPr="002D48C0">
        <w:rPr>
          <w:rFonts w:ascii="Book Antiqua" w:eastAsiaTheme="minorEastAsia" w:hAnsi="Book Antiqua" w:cstheme="minorBidi"/>
          <w:b/>
          <w:kern w:val="2"/>
          <w:lang w:val="en-US" w:eastAsia="zh-CN"/>
        </w:rPr>
        <w:t>Nakamura 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Murino</w:t>
      </w:r>
      <w:proofErr w:type="spellEnd"/>
      <w:r w:rsidRPr="002D48C0">
        <w:rPr>
          <w:rFonts w:ascii="Book Antiqua" w:eastAsiaTheme="minorEastAsia" w:hAnsi="Book Antiqua" w:cstheme="minorBidi"/>
          <w:kern w:val="2"/>
          <w:lang w:val="en-US" w:eastAsia="zh-CN"/>
        </w:rPr>
        <w:t xml:space="preserve"> A, O'Rourke A, Fraser C. A critical analysis of the effect of view mode and frame rate on reading time and lesion detection during capsule endoscopy. </w:t>
      </w:r>
      <w:r w:rsidRPr="002D48C0">
        <w:rPr>
          <w:rFonts w:ascii="Book Antiqua" w:eastAsiaTheme="minorEastAsia" w:hAnsi="Book Antiqua" w:cstheme="minorBidi"/>
          <w:i/>
          <w:kern w:val="2"/>
          <w:lang w:val="en-US" w:eastAsia="zh-CN"/>
        </w:rPr>
        <w:t>Dig Dis Sci</w:t>
      </w:r>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60</w:t>
      </w:r>
      <w:r w:rsidRPr="002D48C0">
        <w:rPr>
          <w:rFonts w:ascii="Book Antiqua" w:eastAsiaTheme="minorEastAsia" w:hAnsi="Book Antiqua" w:cstheme="minorBidi"/>
          <w:kern w:val="2"/>
          <w:lang w:val="en-US" w:eastAsia="zh-CN"/>
        </w:rPr>
        <w:t>: 1743-1747 [PMID: 25559755 DOI: 10.1007/s10620-014-3496-5]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68 </w:t>
      </w:r>
      <w:proofErr w:type="spellStart"/>
      <w:r w:rsidRPr="002D48C0">
        <w:rPr>
          <w:rFonts w:ascii="Book Antiqua" w:eastAsiaTheme="minorEastAsia" w:hAnsi="Book Antiqua" w:cstheme="minorBidi"/>
          <w:b/>
          <w:kern w:val="2"/>
          <w:lang w:val="en-US" w:eastAsia="zh-CN"/>
        </w:rPr>
        <w:t>Günther</w:t>
      </w:r>
      <w:proofErr w:type="spellEnd"/>
      <w:r w:rsidRPr="002D48C0">
        <w:rPr>
          <w:rFonts w:ascii="Book Antiqua" w:eastAsiaTheme="minorEastAsia" w:hAnsi="Book Antiqua" w:cstheme="minorBidi"/>
          <w:b/>
          <w:kern w:val="2"/>
          <w:lang w:val="en-US" w:eastAsia="zh-CN"/>
        </w:rPr>
        <w:t xml:space="preserve"> U</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Daum</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Zeitz</w:t>
      </w:r>
      <w:proofErr w:type="spellEnd"/>
      <w:r w:rsidRPr="002D48C0">
        <w:rPr>
          <w:rFonts w:ascii="Book Antiqua" w:eastAsiaTheme="minorEastAsia" w:hAnsi="Book Antiqua" w:cstheme="minorBidi"/>
          <w:kern w:val="2"/>
          <w:lang w:val="en-US" w:eastAsia="zh-CN"/>
        </w:rPr>
        <w:t xml:space="preserve"> M, Bojarski C. Capsule endoscopy: comparison of two different reading modes. </w:t>
      </w:r>
      <w:r w:rsidRPr="002D48C0">
        <w:rPr>
          <w:rFonts w:ascii="Book Antiqua" w:eastAsiaTheme="minorEastAsia" w:hAnsi="Book Antiqua" w:cstheme="minorBidi"/>
          <w:i/>
          <w:kern w:val="2"/>
          <w:lang w:val="en-US" w:eastAsia="zh-CN"/>
        </w:rPr>
        <w:t>Int J Colorectal Dis</w:t>
      </w:r>
      <w:r w:rsidRPr="002D48C0">
        <w:rPr>
          <w:rFonts w:ascii="Book Antiqua" w:eastAsiaTheme="minorEastAsia" w:hAnsi="Book Antiqua" w:cstheme="minorBidi"/>
          <w:kern w:val="2"/>
          <w:lang w:val="en-US" w:eastAsia="zh-CN"/>
        </w:rPr>
        <w:t xml:space="preserve"> 2012; </w:t>
      </w:r>
      <w:r w:rsidRPr="002D48C0">
        <w:rPr>
          <w:rFonts w:ascii="Book Antiqua" w:eastAsiaTheme="minorEastAsia" w:hAnsi="Book Antiqua" w:cstheme="minorBidi"/>
          <w:b/>
          <w:kern w:val="2"/>
          <w:lang w:val="en-US" w:eastAsia="zh-CN"/>
        </w:rPr>
        <w:t>27</w:t>
      </w:r>
      <w:r w:rsidRPr="002D48C0">
        <w:rPr>
          <w:rFonts w:ascii="Book Antiqua" w:eastAsiaTheme="minorEastAsia" w:hAnsi="Book Antiqua" w:cstheme="minorBidi"/>
          <w:kern w:val="2"/>
          <w:lang w:val="en-US" w:eastAsia="zh-CN"/>
        </w:rPr>
        <w:t>: 521-525 [PMID: 22065113 DOI: 10.1007/s00384-011-1347-9]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69 </w:t>
      </w:r>
      <w:proofErr w:type="spellStart"/>
      <w:r w:rsidRPr="002D48C0">
        <w:rPr>
          <w:rFonts w:ascii="Book Antiqua" w:eastAsiaTheme="minorEastAsia" w:hAnsi="Book Antiqua" w:cstheme="minorBidi"/>
          <w:b/>
          <w:kern w:val="2"/>
          <w:lang w:val="en-US" w:eastAsia="zh-CN"/>
        </w:rPr>
        <w:t>Shiotani</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Honda K, Kawakami M, Kimura Y, Yamanaka Y, Fujita M, Matsumoto H, Tarumi K, </w:t>
      </w:r>
      <w:proofErr w:type="spellStart"/>
      <w:r w:rsidRPr="002D48C0">
        <w:rPr>
          <w:rFonts w:ascii="Book Antiqua" w:eastAsiaTheme="minorEastAsia" w:hAnsi="Book Antiqua" w:cstheme="minorBidi"/>
          <w:kern w:val="2"/>
          <w:lang w:val="en-US" w:eastAsia="zh-CN"/>
        </w:rPr>
        <w:t>Manabe</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Haruma</w:t>
      </w:r>
      <w:proofErr w:type="spellEnd"/>
      <w:r w:rsidRPr="002D48C0">
        <w:rPr>
          <w:rFonts w:ascii="Book Antiqua" w:eastAsiaTheme="minorEastAsia" w:hAnsi="Book Antiqua" w:cstheme="minorBidi"/>
          <w:kern w:val="2"/>
          <w:lang w:val="en-US" w:eastAsia="zh-CN"/>
        </w:rPr>
        <w:t xml:space="preserve"> K. Analysis of small-bowel capsule endoscopy reading by using </w:t>
      </w:r>
      <w:proofErr w:type="spellStart"/>
      <w:r w:rsidRPr="002D48C0">
        <w:rPr>
          <w:rFonts w:ascii="Book Antiqua" w:eastAsiaTheme="minorEastAsia" w:hAnsi="Book Antiqua" w:cstheme="minorBidi"/>
          <w:kern w:val="2"/>
          <w:lang w:val="en-US" w:eastAsia="zh-CN"/>
        </w:rPr>
        <w:t>Quickview</w:t>
      </w:r>
      <w:proofErr w:type="spellEnd"/>
      <w:r w:rsidRPr="002D48C0">
        <w:rPr>
          <w:rFonts w:ascii="Book Antiqua" w:eastAsiaTheme="minorEastAsia" w:hAnsi="Book Antiqua" w:cstheme="minorBidi"/>
          <w:kern w:val="2"/>
          <w:lang w:val="en-US" w:eastAsia="zh-CN"/>
        </w:rPr>
        <w:t xml:space="preserve"> mode: training assistants for reading may produce a high diagnostic yield and save time for physicians. </w:t>
      </w:r>
      <w:r w:rsidRPr="002D48C0">
        <w:rPr>
          <w:rFonts w:ascii="Book Antiqua" w:eastAsiaTheme="minorEastAsia" w:hAnsi="Book Antiqua" w:cstheme="minorBidi"/>
          <w:i/>
          <w:kern w:val="2"/>
          <w:lang w:val="en-US" w:eastAsia="zh-CN"/>
        </w:rPr>
        <w:t>J Clin Gastroenterol</w:t>
      </w:r>
      <w:r w:rsidRPr="002D48C0">
        <w:rPr>
          <w:rFonts w:ascii="Book Antiqua" w:eastAsiaTheme="minorEastAsia" w:hAnsi="Book Antiqua" w:cstheme="minorBidi"/>
          <w:kern w:val="2"/>
          <w:lang w:val="en-US" w:eastAsia="zh-CN"/>
        </w:rPr>
        <w:t xml:space="preserve"> 2012; </w:t>
      </w:r>
      <w:r w:rsidRPr="002D48C0">
        <w:rPr>
          <w:rFonts w:ascii="Book Antiqua" w:eastAsiaTheme="minorEastAsia" w:hAnsi="Book Antiqua" w:cstheme="minorBidi"/>
          <w:b/>
          <w:kern w:val="2"/>
          <w:lang w:val="en-US" w:eastAsia="zh-CN"/>
        </w:rPr>
        <w:t>46</w:t>
      </w:r>
      <w:r w:rsidRPr="002D48C0">
        <w:rPr>
          <w:rFonts w:ascii="Book Antiqua" w:eastAsiaTheme="minorEastAsia" w:hAnsi="Book Antiqua" w:cstheme="minorBidi"/>
          <w:kern w:val="2"/>
          <w:lang w:val="en-US" w:eastAsia="zh-CN"/>
        </w:rPr>
        <w:t>: e92-e95 [PMID: 22495816 DOI: 10.1097/MCG.0b013e31824fff94]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70 </w:t>
      </w:r>
      <w:proofErr w:type="spellStart"/>
      <w:r w:rsidRPr="002D48C0">
        <w:rPr>
          <w:rFonts w:ascii="Book Antiqua" w:eastAsiaTheme="minorEastAsia" w:hAnsi="Book Antiqua" w:cstheme="minorBidi"/>
          <w:b/>
          <w:kern w:val="2"/>
          <w:lang w:val="en-US" w:eastAsia="zh-CN"/>
        </w:rPr>
        <w:t>Koulaouzidis</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Smirnidis</w:t>
      </w:r>
      <w:proofErr w:type="spellEnd"/>
      <w:r w:rsidRPr="002D48C0">
        <w:rPr>
          <w:rFonts w:ascii="Book Antiqua" w:eastAsiaTheme="minorEastAsia" w:hAnsi="Book Antiqua" w:cstheme="minorBidi"/>
          <w:kern w:val="2"/>
          <w:lang w:val="en-US" w:eastAsia="zh-CN"/>
        </w:rPr>
        <w:t xml:space="preserve"> A, Douglas S, </w:t>
      </w:r>
      <w:proofErr w:type="spellStart"/>
      <w:r w:rsidRPr="002D48C0">
        <w:rPr>
          <w:rFonts w:ascii="Book Antiqua" w:eastAsiaTheme="minorEastAsia" w:hAnsi="Book Antiqua" w:cstheme="minorBidi"/>
          <w:kern w:val="2"/>
          <w:lang w:val="en-US" w:eastAsia="zh-CN"/>
        </w:rPr>
        <w:t>Plevris</w:t>
      </w:r>
      <w:proofErr w:type="spellEnd"/>
      <w:r w:rsidRPr="002D48C0">
        <w:rPr>
          <w:rFonts w:ascii="Book Antiqua" w:eastAsiaTheme="minorEastAsia" w:hAnsi="Book Antiqua" w:cstheme="minorBidi"/>
          <w:kern w:val="2"/>
          <w:lang w:val="en-US" w:eastAsia="zh-CN"/>
        </w:rPr>
        <w:t xml:space="preserve"> JN. </w:t>
      </w:r>
      <w:proofErr w:type="spellStart"/>
      <w:r w:rsidRPr="002D48C0">
        <w:rPr>
          <w:rFonts w:ascii="Book Antiqua" w:eastAsiaTheme="minorEastAsia" w:hAnsi="Book Antiqua" w:cstheme="minorBidi"/>
          <w:kern w:val="2"/>
          <w:lang w:val="en-US" w:eastAsia="zh-CN"/>
        </w:rPr>
        <w:t>QuickView</w:t>
      </w:r>
      <w:proofErr w:type="spellEnd"/>
      <w:r w:rsidRPr="002D48C0">
        <w:rPr>
          <w:rFonts w:ascii="Book Antiqua" w:eastAsiaTheme="minorEastAsia" w:hAnsi="Book Antiqua" w:cstheme="minorBidi"/>
          <w:kern w:val="2"/>
          <w:lang w:val="en-US" w:eastAsia="zh-CN"/>
        </w:rPr>
        <w:t xml:space="preserve"> in small-bowel capsule endoscopy is useful in certain clinical settings, but </w:t>
      </w:r>
      <w:proofErr w:type="spellStart"/>
      <w:r w:rsidRPr="002D48C0">
        <w:rPr>
          <w:rFonts w:ascii="Book Antiqua" w:eastAsiaTheme="minorEastAsia" w:hAnsi="Book Antiqua" w:cstheme="minorBidi"/>
          <w:kern w:val="2"/>
          <w:lang w:val="en-US" w:eastAsia="zh-CN"/>
        </w:rPr>
        <w:t>QuickView</w:t>
      </w:r>
      <w:proofErr w:type="spellEnd"/>
      <w:r w:rsidRPr="002D48C0">
        <w:rPr>
          <w:rFonts w:ascii="Book Antiqua" w:eastAsiaTheme="minorEastAsia" w:hAnsi="Book Antiqua" w:cstheme="minorBidi"/>
          <w:kern w:val="2"/>
          <w:lang w:val="en-US" w:eastAsia="zh-CN"/>
        </w:rPr>
        <w:t xml:space="preserve"> with Blue Mode is of no additional benefit. </w:t>
      </w:r>
      <w:proofErr w:type="spellStart"/>
      <w:r w:rsidRPr="002D48C0">
        <w:rPr>
          <w:rFonts w:ascii="Book Antiqua" w:eastAsiaTheme="minorEastAsia" w:hAnsi="Book Antiqua" w:cstheme="minorBidi"/>
          <w:i/>
          <w:kern w:val="2"/>
          <w:lang w:val="en-US" w:eastAsia="zh-CN"/>
        </w:rPr>
        <w:t>Eur</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2012; </w:t>
      </w:r>
      <w:r w:rsidRPr="002D48C0">
        <w:rPr>
          <w:rFonts w:ascii="Book Antiqua" w:eastAsiaTheme="minorEastAsia" w:hAnsi="Book Antiqua" w:cstheme="minorBidi"/>
          <w:b/>
          <w:kern w:val="2"/>
          <w:lang w:val="en-US" w:eastAsia="zh-CN"/>
        </w:rPr>
        <w:t>24</w:t>
      </w:r>
      <w:r w:rsidRPr="002D48C0">
        <w:rPr>
          <w:rFonts w:ascii="Book Antiqua" w:eastAsiaTheme="minorEastAsia" w:hAnsi="Book Antiqua" w:cstheme="minorBidi"/>
          <w:kern w:val="2"/>
          <w:lang w:val="en-US" w:eastAsia="zh-CN"/>
        </w:rPr>
        <w:t>: 1099-1104 [PMID: 22668872 DOI: 10.1097/MEG.0b013e32835563ab]</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71 </w:t>
      </w:r>
      <w:proofErr w:type="spellStart"/>
      <w:r w:rsidRPr="002D48C0">
        <w:rPr>
          <w:rFonts w:ascii="Book Antiqua" w:eastAsiaTheme="minorEastAsia" w:hAnsi="Book Antiqua" w:cstheme="minorBidi"/>
          <w:b/>
          <w:kern w:val="2"/>
          <w:lang w:val="en-US" w:eastAsia="zh-CN"/>
        </w:rPr>
        <w:t>Halling</w:t>
      </w:r>
      <w:proofErr w:type="spellEnd"/>
      <w:r w:rsidRPr="002D48C0">
        <w:rPr>
          <w:rFonts w:ascii="Book Antiqua" w:eastAsiaTheme="minorEastAsia" w:hAnsi="Book Antiqua" w:cstheme="minorBidi"/>
          <w:b/>
          <w:kern w:val="2"/>
          <w:lang w:val="en-US" w:eastAsia="zh-CN"/>
        </w:rPr>
        <w:t xml:space="preserve"> ML</w:t>
      </w:r>
      <w:r w:rsidRPr="002D48C0">
        <w:rPr>
          <w:rFonts w:ascii="Book Antiqua" w:eastAsiaTheme="minorEastAsia" w:hAnsi="Book Antiqua" w:cstheme="minorBidi"/>
          <w:kern w:val="2"/>
          <w:lang w:val="en-US" w:eastAsia="zh-CN"/>
        </w:rPr>
        <w:t xml:space="preserve">, Nathan T, Kjeldsen J, Jensen MD. High sensitivity of quick view capsule endoscopy for detection of small bowel Crohn's disease.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29</w:t>
      </w:r>
      <w:r w:rsidRPr="002D48C0">
        <w:rPr>
          <w:rFonts w:ascii="Book Antiqua" w:eastAsiaTheme="minorEastAsia" w:hAnsi="Book Antiqua" w:cstheme="minorBidi"/>
          <w:kern w:val="2"/>
          <w:lang w:val="en-US" w:eastAsia="zh-CN"/>
        </w:rPr>
        <w:t>: 992-996 [PMID: 24325204 DOI: 10.1111/jgh.12488]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72 </w:t>
      </w:r>
      <w:proofErr w:type="spellStart"/>
      <w:r w:rsidRPr="002D48C0">
        <w:rPr>
          <w:rFonts w:ascii="Book Antiqua" w:eastAsiaTheme="minorEastAsia" w:hAnsi="Book Antiqua" w:cstheme="minorBidi"/>
          <w:b/>
          <w:kern w:val="2"/>
          <w:lang w:val="en-US" w:eastAsia="zh-CN"/>
        </w:rPr>
        <w:t>Pennazio</w:t>
      </w:r>
      <w:proofErr w:type="spellEnd"/>
      <w:r w:rsidRPr="002D48C0">
        <w:rPr>
          <w:rFonts w:ascii="Book Antiqua" w:eastAsiaTheme="minorEastAsia" w:hAnsi="Book Antiqua" w:cstheme="minorBidi"/>
          <w:b/>
          <w:kern w:val="2"/>
          <w:lang w:val="en-US" w:eastAsia="zh-CN"/>
        </w:rPr>
        <w:t xml:space="preserve"> 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Spada</w:t>
      </w:r>
      <w:proofErr w:type="spellEnd"/>
      <w:r w:rsidRPr="002D48C0">
        <w:rPr>
          <w:rFonts w:ascii="Book Antiqua" w:eastAsiaTheme="minorEastAsia" w:hAnsi="Book Antiqua" w:cstheme="minorBidi"/>
          <w:kern w:val="2"/>
          <w:lang w:val="en-US" w:eastAsia="zh-CN"/>
        </w:rPr>
        <w:t xml:space="preserve"> C, Eliakim R, Keuchel M, May A, Mulder CJ, </w:t>
      </w:r>
      <w:proofErr w:type="spellStart"/>
      <w:r w:rsidRPr="002D48C0">
        <w:rPr>
          <w:rFonts w:ascii="Book Antiqua" w:eastAsiaTheme="minorEastAsia" w:hAnsi="Book Antiqua" w:cstheme="minorBidi"/>
          <w:kern w:val="2"/>
          <w:lang w:val="en-US" w:eastAsia="zh-CN"/>
        </w:rPr>
        <w:t>Rondonotti</w:t>
      </w:r>
      <w:proofErr w:type="spellEnd"/>
      <w:r w:rsidRPr="002D48C0">
        <w:rPr>
          <w:rFonts w:ascii="Book Antiqua" w:eastAsiaTheme="minorEastAsia" w:hAnsi="Book Antiqua" w:cstheme="minorBidi"/>
          <w:kern w:val="2"/>
          <w:lang w:val="en-US" w:eastAsia="zh-CN"/>
        </w:rPr>
        <w:t xml:space="preserve"> E, Adler SN, Albert J, </w:t>
      </w:r>
      <w:proofErr w:type="spellStart"/>
      <w:r w:rsidRPr="002D48C0">
        <w:rPr>
          <w:rFonts w:ascii="Book Antiqua" w:eastAsiaTheme="minorEastAsia" w:hAnsi="Book Antiqua" w:cstheme="minorBidi"/>
          <w:kern w:val="2"/>
          <w:lang w:val="en-US" w:eastAsia="zh-CN"/>
        </w:rPr>
        <w:t>Baltes</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Barbaro</w:t>
      </w:r>
      <w:proofErr w:type="spellEnd"/>
      <w:r w:rsidRPr="002D48C0">
        <w:rPr>
          <w:rFonts w:ascii="Book Antiqua" w:eastAsiaTheme="minorEastAsia" w:hAnsi="Book Antiqua" w:cstheme="minorBidi"/>
          <w:kern w:val="2"/>
          <w:lang w:val="en-US" w:eastAsia="zh-CN"/>
        </w:rPr>
        <w:t xml:space="preserve"> F, </w:t>
      </w:r>
      <w:proofErr w:type="spellStart"/>
      <w:r w:rsidRPr="002D48C0">
        <w:rPr>
          <w:rFonts w:ascii="Book Antiqua" w:eastAsiaTheme="minorEastAsia" w:hAnsi="Book Antiqua" w:cstheme="minorBidi"/>
          <w:kern w:val="2"/>
          <w:lang w:val="en-US" w:eastAsia="zh-CN"/>
        </w:rPr>
        <w:t>Cellier</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Charton</w:t>
      </w:r>
      <w:proofErr w:type="spellEnd"/>
      <w:r w:rsidRPr="002D48C0">
        <w:rPr>
          <w:rFonts w:ascii="Book Antiqua" w:eastAsiaTheme="minorEastAsia" w:hAnsi="Book Antiqua" w:cstheme="minorBidi"/>
          <w:kern w:val="2"/>
          <w:lang w:val="en-US" w:eastAsia="zh-CN"/>
        </w:rPr>
        <w:t xml:space="preserve"> JP, </w:t>
      </w:r>
      <w:proofErr w:type="spellStart"/>
      <w:r w:rsidRPr="002D48C0">
        <w:rPr>
          <w:rFonts w:ascii="Book Antiqua" w:eastAsiaTheme="minorEastAsia" w:hAnsi="Book Antiqua" w:cstheme="minorBidi"/>
          <w:kern w:val="2"/>
          <w:lang w:val="en-US" w:eastAsia="zh-CN"/>
        </w:rPr>
        <w:t>Delvaux</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Despott</w:t>
      </w:r>
      <w:proofErr w:type="spellEnd"/>
      <w:r w:rsidRPr="002D48C0">
        <w:rPr>
          <w:rFonts w:ascii="Book Antiqua" w:eastAsiaTheme="minorEastAsia" w:hAnsi="Book Antiqua" w:cstheme="minorBidi"/>
          <w:kern w:val="2"/>
          <w:lang w:val="en-US" w:eastAsia="zh-CN"/>
        </w:rPr>
        <w:t xml:space="preserve"> EJ, Domagk D, Klein A, </w:t>
      </w:r>
      <w:proofErr w:type="spellStart"/>
      <w:r w:rsidRPr="002D48C0">
        <w:rPr>
          <w:rFonts w:ascii="Book Antiqua" w:eastAsiaTheme="minorEastAsia" w:hAnsi="Book Antiqua" w:cstheme="minorBidi"/>
          <w:kern w:val="2"/>
          <w:lang w:val="en-US" w:eastAsia="zh-CN"/>
        </w:rPr>
        <w:t>McAlindon</w:t>
      </w:r>
      <w:proofErr w:type="spellEnd"/>
      <w:r w:rsidRPr="002D48C0">
        <w:rPr>
          <w:rFonts w:ascii="Book Antiqua" w:eastAsiaTheme="minorEastAsia" w:hAnsi="Book Antiqua" w:cstheme="minorBidi"/>
          <w:kern w:val="2"/>
          <w:lang w:val="en-US" w:eastAsia="zh-CN"/>
        </w:rPr>
        <w:t xml:space="preserve"> M, Rosa B, </w:t>
      </w:r>
      <w:proofErr w:type="spellStart"/>
      <w:r w:rsidRPr="002D48C0">
        <w:rPr>
          <w:rFonts w:ascii="Book Antiqua" w:eastAsiaTheme="minorEastAsia" w:hAnsi="Book Antiqua" w:cstheme="minorBidi"/>
          <w:kern w:val="2"/>
          <w:lang w:val="en-US" w:eastAsia="zh-CN"/>
        </w:rPr>
        <w:t>Rowse</w:t>
      </w:r>
      <w:proofErr w:type="spellEnd"/>
      <w:r w:rsidRPr="002D48C0">
        <w:rPr>
          <w:rFonts w:ascii="Book Antiqua" w:eastAsiaTheme="minorEastAsia" w:hAnsi="Book Antiqua" w:cstheme="minorBidi"/>
          <w:kern w:val="2"/>
          <w:lang w:val="en-US" w:eastAsia="zh-CN"/>
        </w:rPr>
        <w:t xml:space="preserve"> G, Sanders DS, </w:t>
      </w:r>
      <w:proofErr w:type="spellStart"/>
      <w:r w:rsidRPr="002D48C0">
        <w:rPr>
          <w:rFonts w:ascii="Book Antiqua" w:eastAsiaTheme="minorEastAsia" w:hAnsi="Book Antiqua" w:cstheme="minorBidi"/>
          <w:kern w:val="2"/>
          <w:lang w:val="en-US" w:eastAsia="zh-CN"/>
        </w:rPr>
        <w:t>Saurin</w:t>
      </w:r>
      <w:proofErr w:type="spellEnd"/>
      <w:r w:rsidRPr="002D48C0">
        <w:rPr>
          <w:rFonts w:ascii="Book Antiqua" w:eastAsiaTheme="minorEastAsia" w:hAnsi="Book Antiqua" w:cstheme="minorBidi"/>
          <w:kern w:val="2"/>
          <w:lang w:val="en-US" w:eastAsia="zh-CN"/>
        </w:rPr>
        <w:t xml:space="preserve"> JC, Sidhu R, </w:t>
      </w:r>
      <w:proofErr w:type="spellStart"/>
      <w:r w:rsidRPr="002D48C0">
        <w:rPr>
          <w:rFonts w:ascii="Book Antiqua" w:eastAsiaTheme="minorEastAsia" w:hAnsi="Book Antiqua" w:cstheme="minorBidi"/>
          <w:kern w:val="2"/>
          <w:lang w:val="en-US" w:eastAsia="zh-CN"/>
        </w:rPr>
        <w:t>Dumonceau</w:t>
      </w:r>
      <w:proofErr w:type="spellEnd"/>
      <w:r w:rsidRPr="002D48C0">
        <w:rPr>
          <w:rFonts w:ascii="Book Antiqua" w:eastAsiaTheme="minorEastAsia" w:hAnsi="Book Antiqua" w:cstheme="minorBidi"/>
          <w:kern w:val="2"/>
          <w:lang w:val="en-US" w:eastAsia="zh-CN"/>
        </w:rPr>
        <w:t xml:space="preserve"> JM, Hassan C, </w:t>
      </w:r>
      <w:proofErr w:type="spellStart"/>
      <w:r w:rsidRPr="002D48C0">
        <w:rPr>
          <w:rFonts w:ascii="Book Antiqua" w:eastAsiaTheme="minorEastAsia" w:hAnsi="Book Antiqua" w:cstheme="minorBidi"/>
          <w:kern w:val="2"/>
          <w:lang w:val="en-US" w:eastAsia="zh-CN"/>
        </w:rPr>
        <w:t>Gralnek</w:t>
      </w:r>
      <w:proofErr w:type="spellEnd"/>
      <w:r w:rsidRPr="002D48C0">
        <w:rPr>
          <w:rFonts w:ascii="Book Antiqua" w:eastAsiaTheme="minorEastAsia" w:hAnsi="Book Antiqua" w:cstheme="minorBidi"/>
          <w:kern w:val="2"/>
          <w:lang w:val="en-US" w:eastAsia="zh-CN"/>
        </w:rPr>
        <w:t xml:space="preserve"> IM. Small-bowel capsule endoscopy and device-</w:t>
      </w:r>
      <w:r w:rsidRPr="002D48C0">
        <w:rPr>
          <w:rFonts w:ascii="Book Antiqua" w:eastAsiaTheme="minorEastAsia" w:hAnsi="Book Antiqua" w:cstheme="minorBidi"/>
          <w:kern w:val="2"/>
          <w:lang w:val="en-US" w:eastAsia="zh-CN"/>
        </w:rPr>
        <w:lastRenderedPageBreak/>
        <w:t xml:space="preserve">assisted </w:t>
      </w:r>
      <w:proofErr w:type="spellStart"/>
      <w:r w:rsidRPr="002D48C0">
        <w:rPr>
          <w:rFonts w:ascii="Book Antiqua" w:eastAsiaTheme="minorEastAsia" w:hAnsi="Book Antiqua" w:cstheme="minorBidi"/>
          <w:kern w:val="2"/>
          <w:lang w:val="en-US" w:eastAsia="zh-CN"/>
        </w:rPr>
        <w:t>enteroscopy</w:t>
      </w:r>
      <w:proofErr w:type="spellEnd"/>
      <w:r w:rsidRPr="002D48C0">
        <w:rPr>
          <w:rFonts w:ascii="Book Antiqua" w:eastAsiaTheme="minorEastAsia" w:hAnsi="Book Antiqua" w:cstheme="minorBidi"/>
          <w:kern w:val="2"/>
          <w:lang w:val="en-US" w:eastAsia="zh-CN"/>
        </w:rPr>
        <w:t xml:space="preserve"> for diagnosis and treatment of small-bowel disorders: European Society of Gastrointestinal Endoscopy (ESGE) Clinical Guideline. </w:t>
      </w:r>
      <w:r w:rsidRPr="002D48C0">
        <w:rPr>
          <w:rFonts w:ascii="Book Antiqua" w:eastAsiaTheme="minorEastAsia" w:hAnsi="Book Antiqua" w:cstheme="minorBidi"/>
          <w:i/>
          <w:kern w:val="2"/>
          <w:lang w:val="en-US" w:eastAsia="zh-CN"/>
        </w:rPr>
        <w:t>Endoscopy</w:t>
      </w:r>
      <w:r w:rsidRPr="002D48C0">
        <w:rPr>
          <w:rFonts w:ascii="Book Antiqua" w:eastAsiaTheme="minorEastAsia" w:hAnsi="Book Antiqua" w:cstheme="minorBidi"/>
          <w:kern w:val="2"/>
          <w:lang w:val="en-US" w:eastAsia="zh-CN"/>
        </w:rPr>
        <w:t xml:space="preserve"> 2015; </w:t>
      </w:r>
      <w:r w:rsidRPr="002D48C0">
        <w:rPr>
          <w:rFonts w:ascii="Book Antiqua" w:eastAsiaTheme="minorEastAsia" w:hAnsi="Book Antiqua" w:cstheme="minorBidi"/>
          <w:b/>
          <w:kern w:val="2"/>
          <w:lang w:val="en-US" w:eastAsia="zh-CN"/>
        </w:rPr>
        <w:t>47</w:t>
      </w:r>
      <w:r w:rsidRPr="002D48C0">
        <w:rPr>
          <w:rFonts w:ascii="Book Antiqua" w:eastAsiaTheme="minorEastAsia" w:hAnsi="Book Antiqua" w:cstheme="minorBidi"/>
          <w:kern w:val="2"/>
          <w:lang w:val="en-US" w:eastAsia="zh-CN"/>
        </w:rPr>
        <w:t>: 352-376 [PMID: 25826168 DOI: 10.1055/s-0034-1391855]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73 </w:t>
      </w:r>
      <w:r w:rsidRPr="002D48C0">
        <w:rPr>
          <w:rFonts w:ascii="Book Antiqua" w:eastAsiaTheme="minorEastAsia" w:hAnsi="Book Antiqua" w:cstheme="minorBidi"/>
          <w:b/>
          <w:kern w:val="2"/>
          <w:lang w:val="en-US" w:eastAsia="zh-CN"/>
        </w:rPr>
        <w:t>Goldfarb NI</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Pizzi</w:t>
      </w:r>
      <w:proofErr w:type="spellEnd"/>
      <w:r w:rsidRPr="002D48C0">
        <w:rPr>
          <w:rFonts w:ascii="Book Antiqua" w:eastAsiaTheme="minorEastAsia" w:hAnsi="Book Antiqua" w:cstheme="minorBidi"/>
          <w:kern w:val="2"/>
          <w:lang w:val="en-US" w:eastAsia="zh-CN"/>
        </w:rPr>
        <w:t xml:space="preserve"> LT, </w:t>
      </w:r>
      <w:proofErr w:type="spellStart"/>
      <w:r w:rsidRPr="002D48C0">
        <w:rPr>
          <w:rFonts w:ascii="Book Antiqua" w:eastAsiaTheme="minorEastAsia" w:hAnsi="Book Antiqua" w:cstheme="minorBidi"/>
          <w:kern w:val="2"/>
          <w:lang w:val="en-US" w:eastAsia="zh-CN"/>
        </w:rPr>
        <w:t>Fuhr</w:t>
      </w:r>
      <w:proofErr w:type="spellEnd"/>
      <w:r w:rsidRPr="002D48C0">
        <w:rPr>
          <w:rFonts w:ascii="Book Antiqua" w:eastAsiaTheme="minorEastAsia" w:hAnsi="Book Antiqua" w:cstheme="minorBidi"/>
          <w:kern w:val="2"/>
          <w:lang w:val="en-US" w:eastAsia="zh-CN"/>
        </w:rPr>
        <w:t xml:space="preserve"> JP Jr, Salvador C, </w:t>
      </w:r>
      <w:proofErr w:type="spellStart"/>
      <w:r w:rsidRPr="002D48C0">
        <w:rPr>
          <w:rFonts w:ascii="Book Antiqua" w:eastAsiaTheme="minorEastAsia" w:hAnsi="Book Antiqua" w:cstheme="minorBidi"/>
          <w:kern w:val="2"/>
          <w:lang w:val="en-US" w:eastAsia="zh-CN"/>
        </w:rPr>
        <w:t>Sikirica</w:t>
      </w:r>
      <w:proofErr w:type="spellEnd"/>
      <w:r w:rsidRPr="002D48C0">
        <w:rPr>
          <w:rFonts w:ascii="Book Antiqua" w:eastAsiaTheme="minorEastAsia" w:hAnsi="Book Antiqua" w:cstheme="minorBidi"/>
          <w:kern w:val="2"/>
          <w:lang w:val="en-US" w:eastAsia="zh-CN"/>
        </w:rPr>
        <w:t xml:space="preserve"> V, </w:t>
      </w:r>
      <w:proofErr w:type="spellStart"/>
      <w:r w:rsidRPr="002D48C0">
        <w:rPr>
          <w:rFonts w:ascii="Book Antiqua" w:eastAsiaTheme="minorEastAsia" w:hAnsi="Book Antiqua" w:cstheme="minorBidi"/>
          <w:kern w:val="2"/>
          <w:lang w:val="en-US" w:eastAsia="zh-CN"/>
        </w:rPr>
        <w:t>Kornbluth</w:t>
      </w:r>
      <w:proofErr w:type="spellEnd"/>
      <w:r w:rsidRPr="002D48C0">
        <w:rPr>
          <w:rFonts w:ascii="Book Antiqua" w:eastAsiaTheme="minorEastAsia" w:hAnsi="Book Antiqua" w:cstheme="minorBidi"/>
          <w:kern w:val="2"/>
          <w:lang w:val="en-US" w:eastAsia="zh-CN"/>
        </w:rPr>
        <w:t xml:space="preserve"> A, Lewis B. Diagnosing Crohn's disease: an economic analysis comparing wireless capsule endoscopy with traditional diagnostic procedures. </w:t>
      </w:r>
      <w:r w:rsidRPr="002D48C0">
        <w:rPr>
          <w:rFonts w:ascii="Book Antiqua" w:eastAsiaTheme="minorEastAsia" w:hAnsi="Book Antiqua" w:cstheme="minorBidi"/>
          <w:i/>
          <w:kern w:val="2"/>
          <w:lang w:val="en-US" w:eastAsia="zh-CN"/>
        </w:rPr>
        <w:t xml:space="preserve">Dis </w:t>
      </w:r>
      <w:proofErr w:type="spellStart"/>
      <w:r w:rsidRPr="002D48C0">
        <w:rPr>
          <w:rFonts w:ascii="Book Antiqua" w:eastAsiaTheme="minorEastAsia" w:hAnsi="Book Antiqua" w:cstheme="minorBidi"/>
          <w:i/>
          <w:kern w:val="2"/>
          <w:lang w:val="en-US" w:eastAsia="zh-CN"/>
        </w:rPr>
        <w:t>Manag</w:t>
      </w:r>
      <w:proofErr w:type="spellEnd"/>
      <w:r w:rsidRPr="002D48C0">
        <w:rPr>
          <w:rFonts w:ascii="Book Antiqua" w:eastAsiaTheme="minorEastAsia" w:hAnsi="Book Antiqua" w:cstheme="minorBidi"/>
          <w:kern w:val="2"/>
          <w:lang w:val="en-US" w:eastAsia="zh-CN"/>
        </w:rPr>
        <w:t xml:space="preserve"> 2004; </w:t>
      </w:r>
      <w:r w:rsidRPr="002D48C0">
        <w:rPr>
          <w:rFonts w:ascii="Book Antiqua" w:eastAsiaTheme="minorEastAsia" w:hAnsi="Book Antiqua" w:cstheme="minorBidi"/>
          <w:b/>
          <w:kern w:val="2"/>
          <w:lang w:val="en-US" w:eastAsia="zh-CN"/>
        </w:rPr>
        <w:t>7</w:t>
      </w:r>
      <w:r w:rsidRPr="002D48C0">
        <w:rPr>
          <w:rFonts w:ascii="Book Antiqua" w:eastAsiaTheme="minorEastAsia" w:hAnsi="Book Antiqua" w:cstheme="minorBidi"/>
          <w:kern w:val="2"/>
          <w:lang w:val="en-US" w:eastAsia="zh-CN"/>
        </w:rPr>
        <w:t>: 292-304 [PMID: 15671786 DOI: 10.1089/dis.2004.7.292]</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74 </w:t>
      </w:r>
      <w:r w:rsidRPr="002D48C0">
        <w:rPr>
          <w:rFonts w:ascii="Book Antiqua" w:eastAsiaTheme="minorEastAsia" w:hAnsi="Book Antiqua" w:cstheme="minorBidi"/>
          <w:b/>
          <w:kern w:val="2"/>
          <w:lang w:val="en-US" w:eastAsia="zh-CN"/>
        </w:rPr>
        <w:t>Leighton JA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Gralnek</w:t>
      </w:r>
      <w:proofErr w:type="spellEnd"/>
      <w:r w:rsidRPr="002D48C0">
        <w:rPr>
          <w:rFonts w:ascii="Book Antiqua" w:eastAsiaTheme="minorEastAsia" w:hAnsi="Book Antiqua" w:cstheme="minorBidi"/>
          <w:kern w:val="2"/>
          <w:lang w:val="en-US" w:eastAsia="zh-CN"/>
        </w:rPr>
        <w:t xml:space="preserve"> IM, </w:t>
      </w:r>
      <w:proofErr w:type="spellStart"/>
      <w:r w:rsidRPr="002D48C0">
        <w:rPr>
          <w:rFonts w:ascii="Book Antiqua" w:eastAsiaTheme="minorEastAsia" w:hAnsi="Book Antiqua" w:cstheme="minorBidi"/>
          <w:kern w:val="2"/>
          <w:lang w:val="en-US" w:eastAsia="zh-CN"/>
        </w:rPr>
        <w:t>Richner</w:t>
      </w:r>
      <w:proofErr w:type="spellEnd"/>
      <w:r w:rsidRPr="002D48C0">
        <w:rPr>
          <w:rFonts w:ascii="Book Antiqua" w:eastAsiaTheme="minorEastAsia" w:hAnsi="Book Antiqua" w:cstheme="minorBidi"/>
          <w:kern w:val="2"/>
          <w:lang w:val="en-US" w:eastAsia="zh-CN"/>
        </w:rPr>
        <w:t xml:space="preserve"> RE, Lacey MJ, </w:t>
      </w:r>
      <w:proofErr w:type="spellStart"/>
      <w:r w:rsidRPr="002D48C0">
        <w:rPr>
          <w:rFonts w:ascii="Book Antiqua" w:eastAsiaTheme="minorEastAsia" w:hAnsi="Book Antiqua" w:cstheme="minorBidi"/>
          <w:kern w:val="2"/>
          <w:lang w:val="en-US" w:eastAsia="zh-CN"/>
        </w:rPr>
        <w:t>Papatheofanis</w:t>
      </w:r>
      <w:proofErr w:type="spellEnd"/>
      <w:r w:rsidRPr="002D48C0">
        <w:rPr>
          <w:rFonts w:ascii="Book Antiqua" w:eastAsiaTheme="minorEastAsia" w:hAnsi="Book Antiqua" w:cstheme="minorBidi"/>
          <w:kern w:val="2"/>
          <w:lang w:val="en-US" w:eastAsia="zh-CN"/>
        </w:rPr>
        <w:t xml:space="preserve"> FJ. Capsule endoscopy in suspected small bowel Crohn's disease: economic impact of disease diagnosis and treatment. </w:t>
      </w:r>
      <w:r w:rsidRPr="002D48C0">
        <w:rPr>
          <w:rFonts w:ascii="Book Antiqua" w:eastAsiaTheme="minorEastAsia" w:hAnsi="Book Antiqua" w:cstheme="minorBidi"/>
          <w:i/>
          <w:kern w:val="2"/>
          <w:lang w:val="en-US" w:eastAsia="zh-CN"/>
        </w:rPr>
        <w:t>World J Gastroenterol</w:t>
      </w:r>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15</w:t>
      </w:r>
      <w:r w:rsidRPr="002D48C0">
        <w:rPr>
          <w:rFonts w:ascii="Book Antiqua" w:eastAsiaTheme="minorEastAsia" w:hAnsi="Book Antiqua" w:cstheme="minorBidi"/>
          <w:kern w:val="2"/>
          <w:lang w:val="en-US" w:eastAsia="zh-CN"/>
        </w:rPr>
        <w:t>: 5685-5692 [PMID: 19960565 DOI: 10.3748/wjg.15.5685]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75 </w:t>
      </w:r>
      <w:proofErr w:type="spellStart"/>
      <w:r w:rsidRPr="002D48C0">
        <w:rPr>
          <w:rFonts w:ascii="Book Antiqua" w:eastAsiaTheme="minorEastAsia" w:hAnsi="Book Antiqua" w:cstheme="minorBidi"/>
          <w:b/>
          <w:kern w:val="2"/>
          <w:lang w:val="en-US" w:eastAsia="zh-CN"/>
        </w:rPr>
        <w:t>Herrerias</w:t>
      </w:r>
      <w:proofErr w:type="spellEnd"/>
      <w:r w:rsidRPr="002D48C0">
        <w:rPr>
          <w:rFonts w:ascii="Book Antiqua" w:eastAsiaTheme="minorEastAsia" w:hAnsi="Book Antiqua" w:cstheme="minorBidi"/>
          <w:b/>
          <w:kern w:val="2"/>
          <w:lang w:val="en-US" w:eastAsia="zh-CN"/>
        </w:rPr>
        <w:t xml:space="preserve"> JM</w:t>
      </w:r>
      <w:r w:rsidRPr="002D48C0">
        <w:rPr>
          <w:rFonts w:ascii="Book Antiqua" w:eastAsiaTheme="minorEastAsia" w:hAnsi="Book Antiqua" w:cstheme="minorBidi"/>
          <w:kern w:val="2"/>
          <w:lang w:val="en-US" w:eastAsia="zh-CN"/>
        </w:rPr>
        <w:t xml:space="preserve">, Leighton JA, </w:t>
      </w:r>
      <w:proofErr w:type="spellStart"/>
      <w:r w:rsidRPr="002D48C0">
        <w:rPr>
          <w:rFonts w:ascii="Book Antiqua" w:eastAsiaTheme="minorEastAsia" w:hAnsi="Book Antiqua" w:cstheme="minorBidi"/>
          <w:kern w:val="2"/>
          <w:lang w:val="en-US" w:eastAsia="zh-CN"/>
        </w:rPr>
        <w:t>Costamagna</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Infantolino</w:t>
      </w:r>
      <w:proofErr w:type="spellEnd"/>
      <w:r w:rsidRPr="002D48C0">
        <w:rPr>
          <w:rFonts w:ascii="Book Antiqua" w:eastAsiaTheme="minorEastAsia" w:hAnsi="Book Antiqua" w:cstheme="minorBidi"/>
          <w:kern w:val="2"/>
          <w:lang w:val="en-US" w:eastAsia="zh-CN"/>
        </w:rPr>
        <w:t xml:space="preserve"> A, Eliakim R, Fischer D, Rubin DT, </w:t>
      </w:r>
      <w:proofErr w:type="spellStart"/>
      <w:r w:rsidRPr="002D48C0">
        <w:rPr>
          <w:rFonts w:ascii="Book Antiqua" w:eastAsiaTheme="minorEastAsia" w:hAnsi="Book Antiqua" w:cstheme="minorBidi"/>
          <w:kern w:val="2"/>
          <w:lang w:val="en-US" w:eastAsia="zh-CN"/>
        </w:rPr>
        <w:t>Manten</w:t>
      </w:r>
      <w:proofErr w:type="spellEnd"/>
      <w:r w:rsidRPr="002D48C0">
        <w:rPr>
          <w:rFonts w:ascii="Book Antiqua" w:eastAsiaTheme="minorEastAsia" w:hAnsi="Book Antiqua" w:cstheme="minorBidi"/>
          <w:kern w:val="2"/>
          <w:lang w:val="en-US" w:eastAsia="zh-CN"/>
        </w:rPr>
        <w:t xml:space="preserve"> HD, Scapa E, Morgan DR, </w:t>
      </w:r>
      <w:proofErr w:type="spellStart"/>
      <w:r w:rsidRPr="002D48C0">
        <w:rPr>
          <w:rFonts w:ascii="Book Antiqua" w:eastAsiaTheme="minorEastAsia" w:hAnsi="Book Antiqua" w:cstheme="minorBidi"/>
          <w:kern w:val="2"/>
          <w:lang w:val="en-US" w:eastAsia="zh-CN"/>
        </w:rPr>
        <w:t>Bergwerk</w:t>
      </w:r>
      <w:proofErr w:type="spellEnd"/>
      <w:r w:rsidRPr="002D48C0">
        <w:rPr>
          <w:rFonts w:ascii="Book Antiqua" w:eastAsiaTheme="minorEastAsia" w:hAnsi="Book Antiqua" w:cstheme="minorBidi"/>
          <w:kern w:val="2"/>
          <w:lang w:val="en-US" w:eastAsia="zh-CN"/>
        </w:rPr>
        <w:t xml:space="preserve"> AJ, </w:t>
      </w:r>
      <w:proofErr w:type="spellStart"/>
      <w:r w:rsidRPr="002D48C0">
        <w:rPr>
          <w:rFonts w:ascii="Book Antiqua" w:eastAsiaTheme="minorEastAsia" w:hAnsi="Book Antiqua" w:cstheme="minorBidi"/>
          <w:kern w:val="2"/>
          <w:lang w:val="en-US" w:eastAsia="zh-CN"/>
        </w:rPr>
        <w:t>Koslowsky</w:t>
      </w:r>
      <w:proofErr w:type="spellEnd"/>
      <w:r w:rsidRPr="002D48C0">
        <w:rPr>
          <w:rFonts w:ascii="Book Antiqua" w:eastAsiaTheme="minorEastAsia" w:hAnsi="Book Antiqua" w:cstheme="minorBidi"/>
          <w:kern w:val="2"/>
          <w:lang w:val="en-US" w:eastAsia="zh-CN"/>
        </w:rPr>
        <w:t xml:space="preserve"> B, Adler SN. Agile patency system eliminates risk of capsule retention in patients with known intestinal strictures who undergo capsule endoscopy.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2008; </w:t>
      </w:r>
      <w:r w:rsidRPr="002D48C0">
        <w:rPr>
          <w:rFonts w:ascii="Book Antiqua" w:eastAsiaTheme="minorEastAsia" w:hAnsi="Book Antiqua" w:cstheme="minorBidi"/>
          <w:b/>
          <w:kern w:val="2"/>
          <w:lang w:val="en-US" w:eastAsia="zh-CN"/>
        </w:rPr>
        <w:t>67</w:t>
      </w:r>
      <w:r w:rsidRPr="002D48C0">
        <w:rPr>
          <w:rFonts w:ascii="Book Antiqua" w:eastAsiaTheme="minorEastAsia" w:hAnsi="Book Antiqua" w:cstheme="minorBidi"/>
          <w:kern w:val="2"/>
          <w:lang w:val="en-US" w:eastAsia="zh-CN"/>
        </w:rPr>
        <w:t>: 902-909 [PMID: 18355824 DOI: 10.1016/j.gie.2007.10.063]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76 </w:t>
      </w:r>
      <w:proofErr w:type="spellStart"/>
      <w:r w:rsidRPr="002D48C0">
        <w:rPr>
          <w:rFonts w:ascii="Book Antiqua" w:eastAsiaTheme="minorEastAsia" w:hAnsi="Book Antiqua" w:cstheme="minorBidi"/>
          <w:b/>
          <w:kern w:val="2"/>
          <w:lang w:val="en-US" w:eastAsia="zh-CN"/>
        </w:rPr>
        <w:t>Kopylov</w:t>
      </w:r>
      <w:proofErr w:type="spellEnd"/>
      <w:r w:rsidRPr="002D48C0">
        <w:rPr>
          <w:rFonts w:ascii="Book Antiqua" w:eastAsiaTheme="minorEastAsia" w:hAnsi="Book Antiqua" w:cstheme="minorBidi"/>
          <w:b/>
          <w:kern w:val="2"/>
          <w:lang w:val="en-US" w:eastAsia="zh-CN"/>
        </w:rPr>
        <w:t xml:space="preserve"> U</w:t>
      </w:r>
      <w:r w:rsidRPr="002D48C0">
        <w:rPr>
          <w:rFonts w:ascii="Book Antiqua" w:eastAsiaTheme="minorEastAsia" w:hAnsi="Book Antiqua" w:cstheme="minorBidi"/>
          <w:kern w:val="2"/>
          <w:lang w:val="en-US" w:eastAsia="zh-CN"/>
        </w:rPr>
        <w:t xml:space="preserve">, Nemeth A, </w:t>
      </w:r>
      <w:proofErr w:type="spellStart"/>
      <w:r w:rsidRPr="002D48C0">
        <w:rPr>
          <w:rFonts w:ascii="Book Antiqua" w:eastAsiaTheme="minorEastAsia" w:hAnsi="Book Antiqua" w:cstheme="minorBidi"/>
          <w:kern w:val="2"/>
          <w:lang w:val="en-US" w:eastAsia="zh-CN"/>
        </w:rPr>
        <w:t>Cebrian</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Wurm</w:t>
      </w:r>
      <w:proofErr w:type="spellEnd"/>
      <w:r w:rsidRPr="002D48C0">
        <w:rPr>
          <w:rFonts w:ascii="Book Antiqua" w:eastAsiaTheme="minorEastAsia" w:hAnsi="Book Antiqua" w:cstheme="minorBidi"/>
          <w:kern w:val="2"/>
          <w:lang w:val="en-US" w:eastAsia="zh-CN"/>
        </w:rPr>
        <w:t xml:space="preserve"> Johansson G, </w:t>
      </w:r>
      <w:proofErr w:type="spellStart"/>
      <w:r w:rsidRPr="002D48C0">
        <w:rPr>
          <w:rFonts w:ascii="Book Antiqua" w:eastAsiaTheme="minorEastAsia" w:hAnsi="Book Antiqua" w:cstheme="minorBidi"/>
          <w:kern w:val="2"/>
          <w:lang w:val="en-US" w:eastAsia="zh-CN"/>
        </w:rPr>
        <w:t>Thorlacius</w:t>
      </w:r>
      <w:proofErr w:type="spellEnd"/>
      <w:r w:rsidRPr="002D48C0">
        <w:rPr>
          <w:rFonts w:ascii="Book Antiqua" w:eastAsiaTheme="minorEastAsia" w:hAnsi="Book Antiqua" w:cstheme="minorBidi"/>
          <w:kern w:val="2"/>
          <w:lang w:val="en-US" w:eastAsia="zh-CN"/>
        </w:rPr>
        <w:t xml:space="preserve"> H, Fernandez-</w:t>
      </w:r>
      <w:proofErr w:type="spellStart"/>
      <w:r w:rsidRPr="002D48C0">
        <w:rPr>
          <w:rFonts w:ascii="Book Antiqua" w:eastAsiaTheme="minorEastAsia" w:hAnsi="Book Antiqua" w:cstheme="minorBidi"/>
          <w:kern w:val="2"/>
          <w:lang w:val="en-US" w:eastAsia="zh-CN"/>
        </w:rPr>
        <w:t>Urien</w:t>
      </w:r>
      <w:proofErr w:type="spellEnd"/>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Sainz</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Koulaouzidis</w:t>
      </w:r>
      <w:proofErr w:type="spellEnd"/>
      <w:r w:rsidRPr="002D48C0">
        <w:rPr>
          <w:rFonts w:ascii="Book Antiqua" w:eastAsiaTheme="minorEastAsia" w:hAnsi="Book Antiqua" w:cstheme="minorBidi"/>
          <w:kern w:val="2"/>
          <w:lang w:val="en-US" w:eastAsia="zh-CN"/>
        </w:rPr>
        <w:t xml:space="preserve"> A, Eliakim R, Toth E. Symptomatic retention of the patency capsule: a multicenter real life case series.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Int</w:t>
      </w:r>
      <w:proofErr w:type="spellEnd"/>
      <w:r w:rsidRPr="002D48C0">
        <w:rPr>
          <w:rFonts w:ascii="Book Antiqua" w:eastAsiaTheme="minorEastAsia" w:hAnsi="Book Antiqua" w:cstheme="minorBidi"/>
          <w:i/>
          <w:kern w:val="2"/>
          <w:lang w:val="en-US" w:eastAsia="zh-CN"/>
        </w:rPr>
        <w:t xml:space="preserve"> Open</w:t>
      </w:r>
      <w:r w:rsidRPr="002D48C0">
        <w:rPr>
          <w:rFonts w:ascii="Book Antiqua" w:eastAsiaTheme="minorEastAsia" w:hAnsi="Book Antiqua" w:cstheme="minorBidi"/>
          <w:kern w:val="2"/>
          <w:lang w:val="en-US" w:eastAsia="zh-CN"/>
        </w:rPr>
        <w:t xml:space="preserve"> 2016; </w:t>
      </w:r>
      <w:r w:rsidRPr="002D48C0">
        <w:rPr>
          <w:rFonts w:ascii="Book Antiqua" w:eastAsiaTheme="minorEastAsia" w:hAnsi="Book Antiqua" w:cstheme="minorBidi"/>
          <w:b/>
          <w:kern w:val="2"/>
          <w:lang w:val="en-US" w:eastAsia="zh-CN"/>
        </w:rPr>
        <w:t>4</w:t>
      </w:r>
      <w:r w:rsidRPr="002D48C0">
        <w:rPr>
          <w:rFonts w:ascii="Book Antiqua" w:eastAsiaTheme="minorEastAsia" w:hAnsi="Book Antiqua" w:cstheme="minorBidi"/>
          <w:kern w:val="2"/>
          <w:lang w:val="en-US" w:eastAsia="zh-CN"/>
        </w:rPr>
        <w:t>: E964-E969 [PMID: 27652302 DOI: 10.1055/s-0042-112588]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77 </w:t>
      </w:r>
      <w:r w:rsidRPr="002D48C0">
        <w:rPr>
          <w:rFonts w:ascii="Book Antiqua" w:eastAsiaTheme="minorEastAsia" w:hAnsi="Book Antiqua" w:cstheme="minorBidi"/>
          <w:b/>
          <w:kern w:val="2"/>
          <w:lang w:val="en-US" w:eastAsia="zh-CN"/>
        </w:rPr>
        <w:t>Leighton JA</w:t>
      </w:r>
      <w:r w:rsidRPr="002D48C0">
        <w:rPr>
          <w:rFonts w:ascii="Book Antiqua" w:eastAsiaTheme="minorEastAsia" w:hAnsi="Book Antiqua" w:cstheme="minorBidi"/>
          <w:kern w:val="2"/>
          <w:lang w:val="en-US" w:eastAsia="zh-CN"/>
        </w:rPr>
        <w:t xml:space="preserve">, Helper DJ, </w:t>
      </w:r>
      <w:proofErr w:type="spellStart"/>
      <w:r w:rsidRPr="002D48C0">
        <w:rPr>
          <w:rFonts w:ascii="Book Antiqua" w:eastAsiaTheme="minorEastAsia" w:hAnsi="Book Antiqua" w:cstheme="minorBidi"/>
          <w:kern w:val="2"/>
          <w:lang w:val="en-US" w:eastAsia="zh-CN"/>
        </w:rPr>
        <w:t>Gralnek</w:t>
      </w:r>
      <w:proofErr w:type="spellEnd"/>
      <w:r w:rsidRPr="002D48C0">
        <w:rPr>
          <w:rFonts w:ascii="Book Antiqua" w:eastAsiaTheme="minorEastAsia" w:hAnsi="Book Antiqua" w:cstheme="minorBidi"/>
          <w:kern w:val="2"/>
          <w:lang w:val="en-US" w:eastAsia="zh-CN"/>
        </w:rPr>
        <w:t xml:space="preserve"> IM, </w:t>
      </w:r>
      <w:proofErr w:type="spellStart"/>
      <w:r w:rsidRPr="002D48C0">
        <w:rPr>
          <w:rFonts w:ascii="Book Antiqua" w:eastAsiaTheme="minorEastAsia" w:hAnsi="Book Antiqua" w:cstheme="minorBidi"/>
          <w:kern w:val="2"/>
          <w:lang w:val="en-US" w:eastAsia="zh-CN"/>
        </w:rPr>
        <w:t>Dotan</w:t>
      </w:r>
      <w:proofErr w:type="spellEnd"/>
      <w:r w:rsidRPr="002D48C0">
        <w:rPr>
          <w:rFonts w:ascii="Book Antiqua" w:eastAsiaTheme="minorEastAsia" w:hAnsi="Book Antiqua" w:cstheme="minorBidi"/>
          <w:kern w:val="2"/>
          <w:lang w:val="en-US" w:eastAsia="zh-CN"/>
        </w:rPr>
        <w:t xml:space="preserve"> I, Fernandez-</w:t>
      </w:r>
      <w:proofErr w:type="spellStart"/>
      <w:r w:rsidRPr="002D48C0">
        <w:rPr>
          <w:rFonts w:ascii="Book Antiqua" w:eastAsiaTheme="minorEastAsia" w:hAnsi="Book Antiqua" w:cstheme="minorBidi"/>
          <w:kern w:val="2"/>
          <w:lang w:val="en-US" w:eastAsia="zh-CN"/>
        </w:rPr>
        <w:t>Urien</w:t>
      </w:r>
      <w:proofErr w:type="spellEnd"/>
      <w:r w:rsidRPr="002D48C0">
        <w:rPr>
          <w:rFonts w:ascii="Book Antiqua" w:eastAsiaTheme="minorEastAsia" w:hAnsi="Book Antiqua" w:cstheme="minorBidi"/>
          <w:kern w:val="2"/>
          <w:lang w:val="en-US" w:eastAsia="zh-CN"/>
        </w:rPr>
        <w:t xml:space="preserve"> I, </w:t>
      </w:r>
      <w:proofErr w:type="spellStart"/>
      <w:r w:rsidRPr="002D48C0">
        <w:rPr>
          <w:rFonts w:ascii="Book Antiqua" w:eastAsiaTheme="minorEastAsia" w:hAnsi="Book Antiqua" w:cstheme="minorBidi"/>
          <w:kern w:val="2"/>
          <w:lang w:val="en-US" w:eastAsia="zh-CN"/>
        </w:rPr>
        <w:t>Lahat</w:t>
      </w:r>
      <w:proofErr w:type="spellEnd"/>
      <w:r w:rsidRPr="002D48C0">
        <w:rPr>
          <w:rFonts w:ascii="Book Antiqua" w:eastAsiaTheme="minorEastAsia" w:hAnsi="Book Antiqua" w:cstheme="minorBidi"/>
          <w:kern w:val="2"/>
          <w:lang w:val="en-US" w:eastAsia="zh-CN"/>
        </w:rPr>
        <w:t xml:space="preserve"> A, Malik P, Mullin GE, Rosa B. Comparing diagnostic yield of a novel pan-enteric video capsule endoscope with </w:t>
      </w:r>
      <w:proofErr w:type="spellStart"/>
      <w:r w:rsidRPr="002D48C0">
        <w:rPr>
          <w:rFonts w:ascii="Book Antiqua" w:eastAsiaTheme="minorEastAsia" w:hAnsi="Book Antiqua" w:cstheme="minorBidi"/>
          <w:kern w:val="2"/>
          <w:lang w:val="en-US" w:eastAsia="zh-CN"/>
        </w:rPr>
        <w:t>ileocolonoscopy</w:t>
      </w:r>
      <w:proofErr w:type="spellEnd"/>
      <w:r w:rsidRPr="002D48C0">
        <w:rPr>
          <w:rFonts w:ascii="Book Antiqua" w:eastAsiaTheme="minorEastAsia" w:hAnsi="Book Antiqua" w:cstheme="minorBidi"/>
          <w:kern w:val="2"/>
          <w:lang w:val="en-US" w:eastAsia="zh-CN"/>
        </w:rPr>
        <w:t xml:space="preserve"> in patients with active Crohn's disease: a feasibility study. </w:t>
      </w:r>
      <w:proofErr w:type="spellStart"/>
      <w:r w:rsidRPr="002D48C0">
        <w:rPr>
          <w:rFonts w:ascii="Book Antiqua" w:eastAsiaTheme="minorEastAsia" w:hAnsi="Book Antiqua" w:cstheme="minorBidi"/>
          <w:i/>
          <w:kern w:val="2"/>
          <w:lang w:val="en-US" w:eastAsia="zh-CN"/>
        </w:rPr>
        <w:t>Gastrointest</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2017; </w:t>
      </w:r>
      <w:r w:rsidRPr="002D48C0">
        <w:rPr>
          <w:rFonts w:ascii="Book Antiqua" w:eastAsiaTheme="minorEastAsia" w:hAnsi="Book Antiqua" w:cstheme="minorBidi"/>
          <w:b/>
          <w:kern w:val="2"/>
          <w:lang w:val="en-US" w:eastAsia="zh-CN"/>
        </w:rPr>
        <w:t>85</w:t>
      </w:r>
      <w:r w:rsidRPr="002D48C0">
        <w:rPr>
          <w:rFonts w:ascii="Book Antiqua" w:eastAsiaTheme="minorEastAsia" w:hAnsi="Book Antiqua" w:cstheme="minorBidi"/>
          <w:kern w:val="2"/>
          <w:lang w:val="en-US" w:eastAsia="zh-CN"/>
        </w:rPr>
        <w:t>: 196-205.e1 [PMID: 27658907 DOI: 10.1016/j.gie.2016.09.009]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78 </w:t>
      </w:r>
      <w:r w:rsidRPr="002D48C0">
        <w:rPr>
          <w:rFonts w:ascii="Book Antiqua" w:eastAsiaTheme="minorEastAsia" w:hAnsi="Book Antiqua" w:cstheme="minorBidi"/>
          <w:b/>
          <w:kern w:val="2"/>
          <w:lang w:val="en-US" w:eastAsia="zh-CN"/>
        </w:rPr>
        <w:t>Tukey 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Pleskow</w:t>
      </w:r>
      <w:proofErr w:type="spellEnd"/>
      <w:r w:rsidRPr="002D48C0">
        <w:rPr>
          <w:rFonts w:ascii="Book Antiqua" w:eastAsiaTheme="minorEastAsia" w:hAnsi="Book Antiqua" w:cstheme="minorBidi"/>
          <w:kern w:val="2"/>
          <w:lang w:val="en-US" w:eastAsia="zh-CN"/>
        </w:rPr>
        <w:t xml:space="preserve"> D, </w:t>
      </w:r>
      <w:proofErr w:type="spellStart"/>
      <w:r w:rsidRPr="002D48C0">
        <w:rPr>
          <w:rFonts w:ascii="Book Antiqua" w:eastAsiaTheme="minorEastAsia" w:hAnsi="Book Antiqua" w:cstheme="minorBidi"/>
          <w:kern w:val="2"/>
          <w:lang w:val="en-US" w:eastAsia="zh-CN"/>
        </w:rPr>
        <w:t>Legnani</w:t>
      </w:r>
      <w:proofErr w:type="spellEnd"/>
      <w:r w:rsidRPr="002D48C0">
        <w:rPr>
          <w:rFonts w:ascii="Book Antiqua" w:eastAsiaTheme="minorEastAsia" w:hAnsi="Book Antiqua" w:cstheme="minorBidi"/>
          <w:kern w:val="2"/>
          <w:lang w:val="en-US" w:eastAsia="zh-CN"/>
        </w:rPr>
        <w:t xml:space="preserve"> P, </w:t>
      </w:r>
      <w:proofErr w:type="spellStart"/>
      <w:r w:rsidRPr="002D48C0">
        <w:rPr>
          <w:rFonts w:ascii="Book Antiqua" w:eastAsiaTheme="minorEastAsia" w:hAnsi="Book Antiqua" w:cstheme="minorBidi"/>
          <w:kern w:val="2"/>
          <w:lang w:val="en-US" w:eastAsia="zh-CN"/>
        </w:rPr>
        <w:t>Cheifetz</w:t>
      </w:r>
      <w:proofErr w:type="spellEnd"/>
      <w:r w:rsidRPr="002D48C0">
        <w:rPr>
          <w:rFonts w:ascii="Book Antiqua" w:eastAsiaTheme="minorEastAsia" w:hAnsi="Book Antiqua" w:cstheme="minorBidi"/>
          <w:kern w:val="2"/>
          <w:lang w:val="en-US" w:eastAsia="zh-CN"/>
        </w:rPr>
        <w:t xml:space="preserve"> AS, Moss AC. The utility of capsule endoscopy in patients with suspected Crohn's disease. </w:t>
      </w:r>
      <w:r w:rsidRPr="002D48C0">
        <w:rPr>
          <w:rFonts w:ascii="Book Antiqua" w:eastAsiaTheme="minorEastAsia" w:hAnsi="Book Antiqua" w:cstheme="minorBidi"/>
          <w:i/>
          <w:kern w:val="2"/>
          <w:lang w:val="en-US" w:eastAsia="zh-CN"/>
        </w:rPr>
        <w:t>Am J Gastroenterol</w:t>
      </w:r>
      <w:r w:rsidRPr="002D48C0">
        <w:rPr>
          <w:rFonts w:ascii="Book Antiqua" w:eastAsiaTheme="minorEastAsia" w:hAnsi="Book Antiqua" w:cstheme="minorBidi"/>
          <w:kern w:val="2"/>
          <w:lang w:val="en-US" w:eastAsia="zh-CN"/>
        </w:rPr>
        <w:t xml:space="preserve"> 2009; </w:t>
      </w:r>
      <w:r w:rsidRPr="002D48C0">
        <w:rPr>
          <w:rFonts w:ascii="Book Antiqua" w:eastAsiaTheme="minorEastAsia" w:hAnsi="Book Antiqua" w:cstheme="minorBidi"/>
          <w:b/>
          <w:kern w:val="2"/>
          <w:lang w:val="en-US" w:eastAsia="zh-CN"/>
        </w:rPr>
        <w:t>104</w:t>
      </w:r>
      <w:r w:rsidRPr="002D48C0">
        <w:rPr>
          <w:rFonts w:ascii="Book Antiqua" w:eastAsiaTheme="minorEastAsia" w:hAnsi="Book Antiqua" w:cstheme="minorBidi"/>
          <w:kern w:val="2"/>
          <w:lang w:val="en-US" w:eastAsia="zh-CN"/>
        </w:rPr>
        <w:t>: 2734-2739 [PMID: 19584828 DOI: 10.1038/ajg.2009.404]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79 </w:t>
      </w:r>
      <w:proofErr w:type="spellStart"/>
      <w:r w:rsidRPr="002D48C0">
        <w:rPr>
          <w:rFonts w:ascii="Book Antiqua" w:eastAsiaTheme="minorEastAsia" w:hAnsi="Book Antiqua" w:cstheme="minorBidi"/>
          <w:b/>
          <w:kern w:val="2"/>
          <w:lang w:val="en-US" w:eastAsia="zh-CN"/>
        </w:rPr>
        <w:t>Dussault</w:t>
      </w:r>
      <w:proofErr w:type="spellEnd"/>
      <w:r w:rsidRPr="002D48C0">
        <w:rPr>
          <w:rFonts w:ascii="Book Antiqua" w:eastAsiaTheme="minorEastAsia" w:hAnsi="Book Antiqua" w:cstheme="minorBidi"/>
          <w:b/>
          <w:kern w:val="2"/>
          <w:lang w:val="en-US" w:eastAsia="zh-CN"/>
        </w:rPr>
        <w:t xml:space="preserve"> C</w:t>
      </w:r>
      <w:r w:rsidRPr="002D48C0">
        <w:rPr>
          <w:rFonts w:ascii="Book Antiqua" w:eastAsiaTheme="minorEastAsia" w:hAnsi="Book Antiqua" w:cstheme="minorBidi"/>
          <w:kern w:val="2"/>
          <w:lang w:val="en-US" w:eastAsia="zh-CN"/>
        </w:rPr>
        <w:t xml:space="preserve">, Gower-Rousseau C, </w:t>
      </w:r>
      <w:proofErr w:type="spellStart"/>
      <w:r w:rsidRPr="002D48C0">
        <w:rPr>
          <w:rFonts w:ascii="Book Antiqua" w:eastAsiaTheme="minorEastAsia" w:hAnsi="Book Antiqua" w:cstheme="minorBidi"/>
          <w:kern w:val="2"/>
          <w:lang w:val="en-US" w:eastAsia="zh-CN"/>
        </w:rPr>
        <w:t>Salleron</w:t>
      </w:r>
      <w:proofErr w:type="spellEnd"/>
      <w:r w:rsidRPr="002D48C0">
        <w:rPr>
          <w:rFonts w:ascii="Book Antiqua" w:eastAsiaTheme="minorEastAsia" w:hAnsi="Book Antiqua" w:cstheme="minorBidi"/>
          <w:kern w:val="2"/>
          <w:lang w:val="en-US" w:eastAsia="zh-CN"/>
        </w:rPr>
        <w:t xml:space="preserve"> J, Vernier-</w:t>
      </w:r>
      <w:proofErr w:type="spellStart"/>
      <w:r w:rsidRPr="002D48C0">
        <w:rPr>
          <w:rFonts w:ascii="Book Antiqua" w:eastAsiaTheme="minorEastAsia" w:hAnsi="Book Antiqua" w:cstheme="minorBidi"/>
          <w:kern w:val="2"/>
          <w:lang w:val="en-US" w:eastAsia="zh-CN"/>
        </w:rPr>
        <w:t>Massouille</w:t>
      </w:r>
      <w:proofErr w:type="spellEnd"/>
      <w:r w:rsidRPr="002D48C0">
        <w:rPr>
          <w:rFonts w:ascii="Book Antiqua" w:eastAsiaTheme="minorEastAsia" w:hAnsi="Book Antiqua" w:cstheme="minorBidi"/>
          <w:kern w:val="2"/>
          <w:lang w:val="en-US" w:eastAsia="zh-CN"/>
        </w:rPr>
        <w:t xml:space="preserve"> G, </w:t>
      </w:r>
      <w:proofErr w:type="spellStart"/>
      <w:r w:rsidRPr="002D48C0">
        <w:rPr>
          <w:rFonts w:ascii="Book Antiqua" w:eastAsiaTheme="minorEastAsia" w:hAnsi="Book Antiqua" w:cstheme="minorBidi"/>
          <w:kern w:val="2"/>
          <w:lang w:val="en-US" w:eastAsia="zh-CN"/>
        </w:rPr>
        <w:t>Branche</w:t>
      </w:r>
      <w:proofErr w:type="spellEnd"/>
      <w:r w:rsidRPr="002D48C0">
        <w:rPr>
          <w:rFonts w:ascii="Book Antiqua" w:eastAsiaTheme="minorEastAsia" w:hAnsi="Book Antiqua" w:cstheme="minorBidi"/>
          <w:kern w:val="2"/>
          <w:lang w:val="en-US" w:eastAsia="zh-CN"/>
        </w:rPr>
        <w:t xml:space="preserve"> J, </w:t>
      </w:r>
      <w:proofErr w:type="spellStart"/>
      <w:r w:rsidRPr="002D48C0">
        <w:rPr>
          <w:rFonts w:ascii="Book Antiqua" w:eastAsiaTheme="minorEastAsia" w:hAnsi="Book Antiqua" w:cstheme="minorBidi"/>
          <w:kern w:val="2"/>
          <w:lang w:val="en-US" w:eastAsia="zh-CN"/>
        </w:rPr>
        <w:t>Colombel</w:t>
      </w:r>
      <w:proofErr w:type="spellEnd"/>
      <w:r w:rsidRPr="002D48C0">
        <w:rPr>
          <w:rFonts w:ascii="Book Antiqua" w:eastAsiaTheme="minorEastAsia" w:hAnsi="Book Antiqua" w:cstheme="minorBidi"/>
          <w:kern w:val="2"/>
          <w:lang w:val="en-US" w:eastAsia="zh-CN"/>
        </w:rPr>
        <w:t xml:space="preserve"> JF, </w:t>
      </w:r>
      <w:proofErr w:type="spellStart"/>
      <w:r w:rsidRPr="002D48C0">
        <w:rPr>
          <w:rFonts w:ascii="Book Antiqua" w:eastAsiaTheme="minorEastAsia" w:hAnsi="Book Antiqua" w:cstheme="minorBidi"/>
          <w:kern w:val="2"/>
          <w:lang w:val="en-US" w:eastAsia="zh-CN"/>
        </w:rPr>
        <w:t>Maunoury</w:t>
      </w:r>
      <w:proofErr w:type="spellEnd"/>
      <w:r w:rsidRPr="002D48C0">
        <w:rPr>
          <w:rFonts w:ascii="Book Antiqua" w:eastAsiaTheme="minorEastAsia" w:hAnsi="Book Antiqua" w:cstheme="minorBidi"/>
          <w:kern w:val="2"/>
          <w:lang w:val="en-US" w:eastAsia="zh-CN"/>
        </w:rPr>
        <w:t xml:space="preserve"> V. Small bowel capsule endoscopy for management of Crohn's disease: a retrospective tertiary care </w:t>
      </w:r>
      <w:proofErr w:type="spellStart"/>
      <w:r w:rsidRPr="002D48C0">
        <w:rPr>
          <w:rFonts w:ascii="Book Antiqua" w:eastAsiaTheme="minorEastAsia" w:hAnsi="Book Antiqua" w:cstheme="minorBidi"/>
          <w:kern w:val="2"/>
          <w:lang w:val="en-US" w:eastAsia="zh-CN"/>
        </w:rPr>
        <w:t>centre</w:t>
      </w:r>
      <w:proofErr w:type="spellEnd"/>
      <w:r w:rsidRPr="002D48C0">
        <w:rPr>
          <w:rFonts w:ascii="Book Antiqua" w:eastAsiaTheme="minorEastAsia" w:hAnsi="Book Antiqua" w:cstheme="minorBidi"/>
          <w:kern w:val="2"/>
          <w:lang w:val="en-US" w:eastAsia="zh-CN"/>
        </w:rPr>
        <w:t xml:space="preserve"> experience. </w:t>
      </w:r>
      <w:r w:rsidRPr="002D48C0">
        <w:rPr>
          <w:rFonts w:ascii="Book Antiqua" w:eastAsiaTheme="minorEastAsia" w:hAnsi="Book Antiqua" w:cstheme="minorBidi"/>
          <w:i/>
          <w:kern w:val="2"/>
          <w:lang w:val="en-US" w:eastAsia="zh-CN"/>
        </w:rPr>
        <w:t>Dig Liver Dis</w:t>
      </w:r>
      <w:r w:rsidRPr="002D48C0">
        <w:rPr>
          <w:rFonts w:ascii="Book Antiqua" w:eastAsiaTheme="minorEastAsia" w:hAnsi="Book Antiqua" w:cstheme="minorBidi"/>
          <w:kern w:val="2"/>
          <w:lang w:val="en-US" w:eastAsia="zh-CN"/>
        </w:rPr>
        <w:t xml:space="preserve"> 2013; </w:t>
      </w:r>
      <w:r w:rsidRPr="002D48C0">
        <w:rPr>
          <w:rFonts w:ascii="Book Antiqua" w:eastAsiaTheme="minorEastAsia" w:hAnsi="Book Antiqua" w:cstheme="minorBidi"/>
          <w:b/>
          <w:kern w:val="2"/>
          <w:lang w:val="en-US" w:eastAsia="zh-CN"/>
        </w:rPr>
        <w:t>45</w:t>
      </w:r>
      <w:r w:rsidRPr="002D48C0">
        <w:rPr>
          <w:rFonts w:ascii="Book Antiqua" w:eastAsiaTheme="minorEastAsia" w:hAnsi="Book Antiqua" w:cstheme="minorBidi"/>
          <w:kern w:val="2"/>
          <w:lang w:val="en-US" w:eastAsia="zh-CN"/>
        </w:rPr>
        <w:t xml:space="preserve">: </w:t>
      </w:r>
      <w:r w:rsidRPr="002D48C0">
        <w:rPr>
          <w:rFonts w:ascii="Book Antiqua" w:eastAsiaTheme="minorEastAsia" w:hAnsi="Book Antiqua" w:cstheme="minorBidi"/>
          <w:kern w:val="2"/>
          <w:lang w:val="en-US" w:eastAsia="zh-CN"/>
        </w:rPr>
        <w:lastRenderedPageBreak/>
        <w:t>558-561 [PMID: 23238033 DOI: 10.1016/j.dld.2012.11.004]</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80 </w:t>
      </w:r>
      <w:proofErr w:type="spellStart"/>
      <w:r w:rsidRPr="002D48C0">
        <w:rPr>
          <w:rFonts w:ascii="Book Antiqua" w:eastAsiaTheme="minorEastAsia" w:hAnsi="Book Antiqua" w:cstheme="minorBidi"/>
          <w:b/>
          <w:kern w:val="2"/>
          <w:lang w:val="en-US" w:eastAsia="zh-CN"/>
        </w:rPr>
        <w:t>Kalla</w:t>
      </w:r>
      <w:proofErr w:type="spellEnd"/>
      <w:r w:rsidRPr="002D48C0">
        <w:rPr>
          <w:rFonts w:ascii="Book Antiqua" w:eastAsiaTheme="minorEastAsia" w:hAnsi="Book Antiqua" w:cstheme="minorBidi"/>
          <w:b/>
          <w:kern w:val="2"/>
          <w:lang w:val="en-US" w:eastAsia="zh-CN"/>
        </w:rPr>
        <w:t xml:space="preserve"> R</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McAlindon</w:t>
      </w:r>
      <w:proofErr w:type="spellEnd"/>
      <w:r w:rsidRPr="002D48C0">
        <w:rPr>
          <w:rFonts w:ascii="Book Antiqua" w:eastAsiaTheme="minorEastAsia" w:hAnsi="Book Antiqua" w:cstheme="minorBidi"/>
          <w:kern w:val="2"/>
          <w:lang w:val="en-US" w:eastAsia="zh-CN"/>
        </w:rPr>
        <w:t xml:space="preserve"> ME, Drew K, Sidhu R. Clinical utility of capsule endoscopy in patients with Crohn's disease and inflammatory bowel disease unclassified. </w:t>
      </w:r>
      <w:proofErr w:type="spellStart"/>
      <w:r w:rsidRPr="002D48C0">
        <w:rPr>
          <w:rFonts w:ascii="Book Antiqua" w:eastAsiaTheme="minorEastAsia" w:hAnsi="Book Antiqua" w:cstheme="minorBidi"/>
          <w:i/>
          <w:kern w:val="2"/>
          <w:lang w:val="en-US" w:eastAsia="zh-CN"/>
        </w:rPr>
        <w:t>Eur</w:t>
      </w:r>
      <w:proofErr w:type="spellEnd"/>
      <w:r w:rsidRPr="002D48C0">
        <w:rPr>
          <w:rFonts w:ascii="Book Antiqua" w:eastAsiaTheme="minorEastAsia" w:hAnsi="Book Antiqua" w:cstheme="minorBidi"/>
          <w:i/>
          <w:kern w:val="2"/>
          <w:lang w:val="en-US" w:eastAsia="zh-CN"/>
        </w:rPr>
        <w:t xml:space="preserve"> J </w:t>
      </w:r>
      <w:proofErr w:type="spellStart"/>
      <w:r w:rsidRPr="002D48C0">
        <w:rPr>
          <w:rFonts w:ascii="Book Antiqua" w:eastAsiaTheme="minorEastAsia" w:hAnsi="Book Antiqua" w:cstheme="minorBidi"/>
          <w:i/>
          <w:kern w:val="2"/>
          <w:lang w:val="en-US" w:eastAsia="zh-CN"/>
        </w:rPr>
        <w:t>Gastroenterol</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Hepatol</w:t>
      </w:r>
      <w:proofErr w:type="spellEnd"/>
      <w:r w:rsidRPr="002D48C0">
        <w:rPr>
          <w:rFonts w:ascii="Book Antiqua" w:eastAsiaTheme="minorEastAsia" w:hAnsi="Book Antiqua" w:cstheme="minorBidi"/>
          <w:kern w:val="2"/>
          <w:lang w:val="en-US" w:eastAsia="zh-CN"/>
        </w:rPr>
        <w:t xml:space="preserve"> 2013; </w:t>
      </w:r>
      <w:r w:rsidRPr="002D48C0">
        <w:rPr>
          <w:rFonts w:ascii="Book Antiqua" w:eastAsiaTheme="minorEastAsia" w:hAnsi="Book Antiqua" w:cstheme="minorBidi"/>
          <w:b/>
          <w:kern w:val="2"/>
          <w:lang w:val="en-US" w:eastAsia="zh-CN"/>
        </w:rPr>
        <w:t>25</w:t>
      </w:r>
      <w:r w:rsidRPr="002D48C0">
        <w:rPr>
          <w:rFonts w:ascii="Book Antiqua" w:eastAsiaTheme="minorEastAsia" w:hAnsi="Book Antiqua" w:cstheme="minorBidi"/>
          <w:kern w:val="2"/>
          <w:lang w:val="en-US" w:eastAsia="zh-CN"/>
        </w:rPr>
        <w:t>: 706-713 [PMID: 23325280 DOI: 10.1097/MEG.0b013e32835ddb85]</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81 </w:t>
      </w:r>
      <w:proofErr w:type="spellStart"/>
      <w:r w:rsidRPr="002D48C0">
        <w:rPr>
          <w:rFonts w:ascii="Book Antiqua" w:eastAsiaTheme="minorEastAsia" w:hAnsi="Book Antiqua" w:cstheme="minorBidi"/>
          <w:b/>
          <w:kern w:val="2"/>
          <w:lang w:val="en-US" w:eastAsia="zh-CN"/>
        </w:rPr>
        <w:t>Flamant</w:t>
      </w:r>
      <w:proofErr w:type="spellEnd"/>
      <w:r w:rsidRPr="002D48C0">
        <w:rPr>
          <w:rFonts w:ascii="Book Antiqua" w:eastAsiaTheme="minorEastAsia" w:hAnsi="Book Antiqua" w:cstheme="minorBidi"/>
          <w:b/>
          <w:kern w:val="2"/>
          <w:lang w:val="en-US" w:eastAsia="zh-CN"/>
        </w:rPr>
        <w:t xml:space="preserve"> M</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Trang</w:t>
      </w:r>
      <w:proofErr w:type="spellEnd"/>
      <w:r w:rsidRPr="002D48C0">
        <w:rPr>
          <w:rFonts w:ascii="Book Antiqua" w:eastAsiaTheme="minorEastAsia" w:hAnsi="Book Antiqua" w:cstheme="minorBidi"/>
          <w:kern w:val="2"/>
          <w:lang w:val="en-US" w:eastAsia="zh-CN"/>
        </w:rPr>
        <w:t xml:space="preserve"> C, </w:t>
      </w:r>
      <w:proofErr w:type="spellStart"/>
      <w:r w:rsidRPr="002D48C0">
        <w:rPr>
          <w:rFonts w:ascii="Book Antiqua" w:eastAsiaTheme="minorEastAsia" w:hAnsi="Book Antiqua" w:cstheme="minorBidi"/>
          <w:kern w:val="2"/>
          <w:lang w:val="en-US" w:eastAsia="zh-CN"/>
        </w:rPr>
        <w:t>Maillard</w:t>
      </w:r>
      <w:proofErr w:type="spellEnd"/>
      <w:r w:rsidRPr="002D48C0">
        <w:rPr>
          <w:rFonts w:ascii="Book Antiqua" w:eastAsiaTheme="minorEastAsia" w:hAnsi="Book Antiqua" w:cstheme="minorBidi"/>
          <w:kern w:val="2"/>
          <w:lang w:val="en-US" w:eastAsia="zh-CN"/>
        </w:rPr>
        <w:t xml:space="preserve"> O, </w:t>
      </w:r>
      <w:proofErr w:type="spellStart"/>
      <w:r w:rsidRPr="002D48C0">
        <w:rPr>
          <w:rFonts w:ascii="Book Antiqua" w:eastAsiaTheme="minorEastAsia" w:hAnsi="Book Antiqua" w:cstheme="minorBidi"/>
          <w:kern w:val="2"/>
          <w:lang w:val="en-US" w:eastAsia="zh-CN"/>
        </w:rPr>
        <w:t>Sacher-Huvelin</w:t>
      </w:r>
      <w:proofErr w:type="spellEnd"/>
      <w:r w:rsidRPr="002D48C0">
        <w:rPr>
          <w:rFonts w:ascii="Book Antiqua" w:eastAsiaTheme="minorEastAsia" w:hAnsi="Book Antiqua" w:cstheme="minorBidi"/>
          <w:kern w:val="2"/>
          <w:lang w:val="en-US" w:eastAsia="zh-CN"/>
        </w:rPr>
        <w:t xml:space="preserve"> S, Le </w:t>
      </w:r>
      <w:proofErr w:type="spellStart"/>
      <w:r w:rsidRPr="002D48C0">
        <w:rPr>
          <w:rFonts w:ascii="Book Antiqua" w:eastAsiaTheme="minorEastAsia" w:hAnsi="Book Antiqua" w:cstheme="minorBidi"/>
          <w:kern w:val="2"/>
          <w:lang w:val="en-US" w:eastAsia="zh-CN"/>
        </w:rPr>
        <w:t>Rhun</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Galmiche</w:t>
      </w:r>
      <w:proofErr w:type="spellEnd"/>
      <w:r w:rsidRPr="002D48C0">
        <w:rPr>
          <w:rFonts w:ascii="Book Antiqua" w:eastAsiaTheme="minorEastAsia" w:hAnsi="Book Antiqua" w:cstheme="minorBidi"/>
          <w:kern w:val="2"/>
          <w:lang w:val="en-US" w:eastAsia="zh-CN"/>
        </w:rPr>
        <w:t xml:space="preserve"> JP, </w:t>
      </w:r>
      <w:proofErr w:type="spellStart"/>
      <w:r w:rsidRPr="002D48C0">
        <w:rPr>
          <w:rFonts w:ascii="Book Antiqua" w:eastAsiaTheme="minorEastAsia" w:hAnsi="Book Antiqua" w:cstheme="minorBidi"/>
          <w:kern w:val="2"/>
          <w:lang w:val="en-US" w:eastAsia="zh-CN"/>
        </w:rPr>
        <w:t>Bourreille</w:t>
      </w:r>
      <w:proofErr w:type="spellEnd"/>
      <w:r w:rsidRPr="002D48C0">
        <w:rPr>
          <w:rFonts w:ascii="Book Antiqua" w:eastAsiaTheme="minorEastAsia" w:hAnsi="Book Antiqua" w:cstheme="minorBidi"/>
          <w:kern w:val="2"/>
          <w:lang w:val="en-US" w:eastAsia="zh-CN"/>
        </w:rPr>
        <w:t xml:space="preserve"> A. The prevalence and outcome of jejunal lesions visualized by small bowel capsule endoscopy in Crohn's disease.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2013; </w:t>
      </w:r>
      <w:r w:rsidRPr="002D48C0">
        <w:rPr>
          <w:rFonts w:ascii="Book Antiqua" w:eastAsiaTheme="minorEastAsia" w:hAnsi="Book Antiqua" w:cstheme="minorBidi"/>
          <w:b/>
          <w:kern w:val="2"/>
          <w:lang w:val="en-US" w:eastAsia="zh-CN"/>
        </w:rPr>
        <w:t>19</w:t>
      </w:r>
      <w:r w:rsidRPr="002D48C0">
        <w:rPr>
          <w:rFonts w:ascii="Book Antiqua" w:eastAsiaTheme="minorEastAsia" w:hAnsi="Book Antiqua" w:cstheme="minorBidi"/>
          <w:kern w:val="2"/>
          <w:lang w:val="en-US" w:eastAsia="zh-CN"/>
        </w:rPr>
        <w:t>: 1390-1396 [PMID: 23552764 DOI: 10.1097/MIB.0b013e31828133c1]</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82 </w:t>
      </w:r>
      <w:r w:rsidRPr="002D48C0">
        <w:rPr>
          <w:rFonts w:ascii="Book Antiqua" w:eastAsiaTheme="minorEastAsia" w:hAnsi="Book Antiqua" w:cstheme="minorBidi"/>
          <w:b/>
          <w:kern w:val="2"/>
          <w:lang w:val="en-US" w:eastAsia="zh-CN"/>
        </w:rPr>
        <w:t>Cotter J</w:t>
      </w:r>
      <w:r w:rsidRPr="002D48C0">
        <w:rPr>
          <w:rFonts w:ascii="Book Antiqua" w:eastAsiaTheme="minorEastAsia" w:hAnsi="Book Antiqua" w:cstheme="minorBidi"/>
          <w:kern w:val="2"/>
          <w:lang w:val="en-US" w:eastAsia="zh-CN"/>
        </w:rPr>
        <w:t xml:space="preserve">, Dias de Castro F, Moreira MJ, Rosa B. Tailoring Crohn's disease treatment: the impact of small bowel capsule endoscopy. </w:t>
      </w:r>
      <w:r w:rsidRPr="002D48C0">
        <w:rPr>
          <w:rFonts w:ascii="Book Antiqua" w:eastAsiaTheme="minorEastAsia" w:hAnsi="Book Antiqua" w:cstheme="minorBidi"/>
          <w:i/>
          <w:kern w:val="2"/>
          <w:lang w:val="en-US" w:eastAsia="zh-CN"/>
        </w:rPr>
        <w:t xml:space="preserve">J </w:t>
      </w:r>
      <w:proofErr w:type="spellStart"/>
      <w:r w:rsidRPr="002D48C0">
        <w:rPr>
          <w:rFonts w:ascii="Book Antiqua" w:eastAsiaTheme="minorEastAsia" w:hAnsi="Book Antiqua" w:cstheme="minorBidi"/>
          <w:i/>
          <w:kern w:val="2"/>
          <w:lang w:val="en-US" w:eastAsia="zh-CN"/>
        </w:rPr>
        <w:t>Crohns</w:t>
      </w:r>
      <w:proofErr w:type="spellEnd"/>
      <w:r w:rsidRPr="002D48C0">
        <w:rPr>
          <w:rFonts w:ascii="Book Antiqua" w:eastAsiaTheme="minorEastAsia" w:hAnsi="Book Antiqua" w:cstheme="minorBidi"/>
          <w:i/>
          <w:kern w:val="2"/>
          <w:lang w:val="en-US" w:eastAsia="zh-CN"/>
        </w:rPr>
        <w:t xml:space="preserve"> Colitis</w:t>
      </w:r>
      <w:r w:rsidRPr="002D48C0">
        <w:rPr>
          <w:rFonts w:ascii="Book Antiqua" w:eastAsiaTheme="minorEastAsia" w:hAnsi="Book Antiqua" w:cstheme="minorBidi"/>
          <w:kern w:val="2"/>
          <w:lang w:val="en-US" w:eastAsia="zh-CN"/>
        </w:rPr>
        <w:t xml:space="preserve"> 2014; </w:t>
      </w:r>
      <w:r w:rsidRPr="002D48C0">
        <w:rPr>
          <w:rFonts w:ascii="Book Antiqua" w:eastAsiaTheme="minorEastAsia" w:hAnsi="Book Antiqua" w:cstheme="minorBidi"/>
          <w:b/>
          <w:kern w:val="2"/>
          <w:lang w:val="en-US" w:eastAsia="zh-CN"/>
        </w:rPr>
        <w:t>8</w:t>
      </w:r>
      <w:r w:rsidRPr="002D48C0">
        <w:rPr>
          <w:rFonts w:ascii="Book Antiqua" w:eastAsiaTheme="minorEastAsia" w:hAnsi="Book Antiqua" w:cstheme="minorBidi"/>
          <w:kern w:val="2"/>
          <w:lang w:val="en-US" w:eastAsia="zh-CN"/>
        </w:rPr>
        <w:t>: 1610-1615 [PMID: 24631311 DOI: 10.1016/j.crohns.2014.02.018]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83 </w:t>
      </w:r>
      <w:r w:rsidRPr="002D48C0">
        <w:rPr>
          <w:rFonts w:ascii="Book Antiqua" w:eastAsiaTheme="minorEastAsia" w:hAnsi="Book Antiqua" w:cstheme="minorBidi"/>
          <w:b/>
          <w:kern w:val="2"/>
          <w:lang w:val="en-US" w:eastAsia="zh-CN"/>
        </w:rPr>
        <w:t>Chao CY</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Duchatellier</w:t>
      </w:r>
      <w:proofErr w:type="spellEnd"/>
      <w:r w:rsidRPr="002D48C0">
        <w:rPr>
          <w:rFonts w:ascii="Book Antiqua" w:eastAsiaTheme="minorEastAsia" w:hAnsi="Book Antiqua" w:cstheme="minorBidi"/>
          <w:kern w:val="2"/>
          <w:lang w:val="en-US" w:eastAsia="zh-CN"/>
        </w:rPr>
        <w:t xml:space="preserve"> CF, Seidman EG. Unsuspected Small-Bowel Crohn's Disease in Elderly Patients Diagnosed by Video Capsule Endoscopy. </w:t>
      </w:r>
      <w:proofErr w:type="spellStart"/>
      <w:r w:rsidRPr="002D48C0">
        <w:rPr>
          <w:rFonts w:ascii="Book Antiqua" w:eastAsiaTheme="minorEastAsia" w:hAnsi="Book Antiqua" w:cstheme="minorBidi"/>
          <w:i/>
          <w:kern w:val="2"/>
          <w:lang w:val="en-US" w:eastAsia="zh-CN"/>
        </w:rPr>
        <w:t>Diagn</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Ther</w:t>
      </w:r>
      <w:proofErr w:type="spellEnd"/>
      <w:r w:rsidRPr="002D48C0">
        <w:rPr>
          <w:rFonts w:ascii="Book Antiqua" w:eastAsiaTheme="minorEastAsia" w:hAnsi="Book Antiqua" w:cstheme="minorBidi"/>
          <w:i/>
          <w:kern w:val="2"/>
          <w:lang w:val="en-US" w:eastAsia="zh-CN"/>
        </w:rPr>
        <w:t xml:space="preserve"> </w:t>
      </w:r>
      <w:proofErr w:type="spellStart"/>
      <w:r w:rsidRPr="002D48C0">
        <w:rPr>
          <w:rFonts w:ascii="Book Antiqua" w:eastAsiaTheme="minorEastAsia" w:hAnsi="Book Antiqua" w:cstheme="minorBidi"/>
          <w:i/>
          <w:kern w:val="2"/>
          <w:lang w:val="en-US" w:eastAsia="zh-CN"/>
        </w:rPr>
        <w:t>Endosc</w:t>
      </w:r>
      <w:proofErr w:type="spellEnd"/>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2018</w:t>
      </w:r>
      <w:r w:rsidRPr="002D48C0">
        <w:rPr>
          <w:rFonts w:ascii="Book Antiqua" w:eastAsiaTheme="minorEastAsia" w:hAnsi="Book Antiqua" w:cstheme="minorBidi"/>
          <w:kern w:val="2"/>
          <w:lang w:val="en-US" w:eastAsia="zh-CN"/>
        </w:rPr>
        <w:t>: 9416483 [PMID: 29622900 DOI: 10.1155/2018/9416483]</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84 </w:t>
      </w:r>
      <w:r w:rsidRPr="002D48C0">
        <w:rPr>
          <w:rFonts w:ascii="Book Antiqua" w:eastAsiaTheme="minorEastAsia" w:hAnsi="Book Antiqua" w:cstheme="minorBidi"/>
          <w:b/>
          <w:kern w:val="2"/>
          <w:lang w:val="en-US" w:eastAsia="zh-CN"/>
        </w:rPr>
        <w:t>Hansel SL</w:t>
      </w:r>
      <w:r w:rsidRPr="002D48C0">
        <w:rPr>
          <w:rFonts w:ascii="Book Antiqua" w:eastAsiaTheme="minorEastAsia" w:hAnsi="Book Antiqua" w:cstheme="minorBidi"/>
          <w:kern w:val="2"/>
          <w:lang w:val="en-US" w:eastAsia="zh-CN"/>
        </w:rPr>
        <w:t xml:space="preserve">, McCurdy JD, Barlow JM, Fidler J, Fletcher JG, Becker B, </w:t>
      </w:r>
      <w:proofErr w:type="spellStart"/>
      <w:r w:rsidRPr="002D48C0">
        <w:rPr>
          <w:rFonts w:ascii="Book Antiqua" w:eastAsiaTheme="minorEastAsia" w:hAnsi="Book Antiqua" w:cstheme="minorBidi"/>
          <w:kern w:val="2"/>
          <w:lang w:val="en-US" w:eastAsia="zh-CN"/>
        </w:rPr>
        <w:t>Prabhu</w:t>
      </w:r>
      <w:proofErr w:type="spellEnd"/>
      <w:r w:rsidRPr="002D48C0">
        <w:rPr>
          <w:rFonts w:ascii="Book Antiqua" w:eastAsiaTheme="minorEastAsia" w:hAnsi="Book Antiqua" w:cstheme="minorBidi"/>
          <w:kern w:val="2"/>
          <w:lang w:val="en-US" w:eastAsia="zh-CN"/>
        </w:rPr>
        <w:t xml:space="preserve"> NC, </w:t>
      </w:r>
      <w:proofErr w:type="spellStart"/>
      <w:r w:rsidRPr="002D48C0">
        <w:rPr>
          <w:rFonts w:ascii="Book Antiqua" w:eastAsiaTheme="minorEastAsia" w:hAnsi="Book Antiqua" w:cstheme="minorBidi"/>
          <w:kern w:val="2"/>
          <w:lang w:val="en-US" w:eastAsia="zh-CN"/>
        </w:rPr>
        <w:t>Faubion</w:t>
      </w:r>
      <w:proofErr w:type="spellEnd"/>
      <w:r w:rsidRPr="002D48C0">
        <w:rPr>
          <w:rFonts w:ascii="Book Antiqua" w:eastAsiaTheme="minorEastAsia" w:hAnsi="Book Antiqua" w:cstheme="minorBidi"/>
          <w:kern w:val="2"/>
          <w:lang w:val="en-US" w:eastAsia="zh-CN"/>
        </w:rPr>
        <w:t xml:space="preserve"> WA, Hanson KA, Kane SV, </w:t>
      </w:r>
      <w:proofErr w:type="spellStart"/>
      <w:r w:rsidRPr="002D48C0">
        <w:rPr>
          <w:rFonts w:ascii="Book Antiqua" w:eastAsiaTheme="minorEastAsia" w:hAnsi="Book Antiqua" w:cstheme="minorBidi"/>
          <w:kern w:val="2"/>
          <w:lang w:val="en-US" w:eastAsia="zh-CN"/>
        </w:rPr>
        <w:t>Kisiel</w:t>
      </w:r>
      <w:proofErr w:type="spellEnd"/>
      <w:r w:rsidRPr="002D48C0">
        <w:rPr>
          <w:rFonts w:ascii="Book Antiqua" w:eastAsiaTheme="minorEastAsia" w:hAnsi="Book Antiqua" w:cstheme="minorBidi"/>
          <w:kern w:val="2"/>
          <w:lang w:val="en-US" w:eastAsia="zh-CN"/>
        </w:rPr>
        <w:t xml:space="preserve"> JB, Loftus EV Jr, </w:t>
      </w:r>
      <w:proofErr w:type="spellStart"/>
      <w:r w:rsidRPr="002D48C0">
        <w:rPr>
          <w:rFonts w:ascii="Book Antiqua" w:eastAsiaTheme="minorEastAsia" w:hAnsi="Book Antiqua" w:cstheme="minorBidi"/>
          <w:kern w:val="2"/>
          <w:lang w:val="en-US" w:eastAsia="zh-CN"/>
        </w:rPr>
        <w:t>Papadakis</w:t>
      </w:r>
      <w:proofErr w:type="spellEnd"/>
      <w:r w:rsidRPr="002D48C0">
        <w:rPr>
          <w:rFonts w:ascii="Book Antiqua" w:eastAsiaTheme="minorEastAsia" w:hAnsi="Book Antiqua" w:cstheme="minorBidi"/>
          <w:kern w:val="2"/>
          <w:lang w:val="en-US" w:eastAsia="zh-CN"/>
        </w:rPr>
        <w:t xml:space="preserve"> KA, </w:t>
      </w:r>
      <w:proofErr w:type="spellStart"/>
      <w:r w:rsidRPr="002D48C0">
        <w:rPr>
          <w:rFonts w:ascii="Book Antiqua" w:eastAsiaTheme="minorEastAsia" w:hAnsi="Book Antiqua" w:cstheme="minorBidi"/>
          <w:kern w:val="2"/>
          <w:lang w:val="en-US" w:eastAsia="zh-CN"/>
        </w:rPr>
        <w:t>Pardi</w:t>
      </w:r>
      <w:proofErr w:type="spellEnd"/>
      <w:r w:rsidRPr="002D48C0">
        <w:rPr>
          <w:rFonts w:ascii="Book Antiqua" w:eastAsiaTheme="minorEastAsia" w:hAnsi="Book Antiqua" w:cstheme="minorBidi"/>
          <w:kern w:val="2"/>
          <w:lang w:val="en-US" w:eastAsia="zh-CN"/>
        </w:rPr>
        <w:t xml:space="preserve"> DS, </w:t>
      </w:r>
      <w:proofErr w:type="spellStart"/>
      <w:r w:rsidRPr="002D48C0">
        <w:rPr>
          <w:rFonts w:ascii="Book Antiqua" w:eastAsiaTheme="minorEastAsia" w:hAnsi="Book Antiqua" w:cstheme="minorBidi"/>
          <w:kern w:val="2"/>
          <w:lang w:val="en-US" w:eastAsia="zh-CN"/>
        </w:rPr>
        <w:t>Raffals</w:t>
      </w:r>
      <w:proofErr w:type="spellEnd"/>
      <w:r w:rsidRPr="002D48C0">
        <w:rPr>
          <w:rFonts w:ascii="Book Antiqua" w:eastAsiaTheme="minorEastAsia" w:hAnsi="Book Antiqua" w:cstheme="minorBidi"/>
          <w:kern w:val="2"/>
          <w:lang w:val="en-US" w:eastAsia="zh-CN"/>
        </w:rPr>
        <w:t xml:space="preserve"> LE, </w:t>
      </w:r>
      <w:proofErr w:type="spellStart"/>
      <w:r w:rsidRPr="002D48C0">
        <w:rPr>
          <w:rFonts w:ascii="Book Antiqua" w:eastAsiaTheme="minorEastAsia" w:hAnsi="Book Antiqua" w:cstheme="minorBidi"/>
          <w:kern w:val="2"/>
          <w:lang w:val="en-US" w:eastAsia="zh-CN"/>
        </w:rPr>
        <w:t>Schoenoff</w:t>
      </w:r>
      <w:proofErr w:type="spellEnd"/>
      <w:r w:rsidRPr="002D48C0">
        <w:rPr>
          <w:rFonts w:ascii="Book Antiqua" w:eastAsiaTheme="minorEastAsia" w:hAnsi="Book Antiqua" w:cstheme="minorBidi"/>
          <w:kern w:val="2"/>
          <w:lang w:val="en-US" w:eastAsia="zh-CN"/>
        </w:rPr>
        <w:t xml:space="preserve"> S, Tremaine WJ, </w:t>
      </w:r>
      <w:proofErr w:type="spellStart"/>
      <w:r w:rsidRPr="002D48C0">
        <w:rPr>
          <w:rFonts w:ascii="Book Antiqua" w:eastAsiaTheme="minorEastAsia" w:hAnsi="Book Antiqua" w:cstheme="minorBidi"/>
          <w:kern w:val="2"/>
          <w:lang w:val="en-US" w:eastAsia="zh-CN"/>
        </w:rPr>
        <w:t>Bruining</w:t>
      </w:r>
      <w:proofErr w:type="spellEnd"/>
      <w:r w:rsidRPr="002D48C0">
        <w:rPr>
          <w:rFonts w:ascii="Book Antiqua" w:eastAsiaTheme="minorEastAsia" w:hAnsi="Book Antiqua" w:cstheme="minorBidi"/>
          <w:kern w:val="2"/>
          <w:lang w:val="en-US" w:eastAsia="zh-CN"/>
        </w:rPr>
        <w:t xml:space="preserve"> DH. Clinical Benefit of Capsule Endoscopy in Crohn's Disease: Impact on Patient Management and Prevalence of Proximal Small Bowel Involvement.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24</w:t>
      </w:r>
      <w:r w:rsidRPr="002D48C0">
        <w:rPr>
          <w:rFonts w:ascii="Book Antiqua" w:eastAsiaTheme="minorEastAsia" w:hAnsi="Book Antiqua" w:cstheme="minorBidi"/>
          <w:kern w:val="2"/>
          <w:lang w:val="en-US" w:eastAsia="zh-CN"/>
        </w:rPr>
        <w:t>: 1582-1588 [PMID: 29788055 DOI: 10.1093/</w:t>
      </w:r>
      <w:proofErr w:type="spellStart"/>
      <w:r w:rsidRPr="002D48C0">
        <w:rPr>
          <w:rFonts w:ascii="Book Antiqua" w:eastAsiaTheme="minorEastAsia" w:hAnsi="Book Antiqua" w:cstheme="minorBidi"/>
          <w:kern w:val="2"/>
          <w:lang w:val="en-US" w:eastAsia="zh-CN"/>
        </w:rPr>
        <w:t>ibd</w:t>
      </w:r>
      <w:proofErr w:type="spellEnd"/>
      <w:r w:rsidRPr="002D48C0">
        <w:rPr>
          <w:rFonts w:ascii="Book Antiqua" w:eastAsiaTheme="minorEastAsia" w:hAnsi="Book Antiqua" w:cstheme="minorBidi"/>
          <w:kern w:val="2"/>
          <w:lang w:val="en-US" w:eastAsia="zh-CN"/>
        </w:rPr>
        <w:t>/izy050]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85 </w:t>
      </w:r>
      <w:proofErr w:type="spellStart"/>
      <w:r w:rsidRPr="002D48C0">
        <w:rPr>
          <w:rFonts w:ascii="Book Antiqua" w:eastAsiaTheme="minorEastAsia" w:hAnsi="Book Antiqua" w:cstheme="minorBidi"/>
          <w:b/>
          <w:kern w:val="2"/>
          <w:lang w:val="en-US" w:eastAsia="zh-CN"/>
        </w:rPr>
        <w:t>Efthymiou</w:t>
      </w:r>
      <w:proofErr w:type="spellEnd"/>
      <w:r w:rsidRPr="002D48C0">
        <w:rPr>
          <w:rFonts w:ascii="Book Antiqua" w:eastAsiaTheme="minorEastAsia" w:hAnsi="Book Antiqua" w:cstheme="minorBidi"/>
          <w:b/>
          <w:kern w:val="2"/>
          <w:lang w:val="en-US" w:eastAsia="zh-CN"/>
        </w:rPr>
        <w:t xml:space="preserve"> A</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Viazis</w:t>
      </w:r>
      <w:proofErr w:type="spellEnd"/>
      <w:r w:rsidRPr="002D48C0">
        <w:rPr>
          <w:rFonts w:ascii="Book Antiqua" w:eastAsiaTheme="minorEastAsia" w:hAnsi="Book Antiqua" w:cstheme="minorBidi"/>
          <w:kern w:val="2"/>
          <w:lang w:val="en-US" w:eastAsia="zh-CN"/>
        </w:rPr>
        <w:t xml:space="preserve"> N, </w:t>
      </w:r>
      <w:proofErr w:type="spellStart"/>
      <w:r w:rsidRPr="002D48C0">
        <w:rPr>
          <w:rFonts w:ascii="Book Antiqua" w:eastAsiaTheme="minorEastAsia" w:hAnsi="Book Antiqua" w:cstheme="minorBidi"/>
          <w:kern w:val="2"/>
          <w:lang w:val="en-US" w:eastAsia="zh-CN"/>
        </w:rPr>
        <w:t>Mantzaris</w:t>
      </w:r>
      <w:proofErr w:type="spellEnd"/>
      <w:r w:rsidRPr="002D48C0">
        <w:rPr>
          <w:rFonts w:ascii="Book Antiqua" w:eastAsiaTheme="minorEastAsia" w:hAnsi="Book Antiqua" w:cstheme="minorBidi"/>
          <w:kern w:val="2"/>
          <w:lang w:val="en-US" w:eastAsia="zh-CN"/>
        </w:rPr>
        <w:t xml:space="preserve"> G, Papadimitriou N, </w:t>
      </w:r>
      <w:proofErr w:type="spellStart"/>
      <w:r w:rsidRPr="002D48C0">
        <w:rPr>
          <w:rFonts w:ascii="Book Antiqua" w:eastAsiaTheme="minorEastAsia" w:hAnsi="Book Antiqua" w:cstheme="minorBidi"/>
          <w:kern w:val="2"/>
          <w:lang w:val="en-US" w:eastAsia="zh-CN"/>
        </w:rPr>
        <w:t>Tzourmakliotis</w:t>
      </w:r>
      <w:proofErr w:type="spellEnd"/>
      <w:r w:rsidRPr="002D48C0">
        <w:rPr>
          <w:rFonts w:ascii="Book Antiqua" w:eastAsiaTheme="minorEastAsia" w:hAnsi="Book Antiqua" w:cstheme="minorBidi"/>
          <w:kern w:val="2"/>
          <w:lang w:val="en-US" w:eastAsia="zh-CN"/>
        </w:rPr>
        <w:t xml:space="preserve"> D, </w:t>
      </w:r>
      <w:proofErr w:type="spellStart"/>
      <w:r w:rsidRPr="002D48C0">
        <w:rPr>
          <w:rFonts w:ascii="Book Antiqua" w:eastAsiaTheme="minorEastAsia" w:hAnsi="Book Antiqua" w:cstheme="minorBidi"/>
          <w:kern w:val="2"/>
          <w:lang w:val="en-US" w:eastAsia="zh-CN"/>
        </w:rPr>
        <w:t>Raptis</w:t>
      </w:r>
      <w:proofErr w:type="spellEnd"/>
      <w:r w:rsidRPr="002D48C0">
        <w:rPr>
          <w:rFonts w:ascii="Book Antiqua" w:eastAsiaTheme="minorEastAsia" w:hAnsi="Book Antiqua" w:cstheme="minorBidi"/>
          <w:kern w:val="2"/>
          <w:lang w:val="en-US" w:eastAsia="zh-CN"/>
        </w:rPr>
        <w:t xml:space="preserve"> S, </w:t>
      </w:r>
      <w:proofErr w:type="spellStart"/>
      <w:r w:rsidRPr="002D48C0">
        <w:rPr>
          <w:rFonts w:ascii="Book Antiqua" w:eastAsiaTheme="minorEastAsia" w:hAnsi="Book Antiqua" w:cstheme="minorBidi"/>
          <w:kern w:val="2"/>
          <w:lang w:val="en-US" w:eastAsia="zh-CN"/>
        </w:rPr>
        <w:t>Karamanolis</w:t>
      </w:r>
      <w:proofErr w:type="spellEnd"/>
      <w:r w:rsidRPr="002D48C0">
        <w:rPr>
          <w:rFonts w:ascii="Book Antiqua" w:eastAsiaTheme="minorEastAsia" w:hAnsi="Book Antiqua" w:cstheme="minorBidi"/>
          <w:kern w:val="2"/>
          <w:lang w:val="en-US" w:eastAsia="zh-CN"/>
        </w:rPr>
        <w:t xml:space="preserve"> DG. Does clinical response correlate with mucosal healing in patients with Crohn's disease of the small bowel? A prospective, case-series study using wireless capsule endoscopy. </w:t>
      </w:r>
      <w:proofErr w:type="spellStart"/>
      <w:r w:rsidRPr="002D48C0">
        <w:rPr>
          <w:rFonts w:ascii="Book Antiqua" w:eastAsiaTheme="minorEastAsia" w:hAnsi="Book Antiqua" w:cstheme="minorBidi"/>
          <w:i/>
          <w:kern w:val="2"/>
          <w:lang w:val="en-US" w:eastAsia="zh-CN"/>
        </w:rPr>
        <w:t>Inflamm</w:t>
      </w:r>
      <w:proofErr w:type="spellEnd"/>
      <w:r w:rsidRPr="002D48C0">
        <w:rPr>
          <w:rFonts w:ascii="Book Antiqua" w:eastAsiaTheme="minorEastAsia" w:hAnsi="Book Antiqua" w:cstheme="minorBidi"/>
          <w:i/>
          <w:kern w:val="2"/>
          <w:lang w:val="en-US" w:eastAsia="zh-CN"/>
        </w:rPr>
        <w:t xml:space="preserve"> Bowel Dis</w:t>
      </w:r>
      <w:r w:rsidRPr="002D48C0">
        <w:rPr>
          <w:rFonts w:ascii="Book Antiqua" w:eastAsiaTheme="minorEastAsia" w:hAnsi="Book Antiqua" w:cstheme="minorBidi"/>
          <w:kern w:val="2"/>
          <w:lang w:val="en-US" w:eastAsia="zh-CN"/>
        </w:rPr>
        <w:t xml:space="preserve"> 2008; </w:t>
      </w:r>
      <w:r w:rsidRPr="002D48C0">
        <w:rPr>
          <w:rFonts w:ascii="Book Antiqua" w:eastAsiaTheme="minorEastAsia" w:hAnsi="Book Antiqua" w:cstheme="minorBidi"/>
          <w:b/>
          <w:kern w:val="2"/>
          <w:lang w:val="en-US" w:eastAsia="zh-CN"/>
        </w:rPr>
        <w:t>14</w:t>
      </w:r>
      <w:r w:rsidRPr="002D48C0">
        <w:rPr>
          <w:rFonts w:ascii="Book Antiqua" w:eastAsiaTheme="minorEastAsia" w:hAnsi="Book Antiqua" w:cstheme="minorBidi"/>
          <w:kern w:val="2"/>
          <w:lang w:val="en-US" w:eastAsia="zh-CN"/>
        </w:rPr>
        <w:t>: 1542-1547 [PMID: 18521929 DOI: 10.1002/ibd.20509]</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86 </w:t>
      </w:r>
      <w:proofErr w:type="spellStart"/>
      <w:r w:rsidRPr="002D48C0">
        <w:rPr>
          <w:rFonts w:ascii="Book Antiqua" w:eastAsiaTheme="minorEastAsia" w:hAnsi="Book Antiqua" w:cstheme="minorBidi"/>
          <w:b/>
          <w:kern w:val="2"/>
          <w:lang w:val="en-US" w:eastAsia="zh-CN"/>
        </w:rPr>
        <w:t>Tsibouris</w:t>
      </w:r>
      <w:proofErr w:type="spellEnd"/>
      <w:r w:rsidRPr="002D48C0">
        <w:rPr>
          <w:rFonts w:ascii="Book Antiqua" w:eastAsiaTheme="minorEastAsia" w:hAnsi="Book Antiqua" w:cstheme="minorBidi"/>
          <w:b/>
          <w:kern w:val="2"/>
          <w:lang w:val="en-US" w:eastAsia="zh-CN"/>
        </w:rPr>
        <w:t xml:space="preserve"> P</w:t>
      </w:r>
      <w:r w:rsidRPr="002D48C0">
        <w:rPr>
          <w:rFonts w:ascii="Book Antiqua" w:eastAsiaTheme="minorEastAsia" w:hAnsi="Book Antiqua" w:cstheme="minorBidi"/>
          <w:kern w:val="2"/>
          <w:lang w:val="en-US" w:eastAsia="zh-CN"/>
        </w:rPr>
        <w:t xml:space="preserve">, </w:t>
      </w:r>
      <w:proofErr w:type="spellStart"/>
      <w:r w:rsidRPr="002D48C0">
        <w:rPr>
          <w:rFonts w:ascii="Book Antiqua" w:eastAsiaTheme="minorEastAsia" w:hAnsi="Book Antiqua" w:cstheme="minorBidi"/>
          <w:kern w:val="2"/>
          <w:lang w:val="en-US" w:eastAsia="zh-CN"/>
        </w:rPr>
        <w:t>Periklis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Chrissostomos</w:t>
      </w:r>
      <w:proofErr w:type="spellEnd"/>
      <w:r w:rsidRPr="002D48C0">
        <w:rPr>
          <w:rFonts w:ascii="Book Antiqua" w:eastAsiaTheme="minorEastAsia" w:hAnsi="Book Antiqua" w:cstheme="minorBidi"/>
          <w:kern w:val="2"/>
          <w:lang w:val="en-US" w:eastAsia="zh-CN"/>
        </w:rPr>
        <w:t xml:space="preserve"> K, </w:t>
      </w:r>
      <w:proofErr w:type="spellStart"/>
      <w:r w:rsidRPr="002D48C0">
        <w:rPr>
          <w:rFonts w:ascii="Book Antiqua" w:eastAsiaTheme="minorEastAsia" w:hAnsi="Book Antiqua" w:cstheme="minorBidi"/>
          <w:kern w:val="2"/>
          <w:lang w:val="en-US" w:eastAsia="zh-CN"/>
        </w:rPr>
        <w:t>Antonios</w:t>
      </w:r>
      <w:proofErr w:type="spellEnd"/>
      <w:r w:rsidRPr="002D48C0">
        <w:rPr>
          <w:rFonts w:ascii="Book Antiqua" w:eastAsiaTheme="minorEastAsia" w:hAnsi="Book Antiqua" w:cstheme="minorBidi"/>
          <w:kern w:val="2"/>
          <w:lang w:val="en-US" w:eastAsia="zh-CN"/>
        </w:rPr>
        <w:t xml:space="preserve"> Z, </w:t>
      </w:r>
      <w:proofErr w:type="spellStart"/>
      <w:r w:rsidRPr="002D48C0">
        <w:rPr>
          <w:rFonts w:ascii="Book Antiqua" w:eastAsiaTheme="minorEastAsia" w:hAnsi="Book Antiqua" w:cstheme="minorBidi"/>
          <w:kern w:val="2"/>
          <w:lang w:val="en-US" w:eastAsia="zh-CN"/>
        </w:rPr>
        <w:t>Panagiota</w:t>
      </w:r>
      <w:proofErr w:type="spellEnd"/>
      <w:r w:rsidRPr="002D48C0">
        <w:rPr>
          <w:rFonts w:ascii="Book Antiqua" w:eastAsiaTheme="minorEastAsia" w:hAnsi="Book Antiqua" w:cstheme="minorBidi"/>
          <w:kern w:val="2"/>
          <w:lang w:val="en-US" w:eastAsia="zh-CN"/>
        </w:rPr>
        <w:t xml:space="preserve"> M, </w:t>
      </w:r>
      <w:proofErr w:type="spellStart"/>
      <w:r w:rsidRPr="002D48C0">
        <w:rPr>
          <w:rFonts w:ascii="Book Antiqua" w:eastAsiaTheme="minorEastAsia" w:hAnsi="Book Antiqua" w:cstheme="minorBidi"/>
          <w:kern w:val="2"/>
          <w:lang w:val="en-US" w:eastAsia="zh-CN"/>
        </w:rPr>
        <w:t>Erasmia</w:t>
      </w:r>
      <w:proofErr w:type="spellEnd"/>
      <w:r w:rsidRPr="002D48C0">
        <w:rPr>
          <w:rFonts w:ascii="Book Antiqua" w:eastAsiaTheme="minorEastAsia" w:hAnsi="Book Antiqua" w:cstheme="minorBidi"/>
          <w:kern w:val="2"/>
          <w:lang w:val="en-US" w:eastAsia="zh-CN"/>
        </w:rPr>
        <w:t xml:space="preserve"> V, Georgios A. When Crohn's disease is in remission, more patients complete capsule endoscopy study but less lesions are identified. </w:t>
      </w:r>
      <w:r w:rsidRPr="002D48C0">
        <w:rPr>
          <w:rFonts w:ascii="Book Antiqua" w:eastAsiaTheme="minorEastAsia" w:hAnsi="Book Antiqua" w:cstheme="minorBidi"/>
          <w:i/>
          <w:kern w:val="2"/>
          <w:lang w:val="en-US" w:eastAsia="zh-CN"/>
        </w:rPr>
        <w:t>Saudi J Gastroenterol</w:t>
      </w:r>
      <w:r w:rsidRPr="002D48C0">
        <w:rPr>
          <w:rFonts w:ascii="Book Antiqua" w:eastAsiaTheme="minorEastAsia" w:hAnsi="Book Antiqua" w:cstheme="minorBidi"/>
          <w:kern w:val="2"/>
          <w:lang w:val="en-US" w:eastAsia="zh-CN"/>
        </w:rPr>
        <w:t xml:space="preserve"> 2013; </w:t>
      </w:r>
      <w:r w:rsidRPr="002D48C0">
        <w:rPr>
          <w:rFonts w:ascii="Book Antiqua" w:eastAsiaTheme="minorEastAsia" w:hAnsi="Book Antiqua" w:cstheme="minorBidi"/>
          <w:b/>
          <w:kern w:val="2"/>
          <w:lang w:val="en-US" w:eastAsia="zh-CN"/>
        </w:rPr>
        <w:t>19</w:t>
      </w:r>
      <w:r w:rsidRPr="002D48C0">
        <w:rPr>
          <w:rFonts w:ascii="Book Antiqua" w:eastAsiaTheme="minorEastAsia" w:hAnsi="Book Antiqua" w:cstheme="minorBidi"/>
          <w:kern w:val="2"/>
          <w:lang w:val="en-US" w:eastAsia="zh-CN"/>
        </w:rPr>
        <w:t>: 63-68 [PMID: 23481131 DOI: 10.4103/1319-3767.108468]</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r w:rsidRPr="002D48C0">
        <w:rPr>
          <w:rFonts w:ascii="Book Antiqua" w:eastAsiaTheme="minorEastAsia" w:hAnsi="Book Antiqua" w:cstheme="minorBidi"/>
          <w:kern w:val="2"/>
          <w:lang w:val="en-US" w:eastAsia="zh-CN"/>
        </w:rPr>
        <w:t xml:space="preserve">87 </w:t>
      </w:r>
      <w:r w:rsidRPr="002D48C0">
        <w:rPr>
          <w:rFonts w:ascii="Book Antiqua" w:eastAsiaTheme="minorEastAsia" w:hAnsi="Book Antiqua" w:cstheme="minorBidi"/>
          <w:b/>
          <w:kern w:val="2"/>
          <w:lang w:val="en-US" w:eastAsia="zh-CN"/>
        </w:rPr>
        <w:t>Nakamura M</w:t>
      </w:r>
      <w:r w:rsidRPr="002D48C0">
        <w:rPr>
          <w:rFonts w:ascii="Book Antiqua" w:eastAsiaTheme="minorEastAsia" w:hAnsi="Book Antiqua" w:cstheme="minorBidi"/>
          <w:kern w:val="2"/>
          <w:lang w:val="en-US" w:eastAsia="zh-CN"/>
        </w:rPr>
        <w:t xml:space="preserve">, Yamamura T, Maeda K, Sawada T, </w:t>
      </w:r>
      <w:proofErr w:type="spellStart"/>
      <w:r w:rsidRPr="002D48C0">
        <w:rPr>
          <w:rFonts w:ascii="Book Antiqua" w:eastAsiaTheme="minorEastAsia" w:hAnsi="Book Antiqua" w:cstheme="minorBidi"/>
          <w:kern w:val="2"/>
          <w:lang w:val="en-US" w:eastAsia="zh-CN"/>
        </w:rPr>
        <w:t>Mizutani</w:t>
      </w:r>
      <w:proofErr w:type="spellEnd"/>
      <w:r w:rsidRPr="002D48C0">
        <w:rPr>
          <w:rFonts w:ascii="Book Antiqua" w:eastAsiaTheme="minorEastAsia" w:hAnsi="Book Antiqua" w:cstheme="minorBidi"/>
          <w:kern w:val="2"/>
          <w:lang w:val="en-US" w:eastAsia="zh-CN"/>
        </w:rPr>
        <w:t xml:space="preserve"> Y, Ishikawa T, </w:t>
      </w:r>
      <w:r w:rsidRPr="002D48C0">
        <w:rPr>
          <w:rFonts w:ascii="Book Antiqua" w:eastAsiaTheme="minorEastAsia" w:hAnsi="Book Antiqua" w:cstheme="minorBidi"/>
          <w:kern w:val="2"/>
          <w:lang w:val="en-US" w:eastAsia="zh-CN"/>
        </w:rPr>
        <w:lastRenderedPageBreak/>
        <w:t xml:space="preserve">Furukawa K, Ohno E, Kawashima H, Miyahara R, </w:t>
      </w:r>
      <w:proofErr w:type="spellStart"/>
      <w:r w:rsidRPr="002D48C0">
        <w:rPr>
          <w:rFonts w:ascii="Book Antiqua" w:eastAsiaTheme="minorEastAsia" w:hAnsi="Book Antiqua" w:cstheme="minorBidi"/>
          <w:kern w:val="2"/>
          <w:lang w:val="en-US" w:eastAsia="zh-CN"/>
        </w:rPr>
        <w:t>Koulaouzidis</w:t>
      </w:r>
      <w:proofErr w:type="spellEnd"/>
      <w:r w:rsidRPr="002D48C0">
        <w:rPr>
          <w:rFonts w:ascii="Book Antiqua" w:eastAsiaTheme="minorEastAsia" w:hAnsi="Book Antiqua" w:cstheme="minorBidi"/>
          <w:kern w:val="2"/>
          <w:lang w:val="en-US" w:eastAsia="zh-CN"/>
        </w:rPr>
        <w:t xml:space="preserve"> A, </w:t>
      </w:r>
      <w:proofErr w:type="spellStart"/>
      <w:r w:rsidRPr="002D48C0">
        <w:rPr>
          <w:rFonts w:ascii="Book Antiqua" w:eastAsiaTheme="minorEastAsia" w:hAnsi="Book Antiqua" w:cstheme="minorBidi"/>
          <w:kern w:val="2"/>
          <w:lang w:val="en-US" w:eastAsia="zh-CN"/>
        </w:rPr>
        <w:t>Hirooka</w:t>
      </w:r>
      <w:proofErr w:type="spellEnd"/>
      <w:r w:rsidRPr="002D48C0">
        <w:rPr>
          <w:rFonts w:ascii="Book Antiqua" w:eastAsiaTheme="minorEastAsia" w:hAnsi="Book Antiqua" w:cstheme="minorBidi"/>
          <w:kern w:val="2"/>
          <w:lang w:val="en-US" w:eastAsia="zh-CN"/>
        </w:rPr>
        <w:t xml:space="preserve"> Y; Nagoya University Crohn’s Disease Study Group. Validity of Capsule Endoscopy in Monitoring Therapeutic Interventions in Patients with Crohn's Disease. </w:t>
      </w:r>
      <w:r w:rsidRPr="002D48C0">
        <w:rPr>
          <w:rFonts w:ascii="Book Antiqua" w:eastAsiaTheme="minorEastAsia" w:hAnsi="Book Antiqua" w:cstheme="minorBidi"/>
          <w:i/>
          <w:kern w:val="2"/>
          <w:lang w:val="en-US" w:eastAsia="zh-CN"/>
        </w:rPr>
        <w:t>J Clin Med</w:t>
      </w:r>
      <w:r w:rsidRPr="002D48C0">
        <w:rPr>
          <w:rFonts w:ascii="Book Antiqua" w:eastAsiaTheme="minorEastAsia" w:hAnsi="Book Antiqua" w:cstheme="minorBidi"/>
          <w:kern w:val="2"/>
          <w:lang w:val="en-US" w:eastAsia="zh-CN"/>
        </w:rPr>
        <w:t xml:space="preserve"> 2018; </w:t>
      </w:r>
      <w:r w:rsidRPr="002D48C0">
        <w:rPr>
          <w:rFonts w:ascii="Book Antiqua" w:eastAsiaTheme="minorEastAsia" w:hAnsi="Book Antiqua" w:cstheme="minorBidi"/>
          <w:b/>
          <w:kern w:val="2"/>
          <w:lang w:val="en-US" w:eastAsia="zh-CN"/>
        </w:rPr>
        <w:t>7</w:t>
      </w:r>
      <w:proofErr w:type="gramStart"/>
      <w:r w:rsidRPr="002D48C0">
        <w:rPr>
          <w:rFonts w:ascii="Book Antiqua" w:eastAsiaTheme="minorEastAsia" w:hAnsi="Book Antiqua" w:cstheme="minorBidi"/>
          <w:kern w:val="2"/>
          <w:lang w:val="en-US" w:eastAsia="zh-CN"/>
        </w:rPr>
        <w:t>:  [</w:t>
      </w:r>
      <w:proofErr w:type="gramEnd"/>
      <w:r w:rsidRPr="002D48C0">
        <w:rPr>
          <w:rFonts w:ascii="Book Antiqua" w:eastAsiaTheme="minorEastAsia" w:hAnsi="Book Antiqua" w:cstheme="minorBidi"/>
          <w:kern w:val="2"/>
          <w:lang w:val="en-US" w:eastAsia="zh-CN"/>
        </w:rPr>
        <w:t>PMID: 30274238 DOI: 10.3390/jcm7100311]</w:t>
      </w:r>
    </w:p>
    <w:p w:rsidR="00694530" w:rsidRDefault="00694530" w:rsidP="007742D4">
      <w:pPr>
        <w:suppressAutoHyphens/>
        <w:spacing w:line="360" w:lineRule="auto"/>
        <w:jc w:val="right"/>
        <w:rPr>
          <w:rFonts w:ascii="Book Antiqua" w:hAnsi="Book Antiqua" w:cs="Mangal"/>
          <w:b/>
          <w:bCs/>
          <w:lang w:val="it-IT" w:eastAsia="en-US" w:bidi="hi-IN"/>
        </w:rPr>
      </w:pPr>
      <w:bookmarkStart w:id="136" w:name="OLE_LINK502"/>
      <w:bookmarkStart w:id="137" w:name="OLE_LINK480"/>
      <w:bookmarkStart w:id="138" w:name="OLE_LINK2090"/>
      <w:bookmarkStart w:id="139" w:name="OLE_LINK2200"/>
      <w:bookmarkStart w:id="140" w:name="OLE_LINK2199"/>
      <w:bookmarkStart w:id="141" w:name="OLE_LINK2198"/>
      <w:bookmarkStart w:id="142" w:name="OLE_LINK2162"/>
      <w:bookmarkStart w:id="143" w:name="OLE_LINK1963"/>
      <w:bookmarkStart w:id="144" w:name="OLE_LINK1962"/>
      <w:bookmarkStart w:id="145" w:name="OLE_LINK1812"/>
      <w:bookmarkStart w:id="146" w:name="OLE_LINK1811"/>
      <w:bookmarkStart w:id="147" w:name="OLE_LINK1807"/>
      <w:bookmarkStart w:id="148" w:name="OLE_LINK1806"/>
      <w:bookmarkStart w:id="149" w:name="OLE_LINK1636"/>
      <w:bookmarkStart w:id="150" w:name="OLE_LINK1845"/>
      <w:bookmarkStart w:id="151" w:name="OLE_LINK1844"/>
      <w:bookmarkStart w:id="152" w:name="OLE_LINK1843"/>
      <w:bookmarkStart w:id="153" w:name="OLE_LINK1803"/>
      <w:bookmarkStart w:id="154" w:name="OLE_LINK1802"/>
      <w:bookmarkStart w:id="155" w:name="OLE_LINK1801"/>
      <w:bookmarkStart w:id="156" w:name="OLE_LINK1800"/>
      <w:bookmarkStart w:id="157" w:name="OLE_LINK1282"/>
      <w:bookmarkStart w:id="158" w:name="OLE_LINK1266"/>
      <w:bookmarkStart w:id="159" w:name="OLE_LINK1264"/>
      <w:bookmarkStart w:id="160" w:name="OLE_LINK1261"/>
      <w:bookmarkStart w:id="161" w:name="OLE_LINK1260"/>
      <w:bookmarkStart w:id="162" w:name="OLE_LINK1044"/>
      <w:bookmarkStart w:id="163" w:name="OLE_LINK1043"/>
      <w:bookmarkStart w:id="164" w:name="OLE_LINK1039"/>
      <w:bookmarkStart w:id="165" w:name="OLE_LINK1038"/>
      <w:bookmarkStart w:id="166" w:name="OLE_LINK1036"/>
      <w:bookmarkStart w:id="167" w:name="OLE_LINK1035"/>
      <w:bookmarkStart w:id="168" w:name="OLE_LINK987"/>
      <w:bookmarkStart w:id="169" w:name="OLE_LINK947"/>
      <w:bookmarkStart w:id="170" w:name="OLE_LINK946"/>
      <w:bookmarkStart w:id="171" w:name="OLE_LINK945"/>
      <w:bookmarkStart w:id="172" w:name="OLE_LINK1127"/>
      <w:bookmarkStart w:id="173" w:name="OLE_LINK962"/>
      <w:bookmarkStart w:id="174" w:name="OLE_LINK959"/>
      <w:bookmarkStart w:id="175" w:name="OLE_LINK1185"/>
      <w:bookmarkStart w:id="176" w:name="OLE_LINK1159"/>
      <w:bookmarkStart w:id="177" w:name="OLE_LINK1158"/>
      <w:bookmarkStart w:id="178" w:name="OLE_LINK1157"/>
      <w:bookmarkStart w:id="179" w:name="OLE_LINK1156"/>
      <w:bookmarkStart w:id="180" w:name="OLE_LINK1065"/>
      <w:bookmarkStart w:id="181" w:name="OLE_LINK1064"/>
      <w:bookmarkStart w:id="182" w:name="OLE_LINK1023"/>
      <w:bookmarkStart w:id="183" w:name="OLE_LINK1022"/>
      <w:bookmarkStart w:id="184"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 xml:space="preserve">: </w:t>
      </w:r>
      <w:r w:rsidRPr="0015754E">
        <w:rPr>
          <w:rFonts w:ascii="Book Antiqua" w:hAnsi="Book Antiqua" w:cs="Arial"/>
          <w:bCs/>
          <w:noProof/>
          <w:lang w:val="it-IT" w:bidi="hi-IN"/>
        </w:rPr>
        <w:t>Abdolghaffari AH,</w:t>
      </w:r>
      <w:r w:rsidR="0015754E" w:rsidRPr="0015754E">
        <w:rPr>
          <w:rFonts w:ascii="Book Antiqua" w:hAnsi="Book Antiqua" w:cs="Arial"/>
          <w:bCs/>
          <w:noProof/>
          <w:lang w:val="it-IT" w:bidi="hi-IN"/>
        </w:rPr>
        <w:t xml:space="preserve"> Day AS, Mattar MC</w:t>
      </w:r>
      <w:r w:rsidR="0015754E">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 xml:space="preserve">: </w:t>
      </w:r>
      <w:r>
        <w:rPr>
          <w:rFonts w:ascii="Book Antiqua" w:eastAsia="Lucida Sans Unicode" w:hAnsi="Book Antiqua" w:cs="Mangal"/>
          <w:b/>
          <w:bCs/>
          <w:lang w:val="it-IT" w:eastAsia="hi-IN" w:bidi="hi-IN"/>
        </w:rPr>
        <w:t xml:space="preserve"> E-Editor</w:t>
      </w:r>
      <w:r>
        <w:rPr>
          <w:rFonts w:ascii="Book Antiqua" w:hAnsi="Book Antiqua" w:cs="Mangal"/>
          <w:b/>
          <w:bCs/>
          <w:lang w:val="it-IT" w:bidi="hi-IN"/>
        </w:rPr>
        <w:t>:</w:t>
      </w:r>
      <w:r>
        <w:rPr>
          <w:lang w:val="it-IT"/>
        </w:rPr>
        <w:t xml:space="preserve"> </w:t>
      </w:r>
    </w:p>
    <w:p w:rsidR="00694530" w:rsidRDefault="00694530" w:rsidP="007742D4">
      <w:pPr>
        <w:shd w:val="clear" w:color="auto" w:fill="FFFFFF"/>
        <w:snapToGrid w:val="0"/>
        <w:spacing w:line="360" w:lineRule="auto"/>
        <w:rPr>
          <w:rFonts w:ascii="Book Antiqua" w:hAnsi="Book Antiqua" w:cs="Helvetica"/>
          <w:b/>
        </w:rPr>
      </w:pPr>
      <w:r>
        <w:rPr>
          <w:rFonts w:ascii="Book Antiqua" w:hAnsi="Book Antiqua" w:cs="Helvetica"/>
          <w:b/>
        </w:rPr>
        <w:t xml:space="preserve">Specialty type: </w:t>
      </w:r>
      <w:r>
        <w:rPr>
          <w:rFonts w:ascii="Book Antiqua" w:eastAsia="微软雅黑" w:hAnsi="Book Antiqua" w:cs="宋体"/>
        </w:rPr>
        <w:t>Gastroenterology and hepatology</w:t>
      </w:r>
    </w:p>
    <w:p w:rsidR="00694530" w:rsidRDefault="00694530" w:rsidP="007742D4">
      <w:pPr>
        <w:shd w:val="clear" w:color="auto" w:fill="FFFFFF"/>
        <w:snapToGrid w:val="0"/>
        <w:spacing w:line="360" w:lineRule="auto"/>
        <w:rPr>
          <w:rFonts w:ascii="Book Antiqua" w:hAnsi="Book Antiqua" w:cs="Helvetica"/>
          <w:b/>
          <w:lang w:val="pt-BR"/>
        </w:rPr>
      </w:pPr>
      <w:r>
        <w:rPr>
          <w:rFonts w:ascii="Book Antiqua" w:hAnsi="Book Antiqua" w:cs="Helvetica"/>
          <w:b/>
        </w:rPr>
        <w:t xml:space="preserve">Country of origin: </w:t>
      </w:r>
      <w:r w:rsidR="00C0709F" w:rsidRPr="00C0709F">
        <w:rPr>
          <w:rFonts w:ascii="Book Antiqua" w:hAnsi="Book Antiqua" w:cs="Helvetica"/>
        </w:rPr>
        <w:t>France</w:t>
      </w:r>
    </w:p>
    <w:p w:rsidR="00694530" w:rsidRDefault="00694530" w:rsidP="007742D4">
      <w:pPr>
        <w:shd w:val="clear" w:color="auto" w:fill="FFFFFF"/>
        <w:snapToGrid w:val="0"/>
        <w:spacing w:line="360" w:lineRule="auto"/>
        <w:rPr>
          <w:rFonts w:ascii="Book Antiqua" w:hAnsi="Book Antiqua" w:cs="Helvetica"/>
          <w:b/>
        </w:rPr>
      </w:pPr>
      <w:r>
        <w:rPr>
          <w:rFonts w:ascii="Book Antiqua" w:hAnsi="Book Antiqua" w:cs="Helvetica"/>
          <w:b/>
        </w:rPr>
        <w:t>Peer-review report classification</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Grade A (Excellent): A</w:t>
      </w:r>
      <w:r w:rsidR="00C0709F">
        <w:rPr>
          <w:rFonts w:ascii="Book Antiqua" w:hAnsi="Book Antiqua" w:cs="Helvetica"/>
        </w:rPr>
        <w:t>, A</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Grade B (Very good): B</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Grade C (Good): 0</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 xml:space="preserve">Grade D (Fair): </w:t>
      </w:r>
      <w:bookmarkEnd w:id="136"/>
      <w:bookmarkEnd w:id="137"/>
      <w:r>
        <w:rPr>
          <w:rFonts w:ascii="Book Antiqua" w:hAnsi="Book Antiqua" w:cs="Helvetica"/>
        </w:rPr>
        <w:t>0</w:t>
      </w:r>
    </w:p>
    <w:p w:rsidR="00694530" w:rsidRDefault="00694530" w:rsidP="007742D4">
      <w:pPr>
        <w:shd w:val="clear" w:color="auto" w:fill="FFFFFF"/>
        <w:snapToGrid w:val="0"/>
        <w:spacing w:line="360" w:lineRule="auto"/>
        <w:rPr>
          <w:rFonts w:ascii="Book Antiqua" w:hAnsi="Book Antiqua" w:cs="Helvetica"/>
        </w:rPr>
      </w:pPr>
      <w:r>
        <w:rPr>
          <w:rFonts w:ascii="Book Antiqua" w:hAnsi="Book Antiqua" w:cs="Helvetica"/>
        </w:rPr>
        <w:t xml:space="preserve">Grade E (Poor): </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ascii="Book Antiqua" w:hAnsi="Book Antiqua" w:cs="Helvetica"/>
        </w:rPr>
        <w:t>0</w:t>
      </w:r>
    </w:p>
    <w:p w:rsidR="002D48C0" w:rsidRPr="002D48C0" w:rsidRDefault="002D48C0" w:rsidP="007742D4">
      <w:pPr>
        <w:widowControl w:val="0"/>
        <w:spacing w:line="360" w:lineRule="auto"/>
        <w:jc w:val="both"/>
        <w:rPr>
          <w:rFonts w:ascii="Book Antiqua" w:eastAsiaTheme="minorEastAsia" w:hAnsi="Book Antiqua" w:cstheme="minorBidi"/>
          <w:kern w:val="2"/>
          <w:lang w:val="en-US" w:eastAsia="zh-CN"/>
        </w:rPr>
      </w:pPr>
    </w:p>
    <w:p w:rsidR="001D4918" w:rsidRPr="00257F02" w:rsidRDefault="001D4918" w:rsidP="007742D4">
      <w:pPr>
        <w:spacing w:line="360" w:lineRule="auto"/>
        <w:jc w:val="both"/>
        <w:rPr>
          <w:rFonts w:ascii="Book Antiqua" w:hAnsi="Book Antiqua"/>
          <w:b/>
          <w:color w:val="000000"/>
          <w:lang w:val="en-US"/>
        </w:rPr>
        <w:sectPr w:rsidR="001D4918" w:rsidRPr="00257F02">
          <w:pgSz w:w="11906" w:h="16838"/>
          <w:pgMar w:top="1417" w:right="1417" w:bottom="1417" w:left="1417" w:header="708" w:footer="708"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1 Studies showing the impact of small bowel capsule endoscopy on disease reclassification and subsequent patient management during follow-up of patients suspected or diagnosed with inflammatory bowel disease</w:t>
      </w:r>
    </w:p>
    <w:tbl>
      <w:tblPr>
        <w:tblW w:w="16585" w:type="dxa"/>
        <w:tblInd w:w="-459" w:type="dxa"/>
        <w:tblLook w:val="00A0" w:firstRow="1" w:lastRow="0" w:firstColumn="1" w:lastColumn="0" w:noHBand="0" w:noVBand="0"/>
      </w:tblPr>
      <w:tblGrid>
        <w:gridCol w:w="1657"/>
        <w:gridCol w:w="1698"/>
        <w:gridCol w:w="1067"/>
        <w:gridCol w:w="2149"/>
        <w:gridCol w:w="1687"/>
        <w:gridCol w:w="2387"/>
        <w:gridCol w:w="2940"/>
        <w:gridCol w:w="3000"/>
      </w:tblGrid>
      <w:tr w:rsidR="001D4918" w:rsidRPr="00F263FE" w:rsidTr="005C39B1">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Ref</w:t>
            </w:r>
            <w:r>
              <w:rPr>
                <w:rFonts w:ascii="Book Antiqua" w:hAnsi="Book Antiqua" w:hint="eastAsia"/>
                <w:b/>
                <w:lang w:val="en-US" w:eastAsia="zh-CN"/>
              </w:rPr>
              <w:t>.</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Study design</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 xml:space="preserve">Sample size </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Patient population</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Compared modality</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CE lesions considered diagnostic for CD</w:t>
            </w:r>
          </w:p>
        </w:tc>
        <w:tc>
          <w:tcPr>
            <w:tcW w:w="0" w:type="auto"/>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Positive SB findings</w:t>
            </w:r>
          </w:p>
        </w:tc>
        <w:tc>
          <w:tcPr>
            <w:tcW w:w="3000" w:type="dxa"/>
            <w:tcBorders>
              <w:top w:val="single" w:sz="4" w:space="0" w:color="auto"/>
              <w:bottom w:val="single" w:sz="4" w:space="0" w:color="auto"/>
            </w:tcBorders>
            <w:shd w:val="clear" w:color="auto" w:fill="auto"/>
          </w:tcPr>
          <w:p w:rsidR="001D4918" w:rsidRPr="00F263FE" w:rsidRDefault="001D4918" w:rsidP="007742D4">
            <w:pPr>
              <w:spacing w:line="360" w:lineRule="auto"/>
              <w:jc w:val="both"/>
              <w:rPr>
                <w:rFonts w:ascii="Book Antiqua" w:hAnsi="Book Antiqua"/>
                <w:b/>
                <w:lang w:val="en-US"/>
              </w:rPr>
            </w:pPr>
            <w:r w:rsidRPr="00F263FE">
              <w:rPr>
                <w:rFonts w:ascii="Book Antiqua" w:hAnsi="Book Antiqua"/>
                <w:b/>
                <w:lang w:val="en-US"/>
              </w:rPr>
              <w:t>Impact in patient management</w:t>
            </w:r>
            <w:r w:rsidRPr="00F263FE">
              <w:rPr>
                <w:rFonts w:ascii="Book Antiqua" w:hAnsi="Book Antiqua"/>
                <w:b/>
                <w:vertAlign w:val="superscript"/>
                <w:lang w:val="en-US"/>
              </w:rPr>
              <w:t>1</w:t>
            </w:r>
          </w:p>
        </w:tc>
      </w:tr>
      <w:tr w:rsidR="001D4918" w:rsidRPr="00F263FE" w:rsidTr="005C39B1">
        <w:tc>
          <w:tcPr>
            <w:tcW w:w="16585" w:type="dxa"/>
            <w:gridSpan w:val="8"/>
            <w:tcBorders>
              <w:top w:val="single" w:sz="4" w:space="0" w:color="auto"/>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Reclassification of Crohn’s disease location </w:t>
            </w:r>
          </w:p>
        </w:tc>
      </w:tr>
      <w:tr w:rsidR="001D4918" w:rsidRPr="00F263FE" w:rsidTr="005C39B1">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Chong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{"citationID":"tnitp7CF","properties":{"formattedCitation":"\\super [28]\\nosupersub{}","plainCitation":"[28]","noteIndex":0},"citationItems":[{"id":2654,"uris":["http://zotero.org/users/3734960/items/D5SYSNDE"],"uri":["http://zotero.org/users/3734960/items/D5SYSNDE"],"itemData":{"id":2654,"type":"article-journal","title":"Capsule endoscopy vs. push enteroscopy and enteroclysis in suspected small-bowel Crohn's disease","container-title":"Gastrointestinal Endoscopy","page":"255-261","volume":"61","issue":"2","source":"PubMed","abstract":"BACKGROUND: The diagnosis of small-bowel Crohn's disease sometimes is difficult and may be missed by conventional imaging studies. Capsule endoscopy might identify small-bowel disease undetected by other investigations.\nMETHODS: Patients with or without known Crohn's disease who were suspected to have small-bowel Crohn's disease were prospectively evaluated with push enteroscopy, enteroclysis, and capsule endoscopy. Each examiner was blinded to results of other investigations. Referring doctors were required to complete questionnaires before and after the investigations.\nRESULTS: Twenty-two patients were known to have Crohn's disease (Group 1), and 21 were suspected to have small-bowel Crohn's disease (Group 2). In Group 1, capsule endoscopy detected more erosions than the other two investigations (p &lt; 0.001). In Group 2, a new diagnosis of Crohn's disease was made in two patients, but there was no significant difference in yield compared with the other two investigations. Referring physicians rated the usefulness of capsule endoscopy as 4.4 on a scale of 5. Capsule endoscopy changed management for 30 patients (70%).\nCONCLUSIONS: Capsule endoscopy has a higher yield than push enteroscopy and enteroclysis in patients with known Crohn's disease when small-bowel mucosal disease is suspected, and this leads to a change in management in the majority of these patients.","ISSN":"0016-5107","note":"PMID: 15729235","journalAbbreviation":"Gastrointest. Endosc.","language":"eng","author":[{"family":"Chong","given":"André Kheng Ho"},{"family":"Taylor","given":"Andrew"},{"family":"Miller","given":"Ashley"},{"family":"Hennessy","given":"Oliver"},{"family":"Connell","given":"William"},{"family":"Desmond","given":"Paul"}],"issued":{"date-parts":[["2005",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[28]</w:t>
            </w:r>
            <w:r w:rsidRPr="00F263FE">
              <w:rPr>
                <w:rFonts w:ascii="Book Antiqua" w:hAnsi="Book Antiqua"/>
                <w:bCs/>
                <w:lang w:val="en-US"/>
              </w:rPr>
              <w:fldChar w:fldCharType="end"/>
            </w:r>
            <w:r w:rsidRPr="00F263FE">
              <w:rPr>
                <w:rFonts w:ascii="Book Antiqua" w:hAnsi="Book Antiqua"/>
                <w:bCs/>
                <w:lang w:val="en-US"/>
              </w:rPr>
              <w:t>, 2005</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 blinded</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43 </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1: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Known CD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w:t>
            </w:r>
            <w:r w:rsidRPr="00F263FE">
              <w:rPr>
                <w:rFonts w:ascii="Book Antiqua" w:hAnsi="Book Antiqua"/>
                <w:bCs/>
                <w:i/>
                <w:iCs/>
                <w:lang w:val="en-US"/>
              </w:rPr>
              <w:t xml:space="preserve">n = </w:t>
            </w:r>
            <w:r w:rsidRPr="00F263FE">
              <w:rPr>
                <w:rFonts w:ascii="Book Antiqua" w:hAnsi="Book Antiqua"/>
                <w:bCs/>
                <w:lang w:val="en-US"/>
              </w:rPr>
              <w:t xml:space="preserve">22)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 xml:space="preserve">2 </w:t>
            </w:r>
            <w:r w:rsidRPr="00F263FE">
              <w:rPr>
                <w:rFonts w:ascii="Book Antiqua" w:hAnsi="Book Antiqua"/>
                <w:bCs/>
                <w:lang w:val="en-US"/>
              </w:rPr>
              <w:t>(</w:t>
            </w:r>
            <w:r w:rsidRPr="00F263FE">
              <w:rPr>
                <w:rFonts w:ascii="Book Antiqua" w:hAnsi="Book Antiqua"/>
                <w:bCs/>
                <w:i/>
                <w:iCs/>
                <w:lang w:val="en-US"/>
              </w:rPr>
              <w:t xml:space="preserve">n = </w:t>
            </w:r>
            <w:r w:rsidRPr="00F263FE">
              <w:rPr>
                <w:rFonts w:ascii="Book Antiqua" w:hAnsi="Book Antiqua"/>
                <w:bCs/>
                <w:lang w:val="en-US"/>
              </w:rPr>
              <w:t>21)</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Push </w:t>
            </w:r>
            <w:proofErr w:type="spellStart"/>
            <w:r w:rsidRPr="00F263FE">
              <w:rPr>
                <w:rFonts w:ascii="Book Antiqua" w:hAnsi="Book Antiqua"/>
                <w:bCs/>
                <w:lang w:val="en-US"/>
              </w:rPr>
              <w:t>enteroscopy</w:t>
            </w:r>
            <w:proofErr w:type="spellEnd"/>
            <w:r w:rsidRPr="00F263FE">
              <w:rPr>
                <w:rFonts w:ascii="Book Antiqua" w:hAnsi="Book Antiqua"/>
                <w:bCs/>
                <w:lang w:val="en-US"/>
              </w:rPr>
              <w:t xml:space="preserve"> and </w:t>
            </w:r>
            <w:proofErr w:type="spellStart"/>
            <w:r w:rsidRPr="00F263FE">
              <w:rPr>
                <w:rFonts w:ascii="Book Antiqua" w:hAnsi="Book Antiqua"/>
                <w:bCs/>
                <w:lang w:val="en-US"/>
              </w:rPr>
              <w:t>enteroclysis</w:t>
            </w:r>
            <w:proofErr w:type="spellEnd"/>
          </w:p>
        </w:tc>
        <w:tc>
          <w:tcPr>
            <w:tcW w:w="0" w:type="auto"/>
            <w:tcBorders>
              <w:top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1 erosion/</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ulcer</w:t>
            </w:r>
          </w:p>
        </w:tc>
        <w:tc>
          <w:tcPr>
            <w:tcW w:w="0" w:type="auto"/>
            <w:tcBorders>
              <w:top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Group 1: 17/22 (jejunum, </w:t>
            </w:r>
            <w:r w:rsidRPr="00F263FE">
              <w:rPr>
                <w:rFonts w:ascii="Book Antiqua" w:hAnsi="Book Antiqua"/>
                <w:bCs/>
                <w:i/>
                <w:iCs/>
                <w:lang w:val="en-US"/>
              </w:rPr>
              <w:t xml:space="preserve">n = </w:t>
            </w:r>
            <w:r w:rsidRPr="00F263FE">
              <w:rPr>
                <w:rFonts w:ascii="Book Antiqua" w:hAnsi="Book Antiqua"/>
                <w:bCs/>
                <w:lang w:val="en-US"/>
              </w:rPr>
              <w:t xml:space="preserve">7) </w:t>
            </w:r>
            <w:r w:rsidRPr="00F263FE">
              <w:rPr>
                <w:rFonts w:ascii="Book Antiqua" w:hAnsi="Book Antiqua"/>
                <w:bCs/>
                <w:i/>
                <w:iCs/>
                <w:lang w:val="en-US"/>
              </w:rPr>
              <w:t>vs</w:t>
            </w:r>
            <w:r w:rsidRPr="00F263FE">
              <w:rPr>
                <w:rFonts w:ascii="Book Antiqua" w:hAnsi="Book Antiqua"/>
                <w:bCs/>
                <w:lang w:val="en-US"/>
              </w:rPr>
              <w:t xml:space="preserve"> 3/22 at push </w:t>
            </w:r>
            <w:proofErr w:type="spellStart"/>
            <w:r w:rsidRPr="00F263FE">
              <w:rPr>
                <w:rFonts w:ascii="Book Antiqua" w:hAnsi="Book Antiqua"/>
                <w:bCs/>
                <w:lang w:val="en-US"/>
              </w:rPr>
              <w:t>enteroscopy</w:t>
            </w:r>
            <w:proofErr w:type="spellEnd"/>
            <w:r w:rsidRPr="00F263FE">
              <w:rPr>
                <w:rFonts w:ascii="Book Antiqua" w:hAnsi="Book Antiqua"/>
                <w:bCs/>
                <w:lang w:val="en-US"/>
              </w:rPr>
              <w:t xml:space="preserve">, </w:t>
            </w:r>
            <w:r w:rsidRPr="00F263FE">
              <w:rPr>
                <w:rFonts w:ascii="Book Antiqua" w:hAnsi="Book Antiqua"/>
                <w:bCs/>
                <w:i/>
                <w:iCs/>
                <w:lang w:val="en-US"/>
              </w:rPr>
              <w:t xml:space="preserve">P &lt; </w:t>
            </w:r>
            <w:r w:rsidRPr="00F263FE">
              <w:rPr>
                <w:rFonts w:ascii="Book Antiqua" w:hAnsi="Book Antiqua"/>
                <w:bCs/>
                <w:lang w:val="en-US"/>
              </w:rPr>
              <w:t xml:space="preserve">0.001 and 4/21 at </w:t>
            </w:r>
            <w:proofErr w:type="spellStart"/>
            <w:r w:rsidRPr="00F263FE">
              <w:rPr>
                <w:rFonts w:ascii="Book Antiqua" w:hAnsi="Book Antiqua"/>
                <w:bCs/>
                <w:lang w:val="en-US"/>
              </w:rPr>
              <w:t>enteroclysis</w:t>
            </w:r>
            <w:proofErr w:type="spellEnd"/>
            <w:r w:rsidRPr="00F263FE">
              <w:rPr>
                <w:rFonts w:ascii="Book Antiqua" w:hAnsi="Book Antiqua"/>
                <w:bCs/>
                <w:lang w:val="en-US"/>
              </w:rPr>
              <w:t xml:space="preserve">, </w:t>
            </w:r>
            <w:r w:rsidRPr="00F263FE">
              <w:rPr>
                <w:rFonts w:ascii="Book Antiqua" w:hAnsi="Book Antiqua"/>
                <w:bCs/>
                <w:i/>
                <w:iCs/>
                <w:lang w:val="en-US"/>
              </w:rPr>
              <w:t xml:space="preserve">P &lt; </w:t>
            </w:r>
            <w:r w:rsidRPr="00F263FE">
              <w:rPr>
                <w:rFonts w:ascii="Book Antiqua" w:hAnsi="Book Antiqua"/>
                <w:bCs/>
                <w:lang w:val="en-US"/>
              </w:rPr>
              <w:t>0.001</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Group 2: 4/21 (jejunum, </w:t>
            </w:r>
            <w:r w:rsidRPr="00F263FE">
              <w:rPr>
                <w:rFonts w:ascii="Book Antiqua" w:hAnsi="Book Antiqua"/>
                <w:bCs/>
                <w:i/>
                <w:iCs/>
                <w:lang w:val="en-US"/>
              </w:rPr>
              <w:t xml:space="preserve">n = </w:t>
            </w:r>
            <w:r w:rsidRPr="00F263FE">
              <w:rPr>
                <w:rFonts w:ascii="Book Antiqua" w:hAnsi="Book Antiqua"/>
                <w:bCs/>
                <w:lang w:val="en-US"/>
              </w:rPr>
              <w:t xml:space="preserve">2), </w:t>
            </w:r>
            <w:r w:rsidRPr="00F263FE">
              <w:rPr>
                <w:rFonts w:ascii="Book Antiqua" w:hAnsi="Book Antiqua" w:cs="AdvPSECF967"/>
                <w:bCs/>
                <w:lang w:val="en-US"/>
              </w:rPr>
              <w:t xml:space="preserve">no statistically significant difference </w:t>
            </w:r>
            <w:r w:rsidRPr="00F263FE">
              <w:rPr>
                <w:rFonts w:ascii="Book Antiqua" w:hAnsi="Book Antiqua" w:cs="AdvPSECF967"/>
                <w:bCs/>
                <w:i/>
                <w:iCs/>
                <w:lang w:val="en-US"/>
              </w:rPr>
              <w:t>vs</w:t>
            </w:r>
            <w:r w:rsidRPr="00F263FE">
              <w:rPr>
                <w:rFonts w:ascii="Book Antiqua" w:hAnsi="Book Antiqua" w:cs="AdvPSECF967"/>
                <w:bCs/>
                <w:lang w:val="en-US"/>
              </w:rPr>
              <w:t xml:space="preserve"> other modalities</w:t>
            </w:r>
          </w:p>
        </w:tc>
        <w:tc>
          <w:tcPr>
            <w:tcW w:w="3000" w:type="dxa"/>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30/43 (70%)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1: 16 (73%)</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2: 14 (67%) </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De Bona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{"citationID":"7VQPQcLv","properties":{"formattedCitation":"\\super [38]\\nosupersub{}","plainCitation":"[38]","noteIndex":0},"citationItems":[{"id":2877,"uris":["http://zotero.org/users/3734960/items/Z2TUNMIC"],"uri":["http://zotero.org/users/3734960/items/Z2TUNMIC"],"itemData":{"id":2877,"type":"article-journal","title":"Capsule endoscopy findings in patients with suspected Crohn's disease and biochemical markers of inflammation","page":"331-335","volume":"38","issue":"5","DOI":"10.1016/j.dld.2006.02.004","journalAbbreviation":"Dig Liver Dis","author":[{"family":"De Bona","given":"M."},{"family":"Bellumat","given":"A."},{"family":"Cian","given":"E."},{"family":"Valiante","given":"F."},{"family":"Moschini","given":"A."},{"family":"De Boni","given":"M."}],"issued":{"date-parts":[["2006",5]]}}}],"schema":"https://github.com/citation-style-language/schema/raw/master/csl-citation.json"}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[38]</w:t>
            </w:r>
            <w:r w:rsidRPr="00F263FE">
              <w:rPr>
                <w:rFonts w:ascii="Book Antiqua" w:hAnsi="Book Antiqua"/>
                <w:bCs/>
                <w:lang w:val="en-US"/>
              </w:rPr>
              <w:fldChar w:fldCharType="end"/>
            </w:r>
            <w:r w:rsidRPr="00F263FE">
              <w:rPr>
                <w:rFonts w:ascii="Book Antiqua" w:hAnsi="Book Antiqua"/>
                <w:bCs/>
                <w:lang w:val="en-US"/>
              </w:rPr>
              <w:t>, 2006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2</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1: Ongoing symptoms (</w:t>
            </w:r>
            <w:r w:rsidRPr="00F263FE">
              <w:rPr>
                <w:rFonts w:ascii="Book Antiqua" w:hAnsi="Book Antiqua"/>
                <w:bCs/>
                <w:i/>
                <w:iCs/>
                <w:lang w:val="en-US"/>
              </w:rPr>
              <w:t xml:space="preserve">n = </w:t>
            </w:r>
            <w:r w:rsidRPr="00F263FE">
              <w:rPr>
                <w:rFonts w:ascii="Book Antiqua" w:hAnsi="Book Antiqua"/>
                <w:bCs/>
                <w:lang w:val="en-US"/>
              </w:rPr>
              <w:t>12)</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2: Ongoing symptoms and inflammatory biomarkers</w:t>
            </w:r>
            <w:r w:rsidRPr="00F263FE">
              <w:rPr>
                <w:rFonts w:ascii="Book Antiqua" w:hAnsi="Book Antiqua"/>
                <w:bCs/>
                <w:vertAlign w:val="superscript"/>
                <w:lang w:val="en-US"/>
              </w:rPr>
              <w:t>3</w:t>
            </w:r>
            <w:r w:rsidRPr="00F263FE">
              <w:rPr>
                <w:rFonts w:ascii="Book Antiqua" w:hAnsi="Book Antiqua"/>
                <w:bCs/>
                <w:lang w:val="en-US"/>
              </w:rPr>
              <w:t xml:space="preserve">  (</w:t>
            </w:r>
            <w:r w:rsidRPr="00F263FE">
              <w:rPr>
                <w:rFonts w:ascii="Book Antiqua" w:hAnsi="Book Antiqua"/>
                <w:bCs/>
                <w:i/>
                <w:iCs/>
                <w:lang w:val="en-US"/>
              </w:rPr>
              <w:t xml:space="preserve">n = </w:t>
            </w:r>
            <w:r w:rsidRPr="00F263FE">
              <w:rPr>
                <w:rFonts w:ascii="Book Antiqua" w:hAnsi="Book Antiqua"/>
                <w:bCs/>
                <w:lang w:val="en-US"/>
              </w:rPr>
              <w:t>26)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Diagnostic if &gt; 3 erosions/</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ulcerations</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eastAsia="MTSY" w:hAnsi="Book Antiqua" w:cs="Times-Roman"/>
                <w:bCs/>
                <w:lang w:val="en-US"/>
              </w:rPr>
            </w:pPr>
            <w:r w:rsidRPr="00F263FE">
              <w:rPr>
                <w:rFonts w:ascii="Book Antiqua" w:hAnsi="Book Antiqua"/>
                <w:bCs/>
                <w:lang w:val="en-US"/>
              </w:rPr>
              <w:t xml:space="preserve">Suspicious if </w:t>
            </w:r>
            <w:r w:rsidRPr="00F263FE">
              <w:rPr>
                <w:rFonts w:ascii="Book Antiqua" w:eastAsia="MTSY" w:hAnsi="Book Antiqua" w:cs="MTSY"/>
                <w:bCs/>
                <w:lang w:val="en-US"/>
              </w:rPr>
              <w:t xml:space="preserve">≤ </w:t>
            </w:r>
            <w:r w:rsidRPr="00F263FE">
              <w:rPr>
                <w:rFonts w:ascii="Book Antiqua" w:eastAsia="MTSY" w:hAnsi="Book Antiqua" w:cs="Times-Roman"/>
                <w:bCs/>
                <w:lang w:val="en-US"/>
              </w:rPr>
              <w:t>3 and/or</w:t>
            </w:r>
          </w:p>
          <w:p w:rsidR="001D4918" w:rsidRPr="00F263FE" w:rsidRDefault="001D4918" w:rsidP="007742D4">
            <w:pPr>
              <w:spacing w:line="360" w:lineRule="auto"/>
              <w:jc w:val="both"/>
              <w:rPr>
                <w:rFonts w:ascii="Book Antiqua" w:hAnsi="Book Antiqua"/>
                <w:bCs/>
                <w:lang w:val="en-US"/>
              </w:rPr>
            </w:pPr>
            <w:r w:rsidRPr="00F263FE">
              <w:rPr>
                <w:rFonts w:ascii="Book Antiqua" w:eastAsia="MTSY" w:hAnsi="Book Antiqua" w:cs="Times-Roman"/>
                <w:bCs/>
                <w:lang w:val="en-US"/>
              </w:rPr>
              <w:t>nodular pattern</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Diagnostic: 13/38 (34.2%)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(jejunum, </w:t>
            </w:r>
            <w:r w:rsidRPr="00F263FE">
              <w:rPr>
                <w:rFonts w:ascii="Book Antiqua" w:hAnsi="Book Antiqua"/>
                <w:bCs/>
                <w:i/>
                <w:iCs/>
                <w:lang w:val="en-US"/>
              </w:rPr>
              <w:t xml:space="preserve">n = </w:t>
            </w:r>
            <w:r w:rsidRPr="00F263FE">
              <w:rPr>
                <w:rFonts w:ascii="Book Antiqua" w:hAnsi="Book Antiqua"/>
                <w:bCs/>
                <w:lang w:val="en-US"/>
              </w:rPr>
              <w:t>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Suspicious: 2/38 (5.3%)</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1: 1/12 (8.3%)</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2: 14/26 (46.2%)</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i/>
                <w:iCs/>
                <w:lang w:val="en-US"/>
              </w:rPr>
              <w:t xml:space="preserve">P = </w:t>
            </w:r>
            <w:r w:rsidRPr="00F263FE">
              <w:rPr>
                <w:rFonts w:ascii="Book Antiqua" w:hAnsi="Book Antiqua"/>
                <w:bCs/>
                <w:lang w:val="en-US"/>
              </w:rPr>
              <w:t>0.022</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15/38 (39.5%) </w:t>
            </w:r>
            <w:r w:rsidRPr="00F263FE">
              <w:rPr>
                <w:rFonts w:ascii="Book Antiqua" w:hAnsi="Book Antiqua"/>
                <w:bCs/>
                <w:i/>
                <w:iCs/>
                <w:lang w:val="en-US"/>
              </w:rPr>
              <w:t>i.e.,</w:t>
            </w:r>
            <w:r w:rsidRPr="00F263FE">
              <w:rPr>
                <w:rFonts w:ascii="Book Antiqua" w:hAnsi="Book Antiqua"/>
                <w:bCs/>
                <w:lang w:val="en-US"/>
              </w:rPr>
              <w:t xml:space="preserve"> 100% of patients with positive CE findings</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lastRenderedPageBreak/>
              <w:t>Efthymiou</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{"citationID":"mr90gyfz","properties":{"formattedCitation":"\\super [29]\\nosupersub{}","plainCitation":"[29]","noteIndex":0},"citationItems":[{"id":2687,"uris":["http://zotero.org/users/3734960/items/WSJSJ79R"],"uri":["http://zotero.org/users/3734960/items/WSJSJ79R"],"itemData":{"id":2687,"type":"article-journal","title":"Wireless capsule endoscopy versus enteroclysis in the diagnosis of small-bowel Crohn's disease","container-title":"European Journal of Gastroenterology &amp; Hepatology","page":"866-871","volume":"21","issue":"8","source":"PubMed","abstract":"OBJECTIVES: The aim of this study was to prospectively compare the diagnostic yield of wireless capsule endoscopy (WCE) and enteroclysis in the detection of Crohn's disease (CD) of the small bowel.\nMETHODS: Twenty-nine patients with known CD (group 1) suspected to have more extensive small-bowel involvement and 26 patients, who were suspected to suffer from CD but did not have an earlier history of it (group 2) were prospectively evaluated with enteroclysis and WCE. Each examiner was blinded to the results of other investigations.\nRESULTS: Enteroclysis was unsuccessful in two patients from group 1 8 and six patients from group 2, respectively. In group 1, abnormal findings consistent with CD were detected in 20 patients by using WCE and in 11 patients by using enteroclysis, out of the total 27, at per-protocol analysis (74.1 vs. 40.7%, P&lt;0.05). Of the 11 patients who had ileal CD on enteroclysis, three had more extensive small-bowel disease, which was detected only by WCE. In group 2, WCE showed findings consistent with CD in 13 of 20 patients, in contrast with enteroclysis, which was positive for CD in only six of 20 patients (65 vs. 30%, P&lt;0.05). Three more patients had findings compatible with CD on WCE, but they failed their enteroclysis. Overall, a new diagnosis of CD was made in 16 patients.\nCONCLUSION: WCE has a higher diagnostic yield than enteroclysis in the detection of CD of the small bowel, both in patients with known and newly suspected CD.","DOI":"10.1097/MEG.0b013e32831af1ec","ISSN":"1473-5687","note":"PMID: 19417679","journalAbbreviation":"Eur J Gastroenterol Hepatol","language":"eng","author":[{"family":"Efthymiou","given":"Alkiviadis"},{"family":"Viazis","given":"Nikos"},{"family":"Vlachogiannakos","given":"Jiannis"},{"family":"Georgiadis","given":"Dimosthenis"},{"family":"Kalogeropoulos","given":"Ioannis"},{"family":"Mantzaris","given":"Gerassimos"},{"family":"Karamanolis","given":"Dimitrios G."}],"issued":{"date-parts":[["2009",8]]}}}],"schema":"https://github.com/citation-style-language/schema/raw/master/csl-citation.json"}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[29]</w:t>
            </w:r>
            <w:r w:rsidRPr="00F263FE">
              <w:rPr>
                <w:rFonts w:ascii="Book Antiqua" w:hAnsi="Book Antiqua"/>
                <w:bCs/>
                <w:lang w:val="en-US"/>
              </w:rPr>
              <w:fldChar w:fldCharType="end"/>
            </w:r>
            <w:r w:rsidRPr="00F263FE">
              <w:rPr>
                <w:rFonts w:ascii="Book Antiqua" w:hAnsi="Book Antiqua"/>
                <w:bCs/>
                <w:lang w:val="en-US"/>
              </w:rPr>
              <w:t>, 2009</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 blinded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1: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w:t>
            </w:r>
            <w:r w:rsidRPr="00F263FE">
              <w:rPr>
                <w:rFonts w:ascii="Book Antiqua" w:hAnsi="Book Antiqua"/>
                <w:bCs/>
                <w:i/>
                <w:iCs/>
                <w:lang w:val="en-US"/>
              </w:rPr>
              <w:t xml:space="preserve">n = </w:t>
            </w:r>
            <w:r w:rsidRPr="00F263FE">
              <w:rPr>
                <w:rFonts w:ascii="Book Antiqua" w:hAnsi="Book Antiqua"/>
                <w:bCs/>
                <w:lang w:val="en-US"/>
              </w:rPr>
              <w:t xml:space="preserve">29)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Group 2: Suspected CD</w:t>
            </w:r>
            <w:r w:rsidRPr="00F263FE">
              <w:rPr>
                <w:rFonts w:ascii="Book Antiqua" w:hAnsi="Book Antiqua"/>
                <w:bCs/>
                <w:vertAlign w:val="superscript"/>
                <w:lang w:val="en-US"/>
              </w:rPr>
              <w:t xml:space="preserve">2 </w:t>
            </w:r>
            <w:r w:rsidRPr="00F263FE">
              <w:rPr>
                <w:rFonts w:ascii="Book Antiqua" w:hAnsi="Book Antiqua"/>
                <w:bCs/>
                <w:lang w:val="en-US"/>
              </w:rPr>
              <w:t>(</w:t>
            </w:r>
            <w:r w:rsidRPr="00F263FE">
              <w:rPr>
                <w:rFonts w:ascii="Book Antiqua" w:hAnsi="Book Antiqua"/>
                <w:bCs/>
                <w:i/>
                <w:iCs/>
                <w:lang w:val="en-US"/>
              </w:rPr>
              <w:t xml:space="preserve">n = </w:t>
            </w:r>
            <w:r w:rsidRPr="00F263FE">
              <w:rPr>
                <w:rFonts w:ascii="Book Antiqua" w:hAnsi="Book Antiqua"/>
                <w:bCs/>
                <w:lang w:val="en-US"/>
              </w:rPr>
              <w:t>26)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Enteroclysis</w:t>
            </w:r>
            <w:proofErr w:type="spellEnd"/>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Cas540BT-R"/>
                <w:bCs/>
                <w:lang w:val="en-US"/>
              </w:rPr>
            </w:pPr>
            <w:r w:rsidRPr="00F263FE">
              <w:rPr>
                <w:rFonts w:ascii="Book Antiqua" w:hAnsi="Book Antiqua" w:cs="AdvCas540BT-R"/>
                <w:bCs/>
                <w:lang w:val="en-US"/>
              </w:rPr>
              <w:t xml:space="preserve">Diffuse erythema, erosions, </w:t>
            </w:r>
            <w:r w:rsidRPr="00F263FE">
              <w:rPr>
                <w:rFonts w:ascii="Book Antiqua" w:hAnsi="Book Antiqua"/>
                <w:bCs/>
                <w:lang w:val="en-US"/>
              </w:rPr>
              <w:t xml:space="preserve">&gt; 3 </w:t>
            </w:r>
            <w:proofErr w:type="spellStart"/>
            <w:r w:rsidRPr="00F263FE">
              <w:rPr>
                <w:rFonts w:ascii="Book Antiqua" w:hAnsi="Book Antiqua" w:cs="AdvCas540BT-R"/>
                <w:bCs/>
                <w:lang w:val="en-US"/>
              </w:rPr>
              <w:t>aphthoid</w:t>
            </w:r>
            <w:proofErr w:type="spellEnd"/>
          </w:p>
          <w:p w:rsidR="001D4918" w:rsidRPr="00F263FE" w:rsidRDefault="001D4918" w:rsidP="007742D4">
            <w:pPr>
              <w:autoSpaceDE w:val="0"/>
              <w:autoSpaceDN w:val="0"/>
              <w:adjustRightInd w:val="0"/>
              <w:spacing w:line="360" w:lineRule="auto"/>
              <w:jc w:val="both"/>
              <w:rPr>
                <w:rFonts w:ascii="Book Antiqua" w:hAnsi="Book Antiqua" w:cs="AdvCas540BT-R"/>
                <w:bCs/>
                <w:lang w:val="en-US"/>
              </w:rPr>
            </w:pPr>
            <w:r w:rsidRPr="00F263FE">
              <w:rPr>
                <w:rFonts w:ascii="Book Antiqua" w:hAnsi="Book Antiqua" w:cs="AdvCas540BT-R"/>
                <w:bCs/>
                <w:lang w:val="en-US"/>
              </w:rPr>
              <w:t xml:space="preserve">ulcers, ulcers of different shape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AdvCas540BT-R"/>
                <w:bCs/>
                <w:lang w:val="en-US"/>
              </w:rPr>
              <w:t>and strictures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Group 1: 20/29 (jejunum, </w:t>
            </w:r>
            <w:r w:rsidRPr="00F263FE">
              <w:rPr>
                <w:rFonts w:ascii="Book Antiqua" w:hAnsi="Book Antiqua"/>
                <w:bCs/>
                <w:i/>
                <w:iCs/>
                <w:lang w:val="en-US"/>
              </w:rPr>
              <w:t xml:space="preserve">n = </w:t>
            </w:r>
            <w:r w:rsidRPr="00F263FE">
              <w:rPr>
                <w:rFonts w:ascii="Book Antiqua" w:hAnsi="Book Antiqua"/>
                <w:bCs/>
                <w:lang w:val="en-US"/>
              </w:rPr>
              <w:t xml:space="preserve">8) </w:t>
            </w:r>
            <w:r w:rsidRPr="00F263FE">
              <w:rPr>
                <w:rFonts w:ascii="Book Antiqua" w:hAnsi="Book Antiqua"/>
                <w:bCs/>
                <w:i/>
                <w:iCs/>
                <w:lang w:val="en-US"/>
              </w:rPr>
              <w:t>vs</w:t>
            </w:r>
            <w:r w:rsidRPr="00F263FE">
              <w:rPr>
                <w:rFonts w:ascii="Book Antiqua" w:hAnsi="Book Antiqua"/>
                <w:bCs/>
                <w:lang w:val="en-US"/>
              </w:rPr>
              <w:t xml:space="preserve"> 11/27 at enteroclysis</w:t>
            </w:r>
            <w:r w:rsidRPr="00F263FE">
              <w:rPr>
                <w:rFonts w:ascii="Book Antiqua" w:hAnsi="Book Antiqua"/>
                <w:bCs/>
                <w:vertAlign w:val="superscript"/>
                <w:lang w:val="en-US"/>
              </w:rPr>
              <w:t>4</w:t>
            </w:r>
            <w:r w:rsidRPr="00F263FE">
              <w:rPr>
                <w:rFonts w:ascii="Book Antiqua" w:hAnsi="Book Antiqua"/>
                <w:bCs/>
                <w:lang w:val="en-US"/>
              </w:rPr>
              <w:t>, incremental diagnostic yield= 33.4% (</w:t>
            </w:r>
            <w:r w:rsidRPr="00F263FE">
              <w:rPr>
                <w:rFonts w:ascii="Book Antiqua" w:hAnsi="Book Antiqua"/>
                <w:bCs/>
                <w:i/>
                <w:iCs/>
                <w:lang w:val="en-US"/>
              </w:rPr>
              <w:t xml:space="preserve">P = </w:t>
            </w:r>
            <w:r w:rsidRPr="00F263FE">
              <w:rPr>
                <w:rFonts w:ascii="Book Antiqua" w:hAnsi="Book Antiqua"/>
                <w:bCs/>
                <w:lang w:val="en-US"/>
              </w:rPr>
              <w:t>0.035)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Group 2: 16/26 (jejunum, </w:t>
            </w:r>
            <w:r w:rsidRPr="00F263FE">
              <w:rPr>
                <w:rFonts w:ascii="Book Antiqua" w:hAnsi="Book Antiqua"/>
                <w:bCs/>
                <w:i/>
                <w:iCs/>
                <w:lang w:val="en-US"/>
              </w:rPr>
              <w:t xml:space="preserve">n = </w:t>
            </w:r>
            <w:r w:rsidRPr="00F263FE">
              <w:rPr>
                <w:rFonts w:ascii="Book Antiqua" w:hAnsi="Book Antiqua"/>
                <w:bCs/>
                <w:lang w:val="en-US"/>
              </w:rPr>
              <w:t xml:space="preserve">6), </w:t>
            </w:r>
            <w:r w:rsidRPr="00F263FE">
              <w:rPr>
                <w:rFonts w:ascii="Book Antiqua" w:hAnsi="Book Antiqua"/>
                <w:bCs/>
                <w:i/>
                <w:iCs/>
                <w:lang w:val="en-US"/>
              </w:rPr>
              <w:t>vs</w:t>
            </w:r>
            <w:r w:rsidRPr="00F263FE">
              <w:rPr>
                <w:rFonts w:ascii="Book Antiqua" w:hAnsi="Book Antiqua"/>
                <w:bCs/>
                <w:lang w:val="en-US"/>
              </w:rPr>
              <w:t xml:space="preserve"> 6/20 at enteroclysis</w:t>
            </w:r>
            <w:r w:rsidRPr="00290339">
              <w:rPr>
                <w:rFonts w:ascii="Book Antiqua" w:hAnsi="Book Antiqua"/>
                <w:bCs/>
                <w:vertAlign w:val="superscript"/>
                <w:lang w:val="en-US"/>
              </w:rPr>
              <w:t>5</w:t>
            </w:r>
            <w:r w:rsidRPr="00290339">
              <w:rPr>
                <w:rFonts w:ascii="Book Antiqua" w:hAnsi="Book Antiqua"/>
                <w:bCs/>
                <w:lang w:val="en-US"/>
              </w:rPr>
              <w:t>,</w:t>
            </w:r>
            <w:r w:rsidRPr="00F263FE">
              <w:rPr>
                <w:rFonts w:ascii="Book Antiqua" w:hAnsi="Book Antiqua"/>
                <w:bCs/>
                <w:lang w:val="en-US"/>
              </w:rPr>
              <w:t xml:space="preserve"> incremental diagnostic yield = 35.0% (</w:t>
            </w:r>
            <w:r w:rsidRPr="00F263FE">
              <w:rPr>
                <w:rFonts w:ascii="Book Antiqua" w:hAnsi="Book Antiqua"/>
                <w:bCs/>
                <w:i/>
                <w:iCs/>
                <w:lang w:val="en-US"/>
              </w:rPr>
              <w:t xml:space="preserve">P = </w:t>
            </w:r>
            <w:r w:rsidRPr="00F263FE">
              <w:rPr>
                <w:rFonts w:ascii="Book Antiqua" w:hAnsi="Book Antiqua"/>
                <w:bCs/>
                <w:lang w:val="en-US"/>
              </w:rPr>
              <w:t>0.039)</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Tukey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{"citationID":"oZntk22B","properties":{"formattedCitation":"\\super [78]\\nosupersub{}","plainCitation":"[78]","noteIndex":0},"citationItems":[{"id":2666,"uris":["http://zotero.org/users/3734960/items/D58QT639"],"uri":["http://zotero.org/users/3734960/items/D58QT639"],"itemData":{"id":2666,"type":"article-journal","title":"The utility of capsule endoscopy in patients with suspected Crohn's disease","container-title":"The American Journal of Gastroenterology","page":"2734-2739","volume":"104","issue":"11","source":"PubMed","abstract":"OBJECTIVES: In patients with suspected Crohn's disease (CD), little is known about the test characteristics of capsule endoscopy (CE) in the diagnosis of this condition. We sought to determine the utility of CE for the subsequent diagnosis of CD in patients suspected to have this condition.\nMETHODS: All patients who underwent CE at a single tertiary-care center for investigation of suspected small bowel CD, and who had a 12-month follow-up, were included in the study. All patients had undergone other investigations that were normal or equivocal. The test characteristics of CE were determined on the basis of capsule findings of small bowel ulcers and a subsequent new diagnosis of CD within 12 months of CE.\nRESULTS: The study included 102 patients with 12-month follow-up data. The majority (75%) met the established criteria to define \"suspected Crohn's disease\" as an indication for CE. Most had undergone computed tomography scan or small bowel follow-through (92%) and colonoscopy (99%) before CE. There were abnormal CE findings suggestive of CD in 39 patients. The prevalence rate of a new diagnosis of CD by 12 months in the study population was 13%. Using the presence of more than 3 ulcers as the criterion for an abnormal CE study, the sensitivity of CE for the diagnosis of CD was 77%, the specificity was 89%, the positive predictive value (PPV) was 50%, and the negative predictive value (NPV) was 96%.\nCONCLUSIONS: In patients with suspected CD, CE has a high sensitivity and a NPV for this condition. The PPV varies depending on the patient population and the criteria for a CE diagnosis of CD.","DOI":"10.1038/ajg.2009.404","ISSN":"1572-0241","note":"PMID: 19584828","journalAbbreviation":"Am. J. Gastroenterol.","language":"eng","author":[{"family":"Tukey","given":"Melissa"},{"family":"Pleskow","given":"Doug"},{"family":"Legnani","given":"Peter"},{"family":"Cheifetz","given":"Adam S."},{"family":"Moss","given":"Alan C."}],"issued":{"date-parts":[["2009",11]]}}}],"schema":"https://github.com/citation-style-language/schema/raw/master/csl-citation.json"}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[78]</w:t>
            </w:r>
            <w:r w:rsidRPr="00F263FE">
              <w:rPr>
                <w:rFonts w:ascii="Book Antiqua" w:hAnsi="Book Antiqua"/>
                <w:bCs/>
                <w:lang w:val="en-US"/>
              </w:rPr>
              <w:fldChar w:fldCharType="end"/>
            </w:r>
            <w:r w:rsidRPr="00F263FE">
              <w:rPr>
                <w:rFonts w:ascii="Book Antiqua" w:hAnsi="Book Antiqua"/>
                <w:bCs/>
                <w:lang w:val="en-US"/>
              </w:rPr>
              <w:t>, 2009</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105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Any ulcers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39/105 (37%)</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TradeGothic-BoldTwo"/>
                <w:bCs/>
                <w:lang w:val="en-US"/>
              </w:rPr>
              <w:t>Prevalence rate of CD diagnosis after a 12-mo follow-up</w:t>
            </w:r>
            <w:r w:rsidRPr="00F263FE">
              <w:rPr>
                <w:rFonts w:ascii="Book Antiqua" w:hAnsi="Book Antiqua" w:cs="TradeGothic-BoldTwo"/>
                <w:bCs/>
                <w:i/>
                <w:iCs/>
                <w:lang w:val="en-US"/>
              </w:rPr>
              <w:t xml:space="preserve"> = </w:t>
            </w:r>
            <w:r w:rsidRPr="00F263FE">
              <w:rPr>
                <w:rFonts w:ascii="Book Antiqua" w:hAnsi="Book Antiqua" w:cs="TradeGothic-BoldTwo"/>
                <w:bCs/>
                <w:lang w:val="en-US"/>
              </w:rPr>
              <w:t>13%</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TradeGothic-BoldTwo"/>
                <w:bCs/>
                <w:lang w:val="en-US"/>
              </w:rPr>
              <w:t xml:space="preserve">Se 77%, </w:t>
            </w:r>
            <w:proofErr w:type="spellStart"/>
            <w:r w:rsidRPr="00F263FE">
              <w:rPr>
                <w:rFonts w:ascii="Book Antiqua" w:hAnsi="Book Antiqua" w:cs="TradeGothic-BoldTwo"/>
                <w:bCs/>
                <w:lang w:val="en-US"/>
              </w:rPr>
              <w:t>Sp</w:t>
            </w:r>
            <w:proofErr w:type="spellEnd"/>
            <w:r w:rsidRPr="00F263FE">
              <w:rPr>
                <w:rFonts w:ascii="Book Antiqua" w:hAnsi="Book Antiqua" w:cs="TradeGothic-BoldTwo"/>
                <w:bCs/>
                <w:lang w:val="en-US"/>
              </w:rPr>
              <w:t xml:space="preserve"> 89%, PPV 50%, NPV 96%</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Mehdizadeh</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{"citationID":"lfbjWDSF","properties":{"formattedCitation":"\\super [39]\\nosupersub{}","plainCitation":"[39]","noteIndex":0},"citationItems":[{"id":2675,"uris":["http://zotero.org/users/3734960/items/SSZW9U6M"],"uri":["http://zotero.org/users/3734960/items/SSZW9U6M"],"itemData":{"id":2675,"type":"article-journal","title":"Capsule endoscopy in patients with Crohn's disease: diagnostic yield and safety","container-title":"Gastrointestinal Endoscopy","page":"121-127","volume":"71","issue":"1","source":"PubMed","abstract":"BACKGROUND: Capsule endoscopy (CE) is increasingly used in patients with suspected or known Crohn's disease (CD).\nOBJECTIVE: To determine the diagnostic yield of CE and the distribution of small-bowel (SB) lesions in symptomatic patients with known CD.\nDESIGN AND SETTING: Retrospective review of CE procedures performed in patients with CD between 2001 and 2005 in a tertiary care center.\nPATIENTS: One hundred thirty-four patients with an established diagnosis of CD and symptoms suggestive of active disease.\nINTERVENTIONS: Swallowing the capsule.\nMAIN OUTCOME MEASUREMENTS: Diagnostic yield of CE and distribution of SB lesions in patients with CD.\nRESULTS: One hundred forty-six CE procedures were performed on 134 CD patients. Fifty-two (39%) of 134 patients had CE findings diagnostic of active CD (&gt; 3 ulcerations), and 17 (13%) had findings suggestive of active CD (&lt; or = 3 ulcerations). Fifty-seven (42%) patients had normal findings, and 6% had normal but incomplete studies. The distribution of SB lesions was 32% in the duodenum, 53% in the jejunum, 67% in the proximal ileum, and 85% in the distal ileum. CE was comparable to ileoscopy in detecting ileal ulcerations (55% vs 48%), but superior to SB follow-through in detecting CD lesions in the SB (incremental yield of 32%; 95% CI, 9%-54%; P = .0017).\nLIMITATIONS: Retrospective study from a single center.\nCONCLUSIONS: CE identified SB lesions in approximately half of symptomatic CD patients. Large-scale prospective studies are needed to evaluate whether positive CE findings may affect disease outcomes.","DOI":"10.1016/j.gie.2009.06.034","ISSN":"1097-6779","note":"PMID: 19863957","title-short":"Capsule endoscopy in patients with Crohn's disease","journalAbbreviation":"Gastrointest. Endosc.","language":"eng","author":[{"family":"Mehdizadeh","given":"Shahab"},{"family":"Chen","given":"Gary C."},{"family":"Barkodar","given":"Linda"},{"family":"Enayati","given":"Pedram J."},{"family":"Pirouz","given":"Shahriar"},{"family":"Yadegari","given":"Michael"},{"family":"Ippoliti","given":"Andrew"},{"family":"Vasiliauskas","given":"Eric A."},{"family":"Lo","given":"Simon K."},{"family":"Papadakis","given":"Konstantinos Antonios"}],"issued":{"date-parts":[["2010",1]]}}}],"schema":"https://github.com/citation-style-language/schema/raw/master/csl-citation.json"}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[39]</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134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Diagnostic if &gt; 3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ulcerations</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Suspicious if </w:t>
            </w:r>
            <w:r w:rsidRPr="00F263FE">
              <w:rPr>
                <w:rFonts w:ascii="Book Antiqua" w:eastAsia="MTSY" w:hAnsi="Book Antiqua" w:cs="MTSY"/>
                <w:bCs/>
                <w:lang w:val="en-US"/>
              </w:rPr>
              <w:t xml:space="preserve">≤ </w:t>
            </w:r>
            <w:r w:rsidRPr="00F263FE">
              <w:rPr>
                <w:rFonts w:ascii="Book Antiqua" w:eastAsia="MTSY" w:hAnsi="Book Antiqua" w:cs="Times-Roman"/>
                <w:bCs/>
                <w:lang w:val="en-US"/>
              </w:rPr>
              <w:t>3 ulcerations</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Diagnostic: 52/134 (38.8%)</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Suspicious: 17/134 (12.7%)</w:t>
            </w:r>
          </w:p>
          <w:p w:rsidR="001D4918" w:rsidRPr="00F263FE" w:rsidRDefault="001D4918" w:rsidP="007742D4">
            <w:pPr>
              <w:autoSpaceDE w:val="0"/>
              <w:autoSpaceDN w:val="0"/>
              <w:adjustRightInd w:val="0"/>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Jejunum lesions 53%,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lastRenderedPageBreak/>
              <w:t>proximal ileum lesions 67%</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52/134 (38.8%) </w:t>
            </w:r>
            <w:r w:rsidRPr="00F263FE">
              <w:rPr>
                <w:rFonts w:ascii="Book Antiqua" w:hAnsi="Book Antiqua"/>
                <w:bCs/>
                <w:i/>
                <w:iCs/>
                <w:lang w:val="en-US"/>
              </w:rPr>
              <w:t>i.e.,</w:t>
            </w:r>
            <w:r w:rsidRPr="00F263FE">
              <w:rPr>
                <w:rFonts w:ascii="Book Antiqua" w:hAnsi="Book Antiqua"/>
                <w:bCs/>
                <w:lang w:val="en-US"/>
              </w:rPr>
              <w:t xml:space="preserve"> 100% of patients with positive CE findings</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Lorenzo-</w:t>
            </w:r>
            <w:proofErr w:type="spellStart"/>
            <w:r w:rsidRPr="00F263FE">
              <w:rPr>
                <w:rFonts w:ascii="Book Antiqua" w:hAnsi="Book Antiqua"/>
                <w:bCs/>
                <w:lang w:val="en-US"/>
              </w:rPr>
              <w:t>Zúñiga</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{"citationID":"3mVfE0Yr","properties":{"formattedCitation":"\\super [40]\\nosupersub{}","plainCitation":"[40]","noteIndex":0},"citationItems":[{"id":2671,"uris":["http://zotero.org/users/3734960/items/VRM76UPQ"],"uri":["http://zotero.org/users/3734960/items/VRM76UPQ"],"itemData":{"id":2671,"type":"article-journal","title":"Impact of capsule endoscopy findings in the management of Crohn's Disease","container-title":"Digestive Diseases and Sciences","page":"411-414","volume":"55","issue":"2","source":"PubMed","abstract":"BACKGROUND: Capsule endoscopy (CE) has proven efficacy in detecting mucosal lesions of the upper gastrointestinal tract and it has been widely evaluated for assessing small-bowel lesions in patients with suspected or established Crohn's disease (CD).\nAIMS: To evaluate the impact of CE on the management of patients with established CD.\nMETHODS: All patients with known CD that underwent CE were identified from IBD and endoscopy databases. Baseline characteristics of the study population, CE findings, changes in therapy, and patient outcome were recorded. Patients were followed for 18 months after CE.\nRESULTS: CE was performed in 14 CD patients for iron deficiency anemia (n = 5) or abdominal pain of unknown origin (n = 3), or re-evaluation of disease location (n = 6). The overall diagnostic yield was 85.7%. As a result of the CE findings, CD therapy was changed in 64% of cases. Clinical outcome changed in three out of five patients with iron deficiency anemia and in two out of three patients with abdominal pain.\nCONCLUSIONS: CE has a high diagnostic yield even in patients with previously known CD, and its findings may influence disease management and clinical outcome.","DOI":"10.1007/s10620-009-0758-8","ISSN":"1573-2568","note":"PMID: 19255845","journalAbbreviation":"Dig. Dis. Sci.","language":"eng","author":[{"family":"Lorenzo-Zúñiga","given":"Vicente"},{"family":"Vega","given":"Vicente Moreno","non-dropping-particle":"de"},{"family":"Domènech","given":"Eugeni"},{"family":"Cabré","given":"Eduard"},{"family":"Mañosa","given":"Míriam"},{"family":"Boix","given":"Jaume"}],"issued":{"date-parts":[["2010",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[40]</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7 </w:t>
            </w:r>
            <w:r w:rsidRPr="00F263FE">
              <w:rPr>
                <w:rFonts w:ascii="Book Antiqua" w:hAnsi="Book Antiqua" w:cs="AdvPTimes"/>
                <w:bCs/>
                <w:lang w:val="en-US"/>
              </w:rPr>
              <w:t>mucosal breaks or ulcerations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12/14 (86%)</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According to indications of CE: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Abdominal pain</w:t>
            </w:r>
            <w:r w:rsidRPr="00F263FE">
              <w:rPr>
                <w:rFonts w:ascii="Book Antiqua" w:hAnsi="Book Antiqua"/>
                <w:bCs/>
                <w:i/>
                <w:iCs/>
                <w:lang w:val="en-US"/>
              </w:rPr>
              <w:t xml:space="preserve"> </w:t>
            </w:r>
            <w:r w:rsidRPr="00F263FE">
              <w:rPr>
                <w:rFonts w:ascii="Book Antiqua" w:hAnsi="Book Antiqua"/>
                <w:bCs/>
                <w:lang w:val="en-US"/>
              </w:rPr>
              <w:t>=</w:t>
            </w:r>
            <w:r w:rsidRPr="00F263FE">
              <w:rPr>
                <w:rFonts w:ascii="Book Antiqua" w:hAnsi="Book Antiqua"/>
                <w:bCs/>
                <w:i/>
                <w:iCs/>
                <w:lang w:val="en-US"/>
              </w:rPr>
              <w:t xml:space="preserve"> </w:t>
            </w:r>
            <w:r w:rsidRPr="00F263FE">
              <w:rPr>
                <w:rFonts w:ascii="Book Antiqua" w:hAnsi="Book Antiqua"/>
                <w:bCs/>
                <w:lang w:val="en-US"/>
              </w:rPr>
              <w:t>3/3</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Anemia = 5/5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Disease extent re-evaluatio</w:t>
            </w:r>
            <w:r w:rsidRPr="00F263FE">
              <w:rPr>
                <w:rFonts w:ascii="Book Antiqua" w:hAnsi="Book Antiqua"/>
                <w:bCs/>
                <w:i/>
                <w:iCs/>
                <w:lang w:val="en-US"/>
              </w:rPr>
              <w:t xml:space="preserve">n = </w:t>
            </w:r>
            <w:r w:rsidRPr="00F263FE">
              <w:rPr>
                <w:rFonts w:ascii="Book Antiqua" w:hAnsi="Book Antiqua"/>
                <w:bCs/>
                <w:lang w:val="en-US"/>
              </w:rPr>
              <w:t>4/6</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PTimes"/>
                <w:bCs/>
                <w:lang w:val="en-US"/>
              </w:rPr>
            </w:pPr>
            <w:r w:rsidRPr="00F263FE">
              <w:rPr>
                <w:rFonts w:ascii="Book Antiqua" w:hAnsi="Book Antiqua"/>
                <w:bCs/>
                <w:lang w:val="en-US"/>
              </w:rPr>
              <w:t xml:space="preserve">9/14 (64%) </w:t>
            </w:r>
            <w:r w:rsidRPr="00F263FE">
              <w:rPr>
                <w:rFonts w:ascii="Book Antiqua" w:hAnsi="Book Antiqua"/>
                <w:bCs/>
                <w:i/>
                <w:iCs/>
                <w:lang w:val="en-US"/>
              </w:rPr>
              <w:t>i.e.,</w:t>
            </w:r>
            <w:r w:rsidRPr="00F263FE">
              <w:rPr>
                <w:rFonts w:ascii="Book Antiqua" w:hAnsi="Book Antiqua"/>
                <w:bCs/>
                <w:lang w:val="en-US"/>
              </w:rPr>
              <w:t xml:space="preserve"> 100% of patients in whom CE was performed </w:t>
            </w:r>
            <w:r w:rsidRPr="00F263FE">
              <w:rPr>
                <w:rFonts w:ascii="Book Antiqua" w:hAnsi="Book Antiqua" w:cs="AdvPTimes"/>
                <w:bCs/>
                <w:lang w:val="en-US"/>
              </w:rPr>
              <w:t>because of abdominal</w:t>
            </w:r>
          </w:p>
          <w:p w:rsidR="001D4918" w:rsidRPr="00F263FE" w:rsidRDefault="001D4918" w:rsidP="007742D4">
            <w:pPr>
              <w:autoSpaceDE w:val="0"/>
              <w:autoSpaceDN w:val="0"/>
              <w:adjustRightInd w:val="0"/>
              <w:spacing w:line="360" w:lineRule="auto"/>
              <w:jc w:val="both"/>
              <w:rPr>
                <w:rFonts w:ascii="Book Antiqua" w:hAnsi="Book Antiqua" w:cs="AdvPTimes"/>
                <w:bCs/>
                <w:lang w:val="en-US"/>
              </w:rPr>
            </w:pPr>
            <w:r w:rsidRPr="00F263FE">
              <w:rPr>
                <w:rFonts w:ascii="Book Antiqua" w:hAnsi="Book Antiqua" w:cs="AdvPTimes"/>
                <w:bCs/>
                <w:lang w:val="en-US"/>
              </w:rPr>
              <w:t>pain, 80% for anemia, 33% for</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cs="AdvPTimes"/>
                <w:bCs/>
                <w:lang w:val="en-US"/>
              </w:rPr>
              <w:t xml:space="preserve">disease extent re-evaluation </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Petruzziello</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{"citationID":"jDLapZoL","properties":{"formattedCitation":"\\super [31]\\nosupersub{}","plainCitation":"[31]","noteIndex":0},"citationItems":[{"id":2817,"uris":["http://zotero.org/users/3734960/items/RHFZ6U4C"],"uri":["http://zotero.org/users/3734960/items/RHFZ6U4C"],"itemData":{"id":2817,"type":"article-journal","title":"Wireless capsule endoscopy and proximal small bowel lesions in Crohn&amp;rsquo;s disease","container-title":"World Journal of Gastroenterology","page":"3299-3304","volume":"16","issue":"26","source":"www.wjgnet.com","abstract":"Wireless capsule endoscopy and proximal small bowel lesions in Crohn&amp;rsquo;s disease","DOI":"10.3748/wjg.v16.i26.3299","language":"en","author":[{"family":"Petruzziello","given":"Carmelina"},{"family":"Onali","given":"Sara"},{"family":"Calabrese","given":"Emma"},{"family":"Zorzi","given":"Francesca"},{"family":"Ascolani","given":"Marta"},{"family":"Condino","given":"Giovanna"},{"family":"Lolli","given":"Elisabetta"},{"family":"Naccarato","given":"Paola"},{"family":"Pallone","given":"Francesco"},{"family":"Biancone","given":"Livia"}],"issued":{"date-parts":[["2010",7,14]]}}}],"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[31]</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64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of the distal ileum (</w:t>
            </w:r>
            <w:r w:rsidRPr="00F263FE">
              <w:rPr>
                <w:rFonts w:ascii="Book Antiqua" w:hAnsi="Book Antiqua"/>
                <w:bCs/>
                <w:i/>
                <w:iCs/>
                <w:lang w:val="en-US"/>
              </w:rPr>
              <w:t xml:space="preserve">n = </w:t>
            </w:r>
            <w:r w:rsidRPr="00F263FE">
              <w:rPr>
                <w:rFonts w:ascii="Book Antiqua" w:hAnsi="Book Antiqua"/>
                <w:bCs/>
                <w:lang w:val="en-US"/>
              </w:rPr>
              <w:t xml:space="preserve">32)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Control group (</w:t>
            </w:r>
            <w:r w:rsidRPr="00F263FE">
              <w:rPr>
                <w:rFonts w:ascii="Book Antiqua" w:hAnsi="Book Antiqua"/>
                <w:bCs/>
                <w:i/>
                <w:iCs/>
                <w:lang w:val="en-US"/>
              </w:rPr>
              <w:t xml:space="preserve">n = </w:t>
            </w:r>
            <w:r w:rsidRPr="00F263FE">
              <w:rPr>
                <w:rFonts w:ascii="Book Antiqua" w:hAnsi="Book Antiqua"/>
                <w:bCs/>
                <w:lang w:val="en-US"/>
              </w:rPr>
              <w:t>32)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SICUS </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Garamond"/>
                <w:bCs/>
                <w:lang w:val="en-US"/>
              </w:rPr>
              <w:t xml:space="preserve">&gt; 3 </w:t>
            </w:r>
            <w:proofErr w:type="spellStart"/>
            <w:r w:rsidRPr="00F263FE">
              <w:rPr>
                <w:rFonts w:ascii="Book Antiqua" w:hAnsi="Book Antiqua" w:cs="Garamond"/>
                <w:bCs/>
                <w:lang w:val="en-US"/>
              </w:rPr>
              <w:t>aphthoid</w:t>
            </w:r>
            <w:proofErr w:type="spellEnd"/>
            <w:r w:rsidRPr="00F263FE">
              <w:rPr>
                <w:rFonts w:ascii="Book Antiqua" w:hAnsi="Book Antiqua" w:cs="Garamond"/>
                <w:bCs/>
                <w:lang w:val="en-US"/>
              </w:rPr>
              <w:t xml:space="preserve"> ulcers, deep ulcers, stricture(s)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CD group: 16/32 (50%) with upper SB lesions </w:t>
            </w:r>
            <w:r w:rsidRPr="00F263FE">
              <w:rPr>
                <w:rFonts w:ascii="Book Antiqua" w:hAnsi="Book Antiqua"/>
                <w:bCs/>
                <w:i/>
                <w:iCs/>
                <w:lang w:val="en-US"/>
              </w:rPr>
              <w:t>vs</w:t>
            </w:r>
            <w:r w:rsidRPr="00F263FE">
              <w:rPr>
                <w:rFonts w:ascii="Book Antiqua" w:hAnsi="Book Antiqua"/>
                <w:bCs/>
                <w:lang w:val="en-US"/>
              </w:rPr>
              <w:t xml:space="preserve"> 3/32 (9%) at SICUS, 30/32 (93%) with distal SB lesions </w:t>
            </w:r>
            <w:r w:rsidRPr="00F263FE">
              <w:rPr>
                <w:rFonts w:ascii="Book Antiqua" w:hAnsi="Book Antiqua"/>
                <w:bCs/>
                <w:i/>
                <w:iCs/>
                <w:lang w:val="en-US"/>
              </w:rPr>
              <w:t>vs</w:t>
            </w:r>
            <w:r w:rsidRPr="00F263FE">
              <w:rPr>
                <w:rFonts w:ascii="Book Antiqua" w:hAnsi="Book Antiqua"/>
                <w:bCs/>
                <w:lang w:val="en-US"/>
              </w:rPr>
              <w:t xml:space="preserve"> 30/32 (93%) at SICUS</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Control group: 0/32 (0%) </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rPr>
              <w:t xml:space="preserve">Dussault </w:t>
            </w:r>
            <w:r w:rsidRPr="00F263FE">
              <w:rPr>
                <w:rFonts w:ascii="Book Antiqua" w:hAnsi="Book Antiqua"/>
                <w:bCs/>
                <w:i/>
                <w:iCs/>
              </w:rPr>
              <w:t>et al</w:t>
            </w:r>
            <w:r w:rsidRPr="00F263FE">
              <w:rPr>
                <w:rFonts w:ascii="Book Antiqua" w:hAnsi="Book Antiqua"/>
                <w:bCs/>
              </w:rPr>
              <w:fldChar w:fldCharType="begin"/>
            </w:r>
            <w:r w:rsidRPr="00F263FE">
              <w:rPr>
                <w:rFonts w:ascii="Book Antiqua" w:hAnsi="Book Antiqua"/>
                <w:bCs/>
              </w:rPr>
              <w:instrText xml:space="preserve"> ADDIN ZOTERO_ITEM CSL_CITATION {"citationID":"pmi6glJw","properties":{"formattedCitation":"\\super [79]\\nosupersub{}","plainCitation":"[79]","noteIndex":0},"citationItems":[{"id":2690,"uris":["http://zotero.org/users/3734960/items/57UVSR32"],"uri":["http://zotero.org/users/3734960/items/57UVSR32"],"itemData":{"id":2690,"type":"article-journal","title":"Small bowel capsule endoscopy for management of Crohn's disease: a retrospective tertiary care centre experience","container-title":"Digestive and Liver Disease: Official Journal of the Italian Society of Gastroenterology and the Italian Association for the Study of the Liver","page":"558-561","volume":"45","issue":"7","source":"PubMed","abstract":"BACKGROUND: The role of small bowel capsule endoscopy in the management of established Crohn's disease is uncertain.\nMETHODS: A retrospective study of small bowel capsule endoscopy tests performed in a referral centre from 2008 to 2011; 77 tests were performed in patients with known Crohn's disease. Six patients were excluded due to capsule test retention. Patients were classified into 4 indication groups: unexplained anaemia (G1, n = 6); discrepancy between clinical symptoms and morphology (G2, n = 25), full assessment of Crohn's disease location (G3, n = 37) and evaluation of mucosal healing (G4, n = 3).\nRESULTS: Twenty-seven (38%) patients had no lesions, 32 (45%) moderate and 12 (17%) severe lesions. Endoscopic lesions were found in 4/6 (67%) G1 patients, 11/25 (44%) G2 and 28/37 (76%) G3 (p &lt; 0.03). Three months after endoscopy was performed, 38/71 patients experienced a change in their treatment that was significantly associated with the severity of endoscopic lesions and with test indications; in 60%, 20% and 58% of patients from G1, G2 and G3, respectively (p &lt; 0.01).\nCONCLUSION: Small bowel capsule endoscopy resulted in management changes in the majority of patients with established Crohn's disease.","DOI":"10.1016/j.dld.2012.11.004","ISSN":"1878-3562","note":"PMID: 23238033","title-short":"Small bowel capsule endoscopy for management of Crohn's disease","journalAbbreviation":"Dig Liver Dis","language":"eng","author":[{"family":"Dussault","given":"Catherine"},{"family":"Gower-Rousseau","given":"Corinne"},{"family":"Salleron","given":"Julia"},{"family":"Vernier-Massouille","given":"Gwénola"},{"family":"Branche","given":"Julien"},{"family":"Colombel","given":"Jean-Frédéric"},{"family":"Maunoury","given":"Vincent"}],"issued":{"date-parts":[["2013",7]]}}}],"schema":"https://github.com/citation-style-language/schema/raw/master/csl-citation.json"} </w:instrText>
            </w:r>
            <w:r w:rsidRPr="00F263FE">
              <w:rPr>
                <w:rFonts w:ascii="Book Antiqua" w:hAnsi="Book Antiqua"/>
                <w:bCs/>
              </w:rPr>
              <w:fldChar w:fldCharType="separate"/>
            </w:r>
            <w:r w:rsidRPr="00F263FE">
              <w:rPr>
                <w:rFonts w:ascii="Book Antiqua" w:hAnsi="Book Antiqua"/>
                <w:bCs/>
                <w:vertAlign w:val="superscript"/>
              </w:rPr>
              <w:t>[79]</w:t>
            </w:r>
            <w:r w:rsidRPr="00F263FE">
              <w:rPr>
                <w:rFonts w:ascii="Book Antiqua" w:hAnsi="Book Antiqua"/>
                <w:bCs/>
              </w:rPr>
              <w:fldChar w:fldCharType="end"/>
            </w:r>
            <w:r w:rsidRPr="00F263FE">
              <w:rPr>
                <w:rFonts w:ascii="Book Antiqua" w:hAnsi="Book Antiqua"/>
                <w:bCs/>
                <w:lang w:val="en-US"/>
              </w:rPr>
              <w:t>, 2013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71</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GulliverRM"/>
                <w:bCs/>
                <w:lang w:val="en-US"/>
              </w:rPr>
            </w:pPr>
            <w:r w:rsidRPr="00F263FE">
              <w:rPr>
                <w:rFonts w:ascii="Book Antiqua" w:hAnsi="Book Antiqua" w:cs="GulliverBI"/>
                <w:bCs/>
                <w:lang w:val="en-US"/>
              </w:rPr>
              <w:t>Moderate</w:t>
            </w:r>
            <w:r w:rsidRPr="00F263FE">
              <w:rPr>
                <w:rFonts w:ascii="Book Antiqua" w:hAnsi="Book Antiqua" w:cs="GulliverRM"/>
                <w:bCs/>
                <w:lang w:val="en-US"/>
              </w:rPr>
              <w:t>: erythema</w:t>
            </w:r>
          </w:p>
          <w:p w:rsidR="001D4918" w:rsidRPr="00F263FE" w:rsidRDefault="001D4918" w:rsidP="007742D4">
            <w:pPr>
              <w:autoSpaceDE w:val="0"/>
              <w:autoSpaceDN w:val="0"/>
              <w:adjustRightInd w:val="0"/>
              <w:spacing w:line="360" w:lineRule="auto"/>
              <w:jc w:val="both"/>
              <w:rPr>
                <w:rFonts w:ascii="Book Antiqua" w:hAnsi="Book Antiqua" w:cs="GulliverRM"/>
                <w:bCs/>
                <w:lang w:val="en-US"/>
              </w:rPr>
            </w:pPr>
            <w:r w:rsidRPr="00F263FE">
              <w:rPr>
                <w:rFonts w:ascii="Book Antiqua" w:hAnsi="Book Antiqua" w:cs="GulliverRM"/>
                <w:bCs/>
                <w:lang w:val="en-US"/>
              </w:rPr>
              <w:t xml:space="preserve">and few </w:t>
            </w:r>
            <w:proofErr w:type="spellStart"/>
            <w:r w:rsidRPr="00F263FE">
              <w:rPr>
                <w:rFonts w:ascii="Book Antiqua" w:hAnsi="Book Antiqua" w:cs="GulliverRM"/>
                <w:bCs/>
                <w:lang w:val="en-US"/>
              </w:rPr>
              <w:t>aphthoid</w:t>
            </w:r>
            <w:proofErr w:type="spellEnd"/>
            <w:r w:rsidRPr="00F263FE">
              <w:rPr>
                <w:rFonts w:ascii="Book Antiqua" w:hAnsi="Book Antiqua" w:cs="GulliverRM"/>
                <w:bCs/>
                <w:lang w:val="en-US"/>
              </w:rPr>
              <w:t xml:space="preserve"> ulcers</w:t>
            </w:r>
          </w:p>
          <w:p w:rsidR="001D4918" w:rsidRPr="00F263FE" w:rsidRDefault="001D4918" w:rsidP="007742D4">
            <w:pPr>
              <w:autoSpaceDE w:val="0"/>
              <w:autoSpaceDN w:val="0"/>
              <w:adjustRightInd w:val="0"/>
              <w:spacing w:line="360" w:lineRule="auto"/>
              <w:jc w:val="both"/>
              <w:rPr>
                <w:rFonts w:ascii="Book Antiqua" w:hAnsi="Book Antiqua" w:cs="GulliverRM"/>
                <w:bCs/>
                <w:lang w:val="en-US"/>
              </w:rPr>
            </w:pPr>
            <w:r w:rsidRPr="00F263FE">
              <w:rPr>
                <w:rFonts w:ascii="Book Antiqua" w:hAnsi="Book Antiqua" w:cs="GulliverBI"/>
                <w:bCs/>
                <w:lang w:val="en-US"/>
              </w:rPr>
              <w:t>Severe</w:t>
            </w:r>
            <w:r w:rsidRPr="00F263FE">
              <w:rPr>
                <w:rFonts w:ascii="Book Antiqua" w:hAnsi="Book Antiqua" w:cs="GulliverRM"/>
                <w:bCs/>
                <w:lang w:val="en-US"/>
              </w:rPr>
              <w:t>: multiple and/or deep ulcers</w:t>
            </w:r>
          </w:p>
          <w:p w:rsidR="001D4918" w:rsidRPr="00F263FE" w:rsidRDefault="001D4918" w:rsidP="007742D4">
            <w:pPr>
              <w:autoSpaceDE w:val="0"/>
              <w:autoSpaceDN w:val="0"/>
              <w:adjustRightInd w:val="0"/>
              <w:spacing w:line="360" w:lineRule="auto"/>
              <w:jc w:val="both"/>
              <w:rPr>
                <w:rFonts w:ascii="Book Antiqua" w:hAnsi="Book Antiqua" w:cs="Garamond"/>
                <w:bCs/>
                <w:lang w:val="en-US"/>
              </w:rPr>
            </w:pPr>
            <w:r w:rsidRPr="00F263FE">
              <w:rPr>
                <w:rFonts w:ascii="Book Antiqua" w:hAnsi="Book Antiqua" w:cs="GulliverRM"/>
                <w:bCs/>
                <w:lang w:val="en-US"/>
              </w:rPr>
              <w:t>and/or stenosis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Moderate: 32/71 (45.1%)</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Severe: 12 (16.9%)</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According to indications of CE: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Anemia = 4/6</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  Symptoms = 11/25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Disease re-evaluatio</w:t>
            </w:r>
            <w:r w:rsidRPr="00F263FE">
              <w:rPr>
                <w:rFonts w:ascii="Book Antiqua" w:hAnsi="Book Antiqua"/>
                <w:bCs/>
                <w:i/>
                <w:iCs/>
                <w:lang w:val="en-US"/>
              </w:rPr>
              <w:t xml:space="preserve">n = </w:t>
            </w:r>
            <w:r w:rsidRPr="00F263FE">
              <w:rPr>
                <w:rFonts w:ascii="Book Antiqua" w:hAnsi="Book Antiqua"/>
                <w:bCs/>
                <w:lang w:val="en-US"/>
              </w:rPr>
              <w:t>28/37</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lastRenderedPageBreak/>
              <w:t xml:space="preserve">38/71 (53.5%) </w:t>
            </w:r>
            <w:r w:rsidRPr="00F263FE">
              <w:rPr>
                <w:rFonts w:ascii="Book Antiqua" w:hAnsi="Book Antiqua"/>
                <w:bCs/>
                <w:i/>
                <w:iCs/>
                <w:lang w:val="en-US"/>
              </w:rPr>
              <w:t>i.e.,</w:t>
            </w:r>
            <w:r w:rsidRPr="00F263FE">
              <w:rPr>
                <w:rFonts w:ascii="Book Antiqua" w:hAnsi="Book Antiqua"/>
                <w:bCs/>
                <w:lang w:val="en-US"/>
              </w:rPr>
              <w:t xml:space="preserve"> 75% of patients with severe lesions and 53% with moderate lesions</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lastRenderedPageBreak/>
              <w:t>Kalla</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{"citationID":"xX708LQK","properties":{"formattedCitation":"\\super [80]\\nosupersub{}","plainCitation":"[80]","noteIndex":0},"citationItems":[{"id":2685,"uris":["http://zotero.org/users/3734960/items/LJ8Y98H2"],"uri":["http://zotero.org/users/3734960/items/LJ8Y98H2"],"itemData":{"id":2685,"type":"article-journal","title":"Clinical utility of capsule endoscopy in patients with Crohn's disease and inflammatory bowel disease unclassified","container-title":"European Journal of Gastroenterology &amp; Hepatology","page":"706-713","volume":"25","issue":"6","source":"PubMed","abstract":"BACKGROUND: Although small bowel capsule endoscopy (SBCE) has developed an established role in Crohn's disease (CD), there is paucity of data on impact of SBCE on subsequent management. We investigated the clinical utility of SBCE in patients with suspected and established CD and inflammatory bowel disease unclassified (IBDU).\nMATERIALS AND METHODS: Patients referred routinely from 2003 to 2009 with a diagnosis of IBDU, suspected or established CD were identified retrospectively. Data were collected for indications and findings at SBCE with subsequent follow-up.\nRESULTS: A total of 315 patients were identified. There were n=265 referred for suspected CD (of which n=37 had a prior diagnosis of IBDU) and n=50 with established CD. SBCE was suggestive of CD in 17% of the suspected CD group, 43% in the IBDU group and 66% in the established CD patients. In the suspected CD cohort, an eventual diagnosis of CD was made in 12% (n=31) after a mean follow-up of 15 months (range 1-84), resulting in a change of management in 90% (n=28/31). In patients with IBDU, the diagnosis of CD was made in 38% (n=14) after an average follow-up of 19 months (±2). In patients with established CD, management was altered in 73% of patients after SBCE.\nCONCLUSION: There was a low diagnostic yield in patients referred with suspected CD although a diagnosis at SBCE was predictive of a clinical diagnosis in the majority after a mean follow-up of 15 months. A diagnosis of CD was more likely in the IBDU and established CD cohort. SBCE diagnoses changed management in the majority of patients.","DOI":"10.1097/MEG.0b013e32835ddb85","ISSN":"1473-5687","note":"PMID: 23325280","journalAbbreviation":"Eur J Gastroenterol Hepatol","language":"eng","author":[{"family":"Kalla","given":"Rahul"},{"family":"McAlindon","given":"Mark E."},{"family":"Drew","given":"Kaye"},{"family":"Sidhu","given":"Reena"}],"issued":{"date-parts":[["2013",6]]}}}],"schema":"https://github.com/citation-style-language/schema/raw/master/csl-citation.json"}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[80]</w:t>
            </w:r>
            <w:r w:rsidRPr="00F263FE">
              <w:rPr>
                <w:rFonts w:ascii="Book Antiqua" w:hAnsi="Book Antiqua"/>
                <w:bCs/>
                <w:lang w:val="en-US"/>
              </w:rPr>
              <w:fldChar w:fldCharType="end"/>
            </w:r>
            <w:r w:rsidRPr="00F263FE">
              <w:rPr>
                <w:rFonts w:ascii="Book Antiqua" w:hAnsi="Book Antiqua"/>
                <w:bCs/>
                <w:lang w:val="en-US"/>
              </w:rPr>
              <w:t>, 2013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315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w:t>
            </w:r>
            <w:r w:rsidRPr="00F263FE">
              <w:rPr>
                <w:rFonts w:ascii="Book Antiqua" w:hAnsi="Book Antiqua"/>
                <w:bCs/>
                <w:i/>
                <w:iCs/>
                <w:lang w:val="en-US"/>
              </w:rPr>
              <w:t xml:space="preserve">n = </w:t>
            </w:r>
            <w:r w:rsidRPr="00F263FE">
              <w:rPr>
                <w:rFonts w:ascii="Book Antiqua" w:hAnsi="Book Antiqua"/>
                <w:bCs/>
                <w:lang w:val="en-US"/>
              </w:rPr>
              <w:t>50) or suspected</w:t>
            </w:r>
            <w:r w:rsidRPr="00F263FE">
              <w:rPr>
                <w:rFonts w:ascii="Book Antiqua" w:hAnsi="Book Antiqua"/>
                <w:bCs/>
                <w:vertAlign w:val="superscript"/>
                <w:lang w:val="en-US"/>
              </w:rPr>
              <w:t>2</w:t>
            </w:r>
            <w:r w:rsidRPr="00F263FE">
              <w:rPr>
                <w:rFonts w:ascii="Book Antiqua" w:hAnsi="Book Antiqua"/>
                <w:bCs/>
                <w:lang w:val="en-US"/>
              </w:rPr>
              <w:t xml:space="preserve"> (</w:t>
            </w:r>
            <w:r w:rsidRPr="00F263FE">
              <w:rPr>
                <w:rFonts w:ascii="Book Antiqua" w:hAnsi="Book Antiqua"/>
                <w:bCs/>
                <w:i/>
                <w:iCs/>
                <w:lang w:val="en-US"/>
              </w:rPr>
              <w:t xml:space="preserve">n = </w:t>
            </w:r>
            <w:r w:rsidRPr="00F263FE">
              <w:rPr>
                <w:rFonts w:ascii="Book Antiqua" w:hAnsi="Book Antiqua"/>
                <w:bCs/>
                <w:lang w:val="en-US"/>
              </w:rPr>
              <w:t>265) CD</w:t>
            </w:r>
          </w:p>
          <w:p w:rsidR="001D4918" w:rsidRPr="00F263FE" w:rsidRDefault="001D4918" w:rsidP="007742D4">
            <w:pPr>
              <w:spacing w:line="360" w:lineRule="auto"/>
              <w:jc w:val="both"/>
              <w:rPr>
                <w:rFonts w:ascii="Book Antiqua" w:hAnsi="Book Antiqua"/>
                <w:bCs/>
                <w:lang w:val="en-US"/>
              </w:rPr>
            </w:pP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Garamond"/>
                <w:bCs/>
                <w:lang w:val="en-US"/>
              </w:rPr>
            </w:pPr>
            <w:r w:rsidRPr="00F263FE">
              <w:rPr>
                <w:rFonts w:ascii="Book Antiqua" w:hAnsi="Book Antiqua" w:cs="AdvCas540BT-R"/>
                <w:bCs/>
                <w:lang w:val="en-US"/>
              </w:rPr>
              <w:t>&gt; 3 ulcers with erythema or edema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Known CD: 33/50 (66%) (jejunum, </w:t>
            </w:r>
            <w:r w:rsidRPr="00F263FE">
              <w:rPr>
                <w:rFonts w:ascii="Book Antiqua" w:hAnsi="Book Antiqua"/>
                <w:bCs/>
                <w:i/>
                <w:iCs/>
                <w:lang w:val="en-US"/>
              </w:rPr>
              <w:t xml:space="preserve">n = </w:t>
            </w:r>
            <w:r w:rsidRPr="00F263FE">
              <w:rPr>
                <w:rFonts w:ascii="Book Antiqua" w:hAnsi="Book Antiqua"/>
                <w:bCs/>
                <w:lang w:val="en-US"/>
              </w:rPr>
              <w:t xml:space="preserve">1 / diffuse, </w:t>
            </w:r>
            <w:r w:rsidRPr="00F263FE">
              <w:rPr>
                <w:rFonts w:ascii="Book Antiqua" w:hAnsi="Book Antiqua"/>
                <w:bCs/>
                <w:i/>
                <w:iCs/>
                <w:lang w:val="en-US"/>
              </w:rPr>
              <w:t xml:space="preserve">n = </w:t>
            </w:r>
            <w:r w:rsidRPr="00F263FE">
              <w:rPr>
                <w:rFonts w:ascii="Book Antiqua" w:hAnsi="Book Antiqua"/>
                <w:bCs/>
                <w:lang w:val="en-US"/>
              </w:rPr>
              <w:t>16)</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Suspected CD: 45/265 (17%) (jejunum, </w:t>
            </w:r>
            <w:r w:rsidRPr="00F263FE">
              <w:rPr>
                <w:rFonts w:ascii="Book Antiqua" w:hAnsi="Book Antiqua"/>
                <w:bCs/>
                <w:i/>
                <w:iCs/>
                <w:lang w:val="en-US"/>
              </w:rPr>
              <w:t xml:space="preserve">n = </w:t>
            </w:r>
            <w:r w:rsidRPr="00F263FE">
              <w:rPr>
                <w:rFonts w:ascii="Book Antiqua" w:hAnsi="Book Antiqua"/>
                <w:bCs/>
                <w:lang w:val="en-US"/>
              </w:rPr>
              <w:t xml:space="preserve">5 / diffuse, </w:t>
            </w:r>
            <w:r w:rsidRPr="00F263FE">
              <w:rPr>
                <w:rFonts w:ascii="Book Antiqua" w:hAnsi="Book Antiqua"/>
                <w:bCs/>
                <w:i/>
                <w:iCs/>
                <w:lang w:val="en-US"/>
              </w:rPr>
              <w:t xml:space="preserve">n = </w:t>
            </w:r>
            <w:r w:rsidRPr="00F263FE">
              <w:rPr>
                <w:rFonts w:ascii="Book Antiqua" w:hAnsi="Book Antiqua"/>
                <w:bCs/>
                <w:lang w:val="en-US"/>
              </w:rPr>
              <w:t>7)</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Known CD: 73%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Suspected CD: 90% </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of patients with positive CE   findings</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Flamant</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{"citationID":"z8zGE1FL","properties":{"formattedCitation":"\\super [81]\\nosupersub{}","plainCitation":"[81]","noteIndex":0},"citationItems":[{"id":2815,"uris":["http://zotero.org/users/3734960/items/LI4GB4S3"],"uri":["http://zotero.org/users/3734960/items/LI4GB4S3"],"itemData":{"id":2815,"type":"article-journal","title":"The prevalence and outcome of jejunal lesions visualized by small bowel capsule endoscopy in Crohn's disease","container-title":"Inflammatory Bowel Diseases","page":"1390-1396","volume":"19","issue":"7","source":"PubMed","abstract":"BACKGROUND: Small bowel capsule endoscopy is the most sensitive technique for the detection of lesions in the small intestine. The aims of the study were to assess the prevalence and clinical significance of jejunal lesions detected by small bowel capsule endoscopy in patients with an established Crohn's disease.\nRESULTS: One hundred and eight patients, including 32 patients with ileal disease, 25 patients with colonic disease, and 51 patients with ileocolonic disease, underwent small bowel capsule endoscopy, and findings were analyzed retrospectively. Jejunal lesions were detected in 56% of these patients, of whom 18 (17%) had lesions only in the jejunum. Jejunal lesions were less frequently detected (12% versus 38%, P = 0.001) when location of the disease was limited to the colon at ileocolonoscopy. Conversely, when Crohn's disease affected the ileum, jejunal lesions were more frequently detected (40% versus 17%, P = 0.007). During a median follow-up time of 24.0 months (interquartile, 8.0-46.2), 50 clinical relapses occurred. The presence of jejunal lesions was the only independent factor associated with an increased risk of relapse (P = 0.02). In nonsmokers and in patients treated by immunosuppressors, the presence of jejunal lesions tended to increase the risk of relapse (P = 0.06 and 0.05, respectively).\nCONCLUSIONS: Jejunal lesions are detected in more than half of the patients with Crohn's disease. The prevalence of jejunal lesions is higher when the terminal ileum is involved and associated with an increased risk of further clinical relapse. It may be regarded as a factor of severity.","DOI":"10.1097/MIB.0b013e31828133c1","ISSN":"1536-4844","note":"PMID: 23552764","journalAbbreviation":"Inflamm. Bowel Dis.","language":"eng","author":[{"family":"Flamant","given":"Mathurin"},{"family":"Trang","given":"Caroline"},{"family":"Maillard","given":"Olivier"},{"family":"Sacher-Huvelin","given":"Sylvie"},{"family":"Le Rhun","given":"Marc"},{"family":"Galmiche","given":"Jean-Paul"},{"family":"Bourreille","given":"Arnaud"}],"issued":{"date-parts":[["2013",6]]}}}],"schema":"https://github.com/citation-style-language/schema/raw/master/csl-citation.json"}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[81]</w:t>
            </w:r>
            <w:r w:rsidRPr="00F263FE">
              <w:rPr>
                <w:rFonts w:ascii="Book Antiqua" w:hAnsi="Book Antiqua"/>
                <w:bCs/>
                <w:lang w:val="en-US"/>
              </w:rPr>
              <w:fldChar w:fldCharType="end"/>
            </w:r>
            <w:r w:rsidRPr="00F263FE">
              <w:rPr>
                <w:rFonts w:ascii="Book Antiqua" w:hAnsi="Book Antiqua"/>
                <w:bCs/>
                <w:lang w:val="en-US"/>
              </w:rPr>
              <w:t>, 2013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108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Known CD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(32 L1, 25 L2, 51 L3)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Diffuse erythema and edema, linear/</w:t>
            </w: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 xml:space="preserve">circumferential ulcerations, </w:t>
            </w:r>
            <w:r w:rsidRPr="00F263FE">
              <w:rPr>
                <w:rFonts w:ascii="Book Antiqua" w:hAnsi="Book Antiqua"/>
                <w:bCs/>
                <w:lang w:val="en-US"/>
              </w:rPr>
              <w:t xml:space="preserve">≥ </w:t>
            </w:r>
            <w:r w:rsidRPr="00F263FE">
              <w:rPr>
                <w:rFonts w:ascii="Book Antiqua" w:hAnsi="Book Antiqua" w:cs="AdvOT140f2bdb"/>
                <w:bCs/>
                <w:lang w:val="en-US"/>
              </w:rPr>
              <w:t>3 aphthous</w:t>
            </w:r>
          </w:p>
          <w:p w:rsidR="001D4918" w:rsidRPr="00F263FE" w:rsidRDefault="001D4918" w:rsidP="007742D4">
            <w:pPr>
              <w:autoSpaceDE w:val="0"/>
              <w:autoSpaceDN w:val="0"/>
              <w:adjustRightInd w:val="0"/>
              <w:spacing w:line="360" w:lineRule="auto"/>
              <w:jc w:val="both"/>
              <w:rPr>
                <w:rFonts w:ascii="Book Antiqua" w:hAnsi="Book Antiqua" w:cs="AdvCas540BT-R"/>
                <w:bCs/>
                <w:lang w:val="en-US"/>
              </w:rPr>
            </w:pPr>
            <w:r w:rsidRPr="00F263FE">
              <w:rPr>
                <w:rFonts w:ascii="Book Antiqua" w:hAnsi="Book Antiqua" w:cs="AdvOT140f2bdb"/>
                <w:bCs/>
                <w:lang w:val="en-US"/>
              </w:rPr>
              <w:t>ulcers, or stenosis</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68/108 (63%) (jejunum, </w:t>
            </w:r>
            <w:r w:rsidRPr="00F263FE">
              <w:rPr>
                <w:rFonts w:ascii="Book Antiqua" w:hAnsi="Book Antiqua"/>
                <w:bCs/>
                <w:i/>
                <w:iCs/>
                <w:lang w:val="en-US"/>
              </w:rPr>
              <w:t xml:space="preserve">n = </w:t>
            </w:r>
            <w:r w:rsidRPr="00F263FE">
              <w:rPr>
                <w:rFonts w:ascii="Book Antiqua" w:hAnsi="Book Antiqua"/>
                <w:bCs/>
                <w:lang w:val="en-US"/>
              </w:rPr>
              <w:t xml:space="preserve">60 of whom </w:t>
            </w:r>
            <w:r w:rsidRPr="00F263FE">
              <w:rPr>
                <w:rFonts w:ascii="Book Antiqua" w:hAnsi="Book Antiqua"/>
                <w:bCs/>
                <w:i/>
                <w:iCs/>
                <w:lang w:val="en-US"/>
              </w:rPr>
              <w:t xml:space="preserve">n = </w:t>
            </w:r>
            <w:r w:rsidRPr="00F263FE">
              <w:rPr>
                <w:rFonts w:ascii="Book Antiqua" w:hAnsi="Book Antiqua"/>
                <w:bCs/>
                <w:lang w:val="en-US"/>
              </w:rPr>
              <w:t xml:space="preserve">18 </w:t>
            </w:r>
            <w:r w:rsidRPr="00F263FE">
              <w:rPr>
                <w:rFonts w:ascii="Book Antiqua" w:hAnsi="Book Antiqua"/>
                <w:bCs/>
                <w:i/>
                <w:iCs/>
                <w:lang w:val="en-US"/>
              </w:rPr>
              <w:t>i.e.,</w:t>
            </w:r>
            <w:r w:rsidRPr="00F263FE">
              <w:rPr>
                <w:rFonts w:ascii="Book Antiqua" w:hAnsi="Book Antiqua"/>
                <w:bCs/>
                <w:lang w:val="en-US"/>
              </w:rPr>
              <w:t xml:space="preserve"> 17% only in the jejunum)</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Restricted colonic location of the disease associated with</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AdvOT140f2bdb"/>
                <w:bCs/>
                <w:lang w:val="en-US"/>
              </w:rPr>
              <w:t>a signi</w:t>
            </w:r>
            <w:r w:rsidRPr="00F263FE">
              <w:rPr>
                <w:rFonts w:ascii="Book Antiqua" w:hAnsi="Book Antiqua" w:cs="AdvOT140f2bdb+fb"/>
                <w:bCs/>
                <w:lang w:val="en-US"/>
              </w:rPr>
              <w:t>fi</w:t>
            </w:r>
            <w:r w:rsidRPr="00F263FE">
              <w:rPr>
                <w:rFonts w:ascii="Book Antiqua" w:hAnsi="Book Antiqua" w:cs="AdvOT140f2bdb"/>
                <w:bCs/>
                <w:lang w:val="en-US"/>
              </w:rPr>
              <w:t>cantly decreased risk of jejunal lesions by 80% (OR</w:t>
            </w:r>
            <w:r w:rsidRPr="00F263FE">
              <w:rPr>
                <w:rFonts w:ascii="Book Antiqua" w:hAnsi="Book Antiqua" w:cs="AdvOT140f2bdb"/>
                <w:bCs/>
                <w:i/>
                <w:iCs/>
                <w:lang w:val="en-US"/>
              </w:rPr>
              <w:t xml:space="preserve"> = </w:t>
            </w:r>
            <w:r w:rsidRPr="00F263FE">
              <w:rPr>
                <w:rFonts w:ascii="Book Antiqua" w:hAnsi="Book Antiqua" w:cs="AdvOT140f2bdb"/>
                <w:bCs/>
                <w:lang w:val="en-US"/>
              </w:rPr>
              <w:t xml:space="preserve">0.21, </w:t>
            </w:r>
            <w:r w:rsidRPr="00F263FE">
              <w:rPr>
                <w:rFonts w:ascii="Book Antiqua" w:hAnsi="Book Antiqua" w:cs="AdvOT140f2bdb"/>
                <w:bCs/>
                <w:i/>
                <w:iCs/>
                <w:lang w:val="en-US"/>
              </w:rPr>
              <w:t xml:space="preserve">P = </w:t>
            </w:r>
            <w:r w:rsidRPr="00F263FE">
              <w:rPr>
                <w:rFonts w:ascii="Book Antiqua" w:hAnsi="Book Antiqua" w:cs="AdvOT140f2bdb"/>
                <w:bCs/>
                <w:lang w:val="en-US"/>
              </w:rPr>
              <w:t>0.002)</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w:t>
            </w:r>
          </w:p>
          <w:p w:rsidR="001D4918" w:rsidRPr="00F263FE" w:rsidRDefault="001D4918" w:rsidP="007742D4">
            <w:pPr>
              <w:autoSpaceDE w:val="0"/>
              <w:autoSpaceDN w:val="0"/>
              <w:adjustRightInd w:val="0"/>
              <w:spacing w:line="360" w:lineRule="auto"/>
              <w:jc w:val="both"/>
              <w:rPr>
                <w:rFonts w:ascii="Book Antiqua" w:hAnsi="Book Antiqua"/>
                <w:bCs/>
                <w:lang w:val="en-US"/>
              </w:rPr>
            </w:pP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Jejunal lesions=sole independent factor associated</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AdvOT140f2bdb"/>
                <w:bCs/>
                <w:lang w:val="en-US"/>
              </w:rPr>
              <w:t xml:space="preserve">with increased risk of clinical relapse (HR = 1.99, </w:t>
            </w:r>
            <w:r w:rsidRPr="00F263FE">
              <w:rPr>
                <w:rFonts w:ascii="Book Antiqua" w:hAnsi="Book Antiqua" w:cs="AdvOT99cbfba5.I"/>
                <w:bCs/>
                <w:i/>
                <w:iCs/>
                <w:lang w:val="en-US"/>
              </w:rPr>
              <w:t xml:space="preserve">P = </w:t>
            </w:r>
            <w:r w:rsidRPr="00F263FE">
              <w:rPr>
                <w:rFonts w:ascii="Book Antiqua" w:hAnsi="Book Antiqua" w:cs="AdvOT140f2bdb"/>
                <w:bCs/>
                <w:lang w:val="en-US"/>
              </w:rPr>
              <w:t>0.02)</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Cotter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{"citationID":"wgKZqS5v","properties":{"formattedCitation":"\\super [82]\\nosupersub{}","plainCitation":"[82]","noteIndex":0},"citationItems":[{"id":2698,"uris":["http://zotero.org/users/3734960/items/N252UL95"],"uri":["http://zotero.org/users/3734960/items/N252UL95"],"itemData":{"id":2698,"type":"article-journal","title":"Tailoring Crohn's disease treatment: the impact of small bowel capsule endoscopy","container-title":"Journal of Crohn's &amp; Colitis","page":"1610-1615","volume":"8","issue":"12","source":"PubMed","abstract":"BACKGROUND AND AIMS: Small bowel capsule endoscopy (SBCE) may detect proximal small bowel lesions that have been previously missed by ileocolonoscopy and small bowel imaging in patients with known ileal and/or colonic Crohn's disease (CD). We aimed to evaluate whether the therapeutic management is influenced by SBCE findings.\nMETHODS: Retrospective single center study. Inclusion of consecutive patients with known non-stricturing and non-penetrating ileal and/or colonic CD, submitted to SBCE to evaluate disease extension and activity, with ≥ 1 year follow-up. Lesions were classified with the Lewis score (LS) as non-significant (LS&lt;135), mild (135≤LS≤790), or moderate-to-severe (LS&gt;790). Therapeutic changes were assessed three months after SBCE.\nRESULTS: Fifty consecutive patients (35±13 years, 52% females) were included. At ileocolonoscopy, disease location was ileal (L1) in 60%, colonic (L2) in 10% and ileocolonic (L3) in 30% of the patients. In 33 patients (66%) SBCE detected significant proximal lesions previously missed by other modalities. The proportion of patients on thiopurines and/or biologics before SBCE was 2/50 (4%); this was significantly higher three months after SBCE, 15/50 (30%), p=0.023. Treatment with thiopurines and/or biologics was started more often in patients with proximal small bowel lesions [13/33 (39%) vs. 1/17 (6%), p=0.011, relative risk (RR) 6.5], particularly when severe (6%, 36% and 45% of patients with non-significant, mild and moderate-to-severe inflammation, respectively).\nCONCLUSIONS: SBCE diagnoses previously undetected lesions and it influences therapeutic management of CD, triggering an earlier introduction of immunomodulators and/or biological therapy.","DOI":"10.1016/j.crohns.2014.02.018","ISSN":"1876-4479","note":"PMID: 24631311","title-short":"Tailoring Crohn's disease treatment","journalAbbreviation":"J Crohns Colitis","language":"eng","author":[{"family":"Cotter","given":"José"},{"family":"Dias de Castro","given":"Francisca"},{"family":"Moreira","given":"Maria João"},{"family":"Rosa","given":"Bruno"}],"issued":{"date-parts":[["2014",12]]}}}],"schema":"https://github.com/citation-style-language/schema/raw/master/csl-citation.json"}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[82]</w:t>
            </w:r>
            <w:r w:rsidRPr="00F263FE">
              <w:rPr>
                <w:rFonts w:ascii="Book Antiqua" w:hAnsi="Book Antiqua"/>
                <w:bCs/>
                <w:lang w:val="en-US"/>
              </w:rPr>
              <w:fldChar w:fldCharType="end"/>
            </w:r>
            <w:r w:rsidRPr="00F263FE">
              <w:rPr>
                <w:rFonts w:ascii="Book Antiqua" w:hAnsi="Book Antiqua"/>
                <w:bCs/>
                <w:lang w:val="en-US"/>
              </w:rPr>
              <w:t>, 2014</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AdvOT140f2bdb"/>
                <w:bCs/>
                <w:lang w:val="en-US"/>
              </w:rPr>
              <w:t xml:space="preserve">Moderate: </w:t>
            </w:r>
          </w:p>
          <w:p w:rsidR="001D4918" w:rsidRPr="00F263FE" w:rsidRDefault="001D4918" w:rsidP="007742D4">
            <w:pPr>
              <w:autoSpaceDE w:val="0"/>
              <w:autoSpaceDN w:val="0"/>
              <w:adjustRightInd w:val="0"/>
              <w:spacing w:line="360" w:lineRule="auto"/>
              <w:jc w:val="both"/>
              <w:rPr>
                <w:rFonts w:ascii="Book Antiqua" w:eastAsia="SabonLTStd-Roman" w:hAnsi="Book Antiqua" w:cs="SabonLTStd-Roman"/>
                <w:bCs/>
                <w:lang w:val="en-US"/>
              </w:rPr>
            </w:pPr>
            <w:r w:rsidRPr="00F263FE">
              <w:rPr>
                <w:rFonts w:ascii="Book Antiqua" w:hAnsi="Book Antiqua" w:cs="AdvOT140f2bdb"/>
                <w:bCs/>
                <w:lang w:val="en-US"/>
              </w:rPr>
              <w:t xml:space="preserve">Lewis score </w:t>
            </w:r>
            <w:r w:rsidRPr="00F263FE">
              <w:rPr>
                <w:rFonts w:ascii="Book Antiqua" w:eastAsia="SabonLTStd-Roman" w:hAnsi="Book Antiqua" w:cs="SabonLTStd-Roman"/>
                <w:bCs/>
                <w:lang w:val="en-US"/>
              </w:rPr>
              <w:t>≥ 135</w:t>
            </w:r>
          </w:p>
          <w:p w:rsidR="001D4918" w:rsidRPr="00F263FE" w:rsidRDefault="001D4918" w:rsidP="007742D4">
            <w:pPr>
              <w:autoSpaceDE w:val="0"/>
              <w:autoSpaceDN w:val="0"/>
              <w:adjustRightInd w:val="0"/>
              <w:spacing w:line="360" w:lineRule="auto"/>
              <w:jc w:val="both"/>
              <w:rPr>
                <w:rFonts w:ascii="Book Antiqua" w:eastAsia="SabonLTStd-Roman" w:hAnsi="Book Antiqua" w:cs="SabonLTStd-Roman"/>
                <w:bCs/>
                <w:lang w:val="en-US"/>
              </w:rPr>
            </w:pPr>
            <w:r w:rsidRPr="00F263FE">
              <w:rPr>
                <w:rFonts w:ascii="Book Antiqua" w:eastAsia="SabonLTStd-Roman" w:hAnsi="Book Antiqua" w:cs="SabonLTStd-Roman"/>
                <w:bCs/>
                <w:lang w:val="en-US"/>
              </w:rPr>
              <w:t>Severe:</w:t>
            </w: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eastAsia="SabonLTStd-Roman" w:hAnsi="Book Antiqua" w:cs="SabonLTStd-Roman"/>
                <w:bCs/>
                <w:lang w:val="en-US"/>
              </w:rPr>
              <w:t>Lewis score &gt; 790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Moderate:</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33/50 (66%)</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Severe: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11/50 (22%)</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AdvTTae86113c"/>
                <w:bCs/>
                <w:lang w:val="en-US"/>
              </w:rPr>
            </w:pPr>
            <w:r w:rsidRPr="00F263FE">
              <w:rPr>
                <w:rFonts w:ascii="Book Antiqua" w:hAnsi="Book Antiqua" w:cs="AdvTTae86113c"/>
                <w:bCs/>
                <w:lang w:val="en-US"/>
              </w:rPr>
              <w:t xml:space="preserve">Proportion of patients on thiopurines and/or biologics increasing from </w:t>
            </w:r>
            <w:r w:rsidRPr="00F263FE">
              <w:rPr>
                <w:rFonts w:ascii="Book Antiqua" w:hAnsi="Book Antiqua" w:cs="AdvTTae86113c"/>
                <w:bCs/>
                <w:lang w:val="en-US"/>
              </w:rPr>
              <w:lastRenderedPageBreak/>
              <w:t xml:space="preserve">2/50 (4%) to 15/50 (30%) after CE, </w:t>
            </w:r>
            <w:r w:rsidRPr="00F263FE">
              <w:rPr>
                <w:rFonts w:ascii="Book Antiqua" w:hAnsi="Book Antiqua" w:cs="AdvTTae86113c"/>
                <w:bCs/>
                <w:i/>
                <w:iCs/>
                <w:lang w:val="en-US"/>
              </w:rPr>
              <w:t xml:space="preserve">P = </w:t>
            </w:r>
            <w:r w:rsidRPr="00F263FE">
              <w:rPr>
                <w:rFonts w:ascii="Book Antiqua" w:hAnsi="Book Antiqua" w:cs="AdvTTae86113c"/>
                <w:bCs/>
                <w:lang w:val="en-US"/>
              </w:rPr>
              <w:t>0.023</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lastRenderedPageBreak/>
              <w:t>Urgesi</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{"citationID":"3XbxPANX","properties":{"formattedCitation":"\\super [41]\\nosupersub{}","plainCitation":"[41]","noteIndex":0},"citationItems":[{"id":2663,"uris":["http://zotero.org/users/3734960/items/DA2EN8DA"],"uri":["http://zotero.org/users/3734960/items/DA2EN8DA"],"itemData":{"id":2663,"type":"article-journal","title":"But how many misunderstood Crohn's disease are revealed \"by chance\" using Capsule Endoscopy in Chronic Recurrent OGIB? Experience of a Single Italian Center and long term follow-up","container-title":"European Review for Medical and Pharmacological Sciences","page":"4553-4557","volume":"19","issue":"23","source":"PubMed","abstract":"OBJECTIVE: The role of capsule endoscopy (CE) in Crohn's disease (CD) has expanded with greater understanding of the technology. The ability of CE to differentiate CD from other causes of inflammation has been questioned. Longitudinal studies are required to assess the long-term impact and significance of CE findings in suspected CD. The aim of this work is to verify in how many misunderstood cases of suspected Crohn's Disease CE was able to identify precociously and \"by chance\" when it is performed for recurrent obscure GI bleeding (OGIB), to evaluate how many of them were later confirmed during a median 24 months follow-up. Moreover, we observed the role of the early diagnosis in changing the clinical management of these patients.\nPATIENTS AND METHODS: A retrospective review was carried out on CE procedures performed for suspected OGIB. 1008 consecutive patients was enrolled and 492 included in the study. Previous investigations such as ileo-colonoscopy and/or previous small bowel imaging were documented. Only patients with at least 6 months of documented follow-up were included. A chart review was undertaken to record CE findings/correlate with subsequent diagnosis and outcome.\nRESULTS: 94/492 (19.1%) patients positive for suspected CD were identified. Follow-up data were available 64/94 (68%). The mean follow-up was 24 months. There was a strong positive correlation between results of CE and subsequent clinical diagnosis. The suspected CD was confirmed in 100% (94/94) of follow-up patients.\nCONCLUSIONS: CE appears able to identify lesions compatible with suspected Crohn's disease otherwise unacknowledged with consequently change in treatment options for the patients.","ISSN":"2284-0729","note":"PMID: 26698252","title-short":"But how many misunderstood Crohn's disease are revealed \"by chance\" using Capsule Endoscopy in Chronic Recurrent OGIB?","journalAbbreviation":"Eur Rev Med Pharmacol Sci","language":"eng","author":[{"family":"Urgesi","given":"R."},{"family":"Cianci","given":"R."},{"family":"Marmo","given":"C."},{"family":"Costamagna","given":"G."},{"family":"Riccioni","given":"M. E."}],"issued":{"date-parts":[["2015",12]]}}}],"schema":"https://github.com/citation-style-language/schema/raw/master/csl-citation.json"}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[41]</w:t>
            </w:r>
            <w:r w:rsidRPr="00F263FE">
              <w:rPr>
                <w:rFonts w:ascii="Book Antiqua" w:hAnsi="Book Antiqua"/>
                <w:bCs/>
                <w:lang w:val="en-US"/>
              </w:rPr>
              <w:fldChar w:fldCharType="end"/>
            </w:r>
            <w:r w:rsidRPr="00F263FE">
              <w:rPr>
                <w:rFonts w:ascii="Book Antiqua" w:hAnsi="Book Antiqua"/>
                <w:bCs/>
                <w:lang w:val="en-US"/>
              </w:rPr>
              <w:t>, 2015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492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 on obscure gastrointestinal bleeding</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 xml:space="preserve">Mucosal fissure, ulcers </w:t>
            </w:r>
            <w:r w:rsidRPr="00F263FE">
              <w:rPr>
                <w:rFonts w:ascii="Book Antiqua" w:hAnsi="Book Antiqua" w:cs="AdvCas540BT-R"/>
                <w:bCs/>
                <w:lang w:val="en-US"/>
              </w:rPr>
              <w:t>of different shape</w:t>
            </w:r>
            <w:r w:rsidRPr="00F263FE">
              <w:rPr>
                <w:rFonts w:ascii="Book Antiqua" w:hAnsi="Book Antiqua" w:cs="Times-Roman"/>
                <w:bCs/>
                <w:lang w:val="en-US"/>
              </w:rPr>
              <w:t xml:space="preserve">, </w:t>
            </w:r>
            <w:proofErr w:type="spellStart"/>
            <w:r w:rsidRPr="00F263FE">
              <w:rPr>
                <w:rFonts w:ascii="Book Antiqua" w:hAnsi="Book Antiqua" w:cs="Times-Roman"/>
                <w:bCs/>
                <w:lang w:val="en-US"/>
              </w:rPr>
              <w:t>cobblestoning</w:t>
            </w:r>
            <w:proofErr w:type="spellEnd"/>
            <w:r w:rsidRPr="00F263FE">
              <w:rPr>
                <w:rFonts w:ascii="Book Antiqua" w:hAnsi="Book Antiqua" w:cs="Times-Roman"/>
                <w:bCs/>
                <w:lang w:val="en-US"/>
              </w:rPr>
              <w:t xml:space="preserve"> mucosa,</w:t>
            </w:r>
          </w:p>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aphthous ulcers,</w:t>
            </w:r>
          </w:p>
          <w:p w:rsidR="001D4918" w:rsidRPr="00F263FE" w:rsidRDefault="001D4918" w:rsidP="007742D4">
            <w:pPr>
              <w:autoSpaceDE w:val="0"/>
              <w:autoSpaceDN w:val="0"/>
              <w:adjustRightInd w:val="0"/>
              <w:spacing w:line="360" w:lineRule="auto"/>
              <w:jc w:val="both"/>
              <w:rPr>
                <w:rFonts w:ascii="Book Antiqua" w:hAnsi="Book Antiqua" w:cs="AdvOT140f2bdb"/>
                <w:bCs/>
                <w:lang w:val="en-US"/>
              </w:rPr>
            </w:pPr>
            <w:r w:rsidRPr="00F263FE">
              <w:rPr>
                <w:rFonts w:ascii="Book Antiqua" w:hAnsi="Book Antiqua" w:cs="Times-Roman"/>
                <w:bCs/>
                <w:lang w:val="en-US"/>
              </w:rPr>
              <w:t>stricture(s), erythema/edema, loss of villi</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94/492 (19.1%) (jejunum, </w:t>
            </w:r>
            <w:r w:rsidRPr="00F263FE">
              <w:rPr>
                <w:rFonts w:ascii="Book Antiqua" w:hAnsi="Book Antiqua"/>
                <w:bCs/>
                <w:i/>
                <w:iCs/>
                <w:lang w:val="en-US"/>
              </w:rPr>
              <w:t xml:space="preserve">n = </w:t>
            </w:r>
            <w:r w:rsidRPr="00F263FE">
              <w:rPr>
                <w:rFonts w:ascii="Book Antiqua" w:hAnsi="Book Antiqua"/>
                <w:bCs/>
                <w:lang w:val="en-US"/>
              </w:rPr>
              <w:t>31)</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64/94 -68%) </w:t>
            </w:r>
            <w:r w:rsidRPr="00F263FE">
              <w:rPr>
                <w:rFonts w:ascii="Book Antiqua" w:hAnsi="Book Antiqua"/>
                <w:bCs/>
                <w:i/>
                <w:iCs/>
                <w:lang w:val="en-US"/>
              </w:rPr>
              <w:t>i.e.,</w:t>
            </w:r>
            <w:r w:rsidRPr="00F263FE">
              <w:rPr>
                <w:rFonts w:ascii="Book Antiqua" w:hAnsi="Book Antiqua"/>
                <w:bCs/>
                <w:lang w:val="en-US"/>
              </w:rPr>
              <w:t xml:space="preserve"> 100% of confirmed CD</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Greener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{"citationID":"mBuB3I1R","properties":{"formattedCitation":"\\super [10]\\nosupersub{}","plainCitation":"[10]","noteIndex":0},"citationItems":[{"id":2658,"uris":["http://zotero.org/users/3734960/items/2NQXT42K"],"uri":["http://zotero.org/users/3734960/items/2NQXT42K"],"itemData":{"id":2658,"type":"article-journal","title":"The Impact of Magnetic Resonance Enterography and Capsule Endoscopy on the Re-classification of Disease in Patients with Known Crohn's Disease: A Prospective Israeli IBD Research Nucleus (IIRN) Study","container-title":"Journal of Crohn's &amp; Colitis","page":"525-531","volume":"10","issue":"5","source":"PubMed","abstract":"BACKGROUND AND AIMS: The classification of Crohn's disease (CD) is usually determined at initial diagnosis and is frequently based on ileocolonoscopic and cross-sectional imaging data. Advanced endoscopic and imaging techniques such as small-bowel video capsule endoscopy (VCE) and magnetic resonance enterography (MRE) may provide additional data regarding disease extent and phenotype. Our aim was to examine whether VCE or MRE performed after the initial diagnosis may alter the original disease classification.\nMETHODS: Consecutive patients with known small-bowel CD in clinical remission or mild disease were prospectively recruited and underwent MRE and VCE (if small-bowel patency was confirmed by a patency capsule (PC). Montreal classifications before and after evaluation were compared.\nRESULTS: Seventy-nine patients underwent MRE and VCE was performed in 56. Previously unrecognized disease locations were detected with VCE and MRE in 51 and 25%, respectively (p &lt; 0.01) and by both modalities combined in 44 patients (55%). Twenty-two patients (27%) were reclassified as having an advanced phenotype (B2/B3). MRE and VCE reclassified the phenotype in 26 and 11% of cases, respectively (p &lt; 0.05). Overall, both modalities combined altered the original Montreal classification in 49/76 patients (64%).\nCONCLUSION: VCE and MRE may lead to reclassification of the original phenotype in a significant percentage of CD patients in remission. VCE was more sensitive for detection of previously unrecognized locations, while MRE was superior for detection of phenotype shift. The described changes in the disease classification may have an important impact on both clinical management and long-term prognosis in these patients.","DOI":"10.1093/ecco-jcc/jjw006","ISSN":"1876-4479","note":"PMID: 26748404\nPMCID: PMC4957453","title-short":"The Impact of Magnetic Resonance Enterography and Capsule Endoscopy on the Re-classification of Disease in Patients with Known Crohn's Disease","journalAbbreviation":"J Crohns Colitis","language":"eng","author":[{"family":"Greener","given":"Tomer"},{"family":"Klang","given":"Eyal"},{"family":"Yablecovitch","given":"Doron"},{"family":"Lahat","given":"Adi"},{"family":"Neuman","given":"Sandra"},{"family":"Levhar","given":"Nina"},{"family":"Avidan","given":"Benjamin"},{"family":"Yanai","given":"Henit"},{"family":"Dotan","given":"Iris"},{"family":"Chowers","given":"Yehuda"},{"family":"Weiss","given":"Batya"},{"family":"Saibil","given":"Fred"},{"family":"Amitai","given":"Marianne M."},{"family":"Ben-Horin","given":"Shomron"},{"family":"Kopylov","given":"Uri"},{"family":"Eliakim","given":"Rami"},{"literal":"Israeli IBD Research Nucleus (IIRN)"}],"issued":{"date-parts":[["2016",5]]}}}],"schema":"https://github.com/citation-style-language/schema/raw/master/csl-citation.json"}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[10]</w:t>
            </w:r>
            <w:r w:rsidRPr="00F263FE">
              <w:rPr>
                <w:rFonts w:ascii="Book Antiqua" w:hAnsi="Book Antiqua"/>
                <w:bCs/>
                <w:lang w:val="en-US"/>
              </w:rPr>
              <w:fldChar w:fldCharType="end"/>
            </w:r>
            <w:r w:rsidRPr="00F263FE">
              <w:rPr>
                <w:rFonts w:ascii="Book Antiqua" w:hAnsi="Book Antiqua"/>
                <w:bCs/>
                <w:lang w:val="en-US"/>
              </w:rPr>
              <w:t>, 2016</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79 </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MRE</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 xml:space="preserve">Lewis score </w:t>
            </w:r>
            <w:r w:rsidRPr="00F263FE">
              <w:rPr>
                <w:rFonts w:ascii="Book Antiqua" w:eastAsia="SabonLTStd-Roman" w:hAnsi="Book Antiqua" w:cs="SabonLTStd-Roman"/>
                <w:bCs/>
                <w:lang w:val="en-US"/>
              </w:rPr>
              <w:t>≥ 135</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cs="Times-Roman"/>
                <w:bCs/>
                <w:lang w:val="en-US"/>
              </w:rPr>
              <w:t xml:space="preserve">Proximal disease location detected by CE in 51% of patients </w:t>
            </w:r>
            <w:r w:rsidRPr="00F263FE">
              <w:rPr>
                <w:rFonts w:ascii="Book Antiqua" w:hAnsi="Book Antiqua" w:cs="Times-Roman"/>
                <w:bCs/>
                <w:i/>
                <w:iCs/>
                <w:lang w:val="en-US"/>
              </w:rPr>
              <w:t>vs</w:t>
            </w:r>
            <w:r w:rsidRPr="00F263FE">
              <w:rPr>
                <w:rFonts w:ascii="Book Antiqua" w:hAnsi="Book Antiqua" w:cs="Times-Roman"/>
                <w:bCs/>
                <w:lang w:val="en-US"/>
              </w:rPr>
              <w:t xml:space="preserve"> 26% by MRE (</w:t>
            </w:r>
            <w:r w:rsidRPr="00F263FE">
              <w:rPr>
                <w:rFonts w:ascii="Book Antiqua" w:hAnsi="Book Antiqua" w:cs="Times-Roman"/>
                <w:bCs/>
                <w:i/>
                <w:iCs/>
                <w:lang w:val="en-US"/>
              </w:rPr>
              <w:t xml:space="preserve">P &lt; </w:t>
            </w:r>
            <w:r w:rsidRPr="00F263FE">
              <w:rPr>
                <w:rFonts w:ascii="Book Antiqua" w:hAnsi="Book Antiqua" w:cs="Times-Roman"/>
                <w:bCs/>
                <w:lang w:val="en-US"/>
              </w:rPr>
              <w:t xml:space="preserve">0.01) (isolated proximal lesions, </w:t>
            </w:r>
            <w:r w:rsidRPr="00F263FE">
              <w:rPr>
                <w:rFonts w:ascii="Book Antiqua" w:hAnsi="Book Antiqua" w:cs="Times-Roman"/>
                <w:bCs/>
                <w:i/>
                <w:iCs/>
                <w:lang w:val="en-US"/>
              </w:rPr>
              <w:t xml:space="preserve">n = </w:t>
            </w:r>
            <w:r w:rsidRPr="00F263FE">
              <w:rPr>
                <w:rFonts w:ascii="Book Antiqua" w:hAnsi="Book Antiqua" w:cs="Times-Roman"/>
                <w:bCs/>
                <w:lang w:val="en-US"/>
              </w:rPr>
              <w:t>9)</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Chao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{"citationID":"pKkWiEt8","properties":{"formattedCitation":"\\super [83]\\nosupersub{}","plainCitation":"[83]","noteIndex":0},"citationItems":[{"id":2696,"uris":["http://zotero.org/users/3734960/items/S2KPLQUQ"],"uri":["http://zotero.org/users/3734960/items/S2KPLQUQ"],"itemData":{"id":2696,"type":"article-journal","title":"Unsuspected Small-Bowel Crohn's Disease in Elderly Patients Diagnosed by Video Capsule Endoscopy","container-title":"Diagnostic and Therapeutic Endoscopy","page":"9416483","volume":"2018","source":"PubMed","abstract":"Background: Video capsule endoscopy (VCE) is increasingly performed among the elderly for obscure bleeding. Our aim was to report on the utility of VCE to uncover unsuspected Crohn's disease (CD) in elderly patients.\nMethods: Retrospective review of VCE performed in elderly patients (≥70</w:instrText>
            </w:r>
            <w:r w:rsidRPr="00F263FE">
              <w:rPr>
                <w:bCs/>
                <w:lang w:val="en-US"/>
              </w:rPr>
              <w:instrText> </w:instrText>
            </w:r>
            <w:r w:rsidRPr="00F263FE">
              <w:rPr>
                <w:rFonts w:ascii="Book Antiqua" w:hAnsi="Book Antiqua"/>
                <w:bCs/>
                <w:lang w:val="en-US"/>
              </w:rPr>
              <w:instrText>y) at a tertiary hospital (2010-2015). All underwent prior negative bidirectional endoscopies. CD diagnosis was based on consistent endoscopic findings, exclusion of other causes, and a Lewis endoscopic score (LS) &gt; 790 (moderate-to-severe inflammation). Those with lower LS (350-790) required histological confirmation. Known IBD cases were excluded.\nResults: 197 VCE were performed (mean age 78; range 70-93). Main indications were iron deficiency anemia (IDA), occult GI bleeding (OGIB), chronic abdominal pain, or diarrhea. Eight (4.1%) were diagnosed as CD based on the aforementioned criteria. Fecal calprotectin (FCP) was elevated in 7/8 (mean 580</w:instrText>
            </w:r>
            <w:r w:rsidRPr="00F263FE">
              <w:rPr>
                <w:bCs/>
                <w:lang w:val="en-US"/>
              </w:rPr>
              <w:instrText> </w:instrText>
            </w:r>
            <w:r w:rsidRPr="00F263FE">
              <w:rPr>
                <w:rFonts w:ascii="Book Antiqua" w:hAnsi="Book Antiqua"/>
                <w:bCs/>
                <w:lang w:val="en-US"/>
              </w:rPr>
              <w:instrText xml:space="preserve">μg/g). Mean LS was 1824. Small-bowel CD detected by VCE led to a change in management in 4/8. One patient had capsule retention secondary to NSAID induced stricture, requiring surgical retrieval.\nConclusions: VCE can be safely performed in the elderly. A proportion of cases may have unsuspected small-bowel CD despite negative endoscopies. FCP was the best screening test. Diagnosis frequently changed management.","DOI":"10.1155/2018/9416483","ISSN":"1070-3608","note":"PMID: 29622900\nPMCID: PMC5830029","journalAbbreviation":"Diagn Ther Endosc","language":"eng","author":[{"family":"Chao","given":"Che-Yung"},{"family":"Duchatellier","given":"Carl Frederic"},{"family":"Seidman","given":"Ernest G."}],"issued":{"date-parts":[["2018"]]}}}],"schema":"https://github.com/citation-style-language/schema/raw/master/csl-citation.json"}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[83]</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197</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 in elderly patients</w:t>
            </w:r>
            <w:r w:rsidRPr="00F263FE">
              <w:rPr>
                <w:rFonts w:ascii="Book Antiqua" w:hAnsi="Book Antiqua"/>
                <w:bCs/>
                <w:vertAlign w:val="superscript"/>
                <w:lang w:val="en-US"/>
              </w:rPr>
              <w:t>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Lewis score &gt; 790</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8/197 (4.1%)</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 xml:space="preserve">4/197 (2.0%) </w:t>
            </w:r>
            <w:r w:rsidRPr="00F263FE">
              <w:rPr>
                <w:rFonts w:ascii="Book Antiqua" w:hAnsi="Book Antiqua"/>
                <w:bCs/>
                <w:i/>
                <w:iCs/>
                <w:lang w:val="en-US"/>
              </w:rPr>
              <w:t>i.e.,</w:t>
            </w:r>
            <w:r w:rsidRPr="00F263FE">
              <w:rPr>
                <w:rFonts w:ascii="Book Antiqua" w:hAnsi="Book Antiqua"/>
                <w:bCs/>
                <w:lang w:val="en-US"/>
              </w:rPr>
              <w:t xml:space="preserve"> 50% of patients with positive CD findings</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Carter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{"citationID":"ccShzKOQ","properties":{"formattedCitation":"\\super [30]\\nosupersub{}","plainCitation":"[30]","noteIndex":0},"citationItems":[{"id":2875,"uris":["http://zotero.org/users/3734960/items/L4THPT2U"],"uri":["http://zotero.org/users/3734960/items/L4THPT2U"],"itemData":{"id":2875,"type":"article-journal","title":"The accuracy of intestinal ultrasound compared with small bowel capsule endoscopy in assessment of suspected Crohn’s disease in patients with negative ileocolonoscopy","container-title":"Therapeutic Advances in Gastroenterology","page":"175628481876590","volume":"11","source":"Crossref","abstract":"Background: Small bowel involvement in Crohn’s disease (CD) is frequently proximal to the ileocecal valve and inaccessible by conventional ileocolonoscopy (IC). Small bowel capsule endoscopy (SBCE) is among the prime modalities for assessment of small bowel disease in these patients. Intestinal ultrasound (IUS) is an accurate bedside fast and low-cost diagnostic modality utilized in CD for both diagnosis and monitoring. The aim of this study was to examine the accuracy of IUS in patients with suspected CD after a negative IC, and to evaluate the correlation of IUS with SBCE, inflammatory biomarkers and other cross-sectional imaging techniques.\nMethods: Prospective single center study in which patients with suspected CD underwent IUS and SBCE examinations within 3 days. IUS results were blindly compared with SBCE that served as the gold standard. A post hoc comparison was performed of IUS and SBCE results and available cross-sectional imaging results (computed tomography or magnetic resonance enterography) as well as inflammatory biomarkers if measured. The study cohort was followed for 1 year. In case of discordance between the IUS and SBCE results, the diagnosis at 1 year was reported.\nResults: Fifty patients were included in the study. The diagnostic yield of both IUS and SBCE for the diagnosis of small bowel CD was 38%. The IUS findings significantly correlated to small bowel inflammation detected by SBCE (r = 0.532, p &lt; 0.001), with fair sensitivity and specificity (72% and 84%). Cross-sectional imaging results significantly correlated to IUS as well (r = 0.46, p = 0.018). Follow up was available in 8 of the 10 cases of discordance between IUS and SBCE. In all of these cases, diagnosis of CD was not fully established at the end of the follow up.\nConclusions: The diagnostic yield of CE and IUS for detection of CD in patients with negative ileocolonoscopy was similar. IUS can be a useful diagnostic tool in suspected CD when IC is negative.","DOI":"10.1177/1756284818765908","ISSN":"1756-2848, 1756-2848","language":"en","author":[{"family":"Carter","given":"Dan"},{"family":"Katz","given":"Lior H."},{"family":"Bardan","given":"Eytan"},{"family":"Salomon","given":"Eti"},{"family":"Goldstein","given":"Shulamit"},{"family":"Ben Horin","given":"Shomron"},{"family":"Kopylov","given":"Uri"},{"family":"Eliakim","given":"Rami"}],"issued":{"date-parts":[["2018",1]]}}}],"schema":"https://github.com/citation-style-language/schema/raw/master/csl-citation.json"}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[30]</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 blinded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Suspected CD</w:t>
            </w:r>
            <w:r w:rsidRPr="00F263FE">
              <w:rPr>
                <w:rFonts w:ascii="Book Antiqua" w:hAnsi="Book Antiqua"/>
                <w:bCs/>
                <w:vertAlign w:val="superscript"/>
                <w:lang w:val="en-US"/>
              </w:rPr>
              <w:t>2</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Intestinal ultrasound</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 xml:space="preserve">Lewis score </w:t>
            </w:r>
            <w:r w:rsidRPr="00F263FE">
              <w:rPr>
                <w:rFonts w:ascii="Book Antiqua" w:eastAsia="SabonLTStd-Roman" w:hAnsi="Book Antiqua" w:cs="SabonLTStd-Roman"/>
                <w:bCs/>
                <w:lang w:val="en-US"/>
              </w:rPr>
              <w:t xml:space="preserve">≥ </w:t>
            </w:r>
            <w:r w:rsidRPr="00F263FE">
              <w:rPr>
                <w:rFonts w:ascii="Book Antiqua" w:hAnsi="Book Antiqua" w:cs="Times-Roman"/>
                <w:bCs/>
                <w:lang w:val="en-US"/>
              </w:rPr>
              <w:t>135</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Similar diagnostic yield: 19/50 (38%) for SBCE and intestinal ultrasound, </w:t>
            </w:r>
            <w:r w:rsidRPr="00F263FE">
              <w:rPr>
                <w:rFonts w:ascii="Book Antiqua" w:hAnsi="Book Antiqua" w:cs="PlantinStd"/>
                <w:bCs/>
                <w:lang w:val="en-US"/>
              </w:rPr>
              <w:lastRenderedPageBreak/>
              <w:t xml:space="preserve">correlation </w:t>
            </w:r>
            <w:r w:rsidRPr="00F263FE">
              <w:rPr>
                <w:rFonts w:ascii="Book Antiqua" w:hAnsi="Book Antiqua" w:cs="PlantinStd-Italic"/>
                <w:bCs/>
                <w:i/>
                <w:iCs/>
                <w:lang w:val="en-US"/>
              </w:rPr>
              <w:t xml:space="preserve">r = </w:t>
            </w:r>
            <w:r w:rsidRPr="00F263FE">
              <w:rPr>
                <w:rFonts w:ascii="Book Antiqua" w:hAnsi="Book Antiqua" w:cs="PlantinStd"/>
                <w:bCs/>
                <w:lang w:val="en-US"/>
              </w:rPr>
              <w:t xml:space="preserve">0.532, </w:t>
            </w:r>
            <w:r w:rsidRPr="00F263FE">
              <w:rPr>
                <w:rFonts w:ascii="Book Antiqua" w:hAnsi="Book Antiqua" w:cs="PlantinStd-Italic"/>
                <w:bCs/>
                <w:i/>
                <w:iCs/>
                <w:lang w:val="en-US"/>
              </w:rPr>
              <w:t xml:space="preserve">P &lt; </w:t>
            </w:r>
            <w:r w:rsidRPr="00F263FE">
              <w:rPr>
                <w:rFonts w:ascii="Book Antiqua" w:hAnsi="Book Antiqua" w:cs="PlantinStd"/>
                <w:bCs/>
                <w:lang w:val="en-US"/>
              </w:rPr>
              <w:t>0.001</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lastRenderedPageBreak/>
              <w:t>-</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Sorrentino and Nguyen</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{"citationID":"22M3GLxI","properties":{"formattedCitation":"\\super [32]\\nosupersub{}","plainCitation":"[32]","noteIndex":0},"citationItems":[{"id":2660,"uris":["http://zotero.org/users/3734960/items/SFKPYNKQ"],"uri":["http://zotero.org/users/3734960/items/SFKPYNKQ"],"itemData":{"id":2660,"type":"article-journal","title":"Clinically Significant Small Bowel Crohn's Disease Might Only be Detected by Capsule Endoscopy","container-title":"Inflammatory Bowel Diseases","page":"1566-1574","volume":"24","issue":"7","source":"PubMed","abstract":"Background: In Crohn's disease (CD) a small bowel study-in addition to colonoscopy-is considered necessary for diagnosis/staging. In this study we re-examined the role of capsule endoscopy (CE), colonoscopy, imaging tests [magnetic resonance enterography/computed tomographic enterography (MRE/CTE)], and inflammatory markers [fecal lactoferrin and C-reactive protein (FL/CRP)] in CD patients who had undergone intestinal resection and in those who never had surgery.\nMethods: In this retrospective study 43 consecutive patients underwent CE because of staging/symptoms unexplained by colonoscopy/imaging. We compared colonoscopy, imaging, and FL/CRP with CE and evaluated the impact of the latter on clinical management and outcomes.\nResults: In patients who never had surgery imaging was negative with a positive CE in 8/15 (53%) of cases. Colonoscopy was insufficient for disease staging in 10/20 (50%) cases. CRP and FL were normal with a positive CE in 35% and 28% of cases, respectively. CE findings changed the management in 6/20 (30%) of cases, with 83% showing clinical/biochemical improvement after up to 15 months of follow-up. In postoperative patients CE was positive with negative imaging in 6/8 (75%) cases. Colonoscopy was insufficient for disease staging in 13/22 (59%) cases. CRP and FL were normal in 42% and 31.8% of patients with positive CE. In these patients CE findings changed the management in 12/23 (52%) cases with 83% of them showing clinical/biochemical improvement after up to 18 months of follow-up.\nConclusions: Omitting CE from diagnostic/staging algorithms in CD tends to underdiagnose clinically significant small bowel lesions, thus impacting on patients' management and outcomes. 10.1093/ibd/izy048_video1izy048.video15794820403001.","DOI":"10.1093/ibd/izy048","ISSN":"1536-4844","note":"PMID: 29893950","journalAbbreviation":"Inflamm. Bowel Dis.","language":"eng","author":[{"family":"Sorrentino","given":"Dario"},{"family":"Nguyen","given":"Vu Q."}],"issued":{"date-parts":[["2018",6,8]]}}}],"schema":"https://github.com/citation-style-language/schema/raw/master/csl-citation.json"}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[32]</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43</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(20 never had surgery, 23 in the post-operative setting)</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Ileocolono-scopy</w:t>
            </w:r>
            <w:proofErr w:type="spellEnd"/>
            <w:r w:rsidRPr="00F263FE">
              <w:rPr>
                <w:rFonts w:ascii="Book Antiqua" w:hAnsi="Book Antiqua"/>
                <w:bCs/>
                <w:lang w:val="en-US"/>
              </w:rPr>
              <w:t xml:space="preserve"> and MRE/CTE and CRP/FL </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Any ulcerations or multiple erosions</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Surgery-naïve group: 13/20 (65%) </w:t>
            </w:r>
            <w:r w:rsidRPr="00F263FE">
              <w:rPr>
                <w:rFonts w:ascii="Book Antiqua" w:hAnsi="Book Antiqua" w:cs="Times-Roman"/>
                <w:bCs/>
                <w:i/>
                <w:iCs/>
                <w:lang w:val="en-US"/>
              </w:rPr>
              <w:t>vs</w:t>
            </w:r>
            <w:r w:rsidRPr="00F263FE">
              <w:rPr>
                <w:rFonts w:ascii="Book Antiqua" w:hAnsi="Book Antiqua" w:cs="Times-Roman"/>
                <w:bCs/>
                <w:lang w:val="en-US"/>
              </w:rPr>
              <w:t xml:space="preserve"> 8/20 (40%) at </w:t>
            </w:r>
            <w:proofErr w:type="spellStart"/>
            <w:r w:rsidRPr="00F263FE">
              <w:rPr>
                <w:rFonts w:ascii="Book Antiqua" w:hAnsi="Book Antiqua" w:cs="Times-Roman"/>
                <w:bCs/>
                <w:lang w:val="en-US"/>
              </w:rPr>
              <w:t>ileocolonoscopy</w:t>
            </w:r>
            <w:proofErr w:type="spellEnd"/>
            <w:r w:rsidRPr="00F263FE">
              <w:rPr>
                <w:rFonts w:ascii="Book Antiqua" w:hAnsi="Book Antiqua" w:cs="Times-Roman"/>
                <w:bCs/>
                <w:lang w:val="en-US"/>
              </w:rPr>
              <w:t xml:space="preserve"> </w:t>
            </w:r>
            <w:r w:rsidRPr="00F263FE">
              <w:rPr>
                <w:rFonts w:ascii="Book Antiqua" w:hAnsi="Book Antiqua" w:cs="Times-Roman"/>
                <w:bCs/>
                <w:i/>
                <w:iCs/>
                <w:lang w:val="en-US"/>
              </w:rPr>
              <w:t>vs</w:t>
            </w:r>
            <w:r w:rsidRPr="00F263FE">
              <w:rPr>
                <w:rFonts w:ascii="Book Antiqua" w:hAnsi="Book Antiqua" w:cs="Times-Roman"/>
                <w:bCs/>
                <w:lang w:val="en-US"/>
              </w:rPr>
              <w:t xml:space="preserve"> 9/20</w:t>
            </w:r>
            <w:r w:rsidRPr="00F263FE">
              <w:rPr>
                <w:rFonts w:ascii="Book Antiqua" w:hAnsi="Book Antiqua" w:cs="Times-Roman"/>
                <w:bCs/>
                <w:vertAlign w:val="superscript"/>
                <w:lang w:val="en-US"/>
              </w:rPr>
              <w:t>6</w:t>
            </w:r>
            <w:r w:rsidRPr="00F263FE">
              <w:rPr>
                <w:rFonts w:ascii="Book Antiqua" w:hAnsi="Book Antiqua" w:cs="Times-Roman"/>
                <w:bCs/>
                <w:lang w:val="en-US"/>
              </w:rPr>
              <w:t xml:space="preserve"> (45%) at imaging </w:t>
            </w:r>
            <w:r w:rsidRPr="00F263FE">
              <w:rPr>
                <w:rFonts w:ascii="Book Antiqua" w:hAnsi="Book Antiqua" w:cs="Times-Roman"/>
                <w:bCs/>
                <w:i/>
                <w:iCs/>
                <w:lang w:val="en-US"/>
              </w:rPr>
              <w:t>vs</w:t>
            </w:r>
            <w:r w:rsidRPr="00F263FE">
              <w:rPr>
                <w:rFonts w:ascii="Book Antiqua" w:hAnsi="Book Antiqua" w:cs="Times-Roman"/>
                <w:bCs/>
                <w:lang w:val="en-US"/>
              </w:rPr>
              <w:t xml:space="preserve"> 12/20</w:t>
            </w:r>
            <w:r w:rsidRPr="00F263FE">
              <w:rPr>
                <w:rFonts w:ascii="Book Antiqua" w:hAnsi="Book Antiqua" w:cs="Times-Roman"/>
                <w:bCs/>
                <w:vertAlign w:val="superscript"/>
                <w:lang w:val="en-US"/>
              </w:rPr>
              <w:t>7</w:t>
            </w:r>
            <w:r w:rsidRPr="00F263FE">
              <w:rPr>
                <w:rFonts w:ascii="Book Antiqua" w:hAnsi="Book Antiqua" w:cs="Times-Roman"/>
                <w:bCs/>
                <w:lang w:val="en-US"/>
              </w:rPr>
              <w:t xml:space="preserve"> (60%) at biomarkers</w:t>
            </w:r>
          </w:p>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Post-operative group: 20/23 (87%) </w:t>
            </w:r>
            <w:r w:rsidRPr="00F263FE">
              <w:rPr>
                <w:rFonts w:ascii="Book Antiqua" w:hAnsi="Book Antiqua" w:cs="Times-Roman"/>
                <w:bCs/>
                <w:i/>
                <w:iCs/>
                <w:lang w:val="en-US"/>
              </w:rPr>
              <w:t>vs</w:t>
            </w:r>
            <w:r w:rsidRPr="00F263FE">
              <w:rPr>
                <w:rFonts w:ascii="Book Antiqua" w:hAnsi="Book Antiqua" w:cs="Times-Roman"/>
                <w:bCs/>
                <w:lang w:val="en-US"/>
              </w:rPr>
              <w:t xml:space="preserve"> 16/23</w:t>
            </w:r>
            <w:r w:rsidRPr="00F263FE">
              <w:rPr>
                <w:rFonts w:ascii="Book Antiqua" w:hAnsi="Book Antiqua" w:cs="AdvCas540BT-R"/>
                <w:bCs/>
                <w:vertAlign w:val="superscript"/>
                <w:lang w:val="en-US"/>
              </w:rPr>
              <w:t>8</w:t>
            </w:r>
            <w:r w:rsidRPr="00F263FE">
              <w:rPr>
                <w:rFonts w:ascii="Book Antiqua" w:hAnsi="Book Antiqua" w:cs="Times-Roman"/>
                <w:bCs/>
                <w:lang w:val="en-US"/>
              </w:rPr>
              <w:t xml:space="preserve"> (70%) at </w:t>
            </w:r>
            <w:proofErr w:type="spellStart"/>
            <w:r w:rsidRPr="00F263FE">
              <w:rPr>
                <w:rFonts w:ascii="Book Antiqua" w:hAnsi="Book Antiqua" w:cs="Times-Roman"/>
                <w:bCs/>
                <w:lang w:val="en-US"/>
              </w:rPr>
              <w:t>ileocolonoscopy</w:t>
            </w:r>
            <w:proofErr w:type="spellEnd"/>
            <w:r w:rsidRPr="00F263FE">
              <w:rPr>
                <w:rFonts w:ascii="Book Antiqua" w:hAnsi="Book Antiqua" w:cs="Times-Roman"/>
                <w:bCs/>
                <w:lang w:val="en-US"/>
              </w:rPr>
              <w:t xml:space="preserve"> </w:t>
            </w:r>
            <w:r w:rsidRPr="00F263FE">
              <w:rPr>
                <w:rFonts w:ascii="Book Antiqua" w:hAnsi="Book Antiqua" w:cs="Times-Roman"/>
                <w:bCs/>
                <w:i/>
                <w:iCs/>
                <w:lang w:val="en-US"/>
              </w:rPr>
              <w:t>vs</w:t>
            </w:r>
            <w:r w:rsidRPr="00F263FE">
              <w:rPr>
                <w:rFonts w:ascii="Book Antiqua" w:hAnsi="Book Antiqua" w:cs="Times-Roman"/>
                <w:bCs/>
                <w:lang w:val="en-US"/>
              </w:rPr>
              <w:t xml:space="preserve"> 0/23</w:t>
            </w:r>
            <w:r w:rsidRPr="00F263FE">
              <w:rPr>
                <w:rFonts w:ascii="Book Antiqua" w:hAnsi="Book Antiqua" w:cs="Times-Roman"/>
                <w:bCs/>
                <w:vertAlign w:val="superscript"/>
                <w:lang w:val="en-US"/>
              </w:rPr>
              <w:t>9</w:t>
            </w:r>
            <w:r w:rsidRPr="00F263FE">
              <w:rPr>
                <w:rFonts w:ascii="Book Antiqua" w:hAnsi="Book Antiqua" w:cs="Times-Roman"/>
                <w:bCs/>
                <w:lang w:val="en-US"/>
              </w:rPr>
              <w:t xml:space="preserve"> (0%) at imaging </w:t>
            </w:r>
            <w:r w:rsidRPr="00F263FE">
              <w:rPr>
                <w:rFonts w:ascii="Book Antiqua" w:hAnsi="Book Antiqua" w:cs="Times-Roman"/>
                <w:bCs/>
                <w:i/>
                <w:iCs/>
                <w:lang w:val="en-US"/>
              </w:rPr>
              <w:t>vs</w:t>
            </w:r>
            <w:r w:rsidRPr="00F263FE">
              <w:rPr>
                <w:rFonts w:ascii="Book Antiqua" w:hAnsi="Book Antiqua" w:cs="Times-Roman"/>
                <w:bCs/>
                <w:lang w:val="en-US"/>
              </w:rPr>
              <w:t xml:space="preserve"> 13/23 (57%) at biomarkers</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Surgery-naïve group: 6/20 (30%)</w:t>
            </w:r>
          </w:p>
          <w:p w:rsidR="001D4918" w:rsidRPr="00F263FE" w:rsidRDefault="001D4918" w:rsidP="007742D4">
            <w:pPr>
              <w:autoSpaceDE w:val="0"/>
              <w:autoSpaceDN w:val="0"/>
              <w:adjustRightInd w:val="0"/>
              <w:spacing w:line="360" w:lineRule="auto"/>
              <w:jc w:val="both"/>
              <w:rPr>
                <w:rFonts w:ascii="Book Antiqua" w:hAnsi="Book Antiqua" w:cs="Times-Roman"/>
                <w:bCs/>
                <w:lang w:val="en-US"/>
              </w:rPr>
            </w:pP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Post-operative group: 12/23 (52%)</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Hansel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{"citationID":"OLvEvIpA","properties":{"formattedCitation":"\\super [84]\\nosupersub{}","plainCitation":"[84]","noteIndex":0},"citationItems":[{"id":2659,"uris":["http://zotero.org/users/3734960/items/QM8UUJPD"],"uri":["http://zotero.org/users/3734960/items/QM8UUJPD"],"itemData":{"id":2659,"type":"article-journal","title":"Clinical Benefit of Capsule Endoscopy in Crohn's Disease: Impact on Patient Management and Prevalence of Proximal Small Bowel Involvement","container-title":"Inflammatory Bowel Diseases","page":"1582-1588","volume":"24","issue":"7","source":"PubMed","abstract":"Background: Ileocolonoscopy and computed tomography (CT) or magnetic resonance (MR) enterography (CTE/MRE) are utilized to evaluate patients with small bowel (SB) Crohn's disease (CD). The purpose of our study was to estimate the impact of capsule endoscopy (CE) on patient management after clinical assessment, ileocolonoscopy, and CTE/MRE.\nMethods: We prospectively analyzed 50 adult CD patients without strictures at clinically indicated ileocolonoscopy and CTE/MRE exams. Providers completed pre- and post-CE clinical management questionnaires. Pre-CE questionnaire assessed likelihood of active SBCD and management plan using a 5-point level of confidence (LOC) scales. Post-CE questionnaire assessed alteration in management plans and contribution of CE findings to these changes. A change of ≥2 on LOC scale was considered clinically meaningful.\nResults: Of the 50 patients evaluated (60% females), median age was 38 years, median disease duration was 3 years, and median Crohn's Disease Activity Index (CDAI) score was 238 points. All CTE/MRE studies were negative for proximal disease. CE detected proximal disease in 14 patients (28%) with a median Lewis score of 215 points. CE findings altered management in 17 cases (34%). The most frequent provider-perceived benefits of CE were addition of new medication (29%) and exclusion of active SB mucosal disease (24%).\nConclusion: CE is a safe imaging modality that alters clinical management in patients with established SBCD by adding incremental information not available at ileocolonoscopy and cross-sectional enterography.","DOI":"10.1093/ibd/izy050","ISSN":"1536-4844","note":"PMID: 29788055","title-short":"Clinical Benefit of Capsule Endoscopy in Crohn's Disease","journalAbbreviation":"Inflamm. Bowel Dis.","language":"eng","author":[{"family":"Hansel","given":"Stephanie L."},{"family":"McCurdy","given":"Jeffrey D."},{"family":"Barlow","given":"John M."},{"family":"Fidler","given":"Jeff"},{"family":"Fletcher","given":"Joel G."},{"family":"Becker","given":"Brenda"},{"family":"Prabhu","given":"Nayantara Coelho"},{"family":"Faubion","given":"William A."},{"family":"Hanson","given":"Karen A."},{"family":"Kane","given":"Sunanda V."},{"family":"Kisiel","given":"John B."},{"family":"Loftus","given":"Edward V."},{"family":"Papadakis","given":"Konstantinos A."},{"family":"Pardi","given":"Darrell S."},{"family":"Raffals","given":"Laura E."},{"family":"Schoenoff","given":"Shayla"},{"family":"Tremaine","given":"William J."},{"family":"Bruining","given":"David H."}],"issued":{"date-parts":[["2018",6,8]]}}}],"schema":"https://github.com/citation-style-language/schema/raw/master/csl-citation.json"}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[84]</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50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with normal imaging</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Diffuse erythema and edema, linear or circumferential</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ulceration(s), ≥ 3 aphthous ulcers,</w:t>
            </w:r>
          </w:p>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bCs/>
                <w:lang w:val="en-US"/>
              </w:rPr>
              <w:t>or stenosis</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14/50 (28%) with proximal SB lesions (duodenum, jejunum)</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17/50 (34%)</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González-Suárez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{"citationID":"6DaseRh5","properties":{"formattedCitation":"\\super [33]\\nosupersub{}","plainCitation":"[33]","noteIndex":0},"citationItems":[{"id":2656,"uris":["http://zotero.org/users/3734960/items/FBX684SV"],"uri":["http://zotero.org/users/3734960/items/FBX684SV"],"itemData":{"id":2656,"type":"article-journal","title":"Comparison of Capsule Endoscopy and Magnetic Resonance Enterography for the Assessment of Small Bowel Lesions in Crohn's Disease","container-title":"Inflammatory Bowel Diseases","page":"775-780","volume":"24","issue":"4","source":"PubMed","abstract":"Background and Aims: Diagnostic yield of Small Bowel Capsule Endoscopy (SBCE) for the assessment of small bowel (SB) lesions is higher than radiologic imaging techniques. However, magnetic resonance enterography (MRE) data are scarce and inconclusive. Colon Capsule Endoscopy (CCE) is a new capsule modality. The primary aim of our study was to compare MRE and capsule endoscopy (CE) for the assessment of Crohn's disease (CD). The secondary objectives were to compare the diagnostic accuracy of both CE modalities and changes in Montreal classification after each examination.\nMethods: We included 47 patients with established (n = 32) or suspected CD (n = 15). MRE was performed first to rule out strictures. In patients with a suspected stricture by MRE, an Agile Patency Capsule was performed. SB disease activity was measured by MaRIA score (MRE) and Lewis Index (CE).\nResults: SB lesions were found in 36 of47 patients with CE and in 21 of47 patients with MRE (76.6% vs 44.7%, P = 0.001). Jejunal inflammation was detected by CE in 31.9% of patients and by MRE in 6.4% of patients (15/47 vs 3/47; P = 0.03); lesions in ileum were detected in 57.4% of patients by CE, and in 21.3% of patients by MRE (27/ 47 vs 10/ 47; P = 0.04). Finally, in terminal ileum, CE showed lesions in 68.1% (32/47) of patients, whereas MRE detected lesions in 38.3% (18/ 47 patients), (P = 0.001). The original Montreal classification was changed in 53.1% of patients (25/ 47) based on CE findings and in 12.7% of patients (6/47) based on MRE findings (P &lt; 0.05).\nConclusions: In our cohort CE was significantly superior to MRE for detecting SB lesions, mainly superficial and proximal lesions. CE is useful for a appropriate patients' classification according to Montreal classification.","DOI":"10.1093/ibd/izx107","ISSN":"1536-4844","note":"PMID: 29506048","journalAbbreviation":"Inflamm. Bowel Dis.","language":"eng","author":[{"family":"González-Suárez","given":"Begoña"},{"family":"Rodriguez","given":"Sonia"},{"family":"Ricart","given":"Elena"},{"family":"Ordás","given":"Ingrid"},{"family":"Rimola","given":"Jordi"},{"family":"Díaz-González","given":"Álvaro"},{"family":"Romero","given":"Cristina"},{"family":"Miguel","given":"Cristina Rodríguez","non-dropping-particle":"de"},{"family":"Jáuregui","given":"Arantxa"},{"family":"Araujo","given":"Isis K."},{"family":"Ramirez","given":"Anna"},{"family":"Gallego","given":"Marta"},{"family":"Fernández-Esparrach","given":"Gloria"},{"family":"Ginés","given":"Ángels"},{"family":"Sendino","given":"Oriol"},{"family":"Llach","given":"Josep"},{"family":"Panés","given":"Julian"}],"issued":{"date-parts":[["2018"]],"season":"19"}}}],"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[33]</w:t>
            </w:r>
            <w:r w:rsidRPr="00F263FE">
              <w:rPr>
                <w:rFonts w:ascii="Book Antiqua" w:hAnsi="Book Antiqua"/>
                <w:bCs/>
                <w:lang w:val="en-US"/>
              </w:rPr>
              <w:fldChar w:fldCharType="end"/>
            </w:r>
            <w:r w:rsidRPr="00F263FE">
              <w:rPr>
                <w:rFonts w:ascii="Book Antiqua" w:hAnsi="Book Antiqua"/>
                <w:bCs/>
                <w:lang w:val="en-US"/>
              </w:rPr>
              <w:t>, 2018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47</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Known CD (</w:t>
            </w:r>
            <w:r w:rsidRPr="00F263FE">
              <w:rPr>
                <w:rFonts w:ascii="Book Antiqua" w:hAnsi="Book Antiqua"/>
                <w:bCs/>
                <w:i/>
                <w:iCs/>
                <w:lang w:val="en-US"/>
              </w:rPr>
              <w:t xml:space="preserve">n = </w:t>
            </w:r>
            <w:r w:rsidRPr="00F263FE">
              <w:rPr>
                <w:rFonts w:ascii="Book Antiqua" w:hAnsi="Book Antiqua"/>
                <w:bCs/>
                <w:lang w:val="en-US"/>
              </w:rPr>
              <w:t>32) or suspected (</w:t>
            </w:r>
            <w:r w:rsidRPr="00F263FE">
              <w:rPr>
                <w:rFonts w:ascii="Book Antiqua" w:hAnsi="Book Antiqua"/>
                <w:bCs/>
                <w:i/>
                <w:iCs/>
                <w:lang w:val="en-US"/>
              </w:rPr>
              <w:t xml:space="preserve">n = </w:t>
            </w:r>
            <w:r w:rsidRPr="00F263FE">
              <w:rPr>
                <w:rFonts w:ascii="Book Antiqua" w:hAnsi="Book Antiqua"/>
                <w:bCs/>
                <w:lang w:val="en-US"/>
              </w:rPr>
              <w:t>15) CD</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MRE</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cs="Times-Roman"/>
                <w:bCs/>
                <w:lang w:val="en-US"/>
              </w:rPr>
              <w:t xml:space="preserve">Lewis score </w:t>
            </w:r>
            <w:r w:rsidRPr="00F263FE">
              <w:rPr>
                <w:rFonts w:ascii="Book Antiqua" w:eastAsia="SabonLTStd-Roman" w:hAnsi="Book Antiqua" w:cs="SabonLTStd-Roman"/>
                <w:bCs/>
                <w:lang w:val="en-US"/>
              </w:rPr>
              <w:t xml:space="preserve">≥ </w:t>
            </w:r>
            <w:r w:rsidRPr="00F263FE">
              <w:rPr>
                <w:rFonts w:ascii="Book Antiqua" w:hAnsi="Book Antiqua" w:cs="Times-Roman"/>
                <w:bCs/>
                <w:lang w:val="en-US"/>
              </w:rPr>
              <w:t>135</w:t>
            </w:r>
          </w:p>
        </w:tc>
        <w:tc>
          <w:tcPr>
            <w:tcW w:w="0" w:type="auto"/>
            <w:shd w:val="clear" w:color="auto" w:fill="auto"/>
          </w:tcPr>
          <w:p w:rsidR="001D4918" w:rsidRPr="00F263FE" w:rsidRDefault="001D4918" w:rsidP="007742D4">
            <w:pPr>
              <w:spacing w:line="360" w:lineRule="auto"/>
              <w:jc w:val="both"/>
              <w:rPr>
                <w:rFonts w:ascii="Book Antiqua" w:hAnsi="Book Antiqua" w:cs="Times-Roman"/>
                <w:bCs/>
                <w:lang w:val="en-US"/>
              </w:rPr>
            </w:pPr>
            <w:r w:rsidRPr="00F263FE">
              <w:rPr>
                <w:rFonts w:ascii="Book Antiqua" w:hAnsi="Book Antiqua" w:cs="Times-Roman"/>
                <w:bCs/>
                <w:lang w:val="en-US"/>
              </w:rPr>
              <w:t xml:space="preserve">36/47 (76.6%) </w:t>
            </w:r>
            <w:r w:rsidRPr="00F263FE">
              <w:rPr>
                <w:rFonts w:ascii="Book Antiqua" w:hAnsi="Book Antiqua" w:cs="Times-Roman"/>
                <w:bCs/>
                <w:i/>
                <w:iCs/>
                <w:lang w:val="en-US"/>
              </w:rPr>
              <w:t>vs</w:t>
            </w:r>
            <w:r w:rsidRPr="00F263FE">
              <w:rPr>
                <w:rFonts w:ascii="Book Antiqua" w:hAnsi="Book Antiqua" w:cs="Times-Roman"/>
                <w:bCs/>
                <w:lang w:val="en-US"/>
              </w:rPr>
              <w:t xml:space="preserve"> 21/47 (44.7%) at MRE, </w:t>
            </w:r>
            <w:r w:rsidRPr="00F263FE">
              <w:rPr>
                <w:rFonts w:ascii="Book Antiqua" w:hAnsi="Book Antiqua" w:cs="Times-Roman"/>
                <w:bCs/>
                <w:i/>
                <w:iCs/>
                <w:lang w:val="en-US"/>
              </w:rPr>
              <w:t xml:space="preserve">P = </w:t>
            </w:r>
            <w:r w:rsidRPr="00F263FE">
              <w:rPr>
                <w:rFonts w:ascii="Book Antiqua" w:hAnsi="Book Antiqua" w:cs="Times-Roman"/>
                <w:bCs/>
                <w:lang w:val="en-US"/>
              </w:rPr>
              <w:t xml:space="preserve">0.001, of which jejunal lesions: </w:t>
            </w:r>
            <w:r w:rsidRPr="00F263FE">
              <w:rPr>
                <w:rFonts w:ascii="Book Antiqua" w:hAnsi="Book Antiqua" w:cs="Times-Roman"/>
                <w:bCs/>
                <w:lang w:val="en-US"/>
              </w:rPr>
              <w:lastRenderedPageBreak/>
              <w:t xml:space="preserve">15/47 (31.9%) </w:t>
            </w:r>
            <w:r w:rsidRPr="00F263FE">
              <w:rPr>
                <w:rFonts w:ascii="Book Antiqua" w:hAnsi="Book Antiqua" w:cs="Times-Roman"/>
                <w:bCs/>
                <w:i/>
                <w:iCs/>
                <w:lang w:val="en-US"/>
              </w:rPr>
              <w:t>vs</w:t>
            </w:r>
            <w:r w:rsidRPr="00F263FE">
              <w:rPr>
                <w:rFonts w:ascii="Book Antiqua" w:hAnsi="Book Antiqua" w:cs="Times-Roman"/>
                <w:bCs/>
                <w:lang w:val="en-US"/>
              </w:rPr>
              <w:t xml:space="preserve"> 3/47 (6.4%), </w:t>
            </w:r>
            <w:r w:rsidRPr="00F263FE">
              <w:rPr>
                <w:rFonts w:ascii="Book Antiqua" w:hAnsi="Book Antiqua" w:cs="Times-Roman"/>
                <w:bCs/>
                <w:i/>
                <w:iCs/>
                <w:lang w:val="en-US"/>
              </w:rPr>
              <w:t xml:space="preserve">P = </w:t>
            </w:r>
            <w:r w:rsidRPr="00F263FE">
              <w:rPr>
                <w:rFonts w:ascii="Book Antiqua" w:hAnsi="Book Antiqua" w:cs="Times-Roman"/>
                <w:bCs/>
                <w:lang w:val="en-US"/>
              </w:rPr>
              <w:t>0.02</w:t>
            </w:r>
          </w:p>
        </w:tc>
        <w:tc>
          <w:tcPr>
            <w:tcW w:w="3000" w:type="dxa"/>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lastRenderedPageBreak/>
              <w:t>-</w:t>
            </w:r>
          </w:p>
        </w:tc>
      </w:tr>
      <w:tr w:rsidR="001D4918" w:rsidRPr="00F263FE" w:rsidTr="005C39B1">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Xavier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{"citationID":"YHwfX05K","properties":{"formattedCitation":"\\super [34]\\nosupersub{}","plainCitation":"[34]","noteIndex":0},"citationItems":[{"id":2647,"uris":["http://zotero.org/users/3734960/items/ETJP79IK"],"uri":["http://zotero.org/users/3734960/items/ETJP79IK"],"itemData":{"id":2647,"type":"article-journal","title":"Perianal Crohn’s disease – association with significant inflammatory activity in proximal small bowel segments","container-title":"Scandinavian Journal of Gastroenterology","page":"426-429","volume":"53","issue":"4","source":"Crossref","DOI":"10.1080/00365521.2018.1437928","ISSN":"0036-5521, 1502-7708","language":"en","author":[{"family":"Xavier","given":"Sofia"},{"family":"Cúrdia Gonçalves","given":"Tiago"},{"family":"Dias de Castro","given":"Francisca"},{"family":"Magalhães","given":"Joana"},{"family":"Rosa","given":"Bruno"},{"family":"Moreira","given":"Maria João"},{"family":"Cotter","given":"José"}],"issued":{"date-parts":[["2018",4,3]]}}}],"schema":"https://github.com/citation-style-language/schema/raw/master/csl-citation.json"}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lang w:val="en-US"/>
              </w:rPr>
              <w:t>[34]</w:t>
            </w:r>
            <w:r w:rsidRPr="00F263FE">
              <w:rPr>
                <w:rFonts w:ascii="Book Antiqua" w:hAnsi="Book Antiqua"/>
                <w:bCs/>
                <w:lang w:val="en-US"/>
              </w:rPr>
              <w:fldChar w:fldCharType="end"/>
            </w:r>
            <w:r w:rsidRPr="00F263FE">
              <w:rPr>
                <w:rFonts w:ascii="Book Antiqua" w:hAnsi="Book Antiqua"/>
                <w:bCs/>
                <w:lang w:val="en-US"/>
              </w:rPr>
              <w:t>, 2018</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71</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Perianal CD (</w:t>
            </w:r>
            <w:r w:rsidRPr="00F263FE">
              <w:rPr>
                <w:rFonts w:ascii="Book Antiqua" w:hAnsi="Book Antiqua"/>
                <w:bCs/>
                <w:i/>
                <w:iCs/>
                <w:lang w:val="en-US"/>
              </w:rPr>
              <w:t xml:space="preserve">n = </w:t>
            </w:r>
            <w:r w:rsidRPr="00F263FE">
              <w:rPr>
                <w:rFonts w:ascii="Book Antiqua" w:hAnsi="Book Antiqua"/>
                <w:bCs/>
                <w:lang w:val="en-US"/>
              </w:rPr>
              <w:t>17) and non-perianal CD (</w:t>
            </w:r>
            <w:r w:rsidRPr="00F263FE">
              <w:rPr>
                <w:rFonts w:ascii="Book Antiqua" w:hAnsi="Book Antiqua"/>
                <w:bCs/>
                <w:i/>
                <w:iCs/>
                <w:lang w:val="en-US"/>
              </w:rPr>
              <w:t xml:space="preserve">n = </w:t>
            </w:r>
            <w:r w:rsidRPr="00F263FE">
              <w:rPr>
                <w:rFonts w:ascii="Book Antiqua" w:hAnsi="Book Antiqua"/>
                <w:bCs/>
                <w:lang w:val="en-US"/>
              </w:rPr>
              <w:t>54)</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Villous edema, erosions, ulcers or stenosis</w:t>
            </w:r>
          </w:p>
        </w:tc>
        <w:tc>
          <w:tcPr>
            <w:tcW w:w="0" w:type="auto"/>
            <w:tcBorders>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Perianal CD: 94.1% </w:t>
            </w:r>
            <w:r w:rsidRPr="00F263FE">
              <w:rPr>
                <w:rFonts w:ascii="Book Antiqua" w:hAnsi="Book Antiqua"/>
                <w:bCs/>
                <w:i/>
                <w:iCs/>
                <w:lang w:val="en-US"/>
              </w:rPr>
              <w:t>vs</w:t>
            </w:r>
            <w:r w:rsidRPr="00F263FE">
              <w:rPr>
                <w:rFonts w:ascii="Book Antiqua" w:hAnsi="Book Antiqua"/>
                <w:bCs/>
                <w:lang w:val="en-US"/>
              </w:rPr>
              <w:t xml:space="preserve"> 66.6% in non-perianal CD (</w:t>
            </w:r>
            <w:r w:rsidRPr="00F263FE">
              <w:rPr>
                <w:rFonts w:ascii="Book Antiqua" w:hAnsi="Book Antiqua"/>
                <w:bCs/>
                <w:i/>
                <w:iCs/>
                <w:lang w:val="en-US"/>
              </w:rPr>
              <w:t xml:space="preserve">P = </w:t>
            </w:r>
            <w:r w:rsidRPr="00F263FE">
              <w:rPr>
                <w:rFonts w:ascii="Book Antiqua" w:hAnsi="Book Antiqua"/>
                <w:bCs/>
                <w:lang w:val="en-US"/>
              </w:rPr>
              <w:t xml:space="preserve">0.03), with more frequently a Lewis Score </w:t>
            </w:r>
            <w:r w:rsidRPr="00F263FE">
              <w:rPr>
                <w:rFonts w:ascii="Book Antiqua" w:eastAsia="SabonLTStd-Roman" w:hAnsi="Book Antiqua" w:cs="SabonLTStd-Roman"/>
                <w:bCs/>
                <w:lang w:val="en-US"/>
              </w:rPr>
              <w:t xml:space="preserve">≥ </w:t>
            </w:r>
            <w:r w:rsidRPr="00F263FE">
              <w:rPr>
                <w:rFonts w:ascii="Book Antiqua" w:hAnsi="Book Antiqua" w:cs="Times-Roman"/>
                <w:bCs/>
                <w:lang w:val="en-US"/>
              </w:rPr>
              <w:t>135</w:t>
            </w:r>
            <w:r w:rsidRPr="00F263FE">
              <w:rPr>
                <w:rFonts w:ascii="Book Antiqua" w:hAnsi="Book Antiqua"/>
                <w:bCs/>
                <w:lang w:val="en-US"/>
              </w:rPr>
              <w:t xml:space="preserve">: 94.1% </w:t>
            </w:r>
            <w:r w:rsidRPr="00F263FE">
              <w:rPr>
                <w:rFonts w:ascii="Book Antiqua" w:hAnsi="Book Antiqua"/>
                <w:bCs/>
                <w:i/>
                <w:iCs/>
                <w:lang w:val="en-US"/>
              </w:rPr>
              <w:t>vs</w:t>
            </w:r>
            <w:r w:rsidRPr="00F263FE">
              <w:rPr>
                <w:rFonts w:ascii="Book Antiqua" w:hAnsi="Book Antiqua"/>
                <w:bCs/>
                <w:lang w:val="en-US"/>
              </w:rPr>
              <w:t xml:space="preserve"> 64.8% (</w:t>
            </w:r>
            <w:r w:rsidRPr="00F263FE">
              <w:rPr>
                <w:rFonts w:ascii="Book Antiqua" w:hAnsi="Book Antiqua"/>
                <w:bCs/>
                <w:i/>
                <w:iCs/>
                <w:lang w:val="en-US"/>
              </w:rPr>
              <w:t xml:space="preserve">P = </w:t>
            </w:r>
            <w:r w:rsidRPr="00F263FE">
              <w:rPr>
                <w:rFonts w:ascii="Book Antiqua" w:hAnsi="Book Antiqua"/>
                <w:bCs/>
                <w:lang w:val="en-US"/>
              </w:rPr>
              <w:t xml:space="preserve">0.03), and higher Lewis scores in the first and second </w:t>
            </w:r>
            <w:proofErr w:type="spellStart"/>
            <w:r w:rsidRPr="00F263FE">
              <w:rPr>
                <w:rFonts w:ascii="Book Antiqua" w:hAnsi="Book Antiqua"/>
                <w:bCs/>
                <w:lang w:val="en-US"/>
              </w:rPr>
              <w:t>tertiles</w:t>
            </w:r>
            <w:proofErr w:type="spellEnd"/>
            <w:r w:rsidRPr="00F263FE">
              <w:rPr>
                <w:rFonts w:ascii="Book Antiqua" w:hAnsi="Book Antiqua"/>
                <w:bCs/>
                <w:lang w:val="en-US"/>
              </w:rPr>
              <w:t xml:space="preserve"> but not in the third </w:t>
            </w:r>
            <w:proofErr w:type="spellStart"/>
            <w:r w:rsidRPr="00F263FE">
              <w:rPr>
                <w:rFonts w:ascii="Book Antiqua" w:hAnsi="Book Antiqua"/>
                <w:bCs/>
                <w:lang w:val="en-US"/>
              </w:rPr>
              <w:t>tertile</w:t>
            </w:r>
            <w:proofErr w:type="spellEnd"/>
          </w:p>
        </w:tc>
        <w:tc>
          <w:tcPr>
            <w:tcW w:w="3000" w:type="dxa"/>
            <w:tcBorders>
              <w:bottom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cs="Times-Roman"/>
                <w:bCs/>
                <w:lang w:val="en-US"/>
              </w:rPr>
            </w:pPr>
            <w:r w:rsidRPr="00F263FE">
              <w:rPr>
                <w:rFonts w:ascii="Book Antiqua" w:hAnsi="Book Antiqua" w:cs="Times-Roman"/>
                <w:bCs/>
                <w:lang w:val="en-US"/>
              </w:rPr>
              <w:t>-</w:t>
            </w:r>
          </w:p>
        </w:tc>
      </w:tr>
      <w:tr w:rsidR="001D4918" w:rsidRPr="00F263FE" w:rsidTr="005C39B1">
        <w:tc>
          <w:tcPr>
            <w:tcW w:w="16585" w:type="dxa"/>
            <w:gridSpan w:val="8"/>
            <w:tcBorders>
              <w:top w:val="dotDash" w:sz="8" w:space="0" w:color="auto"/>
              <w:bottom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Reclassification of inflammatory bowel disease type</w:t>
            </w:r>
          </w:p>
        </w:tc>
      </w:tr>
      <w:tr w:rsidR="001D4918" w:rsidRPr="00F263FE" w:rsidTr="005C39B1">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Maunoury</w:t>
            </w:r>
            <w:proofErr w:type="spellEnd"/>
            <w:r w:rsidRPr="00F263FE">
              <w:rPr>
                <w:rFonts w:ascii="Book Antiqua" w:hAnsi="Book Antiqua"/>
                <w:bCs/>
                <w:lang w:val="en-US"/>
              </w:rPr>
              <w:t xml:space="preserve">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{"citationID":"Q2AuREgf","properties":{"formattedCitation":"\\super [35]\\nosupersub{}","plainCitation":"[35]","noteIndex":0},"citationItems":[{"id":2677,"uris":["http://zotero.org/users/3734960/items/M36PM4P9"],"uri":["http://zotero.org/users/3734960/items/M36PM4P9"],"itemData":{"id":2677,"type":"article-journal","title":"Value of wireless capsule endoscopy in patients with indeterminate colitis (inflammatory bowel disease type unclassified)","container-title":"Inflammatory Bowel Diseases","page":"152-155","volume":"13","issue":"2","source":"PubMed","abstract":"BACKGROUND: Wireless capsule endoscopy (WCE) can identify small bowel mucosal lesions not seen with other imaging modalities. This technique can therefore play an important diagnostic role in the evaluation of patients with inflammatory bowel disease type unclassified (IBDU). We report on a multicentric study whose objective was to evaluate the value of WCE to increase diagnostic accuracy in categorizing IBDU.\nMETHODS: Thirty patients with IBDU and negative serology were included. WCE was performed with a standard Pillcam capsule. Outcome measures were classified as suggestive of Crohn's disease (CD) when -3 ulcerations were present.\nRESULTS: WCE displayed endoscopic features suggestive for CD in 5 patients. In 6 other patients, WCE was negative, but repeated ileocolonoscopy with biopsies performed during follow-up evaluation revealed CD in 5 and ulcerative colitis (UC) in 1 patient. UC was found in a seventh case at colectomy performed just after WCE. Eighteen patients remained with a diagnosis of IBDU 16 months on average after WCE.\nCONCLUSIONS: WCE is a potentially clinically useful technique for categorizing a subgroup of patients with IBDU, although negative WCE does not exclude further diagnosis of CD. Patients with negative WCE who remain IBDU at follow-up evaluation may belong to an original subgroup of IBD.","DOI":"10.1002/ibd.20060","ISSN":"1078-0998","note":"PMID: 17206697","journalAbbreviation":"Inflamm. Bowel Dis.","language":"eng","author":[{"family":"Maunoury","given":"Vincent"},{"family":"Savoye","given":"Guillaume"},{"family":"Bourreille","given":"Arnaud"},{"family":"Bouhnik","given":"Yoram"},{"family":"Jarry","given":"Marine"},{"family":"Sacher-Huvelin","given":"Sylvie"},{"family":"Ben Soussan","given":"Emmanuel"},{"family":"Lerebours","given":"Eric"},{"family":"Galmiche","given":"Jean-Paul"},{"family":"Colombel","given":"Jean-Frederic"}],"issued":{"date-parts":[["2007",2]]}}}],"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[35]</w:t>
            </w:r>
            <w:r w:rsidRPr="00F263FE">
              <w:rPr>
                <w:rFonts w:ascii="Book Antiqua" w:hAnsi="Book Antiqua"/>
                <w:bCs/>
                <w:lang w:val="en-US"/>
              </w:rPr>
              <w:fldChar w:fldCharType="end"/>
            </w:r>
            <w:r w:rsidRPr="00F263FE">
              <w:rPr>
                <w:rFonts w:ascii="Book Antiqua" w:hAnsi="Book Antiqua"/>
                <w:bCs/>
                <w:lang w:val="en-US"/>
              </w:rPr>
              <w:t>, 2007</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30</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IBD-U with negative ASCA/ANCA and normal SBFT</w:t>
            </w: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NA</w:t>
            </w:r>
          </w:p>
        </w:tc>
        <w:tc>
          <w:tcPr>
            <w:tcW w:w="0" w:type="auto"/>
            <w:tcBorders>
              <w:top w:val="dotDash" w:sz="8" w:space="0" w:color="auto"/>
            </w:tcBorders>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≥3 ulcerations</w:t>
            </w:r>
          </w:p>
          <w:p w:rsidR="001D4918" w:rsidRPr="00F263FE" w:rsidRDefault="001D4918" w:rsidP="007742D4">
            <w:pPr>
              <w:spacing w:line="360" w:lineRule="auto"/>
              <w:jc w:val="both"/>
              <w:rPr>
                <w:rFonts w:ascii="Book Antiqua" w:hAnsi="Book Antiqua"/>
                <w:bCs/>
                <w:lang w:val="en-US"/>
              </w:rPr>
            </w:pPr>
          </w:p>
        </w:tc>
        <w:tc>
          <w:tcPr>
            <w:tcW w:w="0" w:type="auto"/>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5/30 (16.7%) (jejunum, </w:t>
            </w:r>
            <w:r w:rsidRPr="00F263FE">
              <w:rPr>
                <w:rFonts w:ascii="Book Antiqua" w:hAnsi="Book Antiqua"/>
                <w:bCs/>
                <w:i/>
                <w:iCs/>
                <w:lang w:val="en-US"/>
              </w:rPr>
              <w:t xml:space="preserve">n = </w:t>
            </w:r>
            <w:r w:rsidRPr="00F263FE">
              <w:rPr>
                <w:rFonts w:ascii="Book Antiqua" w:hAnsi="Book Antiqua"/>
                <w:bCs/>
                <w:lang w:val="en-US"/>
              </w:rPr>
              <w:t>4)</w:t>
            </w:r>
          </w:p>
        </w:tc>
        <w:tc>
          <w:tcPr>
            <w:tcW w:w="3000" w:type="dxa"/>
            <w:tcBorders>
              <w:top w:val="dotDash" w:sz="8"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w:t>
            </w:r>
          </w:p>
        </w:tc>
      </w:tr>
      <w:tr w:rsidR="001D4918" w:rsidRPr="00F263FE" w:rsidTr="005C39B1">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Lopes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{"citationID":"uZui4DpK","properties":{"formattedCitation":"\\super [36]\\nosupersub{}","plainCitation":"[36]","noteIndex":0},"citationItems":[{"id":2672,"uris":["http://zotero.org/users/3734960/items/V5XEHCWF"],"uri":["http://zotero.org/users/3734960/items/V5XEHCWF"],"itemData":{"id":2672,"type":"article-journal","title":"Capsule endoscopy in inflammatory bowel disease type unclassified and indeterminate colitis serologically negative","container-title":"Inflammatory Bowel Diseases","page":"1663-1668","volume":"16","issue":"10","source":"PubMed","abstract":"BACKGROUND: The value of capsule endoscopy in the setting of inflammatory bowel disease type unclassified (IBDU) and indeterminate colitis (IC) remains obscure. The aim was to evaluate the clinical impact of capsule endoscopy on IBDU/IC patients with negative serology.\nMETHODS: Eighteen patients with long-standing IBDU (n = 14) and IC (n = 4) were enrolled to undergo a capsule endoscopy and then followed prospectively. Lesions considered diagnostic of Crohn's disease (CD) were 4 or more erosions/ulcers and/or a stricture. The median follow-up time after capsule endoscopy was 32 ± 11 months (23-54 months).\nRESULTS: Total enteroscopy was possible in all patients. In 2 patients the examination was normal (Group 1). In 9 patients subtle findings were observed (Group 2): focal villi denudation (n = 1) and fewer than 4 erosions/ulcers (n = 8). In 7 patients, 4 or more erosions/ulcers were detected (Group 3), leading to a diagnosis of CD. However, their treatment was not reassessed on the basis of the capsule findings. Until now, a definitive diagnosis has been achieved in 2 additional patients: 1 from Group 1 (ulcerative colitis) and another patient from Group 2 (CD), who began infliximab infusions. Nine patients remained indeterminate at follow-up.\nCONCLUSIONS: Although capsule endoscopy enabled the diagnosis of CD in 7 patients, in none of them was the clinical management changed. Moreover, a change in therapy due to a diagnosis of CD was made for only 1 patient, who presented nonspecific findings. Our results suggest that capsule findings are not helpful in the work-up of these patients.","DOI":"10.1002/ibd.21249","ISSN":"1536-4844","note":"PMID: 20848457","journalAbbreviation":"Inflamm. Bowel Dis.","language":"eng","author":[{"family":"Lopes","given":"Sandra"},{"family":"Figueiredo","given":"Pedro"},{"family":"Portela","given":"Francisco"},{"family":"Freire","given":"Paulo"},{"family":"Almeida","given":"Nuno"},{"family":"Lérias","given":"Clotilde"},{"family":"Gouveia","given":"Hermano"},{"family":"Leitão","given":"Maximino Correia"}],"issued":{"date-parts":[["2010",10]]}}}],"schema":"https://github.com/citation-style-language/schema/raw/master/csl-citation.json"}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[36]</w:t>
            </w:r>
            <w:r w:rsidRPr="00F263FE">
              <w:rPr>
                <w:rFonts w:ascii="Book Antiqua" w:hAnsi="Book Antiqua"/>
                <w:bCs/>
                <w:lang w:val="en-US"/>
              </w:rPr>
              <w:fldChar w:fldCharType="end"/>
            </w:r>
            <w:r w:rsidRPr="00F263FE">
              <w:rPr>
                <w:rFonts w:ascii="Book Antiqua" w:hAnsi="Book Antiqua"/>
                <w:bCs/>
                <w:lang w:val="en-US"/>
              </w:rPr>
              <w:t>, 2010</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Prospective</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18</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IBD-U (</w:t>
            </w:r>
            <w:r w:rsidRPr="00F263FE">
              <w:rPr>
                <w:rFonts w:ascii="Book Antiqua" w:hAnsi="Book Antiqua"/>
                <w:bCs/>
                <w:i/>
                <w:iCs/>
                <w:lang w:val="en-US"/>
              </w:rPr>
              <w:t xml:space="preserve">n = </w:t>
            </w:r>
            <w:r w:rsidRPr="00F263FE">
              <w:rPr>
                <w:rFonts w:ascii="Book Antiqua" w:hAnsi="Book Antiqua"/>
                <w:bCs/>
                <w:lang w:val="en-US"/>
              </w:rPr>
              <w:t>14) or IC (</w:t>
            </w:r>
            <w:r w:rsidRPr="00F263FE">
              <w:rPr>
                <w:rFonts w:ascii="Book Antiqua" w:hAnsi="Book Antiqua"/>
                <w:bCs/>
                <w:i/>
                <w:iCs/>
                <w:lang w:val="en-US"/>
              </w:rPr>
              <w:t xml:space="preserve">n = </w:t>
            </w:r>
            <w:r w:rsidRPr="00F263FE">
              <w:rPr>
                <w:rFonts w:ascii="Book Antiqua" w:hAnsi="Book Antiqua"/>
                <w:bCs/>
                <w:lang w:val="en-US"/>
              </w:rPr>
              <w:t>4) with negative ASCA/ANCA</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shd w:val="clear" w:color="auto" w:fill="auto"/>
          </w:tcPr>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hAnsi="Book Antiqua"/>
                <w:bCs/>
                <w:lang w:val="en-US"/>
              </w:rPr>
              <w:t>Diagnostic if ≥ 4 erosions/ulcers and/or stricture(s)</w:t>
            </w:r>
          </w:p>
          <w:p w:rsidR="001D4918" w:rsidRPr="00F263FE" w:rsidRDefault="001D4918" w:rsidP="007742D4">
            <w:pPr>
              <w:autoSpaceDE w:val="0"/>
              <w:autoSpaceDN w:val="0"/>
              <w:adjustRightInd w:val="0"/>
              <w:spacing w:line="360" w:lineRule="auto"/>
              <w:jc w:val="both"/>
              <w:rPr>
                <w:rFonts w:ascii="Book Antiqua" w:eastAsia="MTSY" w:hAnsi="Book Antiqua" w:cs="Times-Roman"/>
                <w:bCs/>
                <w:lang w:val="en-US"/>
              </w:rPr>
            </w:pPr>
            <w:r w:rsidRPr="00F263FE">
              <w:rPr>
                <w:rFonts w:ascii="Book Antiqua" w:hAnsi="Book Antiqua"/>
                <w:bCs/>
                <w:lang w:val="en-US"/>
              </w:rPr>
              <w:t xml:space="preserve">Suspicious if </w:t>
            </w:r>
            <w:r w:rsidRPr="00F263FE">
              <w:rPr>
                <w:rFonts w:ascii="Book Antiqua" w:eastAsia="MTSY" w:hAnsi="Book Antiqua" w:cs="MTSY"/>
                <w:bCs/>
                <w:lang w:val="en-US"/>
              </w:rPr>
              <w:t>&lt; 4</w:t>
            </w:r>
            <w:r w:rsidRPr="00F263FE">
              <w:rPr>
                <w:rFonts w:ascii="Book Antiqua" w:eastAsia="MTSY" w:hAnsi="Book Antiqua" w:cs="Times-Roman"/>
                <w:bCs/>
                <w:lang w:val="en-US"/>
              </w:rPr>
              <w:t xml:space="preserve"> and/or focal</w:t>
            </w:r>
          </w:p>
          <w:p w:rsidR="001D4918" w:rsidRPr="00F263FE" w:rsidRDefault="001D4918" w:rsidP="007742D4">
            <w:pPr>
              <w:autoSpaceDE w:val="0"/>
              <w:autoSpaceDN w:val="0"/>
              <w:adjustRightInd w:val="0"/>
              <w:spacing w:line="360" w:lineRule="auto"/>
              <w:jc w:val="both"/>
              <w:rPr>
                <w:rFonts w:ascii="Book Antiqua" w:hAnsi="Book Antiqua"/>
                <w:bCs/>
                <w:lang w:val="en-US"/>
              </w:rPr>
            </w:pPr>
            <w:r w:rsidRPr="00F263FE">
              <w:rPr>
                <w:rFonts w:ascii="Book Antiqua" w:eastAsia="MTSY" w:hAnsi="Book Antiqua" w:cs="Times-Roman"/>
                <w:bCs/>
                <w:lang w:val="en-US"/>
              </w:rPr>
              <w:t>villi denudation</w:t>
            </w:r>
          </w:p>
        </w:tc>
        <w:tc>
          <w:tcPr>
            <w:tcW w:w="0" w:type="auto"/>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Diagnostic: 7/18 (38.9%)</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Suspicious: 9/18 (50.0%)</w:t>
            </w:r>
          </w:p>
          <w:p w:rsidR="001D4918" w:rsidRPr="00F263FE" w:rsidRDefault="001D4918" w:rsidP="007742D4">
            <w:pPr>
              <w:spacing w:line="360" w:lineRule="auto"/>
              <w:jc w:val="both"/>
              <w:rPr>
                <w:rFonts w:ascii="Book Antiqua" w:hAnsi="Book Antiqua"/>
                <w:bCs/>
                <w:lang w:val="en-US"/>
              </w:rPr>
            </w:pP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Jejunum and proximal ileum lesions: 8/18 (44.4%)</w:t>
            </w:r>
          </w:p>
        </w:tc>
        <w:tc>
          <w:tcPr>
            <w:tcW w:w="3000" w:type="dxa"/>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0 (0%)</w:t>
            </w:r>
          </w:p>
        </w:tc>
      </w:tr>
      <w:tr w:rsidR="001D4918" w:rsidRPr="00F263FE" w:rsidTr="005C39B1">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lastRenderedPageBreak/>
              <w:t xml:space="preserve">Long </w:t>
            </w:r>
            <w:r w:rsidRPr="00F263FE">
              <w:rPr>
                <w:rFonts w:ascii="Book Antiqua" w:hAnsi="Book Antiqua"/>
                <w:bCs/>
                <w:i/>
                <w:iCs/>
                <w:lang w:val="en-US"/>
              </w:rPr>
              <w:t>et al</w:t>
            </w:r>
            <w:r w:rsidRPr="00F263FE">
              <w:rPr>
                <w:rFonts w:ascii="Book Antiqua" w:hAnsi="Book Antiqua"/>
                <w:bCs/>
                <w:lang w:val="en-US"/>
              </w:rPr>
              <w:fldChar w:fldCharType="begin"/>
            </w:r>
            <w:r w:rsidRPr="00F263FE">
              <w:rPr>
                <w:rFonts w:ascii="Book Antiqua" w:hAnsi="Book Antiqua"/>
                <w:bCs/>
                <w:lang w:val="en-US"/>
              </w:rPr>
              <w:instrText xml:space="preserve"> ADDIN ZOTERO_ITEM CSL_CITATION {"citationID":"6rmbp3RQ","properties":{"formattedCitation":"\\super [37]\\nosupersub{}","plainCitation":"[37]","noteIndex":0},"citationItems":[{"id":2657,"uris":["http://zotero.org/users/3734960/items/DQ99LEMS"],"uri":["http://zotero.org/users/3734960/items/DQ99LEMS"],"itemData":{"id":2657,"type":"article-journal","title":"Impact of capsule endoscopy on management of inflammatory bowel disease: a single tertiary care center experience","container-title":"Inflammatory Bowel Diseases","page":"1855-1862","volume":"17","issue":"9","source":"PubMed","abstract":"BACKGROUND: Capsule endoscopy (CE) is performed to assess inflammatory bowel disease (IBD). We aimed to define the results of CE in subtypes of IBD and to determine whether CE results in management changes.\nMETHODS: A retrospective cohort study was performed of all CEs for IBD at a tertiary care center from 2003-2009. Descriptive statistics were used to compare IBD-specific medications, surgeries, and imaging studies in the 3 months prior and 3 months after CE.\nRESULTS: Of 907 CEs performed from 2003-2009, 128 were for an indication of symptomatic IBD and 124 capsules left the stomach (86 for Crohn's disease [CD], 15 for indeterminate colitis [IC], 23 for pouchitis). Only 22.1% of CEs done for CD were normal, as compared to 53.3% for IC and 34.8% for pouchitis. Severe findings in CD consisted of multiple aphthae/ulcers (22.1%), stenosis (8.1%), and stenosis with immediate retention (17.4%). In CD, 61.6% had a change in medication in the 3 months after the CE, with 39.5% initiating a new IBD medication, most commonly budesonide or corticosteroids. In the 3 months following CE, 12.8% of patients with CD underwent surgery. Severe findings on CE in patients with CD, as compared to no/minimal findings, resulted in significant differences in medication changes (73.2% versus 51.1%, P = 0.04), addition of medications (58.5% versus 22.2%, P &lt; 0.01), and surgeries (21.9% versus 4.4%, P = 0.01).\nCONCLUSIONS: CE results in management changes in the majority of cases of symptomatic IBD, regardless of the subtype of IBD.","DOI":"10.1002/ibd.21571","ISSN":"1536-4844","note":"PMID: 21830264\nPMCID: PMC3116981","title-short":"Impact of capsule endoscopy on management of inflammatory bowel disease","journalAbbreviation":"Inflamm. Bowel Dis.","language":"eng","author":[{"family":"Long","given":"Millie D."},{"family":"Barnes","given":"Edward"},{"family":"Isaacs","given":"Kim"},{"family":"Morgan","given":"Douglas"},{"family":"Herfarth","given":"Hans H."}],"issued":{"date-parts":[["2011",9]]}}}],"schema":"https://github.com/citation-style-language/schema/raw/master/csl-citation.json"} </w:instrText>
            </w:r>
            <w:r w:rsidRPr="00F263FE">
              <w:rPr>
                <w:rFonts w:ascii="Book Antiqua" w:hAnsi="Book Antiqua"/>
                <w:bCs/>
                <w:lang w:val="en-US"/>
              </w:rPr>
              <w:fldChar w:fldCharType="separate"/>
            </w:r>
            <w:r w:rsidRPr="00F263FE">
              <w:rPr>
                <w:rFonts w:ascii="Book Antiqua" w:hAnsi="Book Antiqua"/>
                <w:bCs/>
                <w:vertAlign w:val="superscript"/>
              </w:rPr>
              <w:t>[37]</w:t>
            </w:r>
            <w:r w:rsidRPr="00F263FE">
              <w:rPr>
                <w:rFonts w:ascii="Book Antiqua" w:hAnsi="Book Antiqua"/>
                <w:bCs/>
                <w:lang w:val="en-US"/>
              </w:rPr>
              <w:fldChar w:fldCharType="end"/>
            </w:r>
            <w:r w:rsidRPr="00F263FE">
              <w:rPr>
                <w:rFonts w:ascii="Book Antiqua" w:hAnsi="Book Antiqua"/>
                <w:bCs/>
                <w:lang w:val="en-US"/>
              </w:rPr>
              <w:t>, 2011</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Retrospective</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124</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CD (</w:t>
            </w:r>
            <w:r w:rsidRPr="00F263FE">
              <w:rPr>
                <w:rFonts w:ascii="Book Antiqua" w:hAnsi="Book Antiqua"/>
                <w:bCs/>
                <w:i/>
                <w:iCs/>
                <w:lang w:val="en-US"/>
              </w:rPr>
              <w:t xml:space="preserve">n = </w:t>
            </w:r>
            <w:r w:rsidRPr="00F263FE">
              <w:rPr>
                <w:rFonts w:ascii="Book Antiqua" w:hAnsi="Book Antiqua"/>
                <w:bCs/>
                <w:lang w:val="en-US"/>
              </w:rPr>
              <w:t>86) or IC (</w:t>
            </w:r>
            <w:r w:rsidRPr="00F263FE">
              <w:rPr>
                <w:rFonts w:ascii="Book Antiqua" w:hAnsi="Book Antiqua"/>
                <w:bCs/>
                <w:i/>
                <w:iCs/>
                <w:lang w:val="en-US"/>
              </w:rPr>
              <w:t xml:space="preserve">n = </w:t>
            </w:r>
            <w:r w:rsidRPr="00F263FE">
              <w:rPr>
                <w:rFonts w:ascii="Book Antiqua" w:hAnsi="Book Antiqua"/>
                <w:bCs/>
                <w:lang w:val="en-US"/>
              </w:rPr>
              <w:t xml:space="preserve">15) or </w:t>
            </w:r>
            <w:proofErr w:type="spellStart"/>
            <w:r w:rsidRPr="00F263FE">
              <w:rPr>
                <w:rFonts w:ascii="Book Antiqua" w:hAnsi="Book Antiqua"/>
                <w:bCs/>
                <w:lang w:val="en-US"/>
              </w:rPr>
              <w:t>pouchitis</w:t>
            </w:r>
            <w:proofErr w:type="spellEnd"/>
            <w:r w:rsidRPr="00F263FE">
              <w:rPr>
                <w:rFonts w:ascii="Book Antiqua" w:hAnsi="Book Antiqua"/>
                <w:bCs/>
                <w:lang w:val="en-US"/>
              </w:rPr>
              <w:t xml:space="preserve"> (</w:t>
            </w:r>
            <w:r w:rsidRPr="00F263FE">
              <w:rPr>
                <w:rFonts w:ascii="Book Antiqua" w:hAnsi="Book Antiqua"/>
                <w:bCs/>
                <w:i/>
                <w:iCs/>
                <w:lang w:val="en-US"/>
              </w:rPr>
              <w:t xml:space="preserve">n = </w:t>
            </w:r>
            <w:r w:rsidRPr="00F263FE">
              <w:rPr>
                <w:rFonts w:ascii="Book Antiqua" w:hAnsi="Book Antiqua"/>
                <w:bCs/>
                <w:lang w:val="en-US"/>
              </w:rPr>
              <w:t>23)</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NA</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Erythema, </w:t>
            </w:r>
            <w:r w:rsidRPr="00F263FE">
              <w:rPr>
                <w:rFonts w:ascii="Book Antiqua" w:hAnsi="Book Antiqua" w:cs="TimesNewRomanPSMT"/>
                <w:bCs/>
                <w:lang w:val="en-US"/>
              </w:rPr>
              <w:t xml:space="preserve">few aphthae/ulcers, </w:t>
            </w:r>
            <w:r w:rsidRPr="00F263FE">
              <w:rPr>
                <w:rFonts w:ascii="Book Antiqua" w:hAnsi="Book Antiqua"/>
                <w:bCs/>
                <w:lang w:val="en-US"/>
              </w:rPr>
              <w:t xml:space="preserve">multiple aphthae/ulcers, stenosis </w:t>
            </w:r>
          </w:p>
        </w:tc>
        <w:tc>
          <w:tcPr>
            <w:tcW w:w="0" w:type="auto"/>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CD: 67/86 (77.9%)</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IC: 7/15 (46.7%)</w:t>
            </w:r>
          </w:p>
          <w:p w:rsidR="001D4918" w:rsidRPr="00F263FE" w:rsidRDefault="001D4918" w:rsidP="007742D4">
            <w:pPr>
              <w:spacing w:line="360" w:lineRule="auto"/>
              <w:jc w:val="both"/>
              <w:rPr>
                <w:rFonts w:ascii="Book Antiqua" w:hAnsi="Book Antiqua"/>
                <w:bCs/>
                <w:lang w:val="en-US"/>
              </w:rPr>
            </w:pPr>
            <w:proofErr w:type="spellStart"/>
            <w:r w:rsidRPr="00F263FE">
              <w:rPr>
                <w:rFonts w:ascii="Book Antiqua" w:hAnsi="Book Antiqua"/>
                <w:bCs/>
                <w:lang w:val="en-US"/>
              </w:rPr>
              <w:t>Pouchitis</w:t>
            </w:r>
            <w:proofErr w:type="spellEnd"/>
            <w:r w:rsidRPr="00F263FE">
              <w:rPr>
                <w:rFonts w:ascii="Book Antiqua" w:hAnsi="Book Antiqua"/>
                <w:bCs/>
                <w:lang w:val="en-US"/>
              </w:rPr>
              <w:t>: 15/23 (65.2%)</w:t>
            </w:r>
          </w:p>
        </w:tc>
        <w:tc>
          <w:tcPr>
            <w:tcW w:w="3000" w:type="dxa"/>
            <w:tcBorders>
              <w:bottom w:val="single" w:sz="4" w:space="0" w:color="auto"/>
            </w:tcBorders>
            <w:shd w:val="clear" w:color="auto" w:fill="auto"/>
          </w:tcPr>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Medication: </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CD: 34/86 (39.5%)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IC: 6/15 (40.0%)</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w:t>
            </w:r>
            <w:proofErr w:type="spellStart"/>
            <w:r w:rsidRPr="00F263FE">
              <w:rPr>
                <w:rFonts w:ascii="Book Antiqua" w:hAnsi="Book Antiqua"/>
                <w:bCs/>
                <w:lang w:val="en-US"/>
              </w:rPr>
              <w:t>Pouchitis</w:t>
            </w:r>
            <w:proofErr w:type="spellEnd"/>
            <w:r w:rsidRPr="00F263FE">
              <w:rPr>
                <w:rFonts w:ascii="Book Antiqua" w:hAnsi="Book Antiqua"/>
                <w:bCs/>
                <w:lang w:val="en-US"/>
              </w:rPr>
              <w:t>: 13/23 (56.5%)</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Surgery:</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CD: 11/86 (12.8%)</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IC: 6/15 (40.0%)</w:t>
            </w:r>
          </w:p>
          <w:p w:rsidR="001D4918" w:rsidRPr="00F263FE" w:rsidRDefault="001D4918" w:rsidP="007742D4">
            <w:pPr>
              <w:spacing w:line="360" w:lineRule="auto"/>
              <w:jc w:val="both"/>
              <w:rPr>
                <w:rFonts w:ascii="Book Antiqua" w:hAnsi="Book Antiqua"/>
                <w:bCs/>
                <w:lang w:val="en-US"/>
              </w:rPr>
            </w:pPr>
            <w:r w:rsidRPr="00F263FE">
              <w:rPr>
                <w:rFonts w:ascii="Book Antiqua" w:hAnsi="Book Antiqua"/>
                <w:bCs/>
                <w:lang w:val="en-US"/>
              </w:rPr>
              <w:t xml:space="preserve">  </w:t>
            </w:r>
            <w:proofErr w:type="spellStart"/>
            <w:r w:rsidRPr="00F263FE">
              <w:rPr>
                <w:rFonts w:ascii="Book Antiqua" w:hAnsi="Book Antiqua"/>
                <w:bCs/>
                <w:lang w:val="en-US"/>
              </w:rPr>
              <w:t>Pouchitis</w:t>
            </w:r>
            <w:proofErr w:type="spellEnd"/>
            <w:r w:rsidRPr="00F263FE">
              <w:rPr>
                <w:rFonts w:ascii="Book Antiqua" w:hAnsi="Book Antiqua"/>
                <w:bCs/>
                <w:lang w:val="en-US"/>
              </w:rPr>
              <w:t>: 1/23 (4.4%)</w:t>
            </w:r>
          </w:p>
        </w:tc>
      </w:tr>
    </w:tbl>
    <w:p w:rsidR="001D4918" w:rsidRPr="00025D6C" w:rsidRDefault="001D4918" w:rsidP="007742D4">
      <w:pPr>
        <w:autoSpaceDE w:val="0"/>
        <w:autoSpaceDN w:val="0"/>
        <w:adjustRightInd w:val="0"/>
        <w:spacing w:line="360" w:lineRule="auto"/>
        <w:jc w:val="both"/>
        <w:rPr>
          <w:rFonts w:ascii="Book Antiqua" w:hAnsi="Book Antiqua" w:cs="Times-Roman"/>
          <w:lang w:val="en-US"/>
        </w:rPr>
      </w:pPr>
      <w:r>
        <w:rPr>
          <w:rFonts w:ascii="Book Antiqua" w:hAnsi="Book Antiqua"/>
          <w:vertAlign w:val="superscript"/>
          <w:lang w:val="en-US"/>
        </w:rPr>
        <w:t>1</w:t>
      </w:r>
      <w:r w:rsidRPr="00257F02">
        <w:rPr>
          <w:rFonts w:ascii="Book Antiqua" w:hAnsi="Book Antiqua" w:cs="AdvSMyr"/>
          <w:lang w:val="en-US"/>
        </w:rPr>
        <w:t>Change in the dose or change of immunomodulatory agent, or initiation of biologic treatment, or avoidance of surgery</w:t>
      </w:r>
      <w:r w:rsidRPr="00257F02">
        <w:rPr>
          <w:rFonts w:ascii="Book Antiqua" w:hAnsi="Book Antiqua"/>
          <w:lang w:val="en-US"/>
        </w:rPr>
        <w:t xml:space="preserve">; </w:t>
      </w:r>
      <w:r>
        <w:rPr>
          <w:rFonts w:ascii="Book Antiqua" w:hAnsi="Book Antiqua"/>
          <w:vertAlign w:val="superscript"/>
          <w:lang w:val="en-US"/>
        </w:rPr>
        <w:t>2</w:t>
      </w:r>
      <w:r w:rsidRPr="00257F02">
        <w:rPr>
          <w:rFonts w:ascii="Book Antiqua" w:hAnsi="Book Antiqua"/>
          <w:lang w:val="en-US"/>
        </w:rPr>
        <w:t>Ongoing symptoms or iron deficiency anemia despite negative u</w:t>
      </w:r>
      <w:r w:rsidRPr="00257F02">
        <w:rPr>
          <w:rFonts w:ascii="Book Antiqua" w:hAnsi="Book Antiqua" w:cs="Times-Roman"/>
          <w:lang w:val="en-US"/>
        </w:rPr>
        <w:t xml:space="preserve">pper/lower endoscopy and/or small bowel follow-through and/or abdominal computed tomography scan; </w:t>
      </w:r>
      <w:r>
        <w:rPr>
          <w:rFonts w:ascii="Book Antiqua" w:hAnsi="Book Antiqua" w:cs="Times-Roman"/>
          <w:vertAlign w:val="superscript"/>
          <w:lang w:val="en-US"/>
        </w:rPr>
        <w:t>3</w:t>
      </w:r>
      <w:r w:rsidRPr="00257F02">
        <w:rPr>
          <w:rFonts w:ascii="Book Antiqua" w:hAnsi="Book Antiqua" w:cs="Times-Roman"/>
          <w:lang w:val="en-US"/>
        </w:rPr>
        <w:t xml:space="preserve">Increased C-reactive protein and/or erythrocyte sedimentation rate; </w:t>
      </w:r>
      <w:r>
        <w:rPr>
          <w:rFonts w:ascii="Book Antiqua" w:hAnsi="Book Antiqua"/>
          <w:vertAlign w:val="superscript"/>
          <w:lang w:val="en-US"/>
        </w:rPr>
        <w:t>4</w:t>
      </w:r>
      <w:r w:rsidRPr="00257F02">
        <w:rPr>
          <w:rFonts w:ascii="Book Antiqua" w:hAnsi="Book Antiqua" w:cs="AdvCas540BT-R"/>
          <w:lang w:val="en-US"/>
        </w:rPr>
        <w:t xml:space="preserve">Enteroclysis was unsuccessful in two patients; </w:t>
      </w:r>
      <w:r>
        <w:rPr>
          <w:rFonts w:ascii="Book Antiqua" w:hAnsi="Book Antiqua"/>
          <w:vertAlign w:val="superscript"/>
          <w:lang w:val="en-US"/>
        </w:rPr>
        <w:t>5</w:t>
      </w:r>
      <w:r w:rsidRPr="00257F02">
        <w:rPr>
          <w:rFonts w:ascii="Book Antiqua" w:hAnsi="Book Antiqua" w:cs="AdvCas540BT-R"/>
          <w:lang w:val="en-US"/>
        </w:rPr>
        <w:t xml:space="preserve">Enteroclysis was unsuccessful in six patients; </w:t>
      </w:r>
      <w:r>
        <w:rPr>
          <w:rFonts w:ascii="Book Antiqua" w:hAnsi="Book Antiqua" w:cs="AdvCas540BT-R"/>
          <w:vertAlign w:val="superscript"/>
          <w:lang w:val="en-US"/>
        </w:rPr>
        <w:t>6</w:t>
      </w:r>
      <w:r w:rsidRPr="00257F02">
        <w:rPr>
          <w:rFonts w:ascii="Book Antiqua" w:hAnsi="Book Antiqua" w:cs="AdvCas540BT-R"/>
          <w:lang w:val="en-US"/>
        </w:rPr>
        <w:t xml:space="preserve">Imaging (CTE or MRE) was not performed in 5 patients; </w:t>
      </w:r>
      <w:r>
        <w:rPr>
          <w:rFonts w:ascii="Book Antiqua" w:hAnsi="Book Antiqua" w:cs="AdvCas540BT-R"/>
          <w:vertAlign w:val="superscript"/>
          <w:lang w:val="en-US"/>
        </w:rPr>
        <w:t>7</w:t>
      </w:r>
      <w:r w:rsidRPr="00257F02">
        <w:rPr>
          <w:rFonts w:ascii="Book Antiqua" w:hAnsi="Book Antiqua" w:cs="AdvCas540BT-R"/>
          <w:lang w:val="en-US"/>
        </w:rPr>
        <w:t xml:space="preserve">Fecal lactoferrin and CRP were not performed in 1 patient; </w:t>
      </w:r>
      <w:r>
        <w:rPr>
          <w:rFonts w:ascii="Book Antiqua" w:hAnsi="Book Antiqua" w:cs="AdvCas540BT-R"/>
          <w:vertAlign w:val="superscript"/>
          <w:lang w:val="en-US"/>
        </w:rPr>
        <w:t>8</w:t>
      </w:r>
      <w:r w:rsidRPr="00257F02">
        <w:rPr>
          <w:rFonts w:ascii="Book Antiqua" w:hAnsi="Book Antiqua" w:cs="AdvCas540BT-R"/>
          <w:lang w:val="en-US"/>
        </w:rPr>
        <w:t xml:space="preserve">Ileocolonoscopy was not performed in 1 patient; </w:t>
      </w:r>
      <w:r>
        <w:rPr>
          <w:rFonts w:ascii="Book Antiqua" w:hAnsi="Book Antiqua" w:cs="AdvCas540BT-R"/>
          <w:vertAlign w:val="superscript"/>
          <w:lang w:val="en-US"/>
        </w:rPr>
        <w:t>9</w:t>
      </w:r>
      <w:r w:rsidRPr="00257F02">
        <w:rPr>
          <w:rFonts w:ascii="Book Antiqua" w:hAnsi="Book Antiqua" w:cs="AdvCas540BT-R"/>
          <w:lang w:val="en-US"/>
        </w:rPr>
        <w:t>Imaging (CTE or MRE) was not performed in 15 patients.</w:t>
      </w:r>
      <w:r>
        <w:rPr>
          <w:rFonts w:ascii="Book Antiqua" w:hAnsi="Book Antiqua" w:cs="AdvCas540BT-R"/>
          <w:lang w:val="en-US"/>
        </w:rPr>
        <w:t xml:space="preserve"> </w:t>
      </w:r>
      <w:r w:rsidRPr="00257F02">
        <w:rPr>
          <w:rFonts w:ascii="Book Antiqua" w:hAnsi="Book Antiqua"/>
          <w:lang w:val="en-US"/>
        </w:rPr>
        <w:t>ANCA</w:t>
      </w:r>
      <w:r>
        <w:rPr>
          <w:rFonts w:ascii="Book Antiqua" w:hAnsi="Book Antiqua"/>
          <w:lang w:val="en-US"/>
        </w:rPr>
        <w:t>:</w:t>
      </w:r>
      <w:r w:rsidRPr="00257F02">
        <w:rPr>
          <w:rFonts w:ascii="Book Antiqua" w:hAnsi="Book Antiqua"/>
          <w:lang w:val="en-US"/>
        </w:rPr>
        <w:t xml:space="preserve"> </w:t>
      </w:r>
      <w:r w:rsidRPr="00257F02">
        <w:rPr>
          <w:rFonts w:ascii="Book Antiqua" w:hAnsi="Book Antiqua" w:cs="Arial"/>
          <w:shd w:val="clear" w:color="auto" w:fill="FFFFFF"/>
          <w:lang w:val="en-US"/>
        </w:rPr>
        <w:t>Anti-neutrophil cytoplasmic </w:t>
      </w:r>
      <w:r w:rsidRPr="00257F02">
        <w:rPr>
          <w:rFonts w:ascii="Book Antiqua" w:hAnsi="Book Antiqua" w:cs="Arial"/>
          <w:bCs/>
          <w:shd w:val="clear" w:color="auto" w:fill="FFFFFF"/>
          <w:lang w:val="en-US"/>
        </w:rPr>
        <w:t xml:space="preserve">antibodies ; </w:t>
      </w:r>
      <w:r w:rsidRPr="00257F02">
        <w:rPr>
          <w:rFonts w:ascii="Book Antiqua" w:hAnsi="Book Antiqua"/>
          <w:lang w:val="en-US"/>
        </w:rPr>
        <w:t>ASCA</w:t>
      </w:r>
      <w:r>
        <w:rPr>
          <w:rFonts w:ascii="Book Antiqua" w:hAnsi="Book Antiqua" w:hint="eastAsia"/>
          <w:lang w:val="en-US" w:eastAsia="zh-CN"/>
        </w:rPr>
        <w:t>:</w:t>
      </w:r>
      <w:r w:rsidRPr="00257F02">
        <w:rPr>
          <w:rFonts w:ascii="Book Antiqua" w:hAnsi="Book Antiqua"/>
          <w:lang w:val="en-US"/>
        </w:rPr>
        <w:t xml:space="preserve"> </w:t>
      </w:r>
      <w:r w:rsidRPr="00257F02">
        <w:rPr>
          <w:rFonts w:ascii="Book Antiqua" w:hAnsi="Book Antiqua" w:cs="Arial"/>
          <w:shd w:val="clear" w:color="auto" w:fill="FFFFFF"/>
          <w:lang w:val="en-US"/>
        </w:rPr>
        <w:t xml:space="preserve">Anti-Saccharomyces cerevisiae antibodies ; </w:t>
      </w:r>
      <w:r w:rsidRPr="00257F02">
        <w:rPr>
          <w:rFonts w:ascii="Book Antiqua" w:hAnsi="Book Antiqua"/>
          <w:lang w:val="en-US"/>
        </w:rPr>
        <w:t>CD</w:t>
      </w:r>
      <w:r>
        <w:rPr>
          <w:rFonts w:ascii="Book Antiqua" w:hAnsi="Book Antiqua" w:hint="eastAsia"/>
          <w:lang w:val="en-US" w:eastAsia="zh-CN"/>
        </w:rPr>
        <w:t>:</w:t>
      </w:r>
      <w:r w:rsidRPr="00257F02">
        <w:rPr>
          <w:rFonts w:ascii="Book Antiqua" w:hAnsi="Book Antiqua"/>
          <w:lang w:val="en-US"/>
        </w:rPr>
        <w:t xml:space="preserve"> Crohn’s disease; CE</w:t>
      </w:r>
      <w:r>
        <w:rPr>
          <w:rFonts w:ascii="Book Antiqua" w:hAnsi="Book Antiqua" w:hint="eastAsia"/>
          <w:lang w:val="en-US" w:eastAsia="zh-CN"/>
        </w:rPr>
        <w:t>:</w:t>
      </w:r>
      <w:r w:rsidRPr="00257F02">
        <w:rPr>
          <w:rFonts w:ascii="Book Antiqua" w:hAnsi="Book Antiqua"/>
          <w:lang w:val="en-US"/>
        </w:rPr>
        <w:t xml:space="preserve"> Capsule endoscopy; CRP</w:t>
      </w:r>
      <w:r>
        <w:rPr>
          <w:rFonts w:ascii="Book Antiqua" w:hAnsi="Book Antiqua" w:hint="eastAsia"/>
          <w:lang w:val="en-US" w:eastAsia="zh-CN"/>
        </w:rPr>
        <w:t>:</w:t>
      </w:r>
      <w:r w:rsidRPr="00257F02">
        <w:rPr>
          <w:rFonts w:ascii="Book Antiqua" w:hAnsi="Book Antiqua"/>
          <w:lang w:val="en-US"/>
        </w:rPr>
        <w:t xml:space="preserve"> C-reactive protein; CTE</w:t>
      </w:r>
      <w:r>
        <w:rPr>
          <w:rFonts w:ascii="Book Antiqua" w:hAnsi="Book Antiqua" w:hint="eastAsia"/>
          <w:lang w:val="en-US" w:eastAsia="zh-CN"/>
        </w:rPr>
        <w:t>:</w:t>
      </w:r>
      <w:r w:rsidRPr="00257F02">
        <w:rPr>
          <w:rFonts w:ascii="Book Antiqua" w:hAnsi="Book Antiqua"/>
          <w:lang w:val="en-US"/>
        </w:rPr>
        <w:t xml:space="preserve"> Computed tomography </w:t>
      </w:r>
      <w:proofErr w:type="spellStart"/>
      <w:r w:rsidRPr="00257F02">
        <w:rPr>
          <w:rFonts w:ascii="Book Antiqua" w:hAnsi="Book Antiqua"/>
          <w:lang w:val="en-US"/>
        </w:rPr>
        <w:t>enterography</w:t>
      </w:r>
      <w:proofErr w:type="spellEnd"/>
      <w:r w:rsidRPr="00257F02">
        <w:rPr>
          <w:rFonts w:ascii="Book Antiqua" w:hAnsi="Book Antiqua"/>
          <w:lang w:val="en-US"/>
        </w:rPr>
        <w:t>; FL</w:t>
      </w:r>
      <w:r>
        <w:rPr>
          <w:rFonts w:ascii="Book Antiqua" w:hAnsi="Book Antiqua" w:hint="eastAsia"/>
          <w:lang w:val="en-US" w:eastAsia="zh-CN"/>
        </w:rPr>
        <w:t>:</w:t>
      </w:r>
      <w:r w:rsidRPr="00257F02">
        <w:rPr>
          <w:rFonts w:ascii="Book Antiqua" w:hAnsi="Book Antiqua"/>
          <w:lang w:val="en-US"/>
        </w:rPr>
        <w:t xml:space="preserve"> Fecal </w:t>
      </w:r>
      <w:proofErr w:type="spellStart"/>
      <w:r w:rsidRPr="00257F02">
        <w:rPr>
          <w:rFonts w:ascii="Book Antiqua" w:hAnsi="Book Antiqua"/>
          <w:lang w:val="en-US"/>
        </w:rPr>
        <w:t>lactoferrin</w:t>
      </w:r>
      <w:proofErr w:type="spellEnd"/>
      <w:r w:rsidRPr="00257F02">
        <w:rPr>
          <w:rFonts w:ascii="Book Antiqua" w:hAnsi="Book Antiqua"/>
          <w:lang w:val="en-US"/>
        </w:rPr>
        <w:t>; IBD</w:t>
      </w:r>
      <w:r>
        <w:rPr>
          <w:rFonts w:ascii="Book Antiqua" w:hAnsi="Book Antiqua" w:hint="eastAsia"/>
          <w:lang w:val="en-US" w:eastAsia="zh-CN"/>
        </w:rPr>
        <w:t>:</w:t>
      </w:r>
      <w:r w:rsidRPr="00257F02">
        <w:rPr>
          <w:rFonts w:ascii="Book Antiqua" w:hAnsi="Book Antiqua"/>
          <w:lang w:val="en-US"/>
        </w:rPr>
        <w:t xml:space="preserve"> Inflammatory bowel disease; IC</w:t>
      </w:r>
      <w:r>
        <w:rPr>
          <w:rFonts w:ascii="Book Antiqua" w:hAnsi="Book Antiqua" w:hint="eastAsia"/>
          <w:lang w:val="en-US" w:eastAsia="zh-CN"/>
        </w:rPr>
        <w:t>:</w:t>
      </w:r>
      <w:r w:rsidRPr="00257F02">
        <w:rPr>
          <w:rFonts w:ascii="Book Antiqua" w:hAnsi="Book Antiqua"/>
          <w:lang w:val="en-US"/>
        </w:rPr>
        <w:t xml:space="preserve"> Indeterminate colitis; MRE</w:t>
      </w:r>
      <w:r>
        <w:rPr>
          <w:rFonts w:ascii="Book Antiqua" w:hAnsi="Book Antiqua" w:hint="eastAsia"/>
          <w:lang w:val="en-US" w:eastAsia="zh-CN"/>
        </w:rPr>
        <w:t>:</w:t>
      </w:r>
      <w:r w:rsidRPr="00257F02">
        <w:rPr>
          <w:rFonts w:ascii="Book Antiqua" w:hAnsi="Book Antiqua"/>
          <w:lang w:val="en-US"/>
        </w:rPr>
        <w:t xml:space="preserve"> Magnetic resonance </w:t>
      </w:r>
      <w:proofErr w:type="spellStart"/>
      <w:r w:rsidRPr="00257F02">
        <w:rPr>
          <w:rFonts w:ascii="Book Antiqua" w:hAnsi="Book Antiqua"/>
          <w:lang w:val="en-US"/>
        </w:rPr>
        <w:t>enterography</w:t>
      </w:r>
      <w:proofErr w:type="spellEnd"/>
      <w:r w:rsidRPr="00257F02">
        <w:rPr>
          <w:rFonts w:ascii="Book Antiqua" w:hAnsi="Book Antiqua"/>
          <w:lang w:val="en-US"/>
        </w:rPr>
        <w:t>; NA</w:t>
      </w:r>
      <w:r>
        <w:rPr>
          <w:rFonts w:ascii="Book Antiqua" w:hAnsi="Book Antiqua" w:hint="eastAsia"/>
          <w:lang w:val="en-US" w:eastAsia="zh-CN"/>
        </w:rPr>
        <w:t>:</w:t>
      </w:r>
      <w:r w:rsidRPr="00257F02">
        <w:rPr>
          <w:rFonts w:ascii="Book Antiqua" w:hAnsi="Book Antiqua"/>
          <w:lang w:val="en-US"/>
        </w:rPr>
        <w:t xml:space="preserve"> Not applicable; NPV</w:t>
      </w:r>
      <w:r>
        <w:rPr>
          <w:rFonts w:ascii="Book Antiqua" w:hAnsi="Book Antiqua" w:hint="eastAsia"/>
          <w:lang w:val="en-US" w:eastAsia="zh-CN"/>
        </w:rPr>
        <w:t>:</w:t>
      </w:r>
      <w:r w:rsidRPr="00257F02">
        <w:rPr>
          <w:rFonts w:ascii="Book Antiqua" w:hAnsi="Book Antiqua"/>
          <w:lang w:val="en-US"/>
        </w:rPr>
        <w:t xml:space="preserve"> Negative predictive value; OR</w:t>
      </w:r>
      <w:r>
        <w:rPr>
          <w:rFonts w:ascii="Book Antiqua" w:hAnsi="Book Antiqua" w:hint="eastAsia"/>
          <w:lang w:val="en-US" w:eastAsia="zh-CN"/>
        </w:rPr>
        <w:t>:</w:t>
      </w:r>
      <w:r w:rsidRPr="00257F02">
        <w:rPr>
          <w:rFonts w:ascii="Book Antiqua" w:hAnsi="Book Antiqua"/>
          <w:lang w:val="en-US"/>
        </w:rPr>
        <w:t xml:space="preserve"> Odds ratio; PPV</w:t>
      </w:r>
      <w:r>
        <w:rPr>
          <w:rFonts w:ascii="Book Antiqua" w:hAnsi="Book Antiqua" w:hint="eastAsia"/>
          <w:lang w:val="en-US" w:eastAsia="zh-CN"/>
        </w:rPr>
        <w:t>:</w:t>
      </w:r>
      <w:r w:rsidRPr="00257F02">
        <w:rPr>
          <w:rFonts w:ascii="Book Antiqua" w:hAnsi="Book Antiqua"/>
          <w:lang w:val="en-US"/>
        </w:rPr>
        <w:t xml:space="preserve"> Positive predictive value; SB</w:t>
      </w:r>
      <w:r>
        <w:rPr>
          <w:rFonts w:ascii="Book Antiqua" w:hAnsi="Book Antiqua" w:hint="eastAsia"/>
          <w:lang w:val="en-US" w:eastAsia="zh-CN"/>
        </w:rPr>
        <w:t>:</w:t>
      </w:r>
      <w:r w:rsidRPr="00257F02">
        <w:rPr>
          <w:rFonts w:ascii="Book Antiqua" w:hAnsi="Book Antiqua"/>
          <w:lang w:val="en-US"/>
        </w:rPr>
        <w:t xml:space="preserve"> Small bowel; SBFT</w:t>
      </w:r>
      <w:r>
        <w:rPr>
          <w:rFonts w:ascii="Book Antiqua" w:hAnsi="Book Antiqua" w:hint="eastAsia"/>
          <w:lang w:val="en-US" w:eastAsia="zh-CN"/>
        </w:rPr>
        <w:t>:</w:t>
      </w:r>
      <w:r w:rsidRPr="00257F02">
        <w:rPr>
          <w:rFonts w:ascii="Book Antiqua" w:hAnsi="Book Antiqua"/>
          <w:lang w:val="en-US"/>
        </w:rPr>
        <w:t xml:space="preserve"> Small bowel follow-through; Se</w:t>
      </w:r>
      <w:r>
        <w:rPr>
          <w:rFonts w:ascii="Book Antiqua" w:hAnsi="Book Antiqua" w:hint="eastAsia"/>
          <w:lang w:val="en-US" w:eastAsia="zh-CN"/>
        </w:rPr>
        <w:t>:</w:t>
      </w:r>
      <w:r w:rsidRPr="00257F02">
        <w:rPr>
          <w:rFonts w:ascii="Book Antiqua" w:hAnsi="Book Antiqua"/>
          <w:lang w:val="en-US"/>
        </w:rPr>
        <w:t xml:space="preserve"> </w:t>
      </w:r>
      <w:proofErr w:type="spellStart"/>
      <w:r w:rsidRPr="00257F02">
        <w:rPr>
          <w:rFonts w:ascii="Book Antiqua" w:hAnsi="Book Antiqua"/>
          <w:lang w:val="en-US"/>
        </w:rPr>
        <w:t>Sensivity</w:t>
      </w:r>
      <w:proofErr w:type="spellEnd"/>
      <w:r w:rsidRPr="00257F02">
        <w:rPr>
          <w:rFonts w:ascii="Book Antiqua" w:hAnsi="Book Antiqua"/>
          <w:lang w:val="en-US"/>
        </w:rPr>
        <w:t>; SICUS</w:t>
      </w:r>
      <w:r>
        <w:rPr>
          <w:rFonts w:ascii="Book Antiqua" w:hAnsi="Book Antiqua" w:hint="eastAsia"/>
          <w:lang w:val="en-US" w:eastAsia="zh-CN"/>
        </w:rPr>
        <w:t>:</w:t>
      </w:r>
      <w:r w:rsidRPr="00257F02">
        <w:rPr>
          <w:rFonts w:ascii="Book Antiqua" w:hAnsi="Book Antiqua"/>
          <w:lang w:val="en-US"/>
        </w:rPr>
        <w:t xml:space="preserve"> Small intestine contrast ultrasonography; </w:t>
      </w:r>
      <w:proofErr w:type="spellStart"/>
      <w:r w:rsidRPr="00257F02">
        <w:rPr>
          <w:rFonts w:ascii="Book Antiqua" w:hAnsi="Book Antiqua"/>
          <w:lang w:val="en-US"/>
        </w:rPr>
        <w:t>Sp</w:t>
      </w:r>
      <w:proofErr w:type="spellEnd"/>
      <w:r>
        <w:rPr>
          <w:rFonts w:ascii="Book Antiqua" w:hAnsi="Book Antiqua" w:hint="eastAsia"/>
          <w:lang w:val="en-US" w:eastAsia="zh-CN"/>
        </w:rPr>
        <w:t>:</w:t>
      </w:r>
      <w:r w:rsidRPr="00257F02">
        <w:rPr>
          <w:rFonts w:ascii="Book Antiqua" w:hAnsi="Book Antiqua"/>
          <w:lang w:val="en-US"/>
        </w:rPr>
        <w:t xml:space="preserve"> Specificity.</w:t>
      </w:r>
    </w:p>
    <w:p w:rsidR="001D4918" w:rsidRPr="00257F02" w:rsidRDefault="001D4918" w:rsidP="007742D4">
      <w:pPr>
        <w:spacing w:line="360" w:lineRule="auto"/>
        <w:jc w:val="both"/>
        <w:rPr>
          <w:rFonts w:ascii="Book Antiqua" w:hAnsi="Book Antiqua"/>
          <w:sz w:val="18"/>
          <w:lang w:val="en-US"/>
        </w:rPr>
        <w:sectPr w:rsidR="001D4918" w:rsidRPr="00257F02" w:rsidSect="00324360">
          <w:pgSz w:w="16840" w:h="11900" w:orient="landscape"/>
          <w:pgMar w:top="284" w:right="720" w:bottom="284" w:left="720" w:header="709" w:footer="709"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2 Studies evaluating the use of small bowel capsule endoscopy in the assessment of mucosal healing in patients diagnosed with Crohn’s disease</w:t>
      </w:r>
    </w:p>
    <w:tbl>
      <w:tblPr>
        <w:tblW w:w="16585" w:type="dxa"/>
        <w:tblInd w:w="-459" w:type="dxa"/>
        <w:tblLayout w:type="fixed"/>
        <w:tblLook w:val="00A0" w:firstRow="1" w:lastRow="0" w:firstColumn="1" w:lastColumn="0" w:noHBand="0" w:noVBand="0"/>
      </w:tblPr>
      <w:tblGrid>
        <w:gridCol w:w="1276"/>
        <w:gridCol w:w="1559"/>
        <w:gridCol w:w="993"/>
        <w:gridCol w:w="2268"/>
        <w:gridCol w:w="1106"/>
        <w:gridCol w:w="1816"/>
        <w:gridCol w:w="2650"/>
        <w:gridCol w:w="1981"/>
        <w:gridCol w:w="1981"/>
        <w:gridCol w:w="955"/>
      </w:tblGrid>
      <w:tr w:rsidR="001D4918" w:rsidRPr="00257F02" w:rsidTr="005C39B1">
        <w:tc>
          <w:tcPr>
            <w:tcW w:w="127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Ref</w:t>
            </w:r>
            <w:r>
              <w:rPr>
                <w:rFonts w:ascii="Book Antiqua" w:hAnsi="Book Antiqua" w:hint="eastAsia"/>
                <w:b/>
                <w:lang w:val="en-US" w:eastAsia="zh-CN"/>
              </w:rPr>
              <w:t>.</w:t>
            </w:r>
          </w:p>
        </w:tc>
        <w:tc>
          <w:tcPr>
            <w:tcW w:w="1559"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Study design</w:t>
            </w:r>
          </w:p>
        </w:tc>
        <w:tc>
          <w:tcPr>
            <w:tcW w:w="993"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 xml:space="preserve">Sample size </w:t>
            </w:r>
          </w:p>
        </w:tc>
        <w:tc>
          <w:tcPr>
            <w:tcW w:w="2268"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Treatment evaluated</w:t>
            </w:r>
          </w:p>
        </w:tc>
        <w:tc>
          <w:tcPr>
            <w:tcW w:w="110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Prior biologic exposure</w:t>
            </w:r>
          </w:p>
        </w:tc>
        <w:tc>
          <w:tcPr>
            <w:tcW w:w="181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Interval between the CE</w:t>
            </w:r>
          </w:p>
        </w:tc>
        <w:tc>
          <w:tcPr>
            <w:tcW w:w="2650"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CE findings considered for assessing mucosal healing</w:t>
            </w:r>
          </w:p>
        </w:tc>
        <w:tc>
          <w:tcPr>
            <w:tcW w:w="1981"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Positive SB findings before treatment</w:t>
            </w:r>
          </w:p>
        </w:tc>
        <w:tc>
          <w:tcPr>
            <w:tcW w:w="1981"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Positive SB findings after treatment</w:t>
            </w:r>
          </w:p>
        </w:tc>
        <w:tc>
          <w:tcPr>
            <w:tcW w:w="955"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E50AB7">
              <w:rPr>
                <w:rFonts w:ascii="Book Antiqua" w:hAnsi="Book Antiqua"/>
                <w:b/>
                <w:i/>
                <w:iCs/>
                <w:lang w:val="en-US"/>
              </w:rPr>
              <w:t>P</w:t>
            </w:r>
            <w:r>
              <w:rPr>
                <w:rFonts w:ascii="Book Antiqua" w:hAnsi="Book Antiqua"/>
                <w:b/>
                <w:lang w:val="en-US"/>
              </w:rPr>
              <w:t>-value</w:t>
            </w:r>
          </w:p>
        </w:tc>
      </w:tr>
      <w:tr w:rsidR="001D4918" w:rsidRPr="00257F02" w:rsidTr="005C39B1">
        <w:tc>
          <w:tcPr>
            <w:tcW w:w="1276"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Efthymiou</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{"citationID":"xF1I1zp8","properties":{"formattedCitation":"\\super [85]\\nosupersub{}","plainCitation":"[85]","noteIndex":0},"citationItems":[{"id":2873,"uris":["http://zotero.org/users/3734960/items/4MEN45SZ"],"uri":["http://zotero.org/users/3734960/items/4MEN45SZ"],"itemData":{"id":2873,"type":"article-journal","title":"Does clinical response correlate with mucosal healing in patients with Crohn's disease of the small bowel? A prospective, case-series study using wireless capsule endoscopy","container-title":"Inflammatory Bowel Diseases","page":"1542-1547","volume":"14","issue":"11","source":"PubMed","abstract":"BACKGROUND: There are no studies assessing mucosal healing of the small bowel in patients with Crohn's disease (CD). Our aim was to assess the correlation between clinical response and mucosal healing of the small bowel using wireless capsule endoscopy (WCE).\nMETHODS: This was a prospective, multicenter, case-series study. Forty patients with known or suspected CD were included, recruited in 4 tertiary referral centers of Athens. They all had an acute flare-up of their disease (CD Activity Index [CDAI] &gt;150), involvement of the small bowel, and the nonstricturing, nonpenetrating type of the disease. All patients underwent WCE prior to the initiation of any treatment. Treatment varied according to the treating physician. For the evaluation of mucosal healing, 3 endoscopic variables were collected: number of apthous ulcers, number of large ulcers, and period of time that any endoscopic lesion was visible (erythema, edema, ulcers). When patients achieved clinical response (after at least a month of treatment) they underwent a second WCE, with evaluation of the same parameters.\nRESULTS: The number of large ulcers was the only endoscopic variable that showed a significant improvement. The numbers of large ulcers before and after treatment were 8.3 +/- 1.4 and 5 +/- 0.8, respectively (mean +/- SEM) (mean difference 3.3 +/- 1.2, 95% confidence interval [CI] 0.8-5.9, P = 0.01). The other 2 variables did not improve significantly.\nCONCLUSIONS: Since only 1 out of 3 endoscopic variables improved significantly with treatment, we can conclude that clinical response does not seem to correlate with mucosal healing in patients with CD of the small bowel.","DOI":"10.1002/ibd.20509","ISSN":"1536-4844","note":"PMID: 18521929","title-short":"Does clinical response correlate with mucosal healing in patients with Crohn's disease of the small bowel?","journalAbbreviation":"Inflamm. Bowel Dis.","language":"eng","author":[{"family":"Efthymiou","given":"Alkiviadis"},{"family":"Viazis","given":"Nikos"},{"family":"Mantzaris","given":"Gerassimos"},{"family":"Papadimitriou","given":"Nikos"},{"family":"Tzourmakliotis","given":"Dimitrios"},{"family":"Raptis","given":"Sotirios"},{"family":"Karamanolis","given":"Dimitrios G."}],"issued":{"date-parts":[["2008",11]]}}}],"schema":"https://github.com/citation-style-language/schema/raw/master/csl-citation.json"}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[85]</w:t>
            </w:r>
            <w:r w:rsidRPr="00257F02">
              <w:rPr>
                <w:rFonts w:ascii="Book Antiqua" w:hAnsi="Book Antiqua"/>
                <w:lang w:val="en-US"/>
              </w:rPr>
              <w:fldChar w:fldCharType="end"/>
            </w:r>
            <w:r w:rsidRPr="00257F02">
              <w:rPr>
                <w:rFonts w:ascii="Book Antiqua" w:hAnsi="Book Antiqua"/>
                <w:lang w:val="en-US"/>
              </w:rPr>
              <w:t>, 2008</w:t>
            </w:r>
          </w:p>
        </w:tc>
        <w:tc>
          <w:tcPr>
            <w:tcW w:w="1559"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993"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40</w:t>
            </w:r>
          </w:p>
        </w:tc>
        <w:tc>
          <w:tcPr>
            <w:tcW w:w="2268"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CS (60%)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Mesalamine (70%)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Azathioprine (10%)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Infliximab (5%)</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Times-Roman"/>
                <w:lang w:val="en-US"/>
              </w:rPr>
              <w:t>Metronidazole (20%)</w:t>
            </w:r>
          </w:p>
        </w:tc>
        <w:tc>
          <w:tcPr>
            <w:tcW w:w="1106"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After achievement of clinical remission:</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4 </w:t>
            </w:r>
            <w:proofErr w:type="spellStart"/>
            <w:r w:rsidRPr="00257F02">
              <w:rPr>
                <w:rFonts w:ascii="Book Antiqua" w:hAnsi="Book Antiqua"/>
                <w:lang w:val="en-US"/>
              </w:rPr>
              <w:t>wk</w:t>
            </w:r>
            <w:proofErr w:type="spellEnd"/>
            <w:r w:rsidRPr="00257F02">
              <w:rPr>
                <w:rFonts w:ascii="Book Antiqua" w:hAnsi="Book Antiqua"/>
                <w:lang w:val="en-US"/>
              </w:rPr>
              <w:t xml:space="preserve"> (75%)</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6 </w:t>
            </w:r>
            <w:proofErr w:type="spellStart"/>
            <w:r w:rsidRPr="00257F02">
              <w:rPr>
                <w:rFonts w:ascii="Book Antiqua" w:hAnsi="Book Antiqua"/>
                <w:lang w:val="en-US"/>
              </w:rPr>
              <w:t>wk</w:t>
            </w:r>
            <w:proofErr w:type="spellEnd"/>
            <w:r w:rsidRPr="00257F02">
              <w:rPr>
                <w:rFonts w:ascii="Book Antiqua" w:hAnsi="Book Antiqua"/>
                <w:lang w:val="en-US"/>
              </w:rPr>
              <w:t xml:space="preserve"> (15%)</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8 </w:t>
            </w:r>
            <w:proofErr w:type="spellStart"/>
            <w:r w:rsidRPr="00257F02">
              <w:rPr>
                <w:rFonts w:ascii="Book Antiqua" w:hAnsi="Book Antiqua"/>
                <w:lang w:val="en-US"/>
              </w:rPr>
              <w:t>wk</w:t>
            </w:r>
            <w:proofErr w:type="spellEnd"/>
            <w:r w:rsidRPr="00257F02">
              <w:rPr>
                <w:rFonts w:ascii="Book Antiqua" w:hAnsi="Book Antiqua"/>
                <w:lang w:val="en-US"/>
              </w:rPr>
              <w:t xml:space="preserve"> (10%)</w:t>
            </w:r>
          </w:p>
        </w:tc>
        <w:tc>
          <w:tcPr>
            <w:tcW w:w="2650" w:type="dxa"/>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Number of </w:t>
            </w:r>
            <w:proofErr w:type="spellStart"/>
            <w:r w:rsidRPr="00257F02">
              <w:rPr>
                <w:rFonts w:ascii="Book Antiqua" w:hAnsi="Book Antiqua"/>
                <w:lang w:val="en-US"/>
              </w:rPr>
              <w:t>apthous</w:t>
            </w:r>
            <w:proofErr w:type="spellEnd"/>
            <w:r w:rsidRPr="00257F02">
              <w:rPr>
                <w:rFonts w:ascii="Book Antiqua" w:hAnsi="Book Antiqua"/>
                <w:lang w:val="en-US"/>
              </w:rPr>
              <w:t xml:space="preserve"> ulcers, mean </w:t>
            </w:r>
            <w:r w:rsidRPr="0035013A">
              <w:rPr>
                <w:rFonts w:ascii="Book Antiqua" w:hAnsi="Book Antiqua"/>
              </w:rPr>
              <w:t>±</w:t>
            </w:r>
            <w:r w:rsidRPr="00257F02">
              <w:rPr>
                <w:rFonts w:ascii="Book Antiqua" w:hAnsi="Book Antiqua"/>
                <w:lang w:val="en-US"/>
              </w:rPr>
              <w:t xml:space="preserve"> SE</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Number of large ulcers, mean </w:t>
            </w:r>
            <w:r w:rsidRPr="0035013A">
              <w:rPr>
                <w:rFonts w:ascii="Book Antiqua" w:hAnsi="Book Antiqua"/>
              </w:rPr>
              <w:t>±</w:t>
            </w:r>
            <w:r w:rsidRPr="00257F02">
              <w:rPr>
                <w:rFonts w:ascii="Book Antiqua" w:hAnsi="Book Antiqua"/>
                <w:lang w:val="en-US"/>
              </w:rPr>
              <w:t xml:space="preserve"> SE</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Percentage of the SBTT in which any endoscopic lesion was visible, mean </w:t>
            </w:r>
            <w:r w:rsidRPr="0035013A">
              <w:rPr>
                <w:rFonts w:ascii="Book Antiqua" w:hAnsi="Book Antiqua"/>
              </w:rPr>
              <w:t>±</w:t>
            </w:r>
            <w:r w:rsidRPr="00257F02">
              <w:rPr>
                <w:rFonts w:ascii="Book Antiqua" w:hAnsi="Book Antiqua"/>
                <w:lang w:val="en-US"/>
              </w:rPr>
              <w:t xml:space="preserve"> SE</w:t>
            </w:r>
          </w:p>
        </w:tc>
        <w:tc>
          <w:tcPr>
            <w:tcW w:w="1981"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26.0 </w:t>
            </w:r>
            <w:r w:rsidRPr="0035013A">
              <w:rPr>
                <w:rFonts w:ascii="Book Antiqua" w:hAnsi="Book Antiqua"/>
              </w:rPr>
              <w:t>±</w:t>
            </w:r>
            <w:r>
              <w:rPr>
                <w:rFonts w:ascii="Book Antiqua" w:hAnsi="Book Antiqua"/>
              </w:rPr>
              <w:t xml:space="preserve"> </w:t>
            </w:r>
            <w:r w:rsidRPr="00257F02">
              <w:rPr>
                <w:rFonts w:ascii="Book Antiqua" w:hAnsi="Book Antiqua"/>
                <w:lang w:val="en-US"/>
              </w:rPr>
              <w:t>7.5</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8.3 </w:t>
            </w:r>
            <w:r w:rsidRPr="0035013A">
              <w:rPr>
                <w:rFonts w:ascii="Book Antiqua" w:hAnsi="Book Antiqua"/>
              </w:rPr>
              <w:t>±</w:t>
            </w:r>
            <w:r>
              <w:rPr>
                <w:rFonts w:ascii="Book Antiqua" w:hAnsi="Book Antiqua"/>
              </w:rPr>
              <w:t xml:space="preserve"> </w:t>
            </w:r>
            <w:r w:rsidRPr="00257F02">
              <w:rPr>
                <w:rFonts w:ascii="Book Antiqua" w:hAnsi="Book Antiqua"/>
                <w:lang w:val="en-US"/>
              </w:rPr>
              <w:t>1.4</w:t>
            </w:r>
          </w:p>
          <w:p w:rsidR="001D4918" w:rsidRPr="00257F02" w:rsidRDefault="001D4918" w:rsidP="007742D4">
            <w:pPr>
              <w:spacing w:line="360" w:lineRule="auto"/>
              <w:jc w:val="both"/>
              <w:rPr>
                <w:rFonts w:ascii="Book Antiqua" w:hAnsi="Book Antiqua"/>
                <w:b/>
                <w:lang w:val="en-US"/>
              </w:r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lang w:val="en-US"/>
              </w:rPr>
              <w:t xml:space="preserve">22.0 </w:t>
            </w:r>
            <w:r w:rsidRPr="0035013A">
              <w:rPr>
                <w:rFonts w:ascii="Book Antiqua" w:hAnsi="Book Antiqua"/>
              </w:rPr>
              <w:t>±</w:t>
            </w:r>
            <w:r>
              <w:rPr>
                <w:rFonts w:ascii="Book Antiqua" w:hAnsi="Book Antiqua"/>
              </w:rPr>
              <w:t xml:space="preserve"> </w:t>
            </w:r>
            <w:r w:rsidRPr="00257F02">
              <w:rPr>
                <w:rFonts w:ascii="Book Antiqua" w:hAnsi="Book Antiqua"/>
                <w:lang w:val="en-US"/>
              </w:rPr>
              <w:t>3.1</w:t>
            </w:r>
          </w:p>
        </w:tc>
        <w:tc>
          <w:tcPr>
            <w:tcW w:w="1981" w:type="dxa"/>
            <w:tcBorders>
              <w:top w:val="single" w:sz="4" w:space="0" w:color="auto"/>
            </w:tcBorders>
            <w:shd w:val="clear" w:color="auto" w:fill="auto"/>
          </w:tcPr>
          <w:p w:rsidR="001D4918" w:rsidRPr="0035013A" w:rsidRDefault="001D4918" w:rsidP="007742D4">
            <w:pPr>
              <w:spacing w:line="360" w:lineRule="auto"/>
              <w:jc w:val="both"/>
              <w:rPr>
                <w:rFonts w:ascii="Book Antiqua" w:hAnsi="Book Antiqua"/>
                <w:lang w:val="en-US" w:eastAsia="zh-CN"/>
              </w:rPr>
            </w:pPr>
            <w:r w:rsidRPr="0035013A">
              <w:rPr>
                <w:rFonts w:ascii="Book Antiqua" w:hAnsi="Book Antiqua"/>
              </w:rPr>
              <w:t>12.7 ±</w:t>
            </w:r>
            <w:r w:rsidRPr="0035013A">
              <w:rPr>
                <w:rFonts w:ascii="Book Antiqua" w:hAnsi="Book Antiqua"/>
                <w:lang w:eastAsia="zh-CN"/>
              </w:rPr>
              <w:t xml:space="preserve"> 2.3</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5.0 </w:t>
            </w:r>
            <w:r w:rsidRPr="0035013A">
              <w:rPr>
                <w:rFonts w:ascii="Book Antiqua" w:hAnsi="Book Antiqua"/>
              </w:rPr>
              <w:t>±</w:t>
            </w:r>
            <w:r>
              <w:rPr>
                <w:rFonts w:ascii="Book Antiqua" w:hAnsi="Book Antiqua"/>
              </w:rPr>
              <w:t xml:space="preserve"> </w:t>
            </w:r>
            <w:r w:rsidRPr="00257F02">
              <w:rPr>
                <w:rFonts w:ascii="Book Antiqua" w:hAnsi="Book Antiqua"/>
                <w:lang w:val="en-US"/>
              </w:rPr>
              <w:t>0.8</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17.8 </w:t>
            </w:r>
            <w:r w:rsidRPr="00257F02">
              <w:rPr>
                <w:rFonts w:ascii="Book Antiqua" w:hAnsi="Book Antiqua"/>
                <w:lang w:val="en-US"/>
              </w:rPr>
              <w:fldChar w:fldCharType="begin"/>
            </w:r>
            <w:r w:rsidRPr="00257F02">
              <w:rPr>
                <w:rFonts w:ascii="Book Antiqua" w:hAnsi="Book Antiqua"/>
                <w:lang w:val="en-US"/>
              </w:rPr>
              <w:instrText xml:space="preserve"> QUOTE </w:instrText>
            </w:r>
            <w:r w:rsidR="000E652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D70C7&quot;/&gt;&lt;wsp:rsid wsp:val=&quot;00000D1D&quot;/&gt;&lt;wsp:rsid wsp:val=&quot;000015F9&quot;/&gt;&lt;wsp:rsid wsp:val=&quot;00005F55&quot;/&gt;&lt;wsp:rsid wsp:val=&quot;00006154&quot;/&gt;&lt;wsp:rsid wsp:val=&quot;00011021&quot;/&gt;&lt;wsp:rsid wsp:val=&quot;00015A76&quot;/&gt;&lt;wsp:rsid wsp:val=&quot;000178C2&quot;/&gt;&lt;wsp:rsid wsp:val=&quot;00020272&quot;/&gt;&lt;wsp:rsid wsp:val=&quot;0003013D&quot;/&gt;&lt;wsp:rsid wsp:val=&quot;00033AF3&quot;/&gt;&lt;wsp:rsid wsp:val=&quot;000353FA&quot;/&gt;&lt;wsp:rsid wsp:val=&quot;00035680&quot;/&gt;&lt;wsp:rsid wsp:val=&quot;0004098B&quot;/&gt;&lt;wsp:rsid wsp:val=&quot;00042FF0&quot;/&gt;&lt;wsp:rsid wsp:val=&quot;00047270&quot;/&gt;&lt;wsp:rsid wsp:val=&quot;00060B16&quot;/&gt;&lt;wsp:rsid wsp:val=&quot;000636C8&quot;/&gt;&lt;wsp:rsid wsp:val=&quot;000658CA&quot;/&gt;&lt;wsp:rsid wsp:val=&quot;00065DAA&quot;/&gt;&lt;wsp:rsid wsp:val=&quot;0007334A&quot;/&gt;&lt;wsp:rsid wsp:val=&quot;00075527&quot;/&gt;&lt;wsp:rsid wsp:val=&quot;0007626C&quot;/&gt;&lt;wsp:rsid wsp:val=&quot;00077DEC&quot;/&gt;&lt;wsp:rsid wsp:val=&quot;000844FD&quot;/&gt;&lt;wsp:rsid wsp:val=&quot;00092081&quot;/&gt;&lt;wsp:rsid wsp:val=&quot;00093131&quot;/&gt;&lt;wsp:rsid wsp:val=&quot;00094D87&quot;/&gt;&lt;wsp:rsid wsp:val=&quot;00097C14&quot;/&gt;&lt;wsp:rsid wsp:val=&quot;000A4C91&quot;/&gt;&lt;wsp:rsid wsp:val=&quot;000A521C&quot;/&gt;&lt;wsp:rsid wsp:val=&quot;000A6AD1&quot;/&gt;&lt;wsp:rsid wsp:val=&quot;000A7C1C&quot;/&gt;&lt;wsp:rsid wsp:val=&quot;000B769F&quot;/&gt;&lt;wsp:rsid wsp:val=&quot;000C29B4&quot;/&gt;&lt;wsp:rsid wsp:val=&quot;000C33AD&quot;/&gt;&lt;wsp:rsid wsp:val=&quot;000C4869&quot;/&gt;&lt;wsp:rsid wsp:val=&quot;000C4BF1&quot;/&gt;&lt;wsp:rsid wsp:val=&quot;000C5D35&quot;/&gt;&lt;wsp:rsid wsp:val=&quot;000C6879&quot;/&gt;&lt;wsp:rsid wsp:val=&quot;000D149F&quot;/&gt;&lt;wsp:rsid wsp:val=&quot;000D3957&quot;/&gt;&lt;wsp:rsid wsp:val=&quot;000D3AC1&quot;/&gt;&lt;wsp:rsid wsp:val=&quot;000E0823&quot;/&gt;&lt;wsp:rsid wsp:val=&quot;000E2D6E&quot;/&gt;&lt;wsp:rsid wsp:val=&quot;000E399D&quot;/&gt;&lt;wsp:rsid wsp:val=&quot;000E3ACA&quot;/&gt;&lt;wsp:rsid wsp:val=&quot;000E611D&quot;/&gt;&lt;wsp:rsid wsp:val=&quot;000E77F1&quot;/&gt;&lt;wsp:rsid wsp:val=&quot;000F06B2&quot;/&gt;&lt;wsp:rsid wsp:val=&quot;001008A7&quot;/&gt;&lt;wsp:rsid wsp:val=&quot;0010398E&quot;/&gt;&lt;wsp:rsid wsp:val=&quot;00103F6F&quot;/&gt;&lt;wsp:rsid wsp:val=&quot;00104349&quot;/&gt;&lt;wsp:rsid wsp:val=&quot;00113236&quot;/&gt;&lt;wsp:rsid wsp:val=&quot;00113D5F&quot;/&gt;&lt;wsp:rsid wsp:val=&quot;00117DB9&quot;/&gt;&lt;wsp:rsid wsp:val=&quot;001204AA&quot;/&gt;&lt;wsp:rsid wsp:val=&quot;001312E4&quot;/&gt;&lt;wsp:rsid wsp:val=&quot;00131A34&quot;/&gt;&lt;wsp:rsid wsp:val=&quot;00133451&quot;/&gt;&lt;wsp:rsid wsp:val=&quot;00134047&quot;/&gt;&lt;wsp:rsid wsp:val=&quot;00134200&quot;/&gt;&lt;wsp:rsid wsp:val=&quot;0013476A&quot;/&gt;&lt;wsp:rsid wsp:val=&quot;00134C2E&quot;/&gt;&lt;wsp:rsid wsp:val=&quot;00137260&quot;/&gt;&lt;wsp:rsid wsp:val=&quot;00141C64&quot;/&gt;&lt;wsp:rsid wsp:val=&quot;00145BBC&quot;/&gt;&lt;wsp:rsid wsp:val=&quot;00146EBB&quot;/&gt;&lt;wsp:rsid wsp:val=&quot;0015134E&quot;/&gt;&lt;wsp:rsid wsp:val=&quot;001514FE&quot;/&gt;&lt;wsp:rsid wsp:val=&quot;001551F6&quot;/&gt;&lt;wsp:rsid wsp:val=&quot;00155C68&quot;/&gt;&lt;wsp:rsid wsp:val=&quot;001566DC&quot;/&gt;&lt;wsp:rsid wsp:val=&quot;00157ACF&quot;/&gt;&lt;wsp:rsid wsp:val=&quot;00160D65&quot;/&gt;&lt;wsp:rsid wsp:val=&quot;001664DB&quot;/&gt;&lt;wsp:rsid wsp:val=&quot;00175F95&quot;/&gt;&lt;wsp:rsid wsp:val=&quot;00177F3D&quot;/&gt;&lt;wsp:rsid wsp:val=&quot;00182288&quot;/&gt;&lt;wsp:rsid wsp:val=&quot;00186876&quot;/&gt;&lt;wsp:rsid wsp:val=&quot;001923CA&quot;/&gt;&lt;wsp:rsid wsp:val=&quot;00194D30&quot;/&gt;&lt;wsp:rsid wsp:val=&quot;00196BCF&quot;/&gt;&lt;wsp:rsid wsp:val=&quot;00196F47&quot;/&gt;&lt;wsp:rsid wsp:val=&quot;001A0E8B&quot;/&gt;&lt;wsp:rsid wsp:val=&quot;001A4852&quot;/&gt;&lt;wsp:rsid wsp:val=&quot;001A51DB&quot;/&gt;&lt;wsp:rsid wsp:val=&quot;001A54AE&quot;/&gt;&lt;wsp:rsid wsp:val=&quot;001B2356&quot;/&gt;&lt;wsp:rsid wsp:val=&quot;001B2601&quot;/&gt;&lt;wsp:rsid wsp:val=&quot;001B2872&quot;/&gt;&lt;wsp:rsid wsp:val=&quot;001B5E69&quot;/&gt;&lt;wsp:rsid wsp:val=&quot;001C6B9E&quot;/&gt;&lt;wsp:rsid wsp:val=&quot;001C7498&quot;/&gt;&lt;wsp:rsid wsp:val=&quot;001D0438&quot;/&gt;&lt;wsp:rsid wsp:val=&quot;001D1D7E&quot;/&gt;&lt;wsp:rsid wsp:val=&quot;001D41A0&quot;/&gt;&lt;wsp:rsid wsp:val=&quot;001D5058&quot;/&gt;&lt;wsp:rsid wsp:val=&quot;001E0264&quot;/&gt;&lt;wsp:rsid wsp:val=&quot;001E0718&quot;/&gt;&lt;wsp:rsid wsp:val=&quot;001E33A8&quot;/&gt;&lt;wsp:rsid wsp:val=&quot;001E5979&quot;/&gt;&lt;wsp:rsid wsp:val=&quot;001E721F&quot;/&gt;&lt;wsp:rsid wsp:val=&quot;001E7E3E&quot;/&gt;&lt;wsp:rsid wsp:val=&quot;001F0470&quot;/&gt;&lt;wsp:rsid wsp:val=&quot;001F3C71&quot;/&gt;&lt;wsp:rsid wsp:val=&quot;001F6A50&quot;/&gt;&lt;wsp:rsid wsp:val=&quot;00201892&quot;/&gt;&lt;wsp:rsid wsp:val=&quot;0020432B&quot;/&gt;&lt;wsp:rsid wsp:val=&quot;00206144&quot;/&gt;&lt;wsp:rsid wsp:val=&quot;002114F1&quot;/&gt;&lt;wsp:rsid wsp:val=&quot;00211D3E&quot;/&gt;&lt;wsp:rsid wsp:val=&quot;00216808&quot;/&gt;&lt;wsp:rsid wsp:val=&quot;00222A26&quot;/&gt;&lt;wsp:rsid wsp:val=&quot;0023111C&quot;/&gt;&lt;wsp:rsid wsp:val=&quot;00236629&quot;/&gt;&lt;wsp:rsid wsp:val=&quot;00237CB7&quot;/&gt;&lt;wsp:rsid wsp:val=&quot;0024340C&quot;/&gt;&lt;wsp:rsid wsp:val=&quot;00244767&quot;/&gt;&lt;wsp:rsid wsp:val=&quot;00244D2A&quot;/&gt;&lt;wsp:rsid wsp:val=&quot;00246590&quot;/&gt;&lt;wsp:rsid wsp:val=&quot;002467D7&quot;/&gt;&lt;wsp:rsid wsp:val=&quot;00251D41&quot;/&gt;&lt;wsp:rsid wsp:val=&quot;002552AC&quot;/&gt;&lt;wsp:rsid wsp:val=&quot;00264DA8&quot;/&gt;&lt;wsp:rsid wsp:val=&quot;002663A4&quot;/&gt;&lt;wsp:rsid wsp:val=&quot;002674DE&quot;/&gt;&lt;wsp:rsid wsp:val=&quot;002717FE&quot;/&gt;&lt;wsp:rsid wsp:val=&quot;00275BFC&quot;/&gt;&lt;wsp:rsid wsp:val=&quot;0028110E&quot;/&gt;&lt;wsp:rsid wsp:val=&quot;00284E68&quot;/&gt;&lt;wsp:rsid wsp:val=&quot;002906CC&quot;/&gt;&lt;wsp:rsid wsp:val=&quot;0029268E&quot;/&gt;&lt;wsp:rsid wsp:val=&quot;00294241&quot;/&gt;&lt;wsp:rsid wsp:val=&quot;00295EB2&quot;/&gt;&lt;wsp:rsid wsp:val=&quot;002B0C4B&quot;/&gt;&lt;wsp:rsid wsp:val=&quot;002B3250&quot;/&gt;&lt;wsp:rsid wsp:val=&quot;002B5955&quot;/&gt;&lt;wsp:rsid wsp:val=&quot;002C0577&quot;/&gt;&lt;wsp:rsid wsp:val=&quot;002C1F6A&quot;/&gt;&lt;wsp:rsid wsp:val=&quot;002C2112&quot;/&gt;&lt;wsp:rsid wsp:val=&quot;002C4C45&quot;/&gt;&lt;wsp:rsid wsp:val=&quot;002C5958&quot;/&gt;&lt;wsp:rsid wsp:val=&quot;002C6CA3&quot;/&gt;&lt;wsp:rsid wsp:val=&quot;002D21F1&quot;/&gt;&lt;wsp:rsid wsp:val=&quot;002D276F&quot;/&gt;&lt;wsp:rsid wsp:val=&quot;002D28E5&quot;/&gt;&lt;wsp:rsid wsp:val=&quot;002D4A5F&quot;/&gt;&lt;wsp:rsid wsp:val=&quot;002D5602&quot;/&gt;&lt;wsp:rsid wsp:val=&quot;002E08EA&quot;/&gt;&lt;wsp:rsid wsp:val=&quot;002E40AE&quot;/&gt;&lt;wsp:rsid wsp:val=&quot;002E5A1F&quot;/&gt;&lt;wsp:rsid wsp:val=&quot;002E6AAA&quot;/&gt;&lt;wsp:rsid wsp:val=&quot;002F27B2&quot;/&gt;&lt;wsp:rsid wsp:val=&quot;002F6295&quot;/&gt;&lt;wsp:rsid wsp:val=&quot;002F6FE2&quot;/&gt;&lt;wsp:rsid wsp:val=&quot;002F7A0E&quot;/&gt;&lt;wsp:rsid wsp:val=&quot;003023E9&quot;/&gt;&lt;wsp:rsid wsp:val=&quot;00302D87&quot;/&gt;&lt;wsp:rsid wsp:val=&quot;00305896&quot;/&gt;&lt;wsp:rsid wsp:val=&quot;00306860&quot;/&gt;&lt;wsp:rsid wsp:val=&quot;00312DD5&quot;/&gt;&lt;wsp:rsid wsp:val=&quot;00315B45&quot;/&gt;&lt;wsp:rsid wsp:val=&quot;00315C23&quot;/&gt;&lt;wsp:rsid wsp:val=&quot;0031684C&quot;/&gt;&lt;wsp:rsid wsp:val=&quot;003176FD&quot;/&gt;&lt;wsp:rsid wsp:val=&quot;00322069&quot;/&gt;&lt;wsp:rsid wsp:val=&quot;00324360&quot;/&gt;&lt;wsp:rsid wsp:val=&quot;00330EAB&quot;/&gt;&lt;wsp:rsid wsp:val=&quot;003323BC&quot;/&gt;&lt;wsp:rsid wsp:val=&quot;00337559&quot;/&gt;&lt;wsp:rsid wsp:val=&quot;00340BF6&quot;/&gt;&lt;wsp:rsid wsp:val=&quot;00341142&quot;/&gt;&lt;wsp:rsid wsp:val=&quot;003421B7&quot;/&gt;&lt;wsp:rsid wsp:val=&quot;00346BA9&quot;/&gt;&lt;wsp:rsid wsp:val=&quot;003515A0&quot;/&gt;&lt;wsp:rsid wsp:val=&quot;003524F2&quot;/&gt;&lt;wsp:rsid wsp:val=&quot;00354095&quot;/&gt;&lt;wsp:rsid wsp:val=&quot;003558B9&quot;/&gt;&lt;wsp:rsid wsp:val=&quot;003565DA&quot;/&gt;&lt;wsp:rsid wsp:val=&quot;003707CA&quot;/&gt;&lt;wsp:rsid wsp:val=&quot;003709B3&quot;/&gt;&lt;wsp:rsid wsp:val=&quot;0037300E&quot;/&gt;&lt;wsp:rsid wsp:val=&quot;00374A56&quot;/&gt;&lt;wsp:rsid wsp:val=&quot;00382998&quot;/&gt;&lt;wsp:rsid wsp:val=&quot;00383EC6&quot;/&gt;&lt;wsp:rsid wsp:val=&quot;0038425A&quot;/&gt;&lt;wsp:rsid wsp:val=&quot;00385247&quot;/&gt;&lt;wsp:rsid wsp:val=&quot;00394983&quot;/&gt;&lt;wsp:rsid wsp:val=&quot;00396CF6&quot;/&gt;&lt;wsp:rsid wsp:val=&quot;00397E1B&quot;/&gt;&lt;wsp:rsid wsp:val=&quot;00397EED&quot;/&gt;&lt;wsp:rsid wsp:val=&quot;003A1E20&quot;/&gt;&lt;wsp:rsid wsp:val=&quot;003A3AA8&quot;/&gt;&lt;wsp:rsid wsp:val=&quot;003B35A1&quot;/&gt;&lt;wsp:rsid wsp:val=&quot;003B7419&quot;/&gt;&lt;wsp:rsid wsp:val=&quot;003B7990&quot;/&gt;&lt;wsp:rsid wsp:val=&quot;003C3B05&quot;/&gt;&lt;wsp:rsid wsp:val=&quot;003C4A84&quot;/&gt;&lt;wsp:rsid wsp:val=&quot;003D2872&quot;/&gt;&lt;wsp:rsid wsp:val=&quot;003D4D70&quot;/&gt;&lt;wsp:rsid wsp:val=&quot;003D786E&quot;/&gt;&lt;wsp:rsid wsp:val=&quot;003E067C&quot;/&gt;&lt;wsp:rsid wsp:val=&quot;003E15D4&quot;/&gt;&lt;wsp:rsid wsp:val=&quot;003F2D4C&quot;/&gt;&lt;wsp:rsid wsp:val=&quot;003F72E0&quot;/&gt;&lt;wsp:rsid wsp:val=&quot;00406E7C&quot;/&gt;&lt;wsp:rsid wsp:val=&quot;004104C3&quot;/&gt;&lt;wsp:rsid wsp:val=&quot;00410ECC&quot;/&gt;&lt;wsp:rsid wsp:val=&quot;004122D4&quot;/&gt;&lt;wsp:rsid wsp:val=&quot;00414DBC&quot;/&gt;&lt;wsp:rsid wsp:val=&quot;0041692C&quot;/&gt;&lt;wsp:rsid wsp:val=&quot;00416DE2&quot;/&gt;&lt;wsp:rsid wsp:val=&quot;00423BB1&quot;/&gt;&lt;wsp:rsid wsp:val=&quot;0042453D&quot;/&gt;&lt;wsp:rsid wsp:val=&quot;00425418&quot;/&gt;&lt;wsp:rsid wsp:val=&quot;00425F6A&quot;/&gt;&lt;wsp:rsid wsp:val=&quot;00431EA9&quot;/&gt;&lt;wsp:rsid wsp:val=&quot;00434ADE&quot;/&gt;&lt;wsp:rsid wsp:val=&quot;00435DAA&quot;/&gt;&lt;wsp:rsid wsp:val=&quot;00436AAF&quot;/&gt;&lt;wsp:rsid wsp:val=&quot;004374AE&quot;/&gt;&lt;wsp:rsid wsp:val=&quot;00441B5F&quot;/&gt;&lt;wsp:rsid wsp:val=&quot;00444D1D&quot;/&gt;&lt;wsp:rsid wsp:val=&quot;00451066&quot;/&gt;&lt;wsp:rsid wsp:val=&quot;004511DE&quot;/&gt;&lt;wsp:rsid wsp:val=&quot;00455288&quot;/&gt;&lt;wsp:rsid wsp:val=&quot;00455B64&quot;/&gt;&lt;wsp:rsid wsp:val=&quot;00461370&quot;/&gt;&lt;wsp:rsid wsp:val=&quot;0046198B&quot;/&gt;&lt;wsp:rsid wsp:val=&quot;00464075&quot;/&gt;&lt;wsp:rsid wsp:val=&quot;00464CF6&quot;/&gt;&lt;wsp:rsid wsp:val=&quot;00470AD8&quot;/&gt;&lt;wsp:rsid wsp:val=&quot;0047268F&quot;/&gt;&lt;wsp:rsid wsp:val=&quot;00483B02&quot;/&gt;&lt;wsp:rsid wsp:val=&quot;004844D7&quot;/&gt;&lt;wsp:rsid wsp:val=&quot;0048748B&quot;/&gt;&lt;wsp:rsid wsp:val=&quot;00487EB4&quot;/&gt;&lt;wsp:rsid wsp:val=&quot;00491DBA&quot;/&gt;&lt;wsp:rsid wsp:val=&quot;004925F8&quot;/&gt;&lt;wsp:rsid wsp:val=&quot;004A0EAB&quot;/&gt;&lt;wsp:rsid wsp:val=&quot;004A1B43&quot;/&gt;&lt;wsp:rsid wsp:val=&quot;004A2B88&quot;/&gt;&lt;wsp:rsid wsp:val=&quot;004A4B77&quot;/&gt;&lt;wsp:rsid wsp:val=&quot;004B0F03&quot;/&gt;&lt;wsp:rsid wsp:val=&quot;004B0F7B&quot;/&gt;&lt;wsp:rsid wsp:val=&quot;004B1AB7&quot;/&gt;&lt;wsp:rsid wsp:val=&quot;004B2315&quot;/&gt;&lt;wsp:rsid wsp:val=&quot;004B402B&quot;/&gt;&lt;wsp:rsid wsp:val=&quot;004B6920&quot;/&gt;&lt;wsp:rsid wsp:val=&quot;004B7B50&quot;/&gt;&lt;wsp:rsid wsp:val=&quot;004C17DC&quot;/&gt;&lt;wsp:rsid wsp:val=&quot;004C32E9&quot;/&gt;&lt;wsp:rsid wsp:val=&quot;004C4D4F&quot;/&gt;&lt;wsp:rsid wsp:val=&quot;004C513E&quot;/&gt;&lt;wsp:rsid wsp:val=&quot;004C5676&quot;/&gt;&lt;wsp:rsid wsp:val=&quot;004D28C8&quot;/&gt;&lt;wsp:rsid wsp:val=&quot;004D70C7&quot;/&gt;&lt;wsp:rsid wsp:val=&quot;004E0D26&quot;/&gt;&lt;wsp:rsid wsp:val=&quot;004E58A4&quot;/&gt;&lt;wsp:rsid wsp:val=&quot;004E6FED&quot;/&gt;&lt;wsp:rsid wsp:val=&quot;004E711B&quot;/&gt;&lt;wsp:rsid wsp:val=&quot;004E7B16&quot;/&gt;&lt;wsp:rsid wsp:val=&quot;004F2360&quot;/&gt;&lt;wsp:rsid wsp:val=&quot;004F2B8E&quot;/&gt;&lt;wsp:rsid wsp:val=&quot;004F36B4&quot;/&gt;&lt;wsp:rsid wsp:val=&quot;004F5F5A&quot;/&gt;&lt;wsp:rsid wsp:val=&quot;00500C9D&quot;/&gt;&lt;wsp:rsid wsp:val=&quot;00506877&quot;/&gt;&lt;wsp:rsid wsp:val=&quot;0051543A&quot;/&gt;&lt;wsp:rsid wsp:val=&quot;00516642&quot;/&gt;&lt;wsp:rsid wsp:val=&quot;00517A66&quot;/&gt;&lt;wsp:rsid wsp:val=&quot;00523490&quot;/&gt;&lt;wsp:rsid wsp:val=&quot;00530C40&quot;/&gt;&lt;wsp:rsid wsp:val=&quot;00536560&quot;/&gt;&lt;wsp:rsid wsp:val=&quot;005410CA&quot;/&gt;&lt;wsp:rsid wsp:val=&quot;005411EA&quot;/&gt;&lt;wsp:rsid wsp:val=&quot;005463A7&quot;/&gt;&lt;wsp:rsid wsp:val=&quot;00546687&quot;/&gt;&lt;wsp:rsid wsp:val=&quot;00550F71&quot;/&gt;&lt;wsp:rsid wsp:val=&quot;00552B47&quot;/&gt;&lt;wsp:rsid wsp:val=&quot;00552F5B&quot;/&gt;&lt;wsp:rsid wsp:val=&quot;0055385C&quot;/&gt;&lt;wsp:rsid wsp:val=&quot;00555A10&quot;/&gt;&lt;wsp:rsid wsp:val=&quot;0055604B&quot;/&gt;&lt;wsp:rsid wsp:val=&quot;00557BC1&quot;/&gt;&lt;wsp:rsid wsp:val=&quot;005605B4&quot;/&gt;&lt;wsp:rsid wsp:val=&quot;00562176&quot;/&gt;&lt;wsp:rsid wsp:val=&quot;0056239E&quot;/&gt;&lt;wsp:rsid wsp:val=&quot;0056550F&quot;/&gt;&lt;wsp:rsid wsp:val=&quot;0057013F&quot;/&gt;&lt;wsp:rsid wsp:val=&quot;00585157&quot;/&gt;&lt;wsp:rsid wsp:val=&quot;0059215E&quot;/&gt;&lt;wsp:rsid wsp:val=&quot;00592A94&quot;/&gt;&lt;wsp:rsid wsp:val=&quot;005A340F&quot;/&gt;&lt;wsp:rsid wsp:val=&quot;005A4336&quot;/&gt;&lt;wsp:rsid wsp:val=&quot;005A4938&quot;/&gt;&lt;wsp:rsid wsp:val=&quot;005A7D1F&quot;/&gt;&lt;wsp:rsid wsp:val=&quot;005C3313&quot;/&gt;&lt;wsp:rsid wsp:val=&quot;005C6CEC&quot;/&gt;&lt;wsp:rsid wsp:val=&quot;005D2E9F&quot;/&gt;&lt;wsp:rsid wsp:val=&quot;005D3A29&quot;/&gt;&lt;wsp:rsid wsp:val=&quot;005E15A5&quot;/&gt;&lt;wsp:rsid wsp:val=&quot;005E6733&quot;/&gt;&lt;wsp:rsid wsp:val=&quot;005F0BD8&quot;/&gt;&lt;wsp:rsid wsp:val=&quot;005F133F&quot;/&gt;&lt;wsp:rsid wsp:val=&quot;005F26AA&quot;/&gt;&lt;wsp:rsid wsp:val=&quot;005F3EF2&quot;/&gt;&lt;wsp:rsid wsp:val=&quot;005F5636&quot;/&gt;&lt;wsp:rsid wsp:val=&quot;006008A4&quot;/&gt;&lt;wsp:rsid wsp:val=&quot;00604477&quot;/&gt;&lt;wsp:rsid wsp:val=&quot;0060622E&quot;/&gt;&lt;wsp:rsid wsp:val=&quot;00606263&quot;/&gt;&lt;wsp:rsid wsp:val=&quot;00607165&quot;/&gt;&lt;wsp:rsid wsp:val=&quot;006072CF&quot;/&gt;&lt;wsp:rsid wsp:val=&quot;006215DC&quot;/&gt;&lt;wsp:rsid wsp:val=&quot;00621B1A&quot;/&gt;&lt;wsp:rsid wsp:val=&quot;00622C92&quot;/&gt;&lt;wsp:rsid wsp:val=&quot;006236F2&quot;/&gt;&lt;wsp:rsid wsp:val=&quot;00626EF3&quot;/&gt;&lt;wsp:rsid wsp:val=&quot;006320DA&quot;/&gt;&lt;wsp:rsid wsp:val=&quot;00634032&quot;/&gt;&lt;wsp:rsid wsp:val=&quot;006402CC&quot;/&gt;&lt;wsp:rsid wsp:val=&quot;00643362&quot;/&gt;&lt;wsp:rsid wsp:val=&quot;00644D8A&quot;/&gt;&lt;wsp:rsid wsp:val=&quot;00645275&quot;/&gt;&lt;wsp:rsid wsp:val=&quot;0064644D&quot;/&gt;&lt;wsp:rsid wsp:val=&quot;00651067&quot;/&gt;&lt;wsp:rsid wsp:val=&quot;0065133F&quot;/&gt;&lt;wsp:rsid wsp:val=&quot;006517C4&quot;/&gt;&lt;wsp:rsid wsp:val=&quot;00654054&quot;/&gt;&lt;wsp:rsid wsp:val=&quot;0066022E&quot;/&gt;&lt;wsp:rsid wsp:val=&quot;006604DD&quot;/&gt;&lt;wsp:rsid wsp:val=&quot;00664818&quot;/&gt;&lt;wsp:rsid wsp:val=&quot;00664BAC&quot;/&gt;&lt;wsp:rsid wsp:val=&quot;00664D44&quot;/&gt;&lt;wsp:rsid wsp:val=&quot;0066576E&quot;/&gt;&lt;wsp:rsid wsp:val=&quot;006662DE&quot;/&gt;&lt;wsp:rsid wsp:val=&quot;00667940&quot;/&gt;&lt;wsp:rsid wsp:val=&quot;006717D7&quot;/&gt;&lt;wsp:rsid wsp:val=&quot;00671E79&quot;/&gt;&lt;wsp:rsid wsp:val=&quot;006772EA&quot;/&gt;&lt;wsp:rsid wsp:val=&quot;0069113F&quot;/&gt;&lt;wsp:rsid wsp:val=&quot;00694BFD&quot;/&gt;&lt;wsp:rsid wsp:val=&quot;006A1EAD&quot;/&gt;&lt;wsp:rsid wsp:val=&quot;006A2511&quot;/&gt;&lt;wsp:rsid wsp:val=&quot;006B1069&quot;/&gt;&lt;wsp:rsid wsp:val=&quot;006B2E6E&quot;/&gt;&lt;wsp:rsid wsp:val=&quot;006B5011&quot;/&gt;&lt;wsp:rsid wsp:val=&quot;006B5A51&quot;/&gt;&lt;wsp:rsid wsp:val=&quot;006C2101&quot;/&gt;&lt;wsp:rsid wsp:val=&quot;006D6929&quot;/&gt;&lt;wsp:rsid wsp:val=&quot;006E0215&quot;/&gt;&lt;wsp:rsid wsp:val=&quot;006E23EC&quot;/&gt;&lt;wsp:rsid wsp:val=&quot;006E2FA3&quot;/&gt;&lt;wsp:rsid wsp:val=&quot;006E398A&quot;/&gt;&lt;wsp:rsid wsp:val=&quot;006E3BD6&quot;/&gt;&lt;wsp:rsid wsp:val=&quot;006E5752&quot;/&gt;&lt;wsp:rsid wsp:val=&quot;006F26D4&quot;/&gt;&lt;wsp:rsid wsp:val=&quot;00701A27&quot;/&gt;&lt;wsp:rsid wsp:val=&quot;0070512B&quot;/&gt;&lt;wsp:rsid wsp:val=&quot;00705977&quot;/&gt;&lt;wsp:rsid wsp:val=&quot;00705BB7&quot;/&gt;&lt;wsp:rsid wsp:val=&quot;007063A7&quot;/&gt;&lt;wsp:rsid wsp:val=&quot;00706B29&quot;/&gt;&lt;wsp:rsid wsp:val=&quot;007109A1&quot;/&gt;&lt;wsp:rsid wsp:val=&quot;007120DC&quot;/&gt;&lt;wsp:rsid wsp:val=&quot;00717C46&quot;/&gt;&lt;wsp:rsid wsp:val=&quot;00721A31&quot;/&gt;&lt;wsp:rsid wsp:val=&quot;00726571&quot;/&gt;&lt;wsp:rsid wsp:val=&quot;007268DF&quot;/&gt;&lt;wsp:rsid wsp:val=&quot;00731545&quot;/&gt;&lt;wsp:rsid wsp:val=&quot;00731EC1&quot;/&gt;&lt;wsp:rsid wsp:val=&quot;00732815&quot;/&gt;&lt;wsp:rsid wsp:val=&quot;007369CD&quot;/&gt;&lt;wsp:rsid wsp:val=&quot;00737741&quot;/&gt;&lt;wsp:rsid wsp:val=&quot;007507D8&quot;/&gt;&lt;wsp:rsid wsp:val=&quot;007539F2&quot;/&gt;&lt;wsp:rsid wsp:val=&quot;00754047&quot;/&gt;&lt;wsp:rsid wsp:val=&quot;00764F4C&quot;/&gt;&lt;wsp:rsid wsp:val=&quot;00765EC2&quot;/&gt;&lt;wsp:rsid wsp:val=&quot;00766433&quot;/&gt;&lt;wsp:rsid wsp:val=&quot;00770E6A&quot;/&gt;&lt;wsp:rsid wsp:val=&quot;0077107E&quot;/&gt;&lt;wsp:rsid wsp:val=&quot;00773637&quot;/&gt;&lt;wsp:rsid wsp:val=&quot;0077517D&quot;/&gt;&lt;wsp:rsid wsp:val=&quot;00775A85&quot;/&gt;&lt;wsp:rsid wsp:val=&quot;007764F4&quot;/&gt;&lt;wsp:rsid wsp:val=&quot;00784B13&quot;/&gt;&lt;wsp:rsid wsp:val=&quot;00786F52&quot;/&gt;&lt;wsp:rsid wsp:val=&quot;00792411&quot;/&gt;&lt;wsp:rsid wsp:val=&quot;00794142&quot;/&gt;&lt;wsp:rsid wsp:val=&quot;00797382&quot;/&gt;&lt;wsp:rsid wsp:val=&quot;007B2700&quot;/&gt;&lt;wsp:rsid wsp:val=&quot;007B3464&quot;/&gt;&lt;wsp:rsid wsp:val=&quot;007B7265&quot;/&gt;&lt;wsp:rsid wsp:val=&quot;007D0929&quot;/&gt;&lt;wsp:rsid wsp:val=&quot;007D249C&quot;/&gt;&lt;wsp:rsid wsp:val=&quot;007D367A&quot;/&gt;&lt;wsp:rsid wsp:val=&quot;007D3D9C&quot;/&gt;&lt;wsp:rsid wsp:val=&quot;007D49D4&quot;/&gt;&lt;wsp:rsid wsp:val=&quot;007D5034&quot;/&gt;&lt;wsp:rsid wsp:val=&quot;007E3728&quot;/&gt;&lt;wsp:rsid wsp:val=&quot;007E43EC&quot;/&gt;&lt;wsp:rsid wsp:val=&quot;008010D3&quot;/&gt;&lt;wsp:rsid wsp:val=&quot;00804FA8&quot;/&gt;&lt;wsp:rsid wsp:val=&quot;00805C0A&quot;/&gt;&lt;wsp:rsid wsp:val=&quot;00811413&quot;/&gt;&lt;wsp:rsid wsp:val=&quot;00820829&quot;/&gt;&lt;wsp:rsid wsp:val=&quot;008346EF&quot;/&gt;&lt;wsp:rsid wsp:val=&quot;00834EC6&quot;/&gt;&lt;wsp:rsid wsp:val=&quot;0083582E&quot;/&gt;&lt;wsp:rsid wsp:val=&quot;00837232&quot;/&gt;&lt;wsp:rsid wsp:val=&quot;0084015D&quot;/&gt;&lt;wsp:rsid wsp:val=&quot;008407E4&quot;/&gt;&lt;wsp:rsid wsp:val=&quot;00840846&quot;/&gt;&lt;wsp:rsid wsp:val=&quot;00844126&quot;/&gt;&lt;wsp:rsid wsp:val=&quot;00844A21&quot;/&gt;&lt;wsp:rsid wsp:val=&quot;008464A7&quot;/&gt;&lt;wsp:rsid wsp:val=&quot;008557F1&quot;/&gt;&lt;wsp:rsid wsp:val=&quot;008568BE&quot;/&gt;&lt;wsp:rsid wsp:val=&quot;00862127&quot;/&gt;&lt;wsp:rsid wsp:val=&quot;00863D8B&quot;/&gt;&lt;wsp:rsid wsp:val=&quot;00866E18&quot;/&gt;&lt;wsp:rsid wsp:val=&quot;00874248&quot;/&gt;&lt;wsp:rsid wsp:val=&quot;008752DC&quot;/&gt;&lt;wsp:rsid wsp:val=&quot;00876914&quot;/&gt;&lt;wsp:rsid wsp:val=&quot;00886F63&quot;/&gt;&lt;wsp:rsid wsp:val=&quot;00887C6B&quot;/&gt;&lt;wsp:rsid wsp:val=&quot;00890117&quot;/&gt;&lt;wsp:rsid wsp:val=&quot;008923A2&quot;/&gt;&lt;wsp:rsid wsp:val=&quot;00892F68&quot;/&gt;&lt;wsp:rsid wsp:val=&quot;00893244&quot;/&gt;&lt;wsp:rsid wsp:val=&quot;00893937&quot;/&gt;&lt;wsp:rsid wsp:val=&quot;00896C73&quot;/&gt;&lt;wsp:rsid wsp:val=&quot;00897C2B&quot;/&gt;&lt;wsp:rsid wsp:val=&quot;008A108C&quot;/&gt;&lt;wsp:rsid wsp:val=&quot;008A1100&quot;/&gt;&lt;wsp:rsid wsp:val=&quot;008A156C&quot;/&gt;&lt;wsp:rsid wsp:val=&quot;008A3E90&quot;/&gt;&lt;wsp:rsid wsp:val=&quot;008A3F51&quot;/&gt;&lt;wsp:rsid wsp:val=&quot;008B0F39&quot;/&gt;&lt;wsp:rsid wsp:val=&quot;008B1714&quot;/&gt;&lt;wsp:rsid wsp:val=&quot;008B190A&quot;/&gt;&lt;wsp:rsid wsp:val=&quot;008B23FD&quot;/&gt;&lt;wsp:rsid wsp:val=&quot;008B40FC&quot;/&gt;&lt;wsp:rsid wsp:val=&quot;008B4110&quot;/&gt;&lt;wsp:rsid wsp:val=&quot;008B500F&quot;/&gt;&lt;wsp:rsid wsp:val=&quot;008B52BC&quot;/&gt;&lt;wsp:rsid wsp:val=&quot;008B6D23&quot;/&gt;&lt;wsp:rsid wsp:val=&quot;008B7B39&quot;/&gt;&lt;wsp:rsid wsp:val=&quot;008C4D44&quot;/&gt;&lt;wsp:rsid wsp:val=&quot;008C535A&quot;/&gt;&lt;wsp:rsid wsp:val=&quot;008C69AC&quot;/&gt;&lt;wsp:rsid wsp:val=&quot;008E0096&quot;/&gt;&lt;wsp:rsid wsp:val=&quot;008E20D1&quot;/&gt;&lt;wsp:rsid wsp:val=&quot;008E2752&quot;/&gt;&lt;wsp:rsid wsp:val=&quot;008E62E8&quot;/&gt;&lt;wsp:rsid wsp:val=&quot;008F397D&quot;/&gt;&lt;wsp:rsid wsp:val=&quot;008F760E&quot;/&gt;&lt;wsp:rsid wsp:val=&quot;00902247&quot;/&gt;&lt;wsp:rsid wsp:val=&quot;009039B9&quot;/&gt;&lt;wsp:rsid wsp:val=&quot;00904A6A&quot;/&gt;&lt;wsp:rsid wsp:val=&quot;00904EAF&quot;/&gt;&lt;wsp:rsid wsp:val=&quot;00905ACD&quot;/&gt;&lt;wsp:rsid wsp:val=&quot;00906483&quot;/&gt;&lt;wsp:rsid wsp:val=&quot;00910415&quot;/&gt;&lt;wsp:rsid wsp:val=&quot;00911044&quot;/&gt;&lt;wsp:rsid wsp:val=&quot;009141E4&quot;/&gt;&lt;wsp:rsid wsp:val=&quot;00916723&quot;/&gt;&lt;wsp:rsid wsp:val=&quot;009206AC&quot;/&gt;&lt;wsp:rsid wsp:val=&quot;00926071&quot;/&gt;&lt;wsp:rsid wsp:val=&quot;0093219E&quot;/&gt;&lt;wsp:rsid wsp:val=&quot;0093448C&quot;/&gt;&lt;wsp:rsid wsp:val=&quot;009354AA&quot;/&gt;&lt;wsp:rsid wsp:val=&quot;00936F7C&quot;/&gt;&lt;wsp:rsid wsp:val=&quot;00945229&quot;/&gt;&lt;wsp:rsid wsp:val=&quot;00953560&quot;/&gt;&lt;wsp:rsid wsp:val=&quot;00955633&quot;/&gt;&lt;wsp:rsid wsp:val=&quot;00956635&quot;/&gt;&lt;wsp:rsid wsp:val=&quot;00957B91&quot;/&gt;&lt;wsp:rsid wsp:val=&quot;00960F0E&quot;/&gt;&lt;wsp:rsid wsp:val=&quot;0096103B&quot;/&gt;&lt;wsp:rsid wsp:val=&quot;009659A3&quot;/&gt;&lt;wsp:rsid wsp:val=&quot;00972AA1&quot;/&gt;&lt;wsp:rsid wsp:val=&quot;00972FDF&quot;/&gt;&lt;wsp:rsid wsp:val=&quot;00974A76&quot;/&gt;&lt;wsp:rsid wsp:val=&quot;00980F54&quot;/&gt;&lt;wsp:rsid wsp:val=&quot;00981E1D&quot;/&gt;&lt;wsp:rsid wsp:val=&quot;0098354B&quot;/&gt;&lt;wsp:rsid wsp:val=&quot;00985278&quot;/&gt;&lt;wsp:rsid wsp:val=&quot;00985408&quot;/&gt;&lt;wsp:rsid wsp:val=&quot;00985BBA&quot;/&gt;&lt;wsp:rsid wsp:val=&quot;00986357&quot;/&gt;&lt;wsp:rsid wsp:val=&quot;00990061&quot;/&gt;&lt;wsp:rsid wsp:val=&quot;009907FE&quot;/&gt;&lt;wsp:rsid wsp:val=&quot;00991136&quot;/&gt;&lt;wsp:rsid wsp:val=&quot;009934B0&quot;/&gt;&lt;wsp:rsid wsp:val=&quot;00993EA6&quot;/&gt;&lt;wsp:rsid wsp:val=&quot;009951FA&quot;/&gt;&lt;wsp:rsid wsp:val=&quot;00995C33&quot;/&gt;&lt;wsp:rsid wsp:val=&quot;00997246&quot;/&gt;&lt;wsp:rsid wsp:val=&quot;009A22FA&quot;/&gt;&lt;wsp:rsid wsp:val=&quot;009A241C&quot;/&gt;&lt;wsp:rsid wsp:val=&quot;009A50F9&quot;/&gt;&lt;wsp:rsid wsp:val=&quot;009B4F88&quot;/&gt;&lt;wsp:rsid wsp:val=&quot;009B5037&quot;/&gt;&lt;wsp:rsid wsp:val=&quot;009B525C&quot;/&gt;&lt;wsp:rsid wsp:val=&quot;009B71A9&quot;/&gt;&lt;wsp:rsid wsp:val=&quot;009C1D84&quot;/&gt;&lt;wsp:rsid wsp:val=&quot;009D3895&quot;/&gt;&lt;wsp:rsid wsp:val=&quot;009D4424&quot;/&gt;&lt;wsp:rsid wsp:val=&quot;009E131E&quot;/&gt;&lt;wsp:rsid wsp:val=&quot;009E1C88&quot;/&gt;&lt;wsp:rsid wsp:val=&quot;009E3209&quot;/&gt;&lt;wsp:rsid wsp:val=&quot;009E4873&quot;/&gt;&lt;wsp:rsid wsp:val=&quot;009F2ADC&quot;/&gt;&lt;wsp:rsid wsp:val=&quot;00A036F1&quot;/&gt;&lt;wsp:rsid wsp:val=&quot;00A04E81&quot;/&gt;&lt;wsp:rsid wsp:val=&quot;00A0665D&quot;/&gt;&lt;wsp:rsid wsp:val=&quot;00A068D3&quot;/&gt;&lt;wsp:rsid wsp:val=&quot;00A11F6E&quot;/&gt;&lt;wsp:rsid wsp:val=&quot;00A16512&quot;/&gt;&lt;wsp:rsid wsp:val=&quot;00A176FC&quot;/&gt;&lt;wsp:rsid wsp:val=&quot;00A215F2&quot;/&gt;&lt;wsp:rsid wsp:val=&quot;00A223DD&quot;/&gt;&lt;wsp:rsid wsp:val=&quot;00A22D90&quot;/&gt;&lt;wsp:rsid wsp:val=&quot;00A30EF6&quot;/&gt;&lt;wsp:rsid wsp:val=&quot;00A371E5&quot;/&gt;&lt;wsp:rsid wsp:val=&quot;00A4296A&quot;/&gt;&lt;wsp:rsid wsp:val=&quot;00A43DB9&quot;/&gt;&lt;wsp:rsid wsp:val=&quot;00A43EED&quot;/&gt;&lt;wsp:rsid wsp:val=&quot;00A44B4E&quot;/&gt;&lt;wsp:rsid wsp:val=&quot;00A44D8E&quot;/&gt;&lt;wsp:rsid wsp:val=&quot;00A452B9&quot;/&gt;&lt;wsp:rsid wsp:val=&quot;00A47BA0&quot;/&gt;&lt;wsp:rsid wsp:val=&quot;00A47BF0&quot;/&gt;&lt;wsp:rsid wsp:val=&quot;00A571D5&quot;/&gt;&lt;wsp:rsid wsp:val=&quot;00A57790&quot;/&gt;&lt;wsp:rsid wsp:val=&quot;00A57F12&quot;/&gt;&lt;wsp:rsid wsp:val=&quot;00A57F96&quot;/&gt;&lt;wsp:rsid wsp:val=&quot;00A605A6&quot;/&gt;&lt;wsp:rsid wsp:val=&quot;00A66C0A&quot;/&gt;&lt;wsp:rsid wsp:val=&quot;00A74812&quot;/&gt;&lt;wsp:rsid wsp:val=&quot;00A759FE&quot;/&gt;&lt;wsp:rsid wsp:val=&quot;00A76356&quot;/&gt;&lt;wsp:rsid wsp:val=&quot;00A86765&quot;/&gt;&lt;wsp:rsid wsp:val=&quot;00A879C3&quot;/&gt;&lt;wsp:rsid wsp:val=&quot;00A9200F&quot;/&gt;&lt;wsp:rsid wsp:val=&quot;00AA243B&quot;/&gt;&lt;wsp:rsid wsp:val=&quot;00AA379A&quot;/&gt;&lt;wsp:rsid wsp:val=&quot;00AA3D08&quot;/&gt;&lt;wsp:rsid wsp:val=&quot;00AA568A&quot;/&gt;&lt;wsp:rsid wsp:val=&quot;00AA5CF9&quot;/&gt;&lt;wsp:rsid wsp:val=&quot;00AA640E&quot;/&gt;&lt;wsp:rsid wsp:val=&quot;00AA7C93&quot;/&gt;&lt;wsp:rsid wsp:val=&quot;00AB09D6&quot;/&gt;&lt;wsp:rsid wsp:val=&quot;00AB24C4&quot;/&gt;&lt;wsp:rsid wsp:val=&quot;00AB31F1&quot;/&gt;&lt;wsp:rsid wsp:val=&quot;00AB354C&quot;/&gt;&lt;wsp:rsid wsp:val=&quot;00AD0468&quot;/&gt;&lt;wsp:rsid wsp:val=&quot;00AD3106&quot;/&gt;&lt;wsp:rsid wsp:val=&quot;00AD4206&quot;/&gt;&lt;wsp:rsid wsp:val=&quot;00AE628F&quot;/&gt;&lt;wsp:rsid wsp:val=&quot;00AE67A0&quot;/&gt;&lt;wsp:rsid wsp:val=&quot;00AF0D92&quot;/&gt;&lt;wsp:rsid wsp:val=&quot;00AF3DF4&quot;/&gt;&lt;wsp:rsid wsp:val=&quot;00AF4712&quot;/&gt;&lt;wsp:rsid wsp:val=&quot;00AF5730&quot;/&gt;&lt;wsp:rsid wsp:val=&quot;00AF7ECB&quot;/&gt;&lt;wsp:rsid wsp:val=&quot;00B0057B&quot;/&gt;&lt;wsp:rsid wsp:val=&quot;00B00C08&quot;/&gt;&lt;wsp:rsid wsp:val=&quot;00B02D1F&quot;/&gt;&lt;wsp:rsid wsp:val=&quot;00B0435D&quot;/&gt;&lt;wsp:rsid wsp:val=&quot;00B046E3&quot;/&gt;&lt;wsp:rsid wsp:val=&quot;00B05F30&quot;/&gt;&lt;wsp:rsid wsp:val=&quot;00B150D9&quot;/&gt;&lt;wsp:rsid wsp:val=&quot;00B207B8&quot;/&gt;&lt;wsp:rsid wsp:val=&quot;00B26633&quot;/&gt;&lt;wsp:rsid wsp:val=&quot;00B303F0&quot;/&gt;&lt;wsp:rsid wsp:val=&quot;00B32D2A&quot;/&gt;&lt;wsp:rsid wsp:val=&quot;00B33595&quot;/&gt;&lt;wsp:rsid wsp:val=&quot;00B362E5&quot;/&gt;&lt;wsp:rsid wsp:val=&quot;00B37A70&quot;/&gt;&lt;wsp:rsid wsp:val=&quot;00B4093B&quot;/&gt;&lt;wsp:rsid wsp:val=&quot;00B52189&quot;/&gt;&lt;wsp:rsid wsp:val=&quot;00B52A37&quot;/&gt;&lt;wsp:rsid wsp:val=&quot;00B55212&quot;/&gt;&lt;wsp:rsid wsp:val=&quot;00B560DE&quot;/&gt;&lt;wsp:rsid wsp:val=&quot;00B60B0A&quot;/&gt;&lt;wsp:rsid wsp:val=&quot;00B67813&quot;/&gt;&lt;wsp:rsid wsp:val=&quot;00B729CB&quot;/&gt;&lt;wsp:rsid wsp:val=&quot;00B8045C&quot;/&gt;&lt;wsp:rsid wsp:val=&quot;00B80D4C&quot;/&gt;&lt;wsp:rsid wsp:val=&quot;00B84A8C&quot;/&gt;&lt;wsp:rsid wsp:val=&quot;00B87A0D&quot;/&gt;&lt;wsp:rsid wsp:val=&quot;00B92884&quot;/&gt;&lt;wsp:rsid wsp:val=&quot;00BA0F56&quot;/&gt;&lt;wsp:rsid wsp:val=&quot;00BA12F7&quot;/&gt;&lt;wsp:rsid wsp:val=&quot;00BA49B5&quot;/&gt;&lt;wsp:rsid wsp:val=&quot;00BB1665&quot;/&gt;&lt;wsp:rsid wsp:val=&quot;00BB2484&quot;/&gt;&lt;wsp:rsid wsp:val=&quot;00BB5263&quot;/&gt;&lt;wsp:rsid wsp:val=&quot;00BC7394&quot;/&gt;&lt;wsp:rsid wsp:val=&quot;00BD057E&quot;/&gt;&lt;wsp:rsid wsp:val=&quot;00BD0979&quot;/&gt;&lt;wsp:rsid wsp:val=&quot;00BD641F&quot;/&gt;&lt;wsp:rsid wsp:val=&quot;00BD7943&quot;/&gt;&lt;wsp:rsid wsp:val=&quot;00BE0892&quot;/&gt;&lt;wsp:rsid wsp:val=&quot;00BE4FBC&quot;/&gt;&lt;wsp:rsid wsp:val=&quot;00BE6858&quot;/&gt;&lt;wsp:rsid wsp:val=&quot;00BF021D&quot;/&gt;&lt;wsp:rsid wsp:val=&quot;00BF29DD&quot;/&gt;&lt;wsp:rsid wsp:val=&quot;00BF3463&quot;/&gt;&lt;wsp:rsid wsp:val=&quot;00BF447C&quot;/&gt;&lt;wsp:rsid wsp:val=&quot;00BF4814&quot;/&gt;&lt;wsp:rsid wsp:val=&quot;00BF49E9&quot;/&gt;&lt;wsp:rsid wsp:val=&quot;00C01929&quot;/&gt;&lt;wsp:rsid wsp:val=&quot;00C03949&quot;/&gt;&lt;wsp:rsid wsp:val=&quot;00C05B83&quot;/&gt;&lt;wsp:rsid wsp:val=&quot;00C067D5&quot;/&gt;&lt;wsp:rsid wsp:val=&quot;00C113B8&quot;/&gt;&lt;wsp:rsid wsp:val=&quot;00C2169A&quot;/&gt;&lt;wsp:rsid wsp:val=&quot;00C22EA2&quot;/&gt;&lt;wsp:rsid wsp:val=&quot;00C2326A&quot;/&gt;&lt;wsp:rsid wsp:val=&quot;00C26B3C&quot;/&gt;&lt;wsp:rsid wsp:val=&quot;00C31A9C&quot;/&gt;&lt;wsp:rsid wsp:val=&quot;00C34286&quot;/&gt;&lt;wsp:rsid wsp:val=&quot;00C410DB&quot;/&gt;&lt;wsp:rsid wsp:val=&quot;00C448B2&quot;/&gt;&lt;wsp:rsid wsp:val=&quot;00C516AC&quot;/&gt;&lt;wsp:rsid wsp:val=&quot;00C53B5B&quot;/&gt;&lt;wsp:rsid wsp:val=&quot;00C54047&quot;/&gt;&lt;wsp:rsid wsp:val=&quot;00C55F47&quot;/&gt;&lt;wsp:rsid wsp:val=&quot;00C61A56&quot;/&gt;&lt;wsp:rsid wsp:val=&quot;00C6211E&quot;/&gt;&lt;wsp:rsid wsp:val=&quot;00C7204F&quot;/&gt;&lt;wsp:rsid wsp:val=&quot;00C73AEC&quot;/&gt;&lt;wsp:rsid wsp:val=&quot;00C758D3&quot;/&gt;&lt;wsp:rsid wsp:val=&quot;00C76093&quot;/&gt;&lt;wsp:rsid wsp:val=&quot;00C76D08&quot;/&gt;&lt;wsp:rsid wsp:val=&quot;00C8042A&quot;/&gt;&lt;wsp:rsid wsp:val=&quot;00C80583&quot;/&gt;&lt;wsp:rsid wsp:val=&quot;00C80E50&quot;/&gt;&lt;wsp:rsid wsp:val=&quot;00C8488A&quot;/&gt;&lt;wsp:rsid wsp:val=&quot;00C85D39&quot;/&gt;&lt;wsp:rsid wsp:val=&quot;00C958BF&quot;/&gt;&lt;wsp:rsid wsp:val=&quot;00C9643A&quot;/&gt;&lt;wsp:rsid wsp:val=&quot;00C9693B&quot;/&gt;&lt;wsp:rsid wsp:val=&quot;00CA146D&quot;/&gt;&lt;wsp:rsid wsp:val=&quot;00CB30FA&quot;/&gt;&lt;wsp:rsid wsp:val=&quot;00CB3C08&quot;/&gt;&lt;wsp:rsid wsp:val=&quot;00CB4F66&quot;/&gt;&lt;wsp:rsid wsp:val=&quot;00CB6DAD&quot;/&gt;&lt;wsp:rsid wsp:val=&quot;00CC0DEC&quot;/&gt;&lt;wsp:rsid wsp:val=&quot;00CC21EF&quot;/&gt;&lt;wsp:rsid wsp:val=&quot;00CC2CD9&quot;/&gt;&lt;wsp:rsid wsp:val=&quot;00CC693B&quot;/&gt;&lt;wsp:rsid wsp:val=&quot;00CD3B56&quot;/&gt;&lt;wsp:rsid wsp:val=&quot;00CE033B&quot;/&gt;&lt;wsp:rsid wsp:val=&quot;00CF27C6&quot;/&gt;&lt;wsp:rsid wsp:val=&quot;00CF2CB7&quot;/&gt;&lt;wsp:rsid wsp:val=&quot;00D0796B&quot;/&gt;&lt;wsp:rsid wsp:val=&quot;00D161CC&quot;/&gt;&lt;wsp:rsid wsp:val=&quot;00D20913&quot;/&gt;&lt;wsp:rsid wsp:val=&quot;00D22ED3&quot;/&gt;&lt;wsp:rsid wsp:val=&quot;00D23A48&quot;/&gt;&lt;wsp:rsid wsp:val=&quot;00D25335&quot;/&gt;&lt;wsp:rsid wsp:val=&quot;00D30D33&quot;/&gt;&lt;wsp:rsid wsp:val=&quot;00D341A3&quot;/&gt;&lt;wsp:rsid wsp:val=&quot;00D3716D&quot;/&gt;&lt;wsp:rsid wsp:val=&quot;00D37E63&quot;/&gt;&lt;wsp:rsid wsp:val=&quot;00D40B60&quot;/&gt;&lt;wsp:rsid wsp:val=&quot;00D41DFE&quot;/&gt;&lt;wsp:rsid wsp:val=&quot;00D42B09&quot;/&gt;&lt;wsp:rsid wsp:val=&quot;00D43354&quot;/&gt;&lt;wsp:rsid wsp:val=&quot;00D466D5&quot;/&gt;&lt;wsp:rsid wsp:val=&quot;00D46882&quot;/&gt;&lt;wsp:rsid wsp:val=&quot;00D56ECE&quot;/&gt;&lt;wsp:rsid wsp:val=&quot;00D602E7&quot;/&gt;&lt;wsp:rsid wsp:val=&quot;00D63C04&quot;/&gt;&lt;wsp:rsid wsp:val=&quot;00D642A0&quot;/&gt;&lt;wsp:rsid wsp:val=&quot;00D6436F&quot;/&gt;&lt;wsp:rsid wsp:val=&quot;00D644F2&quot;/&gt;&lt;wsp:rsid wsp:val=&quot;00D71F1A&quot;/&gt;&lt;wsp:rsid wsp:val=&quot;00D747F5&quot;/&gt;&lt;wsp:rsid wsp:val=&quot;00D76DD0&quot;/&gt;&lt;wsp:rsid wsp:val=&quot;00D77FB6&quot;/&gt;&lt;wsp:rsid wsp:val=&quot;00D8266D&quot;/&gt;&lt;wsp:rsid wsp:val=&quot;00D8763D&quot;/&gt;&lt;wsp:rsid wsp:val=&quot;00D87BA0&quot;/&gt;&lt;wsp:rsid wsp:val=&quot;00D90AC5&quot;/&gt;&lt;wsp:rsid wsp:val=&quot;00D917FE&quot;/&gt;&lt;wsp:rsid wsp:val=&quot;00D95504&quot;/&gt;&lt;wsp:rsid wsp:val=&quot;00DA00FB&quot;/&gt;&lt;wsp:rsid wsp:val=&quot;00DA0CAA&quot;/&gt;&lt;wsp:rsid wsp:val=&quot;00DA2E33&quot;/&gt;&lt;wsp:rsid wsp:val=&quot;00DB2DC4&quot;/&gt;&lt;wsp:rsid wsp:val=&quot;00DC51EC&quot;/&gt;&lt;wsp:rsid wsp:val=&quot;00DC6289&quot;/&gt;&lt;wsp:rsid wsp:val=&quot;00DC653E&quot;/&gt;&lt;wsp:rsid wsp:val=&quot;00DC6DAB&quot;/&gt;&lt;wsp:rsid wsp:val=&quot;00DD1977&quot;/&gt;&lt;wsp:rsid wsp:val=&quot;00DD22D5&quot;/&gt;&lt;wsp:rsid wsp:val=&quot;00DD54B6&quot;/&gt;&lt;wsp:rsid wsp:val=&quot;00DD59E4&quot;/&gt;&lt;wsp:rsid wsp:val=&quot;00DD6F06&quot;/&gt;&lt;wsp:rsid wsp:val=&quot;00DE5FA9&quot;/&gt;&lt;wsp:rsid wsp:val=&quot;00DE6A6B&quot;/&gt;&lt;wsp:rsid wsp:val=&quot;00DF2A9E&quot;/&gt;&lt;wsp:rsid wsp:val=&quot;00DF6A07&quot;/&gt;&lt;wsp:rsid wsp:val=&quot;00E025EC&quot;/&gt;&lt;wsp:rsid wsp:val=&quot;00E04DF8&quot;/&gt;&lt;wsp:rsid wsp:val=&quot;00E066F8&quot;/&gt;&lt;wsp:rsid wsp:val=&quot;00E11A31&quot;/&gt;&lt;wsp:rsid wsp:val=&quot;00E1384C&quot;/&gt;&lt;wsp:rsid wsp:val=&quot;00E2045C&quot;/&gt;&lt;wsp:rsid wsp:val=&quot;00E21091&quot;/&gt;&lt;wsp:rsid wsp:val=&quot;00E22725&quot;/&gt;&lt;wsp:rsid wsp:val=&quot;00E24F22&quot;/&gt;&lt;wsp:rsid wsp:val=&quot;00E277FC&quot;/&gt;&lt;wsp:rsid wsp:val=&quot;00E30A47&quot;/&gt;&lt;wsp:rsid wsp:val=&quot;00E3182F&quot;/&gt;&lt;wsp:rsid wsp:val=&quot;00E31E77&quot;/&gt;&lt;wsp:rsid wsp:val=&quot;00E3549D&quot;/&gt;&lt;wsp:rsid wsp:val=&quot;00E400EE&quot;/&gt;&lt;wsp:rsid wsp:val=&quot;00E41D77&quot;/&gt;&lt;wsp:rsid wsp:val=&quot;00E5022C&quot;/&gt;&lt;wsp:rsid wsp:val=&quot;00E50CB7&quot;/&gt;&lt;wsp:rsid wsp:val=&quot;00E55BF9&quot;/&gt;&lt;wsp:rsid wsp:val=&quot;00E55FFD&quot;/&gt;&lt;wsp:rsid wsp:val=&quot;00E579A8&quot;/&gt;&lt;wsp:rsid wsp:val=&quot;00E60AC1&quot;/&gt;&lt;wsp:rsid wsp:val=&quot;00E60E8D&quot;/&gt;&lt;wsp:rsid wsp:val=&quot;00E6205E&quot;/&gt;&lt;wsp:rsid wsp:val=&quot;00E62A81&quot;/&gt;&lt;wsp:rsid wsp:val=&quot;00E654E0&quot;/&gt;&lt;wsp:rsid wsp:val=&quot;00E67ECE&quot;/&gt;&lt;wsp:rsid wsp:val=&quot;00E715DC&quot;/&gt;&lt;wsp:rsid wsp:val=&quot;00E73366&quot;/&gt;&lt;wsp:rsid wsp:val=&quot;00E733F6&quot;/&gt;&lt;wsp:rsid wsp:val=&quot;00E768A6&quot;/&gt;&lt;wsp:rsid wsp:val=&quot;00E77A3D&quot;/&gt;&lt;wsp:rsid wsp:val=&quot;00E818B7&quot;/&gt;&lt;wsp:rsid wsp:val=&quot;00E82AE2&quot;/&gt;&lt;wsp:rsid wsp:val=&quot;00E82D2B&quot;/&gt;&lt;wsp:rsid wsp:val=&quot;00E8326B&quot;/&gt;&lt;wsp:rsid wsp:val=&quot;00E85C35&quot;/&gt;&lt;wsp:rsid wsp:val=&quot;00E8783F&quot;/&gt;&lt;wsp:rsid wsp:val=&quot;00E92238&quot;/&gt;&lt;wsp:rsid wsp:val=&quot;00E9549E&quot;/&gt;&lt;wsp:rsid wsp:val=&quot;00E97C03&quot;/&gt;&lt;wsp:rsid wsp:val=&quot;00EA1F71&quot;/&gt;&lt;wsp:rsid wsp:val=&quot;00EA422A&quot;/&gt;&lt;wsp:rsid wsp:val=&quot;00EA5F72&quot;/&gt;&lt;wsp:rsid wsp:val=&quot;00EB0C2E&quot;/&gt;&lt;wsp:rsid wsp:val=&quot;00EB44B4&quot;/&gt;&lt;wsp:rsid wsp:val=&quot;00EB6B4B&quot;/&gt;&lt;wsp:rsid wsp:val=&quot;00EC1A7D&quot;/&gt;&lt;wsp:rsid wsp:val=&quot;00EC2228&quot;/&gt;&lt;wsp:rsid wsp:val=&quot;00EC22C5&quot;/&gt;&lt;wsp:rsid wsp:val=&quot;00ED12C1&quot;/&gt;&lt;wsp:rsid wsp:val=&quot;00ED2310&quot;/&gt;&lt;wsp:rsid wsp:val=&quot;00ED5DB2&quot;/&gt;&lt;wsp:rsid wsp:val=&quot;00ED621B&quot;/&gt;&lt;wsp:rsid wsp:val=&quot;00EE009C&quot;/&gt;&lt;wsp:rsid wsp:val=&quot;00EE49F7&quot;/&gt;&lt;wsp:rsid wsp:val=&quot;00EE5395&quot;/&gt;&lt;wsp:rsid wsp:val=&quot;00EE5BAA&quot;/&gt;&lt;wsp:rsid wsp:val=&quot;00EF466C&quot;/&gt;&lt;wsp:rsid wsp:val=&quot;00F00D1E&quot;/&gt;&lt;wsp:rsid wsp:val=&quot;00F01220&quot;/&gt;&lt;wsp:rsid wsp:val=&quot;00F03D35&quot;/&gt;&lt;wsp:rsid wsp:val=&quot;00F04471&quot;/&gt;&lt;wsp:rsid wsp:val=&quot;00F12CA9&quot;/&gt;&lt;wsp:rsid wsp:val=&quot;00F14DA0&quot;/&gt;&lt;wsp:rsid wsp:val=&quot;00F150F3&quot;/&gt;&lt;wsp:rsid wsp:val=&quot;00F16C38&quot;/&gt;&lt;wsp:rsid wsp:val=&quot;00F16C3F&quot;/&gt;&lt;wsp:rsid wsp:val=&quot;00F207EF&quot;/&gt;&lt;wsp:rsid wsp:val=&quot;00F221B3&quot;/&gt;&lt;wsp:rsid wsp:val=&quot;00F2297B&quot;/&gt;&lt;wsp:rsid wsp:val=&quot;00F323AA&quot;/&gt;&lt;wsp:rsid wsp:val=&quot;00F34226&quot;/&gt;&lt;wsp:rsid wsp:val=&quot;00F357E7&quot;/&gt;&lt;wsp:rsid wsp:val=&quot;00F37290&quot;/&gt;&lt;wsp:rsid wsp:val=&quot;00F40C5D&quot;/&gt;&lt;wsp:rsid wsp:val=&quot;00F43A29&quot;/&gt;&lt;wsp:rsid wsp:val=&quot;00F4400B&quot;/&gt;&lt;wsp:rsid wsp:val=&quot;00F51191&quot;/&gt;&lt;wsp:rsid wsp:val=&quot;00F52C7D&quot;/&gt;&lt;wsp:rsid wsp:val=&quot;00F56072&quot;/&gt;&lt;wsp:rsid wsp:val=&quot;00F617C5&quot;/&gt;&lt;wsp:rsid wsp:val=&quot;00F625DB&quot;/&gt;&lt;wsp:rsid wsp:val=&quot;00F63640&quot;/&gt;&lt;wsp:rsid wsp:val=&quot;00F63D4E&quot;/&gt;&lt;wsp:rsid wsp:val=&quot;00F73488&quot;/&gt;&lt;wsp:rsid wsp:val=&quot;00F737EC&quot;/&gt;&lt;wsp:rsid wsp:val=&quot;00F75519&quot;/&gt;&lt;wsp:rsid wsp:val=&quot;00F81363&quot;/&gt;&lt;wsp:rsid wsp:val=&quot;00F900B2&quot;/&gt;&lt;wsp:rsid wsp:val=&quot;00F90586&quot;/&gt;&lt;wsp:rsid wsp:val=&quot;00F948B9&quot;/&gt;&lt;wsp:rsid wsp:val=&quot;00F948E5&quot;/&gt;&lt;wsp:rsid wsp:val=&quot;00F95D33&quot;/&gt;&lt;wsp:rsid wsp:val=&quot;00F95FC2&quot;/&gt;&lt;wsp:rsid wsp:val=&quot;00F96B4F&quot;/&gt;&lt;wsp:rsid wsp:val=&quot;00FA0440&quot;/&gt;&lt;wsp:rsid wsp:val=&quot;00FA4444&quot;/&gt;&lt;wsp:rsid wsp:val=&quot;00FA6A0C&quot;/&gt;&lt;wsp:rsid wsp:val=&quot;00FA6A7E&quot;/&gt;&lt;wsp:rsid wsp:val=&quot;00FB4229&quot;/&gt;&lt;wsp:rsid wsp:val=&quot;00FB7B41&quot;/&gt;&lt;wsp:rsid wsp:val=&quot;00FC5C38&quot;/&gt;&lt;wsp:rsid wsp:val=&quot;00FC60EC&quot;/&gt;&lt;wsp:rsid wsp:val=&quot;00FC6C3D&quot;/&gt;&lt;wsp:rsid wsp:val=&quot;00FC7EA3&quot;/&gt;&lt;wsp:rsid wsp:val=&quot;00FC7FD7&quot;/&gt;&lt;wsp:rsid wsp:val=&quot;00FD6BC0&quot;/&gt;&lt;wsp:rsid wsp:val=&quot;00FE17A7&quot;/&gt;&lt;wsp:rsid wsp:val=&quot;00FE3FCB&quot;/&gt;&lt;wsp:rsid wsp:val=&quot;00FE4CEE&quot;/&gt;&lt;wsp:rsid wsp:val=&quot;00FE7B8F&quot;/&gt;&lt;wsp:rsid wsp:val=&quot;00FF1FE0&quot;/&gt;&lt;wsp:rsid wsp:val=&quot;00FF2071&quot;/&gt;&lt;wsp:rsid wsp:val=&quot;00FF242E&quot;/&gt;&lt;wsp:rsid wsp:val=&quot;00FF284D&quot;/&gt;&lt;wsp:rsid wsp:val=&quot;00FF2D0D&quot;/&gt;&lt;wsp:rsid wsp:val=&quot;00FF4CE1&quot;/&gt;&lt;/wsp:rsids&gt;&lt;/w:docPr&gt;&lt;w:body&gt;&lt;wx:sect&gt;&lt;w:p wsp:rsidR=&quot;00000000&quot; wsp:rsidRDefault=&quot;00953560&quot; wsp:rsidP=&quot;00953560&quot;&gt;&lt;m:oMathPara&gt;&lt;m:oMath&gt;&lt;m:r&gt;&lt;w:rPr&gt;&lt;w:rFonts w:ascii=&quot;Cambria Math&quot; w:h-ansi=&quot;Cambria Math&quot;/&gt;&lt;wx:font wx:val=&quot;Cambria Math&quot;/&gt;&lt;w:i/&gt;&lt;w:lang w:val=&quot;EN-US&quot;/&gt;&lt;/w:rPr&gt;&lt;m:t&gt;?± 2&lt;/m:t&gt;&lt;/m:r&gt;&lt;/m:oMath&gt;&lt;/m:oMathPara&gt;&lt;/w:p&gt;&lt;w:sectPr wsp:rsidR=&quot;00000000&quot;&gt;&lt;w:pgSz w:&quot;&quot;&quot;&quot;&quot;w=&quot;12240&quot; w:h=&quot;15840&quot;/&gt;&lt;w:pgMar w:top=&quot;1417&quot; w:right=&quot;1417&quot; w:bottom=&quot;1417&quot; w:left=&quot;1417&quot; w:header=&quot;720&quot; w:footer=&quot;720&quot; w:gutter=&quot;0&quot;/&gt;&lt;w:cols w:space=&quot;720&quot;/&gt;&lt;/w:sectPr&gt;&lt;/wx:sect&gt;&lt;/w:body&gt;&lt;/w:wordDocument&gt;">
                  <v:imagedata r:id="rId9" o:title="" chromakey="white"/>
                </v:shape>
              </w:pict>
            </w:r>
            <w:r w:rsidRPr="00257F02">
              <w:rPr>
                <w:rFonts w:ascii="Book Antiqua" w:hAnsi="Book Antiqua"/>
                <w:lang w:val="en-US"/>
              </w:rPr>
              <w:instrText xml:space="preserve"> </w:instrText>
            </w:r>
            <w:r w:rsidRPr="00257F02">
              <w:rPr>
                <w:rFonts w:ascii="Book Antiqua" w:hAnsi="Book Antiqua"/>
                <w:lang w:val="en-US"/>
              </w:rPr>
              <w:fldChar w:fldCharType="separate"/>
            </w:r>
            <w:r w:rsidRPr="0035013A">
              <w:rPr>
                <w:rFonts w:ascii="Book Antiqua" w:hAnsi="Book Antiqua"/>
              </w:rPr>
              <w:t>±</w:t>
            </w:r>
            <w:r>
              <w:rPr>
                <w:rFonts w:ascii="Book Antiqua" w:hAnsi="Book Antiqua"/>
              </w:rPr>
              <w:t xml:space="preserve"> 2</w:t>
            </w:r>
            <w:r w:rsidRPr="00257F02">
              <w:rPr>
                <w:rFonts w:ascii="Book Antiqua" w:hAnsi="Book Antiqua"/>
                <w:lang w:val="en-US"/>
              </w:rPr>
              <w:fldChar w:fldCharType="end"/>
            </w:r>
            <w:r w:rsidRPr="00257F02">
              <w:rPr>
                <w:rFonts w:ascii="Book Antiqua" w:hAnsi="Book Antiqua"/>
                <w:lang w:val="en-US"/>
              </w:rPr>
              <w:t>.5</w:t>
            </w:r>
          </w:p>
        </w:tc>
        <w:tc>
          <w:tcPr>
            <w:tcW w:w="955"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0.07</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0.01</w:t>
            </w:r>
          </w:p>
          <w:p w:rsidR="001D4918" w:rsidRPr="00257F02" w:rsidRDefault="001D4918" w:rsidP="007742D4">
            <w:pPr>
              <w:spacing w:line="360" w:lineRule="auto"/>
              <w:jc w:val="both"/>
              <w:rPr>
                <w:rFonts w:ascii="Book Antiqua" w:hAnsi="Book Antiqua"/>
                <w:b/>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0.08</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rPr>
            </w:pPr>
            <w:proofErr w:type="spellStart"/>
            <w:r w:rsidRPr="00257F02">
              <w:rPr>
                <w:rFonts w:ascii="Book Antiqua" w:hAnsi="Book Antiqua"/>
                <w:lang w:val="en-US"/>
              </w:rPr>
              <w:t>Tsibouris</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{"citationID":"lxgnJT3K","properties":{"formattedCitation":"\\super [86]\\nosupersub{}","plainCitation":"[86]","noteIndex":0},"citationItems":[{"id":2643,"uris":["http://zotero.org/users/3734960/items/KTELRD84"],"uri":["http://zotero.org/users/3734960/items/KTELRD84"],"itemData":{"id":2643,"type":"article-journal","title":"When Crohn's disease is in remission, more patients complete capsule endoscopy study but less lesions are identified","container-title":"Saudi Journal of Gastroenterology: Official Journal of the Saudi Gastroenterology Association","page":"63-68","volume":"19","issue":"2","source":"PubMed","abstract":"BACKGROUND AND AIMS: Wireless capsule endoscopy (WCE) is used in Crohn's disease (CD) to define disease extent. We aimed to define WCE detection rate of small bowel ulcerative lesions and completion rate in CD patients.\nPATIENTS AND METHODS: A total of 102 consecutive CD patients, who successfully passed patency capsule, were matched to 102 controls. WCE was performed in both patients (in acute phase and CD clinical remission) and controls.\nRESULTS: Eighty-six (84%) controls versus 62 (61%) patients in the acute phase ( P = 0.003) and 96 (94%) in remission ( P = 0.02) completed WCE study. Gastric passing time was 48 ± 66 min in controls, 66 ± 82 min in CD acute phase ( P = 0.03) and 30 ± 21 min in remission ( P = 0.07). Small bowel passing time was 276 ± 78 min in controls, 299 ± 78 min in the acute phase of CD ( P = 0.04) and 248 ± 89 min in remission ( P = 0.01). Mean capsule endoscopy Crohn's disease activity index (CECDAI) score was 14 ± 6 in acute small bowel CD, 12 ± 7 in acute small-large bowel CD ( P = 0.08) and 2 ± 2 in both CD types while in remission ( P = 1.00). Small bowel ulcerative lesions in the acute phase were more frequently in distal small bowel. Aphthous ulcers were frequent a month after entering clinical remission and tend to disappear gradually later on. No ulcerative lesions were present in deep remission. Patency capsule is rather safe to exclude small bowel obstruction.\nCONCLUSIONS: (1) A high percentage of patients with active CD do not complete small bowel study with WCE. (2) Small bowel ulcerative lesions in clinical remission were less severe, although at least 6 months are needed in order for them to disappear.","DOI":"10.4103/1319-3767.108468","ISSN":"1998-4049","note":"PMID: 23481131\nPMCID: PMC3632012","journalAbbreviation":"Saudi J Gastroenterol","language":"eng","author":[{"family":"Tsibouris","given":"Panagiotis"},{"family":"Periklis","given":"Apostolopoulos"},{"family":"Chrissostomos","given":"Kalantzis"},{"family":"Antonios","given":"Zalonis"},{"family":"Panagiota","given":"Mavrogianni"},{"family":"Erasmia","given":"Vlachou"},{"family":"Georgios","given":"Alexandrakis"}],"issued":{"date-parts":[["2013",4]]}}}],"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w:t>
            </w:r>
            <w:bookmarkStart w:id="185" w:name="_GoBack"/>
            <w:r w:rsidRPr="00257F02">
              <w:rPr>
                <w:rFonts w:ascii="Book Antiqua" w:hAnsi="Book Antiqua"/>
                <w:vertAlign w:val="superscript"/>
              </w:rPr>
              <w:t>86]</w:t>
            </w:r>
            <w:bookmarkEnd w:id="185"/>
            <w:r w:rsidRPr="00257F02">
              <w:rPr>
                <w:rFonts w:ascii="Book Antiqua" w:hAnsi="Book Antiqua"/>
                <w:lang w:val="en-US"/>
              </w:rPr>
              <w:fldChar w:fldCharType="end"/>
            </w:r>
            <w:r w:rsidRPr="00257F02">
              <w:rPr>
                <w:rFonts w:ascii="Book Antiqua" w:hAnsi="Book Antiqua"/>
              </w:rPr>
              <w:t>, 2013</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102</w:t>
            </w:r>
            <w:r>
              <w:rPr>
                <w:rFonts w:ascii="Book Antiqua" w:hAnsi="Book Antiqua"/>
                <w:vertAlign w:val="superscript"/>
              </w:rPr>
              <w:t>1</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imes-Roman"/>
              </w:rPr>
            </w:pPr>
            <w:r w:rsidRPr="00257F02">
              <w:rPr>
                <w:rFonts w:ascii="Book Antiqua" w:hAnsi="Book Antiqua" w:cs="Times-Roman"/>
              </w:rPr>
              <w:t>-</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ransitional521BT-RomanA"/>
                <w:lang w:val="en-US"/>
              </w:rPr>
            </w:pPr>
            <w:r w:rsidRPr="00257F02">
              <w:rPr>
                <w:rFonts w:ascii="Book Antiqua" w:hAnsi="Book Antiqua"/>
                <w:lang w:val="en-US"/>
              </w:rPr>
              <w:t>≥</w:t>
            </w:r>
            <w:r>
              <w:rPr>
                <w:rFonts w:ascii="Book Antiqua" w:hAnsi="Book Antiqua"/>
                <w:lang w:val="en-US"/>
              </w:rPr>
              <w:t xml:space="preserve"> </w:t>
            </w:r>
            <w:r w:rsidRPr="00257F02">
              <w:rPr>
                <w:rFonts w:ascii="Book Antiqua" w:hAnsi="Book Antiqua" w:cs="Transitional521BT-RomanA"/>
                <w:lang w:val="en-US"/>
              </w:rPr>
              <w:t xml:space="preserve">15 d after CDAI dropped </w:t>
            </w:r>
          </w:p>
          <w:p w:rsidR="001D4918" w:rsidRPr="00257F02" w:rsidRDefault="001D4918" w:rsidP="007742D4">
            <w:pPr>
              <w:autoSpaceDE w:val="0"/>
              <w:autoSpaceDN w:val="0"/>
              <w:adjustRightInd w:val="0"/>
              <w:spacing w:line="360" w:lineRule="auto"/>
              <w:jc w:val="both"/>
              <w:rPr>
                <w:rFonts w:ascii="Book Antiqua" w:hAnsi="Book Antiqua" w:cs="Transitional521BT-RomanA"/>
                <w:lang w:val="en-US"/>
              </w:rPr>
            </w:pPr>
            <w:r w:rsidRPr="00257F02">
              <w:rPr>
                <w:rFonts w:ascii="Book Antiqua" w:hAnsi="Book Antiqua" w:cs="Transitional521BT-RomanA"/>
                <w:lang w:val="en-US"/>
              </w:rPr>
              <w:t>&lt;</w:t>
            </w:r>
            <w:r>
              <w:rPr>
                <w:rFonts w:ascii="Book Antiqua" w:hAnsi="Book Antiqua" w:cs="Transitional521BT-RomanA"/>
                <w:lang w:val="en-US"/>
              </w:rPr>
              <w:t xml:space="preserve"> </w:t>
            </w:r>
            <w:r w:rsidRPr="00257F02">
              <w:rPr>
                <w:rFonts w:ascii="Book Antiqua" w:hAnsi="Book Antiqua" w:cs="Transitional521BT-RomanA"/>
                <w:lang w:val="en-US"/>
              </w:rPr>
              <w:t>150:</w:t>
            </w:r>
          </w:p>
          <w:p w:rsidR="001D4918" w:rsidRPr="00257F02" w:rsidRDefault="001D4918" w:rsidP="007742D4">
            <w:pPr>
              <w:autoSpaceDE w:val="0"/>
              <w:autoSpaceDN w:val="0"/>
              <w:adjustRightInd w:val="0"/>
              <w:spacing w:line="360" w:lineRule="auto"/>
              <w:jc w:val="both"/>
              <w:rPr>
                <w:rFonts w:ascii="Book Antiqua" w:hAnsi="Book Antiqua" w:cs="Transitional521BT-RomanA"/>
                <w:lang w:val="en-US"/>
              </w:rPr>
            </w:pPr>
            <w:r w:rsidRPr="00257F02">
              <w:rPr>
                <w:rFonts w:ascii="Book Antiqua" w:hAnsi="Book Antiqua" w:cs="Transitional521BT-RomanA"/>
                <w:lang w:val="en-US"/>
              </w:rPr>
              <w:t xml:space="preserve">2-3 mo. (26.5%) </w:t>
            </w:r>
          </w:p>
          <w:p w:rsidR="001D4918" w:rsidRPr="00257F02" w:rsidRDefault="001D4918" w:rsidP="007742D4">
            <w:pPr>
              <w:autoSpaceDE w:val="0"/>
              <w:autoSpaceDN w:val="0"/>
              <w:adjustRightInd w:val="0"/>
              <w:spacing w:line="360" w:lineRule="auto"/>
              <w:jc w:val="both"/>
              <w:rPr>
                <w:rFonts w:ascii="Book Antiqua" w:hAnsi="Book Antiqua" w:cs="Transitional521BT-RomanA"/>
              </w:rPr>
            </w:pPr>
            <w:r w:rsidRPr="00257F02">
              <w:rPr>
                <w:rFonts w:ascii="Book Antiqua" w:hAnsi="Book Antiqua" w:cs="Transitional521BT-RomanA"/>
              </w:rPr>
              <w:t>3-6 mo. (19.6%)</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cs="Transitional521BT-RomanA"/>
              </w:rPr>
              <w:t>6-12 mo. (53.9%)</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 xml:space="preserve">CECDAI score, </w:t>
            </w:r>
            <w:r w:rsidRPr="00257F02">
              <w:rPr>
                <w:rFonts w:ascii="Book Antiqua" w:hAnsi="Book Antiqua"/>
                <w:lang w:val="en-US"/>
              </w:rPr>
              <w:t xml:space="preserve">mean </w:t>
            </w:r>
            <w:r w:rsidRPr="0035013A">
              <w:rPr>
                <w:rFonts w:ascii="Book Antiqua" w:hAnsi="Book Antiqua"/>
              </w:rPr>
              <w:t>±</w:t>
            </w:r>
            <w:r w:rsidRPr="00257F02">
              <w:rPr>
                <w:rFonts w:ascii="Book Antiqua" w:hAnsi="Book Antiqua"/>
                <w:lang w:val="en-US"/>
              </w:rPr>
              <w:t xml:space="preserve"> SD</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14 </w:t>
            </w:r>
            <w:r w:rsidRPr="0035013A">
              <w:rPr>
                <w:rFonts w:ascii="Book Antiqua" w:hAnsi="Book Antiqua"/>
              </w:rPr>
              <w:t>±</w:t>
            </w:r>
            <w:r>
              <w:rPr>
                <w:rFonts w:ascii="Book Antiqua" w:hAnsi="Book Antiqua"/>
              </w:rPr>
              <w:t xml:space="preserve"> </w:t>
            </w:r>
            <w:r w:rsidRPr="00257F02">
              <w:rPr>
                <w:rFonts w:ascii="Book Antiqua" w:hAnsi="Book Antiqua"/>
                <w:lang w:val="en-US"/>
              </w:rPr>
              <w:t>6</w:t>
            </w:r>
          </w:p>
          <w:p w:rsidR="001D4918" w:rsidRPr="00257F02" w:rsidRDefault="001D4918" w:rsidP="007742D4">
            <w:pPr>
              <w:spacing w:line="360" w:lineRule="auto"/>
              <w:jc w:val="both"/>
              <w:rPr>
                <w:rFonts w:ascii="Book Antiqua" w:hAnsi="Book Antiqua"/>
              </w:rPr>
            </w:pP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4 </w:t>
            </w:r>
            <w:r w:rsidRPr="0035013A">
              <w:rPr>
                <w:rFonts w:ascii="Book Antiqua" w:hAnsi="Book Antiqua"/>
              </w:rPr>
              <w:t>±</w:t>
            </w:r>
            <w:r>
              <w:rPr>
                <w:rFonts w:ascii="Book Antiqua" w:hAnsi="Book Antiqua"/>
              </w:rPr>
              <w:t xml:space="preserve"> </w:t>
            </w:r>
            <w:r w:rsidRPr="00257F02">
              <w:rPr>
                <w:rFonts w:ascii="Book Antiqua" w:hAnsi="Book Antiqua"/>
                <w:lang w:val="en-US"/>
              </w:rPr>
              <w:t>2</w:t>
            </w:r>
          </w:p>
          <w:p w:rsidR="001D4918" w:rsidRPr="00257F02" w:rsidRDefault="001D4918" w:rsidP="007742D4">
            <w:pPr>
              <w:spacing w:line="360" w:lineRule="auto"/>
              <w:jc w:val="both"/>
              <w:rPr>
                <w:rFonts w:ascii="Book Antiqua" w:eastAsia="Times New Roman" w:hAnsi="Book Antiqua"/>
              </w:rPr>
            </w:pPr>
          </w:p>
        </w:tc>
        <w:tc>
          <w:tcPr>
            <w:tcW w:w="955"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 xml:space="preserve">Niv </w:t>
            </w:r>
            <w:r w:rsidRPr="00583FDF">
              <w:rPr>
                <w:rFonts w:ascii="Book Antiqua" w:hAnsi="Book Antiqua"/>
                <w:i/>
                <w:iCs/>
              </w:rPr>
              <w:t>et al</w:t>
            </w:r>
            <w:r w:rsidRPr="00257F02">
              <w:rPr>
                <w:rFonts w:ascii="Book Antiqua" w:hAnsi="Book Antiqua"/>
              </w:rPr>
              <w:fldChar w:fldCharType="begin"/>
            </w:r>
            <w:r w:rsidRPr="00257F02">
              <w:rPr>
                <w:rFonts w:ascii="Book Antiqua" w:hAnsi="Book Antiqua"/>
              </w:rPr>
              <w:instrText xml:space="preserve"> ADDIN ZOTERO_ITEM CSL_CITATION {"citationID":"SOuGjKnH","properties":{"formattedCitation":"\\super [44]\\nosupersub{}","plainCitation":"[44]","noteIndex":0},"citationItems":[{"id":2665,"uris":["http://zotero.org/users/3734960/items/LYFCP4EQ"],"uri":["http://zotero.org/users/3734960/items/LYFCP4EQ"],"itemData":{"id":2665,"type":"article-journal","title":"Sequential capsule endoscopy of the small bowel for follow-up of patients with known Crohn's disease","container-title":"Journal of Crohn's &amp; Colitis","page":"1616-1623","volume":"8","issue":"12","source":"PubMed","abstract":"BACKGROUND AND AIMS: The aim of this study was to perform sequential small bowel (SB) capsule endoscopy (CE) studies in patients with known active Crohn's disease (CD) during different treatments, to characterize the changes in the SB mucosa over time, and to correlate the CE findings with clinical and laboratory parameters of inflammation.\nMETHODS: Consecutive patients with known moderately active CD were prospectively recruited. After proven patency with Agile capsule, CE studies were performed at baseline and after 4, 12 and 24 weeks. CE parameters and a Lewis score were calculated. Clinical and laboratory parameters were correlated. A control group of 178 non-CD patients was used for comparisons.\nRESULTS: Thirty-one CD patients were recruited and 19 met the inclusion criteria. A total of 43 CE studies were performed over the time. There was no capsule retention despite a high rate of previous SB surgery. The mean baseline CDAI, IBDQ and Lewis scores were 306±56, 135±26.6 and 1730±1780, respectively. There was no correlation at the baseline between clinical and laboratory parameters (CDAI, CRP, IBDQ) and mucosal disease (Lewis scores). CDAI and IBDQ changes over a period of 4 and 12 weeks did not correlate with the Lewis score. The cecum arrival rate of the CD patients was significantly lower (p=0.0047) and the SB transit time was significantly longer (p=0.005) compared to those of the controls.\nCONCLUSIONS: Sequential CE studies are feasible and safe in CD patients. In patients with complete CE studies, they provide reliable information on mucosal changes in CD and should be considered as an independent and objective follow-up tool in known CD patients.","DOI":"10.1016/j.crohns.2014.03.003","ISSN":"1876-4479","note":"PMID: 24666976","journalAbbreviation":"J Crohns Colitis","language":"eng","author":[{"family":"Niv","given":"Eva"},{"family":"Fishman","given":"Sigal"},{"family":"Kachman","given":"Helena"},{"family":"Arnon","given":"Ruth"},{"family":"Dotan","given":"Iris"}],"issued":{"date-parts":[["2014",12]]}}}],"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[44]</w:t>
            </w:r>
            <w:r w:rsidRPr="00257F02">
              <w:rPr>
                <w:rFonts w:ascii="Book Antiqua" w:hAnsi="Book Antiqua"/>
              </w:rPr>
              <w:fldChar w:fldCharType="end"/>
            </w:r>
            <w:r w:rsidRPr="00257F02">
              <w:rPr>
                <w:rFonts w:ascii="Book Antiqua" w:hAnsi="Book Antiqua"/>
              </w:rPr>
              <w:t>, 2014</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19</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Copaxone (68.4%)</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5-ASA (52.6%)</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lastRenderedPageBreak/>
              <w:t>Antibiotics (15.8%)</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 xml:space="preserve">CS (5.3%) </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IS (10.5%)</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Vitamins (26.3%)</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Times-Roman"/>
                <w:lang w:val="en-US"/>
              </w:rPr>
              <w:t>Others (36.8%)</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12 </w:t>
            </w:r>
            <w:proofErr w:type="spellStart"/>
            <w:r w:rsidRPr="00257F02">
              <w:rPr>
                <w:rFonts w:ascii="Book Antiqua" w:hAnsi="Book Antiqua"/>
                <w:lang w:val="en-US"/>
              </w:rPr>
              <w:t>wk</w:t>
            </w:r>
            <w:proofErr w:type="spellEnd"/>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Lewis score, mean </w:t>
            </w:r>
            <w:r w:rsidRPr="00257F02">
              <w:rPr>
                <w:rFonts w:ascii="Book Antiqua" w:hAnsi="Book Antiqua"/>
                <w:lang w:val="en-US"/>
              </w:rPr>
              <w:fldChar w:fldCharType="begin"/>
            </w:r>
            <w:r w:rsidRPr="00257F02">
              <w:rPr>
                <w:rFonts w:ascii="Book Antiqua" w:hAnsi="Book Antiqua"/>
                <w:lang w:val="en-US"/>
              </w:rPr>
              <w:instrText xml:space="preserve"> QUOTE </w:instrText>
            </w:r>
            <w:r w:rsidR="00B10CF2">
              <w:pict>
                <v:shape id="_x0000_i1026" type="#_x0000_t75" style="width:11.2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D70C7&quot;/&gt;&lt;wsp:rsid wsp:val=&quot;00000D1D&quot;/&gt;&lt;wsp:rsid wsp:val=&quot;000015F9&quot;/&gt;&lt;wsp:rsid wsp:val=&quot;00005F55&quot;/&gt;&lt;wsp:rsid wsp:val=&quot;00006154&quot;/&gt;&lt;wsp:rsid wsp:val=&quot;00011021&quot;/&gt;&lt;wsp:rsid wsp:val=&quot;00015A76&quot;/&gt;&lt;wsp:rsid wsp:val=&quot;000178C2&quot;/&gt;&lt;wsp:rsid wsp:val=&quot;00020272&quot;/&gt;&lt;wsp:rsid wsp:val=&quot;0003013D&quot;/&gt;&lt;wsp:rsid wsp:val=&quot;00033AF3&quot;/&gt;&lt;wsp:rsid wsp:val=&quot;000353FA&quot;/&gt;&lt;wsp:rsid wsp:val=&quot;00035680&quot;/&gt;&lt;wsp:rsid wsp:val=&quot;0004098B&quot;/&gt;&lt;wsp:rsid wsp:val=&quot;00042FF0&quot;/&gt;&lt;wsp:rsid wsp:val=&quot;00047270&quot;/&gt;&lt;wsp:rsid wsp:val=&quot;00060B16&quot;/&gt;&lt;wsp:rsid wsp:val=&quot;000636C8&quot;/&gt;&lt;wsp:rsid wsp:val=&quot;000658CA&quot;/&gt;&lt;wsp:rsid wsp:val=&quot;00065DAA&quot;/&gt;&lt;wsp:rsid wsp:val=&quot;0007334A&quot;/&gt;&lt;wsp:rsid wsp:val=&quot;00075527&quot;/&gt;&lt;wsp:rsid wsp:val=&quot;0007626C&quot;/&gt;&lt;wsp:rsid wsp:val=&quot;00077DEC&quot;/&gt;&lt;wsp:rsid wsp:val=&quot;000844FD&quot;/&gt;&lt;wsp:rsid wsp:val=&quot;00092081&quot;/&gt;&lt;wsp:rsid wsp:val=&quot;00093131&quot;/&gt;&lt;wsp:rsid wsp:val=&quot;00094D87&quot;/&gt;&lt;wsp:rsid wsp:val=&quot;00097C14&quot;/&gt;&lt;wsp:rsid wsp:val=&quot;000A4C91&quot;/&gt;&lt;wsp:rsid wsp:val=&quot;000A521C&quot;/&gt;&lt;wsp:rsid wsp:val=&quot;000A6AD1&quot;/&gt;&lt;wsp:rsid wsp:val=&quot;000A7C1C&quot;/&gt;&lt;wsp:rsid wsp:val=&quot;000B769F&quot;/&gt;&lt;wsp:rsid wsp:val=&quot;000C29B4&quot;/&gt;&lt;wsp:rsid wsp:val=&quot;000C33AD&quot;/&gt;&lt;wsp:rsid wsp:val=&quot;000C4869&quot;/&gt;&lt;wsp:rsid wsp:val=&quot;000C4BF1&quot;/&gt;&lt;wsp:rsid wsp:val=&quot;000C5D35&quot;/&gt;&lt;wsp:rsid wsp:val=&quot;000C6879&quot;/&gt;&lt;wsp:rsid wsp:val=&quot;000D149F&quot;/&gt;&lt;wsp:rsid wsp:val=&quot;000D3957&quot;/&gt;&lt;wsp:rsid wsp:val=&quot;000D3AC1&quot;/&gt;&lt;wsp:rsid wsp:val=&quot;000E0823&quot;/&gt;&lt;wsp:rsid wsp:val=&quot;000E2D6E&quot;/&gt;&lt;wsp:rsid wsp:val=&quot;000E399D&quot;/&gt;&lt;wsp:rsid wsp:val=&quot;000E3ACA&quot;/&gt;&lt;wsp:rsid wsp:val=&quot;000E611D&quot;/&gt;&lt;wsp:rsid wsp:val=&quot;000E77F1&quot;/&gt;&lt;wsp:rsid wsp:val=&quot;000F06B2&quot;/&gt;&lt;wsp:rsid wsp:val=&quot;001008A7&quot;/&gt;&lt;wsp:rsid wsp:val=&quot;0010398E&quot;/&gt;&lt;wsp:rsid wsp:val=&quot;00103F6F&quot;/&gt;&lt;wsp:rsid wsp:val=&quot;00104349&quot;/&gt;&lt;wsp:rsid wsp:val=&quot;00113236&quot;/&gt;&lt;wsp:rsid wsp:val=&quot;00113D5F&quot;/&gt;&lt;wsp:rsid wsp:val=&quot;00117DB9&quot;/&gt;&lt;wsp:rsid wsp:val=&quot;001204AA&quot;/&gt;&lt;wsp:rsid wsp:val=&quot;001312E4&quot;/&gt;&lt;wsp:rsid wsp:val=&quot;00131A34&quot;/&gt;&lt;wsp:rsid wsp:val=&quot;00133451&quot;/&gt;&lt;wsp:rsid wsp:val=&quot;00134047&quot;/&gt;&lt;wsp:rsid wsp:val=&quot;00134200&quot;/&gt;&lt;wsp:rsid wsp:val=&quot;0013476A&quot;/&gt;&lt;wsp:rsid wsp:val=&quot;00134C2E&quot;/&gt;&lt;wsp:rsid wsp:val=&quot;00137260&quot;/&gt;&lt;wsp:rsid wsp:val=&quot;00141C64&quot;/&gt;&lt;wsp:rsid wsp:val=&quot;00145BBC&quot;/&gt;&lt;wsp:rsid wsp:val=&quot;00146EBB&quot;/&gt;&lt;wsp:rsid wsp:val=&quot;0015134E&quot;/&gt;&lt;wsp:rsid wsp:val=&quot;001514FE&quot;/&gt;&lt;wsp:rsid wsp:val=&quot;001551F6&quot;/&gt;&lt;wsp:rsid wsp:val=&quot;00155C68&quot;/&gt;&lt;wsp:rsid wsp:val=&quot;001566DC&quot;/&gt;&lt;wsp:rsid wsp:val=&quot;00157ACF&quot;/&gt;&lt;wsp:rsid wsp:val=&quot;00160D65&quot;/&gt;&lt;wsp:rsid wsp:val=&quot;001664DB&quot;/&gt;&lt;wsp:rsid wsp:val=&quot;00175F95&quot;/&gt;&lt;wsp:rsid wsp:val=&quot;00177F3D&quot;/&gt;&lt;wsp:rsid wsp:val=&quot;00182288&quot;/&gt;&lt;wsp:rsid wsp:val=&quot;00186876&quot;/&gt;&lt;wsp:rsid wsp:val=&quot;001923CA&quot;/&gt;&lt;wsp:rsid wsp:val=&quot;00194D30&quot;/&gt;&lt;wsp:rsid wsp:val=&quot;00196BCF&quot;/&gt;&lt;wsp:rsid wsp:val=&quot;00196F47&quot;/&gt;&lt;wsp:rsid wsp:val=&quot;001A0E8B&quot;/&gt;&lt;wsp:rsid wsp:val=&quot;001A4852&quot;/&gt;&lt;wsp:rsid wsp:val=&quot;001A51DB&quot;/&gt;&lt;wsp:rsid wsp:val=&quot;001A54AE&quot;/&gt;&lt;wsp:rsid wsp:val=&quot;001B2356&quot;/&gt;&lt;wsp:rsid wsp:val=&quot;001B2601&quot;/&gt;&lt;wsp:rsid wsp:val=&quot;001B2872&quot;/&gt;&lt;wsp:rsid wsp:val=&quot;001B5E69&quot;/&gt;&lt;wsp:rsid wsp:val=&quot;001C6B9E&quot;/&gt;&lt;wsp:rsid wsp:val=&quot;001C7498&quot;/&gt;&lt;wsp:rsid wsp:val=&quot;001D0438&quot;/&gt;&lt;wsp:rsid wsp:val=&quot;001D1D7E&quot;/&gt;&lt;wsp:rsid wsp:val=&quot;001D41A0&quot;/&gt;&lt;wsp:rsid wsp:val=&quot;001D5058&quot;/&gt;&lt;wsp:rsid wsp:val=&quot;001E0264&quot;/&gt;&lt;wsp:rsid wsp:val=&quot;001E0718&quot;/&gt;&lt;wsp:rsid wsp:val=&quot;001E33A8&quot;/&gt;&lt;wsp:rsid wsp:val=&quot;001E5979&quot;/&gt;&lt;wsp:rsid wsp:val=&quot;001E721F&quot;/&gt;&lt;wsp:rsid wsp:val=&quot;001E7E3E&quot;/&gt;&lt;wsp:rsid wsp:val=&quot;001F0470&quot;/&gt;&lt;wsp:rsid wsp:val=&quot;001F3C71&quot;/&gt;&lt;wsp:rsid wsp:val=&quot;001F6A50&quot;/&gt;&lt;wsp:rsid wsp:val=&quot;00201892&quot;/&gt;&lt;wsp:rsid wsp:val=&quot;0020432B&quot;/&gt;&lt;wsp:rsid wsp:val=&quot;00206144&quot;/&gt;&lt;wsp:rsid wsp:val=&quot;002114F1&quot;/&gt;&lt;wsp:rsid wsp:val=&quot;00211D3E&quot;/&gt;&lt;wsp:rsid wsp:val=&quot;00216808&quot;/&gt;&lt;wsp:rsid wsp:val=&quot;00222A26&quot;/&gt;&lt;wsp:rsid wsp:val=&quot;0023111C&quot;/&gt;&lt;wsp:rsid wsp:val=&quot;00236629&quot;/&gt;&lt;wsp:rsid wsp:val=&quot;00237CB7&quot;/&gt;&lt;wsp:rsid wsp:val=&quot;00242818&quot;/&gt;&lt;wsp:rsid wsp:val=&quot;0024340C&quot;/&gt;&lt;wsp:rsid wsp:val=&quot;00244767&quot;/&gt;&lt;wsp:rsid wsp:val=&quot;00244D2A&quot;/&gt;&lt;wsp:rsid wsp:val=&quot;00246590&quot;/&gt;&lt;wsp:rsid wsp:val=&quot;002467D7&quot;/&gt;&lt;wsp:rsid wsp:val=&quot;00251D41&quot;/&gt;&lt;wsp:rsid wsp:val=&quot;002552AC&quot;/&gt;&lt;wsp:rsid wsp:val=&quot;00264DA8&quot;/&gt;&lt;wsp:rsid wsp:val=&quot;002663A4&quot;/&gt;&lt;wsp:rsid wsp:val=&quot;002674DE&quot;/&gt;&lt;wsp:rsid wsp:val=&quot;002717FE&quot;/&gt;&lt;wsp:rsid wsp:val=&quot;00275BFC&quot;/&gt;&lt;wsp:rsid wsp:val=&quot;0028110E&quot;/&gt;&lt;wsp:rsid wsp:val=&quot;00284E68&quot;/&gt;&lt;wsp:rsid wsp:val=&quot;002906CC&quot;/&gt;&lt;wsp:rsid wsp:val=&quot;0029268E&quot;/&gt;&lt;wsp:rsid wsp:val=&quot;00294241&quot;/&gt;&lt;wsp:rsid wsp:val=&quot;00295EB2&quot;/&gt;&lt;wsp:rsid wsp:val=&quot;002B0C4B&quot;/&gt;&lt;wsp:rsid wsp:val=&quot;002B3250&quot;/&gt;&lt;wsp:rsid wsp:val=&quot;002B5955&quot;/&gt;&lt;wsp:rsid wsp:val=&quot;002C0577&quot;/&gt;&lt;wsp:rsid wsp:val=&quot;002C1F6A&quot;/&gt;&lt;wsp:rsid wsp:val=&quot;002C2112&quot;/&gt;&lt;wsp:rsid wsp:val=&quot;002C4C45&quot;/&gt;&lt;wsp:rsid wsp:val=&quot;002C5958&quot;/&gt;&lt;wsp:rsid wsp:val=&quot;002C6CA3&quot;/&gt;&lt;wsp:rsid wsp:val=&quot;002D21F1&quot;/&gt;&lt;wsp:rsid wsp:val=&quot;002D276F&quot;/&gt;&lt;wsp:rsid wsp:val=&quot;002D28E5&quot;/&gt;&lt;wsp:rsid wsp:val=&quot;002D4A5F&quot;/&gt;&lt;wsp:rsid wsp:val=&quot;002D5602&quot;/&gt;&lt;wsp:rsid wsp:val=&quot;002E08EA&quot;/&gt;&lt;wsp:rsid wsp:val=&quot;002E40AE&quot;/&gt;&lt;wsp:rsid wsp:val=&quot;002E5A1F&quot;/&gt;&lt;wsp:rsid wsp:val=&quot;002E6AAA&quot;/&gt;&lt;wsp:rsid wsp:val=&quot;002F27B2&quot;/&gt;&lt;wsp:rsid wsp:val=&quot;002F6295&quot;/&gt;&lt;wsp:rsid wsp:val=&quot;002F6FE2&quot;/&gt;&lt;wsp:rsid wsp:val=&quot;002F7A0E&quot;/&gt;&lt;wsp:rsid wsp:val=&quot;003023E9&quot;/&gt;&lt;wsp:rsid wsp:val=&quot;00302D87&quot;/&gt;&lt;wsp:rsid wsp:val=&quot;00305896&quot;/&gt;&lt;wsp:rsid wsp:val=&quot;00306860&quot;/&gt;&lt;wsp:rsid wsp:val=&quot;00312DD5&quot;/&gt;&lt;wsp:rsid wsp:val=&quot;00315B45&quot;/&gt;&lt;wsp:rsid wsp:val=&quot;00315C23&quot;/&gt;&lt;wsp:rsid wsp:val=&quot;0031684C&quot;/&gt;&lt;wsp:rsid wsp:val=&quot;003176FD&quot;/&gt;&lt;wsp:rsid wsp:val=&quot;00322069&quot;/&gt;&lt;wsp:rsid wsp:val=&quot;00324360&quot;/&gt;&lt;wsp:rsid wsp:val=&quot;00330EAB&quot;/&gt;&lt;wsp:rsid wsp:val=&quot;003323BC&quot;/&gt;&lt;wsp:rsid wsp:val=&quot;00337559&quot;/&gt;&lt;wsp:rsid wsp:val=&quot;00340BF6&quot;/&gt;&lt;wsp:rsid wsp:val=&quot;00341142&quot;/&gt;&lt;wsp:rsid wsp:val=&quot;003421B7&quot;/&gt;&lt;wsp:rsid wsp:val=&quot;00346BA9&quot;/&gt;&lt;wsp:rsid wsp:val=&quot;003515A0&quot;/&gt;&lt;wsp:rsid wsp:val=&quot;003524F2&quot;/&gt;&lt;wsp:rsid wsp:val=&quot;00354095&quot;/&gt;&lt;wsp:rsid wsp:val=&quot;003558B9&quot;/&gt;&lt;wsp:rsid wsp:val=&quot;003565DA&quot;/&gt;&lt;wsp:rsid wsp:val=&quot;003707CA&quot;/&gt;&lt;wsp:rsid wsp:val=&quot;003709B3&quot;/&gt;&lt;wsp:rsid wsp:val=&quot;0037300E&quot;/&gt;&lt;wsp:rsid wsp:val=&quot;00374A56&quot;/&gt;&lt;wsp:rsid wsp:val=&quot;00382998&quot;/&gt;&lt;wsp:rsid wsp:val=&quot;00383EC6&quot;/&gt;&lt;wsp:rsid wsp:val=&quot;0038425A&quot;/&gt;&lt;wsp:rsid wsp:val=&quot;00385247&quot;/&gt;&lt;wsp:rsid wsp:val=&quot;00394983&quot;/&gt;&lt;wsp:rsid wsp:val=&quot;00396CF6&quot;/&gt;&lt;wsp:rsid wsp:val=&quot;00397E1B&quot;/&gt;&lt;wsp:rsid wsp:val=&quot;00397EED&quot;/&gt;&lt;wsp:rsid wsp:val=&quot;003A1E20&quot;/&gt;&lt;wsp:rsid wsp:val=&quot;003A3AA8&quot;/&gt;&lt;wsp:rsid wsp:val=&quot;003B35A1&quot;/&gt;&lt;wsp:rsid wsp:val=&quot;003B7419&quot;/&gt;&lt;wsp:rsid wsp:val=&quot;003B7990&quot;/&gt;&lt;wsp:rsid wsp:val=&quot;003C3B05&quot;/&gt;&lt;wsp:rsid wsp:val=&quot;003C4A84&quot;/&gt;&lt;wsp:rsid wsp:val=&quot;003D2872&quot;/&gt;&lt;wsp:rsid wsp:val=&quot;003D4D70&quot;/&gt;&lt;wsp:rsid wsp:val=&quot;003D786E&quot;/&gt;&lt;wsp:rsid wsp:val=&quot;003E067C&quot;/&gt;&lt;wsp:rsid wsp:val=&quot;003E15D4&quot;/&gt;&lt;wsp:rsid wsp:val=&quot;003F2D4C&quot;/&gt;&lt;wsp:rsid wsp:val=&quot;003F72E0&quot;/&gt;&lt;wsp:rsid wsp:val=&quot;00406E7C&quot;/&gt;&lt;wsp:rsid wsp:val=&quot;004104C3&quot;/&gt;&lt;wsp:rsid wsp:val=&quot;00410ECC&quot;/&gt;&lt;wsp:rsid wsp:val=&quot;004122D4&quot;/&gt;&lt;wsp:rsid wsp:val=&quot;00414DBC&quot;/&gt;&lt;wsp:rsid wsp:val=&quot;0041692C&quot;/&gt;&lt;wsp:rsid wsp:val=&quot;00416DE2&quot;/&gt;&lt;wsp:rsid wsp:val=&quot;00423BB1&quot;/&gt;&lt;wsp:rsid wsp:val=&quot;0042453D&quot;/&gt;&lt;wsp:rsid wsp:val=&quot;00425418&quot;/&gt;&lt;wsp:rsid wsp:val=&quot;00425F6A&quot;/&gt;&lt;wsp:rsid wsp:val=&quot;00431EA9&quot;/&gt;&lt;wsp:rsid wsp:val=&quot;00434ADE&quot;/&gt;&lt;wsp:rsid wsp:val=&quot;00435DAA&quot;/&gt;&lt;wsp:rsid wsp:val=&quot;00436AAF&quot;/&gt;&lt;wsp:rsid wsp:val=&quot;004374AE&quot;/&gt;&lt;wsp:rsid wsp:val=&quot;00441B5F&quot;/&gt;&lt;wsp:rsid wsp:val=&quot;00444D1D&quot;/&gt;&lt;wsp:rsid wsp:val=&quot;00451066&quot;/&gt;&lt;wsp:rsid wsp:val=&quot;004511DE&quot;/&gt;&lt;wsp:rsid wsp:val=&quot;00455288&quot;/&gt;&lt;wsp:rsid wsp:val=&quot;00455B64&quot;/&gt;&lt;wsp:rsid wsp:val=&quot;00461370&quot;/&gt;&lt;wsp:rsid wsp:val=&quot;0046198B&quot;/&gt;&lt;wsp:rsid wsp:val=&quot;00464075&quot;/&gt;&lt;wsp:rsid wsp:val=&quot;00464CF6&quot;/&gt;&lt;wsp:rsid wsp:val=&quot;00470AD8&quot;/&gt;&lt;wsp:rsid wsp:val=&quot;0047268F&quot;/&gt;&lt;wsp:rsid wsp:val=&quot;00483B02&quot;/&gt;&lt;wsp:rsid wsp:val=&quot;004844D7&quot;/&gt;&lt;wsp:rsid wsp:val=&quot;0048748B&quot;/&gt;&lt;wsp:rsid wsp:val=&quot;00487EB4&quot;/&gt;&lt;wsp:rsid wsp:val=&quot;00491DBA&quot;/&gt;&lt;wsp:rsid wsp:val=&quot;004925F8&quot;/&gt;&lt;wsp:rsid wsp:val=&quot;004A0EAB&quot;/&gt;&lt;wsp:rsid wsp:val=&quot;004A1B43&quot;/&gt;&lt;wsp:rsid wsp:val=&quot;004A2B88&quot;/&gt;&lt;wsp:rsid wsp:val=&quot;004A4B77&quot;/&gt;&lt;wsp:rsid wsp:val=&quot;004B0F03&quot;/&gt;&lt;wsp:rsid wsp:val=&quot;004B0F7B&quot;/&gt;&lt;wsp:rsid wsp:val=&quot;004B1AB7&quot;/&gt;&lt;wsp:rsid wsp:val=&quot;004B2315&quot;/&gt;&lt;wsp:rsid wsp:val=&quot;004B402B&quot;/&gt;&lt;wsp:rsid wsp:val=&quot;004B6920&quot;/&gt;&lt;wsp:rsid wsp:val=&quot;004B7B50&quot;/&gt;&lt;wsp:rsid wsp:val=&quot;004C17DC&quot;/&gt;&lt;wsp:rsid wsp:val=&quot;004C32E9&quot;/&gt;&lt;wsp:rsid wsp:val=&quot;004C4D4F&quot;/&gt;&lt;wsp:rsid wsp:val=&quot;004C513E&quot;/&gt;&lt;wsp:rsid wsp:val=&quot;004C5676&quot;/&gt;&lt;wsp:rsid wsp:val=&quot;004D28C8&quot;/&gt;&lt;wsp:rsid wsp:val=&quot;004D70C7&quot;/&gt;&lt;wsp:rsid wsp:val=&quot;004E0D26&quot;/&gt;&lt;wsp:rsid wsp:val=&quot;004E58A4&quot;/&gt;&lt;wsp:rsid wsp:val=&quot;004E6FED&quot;/&gt;&lt;wsp:rsid wsp:val=&quot;004E711B&quot;/&gt;&lt;wsp:rsid wsp:val=&quot;004E7B16&quot;/&gt;&lt;wsp:rsid wsp:val=&quot;004F2360&quot;/&gt;&lt;wsp:rsid wsp:val=&quot;004F2B8E&quot;/&gt;&lt;wsp:rsid wsp:val=&quot;004F36B4&quot;/&gt;&lt;wsp:rsid wsp:val=&quot;004F5F5A&quot;/&gt;&lt;wsp:rsid wsp:val=&quot;00500C9D&quot;/&gt;&lt;wsp:rsid wsp:val=&quot;00506877&quot;/&gt;&lt;wsp:rsid wsp:val=&quot;0051543A&quot;/&gt;&lt;wsp:rsid wsp:val=&quot;00516642&quot;/&gt;&lt;wsp:rsid wsp:val=&quot;00517A66&quot;/&gt;&lt;wsp:rsid wsp:val=&quot;00523490&quot;/&gt;&lt;wsp:rsid wsp:val=&quot;00530C40&quot;/&gt;&lt;wsp:rsid wsp:val=&quot;00536560&quot;/&gt;&lt;wsp:rsid wsp:val=&quot;005410CA&quot;/&gt;&lt;wsp:rsid wsp:val=&quot;005411EA&quot;/&gt;&lt;wsp:rsid wsp:val=&quot;005463A7&quot;/&gt;&lt;wsp:rsid wsp:val=&quot;00546687&quot;/&gt;&lt;wsp:rsid wsp:val=&quot;00550F71&quot;/&gt;&lt;wsp:rsid wsp:val=&quot;00552B47&quot;/&gt;&lt;wsp:rsid wsp:val=&quot;00552F5B&quot;/&gt;&lt;wsp:rsid wsp:val=&quot;0055385C&quot;/&gt;&lt;wsp:rsid wsp:val=&quot;00555A10&quot;/&gt;&lt;wsp:rsid wsp:val=&quot;0055604B&quot;/&gt;&lt;wsp:rsid wsp:val=&quot;00557BC1&quot;/&gt;&lt;wsp:rsid wsp:val=&quot;005605B4&quot;/&gt;&lt;wsp:rsid wsp:val=&quot;00562176&quot;/&gt;&lt;wsp:rsid wsp:val=&quot;0056239E&quot;/&gt;&lt;wsp:rsid wsp:val=&quot;0056550F&quot;/&gt;&lt;wsp:rsid wsp:val=&quot;0057013F&quot;/&gt;&lt;wsp:rsid wsp:val=&quot;00585157&quot;/&gt;&lt;wsp:rsid wsp:val=&quot;0059215E&quot;/&gt;&lt;wsp:rsid wsp:val=&quot;00592A94&quot;/&gt;&lt;wsp:rsid wsp:val=&quot;005A340F&quot;/&gt;&lt;wsp:rsid wsp:val=&quot;005A4336&quot;/&gt;&lt;wsp:rsid wsp:val=&quot;005A4938&quot;/&gt;&lt;wsp:rsid wsp:val=&quot;005A7D1F&quot;/&gt;&lt;wsp:rsid wsp:val=&quot;005C3313&quot;/&gt;&lt;wsp:rsid wsp:val=&quot;005C6CEC&quot;/&gt;&lt;wsp:rsid wsp:val=&quot;005D2E9F&quot;/&gt;&lt;wsp:rsid wsp:val=&quot;005D3A29&quot;/&gt;&lt;wsp:rsid wsp:val=&quot;005E15A5&quot;/&gt;&lt;wsp:rsid wsp:val=&quot;005E6733&quot;/&gt;&lt;wsp:rsid wsp:val=&quot;005F0BD8&quot;/&gt;&lt;wsp:rsid wsp:val=&quot;005F133F&quot;/&gt;&lt;wsp:rsid wsp:val=&quot;005F26AA&quot;/&gt;&lt;wsp:rsid wsp:val=&quot;005F3EF2&quot;/&gt;&lt;wsp:rsid wsp:val=&quot;005F5636&quot;/&gt;&lt;wsp:rsid wsp:val=&quot;006008A4&quot;/&gt;&lt;wsp:rsid wsp:val=&quot;00604477&quot;/&gt;&lt;wsp:rsid wsp:val=&quot;0060622E&quot;/&gt;&lt;wsp:rsid wsp:val=&quot;00606263&quot;/&gt;&lt;wsp:rsid wsp:val=&quot;00607165&quot;/&gt;&lt;wsp:rsid wsp:val=&quot;006072CF&quot;/&gt;&lt;wsp:rsid wsp:val=&quot;006215DC&quot;/&gt;&lt;wsp:rsid wsp:val=&quot;00621B1A&quot;/&gt;&lt;wsp:rsid wsp:val=&quot;00622C92&quot;/&gt;&lt;wsp:rsid wsp:val=&quot;006236F2&quot;/&gt;&lt;wsp:rsid wsp:val=&quot;00626EF3&quot;/&gt;&lt;wsp:rsid wsp:val=&quot;006320DA&quot;/&gt;&lt;wsp:rsid wsp:val=&quot;00634032&quot;/&gt;&lt;wsp:rsid wsp:val=&quot;006402CC&quot;/&gt;&lt;wsp:rsid wsp:val=&quot;00643362&quot;/&gt;&lt;wsp:rsid wsp:val=&quot;00644D8A&quot;/&gt;&lt;wsp:rsid wsp:val=&quot;00645275&quot;/&gt;&lt;wsp:rsid wsp:val=&quot;0064644D&quot;/&gt;&lt;wsp:rsid wsp:val=&quot;00651067&quot;/&gt;&lt;wsp:rsid wsp:val=&quot;0065133F&quot;/&gt;&lt;wsp:rsid wsp:val=&quot;006517C4&quot;/&gt;&lt;wsp:rsid wsp:val=&quot;00654054&quot;/&gt;&lt;wsp:rsid wsp:val=&quot;0066022E&quot;/&gt;&lt;wsp:rsid wsp:val=&quot;006604DD&quot;/&gt;&lt;wsp:rsid wsp:val=&quot;00664818&quot;/&gt;&lt;wsp:rsid wsp:val=&quot;00664BAC&quot;/&gt;&lt;wsp:rsid wsp:val=&quot;00664D44&quot;/&gt;&lt;wsp:rsid wsp:val=&quot;0066576E&quot;/&gt;&lt;wsp:rsid wsp:val=&quot;006662DE&quot;/&gt;&lt;wsp:rsid wsp:val=&quot;00667940&quot;/&gt;&lt;wsp:rsid wsp:val=&quot;006717D7&quot;/&gt;&lt;wsp:rsid wsp:val=&quot;00671E79&quot;/&gt;&lt;wsp:rsid wsp:val=&quot;006772EA&quot;/&gt;&lt;wsp:rsid wsp:val=&quot;0069113F&quot;/&gt;&lt;wsp:rsid wsp:val=&quot;00694BFD&quot;/&gt;&lt;wsp:rsid wsp:val=&quot;006A1EAD&quot;/&gt;&lt;wsp:rsid wsp:val=&quot;006A2511&quot;/&gt;&lt;wsp:rsid wsp:val=&quot;006B1069&quot;/&gt;&lt;wsp:rsid wsp:val=&quot;006B2E6E&quot;/&gt;&lt;wsp:rsid wsp:val=&quot;006B5011&quot;/&gt;&lt;wsp:rsid wsp:val=&quot;006B5A51&quot;/&gt;&lt;wsp:rsid wsp:val=&quot;006C2101&quot;/&gt;&lt;wsp:rsid wsp:val=&quot;006D6929&quot;/&gt;&lt;wsp:rsid wsp:val=&quot;006E0215&quot;/&gt;&lt;wsp:rsid wsp:val=&quot;006E23EC&quot;/&gt;&lt;wsp:rsid wsp:val=&quot;006E2FA3&quot;/&gt;&lt;wsp:rsid wsp:val=&quot;006E398A&quot;/&gt;&lt;wsp:rsid wsp:val=&quot;006E3BD6&quot;/&gt;&lt;wsp:rsid wsp:val=&quot;006E5752&quot;/&gt;&lt;wsp:rsid wsp:val=&quot;006F26D4&quot;/&gt;&lt;wsp:rsid wsp:val=&quot;00701A27&quot;/&gt;&lt;wsp:rsid wsp:val=&quot;0070512B&quot;/&gt;&lt;wsp:rsid wsp:val=&quot;00705977&quot;/&gt;&lt;wsp:rsid wsp:val=&quot;00705BB7&quot;/&gt;&lt;wsp:rsid wsp:val=&quot;007063A7&quot;/&gt;&lt;wsp:rsid wsp:val=&quot;00706B29&quot;/&gt;&lt;wsp:rsid wsp:val=&quot;007109A1&quot;/&gt;&lt;wsp:rsid wsp:val=&quot;007120DC&quot;/&gt;&lt;wsp:rsid wsp:val=&quot;00717C46&quot;/&gt;&lt;wsp:rsid wsp:val=&quot;00721A31&quot;/&gt;&lt;wsp:rsid wsp:val=&quot;00726571&quot;/&gt;&lt;wsp:rsid wsp:val=&quot;007268DF&quot;/&gt;&lt;wsp:rsid wsp:val=&quot;00731545&quot;/&gt;&lt;wsp:rsid wsp:val=&quot;00731EC1&quot;/&gt;&lt;wsp:rsid wsp:val=&quot;00732815&quot;/&gt;&lt;wsp:rsid wsp:val=&quot;007369CD&quot;/&gt;&lt;wsp:rsid wsp:val=&quot;00737741&quot;/&gt;&lt;wsp:rsid wsp:val=&quot;007507D8&quot;/&gt;&lt;wsp:rsid wsp:val=&quot;007539F2&quot;/&gt;&lt;wsp:rsid wsp:val=&quot;00754047&quot;/&gt;&lt;wsp:rsid wsp:val=&quot;00764F4C&quot;/&gt;&lt;wsp:rsid wsp:val=&quot;00765EC2&quot;/&gt;&lt;wsp:rsid wsp:val=&quot;00766433&quot;/&gt;&lt;wsp:rsid wsp:val=&quot;00770E6A&quot;/&gt;&lt;wsp:rsid wsp:val=&quot;0077107E&quot;/&gt;&lt;wsp:rsid wsp:val=&quot;00773637&quot;/&gt;&lt;wsp:rsid wsp:val=&quot;0077517D&quot;/&gt;&lt;wsp:rsid wsp:val=&quot;00775A85&quot;/&gt;&lt;wsp:rsid wsp:val=&quot;007764F4&quot;/&gt;&lt;wsp:rsid wsp:val=&quot;00784B13&quot;/&gt;&lt;wsp:rsid wsp:val=&quot;00786F52&quot;/&gt;&lt;wsp:rsid wsp:val=&quot;00792411&quot;/&gt;&lt;wsp:rsid wsp:val=&quot;00794142&quot;/&gt;&lt;wsp:rsid wsp:val=&quot;00797382&quot;/&gt;&lt;wsp:rsid wsp:val=&quot;007B2700&quot;/&gt;&lt;wsp:rsid wsp:val=&quot;007B3464&quot;/&gt;&lt;wsp:rsid wsp:val=&quot;007B7265&quot;/&gt;&lt;wsp:rsid wsp:val=&quot;007D0929&quot;/&gt;&lt;wsp:rsid wsp:val=&quot;007D249C&quot;/&gt;&lt;wsp:rsid wsp:val=&quot;007D367A&quot;/&gt;&lt;wsp:rsid wsp:val=&quot;007D3D9C&quot;/&gt;&lt;wsp:rsid wsp:val=&quot;007D49D4&quot;/&gt;&lt;wsp:rsid wsp:val=&quot;007D5034&quot;/&gt;&lt;wsp:rsid wsp:val=&quot;007E3728&quot;/&gt;&lt;wsp:rsid wsp:val=&quot;007E43EC&quot;/&gt;&lt;wsp:rsid wsp:val=&quot;008010D3&quot;/&gt;&lt;wsp:rsid wsp:val=&quot;00804FA8&quot;/&gt;&lt;wsp:rsid wsp:val=&quot;00805C0A&quot;/&gt;&lt;wsp:rsid wsp:val=&quot;00811413&quot;/&gt;&lt;wsp:rsid wsp:val=&quot;00820829&quot;/&gt;&lt;wsp:rsid wsp:val=&quot;008346EF&quot;/&gt;&lt;wsp:rsid wsp:val=&quot;00834EC6&quot;/&gt;&lt;wsp:rsid wsp:val=&quot;0083582E&quot;/&gt;&lt;wsp:rsid wsp:val=&quot;00837232&quot;/&gt;&lt;wsp:rsid wsp:val=&quot;0084015D&quot;/&gt;&lt;wsp:rsid wsp:val=&quot;008407E4&quot;/&gt;&lt;wsp:rsid wsp:val=&quot;00840846&quot;/&gt;&lt;wsp:rsid wsp:val=&quot;00844126&quot;/&gt;&lt;wsp:rsid wsp:val=&quot;00844A21&quot;/&gt;&lt;wsp:rsid wsp:val=&quot;008464A7&quot;/&gt;&lt;wsp:rsid wsp:val=&quot;008557F1&quot;/&gt;&lt;wsp:rsid wsp:val=&quot;008568BE&quot;/&gt;&lt;wsp:rsid wsp:val=&quot;00862127&quot;/&gt;&lt;wsp:rsid wsp:val=&quot;00863D8B&quot;/&gt;&lt;wsp:rsid wsp:val=&quot;00866E18&quot;/&gt;&lt;wsp:rsid wsp:val=&quot;00874248&quot;/&gt;&lt;wsp:rsid wsp:val=&quot;008752DC&quot;/&gt;&lt;wsp:rsid wsp:val=&quot;00876914&quot;/&gt;&lt;wsp:rsid wsp:val=&quot;00886F63&quot;/&gt;&lt;wsp:rsid wsp:val=&quot;00887C6B&quot;/&gt;&lt;wsp:rsid wsp:val=&quot;00890117&quot;/&gt;&lt;wsp:rsid wsp:val=&quot;008923A2&quot;/&gt;&lt;wsp:rsid wsp:val=&quot;00892F68&quot;/&gt;&lt;wsp:rsid wsp:val=&quot;00893244&quot;/&gt;&lt;wsp:rsid wsp:val=&quot;00893937&quot;/&gt;&lt;wsp:rsid wsp:val=&quot;00896C73&quot;/&gt;&lt;wsp:rsid wsp:val=&quot;00897C2B&quot;/&gt;&lt;wsp:rsid wsp:val=&quot;008A108C&quot;/&gt;&lt;wsp:rsid wsp:val=&quot;008A1100&quot;/&gt;&lt;wsp:rsid wsp:val=&quot;008A156C&quot;/&gt;&lt;wsp:rsid wsp:val=&quot;008A3E90&quot;/&gt;&lt;wsp:rsid wsp:val=&quot;008A3F51&quot;/&gt;&lt;wsp:rsid wsp:val=&quot;008B0F39&quot;/&gt;&lt;wsp:rsid wsp:val=&quot;008B1714&quot;/&gt;&lt;wsp:rsid wsp:val=&quot;008B190A&quot;/&gt;&lt;wsp:rsid wsp:val=&quot;008B23FD&quot;/&gt;&lt;wsp:rsid wsp:val=&quot;008B40FC&quot;/&gt;&lt;wsp:rsid wsp:val=&quot;008B4110&quot;/&gt;&lt;wsp:rsid wsp:val=&quot;008B500F&quot;/&gt;&lt;wsp:rsid wsp:val=&quot;008B52BC&quot;/&gt;&lt;wsp:rsid wsp:val=&quot;008B6D23&quot;/&gt;&lt;wsp:rsid wsp:val=&quot;008B7B39&quot;/&gt;&lt;wsp:rsid wsp:val=&quot;008C4D44&quot;/&gt;&lt;wsp:rsid wsp:val=&quot;008C535A&quot;/&gt;&lt;wsp:rsid wsp:val=&quot;008C69AC&quot;/&gt;&lt;wsp:rsid wsp:val=&quot;008E0096&quot;/&gt;&lt;wsp:rsid wsp:val=&quot;008E20D1&quot;/&gt;&lt;wsp:rsid wsp:val=&quot;008E2752&quot;/&gt;&lt;wsp:rsid wsp:val=&quot;008E62E8&quot;/&gt;&lt;wsp:rsid wsp:val=&quot;008F397D&quot;/&gt;&lt;wsp:rsid wsp:val=&quot;008F760E&quot;/&gt;&lt;wsp:rsid wsp:val=&quot;00902247&quot;/&gt;&lt;wsp:rsid wsp:val=&quot;009039B9&quot;/&gt;&lt;wsp:rsid wsp:val=&quot;00904A6A&quot;/&gt;&lt;wsp:rsid wsp:val=&quot;00904EAF&quot;/&gt;&lt;wsp:rsid wsp:val=&quot;00905ACD&quot;/&gt;&lt;wsp:rsid wsp:val=&quot;00906483&quot;/&gt;&lt;wsp:rsid wsp:val=&quot;00910415&quot;/&gt;&lt;wsp:rsid wsp:val=&quot;00911044&quot;/&gt;&lt;wsp:rsid wsp:val=&quot;009141E4&quot;/&gt;&lt;wsp:rsid wsp:val=&quot;00916723&quot;/&gt;&lt;wsp:rsid wsp:val=&quot;009206AC&quot;/&gt;&lt;wsp:rsid wsp:val=&quot;00926071&quot;/&gt;&lt;wsp:rsid wsp:val=&quot;0093219E&quot;/&gt;&lt;wsp:rsid wsp:val=&quot;0093448C&quot;/&gt;&lt;wsp:rsid wsp:val=&quot;009354AA&quot;/&gt;&lt;wsp:rsid wsp:val=&quot;00936F7C&quot;/&gt;&lt;wsp:rsid wsp:val=&quot;00945229&quot;/&gt;&lt;wsp:rsid wsp:val=&quot;00955633&quot;/&gt;&lt;wsp:rsid wsp:val=&quot;00956635&quot;/&gt;&lt;wsp:rsid wsp:val=&quot;00957B91&quot;/&gt;&lt;wsp:rsid wsp:val=&quot;00960F0E&quot;/&gt;&lt;wsp:rsid wsp:val=&quot;0096103B&quot;/&gt;&lt;wsp:rsid wsp:val=&quot;009659A3&quot;/&gt;&lt;wsp:rsid wsp:val=&quot;00972AA1&quot;/&gt;&lt;wsp:rsid wsp:val=&quot;00972FDF&quot;/&gt;&lt;wsp:rsid wsp:val=&quot;00974A76&quot;/&gt;&lt;wsp:rsid wsp:val=&quot;00980F54&quot;/&gt;&lt;wsp:rsid wsp:val=&quot;00981E1D&quot;/&gt;&lt;wsp:rsid wsp:val=&quot;0098354B&quot;/&gt;&lt;wsp:rsid wsp:val=&quot;00985278&quot;/&gt;&lt;wsp:rsid wsp:val=&quot;00985408&quot;/&gt;&lt;wsp:rsid wsp:val=&quot;00985BBA&quot;/&gt;&lt;wsp:rsid wsp:val=&quot;00986357&quot;/&gt;&lt;wsp:rsid wsp:val=&quot;00990061&quot;/&gt;&lt;wsp:rsid wsp:val=&quot;009907FE&quot;/&gt;&lt;wsp:rsid wsp:val=&quot;00991136&quot;/&gt;&lt;wsp:rsid wsp:val=&quot;009934B0&quot;/&gt;&lt;wsp:rsid wsp:val=&quot;00993EA6&quot;/&gt;&lt;wsp:rsid wsp:val=&quot;009951FA&quot;/&gt;&lt;wsp:rsid wsp:val=&quot;00995C33&quot;/&gt;&lt;wsp:rsid wsp:val=&quot;00997246&quot;/&gt;&lt;wsp:rsid wsp:val=&quot;009A22FA&quot;/&gt;&lt;wsp:rsid wsp:val=&quot;009A241C&quot;/&gt;&lt;wsp:rsid wsp:val=&quot;009A50F9&quot;/&gt;&lt;wsp:rsid wsp:val=&quot;009B4F88&quot;/&gt;&lt;wsp:rsid wsp:val=&quot;009B5037&quot;/&gt;&lt;wsp:rsid wsp:val=&quot;009B525C&quot;/&gt;&lt;wsp:rsid wsp:val=&quot;009B71A9&quot;/&gt;&lt;wsp:rsid wsp:val=&quot;009C1D84&quot;/&gt;&lt;wsp:rsid wsp:val=&quot;009D3895&quot;/&gt;&lt;wsp:rsid wsp:val=&quot;009D4424&quot;/&gt;&lt;wsp:rsid wsp:val=&quot;009E131E&quot;/&gt;&lt;wsp:rsid wsp:val=&quot;009E1C88&quot;/&gt;&lt;wsp:rsid wsp:val=&quot;009E3209&quot;/&gt;&lt;wsp:rsid wsp:val=&quot;009E4873&quot;/&gt;&lt;wsp:rsid wsp:val=&quot;009F2ADC&quot;/&gt;&lt;wsp:rsid wsp:val=&quot;00A036F1&quot;/&gt;&lt;wsp:rsid wsp:val=&quot;00A04E81&quot;/&gt;&lt;wsp:rsid wsp:val=&quot;00A0665D&quot;/&gt;&lt;wsp:rsid wsp:val=&quot;00A068D3&quot;/&gt;&lt;wsp:rsid wsp:val=&quot;00A11F6E&quot;/&gt;&lt;wsp:rsid wsp:val=&quot;00A16512&quot;/&gt;&lt;wsp:rsid wsp:val=&quot;00A176FC&quot;/&gt;&lt;wsp:rsid wsp:val=&quot;00A215F2&quot;/&gt;&lt;wsp:rsid wsp:val=&quot;00A223DD&quot;/&gt;&lt;wsp:rsid wsp:val=&quot;00A22D90&quot;/&gt;&lt;wsp:rsid wsp:val=&quot;00A30EF6&quot;/&gt;&lt;wsp:rsid wsp:val=&quot;00A371E5&quot;/&gt;&lt;wsp:rsid wsp:val=&quot;00A4296A&quot;/&gt;&lt;wsp:rsid wsp:val=&quot;00A43DB9&quot;/&gt;&lt;wsp:rsid wsp:val=&quot;00A43EED&quot;/&gt;&lt;wsp:rsid wsp:val=&quot;00A44B4E&quot;/&gt;&lt;wsp:rsid wsp:val=&quot;00A44D8E&quot;/&gt;&lt;wsp:rsid wsp:val=&quot;00A452B9&quot;/&gt;&lt;wsp:rsid wsp:val=&quot;00A47BA0&quot;/&gt;&lt;wsp:rsid wsp:val=&quot;00A47BF0&quot;/&gt;&lt;wsp:rsid wsp:val=&quot;00A571D5&quot;/&gt;&lt;wsp:rsid wsp:val=&quot;00A57790&quot;/&gt;&lt;wsp:rsid wsp:val=&quot;00A57F12&quot;/&gt;&lt;wsp:rsid wsp:val=&quot;00A57F96&quot;/&gt;&lt;wsp:rsid wsp:val=&quot;00A605A6&quot;/&gt;&lt;wsp:rsid wsp:val=&quot;00A66C0A&quot;/&gt;&lt;wsp:rsid wsp:val=&quot;00A74812&quot;/&gt;&lt;wsp:rsid wsp:val=&quot;00A759FE&quot;/&gt;&lt;wsp:rsid wsp:val=&quot;00A76356&quot;/&gt;&lt;wsp:rsid wsp:val=&quot;00A86765&quot;/&gt;&lt;wsp:rsid wsp:val=&quot;00A879C3&quot;/&gt;&lt;wsp:rsid wsp:val=&quot;00A9200F&quot;/&gt;&lt;wsp:rsid wsp:val=&quot;00AA243B&quot;/&gt;&lt;wsp:rsid wsp:val=&quot;00AA379A&quot;/&gt;&lt;wsp:rsid wsp:val=&quot;00AA3D08&quot;/&gt;&lt;wsp:rsid wsp:val=&quot;00AA568A&quot;/&gt;&lt;wsp:rsid wsp:val=&quot;00AA5CF9&quot;/&gt;&lt;wsp:rsid wsp:val=&quot;00AA640E&quot;/&gt;&lt;wsp:rsid wsp:val=&quot;00AA7C93&quot;/&gt;&lt;wsp:rsid wsp:val=&quot;00AB09D6&quot;/&gt;&lt;wsp:rsid wsp:val=&quot;00AB24C4&quot;/&gt;&lt;wsp:rsid wsp:val=&quot;00AB31F1&quot;/&gt;&lt;wsp:rsid wsp:val=&quot;00AB354C&quot;/&gt;&lt;wsp:rsid wsp:val=&quot;00AD0468&quot;/&gt;&lt;wsp:rsid wsp:val=&quot;00AD3106&quot;/&gt;&lt;wsp:rsid wsp:val=&quot;00AD4206&quot;/&gt;&lt;wsp:rsid wsp:val=&quot;00AE628F&quot;/&gt;&lt;wsp:rsid wsp:val=&quot;00AE67A0&quot;/&gt;&lt;wsp:rsid wsp:val=&quot;00AF0D92&quot;/&gt;&lt;wsp:rsid wsp:val=&quot;00AF3DF4&quot;/&gt;&lt;wsp:rsid wsp:val=&quot;00AF4712&quot;/&gt;&lt;wsp:rsid wsp:val=&quot;00AF5730&quot;/&gt;&lt;wsp:rsid wsp:val=&quot;00AF7ECB&quot;/&gt;&lt;wsp:rsid wsp:val=&quot;00B0057B&quot;/&gt;&lt;wsp:rsid wsp:val=&quot;00B00C08&quot;/&gt;&lt;wsp:rsid wsp:val=&quot;00B02D1F&quot;/&gt;&lt;wsp:rsid wsp:val=&quot;00B0435D&quot;/&gt;&lt;wsp:rsid wsp:val=&quot;00B046E3&quot;/&gt;&lt;wsp:rsid wsp:val=&quot;00B05F30&quot;/&gt;&lt;wsp:rsid wsp:val=&quot;00B150D9&quot;/&gt;&lt;wsp:rsid wsp:val=&quot;00B207B8&quot;/&gt;&lt;wsp:rsid wsp:val=&quot;00B26633&quot;/&gt;&lt;wsp:rsid wsp:val=&quot;00B303F0&quot;/&gt;&lt;wsp:rsid wsp:val=&quot;00B32D2A&quot;/&gt;&lt;wsp:rsid wsp:val=&quot;00B33595&quot;/&gt;&lt;wsp:rsid wsp:val=&quot;00B362E5&quot;/&gt;&lt;wsp:rsid wsp:val=&quot;00B37A70&quot;/&gt;&lt;wsp:rsid wsp:val=&quot;00B4093B&quot;/&gt;&lt;wsp:rsid wsp:val=&quot;00B52189&quot;/&gt;&lt;wsp:rsid wsp:val=&quot;00B52A37&quot;/&gt;&lt;wsp:rsid wsp:val=&quot;00B55212&quot;/&gt;&lt;wsp:rsid wsp:val=&quot;00B560DE&quot;/&gt;&lt;wsp:rsid wsp:val=&quot;00B60B0A&quot;/&gt;&lt;wsp:rsid wsp:val=&quot;00B67813&quot;/&gt;&lt;wsp:rsid wsp:val=&quot;00B729CB&quot;/&gt;&lt;wsp:rsid wsp:val=&quot;00B8045C&quot;/&gt;&lt;wsp:rsid wsp:val=&quot;00B80D4C&quot;/&gt;&lt;wsp:rsid wsp:val=&quot;00B84A8C&quot;/&gt;&lt;wsp:rsid wsp:val=&quot;00B87A0D&quot;/&gt;&lt;wsp:rsid wsp:val=&quot;00B92884&quot;/&gt;&lt;wsp:rsid wsp:val=&quot;00BA0F56&quot;/&gt;&lt;wsp:rsid wsp:val=&quot;00BA12F7&quot;/&gt;&lt;wsp:rsid wsp:val=&quot;00BA49B5&quot;/&gt;&lt;wsp:rsid wsp:val=&quot;00BB1665&quot;/&gt;&lt;wsp:rsid wsp:val=&quot;00BB2484&quot;/&gt;&lt;wsp:rsid wsp:val=&quot;00BB5263&quot;/&gt;&lt;wsp:rsid wsp:val=&quot;00BC7394&quot;/&gt;&lt;wsp:rsid wsp:val=&quot;00BD057E&quot;/&gt;&lt;wsp:rsid wsp:val=&quot;00BD0979&quot;/&gt;&lt;wsp:rsid wsp:val=&quot;00BD641F&quot;/&gt;&lt;wsp:rsid wsp:val=&quot;00BD7943&quot;/&gt;&lt;wsp:rsid wsp:val=&quot;00BE0892&quot;/&gt;&lt;wsp:rsid wsp:val=&quot;00BE4FBC&quot;/&gt;&lt;wsp:rsid wsp:val=&quot;00BE6858&quot;/&gt;&lt;wsp:rsid wsp:val=&quot;00BF021D&quot;/&gt;&lt;wsp:rsid wsp:val=&quot;00BF29DD&quot;/&gt;&lt;wsp:rsid wsp:val=&quot;00BF3463&quot;/&gt;&lt;wsp:rsid wsp:val=&quot;00BF447C&quot;/&gt;&lt;wsp:rsid wsp:val=&quot;00BF4814&quot;/&gt;&lt;wsp:rsid wsp:val=&quot;00BF49E9&quot;/&gt;&lt;wsp:rsid wsp:val=&quot;00C01929&quot;/&gt;&lt;wsp:rsid wsp:val=&quot;00C03949&quot;/&gt;&lt;wsp:rsid wsp:val=&quot;00C05B83&quot;/&gt;&lt;wsp:rsid wsp:val=&quot;00C067D5&quot;/&gt;&lt;wsp:rsid wsp:val=&quot;00C113B8&quot;/&gt;&lt;wsp:rsid wsp:val=&quot;00C2169A&quot;/&gt;&lt;wsp:rsid wsp:val=&quot;00C22EA2&quot;/&gt;&lt;wsp:rsid wsp:val=&quot;00C2326A&quot;/&gt;&lt;wsp:rsid wsp:val=&quot;00C26B3C&quot;/&gt;&lt;wsp:rsid wsp:val=&quot;00C31A9C&quot;/&gt;&lt;wsp:rsid wsp:val=&quot;00C34286&quot;/&gt;&lt;wsp:rsid wsp:val=&quot;00C410DB&quot;/&gt;&lt;wsp:rsid wsp:val=&quot;00C448B2&quot;/&gt;&lt;wsp:rsid wsp:val=&quot;00C516AC&quot;/&gt;&lt;wsp:rsid wsp:val=&quot;00C53B5B&quot;/&gt;&lt;wsp:rsid wsp:val=&quot;00C54047&quot;/&gt;&lt;wsp:rsid wsp:val=&quot;00C55F47&quot;/&gt;&lt;wsp:rsid wsp:val=&quot;00C61A56&quot;/&gt;&lt;wsp:rsid wsp:val=&quot;00C6211E&quot;/&gt;&lt;wsp:rsid wsp:val=&quot;00C7204F&quot;/&gt;&lt;wsp:rsid wsp:val=&quot;00C73AEC&quot;/&gt;&lt;wsp:rsid wsp:val=&quot;00C758D3&quot;/&gt;&lt;wsp:rsid wsp:val=&quot;00C76093&quot;/&gt;&lt;wsp:rsid wsp:val=&quot;00C76D08&quot;/&gt;&lt;wsp:rsid wsp:val=&quot;00C8042A&quot;/&gt;&lt;wsp:rsid wsp:val=&quot;00C80583&quot;/&gt;&lt;wsp:rsid wsp:val=&quot;00C80E50&quot;/&gt;&lt;wsp:rsid wsp:val=&quot;00C8488A&quot;/&gt;&lt;wsp:rsid wsp:val=&quot;00C85D39&quot;/&gt;&lt;wsp:rsid wsp:val=&quot;00C958BF&quot;/&gt;&lt;wsp:rsid wsp:val=&quot;00C9643A&quot;/&gt;&lt;wsp:rsid wsp:val=&quot;00C9693B&quot;/&gt;&lt;wsp:rsid wsp:val=&quot;00CA146D&quot;/&gt;&lt;wsp:rsid wsp:val=&quot;00CB30FA&quot;/&gt;&lt;wsp:rsid wsp:val=&quot;00CB3C08&quot;/&gt;&lt;wsp:rsid wsp:val=&quot;00CB4F66&quot;/&gt;&lt;wsp:rsid wsp:val=&quot;00CB6DAD&quot;/&gt;&lt;wsp:rsid wsp:val=&quot;00CC0DEC&quot;/&gt;&lt;wsp:rsid wsp:val=&quot;00CC21EF&quot;/&gt;&lt;wsp:rsid wsp:val=&quot;00CC2CD9&quot;/&gt;&lt;wsp:rsid wsp:val=&quot;00CC693B&quot;/&gt;&lt;wsp:rsid wsp:val=&quot;00CD3B56&quot;/&gt;&lt;wsp:rsid wsp:val=&quot;00CE033B&quot;/&gt;&lt;wsp:rsid wsp:val=&quot;00CF27C6&quot;/&gt;&lt;wsp:rsid wsp:val=&quot;00CF2CB7&quot;/&gt;&lt;wsp:rsid wsp:val=&quot;00D0796B&quot;/&gt;&lt;wsp:rsid wsp:val=&quot;00D161CC&quot;/&gt;&lt;wsp:rsid wsp:val=&quot;00D20913&quot;/&gt;&lt;wsp:rsid wsp:val=&quot;00D22ED3&quot;/&gt;&lt;wsp:rsid wsp:val=&quot;00D23A48&quot;/&gt;&lt;wsp:rsid wsp:val=&quot;00D25335&quot;/&gt;&lt;wsp:rsid wsp:val=&quot;00D30D33&quot;/&gt;&lt;wsp:rsid wsp:val=&quot;00D341A3&quot;/&gt;&lt;wsp:rsid wsp:val=&quot;00D3716D&quot;/&gt;&lt;wsp:rsid wsp:val=&quot;00D37E63&quot;/&gt;&lt;wsp:rsid wsp:val=&quot;00D40B60&quot;/&gt;&lt;wsp:rsid wsp:val=&quot;00D41DFE&quot;/&gt;&lt;wsp:rsid wsp:val=&quot;00D42B09&quot;/&gt;&lt;wsp:rsid wsp:val=&quot;00D43354&quot;/&gt;&lt;wsp:rsid wsp:val=&quot;00D466D5&quot;/&gt;&lt;wsp:rsid wsp:val=&quot;00D46882&quot;/&gt;&lt;wsp:rsid wsp:val=&quot;00D56ECE&quot;/&gt;&lt;wsp:rsid wsp:val=&quot;00D602E7&quot;/&gt;&lt;wsp:rsid wsp:val=&quot;00D63C04&quot;/&gt;&lt;wsp:rsid wsp:val=&quot;00D642A0&quot;/&gt;&lt;wsp:rsid wsp:val=&quot;00D6436F&quot;/&gt;&lt;wsp:rsid wsp:val=&quot;00D644F2&quot;/&gt;&lt;wsp:rsid wsp:val=&quot;00D71F1A&quot;/&gt;&lt;wsp:rsid wsp:val=&quot;00D747F5&quot;/&gt;&lt;wsp:rsid wsp:val=&quot;00D76DD0&quot;/&gt;&lt;wsp:rsid wsp:val=&quot;00D77FB6&quot;/&gt;&lt;wsp:rsid wsp:val=&quot;00D8266D&quot;/&gt;&lt;wsp:rsid wsp:val=&quot;00D8763D&quot;/&gt;&lt;wsp:rsid wsp:val=&quot;00D87BA0&quot;/&gt;&lt;wsp:rsid wsp:val=&quot;00D90AC5&quot;/&gt;&lt;wsp:rsid wsp:val=&quot;00D917FE&quot;/&gt;&lt;wsp:rsid wsp:val=&quot;00D95504&quot;/&gt;&lt;wsp:rsid wsp:val=&quot;00DA00FB&quot;/&gt;&lt;wsp:rsid wsp:val=&quot;00DA0CAA&quot;/&gt;&lt;wsp:rsid wsp:val=&quot;00DA2E33&quot;/&gt;&lt;wsp:rsid wsp:val=&quot;00DB2DC4&quot;/&gt;&lt;wsp:rsid wsp:val=&quot;00DC51EC&quot;/&gt;&lt;wsp:rsid wsp:val=&quot;00DC6289&quot;/&gt;&lt;wsp:rsid wsp:val=&quot;00DC653E&quot;/&gt;&lt;wsp:rsid wsp:val=&quot;00DC6DAB&quot;/&gt;&lt;wsp:rsid wsp:val=&quot;00DD1977&quot;/&gt;&lt;wsp:rsid wsp:val=&quot;00DD22D5&quot;/&gt;&lt;wsp:rsid wsp:val=&quot;00DD54B6&quot;/&gt;&lt;wsp:rsid wsp:val=&quot;00DD59E4&quot;/&gt;&lt;wsp:rsid wsp:val=&quot;00DD6F06&quot;/&gt;&lt;wsp:rsid wsp:val=&quot;00DE5FA9&quot;/&gt;&lt;wsp:rsid wsp:val=&quot;00DE6A6B&quot;/&gt;&lt;wsp:rsid wsp:val=&quot;00DF2A9E&quot;/&gt;&lt;wsp:rsid wsp:val=&quot;00DF6A07&quot;/&gt;&lt;wsp:rsid wsp:val=&quot;00E025EC&quot;/&gt;&lt;wsp:rsid wsp:val=&quot;00E04DF8&quot;/&gt;&lt;wsp:rsid wsp:val=&quot;00E066F8&quot;/&gt;&lt;wsp:rsid wsp:val=&quot;00E11A31&quot;/&gt;&lt;wsp:rsid wsp:val=&quot;00E1384C&quot;/&gt;&lt;wsp:rsid wsp:val=&quot;00E2045C&quot;/&gt;&lt;wsp:rsid wsp:val=&quot;00E21091&quot;/&gt;&lt;wsp:rsid wsp:val=&quot;00E22725&quot;/&gt;&lt;wsp:rsid wsp:val=&quot;00E24F22&quot;/&gt;&lt;wsp:rsid wsp:val=&quot;00E277FC&quot;/&gt;&lt;wsp:rsid wsp:val=&quot;00E30A47&quot;/&gt;&lt;wsp:rsid wsp:val=&quot;00E3182F&quot;/&gt;&lt;wsp:rsid wsp:val=&quot;00E31E77&quot;/&gt;&lt;wsp:rsid wsp:val=&quot;00E3549D&quot;/&gt;&lt;wsp:rsid wsp:val=&quot;00E400EE&quot;/&gt;&lt;wsp:rsid wsp:val=&quot;00E41D77&quot;/&gt;&lt;wsp:rsid wsp:val=&quot;00E5022C&quot;/&gt;&lt;wsp:rsid wsp:val=&quot;00E50CB7&quot;/&gt;&lt;wsp:rsid wsp:val=&quot;00E55BF9&quot;/&gt;&lt;wsp:rsid wsp:val=&quot;00E55FFD&quot;/&gt;&lt;wsp:rsid wsp:val=&quot;00E579A8&quot;/&gt;&lt;wsp:rsid wsp:val=&quot;00E60AC1&quot;/&gt;&lt;wsp:rsid wsp:val=&quot;00E60E8D&quot;/&gt;&lt;wsp:rsid wsp:val=&quot;00E6205E&quot;/&gt;&lt;wsp:rsid wsp:val=&quot;00E62A81&quot;/&gt;&lt;wsp:rsid wsp:val=&quot;00E654E0&quot;/&gt;&lt;wsp:rsid wsp:val=&quot;00E67ECE&quot;/&gt;&lt;wsp:rsid wsp:val=&quot;00E715DC&quot;/&gt;&lt;wsp:rsid wsp:val=&quot;00E73366&quot;/&gt;&lt;wsp:rsid wsp:val=&quot;00E733F6&quot;/&gt;&lt;wsp:rsid wsp:val=&quot;00E768A6&quot;/&gt;&lt;wsp:rsid wsp:val=&quot;00E77A3D&quot;/&gt;&lt;wsp:rsid wsp:val=&quot;00E818B7&quot;/&gt;&lt;wsp:rsid wsp:val=&quot;00E82AE2&quot;/&gt;&lt;wsp:rsid wsp:val=&quot;00E82D2B&quot;/&gt;&lt;wsp:rsid wsp:val=&quot;00E8326B&quot;/&gt;&lt;wsp:rsid wsp:val=&quot;00E85C35&quot;/&gt;&lt;wsp:rsid wsp:val=&quot;00E8783F&quot;/&gt;&lt;wsp:rsid wsp:val=&quot;00E92238&quot;/&gt;&lt;wsp:rsid wsp:val=&quot;00E9549E&quot;/&gt;&lt;wsp:rsid wsp:val=&quot;00E97C03&quot;/&gt;&lt;wsp:rsid wsp:val=&quot;00EA1F71&quot;/&gt;&lt;wsp:rsid wsp:val=&quot;00EA422A&quot;/&gt;&lt;wsp:rsid wsp:val=&quot;00EA5F72&quot;/&gt;&lt;wsp:rsid wsp:val=&quot;00EB0C2E&quot;/&gt;&lt;wsp:rsid wsp:val=&quot;00EB44B4&quot;/&gt;&lt;wsp:rsid wsp:val=&quot;00EB6B4B&quot;/&gt;&lt;wsp:rsid wsp:val=&quot;00EC1A7D&quot;/&gt;&lt;wsp:rsid wsp:val=&quot;00EC2228&quot;/&gt;&lt;wsp:rsid wsp:val=&quot;00EC22C5&quot;/&gt;&lt;wsp:rsid wsp:val=&quot;00ED12C1&quot;/&gt;&lt;wsp:rsid wsp:val=&quot;00ED2310&quot;/&gt;&lt;wsp:rsid wsp:val=&quot;00ED5DB2&quot;/&gt;&lt;wsp:rsid wsp:val=&quot;00ED621B&quot;/&gt;&lt;wsp:rsid wsp:val=&quot;00EE009C&quot;/&gt;&lt;wsp:rsid wsp:val=&quot;00EE49F7&quot;/&gt;&lt;wsp:rsid wsp:val=&quot;00EE5395&quot;/&gt;&lt;wsp:rsid wsp:val=&quot;00EE5BAA&quot;/&gt;&lt;wsp:rsid wsp:val=&quot;00EF466C&quot;/&gt;&lt;wsp:rsid wsp:val=&quot;00F00D1E&quot;/&gt;&lt;wsp:rsid wsp:val=&quot;00F01220&quot;/&gt;&lt;wsp:rsid wsp:val=&quot;00F03D35&quot;/&gt;&lt;wsp:rsid wsp:val=&quot;00F04471&quot;/&gt;&lt;wsp:rsid wsp:val=&quot;00F12CA9&quot;/&gt;&lt;wsp:rsid wsp:val=&quot;00F14DA0&quot;/&gt;&lt;wsp:rsid wsp:val=&quot;00F150F3&quot;/&gt;&lt;wsp:rsid wsp:val=&quot;00F16C38&quot;/&gt;&lt;wsp:rsid wsp:val=&quot;00F16C3F&quot;/&gt;&lt;wsp:rsid wsp:val=&quot;00F207EF&quot;/&gt;&lt;wsp:rsid wsp:val=&quot;00F221B3&quot;/&gt;&lt;wsp:rsid wsp:val=&quot;00F2297B&quot;/&gt;&lt;wsp:rsid wsp:val=&quot;00F323AA&quot;/&gt;&lt;wsp:rsid wsp:val=&quot;00F34226&quot;/&gt;&lt;wsp:rsid wsp:val=&quot;00F357E7&quot;/&gt;&lt;wsp:rsid wsp:val=&quot;00F37290&quot;/&gt;&lt;wsp:rsid wsp:val=&quot;00F40C5D&quot;/&gt;&lt;wsp:rsid wsp:val=&quot;00F43A29&quot;/&gt;&lt;wsp:rsid wsp:val=&quot;00F4400B&quot;/&gt;&lt;wsp:rsid wsp:val=&quot;00F51191&quot;/&gt;&lt;wsp:rsid wsp:val=&quot;00F52C7D&quot;/&gt;&lt;wsp:rsid wsp:val=&quot;00F56072&quot;/&gt;&lt;wsp:rsid wsp:val=&quot;00F617C5&quot;/&gt;&lt;wsp:rsid wsp:val=&quot;00F625DB&quot;/&gt;&lt;wsp:rsid wsp:val=&quot;00F63640&quot;/&gt;&lt;wsp:rsid wsp:val=&quot;00F63D4E&quot;/&gt;&lt;wsp:rsid wsp:val=&quot;00F73488&quot;/&gt;&lt;wsp:rsid wsp:val=&quot;00F737EC&quot;/&gt;&lt;wsp:rsid wsp:val=&quot;00F75519&quot;/&gt;&lt;wsp:rsid wsp:val=&quot;00F81363&quot;/&gt;&lt;wsp:rsid wsp:val=&quot;00F900B2&quot;/&gt;&lt;wsp:rsid wsp:val=&quot;00F90586&quot;/&gt;&lt;wsp:rsid wsp:val=&quot;00F948B9&quot;/&gt;&lt;wsp:rsid wsp:val=&quot;00F948E5&quot;/&gt;&lt;wsp:rsid wsp:val=&quot;00F95D33&quot;/&gt;&lt;wsp:rsid wsp:val=&quot;00F95FC2&quot;/&gt;&lt;wsp:rsid wsp:val=&quot;00F96B4F&quot;/&gt;&lt;wsp:rsid wsp:val=&quot;00FA0440&quot;/&gt;&lt;wsp:rsid wsp:val=&quot;00FA4444&quot;/&gt;&lt;wsp:rsid wsp:val=&quot;00FA6A0C&quot;/&gt;&lt;wsp:rsid wsp:val=&quot;00FA6A7E&quot;/&gt;&lt;wsp:rsid wsp:val=&quot;00FB4229&quot;/&gt;&lt;wsp:rsid wsp:val=&quot;00FB7B41&quot;/&gt;&lt;wsp:rsid wsp:val=&quot;00FC5C38&quot;/&gt;&lt;wsp:rsid wsp:val=&quot;00FC60EC&quot;/&gt;&lt;wsp:rsid wsp:val=&quot;00FC6C3D&quot;/&gt;&lt;wsp:rsid wsp:val=&quot;00FC7EA3&quot;/&gt;&lt;wsp:rsid wsp:val=&quot;00FC7FD7&quot;/&gt;&lt;wsp:rsid wsp:val=&quot;00FD6BC0&quot;/&gt;&lt;wsp:rsid wsp:val=&quot;00FE17A7&quot;/&gt;&lt;wsp:rsid wsp:val=&quot;00FE3FCB&quot;/&gt;&lt;wsp:rsid wsp:val=&quot;00FE4CEE&quot;/&gt;&lt;wsp:rsid wsp:val=&quot;00FE7B8F&quot;/&gt;&lt;wsp:rsid wsp:val=&quot;00FF1FE0&quot;/&gt;&lt;wsp:rsid wsp:val=&quot;00FF2071&quot;/&gt;&lt;wsp:rsid wsp:val=&quot;00FF242E&quot;/&gt;&lt;wsp:rsid wsp:val=&quot;00FF284D&quot;/&gt;&lt;wsp:rsid wsp:val=&quot;00FF2D0D&quot;/&gt;&lt;wsp:rsid wsp:val=&quot;00FF4CE1&quot;/&gt;&lt;/wsp:rsids&gt;&lt;/w:docPr&gt;&lt;w:body&gt;&lt;wx:sect&gt;&lt;w:p wsp:rsidR=&quot;00000000&quot; wsp:rsidRDefault=&quot;00242818&quot; wsp:rsidP=&quot;00242818&quot;&gt;&lt;m:oMathPara&gt;&lt;m:oMath&gt;&lt;m:r&gt;&lt;w:rPr&gt;&lt;w:rFonts w:ascii=&quot;Cambria Math&quot; w:h-ansi=&quot;Cambria Math&quot;/&gt;&lt;wx:font wx:val=&quot;Cambria Math&quot;/&gt;&lt;w:i/&gt;&lt;w:lang w:val=&quot;EN-US&quot;/&gt;&lt;/w:rPr&gt;&lt;m:t&gt;?±&lt;/m:t&gt;&lt;/m:r&gt;&lt;/m:oMath&gt;&lt;/m:oMathPara&gt;&lt;/w:p&gt;&lt;w:sectPr wsp:rsidR=&quot;00000000&quot;&gt;&lt;w:pgSz w:w=&quot;&quot;&quot;&quot;&quot;&quot;12240&quot; w:h=&quot;15840&quot;/&gt;&lt;w:pgMar w:top=&quot;1417&quot; w:right=&quot;1417&quot; w:bottom=&quot;1417&quot; w:left=&quot;1417&quot; w:header=&quot;720&quot; w:footer=&quot;720&quot; w:gutter=&quot;0&quot;/&gt;&lt;w:cols w:space=&quot;720&quot;/&gt;&lt;/w:sectPr&gt;&lt;/wx:sect&gt;&lt;/w:body&gt;&lt;/w:wordDocument&gt;">
                  <v:imagedata r:id="rId10" o:title="" chromakey="white"/>
                </v:shape>
              </w:pict>
            </w:r>
            <w:r w:rsidRPr="00257F02">
              <w:rPr>
                <w:rFonts w:ascii="Book Antiqua" w:hAnsi="Book Antiqua"/>
                <w:lang w:val="en-US"/>
              </w:rPr>
              <w:instrText xml:space="preserve"> </w:instrText>
            </w:r>
            <w:r w:rsidRPr="00257F02">
              <w:rPr>
                <w:rFonts w:ascii="Book Antiqua" w:hAnsi="Book Antiqua"/>
                <w:lang w:val="en-US"/>
              </w:rPr>
              <w:fldChar w:fldCharType="separate"/>
            </w:r>
            <w:r w:rsidRPr="0035013A">
              <w:rPr>
                <w:rFonts w:ascii="Book Antiqua" w:hAnsi="Book Antiqua"/>
              </w:rPr>
              <w:t>±</w:t>
            </w:r>
            <w:r w:rsidRPr="00257F02">
              <w:rPr>
                <w:rFonts w:ascii="Book Antiqua" w:hAnsi="Book Antiqua"/>
                <w:lang w:val="en-US"/>
              </w:rPr>
              <w:fldChar w:fldCharType="end"/>
            </w:r>
            <w:r w:rsidRPr="00257F02">
              <w:rPr>
                <w:rFonts w:ascii="Book Antiqua" w:hAnsi="Book Antiqua"/>
                <w:lang w:val="en-US"/>
              </w:rPr>
              <w:t xml:space="preserve"> SD</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cs="AdvTTae86113c"/>
                <w:lang w:val="en-US"/>
              </w:rPr>
              <w:t xml:space="preserve">1730 </w:t>
            </w:r>
            <w:r w:rsidRPr="00257F02">
              <w:rPr>
                <w:rFonts w:ascii="Book Antiqua" w:hAnsi="Book Antiqua" w:cs="AdvTTae86113c"/>
                <w:lang w:val="en-US"/>
              </w:rPr>
              <w:fldChar w:fldCharType="begin"/>
            </w:r>
            <w:r w:rsidRPr="00257F02">
              <w:rPr>
                <w:rFonts w:ascii="Book Antiqua" w:hAnsi="Book Antiqua" w:cs="AdvTTae86113c"/>
                <w:lang w:val="en-US"/>
              </w:rPr>
              <w:instrText xml:space="preserve"> QUOTE </w:instrText>
            </w:r>
            <w:r w:rsidR="00B10CF2">
              <w:pict>
                <v:shape id="_x0000_i1027" type="#_x0000_t75" style="width:11.25pt;height:11.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0&quot;/&gt;&lt;w:doNotEmbedSystemFonts/&gt;&lt;w:bordersDontSurroundHeader/&gt;&lt;w:bordersDontSurroundFooter/&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D70C7&quot;/&gt;&lt;wsp:rsid wsp:val=&quot;00000D1D&quot;/&gt;&lt;wsp:rsid wsp:val=&quot;000015F9&quot;/&gt;&lt;wsp:rsid wsp:val=&quot;00005F55&quot;/&gt;&lt;wsp:rsid wsp:val=&quot;00006154&quot;/&gt;&lt;wsp:rsid wsp:val=&quot;00011021&quot;/&gt;&lt;wsp:rsid wsp:val=&quot;00015A76&quot;/&gt;&lt;wsp:rsid wsp:val=&quot;000178C2&quot;/&gt;&lt;wsp:rsid wsp:val=&quot;00020272&quot;/&gt;&lt;wsp:rsid wsp:val=&quot;0003013D&quot;/&gt;&lt;wsp:rsid wsp:val=&quot;00033AF3&quot;/&gt;&lt;wsp:rsid wsp:val=&quot;000353FA&quot;/&gt;&lt;wsp:rsid wsp:val=&quot;00035680&quot;/&gt;&lt;wsp:rsid wsp:val=&quot;0004098B&quot;/&gt;&lt;wsp:rsid wsp:val=&quot;00042FF0&quot;/&gt;&lt;wsp:rsid wsp:val=&quot;00047270&quot;/&gt;&lt;wsp:rsid wsp:val=&quot;00060B16&quot;/&gt;&lt;wsp:rsid wsp:val=&quot;000636C8&quot;/&gt;&lt;wsp:rsid wsp:val=&quot;000658CA&quot;/&gt;&lt;wsp:rsid wsp:val=&quot;00065DAA&quot;/&gt;&lt;wsp:rsid wsp:val=&quot;0007334A&quot;/&gt;&lt;wsp:rsid wsp:val=&quot;00075527&quot;/&gt;&lt;wsp:rsid wsp:val=&quot;0007626C&quot;/&gt;&lt;wsp:rsid wsp:val=&quot;00077DEC&quot;/&gt;&lt;wsp:rsid wsp:val=&quot;000844FD&quot;/&gt;&lt;wsp:rsid wsp:val=&quot;00092081&quot;/&gt;&lt;wsp:rsid wsp:val=&quot;00093131&quot;/&gt;&lt;wsp:rsid wsp:val=&quot;00094D87&quot;/&gt;&lt;wsp:rsid wsp:val=&quot;00097C14&quot;/&gt;&lt;wsp:rsid wsp:val=&quot;000A4C91&quot;/&gt;&lt;wsp:rsid wsp:val=&quot;000A521C&quot;/&gt;&lt;wsp:rsid wsp:val=&quot;000A6AD1&quot;/&gt;&lt;wsp:rsid wsp:val=&quot;000A7C1C&quot;/&gt;&lt;wsp:rsid wsp:val=&quot;000B769F&quot;/&gt;&lt;wsp:rsid wsp:val=&quot;000C29B4&quot;/&gt;&lt;wsp:rsid wsp:val=&quot;000C33AD&quot;/&gt;&lt;wsp:rsid wsp:val=&quot;000C4869&quot;/&gt;&lt;wsp:rsid wsp:val=&quot;000C4BF1&quot;/&gt;&lt;wsp:rsid wsp:val=&quot;000C5D35&quot;/&gt;&lt;wsp:rsid wsp:val=&quot;000C6879&quot;/&gt;&lt;wsp:rsid wsp:val=&quot;000D149F&quot;/&gt;&lt;wsp:rsid wsp:val=&quot;000D3957&quot;/&gt;&lt;wsp:rsid wsp:val=&quot;000D3AC1&quot;/&gt;&lt;wsp:rsid wsp:val=&quot;000E0823&quot;/&gt;&lt;wsp:rsid wsp:val=&quot;000E2D6E&quot;/&gt;&lt;wsp:rsid wsp:val=&quot;000E399D&quot;/&gt;&lt;wsp:rsid wsp:val=&quot;000E3ACA&quot;/&gt;&lt;wsp:rsid wsp:val=&quot;000E611D&quot;/&gt;&lt;wsp:rsid wsp:val=&quot;000E77F1&quot;/&gt;&lt;wsp:rsid wsp:val=&quot;000F06B2&quot;/&gt;&lt;wsp:rsid wsp:val=&quot;001008A7&quot;/&gt;&lt;wsp:rsid wsp:val=&quot;0010398E&quot;/&gt;&lt;wsp:rsid wsp:val=&quot;00103F6F&quot;/&gt;&lt;wsp:rsid wsp:val=&quot;00104349&quot;/&gt;&lt;wsp:rsid wsp:val=&quot;00113236&quot;/&gt;&lt;wsp:rsid wsp:val=&quot;00113D5F&quot;/&gt;&lt;wsp:rsid wsp:val=&quot;00117DB9&quot;/&gt;&lt;wsp:rsid wsp:val=&quot;001204AA&quot;/&gt;&lt;wsp:rsid wsp:val=&quot;001312E4&quot;/&gt;&lt;wsp:rsid wsp:val=&quot;00131A34&quot;/&gt;&lt;wsp:rsid wsp:val=&quot;00133451&quot;/&gt;&lt;wsp:rsid wsp:val=&quot;00134047&quot;/&gt;&lt;wsp:rsid wsp:val=&quot;00134200&quot;/&gt;&lt;wsp:rsid wsp:val=&quot;0013476A&quot;/&gt;&lt;wsp:rsid wsp:val=&quot;00134C2E&quot;/&gt;&lt;wsp:rsid wsp:val=&quot;00137260&quot;/&gt;&lt;wsp:rsid wsp:val=&quot;00141C64&quot;/&gt;&lt;wsp:rsid wsp:val=&quot;00145BBC&quot;/&gt;&lt;wsp:rsid wsp:val=&quot;00146EBB&quot;/&gt;&lt;wsp:rsid wsp:val=&quot;0015134E&quot;/&gt;&lt;wsp:rsid wsp:val=&quot;001514FE&quot;/&gt;&lt;wsp:rsid wsp:val=&quot;001551F6&quot;/&gt;&lt;wsp:rsid wsp:val=&quot;00155C68&quot;/&gt;&lt;wsp:rsid wsp:val=&quot;001566DC&quot;/&gt;&lt;wsp:rsid wsp:val=&quot;00157ACF&quot;/&gt;&lt;wsp:rsid wsp:val=&quot;00160D65&quot;/&gt;&lt;wsp:rsid wsp:val=&quot;001664DB&quot;/&gt;&lt;wsp:rsid wsp:val=&quot;00175F95&quot;/&gt;&lt;wsp:rsid wsp:val=&quot;00177F3D&quot;/&gt;&lt;wsp:rsid wsp:val=&quot;00182288&quot;/&gt;&lt;wsp:rsid wsp:val=&quot;00186876&quot;/&gt;&lt;wsp:rsid wsp:val=&quot;001923CA&quot;/&gt;&lt;wsp:rsid wsp:val=&quot;00194D30&quot;/&gt;&lt;wsp:rsid wsp:val=&quot;00196BCF&quot;/&gt;&lt;wsp:rsid wsp:val=&quot;00196F47&quot;/&gt;&lt;wsp:rsid wsp:val=&quot;001A0E8B&quot;/&gt;&lt;wsp:rsid wsp:val=&quot;001A4852&quot;/&gt;&lt;wsp:rsid wsp:val=&quot;001A51DB&quot;/&gt;&lt;wsp:rsid wsp:val=&quot;001A54AE&quot;/&gt;&lt;wsp:rsid wsp:val=&quot;001B2356&quot;/&gt;&lt;wsp:rsid wsp:val=&quot;001B2601&quot;/&gt;&lt;wsp:rsid wsp:val=&quot;001B2872&quot;/&gt;&lt;wsp:rsid wsp:val=&quot;001B5E69&quot;/&gt;&lt;wsp:rsid wsp:val=&quot;001C6B9E&quot;/&gt;&lt;wsp:rsid wsp:val=&quot;001C7498&quot;/&gt;&lt;wsp:rsid wsp:val=&quot;001D0438&quot;/&gt;&lt;wsp:rsid wsp:val=&quot;001D1D7E&quot;/&gt;&lt;wsp:rsid wsp:val=&quot;001D41A0&quot;/&gt;&lt;wsp:rsid wsp:val=&quot;001D5058&quot;/&gt;&lt;wsp:rsid wsp:val=&quot;001E0264&quot;/&gt;&lt;wsp:rsid wsp:val=&quot;001E0718&quot;/&gt;&lt;wsp:rsid wsp:val=&quot;001E33A8&quot;/&gt;&lt;wsp:rsid wsp:val=&quot;001E5979&quot;/&gt;&lt;wsp:rsid wsp:val=&quot;001E721F&quot;/&gt;&lt;wsp:rsid wsp:val=&quot;001E7E3E&quot;/&gt;&lt;wsp:rsid wsp:val=&quot;001F0470&quot;/&gt;&lt;wsp:rsid wsp:val=&quot;001F3C71&quot;/&gt;&lt;wsp:rsid wsp:val=&quot;001F6A50&quot;/&gt;&lt;wsp:rsid wsp:val=&quot;00201892&quot;/&gt;&lt;wsp:rsid wsp:val=&quot;0020432B&quot;/&gt;&lt;wsp:rsid wsp:val=&quot;00206144&quot;/&gt;&lt;wsp:rsid wsp:val=&quot;002114F1&quot;/&gt;&lt;wsp:rsid wsp:val=&quot;00211D3E&quot;/&gt;&lt;wsp:rsid wsp:val=&quot;00216808&quot;/&gt;&lt;wsp:rsid wsp:val=&quot;00222A26&quot;/&gt;&lt;wsp:rsid wsp:val=&quot;0023111C&quot;/&gt;&lt;wsp:rsid wsp:val=&quot;00236629&quot;/&gt;&lt;wsp:rsid wsp:val=&quot;00237CB7&quot;/&gt;&lt;wsp:rsid wsp:val=&quot;0024340C&quot;/&gt;&lt;wsp:rsid wsp:val=&quot;00244767&quot;/&gt;&lt;wsp:rsid wsp:val=&quot;00244D2A&quot;/&gt;&lt;wsp:rsid wsp:val=&quot;00246590&quot;/&gt;&lt;wsp:rsid wsp:val=&quot;002467D7&quot;/&gt;&lt;wsp:rsid wsp:val=&quot;00251D41&quot;/&gt;&lt;wsp:rsid wsp:val=&quot;002552AC&quot;/&gt;&lt;wsp:rsid wsp:val=&quot;00264DA8&quot;/&gt;&lt;wsp:rsid wsp:val=&quot;002663A4&quot;/&gt;&lt;wsp:rsid wsp:val=&quot;002674DE&quot;/&gt;&lt;wsp:rsid wsp:val=&quot;002717FE&quot;/&gt;&lt;wsp:rsid wsp:val=&quot;00275BFC&quot;/&gt;&lt;wsp:rsid wsp:val=&quot;0028110E&quot;/&gt;&lt;wsp:rsid wsp:val=&quot;00284E68&quot;/&gt;&lt;wsp:rsid wsp:val=&quot;002906CC&quot;/&gt;&lt;wsp:rsid wsp:val=&quot;0029268E&quot;/&gt;&lt;wsp:rsid wsp:val=&quot;00294241&quot;/&gt;&lt;wsp:rsid wsp:val=&quot;00295EB2&quot;/&gt;&lt;wsp:rsid wsp:val=&quot;002B0C4B&quot;/&gt;&lt;wsp:rsid wsp:val=&quot;002B3250&quot;/&gt;&lt;wsp:rsid wsp:val=&quot;002B5955&quot;/&gt;&lt;wsp:rsid wsp:val=&quot;002C0577&quot;/&gt;&lt;wsp:rsid wsp:val=&quot;002C1F6A&quot;/&gt;&lt;wsp:rsid wsp:val=&quot;002C2112&quot;/&gt;&lt;wsp:rsid wsp:val=&quot;002C4C45&quot;/&gt;&lt;wsp:rsid wsp:val=&quot;002C5958&quot;/&gt;&lt;wsp:rsid wsp:val=&quot;002C6CA3&quot;/&gt;&lt;wsp:rsid wsp:val=&quot;002D21F1&quot;/&gt;&lt;wsp:rsid wsp:val=&quot;002D276F&quot;/&gt;&lt;wsp:rsid wsp:val=&quot;002D28E5&quot;/&gt;&lt;wsp:rsid wsp:val=&quot;002D4A5F&quot;/&gt;&lt;wsp:rsid wsp:val=&quot;002D5602&quot;/&gt;&lt;wsp:rsid wsp:val=&quot;002E08EA&quot;/&gt;&lt;wsp:rsid wsp:val=&quot;002E40AE&quot;/&gt;&lt;wsp:rsid wsp:val=&quot;002E5A1F&quot;/&gt;&lt;wsp:rsid wsp:val=&quot;002E6AAA&quot;/&gt;&lt;wsp:rsid wsp:val=&quot;002F27B2&quot;/&gt;&lt;wsp:rsid wsp:val=&quot;002F6295&quot;/&gt;&lt;wsp:rsid wsp:val=&quot;002F6FE2&quot;/&gt;&lt;wsp:rsid wsp:val=&quot;002F7A0E&quot;/&gt;&lt;wsp:rsid wsp:val=&quot;003023E9&quot;/&gt;&lt;wsp:rsid wsp:val=&quot;00302D87&quot;/&gt;&lt;wsp:rsid wsp:val=&quot;00305896&quot;/&gt;&lt;wsp:rsid wsp:val=&quot;00306860&quot;/&gt;&lt;wsp:rsid wsp:val=&quot;00312DD5&quot;/&gt;&lt;wsp:rsid wsp:val=&quot;00315B45&quot;/&gt;&lt;wsp:rsid wsp:val=&quot;00315C23&quot;/&gt;&lt;wsp:rsid wsp:val=&quot;0031684C&quot;/&gt;&lt;wsp:rsid wsp:val=&quot;003176FD&quot;/&gt;&lt;wsp:rsid wsp:val=&quot;00322069&quot;/&gt;&lt;wsp:rsid wsp:val=&quot;00324360&quot;/&gt;&lt;wsp:rsid wsp:val=&quot;00330EAB&quot;/&gt;&lt;wsp:rsid wsp:val=&quot;003323BC&quot;/&gt;&lt;wsp:rsid wsp:val=&quot;00337559&quot;/&gt;&lt;wsp:rsid wsp:val=&quot;00340BF6&quot;/&gt;&lt;wsp:rsid wsp:val=&quot;00341142&quot;/&gt;&lt;wsp:rsid wsp:val=&quot;003421B7&quot;/&gt;&lt;wsp:rsid wsp:val=&quot;00346BA9&quot;/&gt;&lt;wsp:rsid wsp:val=&quot;003515A0&quot;/&gt;&lt;wsp:rsid wsp:val=&quot;003524F2&quot;/&gt;&lt;wsp:rsid wsp:val=&quot;00354095&quot;/&gt;&lt;wsp:rsid wsp:val=&quot;003558B9&quot;/&gt;&lt;wsp:rsid wsp:val=&quot;003565DA&quot;/&gt;&lt;wsp:rsid wsp:val=&quot;003707CA&quot;/&gt;&lt;wsp:rsid wsp:val=&quot;003709B3&quot;/&gt;&lt;wsp:rsid wsp:val=&quot;0037300E&quot;/&gt;&lt;wsp:rsid wsp:val=&quot;00374A56&quot;/&gt;&lt;wsp:rsid wsp:val=&quot;00382998&quot;/&gt;&lt;wsp:rsid wsp:val=&quot;00383EC6&quot;/&gt;&lt;wsp:rsid wsp:val=&quot;0038425A&quot;/&gt;&lt;wsp:rsid wsp:val=&quot;00385247&quot;/&gt;&lt;wsp:rsid wsp:val=&quot;00394983&quot;/&gt;&lt;wsp:rsid wsp:val=&quot;00396CF6&quot;/&gt;&lt;wsp:rsid wsp:val=&quot;00397E1B&quot;/&gt;&lt;wsp:rsid wsp:val=&quot;00397EED&quot;/&gt;&lt;wsp:rsid wsp:val=&quot;003A1E20&quot;/&gt;&lt;wsp:rsid wsp:val=&quot;003A3AA8&quot;/&gt;&lt;wsp:rsid wsp:val=&quot;003B35A1&quot;/&gt;&lt;wsp:rsid wsp:val=&quot;003B7419&quot;/&gt;&lt;wsp:rsid wsp:val=&quot;003B7990&quot;/&gt;&lt;wsp:rsid wsp:val=&quot;003C3B05&quot;/&gt;&lt;wsp:rsid wsp:val=&quot;003C4A84&quot;/&gt;&lt;wsp:rsid wsp:val=&quot;003D2872&quot;/&gt;&lt;wsp:rsid wsp:val=&quot;003D4D70&quot;/&gt;&lt;wsp:rsid wsp:val=&quot;003D786E&quot;/&gt;&lt;wsp:rsid wsp:val=&quot;003E067C&quot;/&gt;&lt;wsp:rsid wsp:val=&quot;003E15D4&quot;/&gt;&lt;wsp:rsid wsp:val=&quot;003F2D4C&quot;/&gt;&lt;wsp:rsid wsp:val=&quot;003F72E0&quot;/&gt;&lt;wsp:rsid wsp:val=&quot;00406E7C&quot;/&gt;&lt;wsp:rsid wsp:val=&quot;004104C3&quot;/&gt;&lt;wsp:rsid wsp:val=&quot;00410ECC&quot;/&gt;&lt;wsp:rsid wsp:val=&quot;004122D4&quot;/&gt;&lt;wsp:rsid wsp:val=&quot;00414DBC&quot;/&gt;&lt;wsp:rsid wsp:val=&quot;0041692C&quot;/&gt;&lt;wsp:rsid wsp:val=&quot;00416DE2&quot;/&gt;&lt;wsp:rsid wsp:val=&quot;00423BB1&quot;/&gt;&lt;wsp:rsid wsp:val=&quot;0042453D&quot;/&gt;&lt;wsp:rsid wsp:val=&quot;00425418&quot;/&gt;&lt;wsp:rsid wsp:val=&quot;00425F6A&quot;/&gt;&lt;wsp:rsid wsp:val=&quot;00431EA9&quot;/&gt;&lt;wsp:rsid wsp:val=&quot;00434ADE&quot;/&gt;&lt;wsp:rsid wsp:val=&quot;00435DAA&quot;/&gt;&lt;wsp:rsid wsp:val=&quot;00436AAF&quot;/&gt;&lt;wsp:rsid wsp:val=&quot;004374AE&quot;/&gt;&lt;wsp:rsid wsp:val=&quot;00441B5F&quot;/&gt;&lt;wsp:rsid wsp:val=&quot;00444D1D&quot;/&gt;&lt;wsp:rsid wsp:val=&quot;00451066&quot;/&gt;&lt;wsp:rsid wsp:val=&quot;004511DE&quot;/&gt;&lt;wsp:rsid wsp:val=&quot;00455288&quot;/&gt;&lt;wsp:rsid wsp:val=&quot;00455B64&quot;/&gt;&lt;wsp:rsid wsp:val=&quot;00461370&quot;/&gt;&lt;wsp:rsid wsp:val=&quot;0046198B&quot;/&gt;&lt;wsp:rsid wsp:val=&quot;00464075&quot;/&gt;&lt;wsp:rsid wsp:val=&quot;00464CF6&quot;/&gt;&lt;wsp:rsid wsp:val=&quot;00470AD8&quot;/&gt;&lt;wsp:rsid wsp:val=&quot;0047268F&quot;/&gt;&lt;wsp:rsid wsp:val=&quot;00483B02&quot;/&gt;&lt;wsp:rsid wsp:val=&quot;004844D7&quot;/&gt;&lt;wsp:rsid wsp:val=&quot;0048748B&quot;/&gt;&lt;wsp:rsid wsp:val=&quot;00487EB4&quot;/&gt;&lt;wsp:rsid wsp:val=&quot;00491DBA&quot;/&gt;&lt;wsp:rsid wsp:val=&quot;004925F8&quot;/&gt;&lt;wsp:rsid wsp:val=&quot;004A0EAB&quot;/&gt;&lt;wsp:rsid wsp:val=&quot;004A1B43&quot;/&gt;&lt;wsp:rsid wsp:val=&quot;004A2B88&quot;/&gt;&lt;wsp:rsid wsp:val=&quot;004A4B77&quot;/&gt;&lt;wsp:rsid wsp:val=&quot;004B0F03&quot;/&gt;&lt;wsp:rsid wsp:val=&quot;004B0F7B&quot;/&gt;&lt;wsp:rsid wsp:val=&quot;004B1AB7&quot;/&gt;&lt;wsp:rsid wsp:val=&quot;004B2315&quot;/&gt;&lt;wsp:rsid wsp:val=&quot;004B402B&quot;/&gt;&lt;wsp:rsid wsp:val=&quot;004B6920&quot;/&gt;&lt;wsp:rsid wsp:val=&quot;004B7B50&quot;/&gt;&lt;wsp:rsid wsp:val=&quot;004C17DC&quot;/&gt;&lt;wsp:rsid wsp:val=&quot;004C32E9&quot;/&gt;&lt;wsp:rsid wsp:val=&quot;004C4D4F&quot;/&gt;&lt;wsp:rsid wsp:val=&quot;004C513E&quot;/&gt;&lt;wsp:rsid wsp:val=&quot;004C5676&quot;/&gt;&lt;wsp:rsid wsp:val=&quot;004D28C8&quot;/&gt;&lt;wsp:rsid wsp:val=&quot;004D70C7&quot;/&gt;&lt;wsp:rsid wsp:val=&quot;004E0D26&quot;/&gt;&lt;wsp:rsid wsp:val=&quot;004E58A4&quot;/&gt;&lt;wsp:rsid wsp:val=&quot;004E6FED&quot;/&gt;&lt;wsp:rsid wsp:val=&quot;004E711B&quot;/&gt;&lt;wsp:rsid wsp:val=&quot;004E7B16&quot;/&gt;&lt;wsp:rsid wsp:val=&quot;004F2360&quot;/&gt;&lt;wsp:rsid wsp:val=&quot;004F2B8E&quot;/&gt;&lt;wsp:rsid wsp:val=&quot;004F36B4&quot;/&gt;&lt;wsp:rsid wsp:val=&quot;004F5F5A&quot;/&gt;&lt;wsp:rsid wsp:val=&quot;00500C9D&quot;/&gt;&lt;wsp:rsid wsp:val=&quot;00506877&quot;/&gt;&lt;wsp:rsid wsp:val=&quot;0051543A&quot;/&gt;&lt;wsp:rsid wsp:val=&quot;00516642&quot;/&gt;&lt;wsp:rsid wsp:val=&quot;00517A66&quot;/&gt;&lt;wsp:rsid wsp:val=&quot;00523490&quot;/&gt;&lt;wsp:rsid wsp:val=&quot;00530C40&quot;/&gt;&lt;wsp:rsid wsp:val=&quot;00536560&quot;/&gt;&lt;wsp:rsid wsp:val=&quot;005410CA&quot;/&gt;&lt;wsp:rsid wsp:val=&quot;005411EA&quot;/&gt;&lt;wsp:rsid wsp:val=&quot;005463A7&quot;/&gt;&lt;wsp:rsid wsp:val=&quot;00546687&quot;/&gt;&lt;wsp:rsid wsp:val=&quot;00550F71&quot;/&gt;&lt;wsp:rsid wsp:val=&quot;00552B47&quot;/&gt;&lt;wsp:rsid wsp:val=&quot;00552F5B&quot;/&gt;&lt;wsp:rsid wsp:val=&quot;0055385C&quot;/&gt;&lt;wsp:rsid wsp:val=&quot;00555A10&quot;/&gt;&lt;wsp:rsid wsp:val=&quot;0055604B&quot;/&gt;&lt;wsp:rsid wsp:val=&quot;00557BC1&quot;/&gt;&lt;wsp:rsid wsp:val=&quot;005605B4&quot;/&gt;&lt;wsp:rsid wsp:val=&quot;00562176&quot;/&gt;&lt;wsp:rsid wsp:val=&quot;0056239E&quot;/&gt;&lt;wsp:rsid wsp:val=&quot;0056550F&quot;/&gt;&lt;wsp:rsid wsp:val=&quot;0057013F&quot;/&gt;&lt;wsp:rsid wsp:val=&quot;00585157&quot;/&gt;&lt;wsp:rsid wsp:val=&quot;0059215E&quot;/&gt;&lt;wsp:rsid wsp:val=&quot;00592A94&quot;/&gt;&lt;wsp:rsid wsp:val=&quot;005A340F&quot;/&gt;&lt;wsp:rsid wsp:val=&quot;005A4336&quot;/&gt;&lt;wsp:rsid wsp:val=&quot;005A4938&quot;/&gt;&lt;wsp:rsid wsp:val=&quot;005A7D1F&quot;/&gt;&lt;wsp:rsid wsp:val=&quot;005C3313&quot;/&gt;&lt;wsp:rsid wsp:val=&quot;005C6CEC&quot;/&gt;&lt;wsp:rsid wsp:val=&quot;005D2E9F&quot;/&gt;&lt;wsp:rsid wsp:val=&quot;005D3A29&quot;/&gt;&lt;wsp:rsid wsp:val=&quot;005E15A5&quot;/&gt;&lt;wsp:rsid wsp:val=&quot;005E6733&quot;/&gt;&lt;wsp:rsid wsp:val=&quot;005F0BD8&quot;/&gt;&lt;wsp:rsid wsp:val=&quot;005F133F&quot;/&gt;&lt;wsp:rsid wsp:val=&quot;005F26AA&quot;/&gt;&lt;wsp:rsid wsp:val=&quot;005F3EF2&quot;/&gt;&lt;wsp:rsid wsp:val=&quot;005F5636&quot;/&gt;&lt;wsp:rsid wsp:val=&quot;006008A4&quot;/&gt;&lt;wsp:rsid wsp:val=&quot;00604477&quot;/&gt;&lt;wsp:rsid wsp:val=&quot;0060622E&quot;/&gt;&lt;wsp:rsid wsp:val=&quot;00606263&quot;/&gt;&lt;wsp:rsid wsp:val=&quot;00607165&quot;/&gt;&lt;wsp:rsid wsp:val=&quot;006072CF&quot;/&gt;&lt;wsp:rsid wsp:val=&quot;006215DC&quot;/&gt;&lt;wsp:rsid wsp:val=&quot;00621B1A&quot;/&gt;&lt;wsp:rsid wsp:val=&quot;00622C92&quot;/&gt;&lt;wsp:rsid wsp:val=&quot;006236F2&quot;/&gt;&lt;wsp:rsid wsp:val=&quot;00626EF3&quot;/&gt;&lt;wsp:rsid wsp:val=&quot;006320DA&quot;/&gt;&lt;wsp:rsid wsp:val=&quot;00634032&quot;/&gt;&lt;wsp:rsid wsp:val=&quot;006402CC&quot;/&gt;&lt;wsp:rsid wsp:val=&quot;00643362&quot;/&gt;&lt;wsp:rsid wsp:val=&quot;00644D8A&quot;/&gt;&lt;wsp:rsid wsp:val=&quot;00645275&quot;/&gt;&lt;wsp:rsid wsp:val=&quot;0064644D&quot;/&gt;&lt;wsp:rsid wsp:val=&quot;00651067&quot;/&gt;&lt;wsp:rsid wsp:val=&quot;0065133F&quot;/&gt;&lt;wsp:rsid wsp:val=&quot;006517C4&quot;/&gt;&lt;wsp:rsid wsp:val=&quot;00654054&quot;/&gt;&lt;wsp:rsid wsp:val=&quot;0066022E&quot;/&gt;&lt;wsp:rsid wsp:val=&quot;006604DD&quot;/&gt;&lt;wsp:rsid wsp:val=&quot;00664818&quot;/&gt;&lt;wsp:rsid wsp:val=&quot;00664BAC&quot;/&gt;&lt;wsp:rsid wsp:val=&quot;00664D44&quot;/&gt;&lt;wsp:rsid wsp:val=&quot;0066576E&quot;/&gt;&lt;wsp:rsid wsp:val=&quot;006662DE&quot;/&gt;&lt;wsp:rsid wsp:val=&quot;00667940&quot;/&gt;&lt;wsp:rsid wsp:val=&quot;006717D7&quot;/&gt;&lt;wsp:rsid wsp:val=&quot;00671E79&quot;/&gt;&lt;wsp:rsid wsp:val=&quot;006772EA&quot;/&gt;&lt;wsp:rsid wsp:val=&quot;0069113F&quot;/&gt;&lt;wsp:rsid wsp:val=&quot;00694BFD&quot;/&gt;&lt;wsp:rsid wsp:val=&quot;00695F68&quot;/&gt;&lt;wsp:rsid wsp:val=&quot;006A1EAD&quot;/&gt;&lt;wsp:rsid wsp:val=&quot;006A2511&quot;/&gt;&lt;wsp:rsid wsp:val=&quot;006B1069&quot;/&gt;&lt;wsp:rsid wsp:val=&quot;006B2E6E&quot;/&gt;&lt;wsp:rsid wsp:val=&quot;006B5011&quot;/&gt;&lt;wsp:rsid wsp:val=&quot;006B5A51&quot;/&gt;&lt;wsp:rsid wsp:val=&quot;006C2101&quot;/&gt;&lt;wsp:rsid wsp:val=&quot;006D6929&quot;/&gt;&lt;wsp:rsid wsp:val=&quot;006E0215&quot;/&gt;&lt;wsp:rsid wsp:val=&quot;006E23EC&quot;/&gt;&lt;wsp:rsid wsp:val=&quot;006E2FA3&quot;/&gt;&lt;wsp:rsid wsp:val=&quot;006E398A&quot;/&gt;&lt;wsp:rsid wsp:val=&quot;006E3BD6&quot;/&gt;&lt;wsp:rsid wsp:val=&quot;006E5752&quot;/&gt;&lt;wsp:rsid wsp:val=&quot;006F26D4&quot;/&gt;&lt;wsp:rsid wsp:val=&quot;00701A27&quot;/&gt;&lt;wsp:rsid wsp:val=&quot;0070512B&quot;/&gt;&lt;wsp:rsid wsp:val=&quot;00705977&quot;/&gt;&lt;wsp:rsid wsp:val=&quot;00705BB7&quot;/&gt;&lt;wsp:rsid wsp:val=&quot;007063A7&quot;/&gt;&lt;wsp:rsid wsp:val=&quot;00706B29&quot;/&gt;&lt;wsp:rsid wsp:val=&quot;007109A1&quot;/&gt;&lt;wsp:rsid wsp:val=&quot;007120DC&quot;/&gt;&lt;wsp:rsid wsp:val=&quot;00717C46&quot;/&gt;&lt;wsp:rsid wsp:val=&quot;00721A31&quot;/&gt;&lt;wsp:rsid wsp:val=&quot;00726571&quot;/&gt;&lt;wsp:rsid wsp:val=&quot;007268DF&quot;/&gt;&lt;wsp:rsid wsp:val=&quot;00731545&quot;/&gt;&lt;wsp:rsid wsp:val=&quot;00731EC1&quot;/&gt;&lt;wsp:rsid wsp:val=&quot;00732815&quot;/&gt;&lt;wsp:rsid wsp:val=&quot;007369CD&quot;/&gt;&lt;wsp:rsid wsp:val=&quot;00737741&quot;/&gt;&lt;wsp:rsid wsp:val=&quot;007507D8&quot;/&gt;&lt;wsp:rsid wsp:val=&quot;007539F2&quot;/&gt;&lt;wsp:rsid wsp:val=&quot;00754047&quot;/&gt;&lt;wsp:rsid wsp:val=&quot;00764F4C&quot;/&gt;&lt;wsp:rsid wsp:val=&quot;00765EC2&quot;/&gt;&lt;wsp:rsid wsp:val=&quot;00766433&quot;/&gt;&lt;wsp:rsid wsp:val=&quot;00770E6A&quot;/&gt;&lt;wsp:rsid wsp:val=&quot;0077107E&quot;/&gt;&lt;wsp:rsid wsp:val=&quot;00773637&quot;/&gt;&lt;wsp:rsid wsp:val=&quot;0077517D&quot;/&gt;&lt;wsp:rsid wsp:val=&quot;00775A85&quot;/&gt;&lt;wsp:rsid wsp:val=&quot;007764F4&quot;/&gt;&lt;wsp:rsid wsp:val=&quot;00784B13&quot;/&gt;&lt;wsp:rsid wsp:val=&quot;00786F52&quot;/&gt;&lt;wsp:rsid wsp:val=&quot;00792411&quot;/&gt;&lt;wsp:rsid wsp:val=&quot;00794142&quot;/&gt;&lt;wsp:rsid wsp:val=&quot;00797382&quot;/&gt;&lt;wsp:rsid wsp:val=&quot;007B2700&quot;/&gt;&lt;wsp:rsid wsp:val=&quot;007B3464&quot;/&gt;&lt;wsp:rsid wsp:val=&quot;007B7265&quot;/&gt;&lt;wsp:rsid wsp:val=&quot;007D0929&quot;/&gt;&lt;wsp:rsid wsp:val=&quot;007D249C&quot;/&gt;&lt;wsp:rsid wsp:val=&quot;007D367A&quot;/&gt;&lt;wsp:rsid wsp:val=&quot;007D3D9C&quot;/&gt;&lt;wsp:rsid wsp:val=&quot;007D49D4&quot;/&gt;&lt;wsp:rsid wsp:val=&quot;007D5034&quot;/&gt;&lt;wsp:rsid wsp:val=&quot;007E3728&quot;/&gt;&lt;wsp:rsid wsp:val=&quot;007E43EC&quot;/&gt;&lt;wsp:rsid wsp:val=&quot;008010D3&quot;/&gt;&lt;wsp:rsid wsp:val=&quot;00804FA8&quot;/&gt;&lt;wsp:rsid wsp:val=&quot;00805C0A&quot;/&gt;&lt;wsp:rsid wsp:val=&quot;00811413&quot;/&gt;&lt;wsp:rsid wsp:val=&quot;00820829&quot;/&gt;&lt;wsp:rsid wsp:val=&quot;008346EF&quot;/&gt;&lt;wsp:rsid wsp:val=&quot;00834EC6&quot;/&gt;&lt;wsp:rsid wsp:val=&quot;0083582E&quot;/&gt;&lt;wsp:rsid wsp:val=&quot;00837232&quot;/&gt;&lt;wsp:rsid wsp:val=&quot;0084015D&quot;/&gt;&lt;wsp:rsid wsp:val=&quot;008407E4&quot;/&gt;&lt;wsp:rsid wsp:val=&quot;00840846&quot;/&gt;&lt;wsp:rsid wsp:val=&quot;00844126&quot;/&gt;&lt;wsp:rsid wsp:val=&quot;00844A21&quot;/&gt;&lt;wsp:rsid wsp:val=&quot;008464A7&quot;/&gt;&lt;wsp:rsid wsp:val=&quot;008557F1&quot;/&gt;&lt;wsp:rsid wsp:val=&quot;008568BE&quot;/&gt;&lt;wsp:rsid wsp:val=&quot;00862127&quot;/&gt;&lt;wsp:rsid wsp:val=&quot;00863D8B&quot;/&gt;&lt;wsp:rsid wsp:val=&quot;00866E18&quot;/&gt;&lt;wsp:rsid wsp:val=&quot;00874248&quot;/&gt;&lt;wsp:rsid wsp:val=&quot;008752DC&quot;/&gt;&lt;wsp:rsid wsp:val=&quot;00876914&quot;/&gt;&lt;wsp:rsid wsp:val=&quot;00886F63&quot;/&gt;&lt;wsp:rsid wsp:val=&quot;00887C6B&quot;/&gt;&lt;wsp:rsid wsp:val=&quot;00890117&quot;/&gt;&lt;wsp:rsid wsp:val=&quot;008923A2&quot;/&gt;&lt;wsp:rsid wsp:val=&quot;00892F68&quot;/&gt;&lt;wsp:rsid wsp:val=&quot;00893244&quot;/&gt;&lt;wsp:rsid wsp:val=&quot;00893937&quot;/&gt;&lt;wsp:rsid wsp:val=&quot;00896C73&quot;/&gt;&lt;wsp:rsid wsp:val=&quot;00897C2B&quot;/&gt;&lt;wsp:rsid wsp:val=&quot;008A108C&quot;/&gt;&lt;wsp:rsid wsp:val=&quot;008A1100&quot;/&gt;&lt;wsp:rsid wsp:val=&quot;008A156C&quot;/&gt;&lt;wsp:rsid wsp:val=&quot;008A3E90&quot;/&gt;&lt;wsp:rsid wsp:val=&quot;008A3F51&quot;/&gt;&lt;wsp:rsid wsp:val=&quot;008B0F39&quot;/&gt;&lt;wsp:rsid wsp:val=&quot;008B1714&quot;/&gt;&lt;wsp:rsid wsp:val=&quot;008B190A&quot;/&gt;&lt;wsp:rsid wsp:val=&quot;008B23FD&quot;/&gt;&lt;wsp:rsid wsp:val=&quot;008B40FC&quot;/&gt;&lt;wsp:rsid wsp:val=&quot;008B4110&quot;/&gt;&lt;wsp:rsid wsp:val=&quot;008B500F&quot;/&gt;&lt;wsp:rsid wsp:val=&quot;008B52BC&quot;/&gt;&lt;wsp:rsid wsp:val=&quot;008B6D23&quot;/&gt;&lt;wsp:rsid wsp:val=&quot;008B7B39&quot;/&gt;&lt;wsp:rsid wsp:val=&quot;008C4D44&quot;/&gt;&lt;wsp:rsid wsp:val=&quot;008C535A&quot;/&gt;&lt;wsp:rsid wsp:val=&quot;008C69AC&quot;/&gt;&lt;wsp:rsid wsp:val=&quot;008E0096&quot;/&gt;&lt;wsp:rsid wsp:val=&quot;008E20D1&quot;/&gt;&lt;wsp:rsid wsp:val=&quot;008E2752&quot;/&gt;&lt;wsp:rsid wsp:val=&quot;008E62E8&quot;/&gt;&lt;wsp:rsid wsp:val=&quot;008F397D&quot;/&gt;&lt;wsp:rsid wsp:val=&quot;008F760E&quot;/&gt;&lt;wsp:rsid wsp:val=&quot;00902247&quot;/&gt;&lt;wsp:rsid wsp:val=&quot;009039B9&quot;/&gt;&lt;wsp:rsid wsp:val=&quot;00904A6A&quot;/&gt;&lt;wsp:rsid wsp:val=&quot;00904EAF&quot;/&gt;&lt;wsp:rsid wsp:val=&quot;00905ACD&quot;/&gt;&lt;wsp:rsid wsp:val=&quot;00906483&quot;/&gt;&lt;wsp:rsid wsp:val=&quot;00910415&quot;/&gt;&lt;wsp:rsid wsp:val=&quot;00911044&quot;/&gt;&lt;wsp:rsid wsp:val=&quot;009141E4&quot;/&gt;&lt;wsp:rsid wsp:val=&quot;00916723&quot;/&gt;&lt;wsp:rsid wsp:val=&quot;009206AC&quot;/&gt;&lt;wsp:rsid wsp:val=&quot;00926071&quot;/&gt;&lt;wsp:rsid wsp:val=&quot;0093219E&quot;/&gt;&lt;wsp:rsid wsp:val=&quot;0093448C&quot;/&gt;&lt;wsp:rsid wsp:val=&quot;009354AA&quot;/&gt;&lt;wsp:rsid wsp:val=&quot;00936F7C&quot;/&gt;&lt;wsp:rsid wsp:val=&quot;00945229&quot;/&gt;&lt;wsp:rsid wsp:val=&quot;00955633&quot;/&gt;&lt;wsp:rsid wsp:val=&quot;00956635&quot;/&gt;&lt;wsp:rsid wsp:val=&quot;00957B91&quot;/&gt;&lt;wsp:rsid wsp:val=&quot;00960F0E&quot;/&gt;&lt;wsp:rsid wsp:val=&quot;0096103B&quot;/&gt;&lt;wsp:rsid wsp:val=&quot;009659A3&quot;/&gt;&lt;wsp:rsid wsp:val=&quot;00972AA1&quot;/&gt;&lt;wsp:rsid wsp:val=&quot;00972FDF&quot;/&gt;&lt;wsp:rsid wsp:val=&quot;00974A76&quot;/&gt;&lt;wsp:rsid wsp:val=&quot;00980F54&quot;/&gt;&lt;wsp:rsid wsp:val=&quot;00981E1D&quot;/&gt;&lt;wsp:rsid wsp:val=&quot;0098354B&quot;/&gt;&lt;wsp:rsid wsp:val=&quot;00985278&quot;/&gt;&lt;wsp:rsid wsp:val=&quot;00985408&quot;/&gt;&lt;wsp:rsid wsp:val=&quot;00985BBA&quot;/&gt;&lt;wsp:rsid wsp:val=&quot;00986357&quot;/&gt;&lt;wsp:rsid wsp:val=&quot;00990061&quot;/&gt;&lt;wsp:rsid wsp:val=&quot;009907FE&quot;/&gt;&lt;wsp:rsid wsp:val=&quot;00991136&quot;/&gt;&lt;wsp:rsid wsp:val=&quot;009934B0&quot;/&gt;&lt;wsp:rsid wsp:val=&quot;00993EA6&quot;/&gt;&lt;wsp:rsid wsp:val=&quot;009951FA&quot;/&gt;&lt;wsp:rsid wsp:val=&quot;00995C33&quot;/&gt;&lt;wsp:rsid wsp:val=&quot;00997246&quot;/&gt;&lt;wsp:rsid wsp:val=&quot;009A22FA&quot;/&gt;&lt;wsp:rsid wsp:val=&quot;009A241C&quot;/&gt;&lt;wsp:rsid wsp:val=&quot;009A50F9&quot;/&gt;&lt;wsp:rsid wsp:val=&quot;009B4F88&quot;/&gt;&lt;wsp:rsid wsp:val=&quot;009B5037&quot;/&gt;&lt;wsp:rsid wsp:val=&quot;009B525C&quot;/&gt;&lt;wsp:rsid wsp:val=&quot;009B71A9&quot;/&gt;&lt;wsp:rsid wsp:val=&quot;009C1D84&quot;/&gt;&lt;wsp:rsid wsp:val=&quot;009D3895&quot;/&gt;&lt;wsp:rsid wsp:val=&quot;009D4424&quot;/&gt;&lt;wsp:rsid wsp:val=&quot;009E131E&quot;/&gt;&lt;wsp:rsid wsp:val=&quot;009E1C88&quot;/&gt;&lt;wsp:rsid wsp:val=&quot;009E3209&quot;/&gt;&lt;wsp:rsid wsp:val=&quot;009E4873&quot;/&gt;&lt;wsp:rsid wsp:val=&quot;009F2ADC&quot;/&gt;&lt;wsp:rsid wsp:val=&quot;00A036F1&quot;/&gt;&lt;wsp:rsid wsp:val=&quot;00A04E81&quot;/&gt;&lt;wsp:rsid wsp:val=&quot;00A0665D&quot;/&gt;&lt;wsp:rsid wsp:val=&quot;00A068D3&quot;/&gt;&lt;wsp:rsid wsp:val=&quot;00A11F6E&quot;/&gt;&lt;wsp:rsid wsp:val=&quot;00A16512&quot;/&gt;&lt;wsp:rsid wsp:val=&quot;00A176FC&quot;/&gt;&lt;wsp:rsid wsp:val=&quot;00A215F2&quot;/&gt;&lt;wsp:rsid wsp:val=&quot;00A223DD&quot;/&gt;&lt;wsp:rsid wsp:val=&quot;00A22D90&quot;/&gt;&lt;wsp:rsid wsp:val=&quot;00A30EF6&quot;/&gt;&lt;wsp:rsid wsp:val=&quot;00A371E5&quot;/&gt;&lt;wsp:rsid wsp:val=&quot;00A4296A&quot;/&gt;&lt;wsp:rsid wsp:val=&quot;00A43DB9&quot;/&gt;&lt;wsp:rsid wsp:val=&quot;00A43EED&quot;/&gt;&lt;wsp:rsid wsp:val=&quot;00A44B4E&quot;/&gt;&lt;wsp:rsid wsp:val=&quot;00A44D8E&quot;/&gt;&lt;wsp:rsid wsp:val=&quot;00A452B9&quot;/&gt;&lt;wsp:rsid wsp:val=&quot;00A47BA0&quot;/&gt;&lt;wsp:rsid wsp:val=&quot;00A47BF0&quot;/&gt;&lt;wsp:rsid wsp:val=&quot;00A571D5&quot;/&gt;&lt;wsp:rsid wsp:val=&quot;00A57790&quot;/&gt;&lt;wsp:rsid wsp:val=&quot;00A57F12&quot;/&gt;&lt;wsp:rsid wsp:val=&quot;00A57F96&quot;/&gt;&lt;wsp:rsid wsp:val=&quot;00A605A6&quot;/&gt;&lt;wsp:rsid wsp:val=&quot;00A66C0A&quot;/&gt;&lt;wsp:rsid wsp:val=&quot;00A74812&quot;/&gt;&lt;wsp:rsid wsp:val=&quot;00A759FE&quot;/&gt;&lt;wsp:rsid wsp:val=&quot;00A76356&quot;/&gt;&lt;wsp:rsid wsp:val=&quot;00A86765&quot;/&gt;&lt;wsp:rsid wsp:val=&quot;00A879C3&quot;/&gt;&lt;wsp:rsid wsp:val=&quot;00A9200F&quot;/&gt;&lt;wsp:rsid wsp:val=&quot;00AA243B&quot;/&gt;&lt;wsp:rsid wsp:val=&quot;00AA379A&quot;/&gt;&lt;wsp:rsid wsp:val=&quot;00AA3D08&quot;/&gt;&lt;wsp:rsid wsp:val=&quot;00AA568A&quot;/&gt;&lt;wsp:rsid wsp:val=&quot;00AA5CF9&quot;/&gt;&lt;wsp:rsid wsp:val=&quot;00AA640E&quot;/&gt;&lt;wsp:rsid wsp:val=&quot;00AA7C93&quot;/&gt;&lt;wsp:rsid wsp:val=&quot;00AB09D6&quot;/&gt;&lt;wsp:rsid wsp:val=&quot;00AB24C4&quot;/&gt;&lt;wsp:rsid wsp:val=&quot;00AB31F1&quot;/&gt;&lt;wsp:rsid wsp:val=&quot;00AB354C&quot;/&gt;&lt;wsp:rsid wsp:val=&quot;00AD0468&quot;/&gt;&lt;wsp:rsid wsp:val=&quot;00AD3106&quot;/&gt;&lt;wsp:rsid wsp:val=&quot;00AD4206&quot;/&gt;&lt;wsp:rsid wsp:val=&quot;00AE628F&quot;/&gt;&lt;wsp:rsid wsp:val=&quot;00AE67A0&quot;/&gt;&lt;wsp:rsid wsp:val=&quot;00AF0D92&quot;/&gt;&lt;wsp:rsid wsp:val=&quot;00AF3DF4&quot;/&gt;&lt;wsp:rsid wsp:val=&quot;00AF4712&quot;/&gt;&lt;wsp:rsid wsp:val=&quot;00AF5730&quot;/&gt;&lt;wsp:rsid wsp:val=&quot;00AF7ECB&quot;/&gt;&lt;wsp:rsid wsp:val=&quot;00B0057B&quot;/&gt;&lt;wsp:rsid wsp:val=&quot;00B00C08&quot;/&gt;&lt;wsp:rsid wsp:val=&quot;00B02D1F&quot;/&gt;&lt;wsp:rsid wsp:val=&quot;00B0435D&quot;/&gt;&lt;wsp:rsid wsp:val=&quot;00B046E3&quot;/&gt;&lt;wsp:rsid wsp:val=&quot;00B05F30&quot;/&gt;&lt;wsp:rsid wsp:val=&quot;00B150D9&quot;/&gt;&lt;wsp:rsid wsp:val=&quot;00B207B8&quot;/&gt;&lt;wsp:rsid wsp:val=&quot;00B26633&quot;/&gt;&lt;wsp:rsid wsp:val=&quot;00B303F0&quot;/&gt;&lt;wsp:rsid wsp:val=&quot;00B32D2A&quot;/&gt;&lt;wsp:rsid wsp:val=&quot;00B33595&quot;/&gt;&lt;wsp:rsid wsp:val=&quot;00B362E5&quot;/&gt;&lt;wsp:rsid wsp:val=&quot;00B37A70&quot;/&gt;&lt;wsp:rsid wsp:val=&quot;00B4093B&quot;/&gt;&lt;wsp:rsid wsp:val=&quot;00B52189&quot;/&gt;&lt;wsp:rsid wsp:val=&quot;00B52A37&quot;/&gt;&lt;wsp:rsid wsp:val=&quot;00B55212&quot;/&gt;&lt;wsp:rsid wsp:val=&quot;00B560DE&quot;/&gt;&lt;wsp:rsid wsp:val=&quot;00B60B0A&quot;/&gt;&lt;wsp:rsid wsp:val=&quot;00B67813&quot;/&gt;&lt;wsp:rsid wsp:val=&quot;00B729CB&quot;/&gt;&lt;wsp:rsid wsp:val=&quot;00B8045C&quot;/&gt;&lt;wsp:rsid wsp:val=&quot;00B80D4C&quot;/&gt;&lt;wsp:rsid wsp:val=&quot;00B84A8C&quot;/&gt;&lt;wsp:rsid wsp:val=&quot;00B87A0D&quot;/&gt;&lt;wsp:rsid wsp:val=&quot;00B92884&quot;/&gt;&lt;wsp:rsid wsp:val=&quot;00BA0F56&quot;/&gt;&lt;wsp:rsid wsp:val=&quot;00BA12F7&quot;/&gt;&lt;wsp:rsid wsp:val=&quot;00BA49B5&quot;/&gt;&lt;wsp:rsid wsp:val=&quot;00BB1665&quot;/&gt;&lt;wsp:rsid wsp:val=&quot;00BB2484&quot;/&gt;&lt;wsp:rsid wsp:val=&quot;00BB5263&quot;/&gt;&lt;wsp:rsid wsp:val=&quot;00BC7394&quot;/&gt;&lt;wsp:rsid wsp:val=&quot;00BD057E&quot;/&gt;&lt;wsp:rsid wsp:val=&quot;00BD0979&quot;/&gt;&lt;wsp:rsid wsp:val=&quot;00BD641F&quot;/&gt;&lt;wsp:rsid wsp:val=&quot;00BD7943&quot;/&gt;&lt;wsp:rsid wsp:val=&quot;00BE0892&quot;/&gt;&lt;wsp:rsid wsp:val=&quot;00BE4FBC&quot;/&gt;&lt;wsp:rsid wsp:val=&quot;00BE6858&quot;/&gt;&lt;wsp:rsid wsp:val=&quot;00BF021D&quot;/&gt;&lt;wsp:rsid wsp:val=&quot;00BF29DD&quot;/&gt;&lt;wsp:rsid wsp:val=&quot;00BF3463&quot;/&gt;&lt;wsp:rsid wsp:val=&quot;00BF447C&quot;/&gt;&lt;wsp:rsid wsp:val=&quot;00BF4814&quot;/&gt;&lt;wsp:rsid wsp:val=&quot;00BF49E9&quot;/&gt;&lt;wsp:rsid wsp:val=&quot;00C01929&quot;/&gt;&lt;wsp:rsid wsp:val=&quot;00C03949&quot;/&gt;&lt;wsp:rsid wsp:val=&quot;00C05B83&quot;/&gt;&lt;wsp:rsid wsp:val=&quot;00C067D5&quot;/&gt;&lt;wsp:rsid wsp:val=&quot;00C113B8&quot;/&gt;&lt;wsp:rsid wsp:val=&quot;00C2169A&quot;/&gt;&lt;wsp:rsid wsp:val=&quot;00C22EA2&quot;/&gt;&lt;wsp:rsid wsp:val=&quot;00C2326A&quot;/&gt;&lt;wsp:rsid wsp:val=&quot;00C26B3C&quot;/&gt;&lt;wsp:rsid wsp:val=&quot;00C31A9C&quot;/&gt;&lt;wsp:rsid wsp:val=&quot;00C34286&quot;/&gt;&lt;wsp:rsid wsp:val=&quot;00C410DB&quot;/&gt;&lt;wsp:rsid wsp:val=&quot;00C448B2&quot;/&gt;&lt;wsp:rsid wsp:val=&quot;00C516AC&quot;/&gt;&lt;wsp:rsid wsp:val=&quot;00C53B5B&quot;/&gt;&lt;wsp:rsid wsp:val=&quot;00C54047&quot;/&gt;&lt;wsp:rsid wsp:val=&quot;00C55F47&quot;/&gt;&lt;wsp:rsid wsp:val=&quot;00C61A56&quot;/&gt;&lt;wsp:rsid wsp:val=&quot;00C6211E&quot;/&gt;&lt;wsp:rsid wsp:val=&quot;00C7204F&quot;/&gt;&lt;wsp:rsid wsp:val=&quot;00C73AEC&quot;/&gt;&lt;wsp:rsid wsp:val=&quot;00C758D3&quot;/&gt;&lt;wsp:rsid wsp:val=&quot;00C76093&quot;/&gt;&lt;wsp:rsid wsp:val=&quot;00C76D08&quot;/&gt;&lt;wsp:rsid wsp:val=&quot;00C8042A&quot;/&gt;&lt;wsp:rsid wsp:val=&quot;00C80583&quot;/&gt;&lt;wsp:rsid wsp:val=&quot;00C80E50&quot;/&gt;&lt;wsp:rsid wsp:val=&quot;00C8488A&quot;/&gt;&lt;wsp:rsid wsp:val=&quot;00C85D39&quot;/&gt;&lt;wsp:rsid wsp:val=&quot;00C958BF&quot;/&gt;&lt;wsp:rsid wsp:val=&quot;00C9643A&quot;/&gt;&lt;wsp:rsid wsp:val=&quot;00C9693B&quot;/&gt;&lt;wsp:rsid wsp:val=&quot;00CA146D&quot;/&gt;&lt;wsp:rsid wsp:val=&quot;00CB30FA&quot;/&gt;&lt;wsp:rsid wsp:val=&quot;00CB3C08&quot;/&gt;&lt;wsp:rsid wsp:val=&quot;00CB4F66&quot;/&gt;&lt;wsp:rsid wsp:val=&quot;00CB6DAD&quot;/&gt;&lt;wsp:rsid wsp:val=&quot;00CC0DEC&quot;/&gt;&lt;wsp:rsid wsp:val=&quot;00CC21EF&quot;/&gt;&lt;wsp:rsid wsp:val=&quot;00CC2CD9&quot;/&gt;&lt;wsp:rsid wsp:val=&quot;00CC693B&quot;/&gt;&lt;wsp:rsid wsp:val=&quot;00CD3B56&quot;/&gt;&lt;wsp:rsid wsp:val=&quot;00CE033B&quot;/&gt;&lt;wsp:rsid wsp:val=&quot;00CF27C6&quot;/&gt;&lt;wsp:rsid wsp:val=&quot;00CF2CB7&quot;/&gt;&lt;wsp:rsid wsp:val=&quot;00D0796B&quot;/&gt;&lt;wsp:rsid wsp:val=&quot;00D161CC&quot;/&gt;&lt;wsp:rsid wsp:val=&quot;00D20913&quot;/&gt;&lt;wsp:rsid wsp:val=&quot;00D22ED3&quot;/&gt;&lt;wsp:rsid wsp:val=&quot;00D23A48&quot;/&gt;&lt;wsp:rsid wsp:val=&quot;00D25335&quot;/&gt;&lt;wsp:rsid wsp:val=&quot;00D30D33&quot;/&gt;&lt;wsp:rsid wsp:val=&quot;00D341A3&quot;/&gt;&lt;wsp:rsid wsp:val=&quot;00D3716D&quot;/&gt;&lt;wsp:rsid wsp:val=&quot;00D37E63&quot;/&gt;&lt;wsp:rsid wsp:val=&quot;00D40B60&quot;/&gt;&lt;wsp:rsid wsp:val=&quot;00D41DFE&quot;/&gt;&lt;wsp:rsid wsp:val=&quot;00D42B09&quot;/&gt;&lt;wsp:rsid wsp:val=&quot;00D43354&quot;/&gt;&lt;wsp:rsid wsp:val=&quot;00D466D5&quot;/&gt;&lt;wsp:rsid wsp:val=&quot;00D46882&quot;/&gt;&lt;wsp:rsid wsp:val=&quot;00D56ECE&quot;/&gt;&lt;wsp:rsid wsp:val=&quot;00D602E7&quot;/&gt;&lt;wsp:rsid wsp:val=&quot;00D63C04&quot;/&gt;&lt;wsp:rsid wsp:val=&quot;00D642A0&quot;/&gt;&lt;wsp:rsid wsp:val=&quot;00D6436F&quot;/&gt;&lt;wsp:rsid wsp:val=&quot;00D644F2&quot;/&gt;&lt;wsp:rsid wsp:val=&quot;00D71F1A&quot;/&gt;&lt;wsp:rsid wsp:val=&quot;00D747F5&quot;/&gt;&lt;wsp:rsid wsp:val=&quot;00D76DD0&quot;/&gt;&lt;wsp:rsid wsp:val=&quot;00D77FB6&quot;/&gt;&lt;wsp:rsid wsp:val=&quot;00D8266D&quot;/&gt;&lt;wsp:rsid wsp:val=&quot;00D8763D&quot;/&gt;&lt;wsp:rsid wsp:val=&quot;00D87BA0&quot;/&gt;&lt;wsp:rsid wsp:val=&quot;00D90AC5&quot;/&gt;&lt;wsp:rsid wsp:val=&quot;00D917FE&quot;/&gt;&lt;wsp:rsid wsp:val=&quot;00D95504&quot;/&gt;&lt;wsp:rsid wsp:val=&quot;00DA00FB&quot;/&gt;&lt;wsp:rsid wsp:val=&quot;00DA0CAA&quot;/&gt;&lt;wsp:rsid wsp:val=&quot;00DA2E33&quot;/&gt;&lt;wsp:rsid wsp:val=&quot;00DB2DC4&quot;/&gt;&lt;wsp:rsid wsp:val=&quot;00DC51EC&quot;/&gt;&lt;wsp:rsid wsp:val=&quot;00DC6289&quot;/&gt;&lt;wsp:rsid wsp:val=&quot;00DC653E&quot;/&gt;&lt;wsp:rsid wsp:val=&quot;00DC6DAB&quot;/&gt;&lt;wsp:rsid wsp:val=&quot;00DD1977&quot;/&gt;&lt;wsp:rsid wsp:val=&quot;00DD22D5&quot;/&gt;&lt;wsp:rsid wsp:val=&quot;00DD54B6&quot;/&gt;&lt;wsp:rsid wsp:val=&quot;00DD59E4&quot;/&gt;&lt;wsp:rsid wsp:val=&quot;00DD6F06&quot;/&gt;&lt;wsp:rsid wsp:val=&quot;00DE5FA9&quot;/&gt;&lt;wsp:rsid wsp:val=&quot;00DE6A6B&quot;/&gt;&lt;wsp:rsid wsp:val=&quot;00DF2A9E&quot;/&gt;&lt;wsp:rsid wsp:val=&quot;00DF6A07&quot;/&gt;&lt;wsp:rsid wsp:val=&quot;00E025EC&quot;/&gt;&lt;wsp:rsid wsp:val=&quot;00E04DF8&quot;/&gt;&lt;wsp:rsid wsp:val=&quot;00E066F8&quot;/&gt;&lt;wsp:rsid wsp:val=&quot;00E11A31&quot;/&gt;&lt;wsp:rsid wsp:val=&quot;00E1384C&quot;/&gt;&lt;wsp:rsid wsp:val=&quot;00E2045C&quot;/&gt;&lt;wsp:rsid wsp:val=&quot;00E21091&quot;/&gt;&lt;wsp:rsid wsp:val=&quot;00E22725&quot;/&gt;&lt;wsp:rsid wsp:val=&quot;00E24F22&quot;/&gt;&lt;wsp:rsid wsp:val=&quot;00E277FC&quot;/&gt;&lt;wsp:rsid wsp:val=&quot;00E30A47&quot;/&gt;&lt;wsp:rsid wsp:val=&quot;00E3182F&quot;/&gt;&lt;wsp:rsid wsp:val=&quot;00E31E77&quot;/&gt;&lt;wsp:rsid wsp:val=&quot;00E3549D&quot;/&gt;&lt;wsp:rsid wsp:val=&quot;00E400EE&quot;/&gt;&lt;wsp:rsid wsp:val=&quot;00E41D77&quot;/&gt;&lt;wsp:rsid wsp:val=&quot;00E5022C&quot;/&gt;&lt;wsp:rsid wsp:val=&quot;00E50CB7&quot;/&gt;&lt;wsp:rsid wsp:val=&quot;00E55BF9&quot;/&gt;&lt;wsp:rsid wsp:val=&quot;00E55FFD&quot;/&gt;&lt;wsp:rsid wsp:val=&quot;00E579A8&quot;/&gt;&lt;wsp:rsid wsp:val=&quot;00E60AC1&quot;/&gt;&lt;wsp:rsid wsp:val=&quot;00E60E8D&quot;/&gt;&lt;wsp:rsid wsp:val=&quot;00E6205E&quot;/&gt;&lt;wsp:rsid wsp:val=&quot;00E62A81&quot;/&gt;&lt;wsp:rsid wsp:val=&quot;00E654E0&quot;/&gt;&lt;wsp:rsid wsp:val=&quot;00E67ECE&quot;/&gt;&lt;wsp:rsid wsp:val=&quot;00E715DC&quot;/&gt;&lt;wsp:rsid wsp:val=&quot;00E73366&quot;/&gt;&lt;wsp:rsid wsp:val=&quot;00E733F6&quot;/&gt;&lt;wsp:rsid wsp:val=&quot;00E768A6&quot;/&gt;&lt;wsp:rsid wsp:val=&quot;00E77A3D&quot;/&gt;&lt;wsp:rsid wsp:val=&quot;00E818B7&quot;/&gt;&lt;wsp:rsid wsp:val=&quot;00E82AE2&quot;/&gt;&lt;wsp:rsid wsp:val=&quot;00E82D2B&quot;/&gt;&lt;wsp:rsid wsp:val=&quot;00E8326B&quot;/&gt;&lt;wsp:rsid wsp:val=&quot;00E85C35&quot;/&gt;&lt;wsp:rsid wsp:val=&quot;00E8783F&quot;/&gt;&lt;wsp:rsid wsp:val=&quot;00E92238&quot;/&gt;&lt;wsp:rsid wsp:val=&quot;00E9549E&quot;/&gt;&lt;wsp:rsid wsp:val=&quot;00E97C03&quot;/&gt;&lt;wsp:rsid wsp:val=&quot;00EA1F71&quot;/&gt;&lt;wsp:rsid wsp:val=&quot;00EA422A&quot;/&gt;&lt;wsp:rsid wsp:val=&quot;00EA5F72&quot;/&gt;&lt;wsp:rsid wsp:val=&quot;00EB0C2E&quot;/&gt;&lt;wsp:rsid wsp:val=&quot;00EB44B4&quot;/&gt;&lt;wsp:rsid wsp:val=&quot;00EB6B4B&quot;/&gt;&lt;wsp:rsid wsp:val=&quot;00EC1A7D&quot;/&gt;&lt;wsp:rsid wsp:val=&quot;00EC2228&quot;/&gt;&lt;wsp:rsid wsp:val=&quot;00EC22C5&quot;/&gt;&lt;wsp:rsid wsp:val=&quot;00ED12C1&quot;/&gt;&lt;wsp:rsid wsp:val=&quot;00ED2310&quot;/&gt;&lt;wsp:rsid wsp:val=&quot;00ED5DB2&quot;/&gt;&lt;wsp:rsid wsp:val=&quot;00ED621B&quot;/&gt;&lt;wsp:rsid wsp:val=&quot;00EE009C&quot;/&gt;&lt;wsp:rsid wsp:val=&quot;00EE49F7&quot;/&gt;&lt;wsp:rsid wsp:val=&quot;00EE5395&quot;/&gt;&lt;wsp:rsid wsp:val=&quot;00EE5BAA&quot;/&gt;&lt;wsp:rsid wsp:val=&quot;00EF466C&quot;/&gt;&lt;wsp:rsid wsp:val=&quot;00F00D1E&quot;/&gt;&lt;wsp:rsid wsp:val=&quot;00F01220&quot;/&gt;&lt;wsp:rsid wsp:val=&quot;00F03D35&quot;/&gt;&lt;wsp:rsid wsp:val=&quot;00F04471&quot;/&gt;&lt;wsp:rsid wsp:val=&quot;00F12CA9&quot;/&gt;&lt;wsp:rsid wsp:val=&quot;00F14DA0&quot;/&gt;&lt;wsp:rsid wsp:val=&quot;00F150F3&quot;/&gt;&lt;wsp:rsid wsp:val=&quot;00F16C38&quot;/&gt;&lt;wsp:rsid wsp:val=&quot;00F16C3F&quot;/&gt;&lt;wsp:rsid wsp:val=&quot;00F207EF&quot;/&gt;&lt;wsp:rsid wsp:val=&quot;00F221B3&quot;/&gt;&lt;wsp:rsid wsp:val=&quot;00F2297B&quot;/&gt;&lt;wsp:rsid wsp:val=&quot;00F323AA&quot;/&gt;&lt;wsp:rsid wsp:val=&quot;00F34226&quot;/&gt;&lt;wsp:rsid wsp:val=&quot;00F357E7&quot;/&gt;&lt;wsp:rsid wsp:val=&quot;00F37290&quot;/&gt;&lt;wsp:rsid wsp:val=&quot;00F40C5D&quot;/&gt;&lt;wsp:rsid wsp:val=&quot;00F43A29&quot;/&gt;&lt;wsp:rsid wsp:val=&quot;00F4400B&quot;/&gt;&lt;wsp:rsid wsp:val=&quot;00F51191&quot;/&gt;&lt;wsp:rsid wsp:val=&quot;00F52C7D&quot;/&gt;&lt;wsp:rsid wsp:val=&quot;00F56072&quot;/&gt;&lt;wsp:rsid wsp:val=&quot;00F617C5&quot;/&gt;&lt;wsp:rsid wsp:val=&quot;00F625DB&quot;/&gt;&lt;wsp:rsid wsp:val=&quot;00F63640&quot;/&gt;&lt;wsp:rsid wsp:val=&quot;00F63D4E&quot;/&gt;&lt;wsp:rsid wsp:val=&quot;00F73488&quot;/&gt;&lt;wsp:rsid wsp:val=&quot;00F737EC&quot;/&gt;&lt;wsp:rsid wsp:val=&quot;00F75519&quot;/&gt;&lt;wsp:rsid wsp:val=&quot;00F81363&quot;/&gt;&lt;wsp:rsid wsp:val=&quot;00F900B2&quot;/&gt;&lt;wsp:rsid wsp:val=&quot;00F90586&quot;/&gt;&lt;wsp:rsid wsp:val=&quot;00F948B9&quot;/&gt;&lt;wsp:rsid wsp:val=&quot;00F948E5&quot;/&gt;&lt;wsp:rsid wsp:val=&quot;00F95D33&quot;/&gt;&lt;wsp:rsid wsp:val=&quot;00F95FC2&quot;/&gt;&lt;wsp:rsid wsp:val=&quot;00F96B4F&quot;/&gt;&lt;wsp:rsid wsp:val=&quot;00FA0440&quot;/&gt;&lt;wsp:rsid wsp:val=&quot;00FA4444&quot;/&gt;&lt;wsp:rsid wsp:val=&quot;00FA6A0C&quot;/&gt;&lt;wsp:rsid wsp:val=&quot;00FA6A7E&quot;/&gt;&lt;wsp:rsid wsp:val=&quot;00FB4229&quot;/&gt;&lt;wsp:rsid wsp:val=&quot;00FB7B41&quot;/&gt;&lt;wsp:rsid wsp:val=&quot;00FC5C38&quot;/&gt;&lt;wsp:rsid wsp:val=&quot;00FC60EC&quot;/&gt;&lt;wsp:rsid wsp:val=&quot;00FC6C3D&quot;/&gt;&lt;wsp:rsid wsp:val=&quot;00FC7EA3&quot;/&gt;&lt;wsp:rsid wsp:val=&quot;00FC7FD7&quot;/&gt;&lt;wsp:rsid wsp:val=&quot;00FD6BC0&quot;/&gt;&lt;wsp:rsid wsp:val=&quot;00FE17A7&quot;/&gt;&lt;wsp:rsid wsp:val=&quot;00FE3FCB&quot;/&gt;&lt;wsp:rsid wsp:val=&quot;00FE4CEE&quot;/&gt;&lt;wsp:rsid wsp:val=&quot;00FE7B8F&quot;/&gt;&lt;wsp:rsid wsp:val=&quot;00FF1FE0&quot;/&gt;&lt;wsp:rsid wsp:val=&quot;00FF2071&quot;/&gt;&lt;wsp:rsid wsp:val=&quot;00FF242E&quot;/&gt;&lt;wsp:rsid wsp:val=&quot;00FF284D&quot;/&gt;&lt;wsp:rsid wsp:val=&quot;00FF2D0D&quot;/&gt;&lt;wsp:rsid wsp:val=&quot;00FF4CE1&quot;/&gt;&lt;/wsp:rsids&gt;&lt;/w:docPr&gt;&lt;w:body&gt;&lt;wx:sect&gt;&lt;w:p wsp:rsidR=&quot;00000000&quot; wsp:rsidRDefault=&quot;00695F68&quot; wsp:rsidP=&quot;00695F68&quot;&gt;&lt;m:oMathPara&gt;&lt;m:oMath&gt;&lt;m:r&gt;&lt;w:rPr&gt;&lt;w:rFonts w:ascii=&quot;Cambria Math&quot; w:h-ansi=&quot;Cambria Math&quot;/&gt;&lt;wx:font wx:val=&quot;Cambria Math&quot;/&gt;&lt;w:i/&gt;&lt;w:lang w:val=&quot;EN-US&quot;/&gt;&lt;/w:rPr&gt;&lt;m:t&gt;?±&lt;/m:t&gt;&lt;/m:r&gt;&lt;/m:oMath&gt;&lt;/m:oMathPara&gt;&lt;/w:p&gt;&lt;w:sectPr wsp:rsidR=&quot;00000000&quot;&gt;&lt;w:pgSz w:w=&quot;&quot;&quot;&quot;&quot;&quot;12240&quot; w:h=&quot;15840&quot;/&gt;&lt;w:pgMar w:top=&quot;1417&quot; w:right=&quot;1417&quot; w:bottom=&quot;1417&quot; w:left=&quot;1417&quot; w:header=&quot;720&quot; w:footer=&quot;720&quot; w:gutter=&quot;0&quot;/&gt;&lt;w:cols w:space=&quot;720&quot;/&gt;&lt;/w:sectPr&gt;&lt;/wx:sect&gt;&lt;/w:body&gt;&lt;/w:wordDocument&gt;">
                  <v:imagedata r:id="rId10" o:title="" chromakey="white"/>
                </v:shape>
              </w:pict>
            </w:r>
            <w:r w:rsidRPr="00257F02">
              <w:rPr>
                <w:rFonts w:ascii="Book Antiqua" w:hAnsi="Book Antiqua" w:cs="AdvTTae86113c"/>
                <w:lang w:val="en-US"/>
              </w:rPr>
              <w:instrText xml:space="preserve"> </w:instrText>
            </w:r>
            <w:r w:rsidRPr="00257F02">
              <w:rPr>
                <w:rFonts w:ascii="Book Antiqua" w:hAnsi="Book Antiqua" w:cs="AdvTTae86113c"/>
                <w:lang w:val="en-US"/>
              </w:rPr>
              <w:fldChar w:fldCharType="separate"/>
            </w:r>
            <w:r w:rsidRPr="0035013A">
              <w:rPr>
                <w:rFonts w:ascii="Book Antiqua" w:hAnsi="Book Antiqua"/>
              </w:rPr>
              <w:t>±</w:t>
            </w:r>
            <w:r w:rsidRPr="00257F02">
              <w:rPr>
                <w:rFonts w:ascii="Book Antiqua" w:hAnsi="Book Antiqua" w:cs="AdvTTae86113c"/>
                <w:lang w:val="en-US"/>
              </w:rPr>
              <w:fldChar w:fldCharType="end"/>
            </w:r>
            <w:r>
              <w:rPr>
                <w:rFonts w:ascii="Book Antiqua" w:hAnsi="Book Antiqua" w:cs="AdvTTae86113c"/>
                <w:lang w:val="en-US"/>
              </w:rPr>
              <w:t xml:space="preserve"> </w:t>
            </w:r>
            <w:r w:rsidRPr="00257F02">
              <w:rPr>
                <w:rFonts w:ascii="Book Antiqua" w:hAnsi="Book Antiqua" w:cs="AdvTTae86113c"/>
                <w:lang w:val="en-US"/>
              </w:rPr>
              <w:t>1780</w:t>
            </w:r>
          </w:p>
        </w:tc>
        <w:tc>
          <w:tcPr>
            <w:tcW w:w="1981"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AdvTTae86113c"/>
                <w:lang w:val="en-US"/>
              </w:rPr>
              <w:t xml:space="preserve">No correlation between </w:t>
            </w:r>
            <w:r w:rsidRPr="00257F02">
              <w:rPr>
                <w:rFonts w:ascii="Book Antiqua" w:hAnsi="Book Antiqua" w:cs="AdvTTae86113c"/>
                <w:lang w:val="en-US"/>
              </w:rPr>
              <w:lastRenderedPageBreak/>
              <w:t>changes in CDAI/IBDQ and Lewis score</w:t>
            </w:r>
            <w:r>
              <w:rPr>
                <w:rFonts w:ascii="Book Antiqua" w:hAnsi="Book Antiqua" w:cs="AdvTTae86113c"/>
                <w:vertAlign w:val="superscript"/>
                <w:lang w:val="en-US"/>
              </w:rPr>
              <w:t>2</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lang w:val="en-US"/>
              </w:rPr>
              <w:lastRenderedPageBreak/>
              <w:t xml:space="preserve">Hall </w:t>
            </w:r>
            <w:r w:rsidRPr="00583FDF">
              <w:rPr>
                <w:rFonts w:ascii="Book Antiqua" w:hAnsi="Book Antiqua"/>
                <w:i/>
                <w:iCs/>
                <w:lang w:val="en-US"/>
              </w:rPr>
              <w:t>et al</w:t>
            </w:r>
            <w:r w:rsidRPr="00257F02">
              <w:rPr>
                <w:rFonts w:ascii="Book Antiqua" w:hAnsi="Book Antiqua"/>
              </w:rPr>
              <w:fldChar w:fldCharType="begin"/>
            </w:r>
            <w:r w:rsidRPr="00257F02">
              <w:rPr>
                <w:rFonts w:ascii="Book Antiqua" w:hAnsi="Book Antiqua"/>
              </w:rPr>
              <w:instrText xml:space="preserve"> ADDIN ZOTERO_ITEM CSL_CITATION {"citationID":"j8QUVEN1","properties":{"formattedCitation":"\\super [42]\\nosupersub{}","plainCitation":"[42]","noteIndex":0},"citationItems":[{"id":2664,"uris":["http://zotero.org/users/3734960/items/N8WLSPJZ"],"uri":["http://zotero.org/users/3734960/items/N8WLSPJZ"],"itemData":{"id":2664,"type":"article-journal","title":"A prospective 52 week mucosal healing assessment of small bowel Crohn's disease as detected by capsule endoscopy","container-title":"Journal of Crohn's &amp; Colitis","page":"1601-1609","volume":"8","issue":"12","source":"PubMed","abstract":"BACKGROUND: Mucosal healing is increasingly recognised as an important treatment goal in Crohn's disease (CD). Data from colonic disease shows improved long-term outcomes in patients achieving complete mucosal healing. Little is currently known of this with regard to ileitis which is increasingly diagnosed using capsule endoscopy (SBCE). This is the first study to prospectively assess mucosal healing and deep remission rates following 52 weeks of therapy in a cohort of symptomatic small bowel CD patients commencing immunomodulator or biologic therapy.\nMETHODS: Baseline demographics, quality of life questionnaires and Harvey Bradshaw Index were collected along with C-reactive protein &amp; calprotectin. Capsule endoscopy Crohn's disease activity (CECDAI) index was used to assess ileitis severity. All parameters were reassessed at week 52. Results at baseline &amp; week 52 were compared using univariate analysis, p &lt; 0.05 considered significant.\nRESULTS: In total, 108 capsule procedures were performed on 43 patients. Based on the CECDAI, 39 (90%) demonstrated active small bowel CD at baseline with 28 (65%) undergoing 52 week assessment. In total, 12 (42%) participants achieved complete mucosal healing and deep remission by 52 week assessment (p&lt;0.0001 95% CI -0.62 to -0.22). Despite overall impressive mucosal healing rates, patients with strictures were less likely to demonstrate a decrease in CECDAI and were more likely to have symptoms.\nCONCLUSION: In patients with active small bowel CD symptomatic and biochemical response to treatment appears to be mirrored by endoscopic remission in 42% of individuals. Strictures identified prior to therapy appear to be a poor indicator for success of treatment.","DOI":"10.1016/j.crohns.2014.09.005","ISSN":"1876-4479","note":"PMID: 25257546","journalAbbreviation":"J Crohns Colitis","language":"eng","author":[{"family":"Hall","given":"Barry"},{"family":"Holleran","given":"Grainne"},{"family":"Chin","given":"Jun-Liong"},{"family":"Smith","given":"Sinead"},{"family":"Ryan","given":"Barbara"},{"family":"Mahmud","given":"Nasir"},{"family":"McNamara","given":"Deirdre"}],"issued":{"date-parts":[["2014",12]]}}}],"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[42]</w:t>
            </w:r>
            <w:r w:rsidRPr="00257F02">
              <w:rPr>
                <w:rFonts w:ascii="Book Antiqua" w:hAnsi="Book Antiqua"/>
              </w:rPr>
              <w:fldChar w:fldCharType="end"/>
            </w:r>
            <w:r w:rsidRPr="00257F02">
              <w:rPr>
                <w:rFonts w:ascii="Book Antiqua" w:hAnsi="Book Antiqua"/>
              </w:rPr>
              <w:t>, 2014</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43</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Adalimumab (84%)</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 xml:space="preserve">160 mg W0, 80 mg W2, then 40 mg /2 </w:t>
            </w:r>
            <w:proofErr w:type="spellStart"/>
            <w:r w:rsidRPr="00257F02">
              <w:rPr>
                <w:rFonts w:ascii="Book Antiqua" w:hAnsi="Book Antiqua" w:cs="AdvTTae86113c"/>
                <w:lang w:val="en-US"/>
              </w:rPr>
              <w:t>wk</w:t>
            </w:r>
            <w:proofErr w:type="spellEnd"/>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or</w:t>
            </w:r>
          </w:p>
          <w:p w:rsidR="001D4918" w:rsidRPr="00257F02" w:rsidRDefault="001D4918" w:rsidP="007742D4">
            <w:pPr>
              <w:autoSpaceDE w:val="0"/>
              <w:autoSpaceDN w:val="0"/>
              <w:adjustRightInd w:val="0"/>
              <w:spacing w:line="360" w:lineRule="auto"/>
              <w:jc w:val="both"/>
              <w:rPr>
                <w:rFonts w:ascii="Book Antiqua" w:hAnsi="Book Antiqua" w:cs="AdvTTae86113c"/>
                <w:lang w:val="en-US"/>
              </w:rPr>
            </w:pPr>
            <w:r w:rsidRPr="00257F02">
              <w:rPr>
                <w:rFonts w:ascii="Book Antiqua" w:hAnsi="Book Antiqua" w:cs="AdvTTae86113c"/>
                <w:lang w:val="en-US"/>
              </w:rPr>
              <w:t>Azathioprine (16%) 2-2.5 mg/kg</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Naïve</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38/43</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 xml:space="preserve">Exposed </w:t>
            </w:r>
          </w:p>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5/43</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rPr>
            </w:pPr>
            <w:r w:rsidRPr="00257F02">
              <w:rPr>
                <w:rFonts w:ascii="Book Antiqua" w:hAnsi="Book Antiqua"/>
              </w:rPr>
              <w:t>52 wk</w:t>
            </w:r>
            <w:r>
              <w:rPr>
                <w:rFonts w:ascii="Book Antiqua" w:hAnsi="Book Antiqua" w:cs="AdvTTae86113c"/>
                <w:vertAlign w:val="superscript"/>
                <w:lang w:val="en-US"/>
              </w:rPr>
              <w:t>3</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Complete 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 xml:space="preserve">Absence of ulcers, </w:t>
            </w:r>
            <w:r w:rsidRPr="001A44DD">
              <w:rPr>
                <w:rFonts w:ascii="Book Antiqua" w:hAnsi="Book Antiqua"/>
                <w:i/>
                <w:iCs/>
                <w:lang w:val="en-US"/>
              </w:rPr>
              <w:t>n</w:t>
            </w:r>
            <w:r w:rsidRPr="00257F02">
              <w:rPr>
                <w:rFonts w:ascii="Book Antiqua" w:hAnsi="Book Antiqua"/>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Normalization of CECDAI score</w:t>
            </w:r>
            <w:r>
              <w:rPr>
                <w:rFonts w:ascii="Book Antiqua" w:hAnsi="Book Antiqua"/>
                <w:lang w:val="en-US"/>
              </w:rPr>
              <w:t xml:space="preserve"> </w:t>
            </w: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 xml:space="preserve">3.5, </w:t>
            </w:r>
            <w:r w:rsidRPr="00156451">
              <w:rPr>
                <w:rFonts w:ascii="Book Antiqua" w:hAnsi="Book Antiqua"/>
                <w:i/>
                <w:iCs/>
                <w:lang w:val="en-US"/>
              </w:rPr>
              <w:t>n</w:t>
            </w:r>
            <w:r w:rsidRPr="00257F02">
              <w:rPr>
                <w:rFonts w:ascii="Book Antiqua" w:hAnsi="Book Antiqua"/>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Change in CECDAI score, </w:t>
            </w:r>
            <w:r w:rsidRPr="00E50AB7">
              <w:rPr>
                <w:rFonts w:ascii="Book Antiqua" w:hAnsi="Book Antiqua"/>
                <w:i/>
                <w:iCs/>
                <w:lang w:val="en-US"/>
              </w:rPr>
              <w:t>n</w:t>
            </w:r>
            <w:r w:rsidRPr="00257F02">
              <w:rPr>
                <w:rFonts w:ascii="Book Antiqua" w:hAnsi="Book Antiqua"/>
                <w:lang w:val="en-US"/>
              </w:rPr>
              <w:t xml:space="preserve"> (%)</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CECDAI&lt;3.5:</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4/43 (9%)</w:t>
            </w:r>
          </w:p>
          <w:p w:rsidR="001D4918" w:rsidRPr="00257F02" w:rsidRDefault="001D4918" w:rsidP="007742D4">
            <w:pPr>
              <w:spacing w:line="360" w:lineRule="auto"/>
              <w:jc w:val="both"/>
              <w:rPr>
                <w:rFonts w:ascii="Book Antiqua" w:hAnsi="Book Antiqua"/>
              </w:rPr>
            </w:pPr>
            <w:r w:rsidRPr="00257F02">
              <w:rPr>
                <w:rFonts w:ascii="Book Antiqua" w:hAnsi="Book Antiqua"/>
                <w:lang w:val="en-US"/>
              </w:rPr>
              <w:t>3.5</w:t>
            </w:r>
            <w:r>
              <w:rPr>
                <w:rFonts w:ascii="Book Antiqua" w:hAnsi="Book Antiqua"/>
                <w:lang w:val="en-US"/>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cs="AdvTTae86113c"/>
                <w:lang w:val="en-US"/>
              </w:rPr>
              <w:t>CECDAI</w:t>
            </w:r>
            <w:r>
              <w:rPr>
                <w:rFonts w:ascii="Book Antiqua" w:hAnsi="Book Antiqua" w:cs="AdvTTae86113c"/>
                <w:lang w:val="en-US"/>
              </w:rPr>
              <w:t xml:space="preserve"> </w:t>
            </w:r>
            <w:r w:rsidRPr="00257F02">
              <w:rPr>
                <w:rFonts w:ascii="Book Antiqua" w:hAnsi="Book Antiqua"/>
              </w:rPr>
              <w:t>&lt;</w:t>
            </w:r>
            <w:r>
              <w:rPr>
                <w:rFonts w:ascii="Book Antiqua" w:hAnsi="Book Antiqua"/>
              </w:rPr>
              <w:t xml:space="preserve"> </w:t>
            </w:r>
            <w:r w:rsidRPr="00257F02">
              <w:rPr>
                <w:rFonts w:ascii="Book Antiqua" w:hAnsi="Book Antiqua"/>
              </w:rPr>
              <w:t>5.8:</w:t>
            </w:r>
          </w:p>
          <w:p w:rsidR="001D4918" w:rsidRPr="00257F02" w:rsidRDefault="001D4918" w:rsidP="007742D4">
            <w:pPr>
              <w:spacing w:line="360" w:lineRule="auto"/>
              <w:jc w:val="both"/>
              <w:rPr>
                <w:rFonts w:ascii="Book Antiqua" w:hAnsi="Book Antiqua"/>
              </w:rPr>
            </w:pPr>
            <w:r w:rsidRPr="00257F02">
              <w:rPr>
                <w:rFonts w:ascii="Book Antiqua" w:hAnsi="Book Antiqua"/>
              </w:rPr>
              <w:t>13/43 (30%)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s="AdvTTae86113c"/>
                <w:lang w:val="en-US"/>
              </w:rPr>
              <w:t>CECDAI</w:t>
            </w:r>
            <w:r>
              <w:rPr>
                <w:rFonts w:ascii="Book Antiqua" w:hAnsi="Book Antiqua" w:cs="AdvTTae86113c"/>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5.8: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26/43 (61%)</w:t>
            </w:r>
          </w:p>
        </w:tc>
        <w:tc>
          <w:tcPr>
            <w:tcW w:w="1981" w:type="dxa"/>
            <w:shd w:val="clear" w:color="auto" w:fill="auto"/>
          </w:tcPr>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Complete MH: 12/28 (43%)</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CECDAI</w:t>
            </w:r>
            <w:r>
              <w:rPr>
                <w:rFonts w:ascii="Book Antiqua" w:hAnsi="Book Antiqua" w:cs="AdvTTae86113c"/>
              </w:rPr>
              <w:t xml:space="preserve"> </w:t>
            </w:r>
            <w:r w:rsidRPr="00257F02">
              <w:rPr>
                <w:rFonts w:ascii="Book Antiqua" w:hAnsi="Book Antiqua" w:cs="AdvTTae86113c"/>
              </w:rPr>
              <w:t>&lt;</w:t>
            </w:r>
            <w:r>
              <w:rPr>
                <w:rFonts w:ascii="Book Antiqua" w:hAnsi="Book Antiqua" w:cs="AdvTTae86113c"/>
              </w:rPr>
              <w:t xml:space="preserve"> </w:t>
            </w:r>
            <w:r w:rsidRPr="00257F02">
              <w:rPr>
                <w:rFonts w:ascii="Book Antiqua" w:hAnsi="Book Antiqua" w:cs="AdvTTae86113c"/>
              </w:rPr>
              <w:t>3.5:</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2/28 (7%)</w:t>
            </w:r>
          </w:p>
          <w:p w:rsidR="001D4918" w:rsidRPr="00257F02" w:rsidRDefault="001D4918" w:rsidP="007742D4">
            <w:pPr>
              <w:spacing w:line="360" w:lineRule="auto"/>
              <w:jc w:val="both"/>
              <w:rPr>
                <w:rFonts w:ascii="Book Antiqua" w:hAnsi="Book Antiqua"/>
              </w:rPr>
            </w:pPr>
            <w:r w:rsidRPr="00257F02">
              <w:rPr>
                <w:rFonts w:ascii="Book Antiqua" w:hAnsi="Book Antiqua" w:cs="AdvTTae86113c"/>
              </w:rPr>
              <w:t>CECDAI</w:t>
            </w:r>
            <w:r>
              <w:rPr>
                <w:rFonts w:ascii="Book Antiqua" w:hAnsi="Book Antiqua" w:cs="AdvTTae86113c"/>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rPr>
              <w:t>3.5</w:t>
            </w:r>
            <w:r>
              <w:rPr>
                <w:rFonts w:ascii="Book Antiqua" w:hAnsi="Book Antiqua"/>
              </w:rPr>
              <w:t xml:space="preserve"> </w:t>
            </w:r>
            <w:r w:rsidRPr="00257F02">
              <w:rPr>
                <w:rFonts w:ascii="Book Antiqua" w:hAnsi="Book Antiqua"/>
              </w:rPr>
              <w:t>&lt;</w:t>
            </w:r>
            <w:r>
              <w:rPr>
                <w:rFonts w:ascii="Book Antiqua" w:hAnsi="Book Antiqua"/>
              </w:rPr>
              <w:t xml:space="preserve"> </w:t>
            </w:r>
            <w:r w:rsidRPr="00257F02">
              <w:rPr>
                <w:rFonts w:ascii="Book Antiqua" w:hAnsi="Book Antiqua"/>
              </w:rPr>
              <w:t>5.8:</w:t>
            </w:r>
          </w:p>
          <w:p w:rsidR="001D4918" w:rsidRPr="00257F02" w:rsidRDefault="001D4918" w:rsidP="007742D4">
            <w:pPr>
              <w:spacing w:line="360" w:lineRule="auto"/>
              <w:jc w:val="both"/>
              <w:rPr>
                <w:rFonts w:ascii="Book Antiqua" w:hAnsi="Book Antiqua"/>
              </w:rPr>
            </w:pPr>
            <w:r w:rsidRPr="00257F02">
              <w:rPr>
                <w:rFonts w:ascii="Book Antiqua" w:hAnsi="Book Antiqua"/>
              </w:rPr>
              <w:t>6/28 (21%)</w:t>
            </w:r>
          </w:p>
          <w:p w:rsidR="001D4918" w:rsidRPr="00257F02" w:rsidRDefault="001D4918" w:rsidP="007742D4">
            <w:pPr>
              <w:spacing w:line="360" w:lineRule="auto"/>
              <w:jc w:val="both"/>
              <w:rPr>
                <w:rFonts w:ascii="Book Antiqua" w:hAnsi="Book Antiqua"/>
              </w:rPr>
            </w:pPr>
            <w:r w:rsidRPr="00257F02">
              <w:rPr>
                <w:rFonts w:ascii="Book Antiqua" w:hAnsi="Book Antiqua" w:cs="AdvTTae86113c"/>
              </w:rPr>
              <w:t>CECDAI</w:t>
            </w:r>
            <w:r>
              <w:rPr>
                <w:rFonts w:ascii="Book Antiqua" w:hAnsi="Book Antiqua" w:cs="AdvTTae86113c"/>
              </w:rPr>
              <w:t xml:space="preserve"> </w:t>
            </w:r>
            <w:r w:rsidRPr="00257F02">
              <w:rPr>
                <w:rFonts w:ascii="Book Antiqua" w:hAnsi="Book Antiqua"/>
              </w:rPr>
              <w:t>≥</w:t>
            </w:r>
            <w:r>
              <w:rPr>
                <w:rFonts w:ascii="Book Antiqua" w:hAnsi="Book Antiqua"/>
              </w:rPr>
              <w:t xml:space="preserve"> </w:t>
            </w:r>
            <w:r w:rsidRPr="00257F02">
              <w:rPr>
                <w:rFonts w:ascii="Book Antiqua" w:hAnsi="Book Antiqua"/>
              </w:rPr>
              <w:t>5.8:</w:t>
            </w:r>
          </w:p>
          <w:p w:rsidR="001D4918" w:rsidRPr="00257F02" w:rsidRDefault="001D4918" w:rsidP="007742D4">
            <w:pPr>
              <w:autoSpaceDE w:val="0"/>
              <w:autoSpaceDN w:val="0"/>
              <w:adjustRightInd w:val="0"/>
              <w:spacing w:line="360" w:lineRule="auto"/>
              <w:jc w:val="both"/>
              <w:rPr>
                <w:rFonts w:ascii="Book Antiqua" w:hAnsi="Book Antiqua" w:cs="AdvTTae86113c"/>
              </w:rPr>
            </w:pPr>
            <w:r w:rsidRPr="00257F02">
              <w:rPr>
                <w:rFonts w:ascii="Book Antiqua" w:hAnsi="Book Antiqua"/>
              </w:rPr>
              <w:t>8/28 (29%)</w:t>
            </w:r>
          </w:p>
        </w:tc>
        <w:tc>
          <w:tcPr>
            <w:tcW w:w="955" w:type="dxa"/>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&lt;</w:t>
            </w:r>
            <w:r>
              <w:rPr>
                <w:rFonts w:ascii="Book Antiqua" w:hAnsi="Book Antiqua"/>
                <w:b/>
                <w:lang w:val="en-US"/>
              </w:rPr>
              <w:t xml:space="preserve"> </w:t>
            </w:r>
            <w:r w:rsidRPr="00257F02">
              <w:rPr>
                <w:rFonts w:ascii="Book Antiqua" w:hAnsi="Book Antiqua"/>
                <w:b/>
                <w:lang w:val="en-US"/>
              </w:rPr>
              <w:t>0.0001</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 xml:space="preserve">Kopylov </w:t>
            </w:r>
            <w:r w:rsidRPr="00583FDF">
              <w:rPr>
                <w:rFonts w:ascii="Book Antiqua" w:hAnsi="Book Antiqua"/>
                <w:i/>
                <w:iCs/>
              </w:rPr>
              <w:t>et al</w:t>
            </w:r>
            <w:r w:rsidRPr="00257F02">
              <w:rPr>
                <w:rFonts w:ascii="Book Antiqua" w:hAnsi="Book Antiqua"/>
              </w:rPr>
              <w:fldChar w:fldCharType="begin"/>
            </w:r>
            <w:r w:rsidRPr="00257F02">
              <w:rPr>
                <w:rFonts w:ascii="Book Antiqua" w:hAnsi="Book Antiqua"/>
              </w:rPr>
              <w:instrText xml:space="preserve"> ADDIN ZOTERO_ITEM CSL_CITATION {"citationID":"rtTZ3DGf","properties":{"formattedCitation":"\\super [45]\\nosupersub{}","plainCitation":"[45]","noteIndex":0},"citationItems":[{"id":118,"uris":["http://zotero.org/users/3734960/items/GRCFDADW"],"uri":["http://zotero.org/users/3734960/items/GRCFDADW"],"itemData":{"id":118,"type":"article-journal","title":"Detection of Small Bowel Mucosal Healing and Deep Remission in Patients With Known Small Bowel Crohn's Disease Using Biomarkers, Capsule Endoscopy, and Imaging","container-title":"The American Journal of Gastroenterology","page":"1316-1323","volume":"110","issue":"9","source":"PubMed","abstract":"OBJECTIVES: Mucosal healing (MH) and deep remission (DR) are associated with improved outcomes in Crohn's disease (CD). However, most of the current data pertain to colonic MH and DR, whereas the evidence regarding the prevalence and impact of small bowel (SB) MH is scarce. The aim of this study was to to evaluate the prevalence of SBMH and DR in quiescent SBCD.\nMETHODS: Patients with known SBCD in clinical remission (CDAI&lt;150) or with mild symptoms (CDAI&lt;220) were prospectively recruited and underwent video capsule endoscopy after verification of SB patency. Inflammation was quantified using the Lewis score (LS). SBMH was defined as LS&lt;135, whereas a significant inflammation was defined as LS&gt;790. Clinico-biomarker remission was defined as a combination of clinical remission and normal biomarkers. DR was defined as a combination of clinico-biomarker remission and MH.\nRESULTS: Fifty-six patients with proven SB patency were enrolled; 52 (92.9%) patients were in clinical remission and 21 (40.4%) in clinico-biomarker remission. SBMH was demonstrated in 8/52 (15.4%) of patients in clinical remission. Moderate-to-severe SB inflammation was demonstrated in 11/52 (21.1%) of patients in clinical remission and in 1/21 (4.7%) of patients in clinical and biomarker remission. Only 7/52 (13.5%) patients were in DR.\nCONCLUSIONS: SB inflammation is detected in the majority of CD patients in clinical and biomarker remission. SBMH and DR were rare and were independent of treatment modality. Our findings represent the true inflammatory burden in quiescent patients with SBCD.","DOI":"10.1038/ajg.2015.221","ISSN":"1572-0241","note":"PMID: 26215531","journalAbbreviation":"Am. J. Gastroenterol.","language":"eng","author":[{"family":"Kopylov","given":"Uri"},{"family":"Yablecovitch","given":"Doron"},{"family":"Lahat","given":"Adi"},{"family":"Neuman","given":"Sandra"},{"family":"Levhar","given":"Nina"},{"family":"Greener","given":"Tomer"},{"family":"Klang","given":"Eyal"},{"family":"Rozendorn","given":"Noa"},{"family":"Amitai","given":"Marianne M."},{"family":"Ben-Horin","given":"Shomron"},{"family":"Eliakim","given":"Rami"}],"issued":{"date-parts":[["2015",9]]}}}],"schema":"https://github.com/citation-style-language/schema/raw/master/csl-citation.json"}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[45]</w:t>
            </w:r>
            <w:r w:rsidRPr="00257F02">
              <w:rPr>
                <w:rFonts w:ascii="Book Antiqua" w:hAnsi="Book Antiqua"/>
              </w:rPr>
              <w:fldChar w:fldCharType="end"/>
            </w:r>
            <w:r w:rsidRPr="00257F02">
              <w:rPr>
                <w:rFonts w:ascii="Book Antiqua" w:hAnsi="Book Antiqua"/>
              </w:rPr>
              <w:t>, 2015</w:t>
            </w:r>
          </w:p>
        </w:tc>
        <w:tc>
          <w:tcPr>
            <w:tcW w:w="1559"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rPr>
              <w:t>Prospective</w:t>
            </w:r>
          </w:p>
        </w:tc>
        <w:tc>
          <w:tcPr>
            <w:tcW w:w="993" w:type="dxa"/>
            <w:shd w:val="clear" w:color="auto" w:fill="auto"/>
          </w:tcPr>
          <w:p w:rsidR="001D4918" w:rsidRPr="00257F02" w:rsidRDefault="001D4918" w:rsidP="007742D4">
            <w:pPr>
              <w:spacing w:line="360" w:lineRule="auto"/>
              <w:jc w:val="both"/>
              <w:rPr>
                <w:rFonts w:ascii="Book Antiqua" w:hAnsi="Book Antiqua"/>
              </w:rPr>
            </w:pPr>
            <w:r w:rsidRPr="00257F02">
              <w:rPr>
                <w:rFonts w:ascii="Book Antiqua" w:hAnsi="Book Antiqua" w:cs="AdvTTae86113c"/>
              </w:rPr>
              <w:t>52</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None (15.4%)</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5-ASA (9.6%)</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Thiopurine (36.6%)</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Anti-TNF (26.9%) Anti-TNF+IS (11.5%)</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Included patients were all in clinical remission (CDAI</w:t>
            </w:r>
            <w:r>
              <w:rPr>
                <w:rFonts w:ascii="Book Antiqua" w:hAnsi="Book Antiqua"/>
                <w:lang w:val="en-US"/>
              </w:rPr>
              <w:t xml:space="preserve"> </w:t>
            </w: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150) and had only one CE.</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&lt;</w:t>
            </w:r>
            <w:r>
              <w:rPr>
                <w:rFonts w:ascii="Book Antiqua" w:hAnsi="Book Antiqua"/>
                <w:lang w:val="en-US"/>
              </w:rPr>
              <w:t xml:space="preserve"> </w:t>
            </w:r>
            <w:r w:rsidRPr="00257F02">
              <w:rPr>
                <w:rFonts w:ascii="Book Antiqua" w:hAnsi="Book Antiqua"/>
                <w:lang w:val="en-US"/>
              </w:rPr>
              <w:t>135</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NA</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8/52 (15.4%)</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135</w:t>
            </w:r>
            <w:r>
              <w:rPr>
                <w:rFonts w:ascii="Book Antiqua" w:hAnsi="Book Antiqua" w:cs="AdvTTae86113c"/>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cs="AdvTTae86113c"/>
              </w:rPr>
              <w:t>Lewis</w:t>
            </w:r>
            <w:r>
              <w:rPr>
                <w:rFonts w:ascii="Book Antiqua" w:hAnsi="Book Antiqua" w:cs="AdvTTae86113c"/>
              </w:rPr>
              <w:t xml:space="preserve"> </w:t>
            </w:r>
            <w:r w:rsidRPr="00257F02">
              <w:rPr>
                <w:rFonts w:ascii="Book Antiqua" w:hAnsi="Book Antiqua" w:cs="AdvTTae86113c"/>
              </w:rPr>
              <w:t>&lt;</w:t>
            </w:r>
            <w:r>
              <w:rPr>
                <w:rFonts w:ascii="Book Antiqua" w:hAnsi="Book Antiqua" w:cs="AdvTTae86113c"/>
              </w:rPr>
              <w:t xml:space="preserve"> </w:t>
            </w:r>
            <w:r w:rsidRPr="00257F02">
              <w:rPr>
                <w:rFonts w:ascii="Book Antiqua" w:hAnsi="Book Antiqua" w:cs="AdvTTae86113c"/>
              </w:rPr>
              <w:t>790:</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cs="AdvTTae86113c"/>
              </w:rPr>
              <w:t>33/52 (63.5%)</w:t>
            </w:r>
          </w:p>
          <w:p w:rsidR="001D4918" w:rsidRPr="00257F02" w:rsidRDefault="001D4918" w:rsidP="007742D4">
            <w:pPr>
              <w:spacing w:line="360" w:lineRule="auto"/>
              <w:jc w:val="both"/>
              <w:rPr>
                <w:rFonts w:ascii="Book Antiqua" w:hAnsi="Book Antiqua"/>
              </w:rPr>
            </w:pPr>
            <w:r w:rsidRPr="00257F02">
              <w:rPr>
                <w:rFonts w:ascii="Book Antiqua" w:hAnsi="Book Antiqua" w:cs="AdvTTae86113c"/>
              </w:rPr>
              <w:t xml:space="preserve">Lewis score </w:t>
            </w:r>
            <w:r w:rsidRPr="00257F02">
              <w:rPr>
                <w:rFonts w:ascii="Book Antiqua" w:hAnsi="Book Antiqua"/>
              </w:rPr>
              <w:t>≥</w:t>
            </w:r>
            <w:r>
              <w:rPr>
                <w:rFonts w:ascii="Book Antiqua" w:hAnsi="Book Antiqua"/>
              </w:rPr>
              <w:t xml:space="preserve"> </w:t>
            </w:r>
            <w:r w:rsidRPr="00257F02">
              <w:rPr>
                <w:rFonts w:ascii="Book Antiqua" w:hAnsi="Book Antiqua"/>
              </w:rPr>
              <w:t>790:</w:t>
            </w:r>
          </w:p>
          <w:p w:rsidR="001D4918" w:rsidRPr="00257F02" w:rsidRDefault="001D4918" w:rsidP="007742D4">
            <w:pPr>
              <w:spacing w:line="360" w:lineRule="auto"/>
              <w:jc w:val="both"/>
              <w:rPr>
                <w:rFonts w:ascii="Book Antiqua" w:hAnsi="Book Antiqua" w:cs="AdvTTae86113c"/>
              </w:rPr>
            </w:pPr>
            <w:r w:rsidRPr="00257F02">
              <w:rPr>
                <w:rFonts w:ascii="Book Antiqua" w:hAnsi="Book Antiqua"/>
              </w:rPr>
              <w:t>11/52 (21.2%)</w:t>
            </w:r>
          </w:p>
        </w:tc>
        <w:tc>
          <w:tcPr>
            <w:tcW w:w="955" w:type="dxa"/>
            <w:shd w:val="clear" w:color="auto" w:fill="auto"/>
          </w:tcPr>
          <w:p w:rsidR="001D4918" w:rsidRPr="00257F02" w:rsidRDefault="001D4918" w:rsidP="007742D4">
            <w:pPr>
              <w:spacing w:line="360" w:lineRule="auto"/>
              <w:jc w:val="both"/>
              <w:rPr>
                <w:rFonts w:ascii="Book Antiqua" w:hAnsi="Book Antiqua"/>
                <w:b/>
              </w:rPr>
            </w:pPr>
            <w:r w:rsidRPr="00257F02">
              <w:rPr>
                <w:rFonts w:ascii="Book Antiqua" w:hAnsi="Book Antiqua"/>
                <w:b/>
              </w:rPr>
              <w:t>-</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rPr>
              <w:lastRenderedPageBreak/>
              <w:t xml:space="preserve">Shafran </w:t>
            </w:r>
            <w:r w:rsidRPr="00583FDF">
              <w:rPr>
                <w:rFonts w:ascii="Book Antiqua" w:hAnsi="Book Antiqua"/>
                <w:i/>
                <w:iCs/>
              </w:rPr>
              <w:t>et al</w:t>
            </w:r>
            <w:r w:rsidRPr="00257F02">
              <w:rPr>
                <w:rFonts w:ascii="Book Antiqua" w:hAnsi="Book Antiqua"/>
              </w:rPr>
              <w:fldChar w:fldCharType="begin"/>
            </w:r>
            <w:r w:rsidRPr="00257F02">
              <w:rPr>
                <w:rFonts w:ascii="Book Antiqua" w:hAnsi="Book Antiqua"/>
              </w:rPr>
              <w:instrText xml:space="preserve"> ADDIN ZOTERO_ITEM CSL_CITATION {"citationID":"kwGVGEO7","properties":{"formattedCitation":"\\super [43]\\nosupersub{}","plainCitation":"[43]","noteIndex":0},"citationItems":[{"id":2649,"uris":["http://zotero.org/users/3734960/items/CTBSN4FQ"],"uri":["http://zotero.org/users/3734960/items/CTBSN4FQ"],"itemData":{"id":2649,"type":"article-journal","title":"Evaluation of mucosal healing in Small Bowel Crohn’s disease treated with Certolizumab Pegol assessed by wireless capsule endoscopy","container-title":"Clinical Case Reports and Reviews","volume":"2","issue":"11","source":"Crossref","URL":"https://oatext.com/Evaluation-of-mucosal-healing-in-Small-Bowel-Crohns-disease-treated-with-Certolizumab-Pegol-assessed-by-wireless-capsule-endoscopy.php","DOI":"10.15761/CCRR.1000284","ISSN":"20590393","author":[{"family":"Shafran","given":"Ira"},{"family":"Burgunder","given":"Patricia"},{"family":"DePanicis","given":"Renee"},{"family":"Fitch","given":"Kara"},{"family":"Hewit","given":"Sally"},{"family":"Abbott","given":"Laurie"}],"issued":{"date-parts":[["2016"]]},"accessed":{"date-parts":[["2019",2,5]]}}}],"schema":"https://github.com/citation-style-language/schema/raw/master/csl-citation.json"} </w:instrText>
            </w:r>
            <w:r w:rsidRPr="00257F02">
              <w:rPr>
                <w:rFonts w:ascii="Book Antiqua" w:hAnsi="Book Antiqua"/>
              </w:rPr>
              <w:fldChar w:fldCharType="separate"/>
            </w:r>
            <w:r w:rsidRPr="00257F02">
              <w:rPr>
                <w:rFonts w:ascii="Book Antiqua" w:hAnsi="Book Antiqua"/>
                <w:vertAlign w:val="superscript"/>
              </w:rPr>
              <w:t>[43]</w:t>
            </w:r>
            <w:r w:rsidRPr="00257F02">
              <w:rPr>
                <w:rFonts w:ascii="Book Antiqua" w:hAnsi="Book Antiqua"/>
              </w:rPr>
              <w:fldChar w:fldCharType="end"/>
            </w:r>
            <w:r w:rsidRPr="00257F02">
              <w:rPr>
                <w:rFonts w:ascii="Book Antiqua" w:hAnsi="Book Antiqua"/>
                <w:lang w:val="en-US"/>
              </w:rPr>
              <w:t>, 2016</w:t>
            </w:r>
          </w:p>
        </w:tc>
        <w:tc>
          <w:tcPr>
            <w:tcW w:w="1559"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open-label</w:t>
            </w:r>
          </w:p>
        </w:tc>
        <w:tc>
          <w:tcPr>
            <w:tcW w:w="993"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15</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Certolizumab pegol 400 mg W0, W2, W4 then /4 </w:t>
            </w:r>
            <w:proofErr w:type="spellStart"/>
            <w:r w:rsidRPr="00257F02">
              <w:rPr>
                <w:rFonts w:ascii="Book Antiqua" w:hAnsi="Book Antiqua"/>
                <w:lang w:val="en-US"/>
              </w:rPr>
              <w:t>wk</w:t>
            </w:r>
            <w:proofErr w:type="spellEnd"/>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Naïve 3/15 </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Exposed 12/15</w:t>
            </w:r>
            <w:r>
              <w:rPr>
                <w:rFonts w:ascii="Book Antiqua" w:hAnsi="Book Antiqua"/>
                <w:vertAlign w:val="superscript"/>
                <w:lang w:val="en-US"/>
              </w:rPr>
              <w:t>4</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24 </w:t>
            </w:r>
            <w:proofErr w:type="spellStart"/>
            <w:r w:rsidRPr="00257F02">
              <w:rPr>
                <w:rFonts w:ascii="Book Antiqua" w:hAnsi="Book Antiqua"/>
                <w:lang w:val="en-US"/>
              </w:rPr>
              <w:t>wk</w:t>
            </w:r>
            <w:proofErr w:type="spellEnd"/>
            <w:r w:rsidRPr="00257F02">
              <w:rPr>
                <w:rFonts w:ascii="Book Antiqua" w:hAnsi="Book Antiqua"/>
                <w:lang w:val="en-US"/>
              </w:rPr>
              <w:t xml:space="preserve"> in responders</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Lewis score, mean</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1663</w:t>
            </w:r>
          </w:p>
        </w:tc>
        <w:tc>
          <w:tcPr>
            <w:tcW w:w="1981" w:type="dxa"/>
            <w:shd w:val="clear" w:color="auto" w:fill="auto"/>
          </w:tcPr>
          <w:p w:rsidR="001D4918" w:rsidRPr="00257F02" w:rsidRDefault="001D4918" w:rsidP="007742D4">
            <w:pPr>
              <w:spacing w:line="360" w:lineRule="auto"/>
              <w:jc w:val="both"/>
              <w:rPr>
                <w:rFonts w:ascii="Book Antiqua" w:eastAsia="Times New Roman" w:hAnsi="Book Antiqua"/>
                <w:lang w:val="en-US"/>
              </w:rPr>
            </w:pPr>
            <w:r w:rsidRPr="00257F02">
              <w:rPr>
                <w:rFonts w:ascii="Book Antiqua" w:eastAsia="Times New Roman" w:hAnsi="Book Antiqua"/>
                <w:lang w:val="en-US"/>
              </w:rPr>
              <w:t>226</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Aggarwal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{"citationID":"kbVj68o0","properties":{"formattedCitation":"\\super [46]\\nosupersub{}","plainCitation":"[46]","noteIndex":0},"citationItems":[{"id":2674,"uris":["http://zotero.org/users/3734960/items/YWMXLPYZ"],"uri":["http://zotero.org/users/3734960/items/YWMXLPYZ"],"itemData":{"id":2674,"type":"article-journal","title":"Role of capsule endoscopy and fecal biomarkers in small-bowel Crohn's disease to assess remission and predict relapse","container-title":"Gastrointestinal Endoscopy","page":"1070-1078","volume":"86","issue":"6","source":"PubMed","abstract":"BACKGROUND AND AIMS: Capsule endoscopy (CE) is the most sensitive test to diagnose small-bowel Crohn's disease (CD). Conventional parameters poorly assess CD remission, and although fecal biomarkers assess colonic activity, their role in assessing remission is uncertain. We report CE findings in small-bowel CD patients in clinical remission compared with fecal biomarkers and standard clinical tools to determine mucosal remission and predict relapses.\nMETHODS: Forty-three adult small-bowel CD patients in clinical remission (Crohn's Disease Activity Index [CDAI] &lt;150) were prospectively enrolled at 4 academic centers and followed clinically for 12 months. Baseline CE studies were scored using the Capsule Endoscopy Scoring Index (CESI or Lewis score). Baseline and endpoint fecal biomarkers were assayed.\nRESULTS: CE findings were normal in 17 patients (40%), mild inflammation in 19 (44%), and moderate to severe inflammation in 7 (16%). Of the 26 patients (60%) with mucosal inflammation on CE, 85% had elevated baseline fecal calprotectin and 77% elevated lactoferrin level. Calprotectin and lactoferrin were normal in all patients without inflammation and elevated in all with moderate to severe inflammation. CESI correlated significantly with calprotectin, lactoferrin, and S100A12 levels but not either CDAI or C-reactive protein. During follow-up, 14% of patients exhibited a clinical flare; all had mucosal inflammation at CE and 83% had elevated baseline calprotectin and lactoferrin levels.\nCONCLUSIONS: In small-bowel CD patients in clinical remission, many had ongoing mucosal inflammation assessed by CE and fecal biomarkers. Only some developed a clinical flare during medium-term follow-up. These findings suggest CE and fecal biomarkers are useful in monitoring small-bowel CD progress.","DOI":"10.1016/j.gie.2017.09.011","ISSN":"1097-6779","note":"PMID: 28947363","journalAbbreviation":"Gastrointest. Endosc.","language":"eng","author":[{"family":"Aggarwal","given":"Vipul"},{"family":"Day","given":"Andrew S."},{"family":"Connor","given":"Susan"},{"family":"Leach","given":"Steven T."},{"family":"Brown","given":"Gregor"},{"family":"Singh","given":"Rajvinder"},{"family":"Friedman","given":"Antony"},{"family":"Zekry","given":"Amany"},{"family":"Craig","given":"Philip I."}],"issued":{"date-parts":[["2017",12]]}}}],"schema":"https://github.com/citation-style-language/schema/raw/master/csl-citation.json"}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[46]</w:t>
            </w:r>
            <w:r w:rsidRPr="00257F02">
              <w:rPr>
                <w:rFonts w:ascii="Book Antiqua" w:hAnsi="Book Antiqua"/>
                <w:lang w:val="en-US"/>
              </w:rPr>
              <w:fldChar w:fldCharType="end"/>
            </w:r>
            <w:r w:rsidRPr="00257F02">
              <w:rPr>
                <w:rFonts w:ascii="Book Antiqua" w:hAnsi="Book Antiqua"/>
                <w:lang w:val="en-US"/>
              </w:rPr>
              <w:t>, 2017</w:t>
            </w:r>
          </w:p>
        </w:tc>
        <w:tc>
          <w:tcPr>
            <w:tcW w:w="1559"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993"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43</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None (14%)</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5-ASA (60%)</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CS (12%)</w:t>
            </w:r>
          </w:p>
          <w:p w:rsidR="001D4918" w:rsidRPr="00257F02" w:rsidRDefault="001D4918" w:rsidP="007742D4">
            <w:pPr>
              <w:autoSpaceDE w:val="0"/>
              <w:autoSpaceDN w:val="0"/>
              <w:adjustRightInd w:val="0"/>
              <w:spacing w:line="360" w:lineRule="auto"/>
              <w:jc w:val="both"/>
              <w:rPr>
                <w:rFonts w:ascii="Book Antiqua" w:hAnsi="Book Antiqua" w:cs="TradeGothicLTStd-Light"/>
                <w:lang w:val="en-US"/>
              </w:rPr>
            </w:pPr>
            <w:r w:rsidRPr="00257F02">
              <w:rPr>
                <w:rFonts w:ascii="Book Antiqua" w:hAnsi="Book Antiqua" w:cs="TradeGothicLTStd-Light"/>
                <w:lang w:val="en-US"/>
              </w:rPr>
              <w:t>IS (74%)</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TradeGothicLTStd-Light"/>
                <w:lang w:val="en-US"/>
              </w:rPr>
              <w:t>Anti-TNF (21%)</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Included patients were all in clinical remission (CDAI</w:t>
            </w:r>
            <w:r>
              <w:rPr>
                <w:rFonts w:ascii="Book Antiqua" w:hAnsi="Book Antiqua"/>
                <w:lang w:val="en-US"/>
              </w:rPr>
              <w:t xml:space="preserve"> </w:t>
            </w: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150) and had only one CE.</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&lt;</w:t>
            </w:r>
            <w:r>
              <w:rPr>
                <w:rFonts w:ascii="Book Antiqua" w:hAnsi="Book Antiqua"/>
                <w:lang w:val="en-US"/>
              </w:rPr>
              <w:t xml:space="preserve"> </w:t>
            </w:r>
            <w:r w:rsidRPr="00257F02">
              <w:rPr>
                <w:rFonts w:ascii="Book Antiqua" w:hAnsi="Book Antiqua"/>
                <w:lang w:val="en-US"/>
              </w:rPr>
              <w:t>135</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NA</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17/43 (40%)</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135</w:t>
            </w:r>
            <w:r>
              <w:rPr>
                <w:rFonts w:ascii="Book Antiqua" w:hAnsi="Book Antiqua" w:cs="AdvTTae86113c"/>
                <w:lang w:val="en-US"/>
              </w:rPr>
              <w:t xml:space="preserve"> </w:t>
            </w:r>
            <w:r w:rsidRPr="00E50AB7">
              <w:rPr>
                <w:rFonts w:ascii="Book Antiqua" w:hAnsi="Book Antiqua" w:cs="AdvTTae86113c"/>
                <w:lang w:val="en-US"/>
              </w:rPr>
              <w:t>≤</w:t>
            </w:r>
            <w:r>
              <w:rPr>
                <w:rFonts w:ascii="Book Antiqua" w:hAnsi="Book Antiqua" w:cs="AdvTTae86113c"/>
                <w:lang w:val="en-US"/>
              </w:rPr>
              <w:t xml:space="preserve"> </w:t>
            </w:r>
            <w:r w:rsidRPr="00257F02">
              <w:rPr>
                <w:rFonts w:ascii="Book Antiqua" w:hAnsi="Book Antiqua" w:cs="AdvTTae86113c"/>
                <w:lang w:val="en-US"/>
              </w:rPr>
              <w:t>Lewis</w:t>
            </w:r>
            <w:r>
              <w:rPr>
                <w:rFonts w:ascii="Book Antiqua" w:hAnsi="Book Antiqua" w:cs="AdvTTae86113c"/>
                <w:lang w:val="en-US"/>
              </w:rPr>
              <w:t xml:space="preserve"> </w:t>
            </w:r>
            <w:r w:rsidRPr="00257F02">
              <w:rPr>
                <w:rFonts w:ascii="Book Antiqua" w:hAnsi="Book Antiqua" w:cs="AdvTTae86113c"/>
                <w:lang w:val="en-US"/>
              </w:rPr>
              <w:t>&lt;</w:t>
            </w:r>
            <w:r>
              <w:rPr>
                <w:rFonts w:ascii="Book Antiqua" w:hAnsi="Book Antiqua" w:cs="AdvTTae86113c"/>
                <w:lang w:val="en-US"/>
              </w:rPr>
              <w:t xml:space="preserve"> </w:t>
            </w:r>
            <w:r w:rsidRPr="00257F02">
              <w:rPr>
                <w:rFonts w:ascii="Book Antiqua" w:hAnsi="Book Antiqua" w:cs="AdvTTae86113c"/>
                <w:lang w:val="en-US"/>
              </w:rPr>
              <w:t>790:</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19/43 (44%)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s="AdvTTae86113c"/>
                <w:lang w:val="en-US"/>
              </w:rPr>
              <w:t xml:space="preserve">Lewis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790: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7/43 (16%)</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eastAsia="Times New Roman" w:hAnsi="Book Antiqua"/>
                <w:lang w:val="en-US"/>
              </w:rPr>
            </w:pPr>
            <w:r w:rsidRPr="00257F02">
              <w:rPr>
                <w:rFonts w:ascii="Book Antiqua" w:hAnsi="Book Antiqua" w:cs="Arial"/>
                <w:lang w:val="en-US"/>
              </w:rPr>
              <w:t>Significant correlation between Lewis score and fecal calprotectin (</w:t>
            </w:r>
            <w:r w:rsidRPr="007345E0">
              <w:rPr>
                <w:rFonts w:ascii="Book Antiqua" w:hAnsi="Book Antiqua" w:cs="Arial"/>
                <w:i/>
                <w:iCs/>
                <w:lang w:val="en-US"/>
              </w:rPr>
              <w:t xml:space="preserve">r = </w:t>
            </w:r>
            <w:r w:rsidRPr="00257F02">
              <w:rPr>
                <w:rFonts w:ascii="Book Antiqua" w:hAnsi="Book Antiqua" w:cs="Arial"/>
                <w:lang w:val="en-US"/>
              </w:rPr>
              <w:t xml:space="preserve">0.82, </w:t>
            </w:r>
            <w:r w:rsidRPr="007345E0">
              <w:rPr>
                <w:rFonts w:ascii="Book Antiqua" w:hAnsi="Book Antiqua" w:cs="Arial"/>
                <w:i/>
                <w:iCs/>
                <w:lang w:val="en-US"/>
              </w:rPr>
              <w:t xml:space="preserve">P &lt; </w:t>
            </w:r>
            <w:r w:rsidRPr="00257F02">
              <w:rPr>
                <w:rFonts w:ascii="Book Antiqua" w:hAnsi="Book Antiqua" w:cs="Arial"/>
                <w:b/>
                <w:lang w:val="en-US"/>
              </w:rPr>
              <w:t>0.0001</w:t>
            </w:r>
            <w:r w:rsidRPr="00257F02">
              <w:rPr>
                <w:rFonts w:ascii="Book Antiqua" w:hAnsi="Book Antiqua" w:cs="Arial"/>
                <w:lang w:val="en-US"/>
              </w:rPr>
              <w:t>)</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r>
      <w:tr w:rsidR="001D4918" w:rsidRPr="00257F02" w:rsidTr="005C39B1">
        <w:tc>
          <w:tcPr>
            <w:tcW w:w="1276"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Mitselos</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{"citationID":"OL8DPGh6","properties":{"formattedCitation":"\\super [47]\\nosupersub{}","plainCitation":"[47]","noteIndex":0},"citationItems":[{"id":2689,"uris":["http://zotero.org/users/3734960/items/3GHETJEQ"],"uri":["http://zotero.org/users/3734960/items/3GHETJEQ"],"itemData":{"id":2689,"type":"article-journal","title":"Association of clinical and inflammatory markers with small bowel capsule endoscopy findings in Crohn's disease","container-title":"European Journal of Gastroenterology &amp; Hepatology","page":"861-867","volume":"30","issue":"8","source":"PubMed","abstract":"BACKGROUND: Mucosal healing is an established treatment endpoint in Crohn's disease (CD). Still, clinical indices and inflammatory markers are used widely in CD surveillance.\nAIM: The aim of this study was to investigate the diagnostic performance as well as the relationship of C-reactive protein (CRP) and Crohn's Disease Activity Index (CDAI) with small bowel capsule endoscopy's (SBCE) inflammation scoring index, the Lewis Score (LS).\nPATIENTS AND METHODS: CDAI, CRP, and SBCE findings of 30 CD patients with isolated small bowel disease were retrieved from our academic institution patient records and were analyzed statistically.\nRESULTS: SBCE showed significant mucosal inflammation [mean (SD) LS: 1599 (1380)], in nine (60.0%) of 15 patients who were in both clinical and biochemical remission. CDAI and CRP showed a weak and moderate correlation with LS (r=0.317, P=0.088 and r=0.516, P=0.004, respectively). The diagnostic performance of CDAI and CRP in predicting mucosal inflammation was as follows: sensitivity 23.8 and 52.4%; specificity 100 and 66.7%; positive predictive value 100 and 78.6%; and negative predictive value 36.0 and 37.5%. The area under the curve toward endoscopic activity prediction was 0.70 and 0.69, respectively.\nCONCLUSION: Both CDAI and CRP underestimated endoscopic activity as expressed by the LS in a significant proportion of patients with quiescent disease.","DOI":"10.1097/MEG.0000000000001146","ISSN":"1473-5687","note":"PMID: 29697457","journalAbbreviation":"Eur J Gastroenterol Hepatol","language":"eng","author":[{"family":"Mitselos","given":"Ioannis V."},{"family":"Katsanos","given":"Konstantinos H."},{"family":"Tatsioni","given":"Athina"},{"family":"Skamnelos","given":"Alexandros"},{"family":"Eliakim","given":"Rami"},{"family":"Tsianos","given":"Epameinondas V."},{"family":"Christodoulou","given":"Dimitrios K."}],"issued":{"date-parts":[["2018"]]}}}],"schema":"https://github.com/citation-style-language/schema/raw/master/csl-citation.json"}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[47]</w:t>
            </w:r>
            <w:r w:rsidRPr="00257F02">
              <w:rPr>
                <w:rFonts w:ascii="Book Antiqua" w:hAnsi="Book Antiqua"/>
                <w:lang w:val="en-US"/>
              </w:rPr>
              <w:fldChar w:fldCharType="end"/>
            </w:r>
            <w:r w:rsidRPr="00257F02">
              <w:rPr>
                <w:rFonts w:ascii="Book Antiqua" w:hAnsi="Book Antiqua"/>
                <w:lang w:val="en-US"/>
              </w:rPr>
              <w:t>, 2018</w:t>
            </w:r>
          </w:p>
        </w:tc>
        <w:tc>
          <w:tcPr>
            <w:tcW w:w="1559"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Retrospective</w:t>
            </w:r>
          </w:p>
        </w:tc>
        <w:tc>
          <w:tcPr>
            <w:tcW w:w="993"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30</w:t>
            </w:r>
          </w:p>
        </w:tc>
        <w:tc>
          <w:tcPr>
            <w:tcW w:w="2268"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None (37%)</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5-ASA (17%)</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Budesonide (10%)</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lastRenderedPageBreak/>
              <w:t>Azathioprine (10%)</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cs="AdvOT333dc5e5"/>
                <w:lang w:val="en-US"/>
              </w:rPr>
              <w:t>Anti-TNF (20%)</w:t>
            </w:r>
          </w:p>
          <w:p w:rsidR="001D4918" w:rsidRPr="00257F02" w:rsidRDefault="001D4918" w:rsidP="007742D4">
            <w:pPr>
              <w:autoSpaceDE w:val="0"/>
              <w:autoSpaceDN w:val="0"/>
              <w:adjustRightInd w:val="0"/>
              <w:spacing w:line="360" w:lineRule="auto"/>
              <w:jc w:val="both"/>
              <w:rPr>
                <w:rFonts w:ascii="Book Antiqua" w:hAnsi="Book Antiqua" w:cs="Times-Roman"/>
                <w:lang w:val="en-US"/>
              </w:rPr>
            </w:pPr>
            <w:r w:rsidRPr="00257F02">
              <w:rPr>
                <w:rFonts w:ascii="Book Antiqua" w:hAnsi="Book Antiqua" w:cs="AdvOT333dc5e5"/>
                <w:lang w:val="en-US"/>
              </w:rPr>
              <w:t>Anti-TNF+IS (6%)</w:t>
            </w:r>
          </w:p>
        </w:tc>
        <w:tc>
          <w:tcPr>
            <w:tcW w:w="110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w:t>
            </w:r>
          </w:p>
        </w:tc>
        <w:tc>
          <w:tcPr>
            <w:tcW w:w="18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Included patients had </w:t>
            </w:r>
            <w:r w:rsidRPr="00257F02">
              <w:rPr>
                <w:rFonts w:ascii="Book Antiqua" w:hAnsi="Book Antiqua"/>
                <w:lang w:val="en-US"/>
              </w:rPr>
              <w:lastRenderedPageBreak/>
              <w:t>only one CE (60% in both clinical and biochemical remission)</w:t>
            </w:r>
          </w:p>
        </w:tc>
        <w:tc>
          <w:tcPr>
            <w:tcW w:w="2650"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lastRenderedPageBreak/>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&lt;</w:t>
            </w:r>
            <w:r>
              <w:rPr>
                <w:rFonts w:ascii="Book Antiqua" w:hAnsi="Book Antiqua"/>
                <w:lang w:val="en-US"/>
              </w:rPr>
              <w:t xml:space="preserve"> </w:t>
            </w:r>
            <w:r w:rsidRPr="00257F02">
              <w:rPr>
                <w:rFonts w:ascii="Book Antiqua" w:hAnsi="Book Antiqua"/>
                <w:lang w:val="en-US"/>
              </w:rPr>
              <w:t>135</w:t>
            </w:r>
            <w:r>
              <w:rPr>
                <w:rFonts w:ascii="Book Antiqua" w:hAnsi="Book Antiqua"/>
                <w:vertAlign w:val="superscript"/>
                <w:lang w:val="en-US"/>
              </w:rPr>
              <w:t>5</w:t>
            </w:r>
          </w:p>
        </w:tc>
        <w:tc>
          <w:tcPr>
            <w:tcW w:w="1981"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NA</w:t>
            </w:r>
          </w:p>
        </w:tc>
        <w:tc>
          <w:tcPr>
            <w:tcW w:w="1981" w:type="dxa"/>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6/15 (40%)</w:t>
            </w:r>
          </w:p>
          <w:p w:rsidR="001D4918" w:rsidRPr="00257F02" w:rsidRDefault="001D4918" w:rsidP="007742D4">
            <w:pPr>
              <w:autoSpaceDE w:val="0"/>
              <w:autoSpaceDN w:val="0"/>
              <w:adjustRightInd w:val="0"/>
              <w:spacing w:line="360" w:lineRule="auto"/>
              <w:jc w:val="both"/>
              <w:rPr>
                <w:rFonts w:ascii="Book Antiqua" w:hAnsi="Book Antiqua" w:cs="AdvOTbc475f09"/>
                <w:lang w:val="en-US"/>
              </w:rPr>
            </w:pPr>
          </w:p>
          <w:p w:rsidR="001D4918" w:rsidRPr="00257F02" w:rsidRDefault="001D4918" w:rsidP="007742D4">
            <w:pPr>
              <w:autoSpaceDE w:val="0"/>
              <w:autoSpaceDN w:val="0"/>
              <w:adjustRightInd w:val="0"/>
              <w:spacing w:line="360" w:lineRule="auto"/>
              <w:jc w:val="both"/>
              <w:rPr>
                <w:rFonts w:ascii="Book Antiqua" w:hAnsi="Book Antiqua" w:cs="AdvOTbc475f09"/>
                <w:lang w:val="en-US"/>
              </w:rPr>
            </w:pPr>
            <w:r w:rsidRPr="00257F02">
              <w:rPr>
                <w:rFonts w:ascii="Book Antiqua" w:hAnsi="Book Antiqua" w:cs="AdvOTbc475f09"/>
                <w:lang w:val="en-US"/>
              </w:rPr>
              <w:lastRenderedPageBreak/>
              <w:t>Weak correlation</w:t>
            </w:r>
          </w:p>
          <w:p w:rsidR="001D4918" w:rsidRPr="00257F02" w:rsidRDefault="001D4918" w:rsidP="007742D4">
            <w:pPr>
              <w:autoSpaceDE w:val="0"/>
              <w:autoSpaceDN w:val="0"/>
              <w:adjustRightInd w:val="0"/>
              <w:spacing w:line="360" w:lineRule="auto"/>
              <w:jc w:val="both"/>
              <w:rPr>
                <w:rFonts w:ascii="Book Antiqua" w:hAnsi="Book Antiqua" w:cs="AdvOTbc475f09"/>
                <w:lang w:val="en-US"/>
              </w:rPr>
            </w:pPr>
            <w:r w:rsidRPr="00257F02">
              <w:rPr>
                <w:rFonts w:ascii="Book Antiqua" w:hAnsi="Book Antiqua" w:cs="AdvOTbc475f09"/>
                <w:lang w:val="en-US"/>
              </w:rPr>
              <w:t>between CDAI and Lewis score (</w:t>
            </w:r>
            <w:r w:rsidRPr="007345E0">
              <w:rPr>
                <w:rFonts w:ascii="Book Antiqua" w:hAnsi="Book Antiqua" w:cs="AdvOT638a931c.I"/>
                <w:i/>
                <w:iCs/>
                <w:lang w:val="en-US"/>
              </w:rPr>
              <w:t xml:space="preserve">r = </w:t>
            </w:r>
            <w:r w:rsidRPr="00257F02">
              <w:rPr>
                <w:rFonts w:ascii="Book Antiqua" w:hAnsi="Book Antiqua" w:cs="AdvOTbc475f09"/>
                <w:lang w:val="en-US"/>
              </w:rPr>
              <w:t xml:space="preserve">0.32, </w:t>
            </w:r>
            <w:r w:rsidRPr="007345E0">
              <w:rPr>
                <w:rFonts w:ascii="Book Antiqua" w:hAnsi="Book Antiqua" w:cs="AdvOTbc475f09"/>
                <w:i/>
                <w:iCs/>
                <w:lang w:val="en-US"/>
              </w:rPr>
              <w:t xml:space="preserve">P = </w:t>
            </w:r>
            <w:r w:rsidRPr="00257F02">
              <w:rPr>
                <w:rFonts w:ascii="Book Antiqua" w:hAnsi="Book Antiqua" w:cs="AdvOTbc475f09"/>
                <w:lang w:val="en-US"/>
              </w:rPr>
              <w:t>0.088) and between CRP and Lewis score</w:t>
            </w: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OTbc475f09"/>
              </w:rPr>
              <w:t>(</w:t>
            </w:r>
            <w:r w:rsidRPr="007345E0">
              <w:rPr>
                <w:rFonts w:ascii="Book Antiqua" w:hAnsi="Book Antiqua" w:cs="AdvOT638a931c.I"/>
                <w:i/>
                <w:iCs/>
              </w:rPr>
              <w:t xml:space="preserve">r = </w:t>
            </w:r>
            <w:r w:rsidRPr="00257F02">
              <w:rPr>
                <w:rFonts w:ascii="Book Antiqua" w:hAnsi="Book Antiqua" w:cs="AdvOT8608a8d1"/>
              </w:rPr>
              <w:t xml:space="preserve"> </w:t>
            </w:r>
            <w:r w:rsidRPr="00257F02">
              <w:rPr>
                <w:rFonts w:ascii="Book Antiqua" w:hAnsi="Book Antiqua" w:cs="AdvOTbc475f09"/>
              </w:rPr>
              <w:t xml:space="preserve">0.52, </w:t>
            </w:r>
            <w:r w:rsidRPr="007345E0">
              <w:rPr>
                <w:rFonts w:ascii="Book Antiqua" w:hAnsi="Book Antiqua" w:cs="AdvOT638a931c.I"/>
                <w:i/>
                <w:iCs/>
              </w:rPr>
              <w:t xml:space="preserve">P = </w:t>
            </w:r>
            <w:r w:rsidRPr="00257F02">
              <w:rPr>
                <w:rFonts w:ascii="Book Antiqua" w:hAnsi="Book Antiqua" w:cs="AdvOTbc475f09"/>
                <w:b/>
              </w:rPr>
              <w:t>0.004</w:t>
            </w:r>
            <w:r w:rsidRPr="00257F02">
              <w:rPr>
                <w:rFonts w:ascii="Book Antiqua" w:hAnsi="Book Antiqua" w:cs="AdvOTbc475f09"/>
              </w:rPr>
              <w:t>)</w:t>
            </w:r>
          </w:p>
        </w:tc>
        <w:tc>
          <w:tcPr>
            <w:tcW w:w="955"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w:t>
            </w:r>
          </w:p>
        </w:tc>
      </w:tr>
      <w:tr w:rsidR="001D4918" w:rsidRPr="00257F02" w:rsidTr="005C39B1">
        <w:tc>
          <w:tcPr>
            <w:tcW w:w="1276"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Nakamura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{"citationID":"XMRlara9","properties":{"formattedCitation":"\\super [87]\\nosupersub{}","plainCitation":"[87]","noteIndex":0},"citationItems":[{"id":2676,"uris":["http://zotero.org/users/3734960/items/LDCLSDUF"],"uri":["http://zotero.org/users/3734960/items/LDCLSDUF"],"itemData":{"id":2676,"type":"article-journal","title":"Validity of Capsule Endoscopy in Monitoring Therapeutic Interventions in Patients with Crohn's Disease","container-title":"Journal of Clinical Medicine","volume":"7","issue":"10","source":"PubMed","abstract":"Mucosal healing in Crohn's disease (CD) can be evaluated by capsule endoscopy (CE). However, only a few studies have utilized CE to demonstrate the therapeutic effect of medical treatment. We sought to evaluate the validity of using CE to monitor the effect of medical treatment in patients with CD. One hundred (n = 100) patients with CD were enrolled. All patients had a gastrointestinal (GI) tract patency check prior to CE. Patients with baseline CE Lewis score (LS) ≤ 135 were included in the non-active CD group and ended the study. In those with LS &gt; 135 (active CD group), additional treatment was administered, regardless of symptoms, as per the treating clinician's advice. Patients of the active CD group underwent follow-up CE assessment 6 months later. Out of 92 patients with confirmed GI patency who underwent CE, 40 (43.4%) had CE findings of active inflammation. Of 29 patients with LS &gt; 135 who received additional medications and underwent follow-up CE, improvement of the LS was noted in 23 (79.3%) patients. Eleven patients were asymptomatic but received additional medications; 8 (72.7%) had improvement of the LS. This study demonstrated that additional treatment even for patients with CD in clinical remission and active small-bowel inflammation on CE can reduce mucosal damage.","DOI":"10.3390/jcm7100311","ISSN":"2077-0383","note":"PMID: 30274238\nPMCID: PMC6210985","journalAbbreviation":"J Clin Med","language":"eng","author":[{"family":"Nakamura","given":"Masanao"},{"family":"Yamamura","given":"Takeshi"},{"family":"Maeda","given":"Keiko"},{"family":"Sawada","given":"Tsunaki"},{"family":"Mizutani","given":"Yasuyuki"},{"family":"Ishikawa","given":"Takuya"},{"family":"Furukawa","given":"Kazuhiro"},{"family":"Ohno","given":"Eizaburo"},{"family":"Kawashima","given":"Hiroki"},{"family":"Miyahara","given":"Ryoji"},{"family":"Koulaouzidis","given":"Anastasios"},{"family":"Hirooka","given":"Yoshiki"},{"literal":"Nagoya University Crohn’s Disease Study Group"}],"issued":{"date-parts":[["2018",9,29]]}}}],"schema":"https://github.com/citation-style-language/schema/raw/master/csl-citation.json"}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[87]</w:t>
            </w:r>
            <w:r w:rsidRPr="00257F02">
              <w:rPr>
                <w:rFonts w:ascii="Book Antiqua" w:hAnsi="Book Antiqua"/>
                <w:lang w:val="en-US"/>
              </w:rPr>
              <w:fldChar w:fldCharType="end"/>
            </w:r>
            <w:r w:rsidRPr="00257F02">
              <w:rPr>
                <w:rFonts w:ascii="Book Antiqua" w:hAnsi="Book Antiqua"/>
                <w:lang w:val="en-US"/>
              </w:rPr>
              <w:t>, 2018</w:t>
            </w:r>
          </w:p>
        </w:tc>
        <w:tc>
          <w:tcPr>
            <w:tcW w:w="1559"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993"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92</w:t>
            </w:r>
          </w:p>
        </w:tc>
        <w:tc>
          <w:tcPr>
            <w:tcW w:w="2268"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(27%)</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(18%)</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Thiopurines (17%)</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Infliximab (20%);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Adalimumab (10%)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Elemental diet (5%)</w:t>
            </w:r>
          </w:p>
          <w:p w:rsidR="001D4918" w:rsidRPr="00257F02" w:rsidRDefault="001D4918" w:rsidP="007742D4">
            <w:pPr>
              <w:autoSpaceDE w:val="0"/>
              <w:autoSpaceDN w:val="0"/>
              <w:adjustRightInd w:val="0"/>
              <w:spacing w:line="360" w:lineRule="auto"/>
              <w:jc w:val="both"/>
              <w:rPr>
                <w:rFonts w:ascii="Book Antiqua" w:hAnsi="Book Antiqua" w:cs="AdvOT333dc5e5"/>
                <w:lang w:val="en-US"/>
              </w:rPr>
            </w:pPr>
            <w:r w:rsidRPr="00257F02">
              <w:rPr>
                <w:rFonts w:ascii="Book Antiqua" w:hAnsi="Book Antiqua"/>
                <w:lang w:val="en-US"/>
              </w:rPr>
              <w:t xml:space="preserve">CS (3%) </w:t>
            </w:r>
          </w:p>
        </w:tc>
        <w:tc>
          <w:tcPr>
            <w:tcW w:w="1106"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Naïve</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38/92</w:t>
            </w:r>
            <w:r w:rsidRPr="00257F02">
              <w:rPr>
                <w:rFonts w:ascii="Book Antiqua" w:hAnsi="Book Antiqua"/>
                <w:lang w:val="en-US"/>
              </w:rPr>
              <w:br/>
              <w:t>Exposed</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54/92</w:t>
            </w:r>
          </w:p>
        </w:tc>
        <w:tc>
          <w:tcPr>
            <w:tcW w:w="1816"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6 </w:t>
            </w:r>
            <w:proofErr w:type="spellStart"/>
            <w:r w:rsidRPr="00257F02">
              <w:rPr>
                <w:rFonts w:ascii="Book Antiqua" w:hAnsi="Book Antiqua"/>
                <w:lang w:val="en-US"/>
              </w:rPr>
              <w:t>mo</w:t>
            </w:r>
            <w:proofErr w:type="spellEnd"/>
            <w:r w:rsidRPr="00257F02">
              <w:rPr>
                <w:rFonts w:ascii="Book Antiqua" w:hAnsi="Book Antiqua"/>
                <w:lang w:val="en-US"/>
              </w:rPr>
              <w:t xml:space="preserve"> in the active group (40/92)</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Non-active patients ended the study at baseline (52/92)</w:t>
            </w:r>
          </w:p>
        </w:tc>
        <w:tc>
          <w:tcPr>
            <w:tcW w:w="2650"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 xml:space="preserve">Lewis score, mean </w:t>
            </w:r>
          </w:p>
          <w:p w:rsidR="001D4918" w:rsidRPr="00257F02" w:rsidRDefault="001D4918" w:rsidP="007742D4">
            <w:pPr>
              <w:autoSpaceDE w:val="0"/>
              <w:autoSpaceDN w:val="0"/>
              <w:adjustRightInd w:val="0"/>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MH</w:t>
            </w:r>
            <w:r>
              <w:rPr>
                <w:rFonts w:ascii="Book Antiqua" w:hAnsi="Book Antiqua"/>
                <w:lang w:val="en-US"/>
              </w:rPr>
              <w:t xml:space="preserv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Lewis score of 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Active CD: Lewis score &gt;</w:t>
            </w:r>
            <w:r>
              <w:rPr>
                <w:rFonts w:ascii="Book Antiqua" w:hAnsi="Book Antiqua"/>
                <w:lang w:val="en-US"/>
              </w:rPr>
              <w:t xml:space="preserve"> </w:t>
            </w:r>
            <w:r w:rsidRPr="00257F02">
              <w:rPr>
                <w:rFonts w:ascii="Book Antiqua" w:hAnsi="Book Antiqua"/>
                <w:lang w:val="en-US"/>
              </w:rPr>
              <w:t>135</w:t>
            </w:r>
          </w:p>
        </w:tc>
        <w:tc>
          <w:tcPr>
            <w:tcW w:w="1981"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458</w:t>
            </w:r>
          </w:p>
        </w:tc>
        <w:tc>
          <w:tcPr>
            <w:tcW w:w="1981"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lang w:val="en-US"/>
              </w:rPr>
              <w:t>233</w:t>
            </w:r>
          </w:p>
          <w:p w:rsidR="001D4918" w:rsidRPr="00257F02" w:rsidRDefault="001D4918" w:rsidP="007742D4">
            <w:pPr>
              <w:spacing w:line="360" w:lineRule="auto"/>
              <w:jc w:val="both"/>
              <w:rPr>
                <w:rFonts w:ascii="Book Antiqua" w:hAnsi="Book Antiqua" w:cs="AdvTTae86113c"/>
                <w:lang w:val="en-US"/>
              </w:rPr>
            </w:pPr>
          </w:p>
          <w:p w:rsidR="001D4918" w:rsidRPr="00257F02" w:rsidRDefault="001D4918" w:rsidP="007742D4">
            <w:pPr>
              <w:spacing w:line="360" w:lineRule="auto"/>
              <w:jc w:val="both"/>
              <w:rPr>
                <w:rFonts w:ascii="Book Antiqua" w:hAnsi="Book Antiqua" w:cs="AdvTTae86113c"/>
                <w:lang w:val="en-US"/>
              </w:rPr>
            </w:pPr>
            <w:r w:rsidRPr="00257F02">
              <w:rPr>
                <w:rFonts w:ascii="Book Antiqua" w:hAnsi="Book Antiqua" w:cs="AdvTTae86113c"/>
                <w:lang w:val="en-US"/>
              </w:rPr>
              <w:t>MH:</w:t>
            </w:r>
          </w:p>
          <w:p w:rsidR="001D4918" w:rsidRPr="00257F02" w:rsidRDefault="001D4918" w:rsidP="007742D4">
            <w:pPr>
              <w:spacing w:line="360" w:lineRule="auto"/>
              <w:jc w:val="both"/>
              <w:rPr>
                <w:rFonts w:ascii="Book Antiqua" w:hAnsi="Book Antiqua"/>
                <w:vertAlign w:val="superscript"/>
                <w:lang w:val="en-US"/>
              </w:rPr>
            </w:pPr>
            <w:r w:rsidRPr="00257F02">
              <w:rPr>
                <w:rFonts w:ascii="Book Antiqua" w:hAnsi="Book Antiqua" w:cs="AdvTTae86113c"/>
                <w:lang w:val="en-US"/>
              </w:rPr>
              <w:t>2/29</w:t>
            </w:r>
            <w:r>
              <w:rPr>
                <w:rFonts w:ascii="Book Antiqua" w:hAnsi="Book Antiqua"/>
                <w:vertAlign w:val="superscript"/>
                <w:lang w:val="en-US"/>
              </w:rPr>
              <w:t>6</w:t>
            </w:r>
          </w:p>
          <w:p w:rsidR="001D4918" w:rsidRPr="00257F02" w:rsidRDefault="001D4918" w:rsidP="007742D4">
            <w:pPr>
              <w:spacing w:line="360" w:lineRule="auto"/>
              <w:jc w:val="both"/>
              <w:rPr>
                <w:rFonts w:ascii="Book Antiqua" w:hAnsi="Book Antiqua" w:cs="AdvTTae86113c"/>
                <w:lang w:val="en-US"/>
              </w:rPr>
            </w:pPr>
          </w:p>
          <w:p w:rsidR="001D4918" w:rsidRPr="00257F02" w:rsidRDefault="001D4918" w:rsidP="007742D4">
            <w:pPr>
              <w:autoSpaceDE w:val="0"/>
              <w:autoSpaceDN w:val="0"/>
              <w:adjustRightInd w:val="0"/>
              <w:spacing w:line="360" w:lineRule="auto"/>
              <w:jc w:val="both"/>
              <w:rPr>
                <w:rFonts w:ascii="Book Antiqua" w:hAnsi="Book Antiqua"/>
                <w:color w:val="000000"/>
                <w:lang w:val="en-US"/>
              </w:rPr>
            </w:pPr>
            <w:r w:rsidRPr="00257F02">
              <w:rPr>
                <w:rFonts w:ascii="Book Antiqua" w:hAnsi="Book Antiqua"/>
                <w:color w:val="000000"/>
                <w:lang w:val="en-US"/>
              </w:rPr>
              <w:t xml:space="preserve">Improvement of LS in all 7 patients who received biologics, and in 8/11 (73%) of asymptomatic patients </w:t>
            </w:r>
            <w:r w:rsidRPr="00257F02">
              <w:rPr>
                <w:rFonts w:ascii="Book Antiqua" w:hAnsi="Book Antiqua"/>
                <w:color w:val="000000"/>
                <w:lang w:val="en-US"/>
              </w:rPr>
              <w:lastRenderedPageBreak/>
              <w:t>receiving additional medication</w:t>
            </w:r>
          </w:p>
        </w:tc>
        <w:tc>
          <w:tcPr>
            <w:tcW w:w="955"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0.0004</w:t>
            </w:r>
          </w:p>
        </w:tc>
      </w:tr>
    </w:tbl>
    <w:p w:rsidR="001D4918" w:rsidRPr="00257F02" w:rsidRDefault="001D4918" w:rsidP="007742D4">
      <w:pPr>
        <w:autoSpaceDE w:val="0"/>
        <w:autoSpaceDN w:val="0"/>
        <w:adjustRightInd w:val="0"/>
        <w:spacing w:line="360" w:lineRule="auto"/>
        <w:jc w:val="both"/>
        <w:rPr>
          <w:rFonts w:ascii="Book Antiqua" w:hAnsi="Book Antiqua"/>
          <w:lang w:val="en-US"/>
        </w:rPr>
      </w:pPr>
      <w:r>
        <w:rPr>
          <w:rFonts w:ascii="Book Antiqua" w:hAnsi="Book Antiqua"/>
          <w:vertAlign w:val="superscript"/>
          <w:lang w:val="en-US"/>
        </w:rPr>
        <w:lastRenderedPageBreak/>
        <w:t>1</w:t>
      </w:r>
      <w:r>
        <w:rPr>
          <w:rFonts w:ascii="Book Antiqua" w:hAnsi="Book Antiqua"/>
          <w:lang w:val="en-US"/>
        </w:rPr>
        <w:t>Eighteen percent</w:t>
      </w:r>
      <w:r w:rsidRPr="00257F02">
        <w:rPr>
          <w:rFonts w:ascii="Book Antiqua" w:hAnsi="Book Antiqua"/>
          <w:lang w:val="en-US"/>
        </w:rPr>
        <w:t xml:space="preserve"> of patients had Crohn’s disease restricted to the colon; </w:t>
      </w:r>
      <w:r>
        <w:rPr>
          <w:rFonts w:ascii="Book Antiqua" w:hAnsi="Book Antiqua"/>
          <w:vertAlign w:val="superscript"/>
          <w:lang w:val="en-US"/>
        </w:rPr>
        <w:t>2</w:t>
      </w:r>
      <w:r w:rsidRPr="00257F02">
        <w:rPr>
          <w:rFonts w:ascii="Book Antiqua" w:hAnsi="Book Antiqua"/>
          <w:lang w:val="en-US"/>
        </w:rPr>
        <w:t xml:space="preserve">Nine patients did not have CE at week 12; </w:t>
      </w:r>
      <w:r>
        <w:rPr>
          <w:rFonts w:ascii="Book Antiqua" w:hAnsi="Book Antiqua"/>
          <w:vertAlign w:val="superscript"/>
          <w:lang w:val="en-US"/>
        </w:rPr>
        <w:t>3</w:t>
      </w:r>
      <w:r w:rsidRPr="00257F02">
        <w:rPr>
          <w:rFonts w:ascii="Book Antiqua" w:hAnsi="Book Antiqua"/>
          <w:lang w:val="en-US"/>
        </w:rPr>
        <w:t xml:space="preserve">Fifteen patients did not have CE at week 52; </w:t>
      </w:r>
      <w:r>
        <w:rPr>
          <w:rFonts w:ascii="Book Antiqua" w:hAnsi="Book Antiqua"/>
          <w:vertAlign w:val="superscript"/>
          <w:lang w:val="en-US"/>
        </w:rPr>
        <w:t>4</w:t>
      </w:r>
      <w:r w:rsidRPr="00257F02">
        <w:rPr>
          <w:rFonts w:ascii="Book Antiqua" w:hAnsi="Book Antiqua"/>
          <w:lang w:val="en-US"/>
        </w:rPr>
        <w:t xml:space="preserve">Two patients had an allergic reaction to infliximab, 10 patients were secondary non-responders to infliximab and/or adalimumab; </w:t>
      </w:r>
      <w:r>
        <w:rPr>
          <w:rFonts w:ascii="Book Antiqua" w:hAnsi="Book Antiqua"/>
          <w:vertAlign w:val="superscript"/>
          <w:lang w:val="en-US"/>
        </w:rPr>
        <w:t>5</w:t>
      </w:r>
      <w:r w:rsidRPr="00257F02">
        <w:rPr>
          <w:rFonts w:ascii="Book Antiqua" w:hAnsi="Book Antiqua"/>
          <w:lang w:val="en-US"/>
        </w:rPr>
        <w:t>Data presented for patients in both clinical and biochemical remission (CDAI&lt;150 and CR</w:t>
      </w:r>
      <w:r w:rsidRPr="007345E0">
        <w:rPr>
          <w:rFonts w:ascii="Book Antiqua" w:hAnsi="Book Antiqua"/>
          <w:i/>
          <w:iCs/>
          <w:lang w:val="en-US"/>
        </w:rPr>
        <w:t xml:space="preserve">P &lt; </w:t>
      </w:r>
      <w:r w:rsidRPr="00257F02">
        <w:rPr>
          <w:rFonts w:ascii="Book Antiqua" w:hAnsi="Book Antiqua"/>
          <w:lang w:val="en-US"/>
        </w:rPr>
        <w:t xml:space="preserve">5 mg/L); </w:t>
      </w:r>
      <w:r>
        <w:rPr>
          <w:rFonts w:ascii="Book Antiqua" w:hAnsi="Book Antiqua"/>
          <w:vertAlign w:val="superscript"/>
          <w:lang w:val="en-US"/>
        </w:rPr>
        <w:t>6</w:t>
      </w:r>
      <w:r w:rsidRPr="00257F02">
        <w:rPr>
          <w:rFonts w:ascii="Book Antiqua" w:hAnsi="Book Antiqua"/>
          <w:lang w:val="en-US"/>
        </w:rPr>
        <w:t>Of 40 patients in the active group, 29 (72%) underwent follow-up CE to assess the therapeutic effect on MH.</w:t>
      </w:r>
      <w:r>
        <w:rPr>
          <w:rFonts w:ascii="Book Antiqua" w:hAnsi="Book Antiqua"/>
          <w:lang w:val="en-US"/>
        </w:rPr>
        <w:t xml:space="preserve"> </w:t>
      </w:r>
      <w:r w:rsidRPr="00257F02">
        <w:rPr>
          <w:rFonts w:ascii="Book Antiqua" w:hAnsi="Book Antiqua"/>
          <w:lang w:val="en-US"/>
        </w:rPr>
        <w:t>ASA</w:t>
      </w:r>
      <w:r>
        <w:rPr>
          <w:rFonts w:ascii="Book Antiqua" w:hAnsi="Book Antiqua" w:hint="eastAsia"/>
          <w:lang w:val="en-US" w:eastAsia="zh-CN"/>
        </w:rPr>
        <w:t>:</w:t>
      </w:r>
      <w:r w:rsidRPr="00257F02">
        <w:rPr>
          <w:rFonts w:ascii="Book Antiqua" w:hAnsi="Book Antiqua"/>
          <w:lang w:val="en-US"/>
        </w:rPr>
        <w:t xml:space="preserve"> </w:t>
      </w:r>
      <w:proofErr w:type="spellStart"/>
      <w:r w:rsidRPr="00257F02">
        <w:rPr>
          <w:rFonts w:ascii="Book Antiqua" w:hAnsi="Book Antiqua"/>
          <w:lang w:val="en-US"/>
        </w:rPr>
        <w:t>Aminosalicylic</w:t>
      </w:r>
      <w:proofErr w:type="spellEnd"/>
      <w:r w:rsidRPr="00257F02">
        <w:rPr>
          <w:rFonts w:ascii="Book Antiqua" w:hAnsi="Book Antiqua"/>
          <w:lang w:val="en-US"/>
        </w:rPr>
        <w:t xml:space="preserve"> acid; CD</w:t>
      </w:r>
      <w:r>
        <w:rPr>
          <w:rFonts w:ascii="Book Antiqua" w:hAnsi="Book Antiqua" w:hint="eastAsia"/>
          <w:lang w:val="en-US" w:eastAsia="zh-CN"/>
        </w:rPr>
        <w:t>:</w:t>
      </w:r>
      <w:r w:rsidRPr="00257F02">
        <w:rPr>
          <w:rFonts w:ascii="Book Antiqua" w:hAnsi="Book Antiqua"/>
          <w:lang w:val="en-US"/>
        </w:rPr>
        <w:t xml:space="preserve"> Crohn’s disease; CE</w:t>
      </w:r>
      <w:r>
        <w:rPr>
          <w:rFonts w:ascii="Book Antiqua" w:hAnsi="Book Antiqua"/>
          <w:lang w:val="en-US"/>
        </w:rPr>
        <w:t>:</w:t>
      </w:r>
      <w:r w:rsidRPr="00257F02">
        <w:rPr>
          <w:rFonts w:ascii="Book Antiqua" w:hAnsi="Book Antiqua"/>
          <w:lang w:val="en-US"/>
        </w:rPr>
        <w:t xml:space="preserve"> Capsule endoscopy; CECDAI</w:t>
      </w:r>
      <w:r>
        <w:rPr>
          <w:rFonts w:ascii="Book Antiqua" w:hAnsi="Book Antiqua"/>
          <w:lang w:val="en-US"/>
        </w:rPr>
        <w:t>:</w:t>
      </w:r>
      <w:r w:rsidRPr="00257F02">
        <w:rPr>
          <w:rFonts w:ascii="Book Antiqua" w:hAnsi="Book Antiqua"/>
          <w:lang w:val="en-US"/>
        </w:rPr>
        <w:t xml:space="preserve"> </w:t>
      </w:r>
      <w:r w:rsidRPr="00257F02">
        <w:rPr>
          <w:rFonts w:ascii="Book Antiqua" w:hAnsi="Book Antiqua" w:cs="Arial"/>
          <w:bCs/>
          <w:iCs/>
          <w:shd w:val="clear" w:color="auto" w:fill="FFFFFF"/>
          <w:lang w:val="en-US"/>
        </w:rPr>
        <w:t>Capsule Endoscopy</w:t>
      </w:r>
      <w:r w:rsidRPr="00257F02">
        <w:rPr>
          <w:rFonts w:ascii="Book Antiqua" w:hAnsi="Book Antiqua" w:cs="Arial"/>
          <w:i/>
          <w:shd w:val="clear" w:color="auto" w:fill="FFFFFF"/>
          <w:lang w:val="en-US"/>
        </w:rPr>
        <w:t> </w:t>
      </w:r>
      <w:r w:rsidRPr="00257F02">
        <w:rPr>
          <w:rFonts w:ascii="Book Antiqua" w:hAnsi="Book Antiqua" w:cs="Arial"/>
          <w:shd w:val="clear" w:color="auto" w:fill="FFFFFF"/>
          <w:lang w:val="en-US"/>
        </w:rPr>
        <w:t>Crohn's Disease Activity Index; CS</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Corticosteroids; IS</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Immunosuppressant; LS</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Lewis score; MH</w:t>
      </w:r>
      <w:r>
        <w:rPr>
          <w:rFonts w:ascii="Book Antiqua" w:hAnsi="Book Antiqua" w:cs="Arial"/>
          <w:shd w:val="clear" w:color="auto" w:fill="FFFFFF"/>
          <w:lang w:val="en-US"/>
        </w:rPr>
        <w:t>:</w:t>
      </w:r>
      <w:r w:rsidRPr="00257F02">
        <w:rPr>
          <w:rFonts w:ascii="Book Antiqua" w:hAnsi="Book Antiqua" w:cs="Arial"/>
          <w:shd w:val="clear" w:color="auto" w:fill="FFFFFF"/>
          <w:lang w:val="en-US"/>
        </w:rPr>
        <w:t xml:space="preserve"> Mucosal healing; </w:t>
      </w:r>
      <w:r w:rsidRPr="00257F02">
        <w:rPr>
          <w:rFonts w:ascii="Book Antiqua" w:hAnsi="Book Antiqua"/>
          <w:lang w:val="en-US"/>
        </w:rPr>
        <w:t>SB</w:t>
      </w:r>
      <w:r>
        <w:rPr>
          <w:rFonts w:ascii="Book Antiqua" w:hAnsi="Book Antiqua"/>
          <w:lang w:val="en-US"/>
        </w:rPr>
        <w:t>:</w:t>
      </w:r>
      <w:r w:rsidRPr="00257F02">
        <w:rPr>
          <w:rFonts w:ascii="Book Antiqua" w:hAnsi="Book Antiqua"/>
          <w:lang w:val="en-US"/>
        </w:rPr>
        <w:t xml:space="preserve"> Small bowel; SBTT</w:t>
      </w:r>
      <w:r>
        <w:rPr>
          <w:rFonts w:ascii="Book Antiqua" w:hAnsi="Book Antiqua"/>
          <w:lang w:val="en-US"/>
        </w:rPr>
        <w:t>:</w:t>
      </w:r>
      <w:r w:rsidRPr="00257F02">
        <w:rPr>
          <w:rFonts w:ascii="Book Antiqua" w:hAnsi="Book Antiqua"/>
          <w:lang w:val="en-US"/>
        </w:rPr>
        <w:t xml:space="preserve"> Small bowel transit time</w:t>
      </w:r>
      <w:r>
        <w:rPr>
          <w:rFonts w:ascii="Book Antiqua" w:hAnsi="Book Antiqua" w:hint="eastAsia"/>
          <w:lang w:val="en-US" w:eastAsia="zh-CN"/>
        </w:rPr>
        <w:t>.</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sz w:val="18"/>
          <w:lang w:val="en-US"/>
        </w:rPr>
      </w:pPr>
    </w:p>
    <w:p w:rsidR="001D4918" w:rsidRPr="00257F02" w:rsidRDefault="001D4918" w:rsidP="007742D4">
      <w:pPr>
        <w:spacing w:line="360" w:lineRule="auto"/>
        <w:jc w:val="both"/>
        <w:rPr>
          <w:rFonts w:ascii="Book Antiqua" w:hAnsi="Book Antiqua"/>
          <w:sz w:val="18"/>
          <w:lang w:val="en-US"/>
        </w:rPr>
        <w:sectPr w:rsidR="001D4918" w:rsidRPr="00257F02" w:rsidSect="00324360">
          <w:pgSz w:w="16840" w:h="11900" w:orient="landscape"/>
          <w:pgMar w:top="284" w:right="720" w:bottom="284" w:left="720" w:header="709" w:footer="709"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3 Studies assessing the use of small bowel capsule endoscopy in the monitoring of patients with Crohn’s disease in the post-operative setting</w:t>
      </w:r>
    </w:p>
    <w:tbl>
      <w:tblPr>
        <w:tblW w:w="16433" w:type="dxa"/>
        <w:tblInd w:w="-449" w:type="dxa"/>
        <w:tblLook w:val="00A0" w:firstRow="1" w:lastRow="0" w:firstColumn="1" w:lastColumn="0" w:noHBand="0" w:noVBand="0"/>
      </w:tblPr>
      <w:tblGrid>
        <w:gridCol w:w="1394"/>
        <w:gridCol w:w="1722"/>
        <w:gridCol w:w="1043"/>
        <w:gridCol w:w="1859"/>
        <w:gridCol w:w="1445"/>
        <w:gridCol w:w="1631"/>
        <w:gridCol w:w="1543"/>
        <w:gridCol w:w="1443"/>
        <w:gridCol w:w="1523"/>
        <w:gridCol w:w="1423"/>
        <w:gridCol w:w="1999"/>
      </w:tblGrid>
      <w:tr w:rsidR="001D4918" w:rsidRPr="00257F02" w:rsidTr="005C39B1">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Reference</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Study design</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 xml:space="preserve">Sample size </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Indication for surgery</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Risk factors for POR</w:t>
            </w:r>
          </w:p>
        </w:tc>
        <w:tc>
          <w:tcPr>
            <w:tcW w:w="0" w:type="auto"/>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Post-operative prophylactic treatment</w:t>
            </w:r>
          </w:p>
        </w:tc>
        <w:tc>
          <w:tcPr>
            <w:tcW w:w="1432"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Compared modality</w:t>
            </w:r>
          </w:p>
        </w:tc>
        <w:tc>
          <w:tcPr>
            <w:tcW w:w="1602"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Interval between surgery and endoscopic re-assessment</w:t>
            </w:r>
          </w:p>
        </w:tc>
        <w:tc>
          <w:tcPr>
            <w:tcW w:w="1416"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CE findings considered for defining POR</w:t>
            </w:r>
          </w:p>
        </w:tc>
        <w:tc>
          <w:tcPr>
            <w:tcW w:w="1304"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 xml:space="preserve">Rate of clinical recurrence, </w:t>
            </w:r>
            <w:r w:rsidRPr="00DE1AD5">
              <w:rPr>
                <w:rFonts w:ascii="Book Antiqua" w:hAnsi="Book Antiqua"/>
                <w:b/>
                <w:i/>
                <w:iCs/>
                <w:lang w:val="en-US"/>
              </w:rPr>
              <w:t>n</w:t>
            </w:r>
            <w:r w:rsidRPr="00257F02">
              <w:rPr>
                <w:rFonts w:ascii="Book Antiqua" w:hAnsi="Book Antiqua"/>
                <w:b/>
                <w:lang w:val="en-US"/>
              </w:rPr>
              <w:t xml:space="preserve"> (%)</w:t>
            </w:r>
          </w:p>
        </w:tc>
        <w:tc>
          <w:tcPr>
            <w:tcW w:w="2270" w:type="dxa"/>
            <w:tcBorders>
              <w:top w:val="single" w:sz="4" w:space="0" w:color="auto"/>
              <w:bottom w:val="single" w:sz="4" w:space="0" w:color="auto"/>
            </w:tcBorders>
            <w:shd w:val="clear" w:color="auto" w:fill="auto"/>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Rate of endoscopic recurrence,</w:t>
            </w:r>
          </w:p>
          <w:p w:rsidR="001D4918" w:rsidRPr="00257F02" w:rsidRDefault="001D4918" w:rsidP="007742D4">
            <w:pPr>
              <w:spacing w:line="360" w:lineRule="auto"/>
              <w:jc w:val="both"/>
              <w:rPr>
                <w:rFonts w:ascii="Book Antiqua" w:hAnsi="Book Antiqua"/>
                <w:b/>
                <w:lang w:val="en-US"/>
              </w:rPr>
            </w:pPr>
            <w:r>
              <w:rPr>
                <w:rFonts w:ascii="Book Antiqua" w:hAnsi="Book Antiqua"/>
                <w:b/>
                <w:i/>
                <w:iCs/>
                <w:lang w:val="en-US"/>
              </w:rPr>
              <w:t>s</w:t>
            </w:r>
            <w:r w:rsidRPr="00257F02">
              <w:rPr>
                <w:rFonts w:ascii="Book Antiqua" w:hAnsi="Book Antiqua"/>
                <w:b/>
                <w:lang w:val="en-US"/>
              </w:rPr>
              <w:t xml:space="preserve"> (%)</w:t>
            </w:r>
          </w:p>
        </w:tc>
      </w:tr>
      <w:tr w:rsidR="001D4918" w:rsidRPr="00257F02" w:rsidTr="005C39B1">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Bourreille</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{"citationID":"mEExA8Fn","properties":{"formattedCitation":"\\super [49]\\nosupersub{}","plainCitation":"[49]","noteIndex":0},"citationItems":[{"id":2692,"uris":["http://zotero.org/users/3734960/items/6CADSF5P"],"uri":["http://zotero.org/users/3734960/items/6CADSF5P"],"itemData":{"id":2692,"type":"article-journal","title":"Wireless capsule endoscopy versus ileocolonoscopy for the diagnosis of postoperative recurrence of Crohn's disease: a prospective study","container-title":"Gut","page":"978-983","volume":"55","issue":"7","source":"PubMed","abstract":"BACKGROUND AND AIMS: Following ileocolonic resection for Crohn's disease (CD), early endoscopic recurrence predicts recurrence of symptoms. The aim of the study was to compare ileocolonoscopy and wireless capsule endoscopy (WCE) for the detection of postoperative recurrence in CD.\nMETHODS: WCE and ileocolonoscopy were performed within six months following surgery in 32 prospectively enrolled patients. Two independent observers interpreted the results of WCE. Recurrence in the neoterminal ileum was defined by a Rutgeerts score&gt;or=1. When observers at WCE did not concur, WCE results were considered as either true negative or true positive and sensitivity and specificity were calculated according to both assumptions.\nRESULTS: Recurrence occurred in 21 patients (68%) and was detected by ileocolonoscopy in 19 patients. Sensitivity was 90% and specificity 100%. Sensitivity of WCE was 62% and 76% and specificity was 100% and 90%, respectively, depending on assumptions. There was a correlation between the severity of the lesions measured by both methods (p&lt;0.05). Lesions located outside the scope of conventional endoscopy were detected by WCE in two thirds of patients with excellent interobserver agreement (kappa&gt;0.9) for all lesions with the exception of ulceration (kappa=0.7).\nCONCLUSIONS: The sensitivity of WCE in detecting recurrence in the neoterminal ileum was inferior to that of ileocolonoscopy. In contrast, WCE detected lesions outside the scope of ileocolonoscopy in more than two thirds of patients. Additional follow up studies are needed to assess the clinical relevance of such lesions. At the present time, it seems that WCE cannot systematically replace ileocolonoscopy in the regular management of patients after surgery.","DOI":"10.1136/gut.2005.081851","ISSN":"0017-5749","note":"PMID: 16401689\nPMCID: PMC1856304","title-short":"Wireless capsule endoscopy versus ileocolonoscopy for the diagnosis of postoperative recurrence of Crohn's disease","journalAbbreviation":"Gut","language":"eng","author":[{"family":"Bourreille","given":"A."},{"family":"Jarry","given":"M."},{"family":"D'Halluin","given":"P. N."},{"family":"Ben-Soussan","given":"E."},{"family":"Maunoury","given":"V."},{"family":"Bulois","given":"P."},{"family":"Sacher-Huvelin","given":"S."},{"family":"Vahedy","given":"K."},{"family":"Lerebours","given":"E."},{"family":"Heresbach","given":"D."},{"family":"Bretagne","given":"J. F."},{"family":"Colombel","given":"J. F."},{"family":"Galmiche","given":"J. P."}],"issued":{"date-parts":[["2006",7]]}}}],"schema":"https://github.com/citation-style-language/schema/raw/master/csl-citation.json"}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[49]</w:t>
            </w:r>
            <w:r w:rsidRPr="00257F02">
              <w:rPr>
                <w:rFonts w:ascii="Book Antiqua" w:hAnsi="Book Antiqua"/>
                <w:lang w:val="en-US"/>
              </w:rPr>
              <w:fldChar w:fldCharType="end"/>
            </w:r>
            <w:r w:rsidRPr="00257F02">
              <w:rPr>
                <w:rFonts w:ascii="Book Antiqua" w:hAnsi="Book Antiqua"/>
                <w:lang w:val="en-US"/>
              </w:rPr>
              <w:t>, 2006</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32</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Resistance to medical treatment (19%)</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Stenosis (37%)</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Fistula/abscess (44%)</w:t>
            </w:r>
          </w:p>
        </w:tc>
        <w:tc>
          <w:tcPr>
            <w:tcW w:w="0" w:type="auto"/>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0" w:type="auto"/>
            <w:tcBorders>
              <w:top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(28%)</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(22%)</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CS (3%)</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IS (9%)</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Others (44%)</w:t>
            </w:r>
          </w:p>
        </w:tc>
        <w:tc>
          <w:tcPr>
            <w:tcW w:w="1432"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p>
        </w:tc>
        <w:tc>
          <w:tcPr>
            <w:tcW w:w="1602"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Median (IQR):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6 mo. (4-7)</w:t>
            </w:r>
          </w:p>
          <w:p w:rsidR="001D4918" w:rsidRPr="00257F02" w:rsidRDefault="001D4918" w:rsidP="007742D4">
            <w:pPr>
              <w:spacing w:line="360" w:lineRule="auto"/>
              <w:jc w:val="both"/>
              <w:rPr>
                <w:rFonts w:ascii="Book Antiqua" w:hAnsi="Book Antiqua"/>
                <w:lang w:val="en-US"/>
              </w:rPr>
            </w:pPr>
          </w:p>
        </w:tc>
        <w:tc>
          <w:tcPr>
            <w:tcW w:w="1416"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Rutgeerts</w:t>
            </w:r>
            <w:proofErr w:type="spellEnd"/>
            <w:r w:rsidRPr="00257F02">
              <w:rPr>
                <w:rFonts w:ascii="Book Antiqua" w:hAnsi="Book Antiqua"/>
                <w:lang w:val="en-US"/>
              </w:rPr>
              <w:t xml:space="preserve"> score ≥i,1 </w:t>
            </w:r>
          </w:p>
        </w:tc>
        <w:tc>
          <w:tcPr>
            <w:tcW w:w="1304"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2270"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Colonoscopy:</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19/31</w:t>
            </w:r>
            <w:r>
              <w:rPr>
                <w:rFonts w:ascii="Book Antiqua" w:hAnsi="Book Antiqua"/>
                <w:vertAlign w:val="superscript"/>
                <w:lang w:val="en-US"/>
              </w:rPr>
              <w:t>1</w:t>
            </w:r>
            <w:r w:rsidRPr="00257F02">
              <w:rPr>
                <w:rFonts w:ascii="Book Antiqua" w:hAnsi="Book Antiqua"/>
                <w:vertAlign w:val="superscript"/>
                <w:lang w:val="en-US"/>
              </w:rPr>
              <w:t xml:space="preserve"> </w:t>
            </w:r>
            <w:r w:rsidRPr="00257F02">
              <w:rPr>
                <w:rFonts w:ascii="Book Antiqua" w:hAnsi="Book Antiqua"/>
                <w:lang w:val="en-US"/>
              </w:rPr>
              <w:t>(61%)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Se 90%, </w:t>
            </w:r>
            <w:proofErr w:type="spellStart"/>
            <w:r w:rsidRPr="00257F02">
              <w:rPr>
                <w:rFonts w:ascii="Book Antiqua" w:hAnsi="Book Antiqua"/>
                <w:lang w:val="en-US"/>
              </w:rPr>
              <w:t>Sp</w:t>
            </w:r>
            <w:proofErr w:type="spellEnd"/>
            <w:r w:rsidRPr="00257F02">
              <w:rPr>
                <w:rFonts w:ascii="Book Antiqua" w:hAnsi="Book Antiqua"/>
                <w:lang w:val="en-US"/>
              </w:rPr>
              <w:t xml:space="preserve"> 100%</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21/31 (68%)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Se 76%, </w:t>
            </w:r>
            <w:proofErr w:type="spellStart"/>
            <w:r w:rsidRPr="00257F02">
              <w:rPr>
                <w:rFonts w:ascii="Book Antiqua" w:hAnsi="Book Antiqua"/>
                <w:lang w:val="en-US"/>
              </w:rPr>
              <w:t>Sp</w:t>
            </w:r>
            <w:proofErr w:type="spellEnd"/>
            <w:r w:rsidRPr="00257F02">
              <w:rPr>
                <w:rFonts w:ascii="Book Antiqua" w:hAnsi="Book Antiqua"/>
                <w:lang w:val="en-US"/>
              </w:rPr>
              <w:t xml:space="preserve"> 91%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SB lesions up to 72%</w:t>
            </w:r>
          </w:p>
        </w:tc>
      </w:tr>
      <w:tr w:rsidR="001D4918" w:rsidRPr="00257F02" w:rsidTr="005C39B1">
        <w:tc>
          <w:tcPr>
            <w:tcW w:w="0" w:type="auto"/>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Biancone</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{"citationID":"tb9jp5vm","properties":{"formattedCitation":"\\super [50]\\nosupersub{}","plainCitation":"[50]","noteIndex":0},"citationItems":[{"id":2688,"uris":["http://zotero.org/users/3734960/items/TY52RV5Q"],"uri":["http://zotero.org/users/3734960/items/TY52RV5Q"],"itemData":{"id":2688,"type":"article-journal","title":"Wireless capsule endoscopy and small intestine contrast ultrasonography in recurrence of Crohn's disease","container-title":"Inflammatory Bowel Diseases","page":"1256-1265","volume":"13","issue":"10","source":"PubMed","abstract":"BACKGROUND: The best available tool to assess recurrence of Crohn's disease (CD) is ileocolonoscopy (CC). Small intestine contrast ultrasonography (SICUS) and wireless capsule endoscopy (WCE) are noninvasive techniques able to detect small bowel lesions. In a prospective longitudinal study, we aimed to investigate the usefulness of SICUS and WCE for assessing postoperative recurrence of CD 1 year after surgery, using CC as the gold standard.\nMETHODS: Twenty-two patients (11 men, median age 33 years, range 22-67 years) undergoing ileocolonic resection for CD were prospectively followed from July 2003 to May 2006, with the Crohn's Disease Activity Index (CDAI) used for clinical assessment every 3 months for 1 year. At 1 year, recurrence was assessed by SICUS and CC, followed by WCE. CD recurrence was assessed by CC (Rutgeerts score). SICUS was performed after ingestion of polyethylene glycol, and WCE was performed with Given M2A equipment.\nRESULTS: At 1 year, all 22 patients had inactive CD (CDAI &lt; 150). In 5 patients, WCE was not performed because of luminal narrowing or stenosis. Seventeen of the 22 patients had all 3 techniques performed. CC detected recurrence in 21 of 22 patients. Lesions compatible with recurrence were detected by SICUS in all 22 patients (1 false positive). When considering only the 17 patients studied by all 3 techniques, recurrence was detected by CC in 16 of 17 patients, whereas lesions compatible with recurrence were detected by SICUS in all 17 patients (16 true positives [TPs], 1 FP) and by WCE in 16 of 17 patients (16 TPs, 1 true negative).\nCONCLUSIONS: The present findings suggest that SICUS and WCE may be used as noninvasive techniques for the assessment of recurrence of CD in patients being regularly followed up after ileocolonic resection.","DOI":"10.1002/ibd.20199","ISSN":"1078-0998","note":"PMID: 17577246","journalAbbreviation":"Inflamm. Bowel Dis.","language":"eng","author":[{"family":"Biancone","given":"Livia"},{"family":"Calabrese","given":"Emma"},{"family":"Petruzziello","given":"Carmelina"},{"family":"Onali","given":"Sara"},{"family":"Caruso","given":"Anna"},{"family":"Palmieri","given":"Giampiero"},{"family":"Sica","given":"Giuseppe S."},{"family":"Pallone","given":"Francesco"}],"issued":{"date-parts":[["2007",10]]}}}],"schema":"https://github.com/citation-style-language/schema/raw/master/csl-citation.json"}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[50]</w:t>
            </w:r>
            <w:r w:rsidRPr="00257F02">
              <w:rPr>
                <w:rFonts w:ascii="Book Antiqua" w:hAnsi="Book Antiqua"/>
                <w:lang w:val="en-US"/>
              </w:rPr>
              <w:fldChar w:fldCharType="end"/>
            </w:r>
            <w:r w:rsidRPr="00257F02">
              <w:rPr>
                <w:rFonts w:ascii="Book Antiqua" w:hAnsi="Book Antiqua"/>
                <w:lang w:val="en-US"/>
              </w:rPr>
              <w:t>, 2007</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22</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Resistance to medical treatment (9%)</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Stenosis (64%)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Fistula/abscess (14%)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Other (13%)</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(32%)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(23%)</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Mesalamine (100%)</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r w:rsidRPr="00257F02">
              <w:rPr>
                <w:rFonts w:ascii="Book Antiqua" w:hAnsi="Book Antiqua"/>
                <w:lang w:val="en-US"/>
              </w:rPr>
              <w:t xml:space="preserve"> (gold standard),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SICUS</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 year</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Ulcers,</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strictures, or stenosis in the </w:t>
            </w:r>
            <w:proofErr w:type="spellStart"/>
            <w:r w:rsidRPr="00257F02">
              <w:rPr>
                <w:rFonts w:ascii="Book Antiqua" w:hAnsi="Book Antiqua"/>
                <w:color w:val="231F20"/>
                <w:lang w:val="en-US"/>
              </w:rPr>
              <w:t>neoterminal</w:t>
            </w:r>
            <w:proofErr w:type="spellEnd"/>
            <w:r w:rsidRPr="00257F02">
              <w:rPr>
                <w:rFonts w:ascii="Book Antiqua" w:hAnsi="Book Antiqua"/>
                <w:color w:val="231F20"/>
                <w:lang w:val="en-US"/>
              </w:rPr>
              <w:t xml:space="preserve"> ileum </w:t>
            </w:r>
            <w:r w:rsidRPr="00257F02">
              <w:rPr>
                <w:rFonts w:ascii="Book Antiqua" w:hAnsi="Book Antiqua"/>
                <w:color w:val="231F20"/>
                <w:lang w:val="en-US"/>
              </w:rPr>
              <w:lastRenderedPageBreak/>
              <w:t>and/or anastomosis</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0 (0%)</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r w:rsidRPr="00257F02">
              <w:rPr>
                <w:rFonts w:ascii="Book Antiqua" w:hAnsi="Book Antiqua"/>
                <w:lang w:val="en-US"/>
              </w:rPr>
              <w:t>:</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16/17</w:t>
            </w:r>
            <w:r>
              <w:rPr>
                <w:rFonts w:ascii="Book Antiqua" w:hAnsi="Book Antiqua"/>
                <w:vertAlign w:val="superscript"/>
                <w:lang w:val="en-US"/>
              </w:rPr>
              <w:t>2</w:t>
            </w:r>
            <w:r w:rsidRPr="00257F02">
              <w:rPr>
                <w:rFonts w:ascii="Book Antiqua" w:hAnsi="Book Antiqua"/>
                <w:lang w:val="en-US"/>
              </w:rPr>
              <w:t xml:space="preserve"> (94%)</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SICUS:</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17/17</w:t>
            </w:r>
            <w:r>
              <w:rPr>
                <w:rFonts w:ascii="Book Antiqua" w:hAnsi="Book Antiqua"/>
                <w:vertAlign w:val="superscript"/>
                <w:lang w:val="en-US"/>
              </w:rPr>
              <w:t>2</w:t>
            </w:r>
            <w:r w:rsidRPr="00257F02">
              <w:rPr>
                <w:rFonts w:ascii="Book Antiqua" w:hAnsi="Book Antiqua"/>
                <w:lang w:val="en-US"/>
              </w:rPr>
              <w:t xml:space="preserve"> (1 FP) (100%)</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WCE: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16/17</w:t>
            </w:r>
            <w:r>
              <w:rPr>
                <w:rFonts w:ascii="Book Antiqua" w:hAnsi="Book Antiqua"/>
                <w:vertAlign w:val="superscript"/>
                <w:lang w:val="en-US"/>
              </w:rPr>
              <w:t>2</w:t>
            </w:r>
            <w:r w:rsidRPr="00257F02">
              <w:rPr>
                <w:rFonts w:ascii="Book Antiqua" w:hAnsi="Book Antiqua"/>
                <w:vertAlign w:val="superscript"/>
                <w:lang w:val="en-US"/>
              </w:rPr>
              <w:t xml:space="preserve"> </w:t>
            </w:r>
            <w:r w:rsidRPr="00257F02">
              <w:rPr>
                <w:rFonts w:ascii="Book Antiqua" w:hAnsi="Book Antiqua"/>
                <w:lang w:val="en-US"/>
              </w:rPr>
              <w:t>(94%)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Se 93%, </w:t>
            </w:r>
            <w:proofErr w:type="spellStart"/>
            <w:r w:rsidRPr="00257F02">
              <w:rPr>
                <w:rFonts w:ascii="Book Antiqua" w:hAnsi="Book Antiqua"/>
                <w:lang w:val="en-US"/>
              </w:rPr>
              <w:t>Sp</w:t>
            </w:r>
            <w:proofErr w:type="spellEnd"/>
            <w:r w:rsidRPr="00257F02">
              <w:rPr>
                <w:rFonts w:ascii="Book Antiqua" w:hAnsi="Book Antiqua"/>
                <w:lang w:val="en-US"/>
              </w:rPr>
              <w:t xml:space="preserve"> 67%</w:t>
            </w:r>
          </w:p>
        </w:tc>
      </w:tr>
      <w:tr w:rsidR="001D4918" w:rsidRPr="00257F02" w:rsidTr="005C39B1">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Pons </w:t>
            </w:r>
            <w:proofErr w:type="spellStart"/>
            <w:r w:rsidRPr="00257F02">
              <w:rPr>
                <w:rFonts w:ascii="Book Antiqua" w:hAnsi="Book Antiqua"/>
                <w:lang w:val="en-US"/>
              </w:rPr>
              <w:t>Beltrán</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{"citationID":"kbu4qd4K","properties":{"formattedCitation":"\\super [51]\\nosupersub{}","plainCitation":"[51]","noteIndex":0},"citationItems":[{"id":2673,"uris":["http://zotero.org/users/3734960/items/D4YM5SGU"],"uri":["http://zotero.org/users/3734960/items/D4YM5SGU"],"itemData":{"id":2673,"type":"article-journal","title":"Evaluation of postsurgical recurrence in Crohn's disease: a new indication for capsule endoscopy?","container-title":"Gastrointestinal Endoscopy","page":"533-540","volume":"66","issue":"3","source":"PubMed","abstract":"BACKGROUND: Recurrence after surgery to treat Crohn's disease is frequent and unpredictable. The efficacy of postsurgery capsule endoscopy in detecting recurrence in patients with Crohn's disease is yet to be confirmed.\nOBJECTIVE: To assess the safety, accuracy, and therapeutic impact of capsule endoscopy in these patients.\nDESIGN: Crohn's disease recurrence at the neoileum (Rutgeers score) was assessed in the patients by colonoscopy and capsule endoscopy. The M2A Patency Capsule (Given Imaging, Yoqneam, Israel) was administered 1 week before capsule endoscopy. Capsule endoscopy was performed within 2 weeks of colonoscopy. Investigators were blinded to the results of each technique. Patient comfort during the procedures was recorded.\nPATIENTS: Twenty-four patients with Crohn's disease with ileocolonic anastomosis were prospectively included. All patients were asymptomatic and did not receive any prophylactic treatment.\nMAIN OUTCOME MEASUREMENTS: Neoileum recurrence.\nRESULTS: A colonoscopy was performed in all patients, although the neoileum could not be reached in 3 of them. M2A Patency Capsule excretion was delayed in 2 patients; thus capsule endoscopy was given only to 22 patients. Recurrence was visualized with colonoscopy in 6 patients and with capsule endoscopy in 5. Ten additional recurrences were visualized only with capsule endoscopy. Moreover, proximal involvement was detected in 13 patients. Therapeutic management was modified in 16 patients. All patients preferred capsule endoscopy.\nCONCLUSIONS: Capsule endoscopy is more effective in the evaluation of recurrence after surgery for Crohn's disease and is better tolerated than colonoscopy. This is of significant therapeutic relevance.","DOI":"10.1016/j.gie.2006.12.059","ISSN":"0016-5107","note":"PMID: 17725942","title-short":"Evaluation of postsurgical recurrence in Crohn's disease","journalAbbreviation":"Gastrointest. Endosc.","language":"eng","author":[{"family":"Pons Beltrán","given":"Vicente"},{"family":"Nos","given":"Pilar"},{"family":"Bastida","given":"Guillermo"},{"family":"Beltrán","given":"Belén"},{"family":"Argüello","given":"Lidia"},{"family":"Aguas","given":"Mariam"},{"family":"Rubín","given":"Angel"},{"family":"Pertejo","given":"Virginia"},{"family":"Sala","given":"Teresa"}],"issued":{"date-parts":[["2007",9]]}}}],"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[51]</w:t>
            </w:r>
            <w:r w:rsidRPr="00257F02">
              <w:rPr>
                <w:rFonts w:ascii="Book Antiqua" w:hAnsi="Book Antiqua"/>
                <w:lang w:val="en-US"/>
              </w:rPr>
              <w:fldChar w:fldCharType="end"/>
            </w:r>
            <w:r w:rsidRPr="00257F02">
              <w:rPr>
                <w:rFonts w:ascii="Book Antiqua" w:hAnsi="Book Antiqua"/>
                <w:lang w:val="en-US"/>
              </w:rPr>
              <w:t>, 2007</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24</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Resistance to medical treatment (21%)</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Stenosis (63%)</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Other (16%)</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(50%)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(38%)</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(100%)</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Median (range): 254 d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(118-439)</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proofErr w:type="spellStart"/>
            <w:r w:rsidRPr="00257F02">
              <w:rPr>
                <w:rFonts w:ascii="Book Antiqua" w:hAnsi="Book Antiqua"/>
                <w:color w:val="231F20"/>
                <w:lang w:val="en-US"/>
              </w:rPr>
              <w:t>Rutgeerts</w:t>
            </w:r>
            <w:proofErr w:type="spellEnd"/>
            <w:r w:rsidRPr="00257F02">
              <w:rPr>
                <w:rFonts w:ascii="Book Antiqua" w:hAnsi="Book Antiqua"/>
                <w:color w:val="231F20"/>
                <w:lang w:val="en-US"/>
              </w:rPr>
              <w:t xml:space="preserve"> score </w:t>
            </w:r>
            <w:r w:rsidRPr="00257F02">
              <w:rPr>
                <w:rFonts w:ascii="Book Antiqua" w:hAnsi="Book Antiqua"/>
                <w:lang w:val="en-US"/>
              </w:rPr>
              <w:t>≥i,2</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 (0%)</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r w:rsidRPr="00257F02">
              <w:rPr>
                <w:rFonts w:ascii="Book Antiqua" w:hAnsi="Book Antiqua"/>
                <w:lang w:val="en-US"/>
              </w:rPr>
              <w:t>:</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6/24 (25%)</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15/24 (63%)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Jejunal lesions (54%)</w:t>
            </w:r>
          </w:p>
        </w:tc>
      </w:tr>
      <w:tr w:rsidR="001D4918" w:rsidRPr="00257F02" w:rsidTr="005C39B1">
        <w:tc>
          <w:tcPr>
            <w:tcW w:w="0" w:type="auto"/>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Kono</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{"citationID":"dTu7hgeB","properties":{"formattedCitation":"\\super [52]\\nosupersub{}","plainCitation":"[52]","noteIndex":0},"citationItems":[{"id":2890,"uris":["http://zotero.org/users/3734960/items/TKAWBNUU"],"uri":["http://zotero.org/users/3734960/items/TKAWBNUU"],"itemData":{"id":2890,"type":"article-journal","title":"Prospective postsurgical capsule endoscopy in patients with Crohn's disease","container-title":"World Journal of Gastrointestinal Endoscopy","page":"88-98","volume":"6","issue":"3","source":"PubMed","abstract":"AIM: To clarify the usefulness of postsurgical capsule endoscopy (CE) in the diagnosis of recurrent small bowel lesions of Crohn's disease (CD).\nMETHODS: This prospective study included 19 patients who underwent ileocolectomy or partial ileal resection for CD. CE was performed 2-3 wk after surgery to check for the presence/absence and severity of lesions remaining in the small bowel, and for any recurrence at the anastomosed area. CE was repeated 6-8 mo after surgery and the findings were compared with those obtained shortly after surgery. The Lewis score (LS) was used to evaluate any inflammatory changes of the small bowel.\nRESULTS: One patient was excluded from analysis because of insufficient endoscopy data at the initial CE. The total LS shortly after surgery was 428.3 on average (median, 174; range, 8-4264), and was ≥ 135 (active stage) in 78% (14 of 18) of the patients. When the remaining unresected small bowel was divided into 3 equal portions according to the transition time (proximal, middle, and distal tertiles), the mean LS was 286.6, 83.0, and 146.7, respectively, without any significant difference. Ulcerous lesions in the anastomosed area were observed in 83% of all patients. In 38% of the 13 patients who could undergo CE again after 6-8 mo, the total LS was higher by ≥ 100 than that recorded shortly after surgery, thus indicating a diagnosis of endoscopic progressive recurrence.\nCONCLUSION: Our pilot study suggests that CE can be used to objectively evaluate the postoperative recurrence of small bowel lesions after surgery for CD.","DOI":"10.4253/wjge.v6.i3.88","ISSN":"1948-5190","note":"PMID: 24634713\nPMCID: PMC3952165","journalAbbreviation":"World J Gastrointest Endosc","language":"eng","author":[{"family":"Kono","given":"Tomoaki"},{"family":"Hida","given":"Nobuyuki"},{"family":"Nogami","given":"Koji"},{"family":"Iimuro","given":"Masaki"},{"family":"Ohda","given":"Yoshio"},{"family":"Yokoyama","given":"Yoko"},{"family":"Kamikozuru","given":"Koji"},{"family":"Tozawa","given":"Katsuyuki"},{"family":"Kawai","given":"Mikio"},{"family":"Ogawa","given":"Tomohiro"},{"family":"Hori","given":"Kazutoshi"},{"family":"Ikeuchi","given":"Hiroki"},{"family":"Miwa","given":"Hiroto"},{"family":"Nakamura","given":"Shiro"},{"family":"Matsumoto","given":"Takayuki"}],"issued":{"date-parts":[["2014",3,16]]}}}],"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lang w:val="en-US"/>
              </w:rPr>
              <w:t>[52]</w:t>
            </w:r>
            <w:r w:rsidRPr="00257F02">
              <w:rPr>
                <w:rFonts w:ascii="Book Antiqua" w:hAnsi="Book Antiqua"/>
                <w:lang w:val="en-US"/>
              </w:rPr>
              <w:fldChar w:fldCharType="end"/>
            </w:r>
            <w:r w:rsidRPr="00257F02">
              <w:rPr>
                <w:rFonts w:ascii="Book Antiqua" w:hAnsi="Book Antiqua"/>
                <w:lang w:val="en-US"/>
              </w:rPr>
              <w:t>, 2014</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19</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(11%)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(58%)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Prior resection (68%)</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(39%)</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Anti-TNF (61%)</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r w:rsidRPr="00257F02">
              <w:rPr>
                <w:rFonts w:ascii="Book Antiqua" w:hAnsi="Book Antiqua"/>
                <w:lang w:val="en-US"/>
              </w:rPr>
              <w:t xml:space="preserve"> at 6-8 mo.</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mean ± SD: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17.3 ± 5.6 d</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then</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216.9 ± 23.6 d</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Lewis score </w:t>
            </w:r>
            <w:r w:rsidRPr="00257F02">
              <w:rPr>
                <w:rFonts w:ascii="Book Antiqua" w:hAnsi="Book Antiqua"/>
                <w:lang w:val="en-US"/>
              </w:rPr>
              <w:t>≥</w:t>
            </w:r>
            <w:r>
              <w:rPr>
                <w:rFonts w:ascii="Book Antiqua" w:hAnsi="Book Antiqua"/>
                <w:lang w:val="en-US"/>
              </w:rPr>
              <w:t xml:space="preserve"> </w:t>
            </w:r>
            <w:r w:rsidRPr="00257F02">
              <w:rPr>
                <w:rFonts w:ascii="Book Antiqua" w:hAnsi="Book Antiqua"/>
                <w:lang w:val="en-US"/>
              </w:rPr>
              <w:t>135</w:t>
            </w:r>
            <w:r w:rsidRPr="00257F02">
              <w:rPr>
                <w:rFonts w:ascii="Book Antiqua" w:hAnsi="Book Antiqua"/>
                <w:color w:val="231F20"/>
                <w:lang w:val="en-US"/>
              </w:rPr>
              <w:t xml:space="preserve">, </w:t>
            </w:r>
            <w:r w:rsidRPr="002D7C2D">
              <w:rPr>
                <w:rFonts w:ascii="Book Antiqua" w:hAnsi="Book Antiqua"/>
                <w:i/>
                <w:iCs/>
                <w:color w:val="231F20"/>
                <w:lang w:val="en-US"/>
              </w:rPr>
              <w:t>n</w:t>
            </w:r>
            <w:r w:rsidRPr="00257F02">
              <w:rPr>
                <w:rFonts w:ascii="Book Antiqua" w:hAnsi="Book Antiqua"/>
                <w:color w:val="231F20"/>
                <w:lang w:val="en-US"/>
              </w:rPr>
              <w:t xml:space="preserve"> (%)</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and</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Mean (range)</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0 (0%)</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Week 2-3: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14/18</w:t>
            </w:r>
            <w:r>
              <w:rPr>
                <w:rFonts w:ascii="Book Antiqua" w:hAnsi="Book Antiqua"/>
                <w:vertAlign w:val="superscript"/>
                <w:lang w:val="en-US"/>
              </w:rPr>
              <w:t>3</w:t>
            </w:r>
            <w:r w:rsidRPr="00257F02">
              <w:rPr>
                <w:rFonts w:ascii="Book Antiqua" w:hAnsi="Book Antiqua"/>
                <w:lang w:val="en-US"/>
              </w:rPr>
              <w:t xml:space="preserve"> (78%)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428.3 (8-4264)</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6-8 mo.:</w:t>
            </w:r>
          </w:p>
          <w:p w:rsidR="001D4918" w:rsidRPr="00257F02" w:rsidRDefault="001D4918" w:rsidP="007742D4">
            <w:pPr>
              <w:spacing w:line="360" w:lineRule="auto"/>
              <w:jc w:val="both"/>
              <w:rPr>
                <w:rFonts w:ascii="Book Antiqua" w:hAnsi="Book Antiqua"/>
                <w:vertAlign w:val="superscript"/>
                <w:lang w:val="en-US"/>
              </w:rPr>
            </w:pPr>
            <w:r w:rsidRPr="00257F02">
              <w:rPr>
                <w:rFonts w:ascii="Book Antiqua" w:hAnsi="Book Antiqua"/>
                <w:lang w:val="en-US"/>
              </w:rPr>
              <w:t>9/13</w:t>
            </w:r>
            <w:r>
              <w:rPr>
                <w:rFonts w:ascii="Book Antiqua" w:hAnsi="Book Antiqua"/>
                <w:vertAlign w:val="superscript"/>
                <w:lang w:val="en-US"/>
              </w:rPr>
              <w:t>4</w:t>
            </w:r>
            <w:r w:rsidRPr="00257F02">
              <w:rPr>
                <w:rFonts w:ascii="Book Antiqua" w:hAnsi="Book Antiqua"/>
                <w:vertAlign w:val="superscript"/>
                <w:lang w:val="en-US"/>
              </w:rPr>
              <w:t xml:space="preserve"> </w:t>
            </w:r>
            <w:r w:rsidRPr="00257F02">
              <w:rPr>
                <w:rFonts w:ascii="Book Antiqua" w:hAnsi="Book Antiqua"/>
                <w:lang w:val="en-US"/>
              </w:rPr>
              <w:t xml:space="preserve">(69%) </w:t>
            </w:r>
            <w:r w:rsidRPr="007345E0">
              <w:rPr>
                <w:rFonts w:ascii="Book Antiqua" w:hAnsi="Book Antiqua"/>
                <w:i/>
                <w:iCs/>
                <w:lang w:val="en-US"/>
              </w:rPr>
              <w:t>vs</w:t>
            </w:r>
            <w:r w:rsidRPr="00257F02">
              <w:rPr>
                <w:rFonts w:ascii="Book Antiqua" w:hAnsi="Book Antiqua"/>
                <w:lang w:val="en-US"/>
              </w:rPr>
              <w:t xml:space="preserve"> 3/6 (50%) at colonoscopy</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196.1 (8-450)</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5/13 (38%) with LS higher by ≥</w:t>
            </w:r>
            <w:r>
              <w:rPr>
                <w:rFonts w:ascii="Book Antiqua" w:hAnsi="Book Antiqua"/>
                <w:lang w:val="en-US"/>
              </w:rPr>
              <w:t xml:space="preserve"> </w:t>
            </w:r>
            <w:r w:rsidRPr="00257F02">
              <w:rPr>
                <w:rFonts w:ascii="Book Antiqua" w:hAnsi="Book Antiqua"/>
                <w:lang w:val="en-US"/>
              </w:rPr>
              <w:t>100 than shortly after surgery</w:t>
            </w:r>
          </w:p>
        </w:tc>
      </w:tr>
      <w:tr w:rsidR="001D4918" w:rsidRPr="00257F02" w:rsidTr="005C39B1">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lastRenderedPageBreak/>
              <w:t xml:space="preserve">Hausmann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{"citationID":"jdCkAHfd","properties":{"formattedCitation":"\\super [53]\\nosupersub{}","plainCitation":"[53]","noteIndex":0},"citationItems":[{"id":2678,"uris":["http://zotero.org/users/3734960/items/Q7CPENIU"],"uri":["http://zotero.org/users/3734960/items/Q7CPENIU"],"itemData":{"id":2678,"type":"article-journal","title":"Pan-intestinal capsule endoscopy in patients with postoperative Crohn's disease: a pilot study","container-title":"Scandinavian Journal of Gastroenterology","page":"840-845","volume":"52","issue":"8","source":"PubMed","abstract":"BACKGROUND: Patients are at increased risk of disease recurrence after surgical treatment of Crohn's disease. Endoscopic detection of postoperative, ileo-colonic inflammation is well established, but the potential of pan-intestinal endoscopy is yet unknown.\nMETHODS: This prospective multicenter pilot study assessed the value of pan-intestinal capsule endoscopy using a colon capsule endoscope for the detection of inflammatory recurrence of Crohn´s disease. Patients who had been operatively treated for Crohn´s disease were included. Colon capsule endoscopy was performed 4-8 weeks (d1) and 4-8 months (d2) postoperatively together with ileo-colonoscopy at d2 using a modified Ruttgeerts index for evaluating disease activity.\nRESULTS: Twenty-two patients were included into this study. At d1, significant disease activity (Ruttgeerts index ≥2) was detected in 3/16 (19%) of the patients. At d2, half of the patients (6/12) showed active disease, whereas ileo-colonoscopy revealed significant inflammation in 5/15 (33%). All patients rated as having active disease by ileo-colonoscopy had been revealed by PICE as well. These findings influenced the medical treatment in every case.\nCONCLUSION: Pan-intestinal capsule endoscopy seems to be feasible in the postoperative surveillance of Crohn's disease. Disease activity is reliably detected. Especially, the findings in the small bowl might be a significant advantage in comparison to ileo-colonoscopy, as they can have significant impact on clinical management. Further studies with a larger number of patients are needed to confirm these findings and might lead to a replacement of the flexible ileo-colonoscopy with pan-intestinal capsule endoscopy in this indication in the future.","DOI":"10.1080/00365521.2017.1310289","ISSN":"1502-7708","note":"PMID: 28431493","title-short":"Pan-intestinal capsule endoscopy in patients with postoperative Crohn's disease","journalAbbreviation":"Scand. J. Gastroenterol.","language":"eng","author":[{"family":"Hausmann","given":"Johannes"},{"family":"Schmelz","given":"Renate"},{"family":"Walldorf","given":"Jens"},{"family":"Filmann","given":"Natalie"},{"family":"Zeuzem","given":"Stefan"},{"family":"Albert","given":"Jörg G."}],"issued":{"date-parts":[["2017",8]]}}}],"schema":"https://github.com/citation-style-language/schema/raw/master/csl-citation.json"}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[53]</w:t>
            </w:r>
            <w:r w:rsidRPr="00257F02">
              <w:rPr>
                <w:rFonts w:ascii="Book Antiqua" w:hAnsi="Book Antiqua"/>
                <w:lang w:val="en-US"/>
              </w:rPr>
              <w:fldChar w:fldCharType="end"/>
            </w:r>
            <w:r w:rsidRPr="00257F02">
              <w:rPr>
                <w:rFonts w:ascii="Book Antiqua" w:hAnsi="Book Antiqua"/>
                <w:lang w:val="en-US"/>
              </w:rPr>
              <w:t>, 2017</w:t>
            </w:r>
            <w:r>
              <w:rPr>
                <w:rFonts w:ascii="Book Antiqua" w:hAnsi="Book Antiqua"/>
                <w:vertAlign w:val="superscript"/>
                <w:lang w:val="en-US"/>
              </w:rPr>
              <w:t>5</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22</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(18%)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Prior resection (50%)</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(76%)</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Azathioprine (6%)</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Adalimumab (18%)</w:t>
            </w: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r w:rsidRPr="00257F02">
              <w:rPr>
                <w:rFonts w:ascii="Book Antiqua" w:hAnsi="Book Antiqua"/>
                <w:lang w:val="en-US"/>
              </w:rPr>
              <w:t xml:space="preserve"> at 4-8 mo.</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Mean (range):</w:t>
            </w:r>
          </w:p>
          <w:p w:rsidR="001D4918" w:rsidRPr="00257F02" w:rsidRDefault="001D4918" w:rsidP="007742D4">
            <w:pPr>
              <w:autoSpaceDE w:val="0"/>
              <w:autoSpaceDN w:val="0"/>
              <w:adjustRightInd w:val="0"/>
              <w:spacing w:line="360" w:lineRule="auto"/>
              <w:jc w:val="both"/>
              <w:rPr>
                <w:rFonts w:ascii="Book Antiqua" w:hAnsi="Book Antiqua" w:cs="AdvOT46dcae81"/>
                <w:lang w:val="en-US"/>
              </w:rPr>
            </w:pPr>
            <w:r w:rsidRPr="00257F02">
              <w:rPr>
                <w:rFonts w:ascii="Book Antiqua" w:hAnsi="Book Antiqua" w:cs="AdvOT46dcae81"/>
                <w:lang w:val="en-US"/>
              </w:rPr>
              <w:t>57.5 (34</w:t>
            </w:r>
            <w:r w:rsidRPr="00257F02">
              <w:rPr>
                <w:rFonts w:ascii="Book Antiqua" w:hAnsi="Book Antiqua" w:cs="AdvOT46dcae81+20"/>
                <w:lang w:val="en-US"/>
              </w:rPr>
              <w:t>–</w:t>
            </w:r>
            <w:r w:rsidRPr="00257F02">
              <w:rPr>
                <w:rFonts w:ascii="Book Antiqua" w:hAnsi="Book Antiqua" w:cs="AdvOT46dcae81"/>
                <w:lang w:val="en-US"/>
              </w:rPr>
              <w:t>83) 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then </w:t>
            </w:r>
          </w:p>
          <w:p w:rsidR="001D4918" w:rsidRPr="00257F02" w:rsidRDefault="001D4918" w:rsidP="007742D4">
            <w:pPr>
              <w:spacing w:line="360" w:lineRule="auto"/>
              <w:jc w:val="both"/>
              <w:rPr>
                <w:rFonts w:ascii="Book Antiqua" w:hAnsi="Book Antiqua"/>
                <w:lang w:val="en-US"/>
              </w:rPr>
            </w:pPr>
            <w:r w:rsidRPr="00257F02">
              <w:rPr>
                <w:rFonts w:ascii="Book Antiqua" w:hAnsi="Book Antiqua" w:cs="AdvOT46dcae81"/>
                <w:lang w:val="en-US"/>
              </w:rPr>
              <w:t>220 (159</w:t>
            </w:r>
            <w:r w:rsidRPr="00257F02">
              <w:rPr>
                <w:rFonts w:ascii="Book Antiqua" w:hAnsi="Book Antiqua" w:cs="AdvOT46dcae81+20"/>
                <w:lang w:val="en-US"/>
              </w:rPr>
              <w:t>–</w:t>
            </w:r>
            <w:r w:rsidRPr="00257F02">
              <w:rPr>
                <w:rFonts w:ascii="Book Antiqua" w:hAnsi="Book Antiqua" w:cs="AdvOT46dcae81"/>
                <w:lang w:val="en-US"/>
              </w:rPr>
              <w:t>322) d</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Modified </w:t>
            </w:r>
            <w:proofErr w:type="spellStart"/>
            <w:r w:rsidRPr="00257F02">
              <w:rPr>
                <w:rFonts w:ascii="Book Antiqua" w:hAnsi="Book Antiqua"/>
                <w:color w:val="231F20"/>
                <w:lang w:val="en-US"/>
              </w:rPr>
              <w:t>Rutgeerts</w:t>
            </w:r>
            <w:proofErr w:type="spellEnd"/>
            <w:r w:rsidRPr="00257F02">
              <w:rPr>
                <w:rFonts w:ascii="Book Antiqua" w:hAnsi="Book Antiqua"/>
                <w:color w:val="231F20"/>
                <w:lang w:val="en-US"/>
              </w:rPr>
              <w:t xml:space="preserve"> score </w:t>
            </w:r>
            <w:r w:rsidRPr="00257F02">
              <w:rPr>
                <w:rFonts w:ascii="Book Antiqua" w:hAnsi="Book Antiqua"/>
                <w:lang w:val="en-US"/>
              </w:rPr>
              <w:t>≥i,2</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Week 4-8:</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3/16</w:t>
            </w:r>
            <w:r>
              <w:rPr>
                <w:rFonts w:ascii="Book Antiqua" w:hAnsi="Book Antiqua"/>
                <w:vertAlign w:val="superscript"/>
                <w:lang w:val="en-US"/>
              </w:rPr>
              <w:t>6</w:t>
            </w:r>
            <w:r w:rsidRPr="00257F02">
              <w:rPr>
                <w:rFonts w:ascii="Book Antiqua" w:hAnsi="Book Antiqua"/>
                <w:lang w:val="en-US"/>
              </w:rPr>
              <w:t xml:space="preserve"> (19%)</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4-8 mo.:</w:t>
            </w:r>
            <w:r w:rsidRPr="00257F02">
              <w:rPr>
                <w:rFonts w:ascii="Book Antiqua" w:hAnsi="Book Antiqua" w:cs="AdvOT46dcae81"/>
                <w:vertAlign w:val="superscript"/>
                <w:lang w:val="en-US"/>
              </w:rPr>
              <w:t xml:space="preserve"> </w:t>
            </w:r>
            <w:r>
              <w:rPr>
                <w:rFonts w:ascii="Book Antiqua" w:hAnsi="Book Antiqua" w:cs="AdvOT46dcae81"/>
                <w:vertAlign w:val="superscript"/>
                <w:lang w:val="en-US"/>
              </w:rPr>
              <w:t>7</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6/12 (50%) </w:t>
            </w:r>
            <w:r w:rsidRPr="007345E0">
              <w:rPr>
                <w:rFonts w:ascii="Book Antiqua" w:hAnsi="Book Antiqua"/>
                <w:i/>
                <w:iCs/>
                <w:lang w:val="en-US"/>
              </w:rPr>
              <w:t>vs</w:t>
            </w:r>
            <w:r w:rsidRPr="00257F02">
              <w:rPr>
                <w:rFonts w:ascii="Book Antiqua" w:hAnsi="Book Antiqua"/>
                <w:lang w:val="en-US"/>
              </w:rPr>
              <w:t xml:space="preserve"> 5/15 (33%) at colonoscopy</w:t>
            </w:r>
          </w:p>
        </w:tc>
      </w:tr>
      <w:tr w:rsidR="001D4918" w:rsidRPr="00257F02" w:rsidTr="005C39B1">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Han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{"citationID":"A4wFW0lm","properties":{"formattedCitation":"\\super [54]\\nosupersub{}","plainCitation":"[54]","noteIndex":0},"citationItems":[{"id":2679,"uris":["http://zotero.org/users/3734960/items/DBFITEDG"],"uri":["http://zotero.org/users/3734960/items/DBFITEDG"],"itemData":{"id":2679,"type":"article-journal","title":"Impact of capsule endoscopy on prevention of postoperative recurrence of Crohn's disease","container-title":"Gastrointestinal Endoscopy","page":"1489-1498","volume":"87","issue":"6","source":"PubMed","abstract":"BACKGROUND AND AIMS: Capsule endoscopy (CE) can detect lesions outside the scope of ileocolonoscopy in postoperative patients with Crohn's disease (CD). However, the impact of such findings on patient outcomes remains unknown. This study is intended to evaluate the impact of CE findings on clinical management and outcomes in asymptomatic patients with CD without pharmacologic prophylaxis after ileocolonic resection.\nMETHODS: In this retrospective cohort study, 37 patients (group 1) received ileocolonoscopy together with CE within 1 year after surgery, whereas 46 patients (group 2) only received ileocolonoscopy. Patients with endoscopic recurrence detected by either ileocolonoscopy or CE received pharmacologic therapy with azathioprine or infliximab. One year later, disease activity was re-evaluated.\nRESULTS: In group 1, all patients with ileocolonoscopy-identified recurrence also had CE-identified recurrence. In addition, CE detected endoscopic recurrence in 11 patients missed by ileocolonoscopy. Endoscopic remission identified by ileocolonoscopy was confirmed by CE in 13 patients. One year later, endoscopic remission identified by ileocolonoscopy was maintained in all 24 patients, and none had clinical recurrence. Conversely, in group 2, of those with ileocolonoscopy-identified remission, both ileocolonoscopy-identified recurrence and clinical recurrence occurred in 9 of 31 patients 1 year later. The total clinical recurrence rate was 2.7% (1/37) in group 1 versus 21.7% (10/46) in group 2 (P = .019).\nCONCLUSIONS: If endoscopic remission identified by ileocolonoscopy was confirmed by CE, patients could remain free of pharmacologic prophylaxis. If recurrence outside the scope of ileocolonoscopy was detected by CE, initiation of active pharmacologic therapy would be needed.","DOI":"10.1016/j.gie.2018.01.017","ISSN":"1097-6779","note":"PMID: 29355520","journalAbbreviation":"Gastrointest. Endosc.","language":"eng","author":[{"family":"Han","given":"Ze-Min"},{"family":"Qiao","given":"Wei-Guang"},{"family":"Ai","given":"Xiu-Yun"},{"family":"Li","given":"Ai-Min"},{"family":"Chen","given":"Zhen-Yu"},{"family":"Feng","given":"Xi-Cheng"},{"family":"Zhang","given":"Jie"},{"family":"Wan","given":"Tian-Mo"},{"family":"Xu","given":"Zhi-Min"},{"family":"Bai","given":"Yang"},{"family":"Li","given":"Ming-Song"},{"family":"Liu","given":"Si-de"},{"family":"Zhi","given":"Fa-Chao"}],"issued":{"date-parts":[["2018",6]]}}}],"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[54]</w:t>
            </w:r>
            <w:r w:rsidRPr="00257F02">
              <w:rPr>
                <w:rFonts w:ascii="Book Antiqua" w:hAnsi="Book Antiqua"/>
                <w:lang w:val="en-US"/>
              </w:rPr>
              <w:fldChar w:fldCharType="end"/>
            </w:r>
            <w:r w:rsidRPr="00257F02">
              <w:rPr>
                <w:rFonts w:ascii="Book Antiqua" w:hAnsi="Book Antiqua"/>
                <w:lang w:val="en-US"/>
              </w:rPr>
              <w:t>, 2018</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Retrospective, blinded</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83</w:t>
            </w: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Resistance to medical treatment (24.3%)</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Stenosis (75.7%)</w:t>
            </w:r>
          </w:p>
          <w:p w:rsidR="001D4918" w:rsidRPr="00257F02" w:rsidRDefault="001D4918" w:rsidP="007742D4">
            <w:pPr>
              <w:autoSpaceDE w:val="0"/>
              <w:autoSpaceDN w:val="0"/>
              <w:adjustRightInd w:val="0"/>
              <w:spacing w:line="360" w:lineRule="auto"/>
              <w:jc w:val="both"/>
              <w:rPr>
                <w:rFonts w:ascii="Book Antiqua" w:hAnsi="Book Antiqua"/>
                <w:lang w:val="en-US"/>
              </w:rPr>
            </w:pPr>
          </w:p>
        </w:tc>
        <w:tc>
          <w:tcPr>
            <w:tcW w:w="0" w:type="auto"/>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None (100%)</w:t>
            </w:r>
          </w:p>
        </w:tc>
        <w:tc>
          <w:tcPr>
            <w:tcW w:w="0" w:type="auto"/>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(100%) before date 1</w:t>
            </w:r>
          </w:p>
          <w:p w:rsidR="001D4918" w:rsidRPr="00257F02" w:rsidRDefault="001D4918" w:rsidP="007742D4">
            <w:pPr>
              <w:autoSpaceDE w:val="0"/>
              <w:autoSpaceDN w:val="0"/>
              <w:adjustRightInd w:val="0"/>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After date 1 if POR:</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None (53.1%)</w:t>
            </w:r>
          </w:p>
          <w:p w:rsidR="001D4918" w:rsidRPr="00257F02" w:rsidRDefault="001D4918" w:rsidP="007742D4">
            <w:pPr>
              <w:autoSpaceDE w:val="0"/>
              <w:autoSpaceDN w:val="0"/>
              <w:adjustRightInd w:val="0"/>
              <w:spacing w:line="360" w:lineRule="auto"/>
              <w:jc w:val="both"/>
              <w:rPr>
                <w:rFonts w:ascii="Book Antiqua" w:hAnsi="Book Antiqua" w:cs="AdvOTdc5ff126"/>
                <w:lang w:val="en-US"/>
              </w:rPr>
            </w:pPr>
            <w:r w:rsidRPr="00257F02">
              <w:rPr>
                <w:rFonts w:ascii="Book Antiqua" w:hAnsi="Book Antiqua" w:cs="AdvOTdc5ff126"/>
                <w:lang w:val="en-US"/>
              </w:rPr>
              <w:t>Azathioprine (21.6%) In</w:t>
            </w:r>
            <w:r w:rsidRPr="00257F02">
              <w:rPr>
                <w:rFonts w:ascii="Book Antiqua" w:hAnsi="Book Antiqua" w:cs="AdvOTdc5ff126+fb"/>
                <w:lang w:val="en-US"/>
              </w:rPr>
              <w:t>fl</w:t>
            </w:r>
            <w:r w:rsidRPr="00257F02">
              <w:rPr>
                <w:rFonts w:ascii="Book Antiqua" w:hAnsi="Book Antiqua" w:cs="AdvOTdc5ff126"/>
                <w:lang w:val="en-US"/>
              </w:rPr>
              <w:t>iximab</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cs="AdvOTdc5ff126"/>
                <w:lang w:val="en-US"/>
              </w:rPr>
              <w:t>(25.3%)</w:t>
            </w:r>
          </w:p>
          <w:p w:rsidR="001D4918" w:rsidRPr="00257F02" w:rsidRDefault="001D4918" w:rsidP="007742D4">
            <w:pPr>
              <w:autoSpaceDE w:val="0"/>
              <w:autoSpaceDN w:val="0"/>
              <w:adjustRightInd w:val="0"/>
              <w:spacing w:line="360" w:lineRule="auto"/>
              <w:jc w:val="both"/>
              <w:rPr>
                <w:rFonts w:ascii="Book Antiqua" w:hAnsi="Book Antiqua"/>
                <w:lang w:val="en-US"/>
              </w:rPr>
            </w:pPr>
          </w:p>
        </w:tc>
        <w:tc>
          <w:tcPr>
            <w:tcW w:w="143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Group 1 (37/83): </w:t>
            </w:r>
            <w:proofErr w:type="spellStart"/>
            <w:r w:rsidRPr="00257F02">
              <w:rPr>
                <w:rFonts w:ascii="Book Antiqua" w:hAnsi="Book Antiqua"/>
                <w:lang w:val="en-US"/>
              </w:rPr>
              <w:t>ileocolono-scopy</w:t>
            </w:r>
            <w:proofErr w:type="spellEnd"/>
            <w:r w:rsidRPr="00257F02">
              <w:rPr>
                <w:rFonts w:ascii="Book Antiqua" w:hAnsi="Book Antiqua"/>
                <w:lang w:val="en-US"/>
              </w:rPr>
              <w:t xml:space="preserve"> + CE (date 1) then repeat colonoscopy (date 2)</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(46/83):</w:t>
            </w:r>
          </w:p>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t>ileocolono-scopy</w:t>
            </w:r>
            <w:proofErr w:type="spellEnd"/>
            <w:r w:rsidRPr="00257F02">
              <w:rPr>
                <w:rFonts w:ascii="Book Antiqua" w:hAnsi="Book Antiqua"/>
                <w:lang w:val="en-US"/>
              </w:rPr>
              <w:t xml:space="preserve"> (date 1 and 2) </w:t>
            </w:r>
          </w:p>
        </w:tc>
        <w:tc>
          <w:tcPr>
            <w:tcW w:w="1602"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3-7 mo. after surgery</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 year after date 1</w:t>
            </w:r>
          </w:p>
        </w:tc>
        <w:tc>
          <w:tcPr>
            <w:tcW w:w="1416" w:type="dxa"/>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proofErr w:type="spellStart"/>
            <w:r w:rsidRPr="00257F02">
              <w:rPr>
                <w:rFonts w:ascii="Book Antiqua" w:hAnsi="Book Antiqua"/>
                <w:color w:val="231F20"/>
                <w:lang w:val="en-US"/>
              </w:rPr>
              <w:t>Rutgeerts</w:t>
            </w:r>
            <w:proofErr w:type="spellEnd"/>
            <w:r w:rsidRPr="00257F02">
              <w:rPr>
                <w:rFonts w:ascii="Book Antiqua" w:hAnsi="Book Antiqua"/>
                <w:color w:val="231F20"/>
                <w:lang w:val="en-US"/>
              </w:rPr>
              <w:t xml:space="preserve"> score </w:t>
            </w:r>
            <w:r w:rsidRPr="00257F02">
              <w:rPr>
                <w:rFonts w:ascii="Book Antiqua" w:hAnsi="Book Antiqua"/>
                <w:lang w:val="en-US"/>
              </w:rPr>
              <w:t>≥i,2 in the terminal ileum</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or &gt;5 aphthous lesions in proximal SB</w:t>
            </w:r>
          </w:p>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lang w:val="en-US"/>
              </w:rPr>
              <w:t>or ulcers in proximal SB</w:t>
            </w:r>
          </w:p>
        </w:tc>
        <w:tc>
          <w:tcPr>
            <w:tcW w:w="1304"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1/37 (2.7%)</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10/46 (21.7%)</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7345E0">
              <w:rPr>
                <w:rFonts w:ascii="Book Antiqua" w:hAnsi="Book Antiqua"/>
                <w:i/>
                <w:iCs/>
                <w:lang w:val="en-US"/>
              </w:rPr>
              <w:t xml:space="preserve">P = </w:t>
            </w:r>
            <w:r w:rsidRPr="00257F02">
              <w:rPr>
                <w:rFonts w:ascii="Book Antiqua" w:hAnsi="Book Antiqua"/>
                <w:b/>
                <w:lang w:val="en-US"/>
              </w:rPr>
              <w:t>0.019</w:t>
            </w:r>
          </w:p>
        </w:tc>
        <w:tc>
          <w:tcPr>
            <w:tcW w:w="2270"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1:</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Group 1: 13/37 (35.1%) at IC </w:t>
            </w:r>
            <w:r w:rsidRPr="007345E0">
              <w:rPr>
                <w:rFonts w:ascii="Book Antiqua" w:hAnsi="Book Antiqua"/>
                <w:i/>
                <w:iCs/>
                <w:lang w:val="en-US"/>
              </w:rPr>
              <w:t>vs</w:t>
            </w:r>
            <w:r w:rsidRPr="00257F02">
              <w:rPr>
                <w:rFonts w:ascii="Book Antiqua" w:hAnsi="Book Antiqua"/>
                <w:lang w:val="en-US"/>
              </w:rPr>
              <w:t xml:space="preserve"> 24/37 (64.9%) at CE</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 15/46 (32.6%) at IC</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r w:rsidRPr="007345E0">
              <w:rPr>
                <w:rFonts w:ascii="Book Antiqua" w:hAnsi="Book Antiqua"/>
                <w:i/>
                <w:iCs/>
                <w:lang w:val="en-US"/>
              </w:rPr>
              <w:t xml:space="preserve">P = </w:t>
            </w:r>
            <w:r w:rsidRPr="00257F02">
              <w:rPr>
                <w:rFonts w:ascii="Book Antiqua" w:hAnsi="Book Antiqua"/>
                <w:lang w:val="en-US"/>
              </w:rPr>
              <w:t>0.809)</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Date 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1: 8/37 (21.6%)</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Group 2: 20/46 (43.5%)</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r w:rsidRPr="007345E0">
              <w:rPr>
                <w:rFonts w:ascii="Book Antiqua" w:hAnsi="Book Antiqua"/>
                <w:i/>
                <w:iCs/>
                <w:lang w:val="en-US"/>
              </w:rPr>
              <w:t xml:space="preserve">P = </w:t>
            </w:r>
            <w:r w:rsidRPr="00257F02">
              <w:rPr>
                <w:rFonts w:ascii="Book Antiqua" w:hAnsi="Book Antiqua"/>
                <w:b/>
                <w:lang w:val="en-US"/>
              </w:rPr>
              <w:t>0.036</w:t>
            </w:r>
            <w:r w:rsidRPr="00257F02">
              <w:rPr>
                <w:rFonts w:ascii="Book Antiqua" w:hAnsi="Book Antiqua"/>
                <w:lang w:val="en-US"/>
              </w:rPr>
              <w:t>)</w:t>
            </w:r>
          </w:p>
        </w:tc>
      </w:tr>
      <w:tr w:rsidR="001D4918" w:rsidRPr="00257F02" w:rsidTr="005C39B1">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proofErr w:type="spellStart"/>
            <w:r w:rsidRPr="00257F02">
              <w:rPr>
                <w:rFonts w:ascii="Book Antiqua" w:hAnsi="Book Antiqua"/>
                <w:lang w:val="en-US"/>
              </w:rPr>
              <w:lastRenderedPageBreak/>
              <w:t>Kusaka</w:t>
            </w:r>
            <w:proofErr w:type="spellEnd"/>
            <w:r w:rsidRPr="00257F02">
              <w:rPr>
                <w:rFonts w:ascii="Book Antiqua" w:hAnsi="Book Antiqua"/>
                <w:lang w:val="en-US"/>
              </w:rPr>
              <w:t xml:space="preserve"> </w:t>
            </w:r>
            <w:r w:rsidRPr="00583FDF">
              <w:rPr>
                <w:rFonts w:ascii="Book Antiqua" w:hAnsi="Book Antiqua"/>
                <w:i/>
                <w:iCs/>
                <w:lang w:val="en-US"/>
              </w:rPr>
              <w:t>et al</w:t>
            </w:r>
            <w:r w:rsidRPr="00257F02">
              <w:rPr>
                <w:rFonts w:ascii="Book Antiqua" w:hAnsi="Book Antiqua"/>
                <w:lang w:val="en-US"/>
              </w:rPr>
              <w:fldChar w:fldCharType="begin"/>
            </w:r>
            <w:r w:rsidRPr="00257F02">
              <w:rPr>
                <w:rFonts w:ascii="Book Antiqua" w:hAnsi="Book Antiqua"/>
                <w:lang w:val="en-US"/>
              </w:rPr>
              <w:instrText xml:space="preserve"> ADDIN ZOTERO_ITEM CSL_CITATION {"citationID":"J2u3gqsc","properties":{"formattedCitation":"\\super [55]\\nosupersub{}","plainCitation":"[55]","noteIndex":0},"citationItems":[{"id":2669,"uris":["http://zotero.org/users/3734960/items/CV83RQSL"],"uri":["http://zotero.org/users/3734960/items/CV83RQSL"],"itemData":{"id":2669,"type":"article-journal","title":"Residual Lesions on Capsule Endoscopy Is Associated with Postoperative Clinical Recurrence in Patients with Crohn's Disease","container-title":"Digestive Diseases and Sciences","page":"768-774","volume":"63","issue":"3","source":"PubMed","abstract":"BACKGROUND: In order to optimize postoperative therapy in patients with Crohn's disease (CD), it is important to detect endoscopic recurrence preceding clinical recurrence. However, we have little knowledge about how high the rate of residual lesions is and whether these lesions have an influence on postoperative course or not.\nAIMS: To assess residual lesions in small bowel immediately after surgery.\nMETHODS: Capsule endoscopy (CE) was performed immediately after surgery (&lt; 3 months), and endoscopic activity was assessed using the Lewis score (LS) composed of the highest tertile score (in first, second, and third tertile) and the stenosis score (in whole small intestine). The relationship between these residual lesions and postoperative clinical recurrence was prospectively evaluated.\nRESULTS: After assessing patency using a patency capsule, CE was performed in 25 patients. The mean LS was 751.3, and 84.0% (21/25) had endoscopic activity. These lesions were detected by preoperative examinations in 0% and by a serosal side view during surgery in 16.0%. Regarding the cumulative clinical recurrence rate according to endoscopic severity (normal, mild, and moderate-to-severe) immediately after surgery, no significant difference was found. However, comparing groups divided according to the highest tertile score, the cumulative clinical recurrence rate was significantly higher in the group with the highest third tertile score. Furthermore, patients with ulcers in the third tertile had a significantly higher recurrence rate.\nCONCLUSIONS: Many cases with CD had endoscopic activity immediately after \"curative\" surgery. These residual lesions, especially in the distal small intestine, were associated with postoperative clinical recurrence.","DOI":"10.1007/s10620-018-4942-6","ISSN":"1573-2568","note":"PMID: 29380174","journalAbbreviation":"Dig. Dis. Sci.","language":"eng","author":[{"family":"Kusaka","given":"Jun"},{"family":"Shiga","given":"Hisashi"},{"family":"Kuroha","given":"Masatake"},{"family":"Kimura","given":"Tomoya"},{"family":"Kakuta","given":"Yoichi"},{"family":"Endo","given":"Katsuya"},{"family":"Kinouchi","given":"Yoshitaka"},{"family":"Shimosegawa","given":"Tooru"}],"issued":{"date-parts":[["2018",3]]}}}],"schema":"https://github.com/citation-style-language/schema/raw/master/csl-citation.json"} </w:instrText>
            </w:r>
            <w:r w:rsidRPr="00257F02">
              <w:rPr>
                <w:rFonts w:ascii="Book Antiqua" w:hAnsi="Book Antiqua"/>
                <w:lang w:val="en-US"/>
              </w:rPr>
              <w:fldChar w:fldCharType="separate"/>
            </w:r>
            <w:r w:rsidRPr="00257F02">
              <w:rPr>
                <w:rFonts w:ascii="Book Antiqua" w:hAnsi="Book Antiqua"/>
                <w:vertAlign w:val="superscript"/>
              </w:rPr>
              <w:t>[55]</w:t>
            </w:r>
            <w:r w:rsidRPr="00257F02">
              <w:rPr>
                <w:rFonts w:ascii="Book Antiqua" w:hAnsi="Book Antiqua"/>
                <w:lang w:val="en-US"/>
              </w:rPr>
              <w:fldChar w:fldCharType="end"/>
            </w:r>
            <w:r w:rsidRPr="00257F02">
              <w:rPr>
                <w:rFonts w:ascii="Book Antiqua" w:hAnsi="Book Antiqua"/>
                <w:lang w:val="en-US"/>
              </w:rPr>
              <w:t>, 2018</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Prospective</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25</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0" w:type="auto"/>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Smoking (22%)</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Penetrating phenotype (7%)</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Prior resection (48%)</w:t>
            </w:r>
          </w:p>
        </w:tc>
        <w:tc>
          <w:tcPr>
            <w:tcW w:w="0" w:type="auto"/>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5-ASA (96%)</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Elemental diet (30%)</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IS (19%)</w:t>
            </w: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Anti-TNF (59%)</w:t>
            </w:r>
            <w:r>
              <w:rPr>
                <w:rFonts w:ascii="Book Antiqua" w:hAnsi="Book Antiqua" w:cs="AdvOT46dcae81"/>
                <w:vertAlign w:val="superscript"/>
                <w:lang w:val="en-US"/>
              </w:rPr>
              <w:t>8</w:t>
            </w:r>
          </w:p>
        </w:tc>
        <w:tc>
          <w:tcPr>
            <w:tcW w:w="1432"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w:t>
            </w:r>
          </w:p>
        </w:tc>
        <w:tc>
          <w:tcPr>
            <w:tcW w:w="1602"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&lt;</w:t>
            </w:r>
            <w:r>
              <w:rPr>
                <w:rFonts w:ascii="Book Antiqua" w:hAnsi="Book Antiqua"/>
                <w:lang w:val="en-US"/>
              </w:rPr>
              <w:t xml:space="preserve"> </w:t>
            </w:r>
            <w:r w:rsidRPr="00257F02">
              <w:rPr>
                <w:rFonts w:ascii="Book Antiqua" w:hAnsi="Book Antiqua"/>
                <w:lang w:val="en-US"/>
              </w:rPr>
              <w:t xml:space="preserve">3 </w:t>
            </w:r>
            <w:proofErr w:type="spellStart"/>
            <w:r w:rsidRPr="00257F02">
              <w:rPr>
                <w:rFonts w:ascii="Book Antiqua" w:hAnsi="Book Antiqua"/>
                <w:lang w:val="en-US"/>
              </w:rPr>
              <w:t>mo</w:t>
            </w:r>
            <w:proofErr w:type="spellEnd"/>
          </w:p>
        </w:tc>
        <w:tc>
          <w:tcPr>
            <w:tcW w:w="1416" w:type="dxa"/>
            <w:tcBorders>
              <w:bottom w:val="single" w:sz="4" w:space="0" w:color="auto"/>
            </w:tcBorders>
            <w:shd w:val="clear" w:color="auto" w:fill="auto"/>
          </w:tcPr>
          <w:p w:rsidR="001D4918" w:rsidRPr="00257F02" w:rsidRDefault="001D4918" w:rsidP="007742D4">
            <w:pPr>
              <w:autoSpaceDE w:val="0"/>
              <w:autoSpaceDN w:val="0"/>
              <w:adjustRightInd w:val="0"/>
              <w:spacing w:line="360" w:lineRule="auto"/>
              <w:jc w:val="both"/>
              <w:rPr>
                <w:rFonts w:ascii="Book Antiqua" w:hAnsi="Book Antiqua"/>
                <w:color w:val="231F20"/>
                <w:lang w:val="en-US"/>
              </w:rPr>
            </w:pPr>
            <w:r w:rsidRPr="00257F02">
              <w:rPr>
                <w:rFonts w:ascii="Book Antiqua" w:hAnsi="Book Antiqua"/>
                <w:color w:val="231F20"/>
                <w:lang w:val="en-US"/>
              </w:rPr>
              <w:t xml:space="preserve">Lewis score </w:t>
            </w:r>
            <w:r w:rsidRPr="00257F02">
              <w:rPr>
                <w:rFonts w:ascii="Book Antiqua" w:hAnsi="Book Antiqua"/>
                <w:lang w:val="en-US"/>
              </w:rPr>
              <w:t>≥135</w:t>
            </w:r>
          </w:p>
        </w:tc>
        <w:tc>
          <w:tcPr>
            <w:tcW w:w="1304"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5/25 (20%)</w:t>
            </w:r>
          </w:p>
        </w:tc>
        <w:tc>
          <w:tcPr>
            <w:tcW w:w="2270"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21/25 (84%)</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mean ± SD:</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751.3 ± 984.0</w:t>
            </w:r>
          </w:p>
          <w:p w:rsidR="001D4918" w:rsidRPr="00257F02" w:rsidRDefault="001D4918" w:rsidP="007742D4">
            <w:pPr>
              <w:spacing w:line="360" w:lineRule="auto"/>
              <w:jc w:val="both"/>
              <w:rPr>
                <w:rFonts w:ascii="Book Antiqua" w:hAnsi="Book Antiqua"/>
                <w:lang w:val="en-US"/>
              </w:rPr>
            </w:pPr>
          </w:p>
          <w:p w:rsidR="001D4918" w:rsidRPr="00257F02" w:rsidRDefault="001D4918" w:rsidP="007742D4">
            <w:pPr>
              <w:autoSpaceDE w:val="0"/>
              <w:autoSpaceDN w:val="0"/>
              <w:adjustRightInd w:val="0"/>
              <w:spacing w:line="360" w:lineRule="auto"/>
              <w:jc w:val="both"/>
              <w:rPr>
                <w:rFonts w:ascii="Book Antiqua" w:hAnsi="Book Antiqua"/>
                <w:lang w:val="en-US"/>
              </w:rPr>
            </w:pPr>
            <w:r w:rsidRPr="00257F02">
              <w:rPr>
                <w:rFonts w:ascii="Book Antiqua" w:hAnsi="Book Antiqua"/>
                <w:lang w:val="en-US"/>
              </w:rPr>
              <w:t>Clinical recurrence rate significantly higher in the group with</w:t>
            </w:r>
          </w:p>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highest third </w:t>
            </w:r>
            <w:proofErr w:type="spellStart"/>
            <w:r w:rsidRPr="00257F02">
              <w:rPr>
                <w:rFonts w:ascii="Book Antiqua" w:hAnsi="Book Antiqua"/>
                <w:lang w:val="en-US"/>
              </w:rPr>
              <w:t>tertile</w:t>
            </w:r>
            <w:proofErr w:type="spellEnd"/>
            <w:r w:rsidRPr="00257F02">
              <w:rPr>
                <w:rFonts w:ascii="Book Antiqua" w:hAnsi="Book Antiqua"/>
                <w:lang w:val="en-US"/>
              </w:rPr>
              <w:t xml:space="preserve"> score (distal SB)</w:t>
            </w:r>
          </w:p>
        </w:tc>
      </w:tr>
    </w:tbl>
    <w:p w:rsidR="001D4918" w:rsidRPr="00257F02" w:rsidRDefault="001D4918" w:rsidP="007742D4">
      <w:pPr>
        <w:autoSpaceDE w:val="0"/>
        <w:autoSpaceDN w:val="0"/>
        <w:adjustRightInd w:val="0"/>
        <w:spacing w:line="360" w:lineRule="auto"/>
        <w:jc w:val="both"/>
        <w:rPr>
          <w:rFonts w:ascii="Book Antiqua" w:hAnsi="Book Antiqua"/>
          <w:lang w:val="en-US"/>
        </w:rPr>
      </w:pPr>
      <w:r>
        <w:rPr>
          <w:rFonts w:ascii="Book Antiqua" w:hAnsi="Book Antiqua"/>
          <w:vertAlign w:val="superscript"/>
          <w:lang w:val="en-US"/>
        </w:rPr>
        <w:t>1</w:t>
      </w:r>
      <w:r w:rsidRPr="00257F02">
        <w:rPr>
          <w:rFonts w:ascii="Book Antiqua" w:hAnsi="Book Antiqua"/>
          <w:lang w:val="en-US"/>
        </w:rPr>
        <w:t xml:space="preserve">The </w:t>
      </w:r>
      <w:proofErr w:type="spellStart"/>
      <w:r w:rsidRPr="00257F02">
        <w:rPr>
          <w:rFonts w:ascii="Book Antiqua" w:hAnsi="Book Antiqua"/>
          <w:lang w:val="en-US"/>
        </w:rPr>
        <w:t>neoterminal</w:t>
      </w:r>
      <w:proofErr w:type="spellEnd"/>
      <w:r w:rsidRPr="00257F02">
        <w:rPr>
          <w:rFonts w:ascii="Book Antiqua" w:hAnsi="Book Antiqua"/>
          <w:lang w:val="en-US"/>
        </w:rPr>
        <w:t xml:space="preserve"> ileum was reached and explored by </w:t>
      </w:r>
      <w:proofErr w:type="spellStart"/>
      <w:r w:rsidRPr="00257F02">
        <w:rPr>
          <w:rFonts w:ascii="Book Antiqua" w:hAnsi="Book Antiqua"/>
          <w:lang w:val="en-US"/>
        </w:rPr>
        <w:t>ileocolonoscopy</w:t>
      </w:r>
      <w:proofErr w:type="spellEnd"/>
      <w:r w:rsidRPr="00257F02">
        <w:rPr>
          <w:rFonts w:ascii="Book Antiqua" w:hAnsi="Book Antiqua"/>
          <w:lang w:val="en-US"/>
        </w:rPr>
        <w:t xml:space="preserve"> in 31 patients; </w:t>
      </w:r>
      <w:r>
        <w:rPr>
          <w:rFonts w:ascii="Book Antiqua" w:hAnsi="Book Antiqua"/>
          <w:vertAlign w:val="superscript"/>
          <w:lang w:val="en-US"/>
        </w:rPr>
        <w:t>2</w:t>
      </w:r>
      <w:r w:rsidRPr="00257F02">
        <w:rPr>
          <w:rFonts w:ascii="Book Antiqua" w:hAnsi="Book Antiqua"/>
          <w:lang w:val="en-US"/>
        </w:rPr>
        <w:t>WCE was not performed because of luminal narrowing or stenosis in 5 patients, thus 17 of the 22 patients had all 3 techniques performed;</w:t>
      </w:r>
      <w:r w:rsidRPr="00257F02">
        <w:rPr>
          <w:rFonts w:ascii="Book Antiqua" w:hAnsi="Book Antiqua"/>
          <w:vertAlign w:val="superscript"/>
          <w:lang w:val="en-US"/>
        </w:rPr>
        <w:t xml:space="preserve"> </w:t>
      </w:r>
      <w:r>
        <w:rPr>
          <w:rFonts w:ascii="Book Antiqua" w:hAnsi="Book Antiqua"/>
          <w:vertAlign w:val="superscript"/>
          <w:lang w:val="en-US"/>
        </w:rPr>
        <w:t>3</w:t>
      </w:r>
      <w:r w:rsidRPr="00257F02">
        <w:rPr>
          <w:rFonts w:ascii="Book Antiqua" w:hAnsi="Book Antiqua"/>
          <w:lang w:val="en-US"/>
        </w:rPr>
        <w:t>In one patient CE did not reach beyond the middle segment of the ileum during the 8</w:t>
      </w:r>
      <w:r>
        <w:rPr>
          <w:rFonts w:ascii="Book Antiqua" w:hAnsi="Book Antiqua"/>
          <w:lang w:val="en-US"/>
        </w:rPr>
        <w:t xml:space="preserve"> </w:t>
      </w:r>
      <w:r w:rsidRPr="00257F02">
        <w:rPr>
          <w:rFonts w:ascii="Book Antiqua" w:hAnsi="Book Antiqua"/>
          <w:lang w:val="en-US"/>
        </w:rPr>
        <w:t xml:space="preserve">h of recording; </w:t>
      </w:r>
      <w:r>
        <w:rPr>
          <w:rFonts w:ascii="Book Antiqua" w:hAnsi="Book Antiqua"/>
          <w:vertAlign w:val="superscript"/>
          <w:lang w:val="en-US"/>
        </w:rPr>
        <w:t>4</w:t>
      </w:r>
      <w:r w:rsidRPr="00257F02">
        <w:rPr>
          <w:rFonts w:ascii="Book Antiqua" w:hAnsi="Book Antiqua"/>
          <w:lang w:val="en-US"/>
        </w:rPr>
        <w:t xml:space="preserve">The follow-up CE at 6-8 mo. after surgery was possible in 13 of the 18 patients; </w:t>
      </w:r>
      <w:r>
        <w:rPr>
          <w:rFonts w:ascii="Book Antiqua" w:hAnsi="Book Antiqua"/>
          <w:vertAlign w:val="superscript"/>
          <w:lang w:val="en-US"/>
        </w:rPr>
        <w:t>5</w:t>
      </w:r>
      <w:r w:rsidRPr="00257F02">
        <w:rPr>
          <w:rFonts w:ascii="Book Antiqua" w:hAnsi="Book Antiqua"/>
          <w:lang w:val="en-US"/>
        </w:rPr>
        <w:t xml:space="preserve">Study assessing the use of pan-intestinal capsule endoscopy (PICE); </w:t>
      </w:r>
      <w:r>
        <w:rPr>
          <w:rFonts w:ascii="Book Antiqua" w:hAnsi="Book Antiqua"/>
          <w:vertAlign w:val="superscript"/>
          <w:lang w:val="en-US"/>
        </w:rPr>
        <w:t>6</w:t>
      </w:r>
      <w:r w:rsidRPr="00257F02">
        <w:rPr>
          <w:rFonts w:ascii="Book Antiqua" w:hAnsi="Book Antiqua" w:cs="AdvOT46dcae81"/>
          <w:lang w:val="en-US"/>
        </w:rPr>
        <w:t xml:space="preserve">Seventeen of the 22 patients (77%) underwent CE at </w:t>
      </w:r>
      <w:r w:rsidRPr="00257F02">
        <w:rPr>
          <w:rFonts w:ascii="Book Antiqua" w:hAnsi="Book Antiqua" w:cs="AdvOT65f8a23b.I"/>
          <w:lang w:val="en-US"/>
        </w:rPr>
        <w:t xml:space="preserve">4-8 wk. </w:t>
      </w:r>
      <w:r w:rsidRPr="00257F02">
        <w:rPr>
          <w:rFonts w:ascii="Book Antiqua" w:hAnsi="Book Antiqua" w:cs="AdvOT46dcae81"/>
          <w:lang w:val="en-US"/>
        </w:rPr>
        <w:t xml:space="preserve">Another CE could not be analyzed due to an insufficient large bowel preparation; </w:t>
      </w:r>
      <w:r>
        <w:rPr>
          <w:rFonts w:ascii="Book Antiqua" w:hAnsi="Book Antiqua" w:cs="AdvOT46dcae81"/>
          <w:vertAlign w:val="superscript"/>
          <w:lang w:val="en-US"/>
        </w:rPr>
        <w:t>7</w:t>
      </w:r>
      <w:r w:rsidRPr="00257F02">
        <w:rPr>
          <w:rFonts w:ascii="Book Antiqua" w:hAnsi="Book Antiqua" w:cs="AdvOT46dcae81"/>
          <w:lang w:val="en-US"/>
        </w:rPr>
        <w:t xml:space="preserve">Of 17 patients included in the study at </w:t>
      </w:r>
      <w:r w:rsidRPr="00257F02">
        <w:rPr>
          <w:rFonts w:ascii="Book Antiqua" w:hAnsi="Book Antiqua" w:cs="AdvOT65f8a23b.I"/>
          <w:lang w:val="en-US"/>
        </w:rPr>
        <w:t>follow-up</w:t>
      </w:r>
      <w:r w:rsidRPr="00257F02">
        <w:rPr>
          <w:rFonts w:ascii="Book Antiqua" w:hAnsi="Book Antiqua" w:cs="AdvOT46dcae81"/>
          <w:lang w:val="en-US"/>
        </w:rPr>
        <w:t xml:space="preserve">, 14 (82%) underwent CE, and in two cases, analysis of CE videos was hampered by a technical defect and an insufficient large bowel preparation, and 15 (88%) underwent </w:t>
      </w:r>
      <w:proofErr w:type="spellStart"/>
      <w:r w:rsidRPr="00257F02">
        <w:rPr>
          <w:rFonts w:ascii="Book Antiqua" w:hAnsi="Book Antiqua" w:cs="AdvOT46dcae81"/>
          <w:lang w:val="en-US"/>
        </w:rPr>
        <w:t>ileocolonoscopy</w:t>
      </w:r>
      <w:proofErr w:type="spellEnd"/>
      <w:r w:rsidRPr="00257F02">
        <w:rPr>
          <w:rFonts w:ascii="Book Antiqua" w:hAnsi="Book Antiqua" w:cs="AdvOT46dcae81"/>
          <w:lang w:val="en-US"/>
        </w:rPr>
        <w:t xml:space="preserve">; </w:t>
      </w:r>
      <w:r>
        <w:rPr>
          <w:rFonts w:ascii="Book Antiqua" w:hAnsi="Book Antiqua" w:cs="AdvOT46dcae81"/>
          <w:vertAlign w:val="superscript"/>
          <w:lang w:val="en-US"/>
        </w:rPr>
        <w:t>8</w:t>
      </w:r>
      <w:r w:rsidRPr="00257F02">
        <w:rPr>
          <w:rFonts w:ascii="Book Antiqua" w:hAnsi="Book Antiqua" w:cs="AdvOT46dcae81"/>
          <w:lang w:val="en-US"/>
        </w:rPr>
        <w:t>Patients could have more than one treatment.</w:t>
      </w:r>
      <w:r>
        <w:rPr>
          <w:rFonts w:ascii="Book Antiqua" w:hAnsi="Book Antiqua" w:cs="AdvOT46dcae81"/>
          <w:lang w:val="en-US"/>
        </w:rPr>
        <w:t xml:space="preserve"> </w:t>
      </w:r>
      <w:r w:rsidRPr="00257F02">
        <w:rPr>
          <w:rFonts w:ascii="Book Antiqua" w:hAnsi="Book Antiqua"/>
          <w:lang w:val="en-US"/>
        </w:rPr>
        <w:t>ASA</w:t>
      </w:r>
      <w:r>
        <w:rPr>
          <w:rFonts w:ascii="Book Antiqua" w:hAnsi="Book Antiqua"/>
          <w:lang w:val="en-US"/>
        </w:rPr>
        <w:t>:</w:t>
      </w:r>
      <w:r w:rsidRPr="00257F02">
        <w:rPr>
          <w:rFonts w:ascii="Book Antiqua" w:hAnsi="Book Antiqua"/>
          <w:lang w:val="en-US"/>
        </w:rPr>
        <w:t xml:space="preserve"> </w:t>
      </w:r>
      <w:proofErr w:type="spellStart"/>
      <w:r w:rsidRPr="00257F02">
        <w:rPr>
          <w:rFonts w:ascii="Book Antiqua" w:hAnsi="Book Antiqua"/>
          <w:lang w:val="en-US"/>
        </w:rPr>
        <w:t>Aminosalicylic</w:t>
      </w:r>
      <w:proofErr w:type="spellEnd"/>
      <w:r w:rsidRPr="00257F02">
        <w:rPr>
          <w:rFonts w:ascii="Book Antiqua" w:hAnsi="Book Antiqua"/>
          <w:lang w:val="en-US"/>
        </w:rPr>
        <w:t xml:space="preserve"> acid; CE</w:t>
      </w:r>
      <w:r>
        <w:rPr>
          <w:rFonts w:ascii="Book Antiqua" w:hAnsi="Book Antiqua"/>
          <w:lang w:val="en-US"/>
        </w:rPr>
        <w:t>:</w:t>
      </w:r>
      <w:r w:rsidRPr="00257F02">
        <w:rPr>
          <w:rFonts w:ascii="Book Antiqua" w:hAnsi="Book Antiqua"/>
          <w:lang w:val="en-US"/>
        </w:rPr>
        <w:t xml:space="preserve"> Capsule endoscopy; CS</w:t>
      </w:r>
      <w:r>
        <w:rPr>
          <w:rFonts w:ascii="Book Antiqua" w:hAnsi="Book Antiqua"/>
          <w:lang w:val="en-US"/>
        </w:rPr>
        <w:t>:</w:t>
      </w:r>
      <w:r w:rsidRPr="00257F02">
        <w:rPr>
          <w:rFonts w:ascii="Book Antiqua" w:hAnsi="Book Antiqua"/>
          <w:lang w:val="en-US"/>
        </w:rPr>
        <w:t xml:space="preserve"> Corticosteroids; FP</w:t>
      </w:r>
      <w:r>
        <w:rPr>
          <w:rFonts w:ascii="Book Antiqua" w:hAnsi="Book Antiqua"/>
          <w:lang w:val="en-US"/>
        </w:rPr>
        <w:t>:</w:t>
      </w:r>
      <w:r w:rsidRPr="00257F02">
        <w:rPr>
          <w:rFonts w:ascii="Book Antiqua" w:hAnsi="Book Antiqua"/>
          <w:lang w:val="en-US"/>
        </w:rPr>
        <w:t xml:space="preserve"> False positive; IC</w:t>
      </w:r>
      <w:r>
        <w:rPr>
          <w:rFonts w:ascii="Book Antiqua" w:hAnsi="Book Antiqua"/>
          <w:lang w:val="en-US"/>
        </w:rPr>
        <w:t>:</w:t>
      </w:r>
      <w:r w:rsidRPr="00257F02">
        <w:rPr>
          <w:rFonts w:ascii="Book Antiqua" w:hAnsi="Book Antiqua"/>
          <w:lang w:val="en-US"/>
        </w:rPr>
        <w:t xml:space="preserve"> </w:t>
      </w:r>
      <w:proofErr w:type="spellStart"/>
      <w:r w:rsidRPr="00257F02">
        <w:rPr>
          <w:rFonts w:ascii="Book Antiqua" w:hAnsi="Book Antiqua"/>
          <w:lang w:val="en-US"/>
        </w:rPr>
        <w:t>Ileocolonoscopy</w:t>
      </w:r>
      <w:proofErr w:type="spellEnd"/>
      <w:r w:rsidRPr="00257F02">
        <w:rPr>
          <w:rFonts w:ascii="Book Antiqua" w:hAnsi="Book Antiqua"/>
          <w:lang w:val="en-US"/>
        </w:rPr>
        <w:t>; IQR</w:t>
      </w:r>
      <w:r>
        <w:rPr>
          <w:rFonts w:ascii="Book Antiqua" w:hAnsi="Book Antiqua" w:hint="eastAsia"/>
          <w:lang w:val="en-US" w:eastAsia="zh-CN"/>
        </w:rPr>
        <w:t>:</w:t>
      </w:r>
      <w:r w:rsidRPr="00257F02">
        <w:rPr>
          <w:rFonts w:ascii="Book Antiqua" w:hAnsi="Book Antiqua"/>
          <w:lang w:val="en-US"/>
        </w:rPr>
        <w:t xml:space="preserve"> Interquartile range; IS</w:t>
      </w:r>
      <w:r>
        <w:rPr>
          <w:rFonts w:ascii="Book Antiqua" w:hAnsi="Book Antiqua"/>
          <w:lang w:val="en-US"/>
        </w:rPr>
        <w:t>:</w:t>
      </w:r>
      <w:r w:rsidRPr="00257F02">
        <w:rPr>
          <w:rFonts w:ascii="Book Antiqua" w:hAnsi="Book Antiqua"/>
          <w:lang w:val="en-US"/>
        </w:rPr>
        <w:t xml:space="preserve"> Immunosuppressant; POR</w:t>
      </w:r>
      <w:r>
        <w:rPr>
          <w:rFonts w:ascii="Book Antiqua" w:hAnsi="Book Antiqua"/>
          <w:lang w:val="en-US"/>
        </w:rPr>
        <w:t>:</w:t>
      </w:r>
      <w:r w:rsidRPr="00257F02">
        <w:rPr>
          <w:rFonts w:ascii="Book Antiqua" w:hAnsi="Book Antiqua"/>
          <w:lang w:val="en-US"/>
        </w:rPr>
        <w:t xml:space="preserve"> Post-operative recurrence; SB</w:t>
      </w:r>
      <w:r>
        <w:rPr>
          <w:rFonts w:ascii="Book Antiqua" w:hAnsi="Book Antiqua"/>
          <w:lang w:val="en-US"/>
        </w:rPr>
        <w:t>:</w:t>
      </w:r>
      <w:r w:rsidRPr="00257F02">
        <w:rPr>
          <w:rFonts w:ascii="Book Antiqua" w:hAnsi="Book Antiqua"/>
          <w:lang w:val="en-US"/>
        </w:rPr>
        <w:t xml:space="preserve"> Small bowel; Se</w:t>
      </w:r>
      <w:r>
        <w:rPr>
          <w:rFonts w:ascii="Book Antiqua" w:hAnsi="Book Antiqua"/>
          <w:lang w:val="en-US"/>
        </w:rPr>
        <w:t>:</w:t>
      </w:r>
      <w:r w:rsidRPr="00257F02">
        <w:rPr>
          <w:rFonts w:ascii="Book Antiqua" w:hAnsi="Book Antiqua"/>
          <w:lang w:val="en-US"/>
        </w:rPr>
        <w:t xml:space="preserve"> Sensitivity; SICUS</w:t>
      </w:r>
      <w:r>
        <w:rPr>
          <w:rFonts w:ascii="Book Antiqua" w:hAnsi="Book Antiqua"/>
          <w:lang w:val="en-US"/>
        </w:rPr>
        <w:t>:</w:t>
      </w:r>
      <w:r w:rsidRPr="00257F02">
        <w:rPr>
          <w:rFonts w:ascii="Book Antiqua" w:hAnsi="Book Antiqua"/>
          <w:lang w:val="en-US"/>
        </w:rPr>
        <w:t xml:space="preserve"> Small intestine contrast ultrasonography; </w:t>
      </w:r>
      <w:proofErr w:type="spellStart"/>
      <w:r w:rsidRPr="00257F02">
        <w:rPr>
          <w:rFonts w:ascii="Book Antiqua" w:hAnsi="Book Antiqua"/>
          <w:lang w:val="en-US"/>
        </w:rPr>
        <w:t>Sp</w:t>
      </w:r>
      <w:proofErr w:type="spellEnd"/>
      <w:r>
        <w:rPr>
          <w:rFonts w:ascii="Book Antiqua" w:hAnsi="Book Antiqua"/>
          <w:lang w:val="en-US"/>
        </w:rPr>
        <w:t>:</w:t>
      </w:r>
      <w:r w:rsidRPr="00257F02">
        <w:rPr>
          <w:rFonts w:ascii="Book Antiqua" w:hAnsi="Book Antiqua"/>
          <w:lang w:val="en-US"/>
        </w:rPr>
        <w:t xml:space="preserve"> Specificity.</w:t>
      </w:r>
    </w:p>
    <w:p w:rsidR="001D4918" w:rsidRPr="00932774" w:rsidRDefault="001D4918" w:rsidP="007742D4">
      <w:pPr>
        <w:spacing w:line="360" w:lineRule="auto"/>
        <w:jc w:val="both"/>
        <w:rPr>
          <w:rFonts w:ascii="Book Antiqua" w:hAnsi="Book Antiqua"/>
          <w:sz w:val="18"/>
          <w:szCs w:val="20"/>
          <w:lang w:val="en-US"/>
        </w:rPr>
        <w:sectPr w:rsidR="001D4918" w:rsidRPr="00932774" w:rsidSect="00010E70">
          <w:pgSz w:w="18144" w:h="11901" w:orient="landscape"/>
          <w:pgMar w:top="284" w:right="720" w:bottom="284" w:left="720" w:header="709" w:footer="709" w:gutter="0"/>
          <w:cols w:space="708"/>
          <w:docGrid w:linePitch="360"/>
        </w:sectPr>
      </w:pPr>
    </w:p>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lastRenderedPageBreak/>
        <w:t>Table 4 Advantages and limitations of small bowel capsule endoscopy in Crohn’s disease</w:t>
      </w:r>
    </w:p>
    <w:tbl>
      <w:tblPr>
        <w:tblW w:w="0" w:type="auto"/>
        <w:tblLook w:val="00A0" w:firstRow="1" w:lastRow="0" w:firstColumn="1" w:lastColumn="0" w:noHBand="0" w:noVBand="0"/>
      </w:tblPr>
      <w:tblGrid>
        <w:gridCol w:w="6998"/>
        <w:gridCol w:w="6998"/>
      </w:tblGrid>
      <w:tr w:rsidR="001D4918" w:rsidRPr="00257F02" w:rsidTr="005C39B1">
        <w:tc>
          <w:tcPr>
            <w:tcW w:w="6998" w:type="dxa"/>
            <w:tcBorders>
              <w:top w:val="single" w:sz="4" w:space="0" w:color="auto"/>
              <w:bottom w:val="single" w:sz="4" w:space="0" w:color="auto"/>
            </w:tcBorders>
            <w:shd w:val="clear" w:color="auto" w:fill="auto"/>
            <w:vAlign w:val="center"/>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Advantages</w:t>
            </w:r>
          </w:p>
        </w:tc>
        <w:tc>
          <w:tcPr>
            <w:tcW w:w="6998" w:type="dxa"/>
            <w:tcBorders>
              <w:top w:val="single" w:sz="4" w:space="0" w:color="auto"/>
              <w:bottom w:val="single" w:sz="4" w:space="0" w:color="auto"/>
            </w:tcBorders>
            <w:shd w:val="clear" w:color="auto" w:fill="auto"/>
            <w:vAlign w:val="center"/>
          </w:tcPr>
          <w:p w:rsidR="001D4918" w:rsidRPr="00257F02" w:rsidRDefault="001D4918" w:rsidP="007742D4">
            <w:pPr>
              <w:spacing w:line="360" w:lineRule="auto"/>
              <w:jc w:val="both"/>
              <w:rPr>
                <w:rFonts w:ascii="Book Antiqua" w:hAnsi="Book Antiqua"/>
                <w:b/>
                <w:lang w:val="en-US"/>
              </w:rPr>
            </w:pPr>
            <w:r w:rsidRPr="00257F02">
              <w:rPr>
                <w:rFonts w:ascii="Book Antiqua" w:hAnsi="Book Antiqua"/>
                <w:b/>
                <w:lang w:val="en-US"/>
              </w:rPr>
              <w:t>Limitations</w:t>
            </w:r>
          </w:p>
        </w:tc>
      </w:tr>
      <w:tr w:rsidR="001D4918" w:rsidRPr="00257F02" w:rsidTr="005C39B1">
        <w:tc>
          <w:tcPr>
            <w:tcW w:w="6998"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Less invasive than conventional endoscopy</w:t>
            </w:r>
          </w:p>
        </w:tc>
        <w:tc>
          <w:tcPr>
            <w:tcW w:w="6998" w:type="dxa"/>
            <w:tcBorders>
              <w:top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 xml:space="preserve">Risk of capsule retention in </w:t>
            </w:r>
            <w:proofErr w:type="spellStart"/>
            <w:r w:rsidRPr="00257F02">
              <w:rPr>
                <w:rFonts w:ascii="Book Antiqua" w:hAnsi="Book Antiqua"/>
                <w:lang w:val="en-US"/>
              </w:rPr>
              <w:t>stricturing</w:t>
            </w:r>
            <w:proofErr w:type="spellEnd"/>
            <w:r w:rsidRPr="00257F02">
              <w:rPr>
                <w:rFonts w:ascii="Book Antiqua" w:hAnsi="Book Antiqua"/>
                <w:lang w:val="en-US"/>
              </w:rPr>
              <w:t xml:space="preserve"> CD</w:t>
            </w:r>
          </w:p>
        </w:tc>
      </w:tr>
      <w:tr w:rsidR="001D4918" w:rsidRPr="00257F02" w:rsidTr="005C39B1">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No need for sedation</w:t>
            </w:r>
          </w:p>
        </w:tc>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No therapeutic or biopsy capability</w:t>
            </w:r>
          </w:p>
        </w:tc>
      </w:tr>
      <w:tr w:rsidR="001D4918" w:rsidRPr="00257F02" w:rsidTr="005C39B1">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High diagnostic yield comparable to other endoscopic or imaging modalities</w:t>
            </w:r>
          </w:p>
        </w:tc>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SB evaluation may be incomplete due to:</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Uncontrolled air insufflation</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Retention or delayed transition</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Limited battery life</w:t>
            </w:r>
          </w:p>
          <w:p w:rsidR="001D4918" w:rsidRPr="00257F02" w:rsidRDefault="001D4918" w:rsidP="007742D4">
            <w:pPr>
              <w:numPr>
                <w:ilvl w:val="0"/>
                <w:numId w:val="3"/>
              </w:numPr>
              <w:spacing w:line="360" w:lineRule="auto"/>
              <w:ind w:left="0"/>
              <w:contextualSpacing/>
              <w:jc w:val="both"/>
              <w:rPr>
                <w:rFonts w:ascii="Book Antiqua" w:eastAsia="Times New Roman" w:hAnsi="Book Antiqua"/>
                <w:lang w:val="en-US" w:eastAsia="en-US"/>
              </w:rPr>
            </w:pPr>
            <w:r w:rsidRPr="00257F02">
              <w:rPr>
                <w:rFonts w:ascii="Book Antiqua" w:eastAsia="Times New Roman" w:hAnsi="Book Antiqua"/>
                <w:lang w:val="en-US" w:eastAsia="en-US"/>
              </w:rPr>
              <w:t>Impossible to maneuver</w:t>
            </w:r>
          </w:p>
        </w:tc>
      </w:tr>
      <w:tr w:rsidR="001D4918" w:rsidRPr="00257F02" w:rsidTr="005C39B1">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Direct mucosal evaluation</w:t>
            </w:r>
          </w:p>
        </w:tc>
        <w:tc>
          <w:tcPr>
            <w:tcW w:w="6998" w:type="dxa"/>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Longer procedure time compared to other modalities</w:t>
            </w:r>
          </w:p>
        </w:tc>
      </w:tr>
      <w:tr w:rsidR="001D4918" w:rsidRPr="00257F02" w:rsidTr="005C39B1">
        <w:tc>
          <w:tcPr>
            <w:tcW w:w="6998"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Patient-friendly</w:t>
            </w:r>
          </w:p>
        </w:tc>
        <w:tc>
          <w:tcPr>
            <w:tcW w:w="6998" w:type="dxa"/>
            <w:tcBorders>
              <w:bottom w:val="single" w:sz="4" w:space="0" w:color="auto"/>
            </w:tcBorders>
            <w:shd w:val="clear" w:color="auto" w:fill="auto"/>
          </w:tcPr>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Analysis is time-consuming for the physician</w:t>
            </w:r>
          </w:p>
        </w:tc>
      </w:tr>
    </w:tbl>
    <w:p w:rsidR="001D4918" w:rsidRPr="00257F02" w:rsidRDefault="001D4918" w:rsidP="007742D4">
      <w:pPr>
        <w:spacing w:line="360" w:lineRule="auto"/>
        <w:jc w:val="both"/>
        <w:rPr>
          <w:rFonts w:ascii="Book Antiqua" w:hAnsi="Book Antiqua"/>
          <w:lang w:val="en-US"/>
        </w:rPr>
      </w:pPr>
      <w:r w:rsidRPr="00257F02">
        <w:rPr>
          <w:rFonts w:ascii="Book Antiqua" w:hAnsi="Book Antiqua"/>
          <w:lang w:val="en-US"/>
        </w:rPr>
        <w:t>CD</w:t>
      </w:r>
      <w:r>
        <w:rPr>
          <w:rFonts w:ascii="Book Antiqua" w:hAnsi="Book Antiqua"/>
          <w:lang w:val="en-US"/>
        </w:rPr>
        <w:t>:</w:t>
      </w:r>
      <w:r w:rsidRPr="00257F02">
        <w:rPr>
          <w:rFonts w:ascii="Book Antiqua" w:hAnsi="Book Antiqua"/>
          <w:lang w:val="en-US"/>
        </w:rPr>
        <w:t xml:space="preserve"> Crohn’s disease; SB</w:t>
      </w:r>
      <w:r>
        <w:rPr>
          <w:rFonts w:ascii="Book Antiqua" w:hAnsi="Book Antiqua"/>
          <w:lang w:val="en-US"/>
        </w:rPr>
        <w:t>:</w:t>
      </w:r>
      <w:r w:rsidRPr="00257F02">
        <w:rPr>
          <w:rFonts w:ascii="Book Antiqua" w:hAnsi="Book Antiqua"/>
          <w:lang w:val="en-US"/>
        </w:rPr>
        <w:t xml:space="preserve"> Small bowel.</w:t>
      </w:r>
    </w:p>
    <w:p w:rsidR="001D4918" w:rsidRPr="00932774" w:rsidRDefault="001D4918" w:rsidP="007742D4">
      <w:pPr>
        <w:spacing w:line="360" w:lineRule="auto"/>
        <w:jc w:val="both"/>
        <w:rPr>
          <w:rFonts w:ascii="Book Antiqua" w:hAnsi="Book Antiqua"/>
          <w:sz w:val="18"/>
          <w:szCs w:val="20"/>
          <w:lang w:val="en-US"/>
        </w:rPr>
        <w:sectPr w:rsidR="001D4918" w:rsidRPr="00932774" w:rsidSect="00C8042A">
          <w:pgSz w:w="16840" w:h="11900" w:orient="landscape"/>
          <w:pgMar w:top="1417" w:right="1417" w:bottom="1417" w:left="1417" w:header="709" w:footer="709" w:gutter="0"/>
          <w:cols w:space="708"/>
          <w:docGrid w:linePitch="360"/>
        </w:sectPr>
      </w:pPr>
    </w:p>
    <w:p w:rsidR="001D4918" w:rsidRPr="00257F02" w:rsidRDefault="001D4918" w:rsidP="007742D4">
      <w:pPr>
        <w:spacing w:line="360" w:lineRule="auto"/>
        <w:jc w:val="both"/>
        <w:rPr>
          <w:rFonts w:ascii="Book Antiqua" w:hAnsi="Book Antiqua"/>
          <w:sz w:val="18"/>
          <w:szCs w:val="20"/>
          <w:lang w:val="en-US"/>
        </w:rPr>
      </w:pPr>
      <w:r>
        <w:rPr>
          <w:rFonts w:ascii="Book Antiqua" w:hAnsi="Book Antiqua"/>
          <w:noProof/>
          <w:sz w:val="18"/>
          <w:szCs w:val="20"/>
          <w:lang w:val="en-US" w:eastAsia="zh-CN"/>
        </w:rPr>
        <w:lastRenderedPageBreak/>
        <w:drawing>
          <wp:inline distT="0" distB="0" distL="0" distR="0">
            <wp:extent cx="5720715" cy="32200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715" cy="3220085"/>
                    </a:xfrm>
                    <a:prstGeom prst="rect">
                      <a:avLst/>
                    </a:prstGeom>
                    <a:noFill/>
                    <a:ln>
                      <a:noFill/>
                    </a:ln>
                  </pic:spPr>
                </pic:pic>
              </a:graphicData>
            </a:graphic>
          </wp:inline>
        </w:drawing>
      </w:r>
    </w:p>
    <w:p w:rsidR="001D4918" w:rsidRDefault="001D4918" w:rsidP="007742D4">
      <w:pPr>
        <w:spacing w:line="360" w:lineRule="auto"/>
        <w:jc w:val="both"/>
        <w:rPr>
          <w:rFonts w:ascii="Book Antiqua" w:hAnsi="Book Antiqua"/>
          <w:color w:val="000000"/>
          <w:lang w:val="en-US"/>
        </w:rPr>
      </w:pPr>
      <w:r w:rsidRPr="00257F02">
        <w:rPr>
          <w:rFonts w:ascii="Book Antiqua" w:hAnsi="Book Antiqua"/>
          <w:b/>
          <w:color w:val="000000"/>
          <w:lang w:val="en-US"/>
        </w:rPr>
        <w:t>Figure 1 Small bowel capsule endoscopy findings associated with Crohn’s disease.</w:t>
      </w:r>
      <w:r>
        <w:rPr>
          <w:rFonts w:ascii="Book Antiqua" w:hAnsi="Book Antiqua"/>
          <w:b/>
          <w:color w:val="000000"/>
          <w:lang w:val="en-US"/>
        </w:rPr>
        <w:t xml:space="preserve"> </w:t>
      </w:r>
      <w:r w:rsidRPr="00257F02">
        <w:rPr>
          <w:rFonts w:ascii="Book Antiqua" w:hAnsi="Book Antiqua"/>
          <w:color w:val="000000"/>
          <w:lang w:val="en-US"/>
        </w:rPr>
        <w:t xml:space="preserve">A: Edema; B: </w:t>
      </w:r>
      <w:proofErr w:type="spellStart"/>
      <w:r w:rsidRPr="00257F02">
        <w:rPr>
          <w:rFonts w:ascii="Book Antiqua" w:hAnsi="Book Antiqua"/>
          <w:color w:val="000000"/>
          <w:lang w:val="en-US"/>
        </w:rPr>
        <w:t>Aphthoid</w:t>
      </w:r>
      <w:proofErr w:type="spellEnd"/>
      <w:r w:rsidRPr="00257F02">
        <w:rPr>
          <w:rFonts w:ascii="Book Antiqua" w:hAnsi="Book Antiqua"/>
          <w:color w:val="000000"/>
          <w:lang w:val="en-US"/>
        </w:rPr>
        <w:t xml:space="preserve"> erosion; C: Superficial ulceration; D: Deep ulceration; E: Stenosis.</w:t>
      </w:r>
    </w:p>
    <w:p w:rsidR="001D4918" w:rsidRDefault="001D4918" w:rsidP="007742D4">
      <w:pPr>
        <w:spacing w:line="360" w:lineRule="auto"/>
        <w:jc w:val="both"/>
        <w:rPr>
          <w:rFonts w:ascii="Book Antiqua" w:hAnsi="Book Antiqua"/>
          <w:color w:val="000000"/>
          <w:lang w:val="en-US"/>
        </w:rPr>
      </w:pPr>
    </w:p>
    <w:p w:rsidR="001D4918" w:rsidRDefault="001D4918" w:rsidP="007742D4">
      <w:pPr>
        <w:spacing w:line="360" w:lineRule="auto"/>
        <w:jc w:val="both"/>
        <w:rPr>
          <w:noProof/>
        </w:rPr>
      </w:pPr>
      <w:r w:rsidRPr="00FE6B72">
        <w:rPr>
          <w:noProof/>
          <w:lang w:val="en-US" w:eastAsia="zh-CN"/>
        </w:rPr>
        <w:lastRenderedPageBreak/>
        <w:drawing>
          <wp:inline distT="0" distB="0" distL="0" distR="0">
            <wp:extent cx="5760085" cy="5736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5736590"/>
                    </a:xfrm>
                    <a:prstGeom prst="rect">
                      <a:avLst/>
                    </a:prstGeom>
                    <a:noFill/>
                    <a:ln>
                      <a:noFill/>
                    </a:ln>
                  </pic:spPr>
                </pic:pic>
              </a:graphicData>
            </a:graphic>
          </wp:inline>
        </w:drawing>
      </w:r>
    </w:p>
    <w:p w:rsidR="001D4918" w:rsidRDefault="001D4918" w:rsidP="007742D4">
      <w:pPr>
        <w:spacing w:line="360" w:lineRule="auto"/>
        <w:jc w:val="both"/>
        <w:rPr>
          <w:rFonts w:ascii="Book Antiqua" w:hAnsi="Book Antiqua"/>
          <w:b/>
          <w:bCs/>
          <w:lang w:val="en-US"/>
        </w:rPr>
      </w:pPr>
      <w:r w:rsidRPr="00257F02">
        <w:rPr>
          <w:rFonts w:ascii="Book Antiqua" w:hAnsi="Book Antiqua"/>
          <w:b/>
          <w:lang w:val="en-US"/>
        </w:rPr>
        <w:t xml:space="preserve">Figure 2 </w:t>
      </w:r>
      <w:r w:rsidRPr="00257F02">
        <w:rPr>
          <w:rFonts w:ascii="Book Antiqua" w:hAnsi="Book Antiqua"/>
          <w:b/>
          <w:bCs/>
          <w:lang w:val="en-US"/>
        </w:rPr>
        <w:t>Preferred reporting items for systematic reviews and meta-analyses diagram.</w:t>
      </w:r>
    </w:p>
    <w:p w:rsidR="0024254C" w:rsidRDefault="001D4918" w:rsidP="007742D4">
      <w:pPr>
        <w:spacing w:line="360" w:lineRule="auto"/>
        <w:jc w:val="both"/>
      </w:pPr>
      <w:r w:rsidRPr="00FE6B72">
        <w:rPr>
          <w:noProof/>
          <w:lang w:val="en-US" w:eastAsia="zh-CN"/>
        </w:rPr>
        <w:lastRenderedPageBreak/>
        <w:drawing>
          <wp:inline distT="0" distB="0" distL="0" distR="0">
            <wp:extent cx="5760085" cy="3227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27705"/>
                    </a:xfrm>
                    <a:prstGeom prst="rect">
                      <a:avLst/>
                    </a:prstGeom>
                    <a:noFill/>
                    <a:ln>
                      <a:noFill/>
                    </a:ln>
                  </pic:spPr>
                </pic:pic>
              </a:graphicData>
            </a:graphic>
          </wp:inline>
        </w:drawing>
      </w:r>
    </w:p>
    <w:p w:rsidR="001D4918" w:rsidRDefault="001D4918" w:rsidP="007742D4">
      <w:pPr>
        <w:spacing w:line="360" w:lineRule="auto"/>
        <w:jc w:val="both"/>
      </w:pPr>
      <w:r w:rsidRPr="00257F02">
        <w:rPr>
          <w:rFonts w:ascii="Book Antiqua" w:hAnsi="Book Antiqua"/>
          <w:b/>
          <w:bCs/>
          <w:lang w:val="en-US"/>
        </w:rPr>
        <w:t>Figure 3 Potential usefulness of small bowel capsule endoscopy in a treat-to-target strategy for patients with Crohn’s disease.</w:t>
      </w:r>
      <w:r>
        <w:rPr>
          <w:rFonts w:ascii="Book Antiqua" w:hAnsi="Book Antiqua"/>
          <w:b/>
          <w:bCs/>
          <w:lang w:val="en-US"/>
        </w:rPr>
        <w:t xml:space="preserve"> </w:t>
      </w:r>
      <w:r w:rsidRPr="00257F02">
        <w:rPr>
          <w:rFonts w:ascii="Book Antiqua" w:hAnsi="Book Antiqua"/>
          <w:bCs/>
          <w:lang w:val="en-US"/>
        </w:rPr>
        <w:t>Small bowel capsule endoscopy (SBCE) should help physician classify disease location and make a prognosis regarding future course of Crohn’s disease (CD) according to the presence of proximal small bowel lesions. SBCE should also be useful in the assessment of mucosal healing in patients with CD under treatment, and in the post-operative setting to detect post-operative recurrence in a timely manner</w:t>
      </w:r>
      <w:r>
        <w:rPr>
          <w:rFonts w:ascii="Book Antiqua" w:hAnsi="Book Antiqua"/>
          <w:bCs/>
          <w:lang w:val="en-US"/>
        </w:rPr>
        <w:t>.</w:t>
      </w:r>
    </w:p>
    <w:sectPr w:rsidR="001D49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CF2" w:rsidRDefault="00B10CF2">
      <w:r>
        <w:separator/>
      </w:r>
    </w:p>
  </w:endnote>
  <w:endnote w:type="continuationSeparator" w:id="0">
    <w:p w:rsidR="00B10CF2" w:rsidRDefault="00B1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BookAntiqua">
    <w:altName w:val="Yu Gothic UI"/>
    <w:panose1 w:val="00000000000000000000"/>
    <w:charset w:val="80"/>
    <w:family w:val="auto"/>
    <w:notTrueType/>
    <w:pitch w:val="default"/>
    <w:sig w:usb0="00000001" w:usb1="08070000" w:usb2="00000010" w:usb3="00000000" w:csb0="00020000" w:csb1="00000000"/>
  </w:font>
  <w:font w:name="AdvPTimesB">
    <w:panose1 w:val="00000000000000000000"/>
    <w:charset w:val="00"/>
    <w:family w:val="roman"/>
    <w:notTrueType/>
    <w:pitch w:val="default"/>
    <w:sig w:usb0="00000003" w:usb1="00000000" w:usb2="00000000" w:usb3="00000000" w:csb0="00000001" w:csb1="00000000"/>
  </w:font>
  <w:font w:name="AdvTimes">
    <w:altName w:val="Malgun Gothic Semilight"/>
    <w:panose1 w:val="00000000000000000000"/>
    <w:charset w:val="88"/>
    <w:family w:val="auto"/>
    <w:notTrueType/>
    <w:pitch w:val="default"/>
    <w:sig w:usb0="00000001" w:usb1="08080000" w:usb2="00000010" w:usb3="00000000" w:csb0="00100000" w:csb1="00000000"/>
  </w:font>
  <w:font w:name="AdvOTbc475f09">
    <w:panose1 w:val="00000000000000000000"/>
    <w:charset w:val="00"/>
    <w:family w:val="roman"/>
    <w:notTrueType/>
    <w:pitch w:val="default"/>
    <w:sig w:usb0="00000003" w:usb1="00000000" w:usb2="00000000" w:usb3="00000000" w:csb0="00000001" w:csb1="00000000"/>
  </w:font>
  <w:font w:name="AdvOTbc475f09+fb">
    <w:panose1 w:val="00000000000000000000"/>
    <w:charset w:val="00"/>
    <w:family w:val="auto"/>
    <w:notTrueType/>
    <w:pitch w:val="default"/>
    <w:sig w:usb0="00000003" w:usb1="00000000" w:usb2="00000000" w:usb3="00000000" w:csb0="00000001" w:csb1="00000000"/>
  </w:font>
  <w:font w:name="AdvOTdc5ff126">
    <w:altName w:val="Calibri"/>
    <w:panose1 w:val="00000000000000000000"/>
    <w:charset w:val="00"/>
    <w:family w:val="swiss"/>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 w:name="AdvPTimesI">
    <w:panose1 w:val="00000000000000000000"/>
    <w:charset w:val="00"/>
    <w:family w:val="roman"/>
    <w:notTrueType/>
    <w:pitch w:val="default"/>
    <w:sig w:usb0="00000003" w:usb1="00000000" w:usb2="00000000" w:usb3="00000000" w:csb0="00000001" w:csb1="00000000"/>
  </w:font>
  <w:font w:name="DIN-RegularItalic">
    <w:panose1 w:val="00000000000000000000"/>
    <w:charset w:val="00"/>
    <w:family w:val="swiss"/>
    <w:notTrueType/>
    <w:pitch w:val="default"/>
    <w:sig w:usb0="00000003" w:usb1="00000000" w:usb2="00000000" w:usb3="00000000" w:csb0="00000001" w:csb1="00000000"/>
  </w:font>
  <w:font w:name="DIN-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6e5d2ec0">
    <w:panose1 w:val="00000000000000000000"/>
    <w:charset w:val="00"/>
    <w:family w:val="swiss"/>
    <w:notTrueType/>
    <w:pitch w:val="default"/>
    <w:sig w:usb0="00000003" w:usb1="00000000" w:usb2="00000000" w:usb3="00000000" w:csb0="00000001" w:csb1="00000000"/>
  </w:font>
  <w:font w:name="AdvOT1deab444.I">
    <w:panose1 w:val="00000000000000000000"/>
    <w:charset w:val="00"/>
    <w:family w:val="swiss"/>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GulliverRM">
    <w:panose1 w:val="00000000000000000000"/>
    <w:charset w:val="00"/>
    <w:family w:val="auto"/>
    <w:notTrueType/>
    <w:pitch w:val="default"/>
    <w:sig w:usb0="00000003" w:usb1="00000000" w:usb2="00000000" w:usb3="00000000" w:csb0="00000001" w:csb1="00000000"/>
  </w:font>
  <w:font w:name="SabonLTStd-Roman">
    <w:altName w:val="Yu Gothic UI"/>
    <w:panose1 w:val="00000000000000000000"/>
    <w:charset w:val="80"/>
    <w:family w:val="roman"/>
    <w:notTrueType/>
    <w:pitch w:val="default"/>
    <w:sig w:usb0="00000001" w:usb1="08070000" w:usb2="00000010" w:usb3="00000000" w:csb0="0002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SMyr">
    <w:panose1 w:val="00000000000000000000"/>
    <w:charset w:val="00"/>
    <w:family w:val="swiss"/>
    <w:notTrueType/>
    <w:pitch w:val="default"/>
    <w:sig w:usb0="00000003" w:usb1="00000000" w:usb2="00000000" w:usb3="00000000" w:csb0="00000001" w:csb1="00000000"/>
  </w:font>
  <w:font w:name="TradeGothicLTStd-Bd2">
    <w:altName w:val="Calibri"/>
    <w:panose1 w:val="00000000000000000000"/>
    <w:charset w:val="00"/>
    <w:family w:val="auto"/>
    <w:notTrueType/>
    <w:pitch w:val="default"/>
    <w:sig w:usb0="00000003" w:usb1="00000000" w:usb2="00000000" w:usb3="00000000" w:csb0="00000001" w:csb1="00000000"/>
  </w:font>
  <w:font w:name="AdvTTae86113c">
    <w:altName w:val="Cambria"/>
    <w:panose1 w:val="00000000000000000000"/>
    <w:charset w:val="00"/>
    <w:family w:val="roman"/>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ngal">
    <w:altName w:val="Courier New"/>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dvPSECF967">
    <w:panose1 w:val="00000000000000000000"/>
    <w:charset w:val="00"/>
    <w:family w:val="swiss"/>
    <w:notTrueType/>
    <w:pitch w:val="default"/>
    <w:sig w:usb0="00000003" w:usb1="00000000" w:usb2="00000000" w:usb3="00000000" w:csb0="00000001" w:csb1="00000000"/>
  </w:font>
  <w:font w:name="MTSY">
    <w:altName w:val="Malgun Gothic"/>
    <w:panose1 w:val="00000000000000000000"/>
    <w:charset w:val="81"/>
    <w:family w:val="auto"/>
    <w:notTrueType/>
    <w:pitch w:val="default"/>
    <w:sig w:usb0="00000001" w:usb1="09060000" w:usb2="00000010" w:usb3="00000000" w:csb0="00080000" w:csb1="00000000"/>
  </w:font>
  <w:font w:name="AdvCas540BT-R">
    <w:panose1 w:val="00000000000000000000"/>
    <w:charset w:val="00"/>
    <w:family w:val="roman"/>
    <w:notTrueType/>
    <w:pitch w:val="default"/>
    <w:sig w:usb0="00000003" w:usb1="00000000" w:usb2="00000000" w:usb3="00000000" w:csb0="00000001" w:csb1="00000000"/>
  </w:font>
  <w:font w:name="TradeGothic-BoldTwo">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ulliverBI">
    <w:panose1 w:val="00000000000000000000"/>
    <w:charset w:val="00"/>
    <w:family w:val="auto"/>
    <w:notTrueType/>
    <w:pitch w:val="default"/>
    <w:sig w:usb0="00000003" w:usb1="00000000" w:usb2="00000000" w:usb3="00000000" w:csb0="00000001" w:csb1="00000000"/>
  </w:font>
  <w:font w:name="AdvOT140f2bdb">
    <w:panose1 w:val="00000000000000000000"/>
    <w:charset w:val="00"/>
    <w:family w:val="roman"/>
    <w:notTrueType/>
    <w:pitch w:val="default"/>
    <w:sig w:usb0="00000003" w:usb1="00000000" w:usb2="00000000" w:usb3="00000000" w:csb0="00000001" w:csb1="00000000"/>
  </w:font>
  <w:font w:name="AdvOT140f2bdb+fb">
    <w:panose1 w:val="00000000000000000000"/>
    <w:charset w:val="00"/>
    <w:family w:val="auto"/>
    <w:notTrueType/>
    <w:pitch w:val="default"/>
    <w:sig w:usb0="00000003" w:usb1="00000000" w:usb2="00000000" w:usb3="00000000" w:csb0="00000001" w:csb1="00000000"/>
  </w:font>
  <w:font w:name="AdvOT99cbfba5.I">
    <w:panose1 w:val="00000000000000000000"/>
    <w:charset w:val="00"/>
    <w:family w:val="roman"/>
    <w:notTrueType/>
    <w:pitch w:val="default"/>
    <w:sig w:usb0="00000003" w:usb1="00000000" w:usb2="00000000" w:usb3="00000000" w:csb0="00000001" w:csb1="00000000"/>
  </w:font>
  <w:font w:name="PlantinStd">
    <w:altName w:val="MS Mincho"/>
    <w:panose1 w:val="00000000000000000000"/>
    <w:charset w:val="80"/>
    <w:family w:val="roman"/>
    <w:notTrueType/>
    <w:pitch w:val="default"/>
    <w:sig w:usb0="00000001" w:usb1="08070000" w:usb2="00000010" w:usb3="00000000" w:csb0="00020000" w:csb1="00000000"/>
  </w:font>
  <w:font w:name="PlantinStd-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variable"/>
    <w:sig w:usb0="00000003" w:usb1="00000000" w:usb2="00000000" w:usb3="00000000" w:csb0="00000001" w:csb1="00000000"/>
  </w:font>
  <w:font w:name="Transitional521BT-RomanA">
    <w:panose1 w:val="00000000000000000000"/>
    <w:charset w:val="00"/>
    <w:family w:val="roman"/>
    <w:notTrueType/>
    <w:pitch w:val="default"/>
    <w:sig w:usb0="00000003" w:usb1="00000000" w:usb2="00000000" w:usb3="00000000" w:csb0="00000001" w:csb1="00000000"/>
  </w:font>
  <w:font w:name="TradeGothicLTStd-Light">
    <w:panose1 w:val="00000000000000000000"/>
    <w:charset w:val="00"/>
    <w:family w:val="auto"/>
    <w:notTrueType/>
    <w:pitch w:val="default"/>
    <w:sig w:usb0="00000003" w:usb1="00000000" w:usb2="00000000" w:usb3="00000000" w:csb0="00000001" w:csb1="00000000"/>
  </w:font>
  <w:font w:name="AdvOT333dc5e5">
    <w:panose1 w:val="00000000000000000000"/>
    <w:charset w:val="00"/>
    <w:family w:val="swiss"/>
    <w:notTrueType/>
    <w:pitch w:val="default"/>
    <w:sig w:usb0="00000003" w:usb1="00000000" w:usb2="00000000" w:usb3="00000000" w:csb0="00000001" w:csb1="00000000"/>
  </w:font>
  <w:font w:name="AdvOT638a931c.I">
    <w:panose1 w:val="00000000000000000000"/>
    <w:charset w:val="00"/>
    <w:family w:val="swiss"/>
    <w:notTrueType/>
    <w:pitch w:val="default"/>
    <w:sig w:usb0="00000003" w:usb1="00000000" w:usb2="00000000" w:usb3="00000000" w:csb0="00000001" w:csb1="00000000"/>
  </w:font>
  <w:font w:name="AdvOT8608a8d1">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 w:name="AdvOT46dcae81+20">
    <w:panose1 w:val="00000000000000000000"/>
    <w:charset w:val="00"/>
    <w:family w:val="swiss"/>
    <w:notTrueType/>
    <w:pitch w:val="default"/>
    <w:sig w:usb0="00000003" w:usb1="00000000" w:usb2="00000000" w:usb3="00000000" w:csb0="00000001" w:csb1="00000000"/>
  </w:font>
  <w:font w:name="AdvOTdc5ff126+fb">
    <w:panose1 w:val="00000000000000000000"/>
    <w:charset w:val="00"/>
    <w:family w:val="auto"/>
    <w:notTrueType/>
    <w:pitch w:val="default"/>
    <w:sig w:usb0="00000003" w:usb1="00000000" w:usb2="00000000" w:usb3="00000000" w:csb0="00000001" w:csb1="00000000"/>
  </w:font>
  <w:font w:name="AdvOT65f8a23b.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CF2" w:rsidRDefault="00B10CF2">
      <w:r>
        <w:separator/>
      </w:r>
    </w:p>
  </w:footnote>
  <w:footnote w:type="continuationSeparator" w:id="0">
    <w:p w:rsidR="00B10CF2" w:rsidRDefault="00B10C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027" w:rsidRDefault="001D4918" w:rsidP="00470AD8">
    <w:pPr>
      <w:pStyle w:val="af0"/>
      <w:framePr w:wrap="none" w:vAnchor="text" w:hAnchor="margin" w:xAlign="right" w:y="1"/>
      <w:rPr>
        <w:rStyle w:val="af5"/>
      </w:rPr>
    </w:pPr>
    <w:r>
      <w:rPr>
        <w:rStyle w:val="af5"/>
      </w:rPr>
      <w:fldChar w:fldCharType="begin"/>
    </w:r>
    <w:r>
      <w:rPr>
        <w:rStyle w:val="af5"/>
      </w:rPr>
      <w:instrText xml:space="preserve"> PAGE </w:instrText>
    </w:r>
    <w:r>
      <w:rPr>
        <w:rStyle w:val="af5"/>
      </w:rPr>
      <w:fldChar w:fldCharType="end"/>
    </w:r>
  </w:p>
  <w:p w:rsidR="00934027" w:rsidRDefault="00B10CF2" w:rsidP="003176FD">
    <w:pPr>
      <w:pStyle w:val="af0"/>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4027" w:rsidRDefault="00B10CF2" w:rsidP="00CF00FF">
    <w:pPr>
      <w:pStyle w:val="af0"/>
      <w:ind w:right="36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97F0B"/>
    <w:multiLevelType w:val="hybridMultilevel"/>
    <w:tmpl w:val="7B82C28C"/>
    <w:lvl w:ilvl="0" w:tplc="E9924C24">
      <w:start w:val="1"/>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18C3FBA"/>
    <w:multiLevelType w:val="hybridMultilevel"/>
    <w:tmpl w:val="E87A4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3B534F"/>
    <w:multiLevelType w:val="hybridMultilevel"/>
    <w:tmpl w:val="F84ADDFE"/>
    <w:lvl w:ilvl="0" w:tplc="E1C27F24">
      <w:start w:val="1"/>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1AA69E8C">
      <w:start w:val="1"/>
      <w:numFmt w:val="bullet"/>
      <w:lvlText w:val=""/>
      <w:lvlJc w:val="left"/>
      <w:pPr>
        <w:ind w:left="2160" w:hanging="360"/>
      </w:pPr>
      <w:rPr>
        <w:rFonts w:ascii="Wingdings" w:eastAsia="Times New Roman"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918"/>
    <w:rsid w:val="00043CB0"/>
    <w:rsid w:val="000E652A"/>
    <w:rsid w:val="0015754E"/>
    <w:rsid w:val="001D4918"/>
    <w:rsid w:val="0024254C"/>
    <w:rsid w:val="00290339"/>
    <w:rsid w:val="002D48C0"/>
    <w:rsid w:val="005D68D2"/>
    <w:rsid w:val="00694530"/>
    <w:rsid w:val="007742D4"/>
    <w:rsid w:val="007A6DFD"/>
    <w:rsid w:val="00A20785"/>
    <w:rsid w:val="00B10CF2"/>
    <w:rsid w:val="00C0709F"/>
    <w:rsid w:val="00D138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25A637-BBA8-4DC4-A97B-1A7E94E75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4918"/>
    <w:rPr>
      <w:rFonts w:ascii="Times New Roman" w:eastAsia="宋体" w:hAnsi="Times New Roman" w:cs="Times New Roman"/>
      <w:kern w:val="0"/>
      <w:sz w:val="24"/>
      <w:szCs w:val="24"/>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D4918"/>
    <w:pPr>
      <w:spacing w:before="100" w:beforeAutospacing="1" w:after="100" w:afterAutospacing="1"/>
    </w:pPr>
  </w:style>
  <w:style w:type="character" w:styleId="a4">
    <w:name w:val="Hyperlink"/>
    <w:uiPriority w:val="99"/>
    <w:rsid w:val="001D4918"/>
    <w:rPr>
      <w:rFonts w:cs="Times New Roman"/>
      <w:color w:val="0000FF"/>
      <w:u w:val="single"/>
    </w:rPr>
  </w:style>
  <w:style w:type="paragraph" w:customStyle="1" w:styleId="Default">
    <w:name w:val="Default"/>
    <w:uiPriority w:val="99"/>
    <w:rsid w:val="001D4918"/>
    <w:pPr>
      <w:autoSpaceDE w:val="0"/>
      <w:autoSpaceDN w:val="0"/>
      <w:adjustRightInd w:val="0"/>
    </w:pPr>
    <w:rPr>
      <w:rFonts w:ascii="Book Antiqua" w:eastAsia="宋体" w:hAnsi="Book Antiqua" w:cs="Book Antiqua"/>
      <w:color w:val="000000"/>
      <w:kern w:val="0"/>
      <w:sz w:val="24"/>
      <w:szCs w:val="24"/>
      <w:lang w:val="fr-FR" w:eastAsia="en-US"/>
    </w:rPr>
  </w:style>
  <w:style w:type="paragraph" w:styleId="a5">
    <w:name w:val="Bibliography"/>
    <w:basedOn w:val="a"/>
    <w:next w:val="a"/>
    <w:uiPriority w:val="99"/>
    <w:rsid w:val="001D4918"/>
    <w:pPr>
      <w:tabs>
        <w:tab w:val="left" w:pos="384"/>
      </w:tabs>
      <w:spacing w:after="240"/>
      <w:ind w:left="384" w:hanging="384"/>
    </w:pPr>
    <w:rPr>
      <w:rFonts w:ascii="Calibri" w:hAnsi="Calibri"/>
      <w:sz w:val="22"/>
      <w:szCs w:val="22"/>
      <w:lang w:eastAsia="en-US"/>
    </w:rPr>
  </w:style>
  <w:style w:type="character" w:styleId="a6">
    <w:name w:val="Emphasis"/>
    <w:uiPriority w:val="99"/>
    <w:qFormat/>
    <w:rsid w:val="001D4918"/>
    <w:rPr>
      <w:rFonts w:cs="Times New Roman"/>
      <w:i/>
    </w:rPr>
  </w:style>
  <w:style w:type="character" w:customStyle="1" w:styleId="highlight">
    <w:name w:val="highlight"/>
    <w:uiPriority w:val="99"/>
    <w:rsid w:val="001D4918"/>
    <w:rPr>
      <w:rFonts w:cs="Times New Roman"/>
    </w:rPr>
  </w:style>
  <w:style w:type="paragraph" w:styleId="a7">
    <w:name w:val="List Paragraph"/>
    <w:basedOn w:val="a"/>
    <w:uiPriority w:val="99"/>
    <w:qFormat/>
    <w:rsid w:val="001D4918"/>
    <w:pPr>
      <w:spacing w:after="200" w:line="276" w:lineRule="auto"/>
      <w:ind w:left="720"/>
      <w:contextualSpacing/>
    </w:pPr>
    <w:rPr>
      <w:rFonts w:ascii="Calibri" w:hAnsi="Calibri"/>
      <w:sz w:val="22"/>
      <w:szCs w:val="22"/>
      <w:lang w:eastAsia="en-US"/>
    </w:rPr>
  </w:style>
  <w:style w:type="paragraph" w:styleId="a8">
    <w:name w:val="Balloon Text"/>
    <w:basedOn w:val="a"/>
    <w:link w:val="a9"/>
    <w:uiPriority w:val="99"/>
    <w:semiHidden/>
    <w:rsid w:val="001D4918"/>
    <w:rPr>
      <w:rFonts w:ascii="Tahoma" w:hAnsi="Tahoma" w:cs="Tahoma"/>
      <w:sz w:val="16"/>
      <w:szCs w:val="16"/>
      <w:lang w:eastAsia="en-US"/>
    </w:rPr>
  </w:style>
  <w:style w:type="character" w:customStyle="1" w:styleId="a9">
    <w:name w:val="批注框文本 字符"/>
    <w:basedOn w:val="a0"/>
    <w:link w:val="a8"/>
    <w:uiPriority w:val="99"/>
    <w:semiHidden/>
    <w:rsid w:val="001D4918"/>
    <w:rPr>
      <w:rFonts w:ascii="Tahoma" w:eastAsia="宋体" w:hAnsi="Tahoma" w:cs="Tahoma"/>
      <w:kern w:val="0"/>
      <w:sz w:val="16"/>
      <w:szCs w:val="16"/>
      <w:lang w:val="fr-FR" w:eastAsia="en-US"/>
    </w:rPr>
  </w:style>
  <w:style w:type="table" w:styleId="aa">
    <w:name w:val="Table Grid"/>
    <w:basedOn w:val="a1"/>
    <w:uiPriority w:val="99"/>
    <w:rsid w:val="001D4918"/>
    <w:rPr>
      <w:rFonts w:ascii="Calibri" w:eastAsia="宋体" w:hAnsi="Calibri"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rsid w:val="001D4918"/>
    <w:rPr>
      <w:rFonts w:cs="Times New Roman"/>
      <w:sz w:val="16"/>
    </w:rPr>
  </w:style>
  <w:style w:type="paragraph" w:styleId="ac">
    <w:name w:val="annotation text"/>
    <w:basedOn w:val="a"/>
    <w:link w:val="ad"/>
    <w:uiPriority w:val="99"/>
    <w:rsid w:val="001D4918"/>
    <w:pPr>
      <w:spacing w:after="200"/>
    </w:pPr>
    <w:rPr>
      <w:rFonts w:ascii="Calibri" w:hAnsi="Calibri"/>
      <w:sz w:val="20"/>
      <w:szCs w:val="20"/>
      <w:lang w:eastAsia="en-US"/>
    </w:rPr>
  </w:style>
  <w:style w:type="character" w:customStyle="1" w:styleId="ad">
    <w:name w:val="批注文字 字符"/>
    <w:basedOn w:val="a0"/>
    <w:link w:val="ac"/>
    <w:uiPriority w:val="99"/>
    <w:rsid w:val="001D4918"/>
    <w:rPr>
      <w:rFonts w:ascii="Calibri" w:eastAsia="宋体" w:hAnsi="Calibri" w:cs="Times New Roman"/>
      <w:kern w:val="0"/>
      <w:sz w:val="20"/>
      <w:szCs w:val="20"/>
      <w:lang w:val="fr-FR" w:eastAsia="en-US"/>
    </w:rPr>
  </w:style>
  <w:style w:type="paragraph" w:styleId="ae">
    <w:name w:val="annotation subject"/>
    <w:basedOn w:val="ac"/>
    <w:next w:val="ac"/>
    <w:link w:val="af"/>
    <w:uiPriority w:val="99"/>
    <w:semiHidden/>
    <w:rsid w:val="001D4918"/>
    <w:rPr>
      <w:b/>
      <w:bCs/>
    </w:rPr>
  </w:style>
  <w:style w:type="character" w:customStyle="1" w:styleId="af">
    <w:name w:val="批注主题 字符"/>
    <w:basedOn w:val="ad"/>
    <w:link w:val="ae"/>
    <w:uiPriority w:val="99"/>
    <w:semiHidden/>
    <w:rsid w:val="001D4918"/>
    <w:rPr>
      <w:rFonts w:ascii="Calibri" w:eastAsia="宋体" w:hAnsi="Calibri" w:cs="Times New Roman"/>
      <w:b/>
      <w:bCs/>
      <w:kern w:val="0"/>
      <w:sz w:val="20"/>
      <w:szCs w:val="20"/>
      <w:lang w:val="fr-FR" w:eastAsia="en-US"/>
    </w:rPr>
  </w:style>
  <w:style w:type="paragraph" w:customStyle="1" w:styleId="Pa9">
    <w:name w:val="Pa9"/>
    <w:basedOn w:val="Default"/>
    <w:next w:val="Default"/>
    <w:uiPriority w:val="99"/>
    <w:rsid w:val="001D4918"/>
    <w:pPr>
      <w:spacing w:line="185" w:lineRule="atLeast"/>
    </w:pPr>
    <w:rPr>
      <w:rFonts w:ascii="Minion Pro" w:hAnsi="Minion Pro" w:cs="Times New Roman"/>
      <w:color w:val="auto"/>
    </w:rPr>
  </w:style>
  <w:style w:type="character" w:customStyle="1" w:styleId="b">
    <w:name w:val="b"/>
    <w:uiPriority w:val="99"/>
    <w:rsid w:val="001D4918"/>
    <w:rPr>
      <w:rFonts w:cs="Times New Roman"/>
    </w:rPr>
  </w:style>
  <w:style w:type="character" w:customStyle="1" w:styleId="1">
    <w:name w:val="批注文字 字符1"/>
    <w:uiPriority w:val="99"/>
    <w:rsid w:val="001D4918"/>
    <w:rPr>
      <w:rFonts w:ascii="Calibri" w:eastAsia="宋体" w:hAnsi="Calibri"/>
      <w:kern w:val="0"/>
      <w:sz w:val="22"/>
      <w:lang w:val="en-GB" w:eastAsia="en-US"/>
    </w:rPr>
  </w:style>
  <w:style w:type="paragraph" w:styleId="af0">
    <w:name w:val="header"/>
    <w:basedOn w:val="a"/>
    <w:link w:val="af1"/>
    <w:uiPriority w:val="99"/>
    <w:rsid w:val="001D4918"/>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uiPriority w:val="99"/>
    <w:rsid w:val="001D4918"/>
    <w:rPr>
      <w:rFonts w:ascii="Times New Roman" w:eastAsia="宋体" w:hAnsi="Times New Roman" w:cs="Times New Roman"/>
      <w:kern w:val="0"/>
      <w:sz w:val="18"/>
      <w:szCs w:val="18"/>
      <w:lang w:val="fr-FR" w:eastAsia="fr-FR"/>
    </w:rPr>
  </w:style>
  <w:style w:type="paragraph" w:styleId="af2">
    <w:name w:val="footer"/>
    <w:basedOn w:val="a"/>
    <w:link w:val="af3"/>
    <w:uiPriority w:val="99"/>
    <w:rsid w:val="001D4918"/>
    <w:pPr>
      <w:tabs>
        <w:tab w:val="center" w:pos="4153"/>
        <w:tab w:val="right" w:pos="8306"/>
      </w:tabs>
      <w:snapToGrid w:val="0"/>
    </w:pPr>
    <w:rPr>
      <w:sz w:val="18"/>
      <w:szCs w:val="18"/>
    </w:rPr>
  </w:style>
  <w:style w:type="character" w:customStyle="1" w:styleId="af3">
    <w:name w:val="页脚 字符"/>
    <w:basedOn w:val="a0"/>
    <w:link w:val="af2"/>
    <w:uiPriority w:val="99"/>
    <w:rsid w:val="001D4918"/>
    <w:rPr>
      <w:rFonts w:ascii="Times New Roman" w:eastAsia="宋体" w:hAnsi="Times New Roman" w:cs="Times New Roman"/>
      <w:kern w:val="0"/>
      <w:sz w:val="18"/>
      <w:szCs w:val="18"/>
      <w:lang w:val="fr-FR" w:eastAsia="fr-FR"/>
    </w:rPr>
  </w:style>
  <w:style w:type="character" w:styleId="af4">
    <w:name w:val="Strong"/>
    <w:uiPriority w:val="99"/>
    <w:qFormat/>
    <w:rsid w:val="001D4918"/>
    <w:rPr>
      <w:rFonts w:cs="Times New Roman"/>
      <w:b/>
    </w:rPr>
  </w:style>
  <w:style w:type="character" w:styleId="af5">
    <w:name w:val="page number"/>
    <w:uiPriority w:val="99"/>
    <w:semiHidden/>
    <w:rsid w:val="001D4918"/>
    <w:rPr>
      <w:rFonts w:cs="Times New Roman"/>
    </w:rPr>
  </w:style>
  <w:style w:type="character" w:customStyle="1" w:styleId="10">
    <w:name w:val="未处理的提及1"/>
    <w:uiPriority w:val="99"/>
    <w:semiHidden/>
    <w:rsid w:val="001D4918"/>
    <w:rPr>
      <w:color w:val="605E5C"/>
      <w:shd w:val="clear" w:color="auto" w:fill="E1DFDD"/>
    </w:rPr>
  </w:style>
  <w:style w:type="table" w:customStyle="1" w:styleId="Grilledutableau1">
    <w:name w:val="Grille du tableau1"/>
    <w:uiPriority w:val="99"/>
    <w:rsid w:val="001D4918"/>
    <w:rPr>
      <w:rFonts w:ascii="Calibri" w:eastAsia="宋体" w:hAnsi="Calibri" w:cs="Times New Roman"/>
      <w:kern w:val="0"/>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uiPriority w:val="99"/>
    <w:rsid w:val="001D4918"/>
    <w:rPr>
      <w:rFonts w:ascii="Calibri" w:eastAsia="宋体" w:hAnsi="Calibri" w:cs="Times New Roman"/>
      <w:kern w:val="0"/>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uiPriority w:val="99"/>
    <w:rsid w:val="001D4918"/>
    <w:rPr>
      <w:rFonts w:ascii="Calibri" w:eastAsia="宋体" w:hAnsi="Calibri" w:cs="Times New Roman"/>
      <w:kern w:val="0"/>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uiPriority w:val="99"/>
    <w:rsid w:val="001D4918"/>
    <w:rPr>
      <w:rFonts w:ascii="Calibri" w:eastAsia="宋体" w:hAnsi="Calibri" w:cs="Times New Roman"/>
      <w:kern w:val="0"/>
      <w:sz w:val="24"/>
      <w:szCs w:val="24"/>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55</Pages>
  <Words>73334</Words>
  <Characters>418008</Characters>
  <Application>Microsoft Office Word</Application>
  <DocSecurity>0</DocSecurity>
  <Lines>3483</Lines>
  <Paragraphs>980</Paragraphs>
  <ScaleCrop>false</ScaleCrop>
  <Company/>
  <LinksUpToDate>false</LinksUpToDate>
  <CharactersWithSpaces>490362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438173042@qq.com</dc:creator>
  <cp:keywords/>
  <dc:description/>
  <cp:lastModifiedBy>HP</cp:lastModifiedBy>
  <cp:revision>2</cp:revision>
  <dcterms:created xsi:type="dcterms:W3CDTF">2019-07-19T13:32:00Z</dcterms:created>
  <dcterms:modified xsi:type="dcterms:W3CDTF">2019-07-19T13:32:00Z</dcterms:modified>
</cp:coreProperties>
</file>