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D420" w14:textId="47E26932" w:rsidR="00CA4B13" w:rsidRPr="00B909F3" w:rsidRDefault="00CA4B13" w:rsidP="00197EDE">
      <w:pPr>
        <w:widowControl w:val="0"/>
        <w:spacing w:after="0" w:line="360" w:lineRule="auto"/>
        <w:jc w:val="both"/>
        <w:rPr>
          <w:rFonts w:ascii="Book Antiqua" w:eastAsia="SimSun" w:hAnsi="Book Antiqua"/>
          <w:b/>
          <w:szCs w:val="24"/>
          <w:lang w:val="en-GB" w:eastAsia="zh-CN"/>
        </w:rPr>
      </w:pPr>
      <w:r w:rsidRPr="00B909F3">
        <w:rPr>
          <w:rFonts w:ascii="Book Antiqua" w:eastAsia="SimSun" w:hAnsi="Book Antiqua"/>
          <w:b/>
          <w:szCs w:val="24"/>
          <w:lang w:val="en-GB" w:eastAsia="zh-CN"/>
        </w:rPr>
        <w:t xml:space="preserve">Name of journal: </w:t>
      </w:r>
      <w:r w:rsidRPr="00B909F3">
        <w:rPr>
          <w:rFonts w:ascii="Book Antiqua" w:eastAsia="SimSun" w:hAnsi="Book Antiqua"/>
          <w:i/>
          <w:szCs w:val="24"/>
          <w:lang w:val="en-GB" w:eastAsia="zh-CN"/>
        </w:rPr>
        <w:t>World Journal of Transplantation</w:t>
      </w:r>
    </w:p>
    <w:p w14:paraId="4B74A6B1" w14:textId="7D2018BE" w:rsidR="00CA4B13" w:rsidRPr="00B909F3" w:rsidRDefault="00CA4B13" w:rsidP="00197EDE">
      <w:pPr>
        <w:widowControl w:val="0"/>
        <w:spacing w:after="0" w:line="360" w:lineRule="auto"/>
        <w:jc w:val="both"/>
        <w:rPr>
          <w:rFonts w:ascii="Book Antiqua" w:eastAsia="SimSun" w:hAnsi="Book Antiqua"/>
          <w:b/>
          <w:szCs w:val="24"/>
          <w:lang w:val="en-GB" w:eastAsia="zh-CN"/>
        </w:rPr>
      </w:pPr>
      <w:r w:rsidRPr="00B909F3">
        <w:rPr>
          <w:rFonts w:ascii="Book Antiqua" w:eastAsia="SimSun" w:hAnsi="Book Antiqua"/>
          <w:b/>
          <w:szCs w:val="24"/>
          <w:lang w:val="en-GB" w:eastAsia="zh-CN"/>
        </w:rPr>
        <w:t xml:space="preserve">Manuscript NO: </w:t>
      </w:r>
      <w:r w:rsidR="00C00ACB" w:rsidRPr="00B909F3">
        <w:rPr>
          <w:rFonts w:ascii="Book Antiqua" w:eastAsia="SimSun" w:hAnsi="Book Antiqua"/>
          <w:szCs w:val="24"/>
          <w:lang w:val="en-GB" w:eastAsia="zh-CN"/>
        </w:rPr>
        <w:t>47838</w:t>
      </w:r>
    </w:p>
    <w:p w14:paraId="31C7F1D5" w14:textId="24909DF1" w:rsidR="00C00ACB" w:rsidRPr="00B909F3" w:rsidRDefault="00CA4B13" w:rsidP="00197EDE">
      <w:pPr>
        <w:widowControl w:val="0"/>
        <w:spacing w:after="0" w:line="360" w:lineRule="auto"/>
        <w:jc w:val="both"/>
        <w:rPr>
          <w:rFonts w:ascii="Book Antiqua" w:eastAsia="SimSun" w:hAnsi="Book Antiqua"/>
          <w:b/>
          <w:szCs w:val="24"/>
          <w:lang w:val="en-GB" w:eastAsia="zh-CN"/>
        </w:rPr>
      </w:pPr>
      <w:bookmarkStart w:id="0" w:name="OLE_LINK3"/>
      <w:bookmarkStart w:id="1" w:name="OLE_LINK4"/>
      <w:r w:rsidRPr="00B909F3">
        <w:rPr>
          <w:rFonts w:ascii="Book Antiqua" w:hAnsi="Book Antiqua"/>
          <w:b/>
          <w:szCs w:val="24"/>
          <w:shd w:val="clear" w:color="auto" w:fill="FFFFFF"/>
        </w:rPr>
        <w:t>Manuscript</w:t>
      </w:r>
      <w:r w:rsidR="00C00ACB" w:rsidRPr="00B909F3">
        <w:rPr>
          <w:rFonts w:ascii="Book Antiqua" w:hAnsi="Book Antiqua"/>
          <w:b/>
          <w:szCs w:val="24"/>
          <w:shd w:val="clear" w:color="auto" w:fill="FFFFFF"/>
        </w:rPr>
        <w:t xml:space="preserve"> </w:t>
      </w:r>
      <w:r w:rsidRPr="00B909F3">
        <w:rPr>
          <w:rFonts w:ascii="Book Antiqua" w:hAnsi="Book Antiqua"/>
          <w:b/>
          <w:szCs w:val="24"/>
          <w:shd w:val="clear" w:color="auto" w:fill="FFFFFF"/>
        </w:rPr>
        <w:t>Type</w:t>
      </w:r>
      <w:r w:rsidRPr="00B909F3">
        <w:rPr>
          <w:rFonts w:ascii="Book Antiqua" w:hAnsi="Book Antiqua"/>
          <w:b/>
          <w:szCs w:val="24"/>
        </w:rPr>
        <w:t>:</w:t>
      </w:r>
      <w:bookmarkEnd w:id="0"/>
      <w:bookmarkEnd w:id="1"/>
      <w:r w:rsidRPr="00B909F3">
        <w:rPr>
          <w:rFonts w:ascii="Book Antiqua" w:eastAsia="SimSun" w:hAnsi="Book Antiqua"/>
          <w:b/>
          <w:szCs w:val="24"/>
          <w:lang w:val="en-GB" w:eastAsia="zh-CN"/>
        </w:rPr>
        <w:t xml:space="preserve"> </w:t>
      </w:r>
      <w:r w:rsidR="00C00ACB" w:rsidRPr="00B909F3">
        <w:rPr>
          <w:rFonts w:ascii="Book Antiqua" w:eastAsia="SimSun" w:hAnsi="Book Antiqua"/>
          <w:bCs/>
          <w:szCs w:val="24"/>
          <w:lang w:val="en-GB" w:eastAsia="zh-CN"/>
        </w:rPr>
        <w:t>ORIGINAL ARTICLE</w:t>
      </w:r>
    </w:p>
    <w:p w14:paraId="1F3E3A03" w14:textId="77777777" w:rsidR="00C00ACB" w:rsidRPr="00B909F3" w:rsidRDefault="00C00ACB" w:rsidP="00197EDE">
      <w:pPr>
        <w:widowControl w:val="0"/>
        <w:spacing w:after="0" w:line="360" w:lineRule="auto"/>
        <w:jc w:val="both"/>
        <w:rPr>
          <w:rFonts w:ascii="Book Antiqua" w:eastAsia="SimSun" w:hAnsi="Book Antiqua"/>
          <w:b/>
          <w:szCs w:val="24"/>
          <w:lang w:val="en-GB" w:eastAsia="zh-CN"/>
        </w:rPr>
      </w:pPr>
    </w:p>
    <w:p w14:paraId="552BB0B0" w14:textId="55406E74" w:rsidR="00CA4B13" w:rsidRPr="00B909F3" w:rsidRDefault="00C00ACB" w:rsidP="00197EDE">
      <w:pPr>
        <w:widowControl w:val="0"/>
        <w:spacing w:after="0" w:line="360" w:lineRule="auto"/>
        <w:jc w:val="both"/>
        <w:rPr>
          <w:rFonts w:ascii="Book Antiqua" w:eastAsia="SimSun" w:hAnsi="Book Antiqua"/>
          <w:b/>
          <w:bCs/>
          <w:i/>
          <w:iCs/>
          <w:szCs w:val="24"/>
          <w:lang w:val="en-GB" w:eastAsia="zh-CN"/>
        </w:rPr>
      </w:pPr>
      <w:r w:rsidRPr="00B909F3">
        <w:rPr>
          <w:rFonts w:ascii="Book Antiqua" w:eastAsia="SimSun" w:hAnsi="Book Antiqua"/>
          <w:b/>
          <w:bCs/>
          <w:i/>
          <w:iCs/>
          <w:szCs w:val="24"/>
          <w:lang w:val="en-GB" w:eastAsia="zh-CN"/>
        </w:rPr>
        <w:t>Retrospective Cohort Study</w:t>
      </w:r>
    </w:p>
    <w:p w14:paraId="7AD3645F" w14:textId="41FBD510" w:rsidR="002B4FCF" w:rsidRPr="00B909F3" w:rsidRDefault="00752F03" w:rsidP="00197EDE">
      <w:pPr>
        <w:spacing w:after="0" w:line="360" w:lineRule="auto"/>
        <w:jc w:val="both"/>
        <w:rPr>
          <w:rFonts w:ascii="Book Antiqua" w:hAnsi="Book Antiqua" w:cs="Arial"/>
          <w:b/>
          <w:szCs w:val="24"/>
        </w:rPr>
      </w:pPr>
      <w:bookmarkStart w:id="2" w:name="OLE_LINK2"/>
      <w:r w:rsidRPr="00B909F3">
        <w:rPr>
          <w:rFonts w:ascii="Book Antiqua" w:hAnsi="Book Antiqua" w:cs="Arial"/>
          <w:b/>
          <w:szCs w:val="24"/>
        </w:rPr>
        <w:t>Impact of recipient functional status on 1-year liver transplant outcomes</w:t>
      </w:r>
    </w:p>
    <w:bookmarkEnd w:id="2"/>
    <w:p w14:paraId="79366A0B" w14:textId="77777777" w:rsidR="00E17D44" w:rsidRPr="00B909F3" w:rsidRDefault="00E17D44" w:rsidP="00197EDE">
      <w:pPr>
        <w:spacing w:after="0" w:line="360" w:lineRule="auto"/>
        <w:jc w:val="both"/>
        <w:rPr>
          <w:rFonts w:ascii="Book Antiqua" w:eastAsia="SimSun" w:hAnsi="Book Antiqua" w:cs="Arial"/>
          <w:b/>
          <w:szCs w:val="24"/>
          <w:lang w:eastAsia="zh-CN"/>
        </w:rPr>
      </w:pPr>
    </w:p>
    <w:p w14:paraId="0C148255" w14:textId="43250C8A" w:rsidR="00940F90" w:rsidRPr="00B909F3" w:rsidRDefault="00CA4B13" w:rsidP="00197EDE">
      <w:pPr>
        <w:spacing w:after="0" w:line="360" w:lineRule="auto"/>
        <w:jc w:val="both"/>
        <w:rPr>
          <w:rFonts w:ascii="Book Antiqua" w:eastAsia="SimSun" w:hAnsi="Book Antiqua" w:cs="Arial"/>
          <w:szCs w:val="24"/>
          <w:lang w:eastAsia="zh-CN"/>
        </w:rPr>
      </w:pPr>
      <w:proofErr w:type="spellStart"/>
      <w:r w:rsidRPr="00B909F3">
        <w:rPr>
          <w:rFonts w:ascii="Book Antiqua" w:hAnsi="Book Antiqua" w:cs="Arial"/>
          <w:szCs w:val="24"/>
        </w:rPr>
        <w:t>Dolgin</w:t>
      </w:r>
      <w:proofErr w:type="spellEnd"/>
      <w:r w:rsidRPr="00B909F3">
        <w:rPr>
          <w:rFonts w:ascii="Book Antiqua" w:hAnsi="Book Antiqua" w:cs="Arial"/>
          <w:szCs w:val="24"/>
        </w:rPr>
        <w:t xml:space="preserve"> </w:t>
      </w:r>
      <w:r w:rsidRPr="00B909F3">
        <w:rPr>
          <w:rFonts w:ascii="Book Antiqua" w:eastAsia="SimSun" w:hAnsi="Book Antiqua" w:cs="Arial"/>
          <w:szCs w:val="24"/>
          <w:lang w:eastAsia="zh-CN"/>
        </w:rPr>
        <w:t xml:space="preserve">NH </w:t>
      </w:r>
      <w:r w:rsidRPr="00B909F3">
        <w:rPr>
          <w:rFonts w:ascii="Book Antiqua" w:eastAsia="SimSun" w:hAnsi="Book Antiqua" w:cs="Arial"/>
          <w:i/>
          <w:szCs w:val="24"/>
          <w:lang w:eastAsia="zh-CN"/>
        </w:rPr>
        <w:t>et al</w:t>
      </w:r>
      <w:r w:rsidRPr="00B909F3">
        <w:rPr>
          <w:rFonts w:ascii="Book Antiqua" w:eastAsia="SimSun" w:hAnsi="Book Antiqua" w:cs="Arial"/>
          <w:szCs w:val="24"/>
          <w:lang w:eastAsia="zh-CN"/>
        </w:rPr>
        <w:t xml:space="preserve">. </w:t>
      </w:r>
      <w:bookmarkStart w:id="3" w:name="OLE_LINK5"/>
      <w:r w:rsidR="00E17D44" w:rsidRPr="00B909F3">
        <w:rPr>
          <w:rFonts w:ascii="Book Antiqua" w:hAnsi="Book Antiqua" w:cs="Arial"/>
          <w:szCs w:val="24"/>
        </w:rPr>
        <w:t xml:space="preserve">Functional </w:t>
      </w:r>
      <w:r w:rsidR="00C00ACB" w:rsidRPr="00B909F3">
        <w:rPr>
          <w:rFonts w:ascii="Book Antiqua" w:hAnsi="Book Antiqua" w:cs="Arial"/>
          <w:szCs w:val="24"/>
        </w:rPr>
        <w:t xml:space="preserve">status and </w:t>
      </w:r>
      <w:r w:rsidR="00E17D44" w:rsidRPr="00B909F3">
        <w:rPr>
          <w:rFonts w:ascii="Book Antiqua" w:hAnsi="Book Antiqua" w:cs="Arial"/>
          <w:szCs w:val="24"/>
        </w:rPr>
        <w:t>1-</w:t>
      </w:r>
      <w:r w:rsidR="00C00ACB" w:rsidRPr="00B909F3">
        <w:rPr>
          <w:rFonts w:ascii="Book Antiqua" w:hAnsi="Book Antiqua" w:cs="Arial"/>
          <w:szCs w:val="24"/>
        </w:rPr>
        <w:t>year outcomes</w:t>
      </w:r>
    </w:p>
    <w:bookmarkEnd w:id="3"/>
    <w:p w14:paraId="2ED6959D" w14:textId="77777777" w:rsidR="00E17D44" w:rsidRPr="00B909F3" w:rsidRDefault="00E17D44" w:rsidP="00197EDE">
      <w:pPr>
        <w:spacing w:after="0" w:line="360" w:lineRule="auto"/>
        <w:jc w:val="both"/>
        <w:rPr>
          <w:rFonts w:ascii="Book Antiqua" w:eastAsia="SimSun" w:hAnsi="Book Antiqua" w:cs="Arial"/>
          <w:b/>
          <w:szCs w:val="24"/>
          <w:lang w:eastAsia="zh-CN"/>
        </w:rPr>
      </w:pPr>
    </w:p>
    <w:p w14:paraId="7F955C08" w14:textId="591E6446" w:rsidR="007E399C" w:rsidRPr="00B909F3" w:rsidRDefault="00054968" w:rsidP="00197EDE">
      <w:pPr>
        <w:spacing w:after="0" w:line="360" w:lineRule="auto"/>
        <w:jc w:val="both"/>
        <w:rPr>
          <w:rFonts w:ascii="Book Antiqua" w:hAnsi="Book Antiqua" w:cs="Arial"/>
          <w:szCs w:val="24"/>
        </w:rPr>
      </w:pPr>
      <w:r w:rsidRPr="00B909F3">
        <w:rPr>
          <w:rFonts w:ascii="Book Antiqua" w:hAnsi="Book Antiqua" w:cs="Arial"/>
          <w:szCs w:val="24"/>
        </w:rPr>
        <w:t xml:space="preserve">Natasha H </w:t>
      </w:r>
      <w:proofErr w:type="spellStart"/>
      <w:r w:rsidRPr="00B909F3">
        <w:rPr>
          <w:rFonts w:ascii="Book Antiqua" w:hAnsi="Book Antiqua" w:cs="Arial"/>
          <w:szCs w:val="24"/>
        </w:rPr>
        <w:t>Dolgin</w:t>
      </w:r>
      <w:proofErr w:type="spellEnd"/>
      <w:r w:rsidR="00C46136" w:rsidRPr="00B909F3">
        <w:rPr>
          <w:rFonts w:ascii="Book Antiqua" w:hAnsi="Book Antiqua" w:cs="Arial"/>
          <w:szCs w:val="24"/>
        </w:rPr>
        <w:t xml:space="preserve">, </w:t>
      </w:r>
      <w:r w:rsidRPr="00B909F3">
        <w:rPr>
          <w:rFonts w:ascii="Book Antiqua" w:hAnsi="Book Antiqua" w:cs="Arial"/>
          <w:szCs w:val="24"/>
        </w:rPr>
        <w:t xml:space="preserve">Babak </w:t>
      </w:r>
      <w:proofErr w:type="spellStart"/>
      <w:r w:rsidRPr="00B909F3">
        <w:rPr>
          <w:rFonts w:ascii="Book Antiqua" w:hAnsi="Book Antiqua" w:cs="Arial"/>
          <w:szCs w:val="24"/>
        </w:rPr>
        <w:t>Movahedi</w:t>
      </w:r>
      <w:proofErr w:type="spellEnd"/>
      <w:r w:rsidR="00C46136" w:rsidRPr="00B909F3">
        <w:rPr>
          <w:rFonts w:ascii="Book Antiqua" w:hAnsi="Book Antiqua" w:cs="Arial"/>
          <w:szCs w:val="24"/>
        </w:rPr>
        <w:t xml:space="preserve">, </w:t>
      </w:r>
      <w:r w:rsidRPr="00B909F3">
        <w:rPr>
          <w:rFonts w:ascii="Book Antiqua" w:hAnsi="Book Antiqua" w:cs="Arial"/>
          <w:szCs w:val="24"/>
        </w:rPr>
        <w:t>Frederick A Anderson</w:t>
      </w:r>
      <w:r w:rsidR="00C46136" w:rsidRPr="00B909F3">
        <w:rPr>
          <w:rFonts w:ascii="Book Antiqua" w:hAnsi="Book Antiqua" w:cs="Arial"/>
          <w:szCs w:val="24"/>
        </w:rPr>
        <w:t xml:space="preserve">, </w:t>
      </w:r>
      <w:r w:rsidR="00C75D44" w:rsidRPr="00B909F3">
        <w:rPr>
          <w:rFonts w:ascii="Book Antiqua" w:hAnsi="Book Antiqua" w:cs="Arial"/>
          <w:szCs w:val="24"/>
        </w:rPr>
        <w:t xml:space="preserve">Isabel MA </w:t>
      </w:r>
      <w:proofErr w:type="spellStart"/>
      <w:r w:rsidR="00C75D44" w:rsidRPr="00B909F3">
        <w:rPr>
          <w:rFonts w:ascii="Book Antiqua" w:hAnsi="Book Antiqua" w:cs="Arial"/>
          <w:szCs w:val="24"/>
        </w:rPr>
        <w:t>Brüggenwirth</w:t>
      </w:r>
      <w:proofErr w:type="spellEnd"/>
      <w:r w:rsidR="00AE7CCE" w:rsidRPr="00B909F3">
        <w:rPr>
          <w:rFonts w:ascii="Book Antiqua" w:hAnsi="Book Antiqua" w:cs="Arial"/>
          <w:szCs w:val="24"/>
        </w:rPr>
        <w:t xml:space="preserve">, </w:t>
      </w:r>
      <w:r w:rsidR="00C00ACB" w:rsidRPr="00B909F3">
        <w:rPr>
          <w:rFonts w:ascii="Book Antiqua" w:hAnsi="Book Antiqua" w:cs="Arial"/>
          <w:szCs w:val="24"/>
        </w:rPr>
        <w:t xml:space="preserve">Paulo N Martins, Adel </w:t>
      </w:r>
      <w:proofErr w:type="spellStart"/>
      <w:r w:rsidR="00C00ACB" w:rsidRPr="00B909F3">
        <w:rPr>
          <w:rFonts w:ascii="Book Antiqua" w:hAnsi="Book Antiqua" w:cs="Arial"/>
          <w:szCs w:val="24"/>
        </w:rPr>
        <w:t>Bozorgzadeh</w:t>
      </w:r>
      <w:proofErr w:type="spellEnd"/>
    </w:p>
    <w:p w14:paraId="08CA21CB" w14:textId="77777777" w:rsidR="005F4C48" w:rsidRPr="00B909F3" w:rsidRDefault="005F4C48" w:rsidP="00197EDE">
      <w:pPr>
        <w:spacing w:after="0" w:line="360" w:lineRule="auto"/>
        <w:jc w:val="both"/>
        <w:rPr>
          <w:rFonts w:ascii="Book Antiqua" w:hAnsi="Book Antiqua" w:cs="Arial"/>
          <w:szCs w:val="24"/>
        </w:rPr>
      </w:pPr>
    </w:p>
    <w:p w14:paraId="3AD1A725" w14:textId="6548EBA4" w:rsidR="005403EC" w:rsidRPr="00B909F3" w:rsidRDefault="00C00ACB" w:rsidP="00197EDE">
      <w:pPr>
        <w:spacing w:after="0" w:line="360" w:lineRule="auto"/>
        <w:jc w:val="both"/>
        <w:rPr>
          <w:rFonts w:ascii="Book Antiqua" w:hAnsi="Book Antiqua" w:cs="Arial"/>
          <w:szCs w:val="24"/>
        </w:rPr>
      </w:pPr>
      <w:r w:rsidRPr="00B909F3">
        <w:rPr>
          <w:rFonts w:ascii="Book Antiqua" w:hAnsi="Book Antiqua" w:cs="Arial"/>
          <w:b/>
          <w:bCs/>
          <w:szCs w:val="24"/>
        </w:rPr>
        <w:t xml:space="preserve">Natasha H </w:t>
      </w:r>
      <w:proofErr w:type="spellStart"/>
      <w:r w:rsidRPr="00B909F3">
        <w:rPr>
          <w:rFonts w:ascii="Book Antiqua" w:hAnsi="Book Antiqua" w:cs="Arial"/>
          <w:b/>
          <w:bCs/>
          <w:szCs w:val="24"/>
        </w:rPr>
        <w:t>Dolgin</w:t>
      </w:r>
      <w:proofErr w:type="spellEnd"/>
      <w:r w:rsidRPr="00B909F3">
        <w:rPr>
          <w:rFonts w:ascii="Book Antiqua" w:hAnsi="Book Antiqua" w:cs="Arial"/>
          <w:b/>
          <w:bCs/>
          <w:szCs w:val="24"/>
        </w:rPr>
        <w:t>,</w:t>
      </w:r>
      <w:r w:rsidRPr="00B909F3">
        <w:rPr>
          <w:rFonts w:ascii="Book Antiqua" w:hAnsi="Book Antiqua" w:cs="Arial"/>
          <w:szCs w:val="24"/>
        </w:rPr>
        <w:t xml:space="preserve"> </w:t>
      </w:r>
      <w:r w:rsidRPr="00B909F3">
        <w:rPr>
          <w:rFonts w:ascii="Book Antiqua" w:hAnsi="Book Antiqua" w:cs="Arial"/>
          <w:b/>
          <w:bCs/>
          <w:szCs w:val="24"/>
        </w:rPr>
        <w:t xml:space="preserve">Babak </w:t>
      </w:r>
      <w:proofErr w:type="spellStart"/>
      <w:r w:rsidRPr="00B909F3">
        <w:rPr>
          <w:rFonts w:ascii="Book Antiqua" w:hAnsi="Book Antiqua" w:cs="Arial"/>
          <w:b/>
          <w:bCs/>
          <w:szCs w:val="24"/>
        </w:rPr>
        <w:t>Movahedi</w:t>
      </w:r>
      <w:proofErr w:type="spellEnd"/>
      <w:r w:rsidRPr="00B909F3">
        <w:rPr>
          <w:rFonts w:ascii="Book Antiqua" w:hAnsi="Book Antiqua" w:cs="Arial"/>
          <w:b/>
          <w:bCs/>
          <w:szCs w:val="24"/>
        </w:rPr>
        <w:t xml:space="preserve">, Paulo N Martins, Adel </w:t>
      </w:r>
      <w:proofErr w:type="spellStart"/>
      <w:r w:rsidRPr="00B909F3">
        <w:rPr>
          <w:rFonts w:ascii="Book Antiqua" w:hAnsi="Book Antiqua" w:cs="Arial"/>
          <w:b/>
          <w:bCs/>
          <w:szCs w:val="24"/>
        </w:rPr>
        <w:t>Bozorgzadeh</w:t>
      </w:r>
      <w:proofErr w:type="spellEnd"/>
      <w:r w:rsidRPr="00035206">
        <w:rPr>
          <w:rFonts w:ascii="Book Antiqua" w:eastAsia="SimSun" w:hAnsi="Book Antiqua" w:cs="SimSun"/>
          <w:b/>
          <w:bCs/>
          <w:szCs w:val="24"/>
          <w:lang w:eastAsia="zh-CN"/>
        </w:rPr>
        <w:t>,</w:t>
      </w:r>
      <w:r w:rsidRPr="00B909F3">
        <w:rPr>
          <w:rFonts w:ascii="Book Antiqua" w:hAnsi="Book Antiqua" w:cs="Arial"/>
          <w:szCs w:val="24"/>
        </w:rPr>
        <w:t xml:space="preserve"> </w:t>
      </w:r>
      <w:r w:rsidR="00054968" w:rsidRPr="00B909F3">
        <w:rPr>
          <w:rFonts w:ascii="Book Antiqua" w:hAnsi="Book Antiqua" w:cs="Arial"/>
          <w:szCs w:val="24"/>
        </w:rPr>
        <w:t>Department of Surgery, Division of Organ Transplantation, UMass Memorial Medical Center, University of Massachusetts</w:t>
      </w:r>
      <w:r w:rsidR="005403EC" w:rsidRPr="00B909F3">
        <w:rPr>
          <w:rFonts w:ascii="Book Antiqua" w:hAnsi="Book Antiqua" w:cs="Arial"/>
          <w:szCs w:val="24"/>
        </w:rPr>
        <w:t xml:space="preserve"> Medical School, Worcester, MA</w:t>
      </w:r>
      <w:r w:rsidR="000F19F3" w:rsidRPr="00B909F3">
        <w:rPr>
          <w:rFonts w:ascii="Book Antiqua" w:hAnsi="Book Antiqua"/>
          <w:szCs w:val="24"/>
        </w:rPr>
        <w:t xml:space="preserve"> </w:t>
      </w:r>
      <w:r w:rsidR="000F19F3" w:rsidRPr="00B909F3">
        <w:rPr>
          <w:rFonts w:ascii="Book Antiqua" w:hAnsi="Book Antiqua" w:cs="Arial"/>
          <w:szCs w:val="24"/>
        </w:rPr>
        <w:t>01605, United States</w:t>
      </w:r>
    </w:p>
    <w:p w14:paraId="44E2EFD7" w14:textId="77777777" w:rsidR="00C00ACB" w:rsidRPr="00B909F3" w:rsidRDefault="00C00ACB" w:rsidP="00197EDE">
      <w:pPr>
        <w:spacing w:after="0" w:line="360" w:lineRule="auto"/>
        <w:jc w:val="both"/>
        <w:rPr>
          <w:rFonts w:ascii="Book Antiqua" w:hAnsi="Book Antiqua" w:cs="Arial"/>
          <w:szCs w:val="24"/>
        </w:rPr>
      </w:pPr>
    </w:p>
    <w:p w14:paraId="14FA6D20" w14:textId="64969EA1" w:rsidR="005403EC" w:rsidRPr="00B909F3" w:rsidRDefault="00C00ACB" w:rsidP="00197EDE">
      <w:pPr>
        <w:spacing w:after="0" w:line="360" w:lineRule="auto"/>
        <w:jc w:val="both"/>
        <w:rPr>
          <w:rFonts w:ascii="Book Antiqua" w:hAnsi="Book Antiqua" w:cs="Arial"/>
          <w:szCs w:val="24"/>
        </w:rPr>
      </w:pPr>
      <w:r w:rsidRPr="00B909F3">
        <w:rPr>
          <w:rFonts w:ascii="Book Antiqua" w:hAnsi="Book Antiqua" w:cs="Arial"/>
          <w:b/>
          <w:bCs/>
          <w:szCs w:val="24"/>
        </w:rPr>
        <w:t xml:space="preserve">Natasha H </w:t>
      </w:r>
      <w:proofErr w:type="spellStart"/>
      <w:r w:rsidRPr="00B909F3">
        <w:rPr>
          <w:rFonts w:ascii="Book Antiqua" w:hAnsi="Book Antiqua" w:cs="Arial"/>
          <w:b/>
          <w:bCs/>
          <w:szCs w:val="24"/>
        </w:rPr>
        <w:t>Dolgin</w:t>
      </w:r>
      <w:proofErr w:type="spellEnd"/>
      <w:r w:rsidRPr="00B909F3">
        <w:rPr>
          <w:rFonts w:ascii="Book Antiqua" w:hAnsi="Book Antiqua" w:cs="Arial"/>
          <w:b/>
          <w:bCs/>
          <w:szCs w:val="24"/>
        </w:rPr>
        <w:t xml:space="preserve">, </w:t>
      </w:r>
      <w:r w:rsidR="00054968" w:rsidRPr="00B909F3">
        <w:rPr>
          <w:rFonts w:ascii="Book Antiqua" w:hAnsi="Book Antiqua" w:cs="Arial"/>
          <w:szCs w:val="24"/>
        </w:rPr>
        <w:t xml:space="preserve">Department of Quantitative Health Sciences, Clinical </w:t>
      </w:r>
      <w:r w:rsidR="000F19F3" w:rsidRPr="00B909F3">
        <w:rPr>
          <w:rFonts w:ascii="Book Antiqua" w:eastAsia="SimSun" w:hAnsi="Book Antiqua" w:cs="Arial"/>
          <w:szCs w:val="24"/>
          <w:lang w:eastAsia="zh-CN"/>
        </w:rPr>
        <w:t>and</w:t>
      </w:r>
      <w:r w:rsidR="00054968" w:rsidRPr="00B909F3">
        <w:rPr>
          <w:rFonts w:ascii="Book Antiqua" w:hAnsi="Book Antiqua" w:cs="Arial"/>
          <w:szCs w:val="24"/>
        </w:rPr>
        <w:t xml:space="preserve"> Population Health Research Program, University of Massachusetts Medical School, Worcester, MA</w:t>
      </w:r>
      <w:r w:rsidR="000F19F3" w:rsidRPr="00B909F3">
        <w:rPr>
          <w:rFonts w:ascii="Book Antiqua" w:hAnsi="Book Antiqua"/>
          <w:szCs w:val="24"/>
        </w:rPr>
        <w:t xml:space="preserve"> </w:t>
      </w:r>
      <w:r w:rsidR="000F19F3" w:rsidRPr="00B909F3">
        <w:rPr>
          <w:rFonts w:ascii="Book Antiqua" w:hAnsi="Book Antiqua" w:cs="Arial"/>
          <w:szCs w:val="24"/>
        </w:rPr>
        <w:t>01605, United States</w:t>
      </w:r>
    </w:p>
    <w:p w14:paraId="1D6C0171" w14:textId="77777777" w:rsidR="00C00ACB" w:rsidRPr="00B909F3" w:rsidRDefault="00C00ACB" w:rsidP="00197EDE">
      <w:pPr>
        <w:spacing w:after="0" w:line="360" w:lineRule="auto"/>
        <w:jc w:val="both"/>
        <w:rPr>
          <w:rFonts w:ascii="Book Antiqua" w:hAnsi="Book Antiqua" w:cs="Arial"/>
          <w:szCs w:val="24"/>
        </w:rPr>
      </w:pPr>
    </w:p>
    <w:p w14:paraId="40C1F9BB" w14:textId="34D5F0A9" w:rsidR="00054968" w:rsidRPr="00B909F3" w:rsidRDefault="00C00ACB" w:rsidP="00197EDE">
      <w:pPr>
        <w:spacing w:after="0" w:line="360" w:lineRule="auto"/>
        <w:jc w:val="both"/>
        <w:rPr>
          <w:rFonts w:ascii="Book Antiqua" w:hAnsi="Book Antiqua" w:cs="Arial"/>
          <w:szCs w:val="24"/>
        </w:rPr>
      </w:pPr>
      <w:r w:rsidRPr="00B909F3">
        <w:rPr>
          <w:rFonts w:ascii="Book Antiqua" w:hAnsi="Book Antiqua" w:cs="Arial"/>
          <w:b/>
          <w:bCs/>
          <w:szCs w:val="24"/>
        </w:rPr>
        <w:t xml:space="preserve">Natasha H </w:t>
      </w:r>
      <w:proofErr w:type="spellStart"/>
      <w:r w:rsidRPr="00B909F3">
        <w:rPr>
          <w:rFonts w:ascii="Book Antiqua" w:hAnsi="Book Antiqua" w:cs="Arial"/>
          <w:b/>
          <w:bCs/>
          <w:szCs w:val="24"/>
        </w:rPr>
        <w:t>Dolgin</w:t>
      </w:r>
      <w:proofErr w:type="spellEnd"/>
      <w:r w:rsidRPr="00B909F3">
        <w:rPr>
          <w:rFonts w:ascii="Book Antiqua" w:hAnsi="Book Antiqua" w:cs="Arial"/>
          <w:b/>
          <w:bCs/>
          <w:szCs w:val="24"/>
        </w:rPr>
        <w:t>, Frederick A Anderson,</w:t>
      </w:r>
      <w:r w:rsidRPr="00B909F3">
        <w:rPr>
          <w:rFonts w:ascii="Book Antiqua" w:hAnsi="Book Antiqua" w:cs="Arial"/>
          <w:szCs w:val="24"/>
        </w:rPr>
        <w:t xml:space="preserve"> </w:t>
      </w:r>
      <w:r w:rsidR="00054968" w:rsidRPr="00B909F3">
        <w:rPr>
          <w:rFonts w:ascii="Book Antiqua" w:hAnsi="Book Antiqua" w:cs="Arial"/>
          <w:szCs w:val="24"/>
        </w:rPr>
        <w:t>Department of Surgery, Center for Outcomes Research, University of Massachusetts Medical School, Worcester, MA</w:t>
      </w:r>
      <w:r w:rsidR="000F19F3" w:rsidRPr="00B909F3">
        <w:rPr>
          <w:rFonts w:ascii="Book Antiqua" w:hAnsi="Book Antiqua"/>
          <w:szCs w:val="24"/>
        </w:rPr>
        <w:t xml:space="preserve"> </w:t>
      </w:r>
      <w:r w:rsidR="000F19F3" w:rsidRPr="00B909F3">
        <w:rPr>
          <w:rFonts w:ascii="Book Antiqua" w:hAnsi="Book Antiqua" w:cs="Arial"/>
          <w:szCs w:val="24"/>
        </w:rPr>
        <w:t>01655, United States</w:t>
      </w:r>
    </w:p>
    <w:p w14:paraId="5AC89683" w14:textId="77777777" w:rsidR="00C00ACB" w:rsidRPr="00B909F3" w:rsidRDefault="00C00ACB" w:rsidP="00197EDE">
      <w:pPr>
        <w:spacing w:after="0" w:line="360" w:lineRule="auto"/>
        <w:jc w:val="both"/>
        <w:rPr>
          <w:rFonts w:ascii="Book Antiqua" w:hAnsi="Book Antiqua" w:cs="Arial"/>
          <w:szCs w:val="24"/>
        </w:rPr>
      </w:pPr>
    </w:p>
    <w:p w14:paraId="15080D5A" w14:textId="7BE17311" w:rsidR="00C00ACB" w:rsidRPr="00B909F3" w:rsidRDefault="00C00ACB" w:rsidP="00197EDE">
      <w:pPr>
        <w:spacing w:after="0" w:line="360" w:lineRule="auto"/>
        <w:jc w:val="both"/>
        <w:rPr>
          <w:rFonts w:ascii="Book Antiqua" w:hAnsi="Book Antiqua" w:cs="Arial"/>
          <w:szCs w:val="24"/>
        </w:rPr>
      </w:pPr>
      <w:r w:rsidRPr="00B909F3">
        <w:rPr>
          <w:rFonts w:ascii="Book Antiqua" w:hAnsi="Book Antiqua" w:cs="Arial"/>
          <w:b/>
          <w:bCs/>
          <w:szCs w:val="24"/>
        </w:rPr>
        <w:t xml:space="preserve">Isabel MA </w:t>
      </w:r>
      <w:proofErr w:type="spellStart"/>
      <w:r w:rsidRPr="00B909F3">
        <w:rPr>
          <w:rFonts w:ascii="Book Antiqua" w:hAnsi="Book Antiqua" w:cs="Arial"/>
          <w:b/>
          <w:bCs/>
          <w:szCs w:val="24"/>
        </w:rPr>
        <w:t>Brüggenwirth</w:t>
      </w:r>
      <w:proofErr w:type="spellEnd"/>
      <w:r w:rsidRPr="00B909F3">
        <w:rPr>
          <w:rFonts w:ascii="Book Antiqua" w:hAnsi="Book Antiqua" w:cs="Arial"/>
          <w:b/>
          <w:bCs/>
          <w:szCs w:val="24"/>
        </w:rPr>
        <w:t>,</w:t>
      </w:r>
      <w:r w:rsidRPr="00B909F3">
        <w:rPr>
          <w:rFonts w:ascii="Book Antiqua" w:hAnsi="Book Antiqua" w:cs="Arial"/>
          <w:szCs w:val="24"/>
        </w:rPr>
        <w:t xml:space="preserve"> </w:t>
      </w:r>
      <w:r w:rsidR="00C75D44" w:rsidRPr="00B909F3">
        <w:rPr>
          <w:rFonts w:ascii="Book Antiqua" w:hAnsi="Book Antiqua" w:cs="Arial"/>
          <w:szCs w:val="24"/>
        </w:rPr>
        <w:t>Department of Surgery, Section of Hepatobiliary Surgery and Liver Transplantation, University Medical Center Groningen, University of Groningen, Groningen</w:t>
      </w:r>
      <w:r w:rsidR="000F19F3" w:rsidRPr="00B909F3">
        <w:rPr>
          <w:rFonts w:ascii="Book Antiqua" w:hAnsi="Book Antiqua" w:cs="Arial"/>
          <w:szCs w:val="24"/>
        </w:rPr>
        <w:t xml:space="preserve"> 9713</w:t>
      </w:r>
      <w:r w:rsidR="000F19F3" w:rsidRPr="00B909F3">
        <w:rPr>
          <w:rFonts w:ascii="Book Antiqua" w:eastAsia="SimSun" w:hAnsi="Book Antiqua" w:cs="Arial"/>
          <w:szCs w:val="24"/>
          <w:lang w:eastAsia="zh-CN"/>
        </w:rPr>
        <w:t>GZ</w:t>
      </w:r>
      <w:r w:rsidR="00C75D44" w:rsidRPr="00B909F3">
        <w:rPr>
          <w:rFonts w:ascii="Book Antiqua" w:hAnsi="Book Antiqua" w:cs="Arial"/>
          <w:szCs w:val="24"/>
        </w:rPr>
        <w:t>, Netherlands</w:t>
      </w:r>
    </w:p>
    <w:p w14:paraId="4C59B757" w14:textId="4F3E036A" w:rsidR="00043BCC" w:rsidRPr="00B909F3" w:rsidRDefault="00043BCC" w:rsidP="00197EDE">
      <w:pPr>
        <w:spacing w:after="0" w:line="360" w:lineRule="auto"/>
        <w:jc w:val="both"/>
        <w:rPr>
          <w:rFonts w:ascii="Book Antiqua" w:eastAsia="SimSun" w:hAnsi="Book Antiqua" w:cs="Arial"/>
          <w:b/>
          <w:szCs w:val="24"/>
          <w:lang w:eastAsia="zh-CN"/>
        </w:rPr>
      </w:pPr>
    </w:p>
    <w:p w14:paraId="08468BA1" w14:textId="671C2A38" w:rsidR="00582391" w:rsidRPr="00B909F3" w:rsidRDefault="006A44EF" w:rsidP="00197EDE">
      <w:pPr>
        <w:spacing w:after="0" w:line="360" w:lineRule="auto"/>
        <w:jc w:val="both"/>
        <w:rPr>
          <w:rFonts w:ascii="Book Antiqua" w:hAnsi="Book Antiqua" w:cs="Arial"/>
          <w:szCs w:val="24"/>
        </w:rPr>
      </w:pPr>
      <w:r w:rsidRPr="00B909F3">
        <w:rPr>
          <w:rFonts w:ascii="Book Antiqua" w:hAnsi="Book Antiqua"/>
          <w:b/>
          <w:bCs/>
          <w:szCs w:val="24"/>
          <w:shd w:val="clear" w:color="auto" w:fill="FFFFFF"/>
        </w:rPr>
        <w:t>ORCID number</w:t>
      </w:r>
      <w:r w:rsidRPr="00B909F3">
        <w:rPr>
          <w:rFonts w:ascii="Book Antiqua" w:hAnsi="Book Antiqua"/>
          <w:b/>
          <w:szCs w:val="24"/>
          <w:lang w:val="en-GB"/>
        </w:rPr>
        <w:t xml:space="preserve">: </w:t>
      </w:r>
      <w:r w:rsidR="000F19F3" w:rsidRPr="00B909F3">
        <w:rPr>
          <w:rFonts w:ascii="Book Antiqua" w:hAnsi="Book Antiqua" w:cs="Arial"/>
          <w:szCs w:val="24"/>
        </w:rPr>
        <w:t xml:space="preserve">Natasha H </w:t>
      </w:r>
      <w:proofErr w:type="spellStart"/>
      <w:r w:rsidR="000F19F3" w:rsidRPr="00B909F3">
        <w:rPr>
          <w:rFonts w:ascii="Book Antiqua" w:hAnsi="Book Antiqua" w:cs="Arial"/>
          <w:szCs w:val="24"/>
        </w:rPr>
        <w:t>Dolgin</w:t>
      </w:r>
      <w:proofErr w:type="spellEnd"/>
      <w:r w:rsidR="000F19F3" w:rsidRPr="00B909F3">
        <w:rPr>
          <w:rFonts w:ascii="Book Antiqua" w:hAnsi="Book Antiqua" w:cs="Arial"/>
          <w:szCs w:val="24"/>
        </w:rPr>
        <w:t xml:space="preserve"> (0000-0002-0964-1141); Babak </w:t>
      </w:r>
      <w:proofErr w:type="spellStart"/>
      <w:r w:rsidR="000F19F3" w:rsidRPr="00B909F3">
        <w:rPr>
          <w:rFonts w:ascii="Book Antiqua" w:hAnsi="Book Antiqua" w:cs="Arial"/>
          <w:szCs w:val="24"/>
        </w:rPr>
        <w:t>Movahedi</w:t>
      </w:r>
      <w:proofErr w:type="spellEnd"/>
      <w:r w:rsidR="000F19F3" w:rsidRPr="00B909F3">
        <w:rPr>
          <w:rFonts w:ascii="Book Antiqua" w:hAnsi="Book Antiqua" w:cs="Arial"/>
          <w:szCs w:val="24"/>
        </w:rPr>
        <w:t xml:space="preserve"> (0000-0003-4819-2358); Frederick A Anderson (0000-0003-0690-1590); Isabel MA </w:t>
      </w:r>
      <w:proofErr w:type="spellStart"/>
      <w:r w:rsidR="000F19F3" w:rsidRPr="00B909F3">
        <w:rPr>
          <w:rFonts w:ascii="Book Antiqua" w:hAnsi="Book Antiqua" w:cs="Arial"/>
          <w:szCs w:val="24"/>
        </w:rPr>
        <w:t>Bruggenwirth</w:t>
      </w:r>
      <w:proofErr w:type="spellEnd"/>
      <w:r w:rsidR="000F19F3" w:rsidRPr="00B909F3">
        <w:rPr>
          <w:rFonts w:ascii="Book Antiqua" w:hAnsi="Book Antiqua" w:cs="Arial"/>
          <w:szCs w:val="24"/>
        </w:rPr>
        <w:t xml:space="preserve"> (0000-</w:t>
      </w:r>
      <w:r w:rsidR="000F19F3" w:rsidRPr="00B909F3">
        <w:rPr>
          <w:rFonts w:ascii="Book Antiqua" w:hAnsi="Book Antiqua" w:cs="Arial"/>
          <w:szCs w:val="24"/>
        </w:rPr>
        <w:lastRenderedPageBreak/>
        <w:t xml:space="preserve">0002-8557-7081); Paulo N Martins (0000-0001-9333-0233); </w:t>
      </w:r>
      <w:r w:rsidR="00582391" w:rsidRPr="00B909F3">
        <w:rPr>
          <w:rFonts w:ascii="Book Antiqua" w:hAnsi="Book Antiqua" w:cs="Arial"/>
          <w:szCs w:val="24"/>
        </w:rPr>
        <w:t xml:space="preserve">Adel </w:t>
      </w:r>
      <w:proofErr w:type="spellStart"/>
      <w:r w:rsidR="00582391" w:rsidRPr="00B909F3">
        <w:rPr>
          <w:rFonts w:ascii="Book Antiqua" w:hAnsi="Book Antiqua" w:cs="Arial"/>
          <w:szCs w:val="24"/>
        </w:rPr>
        <w:t>Bozorgzadeh</w:t>
      </w:r>
      <w:proofErr w:type="spellEnd"/>
      <w:r w:rsidR="00C00ACB" w:rsidRPr="00B909F3">
        <w:rPr>
          <w:rFonts w:ascii="Book Antiqua" w:hAnsi="Book Antiqua" w:cs="Arial"/>
          <w:szCs w:val="24"/>
        </w:rPr>
        <w:t xml:space="preserve"> (</w:t>
      </w:r>
      <w:r w:rsidR="00582391" w:rsidRPr="00B909F3">
        <w:rPr>
          <w:rFonts w:ascii="Book Antiqua" w:hAnsi="Book Antiqua" w:cs="Arial"/>
          <w:szCs w:val="24"/>
        </w:rPr>
        <w:t>0000-0002-0790-9562</w:t>
      </w:r>
      <w:r w:rsidR="00C00ACB" w:rsidRPr="00B909F3">
        <w:rPr>
          <w:rFonts w:ascii="Book Antiqua" w:hAnsi="Book Antiqua" w:cs="Arial"/>
          <w:szCs w:val="24"/>
        </w:rPr>
        <w:t>)</w:t>
      </w:r>
      <w:r w:rsidR="00FF33F0" w:rsidRPr="00B909F3">
        <w:rPr>
          <w:rFonts w:ascii="Book Antiqua" w:hAnsi="Book Antiqua" w:cs="Arial"/>
          <w:szCs w:val="24"/>
        </w:rPr>
        <w:t>.</w:t>
      </w:r>
    </w:p>
    <w:p w14:paraId="7260B7F3" w14:textId="77777777" w:rsidR="00043BCC" w:rsidRPr="00B909F3" w:rsidRDefault="00043BCC" w:rsidP="00197EDE">
      <w:pPr>
        <w:spacing w:after="0" w:line="360" w:lineRule="auto"/>
        <w:jc w:val="both"/>
        <w:rPr>
          <w:rFonts w:ascii="Book Antiqua" w:eastAsia="SimSun" w:hAnsi="Book Antiqua"/>
          <w:b/>
          <w:szCs w:val="24"/>
          <w:lang w:val="en-GB" w:eastAsia="zh-CN"/>
        </w:rPr>
      </w:pPr>
    </w:p>
    <w:p w14:paraId="2CE9AC87" w14:textId="04F91757" w:rsidR="004C6939" w:rsidRPr="00B909F3" w:rsidRDefault="006A44EF" w:rsidP="00197EDE">
      <w:pPr>
        <w:spacing w:after="0" w:line="360" w:lineRule="auto"/>
        <w:jc w:val="both"/>
        <w:rPr>
          <w:rFonts w:ascii="Book Antiqua" w:hAnsi="Book Antiqua" w:cs="Arial"/>
          <w:b/>
          <w:szCs w:val="24"/>
        </w:rPr>
      </w:pPr>
      <w:r w:rsidRPr="00B909F3">
        <w:rPr>
          <w:rFonts w:ascii="Book Antiqua" w:hAnsi="Book Antiqua" w:cs="Arial"/>
          <w:b/>
          <w:szCs w:val="24"/>
        </w:rPr>
        <w:t>Author contributions:</w:t>
      </w:r>
      <w:r w:rsidRPr="00B909F3">
        <w:rPr>
          <w:rFonts w:ascii="Book Antiqua" w:eastAsia="SimSun" w:hAnsi="Book Antiqua" w:cs="Arial"/>
          <w:b/>
          <w:szCs w:val="24"/>
          <w:lang w:eastAsia="zh-CN"/>
        </w:rPr>
        <w:t xml:space="preserve"> </w:t>
      </w:r>
      <w:proofErr w:type="spellStart"/>
      <w:r w:rsidR="004C6939" w:rsidRPr="00B909F3">
        <w:rPr>
          <w:rFonts w:ascii="Book Antiqua" w:eastAsia="SimSun" w:hAnsi="Book Antiqua" w:cs="Arial"/>
          <w:szCs w:val="24"/>
          <w:lang w:eastAsia="zh-CN"/>
        </w:rPr>
        <w:t>Dolgin</w:t>
      </w:r>
      <w:proofErr w:type="spellEnd"/>
      <w:r w:rsidR="004C6939" w:rsidRPr="00B909F3">
        <w:rPr>
          <w:rFonts w:ascii="Book Antiqua" w:eastAsia="SimSun" w:hAnsi="Book Antiqua" w:cs="Arial"/>
          <w:szCs w:val="24"/>
          <w:lang w:eastAsia="zh-CN"/>
        </w:rPr>
        <w:t xml:space="preserve"> </w:t>
      </w:r>
      <w:r w:rsidR="00E94EE9" w:rsidRPr="00B909F3">
        <w:rPr>
          <w:rFonts w:ascii="Book Antiqua" w:eastAsia="SimSun" w:hAnsi="Book Antiqua" w:cs="Arial"/>
          <w:szCs w:val="24"/>
          <w:lang w:eastAsia="zh-CN"/>
        </w:rPr>
        <w:t>N</w:t>
      </w:r>
      <w:r w:rsidR="004C6939" w:rsidRPr="00B909F3">
        <w:rPr>
          <w:rFonts w:ascii="Book Antiqua" w:eastAsia="SimSun" w:hAnsi="Book Antiqua" w:cs="Arial"/>
          <w:szCs w:val="24"/>
          <w:lang w:eastAsia="zh-CN"/>
        </w:rPr>
        <w:t xml:space="preserve">H, </w:t>
      </w:r>
      <w:proofErr w:type="spellStart"/>
      <w:r w:rsidR="004C6939" w:rsidRPr="00B909F3">
        <w:rPr>
          <w:rFonts w:ascii="Book Antiqua" w:eastAsia="SimSun" w:hAnsi="Book Antiqua" w:cs="Arial"/>
          <w:szCs w:val="24"/>
          <w:lang w:eastAsia="zh-CN"/>
        </w:rPr>
        <w:t>Movahedi</w:t>
      </w:r>
      <w:proofErr w:type="spellEnd"/>
      <w:r w:rsidR="004C6939" w:rsidRPr="00B909F3">
        <w:rPr>
          <w:rFonts w:ascii="Book Antiqua" w:eastAsia="SimSun" w:hAnsi="Book Antiqua" w:cs="Arial"/>
          <w:szCs w:val="24"/>
          <w:lang w:eastAsia="zh-CN"/>
        </w:rPr>
        <w:t xml:space="preserve"> B, Anderson FA, </w:t>
      </w:r>
      <w:proofErr w:type="spellStart"/>
      <w:r w:rsidR="004C6939" w:rsidRPr="00B909F3">
        <w:rPr>
          <w:rFonts w:ascii="Book Antiqua" w:eastAsia="SimSun" w:hAnsi="Book Antiqua" w:cs="Arial"/>
          <w:szCs w:val="24"/>
          <w:lang w:eastAsia="zh-CN"/>
        </w:rPr>
        <w:t>Brüggenwirth</w:t>
      </w:r>
      <w:proofErr w:type="spellEnd"/>
      <w:r w:rsidR="004C6939" w:rsidRPr="00B909F3">
        <w:rPr>
          <w:rFonts w:ascii="Book Antiqua" w:eastAsia="SimSun" w:hAnsi="Book Antiqua" w:cs="Arial"/>
          <w:szCs w:val="24"/>
          <w:lang w:eastAsia="zh-CN"/>
        </w:rPr>
        <w:t xml:space="preserve"> IMA, Martins PN, </w:t>
      </w:r>
      <w:r w:rsidR="00035206">
        <w:rPr>
          <w:rFonts w:ascii="Book Antiqua" w:eastAsia="SimSun" w:hAnsi="Book Antiqua" w:cs="Arial"/>
          <w:szCs w:val="24"/>
          <w:lang w:eastAsia="zh-CN"/>
        </w:rPr>
        <w:t xml:space="preserve">and </w:t>
      </w:r>
      <w:proofErr w:type="spellStart"/>
      <w:r w:rsidR="004C6939" w:rsidRPr="00B909F3">
        <w:rPr>
          <w:rFonts w:ascii="Book Antiqua" w:eastAsia="SimSun" w:hAnsi="Book Antiqua" w:cs="Arial"/>
          <w:szCs w:val="24"/>
          <w:lang w:eastAsia="zh-CN"/>
        </w:rPr>
        <w:t>Bozorgzadeh</w:t>
      </w:r>
      <w:proofErr w:type="spellEnd"/>
      <w:r w:rsidR="004C6939" w:rsidRPr="00B909F3">
        <w:rPr>
          <w:rFonts w:ascii="Book Antiqua" w:eastAsia="SimSun" w:hAnsi="Book Antiqua" w:cs="Arial"/>
          <w:szCs w:val="24"/>
          <w:lang w:eastAsia="zh-CN"/>
        </w:rPr>
        <w:t xml:space="preserve"> A participated in research design; </w:t>
      </w:r>
      <w:proofErr w:type="spellStart"/>
      <w:r w:rsidR="004C6939" w:rsidRPr="00B909F3">
        <w:rPr>
          <w:rFonts w:ascii="Book Antiqua" w:eastAsia="SimSun" w:hAnsi="Book Antiqua" w:cs="Arial"/>
          <w:szCs w:val="24"/>
          <w:lang w:eastAsia="zh-CN"/>
        </w:rPr>
        <w:t>Dolgin</w:t>
      </w:r>
      <w:proofErr w:type="spellEnd"/>
      <w:r w:rsidR="004C6939" w:rsidRPr="00B909F3">
        <w:rPr>
          <w:rFonts w:ascii="Book Antiqua" w:eastAsia="SimSun" w:hAnsi="Book Antiqua" w:cs="Arial"/>
          <w:szCs w:val="24"/>
          <w:lang w:eastAsia="zh-CN"/>
        </w:rPr>
        <w:t xml:space="preserve"> H, </w:t>
      </w:r>
      <w:proofErr w:type="spellStart"/>
      <w:r w:rsidR="004C6939" w:rsidRPr="00B909F3">
        <w:rPr>
          <w:rFonts w:ascii="Book Antiqua" w:eastAsia="SimSun" w:hAnsi="Book Antiqua" w:cs="Arial"/>
          <w:szCs w:val="24"/>
          <w:lang w:eastAsia="zh-CN"/>
        </w:rPr>
        <w:t>Movahedi</w:t>
      </w:r>
      <w:proofErr w:type="spellEnd"/>
      <w:r w:rsidR="004C6939" w:rsidRPr="00B909F3">
        <w:rPr>
          <w:rFonts w:ascii="Book Antiqua" w:eastAsia="SimSun" w:hAnsi="Book Antiqua" w:cs="Arial"/>
          <w:szCs w:val="24"/>
          <w:lang w:eastAsia="zh-CN"/>
        </w:rPr>
        <w:t xml:space="preserve"> B, Martins PN, </w:t>
      </w:r>
      <w:r w:rsidR="00035206">
        <w:rPr>
          <w:rFonts w:ascii="Book Antiqua" w:eastAsia="SimSun" w:hAnsi="Book Antiqua" w:cs="Arial"/>
          <w:szCs w:val="24"/>
          <w:lang w:eastAsia="zh-CN"/>
        </w:rPr>
        <w:t xml:space="preserve">and </w:t>
      </w:r>
      <w:proofErr w:type="spellStart"/>
      <w:r w:rsidR="004C6939" w:rsidRPr="00B909F3">
        <w:rPr>
          <w:rFonts w:ascii="Book Antiqua" w:eastAsia="SimSun" w:hAnsi="Book Antiqua" w:cs="Arial"/>
          <w:szCs w:val="24"/>
          <w:lang w:eastAsia="zh-CN"/>
        </w:rPr>
        <w:t>Bozorgzadeh</w:t>
      </w:r>
      <w:proofErr w:type="spellEnd"/>
      <w:r w:rsidR="004C6939" w:rsidRPr="00B909F3">
        <w:rPr>
          <w:rFonts w:ascii="Book Antiqua" w:eastAsia="SimSun" w:hAnsi="Book Antiqua" w:cs="Arial"/>
          <w:szCs w:val="24"/>
          <w:lang w:eastAsia="zh-CN"/>
        </w:rPr>
        <w:t xml:space="preserve"> A analyzed data; Anderson A provided analytic tools; </w:t>
      </w:r>
      <w:proofErr w:type="spellStart"/>
      <w:r w:rsidR="004C6939" w:rsidRPr="00B909F3">
        <w:rPr>
          <w:rFonts w:ascii="Book Antiqua" w:eastAsia="SimSun" w:hAnsi="Book Antiqua" w:cs="Arial"/>
          <w:szCs w:val="24"/>
          <w:lang w:eastAsia="zh-CN"/>
        </w:rPr>
        <w:t>Dolgin</w:t>
      </w:r>
      <w:proofErr w:type="spellEnd"/>
      <w:r w:rsidR="004C6939" w:rsidRPr="00B909F3">
        <w:rPr>
          <w:rFonts w:ascii="Book Antiqua" w:eastAsia="SimSun" w:hAnsi="Book Antiqua" w:cs="Arial"/>
          <w:szCs w:val="24"/>
          <w:lang w:eastAsia="zh-CN"/>
        </w:rPr>
        <w:t xml:space="preserve"> H, Martins PN, </w:t>
      </w:r>
      <w:r w:rsidR="00035206">
        <w:rPr>
          <w:rFonts w:ascii="Book Antiqua" w:eastAsia="SimSun" w:hAnsi="Book Antiqua" w:cs="Arial"/>
          <w:szCs w:val="24"/>
          <w:lang w:eastAsia="zh-CN"/>
        </w:rPr>
        <w:t xml:space="preserve">and </w:t>
      </w:r>
      <w:proofErr w:type="spellStart"/>
      <w:r w:rsidR="004C6939" w:rsidRPr="00B909F3">
        <w:rPr>
          <w:rFonts w:ascii="Book Antiqua" w:eastAsia="SimSun" w:hAnsi="Book Antiqua" w:cs="Arial"/>
          <w:szCs w:val="24"/>
          <w:lang w:eastAsia="zh-CN"/>
        </w:rPr>
        <w:t>Bozorgzadeh</w:t>
      </w:r>
      <w:proofErr w:type="spellEnd"/>
      <w:r w:rsidR="004C6939" w:rsidRPr="00B909F3">
        <w:rPr>
          <w:rFonts w:ascii="Book Antiqua" w:eastAsia="SimSun" w:hAnsi="Book Antiqua" w:cs="Arial"/>
          <w:szCs w:val="24"/>
          <w:lang w:eastAsia="zh-CN"/>
        </w:rPr>
        <w:t xml:space="preserve"> A wrote the paper; </w:t>
      </w:r>
      <w:proofErr w:type="spellStart"/>
      <w:r w:rsidR="004C6939" w:rsidRPr="00B909F3">
        <w:rPr>
          <w:rFonts w:ascii="Book Antiqua" w:eastAsia="SimSun" w:hAnsi="Book Antiqua" w:cs="Arial"/>
          <w:szCs w:val="24"/>
          <w:lang w:eastAsia="zh-CN"/>
        </w:rPr>
        <w:t>Brüggenwirth</w:t>
      </w:r>
      <w:proofErr w:type="spellEnd"/>
      <w:r w:rsidR="004C6939" w:rsidRPr="00B909F3">
        <w:rPr>
          <w:rFonts w:ascii="Book Antiqua" w:eastAsia="SimSun" w:hAnsi="Book Antiqua" w:cs="Arial"/>
          <w:szCs w:val="24"/>
          <w:lang w:eastAsia="zh-CN"/>
        </w:rPr>
        <w:t xml:space="preserve"> IMA, Martins PN, </w:t>
      </w:r>
      <w:r w:rsidR="00035206">
        <w:rPr>
          <w:rFonts w:ascii="Book Antiqua" w:eastAsia="SimSun" w:hAnsi="Book Antiqua" w:cs="Arial"/>
          <w:szCs w:val="24"/>
          <w:lang w:eastAsia="zh-CN"/>
        </w:rPr>
        <w:t xml:space="preserve">and </w:t>
      </w:r>
      <w:proofErr w:type="spellStart"/>
      <w:r w:rsidR="004C6939" w:rsidRPr="00B909F3">
        <w:rPr>
          <w:rFonts w:ascii="Book Antiqua" w:eastAsia="SimSun" w:hAnsi="Book Antiqua" w:cs="Arial"/>
          <w:szCs w:val="24"/>
          <w:lang w:eastAsia="zh-CN"/>
        </w:rPr>
        <w:t>Bozorgzadeh</w:t>
      </w:r>
      <w:proofErr w:type="spellEnd"/>
      <w:r w:rsidR="004C6939" w:rsidRPr="00B909F3">
        <w:rPr>
          <w:rFonts w:ascii="Book Antiqua" w:eastAsia="SimSun" w:hAnsi="Book Antiqua" w:cs="Arial"/>
          <w:szCs w:val="24"/>
          <w:lang w:eastAsia="zh-CN"/>
        </w:rPr>
        <w:t xml:space="preserve"> A revised the manuscript</w:t>
      </w:r>
      <w:r w:rsidR="00FF33F0" w:rsidRPr="00B909F3">
        <w:rPr>
          <w:rFonts w:ascii="Book Antiqua" w:eastAsia="SimSun" w:hAnsi="Book Antiqua" w:cs="Arial"/>
          <w:szCs w:val="24"/>
          <w:lang w:eastAsia="zh-CN"/>
        </w:rPr>
        <w:t>;</w:t>
      </w:r>
      <w:r w:rsidR="00FF33F0" w:rsidRPr="00B909F3">
        <w:rPr>
          <w:rFonts w:ascii="Book Antiqua" w:hAnsi="Book Antiqua" w:cs="Arial"/>
          <w:szCs w:val="24"/>
        </w:rPr>
        <w:t xml:space="preserve"> Martins PN and </w:t>
      </w:r>
      <w:proofErr w:type="spellStart"/>
      <w:r w:rsidR="00FF33F0" w:rsidRPr="00B909F3">
        <w:rPr>
          <w:rFonts w:ascii="Book Antiqua" w:hAnsi="Book Antiqua" w:cs="Arial"/>
          <w:szCs w:val="24"/>
        </w:rPr>
        <w:t>Bozorgzadeh</w:t>
      </w:r>
      <w:proofErr w:type="spellEnd"/>
      <w:r w:rsidR="00FF33F0" w:rsidRPr="00B909F3">
        <w:rPr>
          <w:rFonts w:ascii="Book Antiqua" w:hAnsi="Book Antiqua" w:cs="Arial"/>
          <w:szCs w:val="24"/>
        </w:rPr>
        <w:t xml:space="preserve"> A made the equal contribution.</w:t>
      </w:r>
    </w:p>
    <w:p w14:paraId="4E61AB59" w14:textId="63011828" w:rsidR="00BD056C" w:rsidRPr="00B909F3" w:rsidRDefault="00BD056C" w:rsidP="00197EDE">
      <w:pPr>
        <w:spacing w:after="0" w:line="360" w:lineRule="auto"/>
        <w:jc w:val="both"/>
        <w:rPr>
          <w:rFonts w:ascii="Book Antiqua" w:eastAsia="SimSun" w:hAnsi="Book Antiqua"/>
          <w:b/>
          <w:szCs w:val="24"/>
          <w:lang w:eastAsia="zh-CN"/>
        </w:rPr>
      </w:pPr>
    </w:p>
    <w:p w14:paraId="4A19DBB4" w14:textId="7991BF0B" w:rsidR="006A44EF" w:rsidRPr="00B909F3" w:rsidRDefault="006A44EF" w:rsidP="00197EDE">
      <w:pPr>
        <w:spacing w:after="0" w:line="360" w:lineRule="auto"/>
        <w:jc w:val="both"/>
        <w:rPr>
          <w:rFonts w:ascii="Book Antiqua" w:hAnsi="Book Antiqua"/>
          <w:b/>
          <w:szCs w:val="24"/>
        </w:rPr>
      </w:pPr>
      <w:r w:rsidRPr="00B909F3">
        <w:rPr>
          <w:rFonts w:ascii="Book Antiqua" w:hAnsi="Book Antiqua"/>
          <w:b/>
          <w:szCs w:val="24"/>
        </w:rPr>
        <w:t>Institutional review board statement</w:t>
      </w:r>
      <w:r w:rsidRPr="00B909F3">
        <w:rPr>
          <w:rFonts w:ascii="Book Antiqua" w:hAnsi="Book Antiqua"/>
          <w:b/>
          <w:bCs/>
          <w:iCs/>
          <w:szCs w:val="24"/>
        </w:rPr>
        <w:t>:</w:t>
      </w:r>
      <w:r w:rsidRPr="00B909F3">
        <w:rPr>
          <w:rFonts w:ascii="Book Antiqua" w:hAnsi="Book Antiqua"/>
          <w:szCs w:val="24"/>
          <w:lang w:val="en-GB"/>
        </w:rPr>
        <w:t xml:space="preserve"> </w:t>
      </w:r>
      <w:r w:rsidR="00197EDE" w:rsidRPr="00B909F3">
        <w:rPr>
          <w:rFonts w:ascii="Book Antiqua" w:eastAsiaTheme="minorEastAsia" w:hAnsi="Book Antiqua" w:cs="Arial"/>
          <w:szCs w:val="24"/>
        </w:rPr>
        <w:t>This study was deemed exempt by the University of Massachusetts Medical School Institutional Review Board.</w:t>
      </w:r>
    </w:p>
    <w:p w14:paraId="400C6898" w14:textId="77777777" w:rsidR="00BD056C" w:rsidRPr="00B909F3" w:rsidRDefault="00BD056C" w:rsidP="00197EDE">
      <w:pPr>
        <w:spacing w:after="0" w:line="360" w:lineRule="auto"/>
        <w:jc w:val="both"/>
        <w:rPr>
          <w:rFonts w:ascii="Book Antiqua" w:eastAsia="SimSun" w:hAnsi="Book Antiqua"/>
          <w:b/>
          <w:szCs w:val="24"/>
          <w:lang w:eastAsia="zh-CN"/>
        </w:rPr>
      </w:pPr>
    </w:p>
    <w:p w14:paraId="302CC19D" w14:textId="2B196C25" w:rsidR="00BD056C" w:rsidRPr="00B909F3" w:rsidRDefault="006A44EF" w:rsidP="00197EDE">
      <w:pPr>
        <w:pStyle w:val="Default"/>
        <w:spacing w:line="360" w:lineRule="auto"/>
        <w:jc w:val="both"/>
        <w:rPr>
          <w:rFonts w:ascii="Book Antiqua" w:eastAsiaTheme="minorEastAsia" w:hAnsi="Book Antiqua"/>
          <w:color w:val="auto"/>
        </w:rPr>
      </w:pPr>
      <w:r w:rsidRPr="00B909F3">
        <w:rPr>
          <w:rFonts w:ascii="Book Antiqua" w:hAnsi="Book Antiqua"/>
          <w:b/>
          <w:color w:val="auto"/>
        </w:rPr>
        <w:t>Informed consent statement</w:t>
      </w:r>
      <w:r w:rsidRPr="00B909F3">
        <w:rPr>
          <w:rFonts w:ascii="Book Antiqua" w:hAnsi="Book Antiqua"/>
          <w:b/>
          <w:bCs/>
          <w:iCs/>
          <w:color w:val="auto"/>
          <w:lang w:eastAsia="zh-CN"/>
        </w:rPr>
        <w:t>:</w:t>
      </w:r>
      <w:r w:rsidR="00197EDE" w:rsidRPr="00B909F3">
        <w:rPr>
          <w:rFonts w:ascii="Book Antiqua" w:hAnsi="Book Antiqua"/>
          <w:b/>
          <w:bCs/>
          <w:iCs/>
          <w:color w:val="auto"/>
          <w:lang w:eastAsia="zh-CN"/>
        </w:rPr>
        <w:t xml:space="preserve"> </w:t>
      </w:r>
      <w:r w:rsidR="00197EDE" w:rsidRPr="00B909F3">
        <w:rPr>
          <w:rFonts w:ascii="Book Antiqua" w:eastAsiaTheme="minorEastAsia" w:hAnsi="Book Antiqua"/>
          <w:color w:val="auto"/>
        </w:rPr>
        <w:t>Patients were not required to give informed consent to the study because the analysis used anonymous data that were obtained from the Scientific Registry of Transplant Recipients (SRTR). The SRTR is contracted to UNOS by the United States Department of Health and Human Services to manage data collected via government-mandated reporting by all United States transplant centers.</w:t>
      </w:r>
    </w:p>
    <w:p w14:paraId="2EB2B6A8" w14:textId="77777777" w:rsidR="006A44EF" w:rsidRPr="00B909F3" w:rsidRDefault="006A44EF" w:rsidP="00197EDE">
      <w:pPr>
        <w:spacing w:after="0" w:line="360" w:lineRule="auto"/>
        <w:jc w:val="both"/>
        <w:rPr>
          <w:rFonts w:ascii="Book Antiqua" w:eastAsia="SimSun" w:hAnsi="Book Antiqua"/>
          <w:b/>
          <w:szCs w:val="24"/>
          <w:lang w:eastAsia="zh-CN"/>
        </w:rPr>
      </w:pPr>
    </w:p>
    <w:p w14:paraId="197712AF" w14:textId="77777777" w:rsidR="006A44EF" w:rsidRPr="00B909F3" w:rsidRDefault="006A44EF" w:rsidP="00197EDE">
      <w:pPr>
        <w:spacing w:after="0" w:line="360" w:lineRule="auto"/>
        <w:jc w:val="both"/>
        <w:rPr>
          <w:rFonts w:ascii="Book Antiqua" w:hAnsi="Book Antiqua"/>
          <w:b/>
          <w:szCs w:val="24"/>
        </w:rPr>
      </w:pPr>
      <w:r w:rsidRPr="00B909F3">
        <w:rPr>
          <w:rFonts w:ascii="Book Antiqua" w:hAnsi="Book Antiqua"/>
          <w:b/>
          <w:szCs w:val="24"/>
        </w:rPr>
        <w:t>Conflict-of-interest statement</w:t>
      </w:r>
      <w:r w:rsidRPr="00B909F3">
        <w:rPr>
          <w:rFonts w:ascii="Book Antiqua" w:hAnsi="Book Antiqua" w:cs="TimesNewRomanPS-BoldItalicMT"/>
          <w:b/>
          <w:bCs/>
          <w:iCs/>
          <w:szCs w:val="24"/>
          <w:lang w:eastAsia="zh-CN"/>
        </w:rPr>
        <w:t>:</w:t>
      </w:r>
      <w:r w:rsidRPr="00B909F3">
        <w:rPr>
          <w:rFonts w:ascii="Book Antiqua" w:hAnsi="Book Antiqua"/>
          <w:szCs w:val="24"/>
          <w:lang w:val="en-GB"/>
        </w:rPr>
        <w:t xml:space="preserve"> All the Authors have no conflict of interest related to the manuscript.</w:t>
      </w:r>
    </w:p>
    <w:p w14:paraId="7CCF1A31" w14:textId="08BC59D5" w:rsidR="00BD056C" w:rsidRDefault="00BD056C" w:rsidP="00197EDE">
      <w:pPr>
        <w:spacing w:after="0" w:line="360" w:lineRule="auto"/>
        <w:jc w:val="both"/>
        <w:rPr>
          <w:rFonts w:ascii="Book Antiqua" w:eastAsia="SimSun" w:hAnsi="Book Antiqua"/>
          <w:szCs w:val="24"/>
          <w:lang w:val="en-GB" w:eastAsia="zh-CN"/>
        </w:rPr>
      </w:pPr>
    </w:p>
    <w:p w14:paraId="0D3D730B" w14:textId="77777777" w:rsidR="00086F27" w:rsidRPr="00086F27" w:rsidRDefault="00086F27" w:rsidP="00086F27">
      <w:pPr>
        <w:autoSpaceDE w:val="0"/>
        <w:autoSpaceDN w:val="0"/>
        <w:adjustRightInd w:val="0"/>
        <w:snapToGrid w:val="0"/>
        <w:spacing w:after="0" w:line="360" w:lineRule="auto"/>
        <w:jc w:val="both"/>
        <w:rPr>
          <w:rFonts w:ascii="Book Antiqua" w:eastAsia="SimSun" w:hAnsi="Book Antiqua" w:cs="Garamond-Bold"/>
          <w:bCs/>
          <w:color w:val="000000"/>
          <w:kern w:val="2"/>
          <w:szCs w:val="24"/>
          <w:lang w:eastAsia="zh-CN"/>
        </w:rPr>
      </w:pPr>
      <w:r w:rsidRPr="00086F27">
        <w:rPr>
          <w:rFonts w:ascii="Book Antiqua" w:eastAsia="SimSun" w:hAnsi="Book Antiqua"/>
          <w:b/>
          <w:szCs w:val="24"/>
          <w:lang w:val="it-IT"/>
        </w:rPr>
        <w:t>STROBE statement</w:t>
      </w:r>
      <w:r>
        <w:rPr>
          <w:rFonts w:ascii="Book Antiqua" w:eastAsia="SimSun" w:hAnsi="Book Antiqua"/>
          <w:b/>
          <w:szCs w:val="24"/>
          <w:lang w:val="it-IT"/>
        </w:rPr>
        <w:t xml:space="preserve">: </w:t>
      </w:r>
      <w:r w:rsidRPr="00086F27">
        <w:rPr>
          <w:rFonts w:ascii="Book Antiqua" w:eastAsia="SimSun" w:hAnsi="Book Antiqua" w:cs="Garamond-Bold"/>
          <w:bCs/>
          <w:color w:val="000000"/>
          <w:kern w:val="2"/>
          <w:szCs w:val="24"/>
          <w:lang w:eastAsia="zh-CN"/>
        </w:rPr>
        <w:t>The authors have read the STROBE Statement—checklist of items, and the manuscript was prepared and revised according to the STROBE Statement—checklist of items.</w:t>
      </w:r>
    </w:p>
    <w:p w14:paraId="3CCF08C3" w14:textId="77777777" w:rsidR="00086F27" w:rsidRPr="00B909F3" w:rsidRDefault="00086F27" w:rsidP="00086F27">
      <w:pPr>
        <w:spacing w:after="0" w:line="360" w:lineRule="auto"/>
        <w:jc w:val="both"/>
        <w:rPr>
          <w:rFonts w:ascii="Book Antiqua" w:eastAsia="SimSun" w:hAnsi="Book Antiqua"/>
          <w:szCs w:val="24"/>
          <w:lang w:val="en-GB" w:eastAsia="zh-CN"/>
        </w:rPr>
      </w:pPr>
    </w:p>
    <w:p w14:paraId="0C45BBFA" w14:textId="0F07012B" w:rsidR="006A44EF" w:rsidRPr="00B909F3" w:rsidRDefault="006A44EF" w:rsidP="00197EDE">
      <w:pPr>
        <w:pStyle w:val="CommentText"/>
        <w:adjustRightInd w:val="0"/>
        <w:snapToGrid w:val="0"/>
        <w:spacing w:after="0" w:line="360" w:lineRule="auto"/>
        <w:jc w:val="both"/>
        <w:rPr>
          <w:rFonts w:ascii="Book Antiqua" w:hAnsi="Book Antiqua"/>
          <w:sz w:val="24"/>
          <w:szCs w:val="24"/>
          <w:lang w:eastAsia="zh-CN"/>
        </w:rPr>
      </w:pPr>
      <w:r w:rsidRPr="00B909F3">
        <w:rPr>
          <w:rFonts w:ascii="Book Antiqua" w:hAnsi="Book Antiqua"/>
          <w:b/>
          <w:sz w:val="24"/>
          <w:szCs w:val="24"/>
        </w:rPr>
        <w:t xml:space="preserve">Open-Access: </w:t>
      </w:r>
      <w:bookmarkStart w:id="4" w:name="OLE_LINK13"/>
      <w:r w:rsidRPr="00B909F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B909F3">
        <w:rPr>
          <w:rFonts w:ascii="Book Antiqua" w:hAnsi="Book Antiqua"/>
          <w:sz w:val="24"/>
          <w:szCs w:val="24"/>
        </w:rPr>
        <w:lastRenderedPageBreak/>
        <w:t>license their derivative works on different terms, provided the original work is properly cited and the use is non-commercial. See: http://creativecommons.org/licenses/by-nc/4.0/</w:t>
      </w:r>
    </w:p>
    <w:bookmarkEnd w:id="4"/>
    <w:p w14:paraId="6A492369" w14:textId="4CA52A67" w:rsidR="006A44EF" w:rsidRDefault="006A44EF" w:rsidP="00197EDE">
      <w:pPr>
        <w:spacing w:after="0" w:line="360" w:lineRule="auto"/>
        <w:jc w:val="both"/>
        <w:rPr>
          <w:rFonts w:ascii="Book Antiqua" w:hAnsi="Book Antiqua" w:cs="Arial"/>
          <w:b/>
          <w:szCs w:val="24"/>
        </w:rPr>
      </w:pPr>
    </w:p>
    <w:p w14:paraId="418FDCEC" w14:textId="7358BDC0" w:rsidR="009D2990" w:rsidRDefault="009D2990" w:rsidP="009D2990">
      <w:pPr>
        <w:widowControl w:val="0"/>
        <w:autoSpaceDE w:val="0"/>
        <w:autoSpaceDN w:val="0"/>
        <w:adjustRightInd w:val="0"/>
        <w:spacing w:line="360" w:lineRule="auto"/>
        <w:jc w:val="both"/>
        <w:rPr>
          <w:rFonts w:ascii="Book Antiqua" w:hAnsi="Book Antiqua" w:cs="Arial Unicode MS"/>
          <w:kern w:val="2"/>
        </w:rPr>
      </w:pPr>
      <w:bookmarkStart w:id="5" w:name="OLE_LINK759"/>
      <w:bookmarkStart w:id="6" w:name="OLE_LINK709"/>
      <w:bookmarkStart w:id="7" w:name="OLE_LINK1123"/>
      <w:bookmarkStart w:id="8" w:name="OLE_LINK927"/>
      <w:bookmarkStart w:id="9" w:name="OLE_LINK776"/>
      <w:bookmarkStart w:id="10" w:name="OLE_LINK571"/>
      <w:bookmarkStart w:id="11" w:name="OLE_LINK919"/>
      <w:bookmarkStart w:id="12" w:name="OLE_LINK918"/>
      <w:r>
        <w:rPr>
          <w:rFonts w:ascii="Book Antiqua" w:hAnsi="Book Antiqua" w:cs="Arial Unicode MS"/>
          <w:b/>
          <w:kern w:val="2"/>
        </w:rPr>
        <w:t>Manuscript source:</w:t>
      </w:r>
      <w:r>
        <w:rPr>
          <w:rFonts w:ascii="Book Antiqua" w:hAnsi="Book Antiqua" w:cs="Arial Unicode MS"/>
          <w:kern w:val="2"/>
        </w:rPr>
        <w:t xml:space="preserve"> </w:t>
      </w:r>
      <w:bookmarkEnd w:id="5"/>
      <w:bookmarkEnd w:id="6"/>
      <w:bookmarkEnd w:id="7"/>
      <w:bookmarkEnd w:id="8"/>
      <w:bookmarkEnd w:id="9"/>
      <w:bookmarkEnd w:id="10"/>
      <w:bookmarkEnd w:id="11"/>
      <w:bookmarkEnd w:id="12"/>
      <w:r>
        <w:rPr>
          <w:rFonts w:ascii="Book Antiqua" w:hAnsi="Book Antiqua"/>
          <w:lang w:eastAsia="zh-CN"/>
        </w:rPr>
        <w:t>Invited manuscript</w:t>
      </w:r>
    </w:p>
    <w:p w14:paraId="77588D21" w14:textId="77777777" w:rsidR="009D2990" w:rsidRPr="00B909F3" w:rsidRDefault="009D2990" w:rsidP="00197EDE">
      <w:pPr>
        <w:spacing w:after="0" w:line="360" w:lineRule="auto"/>
        <w:jc w:val="both"/>
        <w:rPr>
          <w:rFonts w:ascii="Book Antiqua" w:hAnsi="Book Antiqua" w:cs="Arial"/>
          <w:b/>
          <w:szCs w:val="24"/>
        </w:rPr>
      </w:pPr>
    </w:p>
    <w:p w14:paraId="2718422C" w14:textId="1B9B6A84" w:rsidR="00FF33F0" w:rsidRPr="00B909F3" w:rsidRDefault="006A44EF" w:rsidP="00197EDE">
      <w:pPr>
        <w:spacing w:after="0" w:line="360" w:lineRule="auto"/>
        <w:jc w:val="both"/>
        <w:rPr>
          <w:rFonts w:ascii="Book Antiqua" w:hAnsi="Book Antiqua" w:cs="Arial"/>
          <w:szCs w:val="24"/>
        </w:rPr>
      </w:pPr>
      <w:r w:rsidRPr="00B909F3">
        <w:rPr>
          <w:rFonts w:ascii="Book Antiqua" w:hAnsi="Book Antiqua" w:cs="Arial"/>
          <w:b/>
          <w:szCs w:val="24"/>
        </w:rPr>
        <w:t>Corresponding author:</w:t>
      </w:r>
      <w:r w:rsidRPr="00B909F3">
        <w:rPr>
          <w:rFonts w:ascii="Book Antiqua" w:eastAsia="SimSun" w:hAnsi="Book Antiqua"/>
          <w:b/>
          <w:szCs w:val="24"/>
          <w:lang w:val="en-GB" w:eastAsia="zh-CN"/>
        </w:rPr>
        <w:t xml:space="preserve"> </w:t>
      </w:r>
      <w:r w:rsidR="00422D8F" w:rsidRPr="00B909F3">
        <w:rPr>
          <w:rFonts w:ascii="Book Antiqua" w:hAnsi="Book Antiqua" w:cs="Arial"/>
          <w:b/>
          <w:bCs/>
          <w:szCs w:val="24"/>
        </w:rPr>
        <w:t xml:space="preserve">Natasha H </w:t>
      </w:r>
      <w:proofErr w:type="spellStart"/>
      <w:r w:rsidR="00422D8F" w:rsidRPr="00B909F3">
        <w:rPr>
          <w:rFonts w:ascii="Book Antiqua" w:hAnsi="Book Antiqua" w:cs="Arial"/>
          <w:b/>
          <w:bCs/>
          <w:szCs w:val="24"/>
        </w:rPr>
        <w:t>Dolgin</w:t>
      </w:r>
      <w:proofErr w:type="spellEnd"/>
      <w:r w:rsidR="00422D8F" w:rsidRPr="00B909F3">
        <w:rPr>
          <w:rFonts w:ascii="Book Antiqua" w:hAnsi="Book Antiqua" w:cs="Arial"/>
          <w:b/>
          <w:bCs/>
          <w:szCs w:val="24"/>
        </w:rPr>
        <w:t>,</w:t>
      </w:r>
      <w:r w:rsidR="00B909F3" w:rsidRPr="00B909F3">
        <w:rPr>
          <w:b/>
          <w:bCs/>
        </w:rPr>
        <w:t xml:space="preserve"> </w:t>
      </w:r>
      <w:r w:rsidR="00B909F3" w:rsidRPr="00B909F3">
        <w:rPr>
          <w:rFonts w:ascii="Book Antiqua" w:hAnsi="Book Antiqua" w:cs="Arial"/>
          <w:b/>
          <w:bCs/>
          <w:szCs w:val="24"/>
        </w:rPr>
        <w:t xml:space="preserve">MD, PhD, Doctor, </w:t>
      </w:r>
      <w:bookmarkStart w:id="13" w:name="OLE_LINK14"/>
      <w:r w:rsidR="00B909F3" w:rsidRPr="00B909F3">
        <w:rPr>
          <w:rFonts w:ascii="Book Antiqua" w:hAnsi="Book Antiqua" w:cs="Arial"/>
          <w:szCs w:val="24"/>
        </w:rPr>
        <w:t>Department of Surgery, Division of Organ Transplantation</w:t>
      </w:r>
      <w:bookmarkEnd w:id="13"/>
      <w:r w:rsidR="00B909F3" w:rsidRPr="00B909F3">
        <w:rPr>
          <w:rFonts w:ascii="Book Antiqua" w:hAnsi="Book Antiqua" w:cs="Arial"/>
          <w:szCs w:val="24"/>
        </w:rPr>
        <w:t xml:space="preserve">, </w:t>
      </w:r>
      <w:bookmarkStart w:id="14" w:name="OLE_LINK15"/>
      <w:r w:rsidR="00B909F3" w:rsidRPr="00B909F3">
        <w:rPr>
          <w:rFonts w:ascii="Book Antiqua" w:hAnsi="Book Antiqua" w:cs="Arial"/>
          <w:szCs w:val="24"/>
        </w:rPr>
        <w:t>UMass Memorial Medical Center, University of Massachusetts Medical School</w:t>
      </w:r>
      <w:bookmarkEnd w:id="14"/>
      <w:r w:rsidR="00B909F3" w:rsidRPr="00B909F3">
        <w:rPr>
          <w:rFonts w:ascii="Book Antiqua" w:hAnsi="Book Antiqua" w:cs="Arial"/>
          <w:szCs w:val="24"/>
        </w:rPr>
        <w:t>,</w:t>
      </w:r>
      <w:r w:rsidR="00FF33F0" w:rsidRPr="00B909F3">
        <w:rPr>
          <w:rFonts w:ascii="Book Antiqua" w:hAnsi="Book Antiqua" w:cs="Arial"/>
          <w:szCs w:val="24"/>
        </w:rPr>
        <w:t xml:space="preserve"> </w:t>
      </w:r>
      <w:bookmarkStart w:id="15" w:name="OLE_LINK16"/>
      <w:r w:rsidR="00422D8F" w:rsidRPr="00B909F3">
        <w:rPr>
          <w:rFonts w:ascii="Book Antiqua" w:hAnsi="Book Antiqua" w:cs="Arial"/>
          <w:szCs w:val="24"/>
        </w:rPr>
        <w:t>55 Lake Avenue</w:t>
      </w:r>
      <w:bookmarkEnd w:id="15"/>
      <w:r w:rsidR="00422D8F" w:rsidRPr="00B909F3">
        <w:rPr>
          <w:rFonts w:ascii="Book Antiqua" w:hAnsi="Book Antiqua" w:cs="Arial"/>
          <w:szCs w:val="24"/>
        </w:rPr>
        <w:t xml:space="preserve">, Worcester, MA 01655, </w:t>
      </w:r>
      <w:r w:rsidR="00FF33F0" w:rsidRPr="00B909F3">
        <w:rPr>
          <w:rFonts w:ascii="Book Antiqua" w:hAnsi="Book Antiqua" w:cs="Arial"/>
          <w:szCs w:val="24"/>
        </w:rPr>
        <w:t xml:space="preserve">United States. </w:t>
      </w:r>
      <w:r w:rsidR="00FF33F0" w:rsidRPr="00B909F3">
        <w:rPr>
          <w:rFonts w:ascii="Book Antiqua" w:hAnsi="Book Antiqua"/>
          <w:szCs w:val="24"/>
          <w:u w:val="single"/>
        </w:rPr>
        <w:t>natasha.dolgin@gmail.com</w:t>
      </w:r>
    </w:p>
    <w:p w14:paraId="572A4FF5" w14:textId="08017919" w:rsidR="00422D8F" w:rsidRPr="00B909F3" w:rsidRDefault="006A44EF" w:rsidP="00197EDE">
      <w:pPr>
        <w:spacing w:after="0" w:line="360" w:lineRule="auto"/>
        <w:jc w:val="both"/>
        <w:rPr>
          <w:rFonts w:ascii="Book Antiqua" w:hAnsi="Book Antiqua" w:cs="Arial"/>
          <w:szCs w:val="24"/>
        </w:rPr>
      </w:pPr>
      <w:r w:rsidRPr="00B909F3">
        <w:rPr>
          <w:rFonts w:ascii="Book Antiqua" w:hAnsi="Book Antiqua" w:cs="Arial"/>
          <w:b/>
          <w:szCs w:val="24"/>
        </w:rPr>
        <w:t xml:space="preserve">Telephone: </w:t>
      </w:r>
      <w:r w:rsidR="00FF33F0" w:rsidRPr="00B909F3">
        <w:rPr>
          <w:rFonts w:ascii="Book Antiqua" w:hAnsi="Book Antiqua" w:cs="Arial"/>
          <w:szCs w:val="24"/>
        </w:rPr>
        <w:t>+1-</w:t>
      </w:r>
      <w:r w:rsidR="00422D8F" w:rsidRPr="00B909F3">
        <w:rPr>
          <w:rFonts w:ascii="Book Antiqua" w:hAnsi="Book Antiqua" w:cs="Arial"/>
          <w:szCs w:val="24"/>
        </w:rPr>
        <w:t>781</w:t>
      </w:r>
      <w:r w:rsidR="00FF33F0" w:rsidRPr="00B909F3">
        <w:rPr>
          <w:rFonts w:ascii="Book Antiqua" w:hAnsi="Book Antiqua" w:cs="Arial"/>
          <w:szCs w:val="24"/>
        </w:rPr>
        <w:t>-</w:t>
      </w:r>
      <w:r w:rsidR="00422D8F" w:rsidRPr="00B909F3">
        <w:rPr>
          <w:rFonts w:ascii="Book Antiqua" w:hAnsi="Book Antiqua" w:cs="Arial"/>
          <w:szCs w:val="24"/>
        </w:rPr>
        <w:t>6089635</w:t>
      </w:r>
    </w:p>
    <w:p w14:paraId="3442F814" w14:textId="77777777" w:rsidR="002A07F2" w:rsidRPr="00B909F3" w:rsidRDefault="002A07F2" w:rsidP="00197EDE">
      <w:pPr>
        <w:spacing w:after="0" w:line="360" w:lineRule="auto"/>
        <w:jc w:val="both"/>
        <w:rPr>
          <w:rFonts w:ascii="Book Antiqua" w:hAnsi="Book Antiqua" w:cs="Arial"/>
          <w:szCs w:val="24"/>
        </w:rPr>
      </w:pPr>
    </w:p>
    <w:p w14:paraId="24A070E0" w14:textId="060926AE" w:rsidR="009F401B" w:rsidRPr="00B909F3" w:rsidRDefault="009F401B" w:rsidP="00197EDE">
      <w:pPr>
        <w:spacing w:after="0" w:line="360" w:lineRule="auto"/>
        <w:jc w:val="both"/>
        <w:rPr>
          <w:rFonts w:ascii="Book Antiqua" w:eastAsia="SimSun" w:hAnsi="Book Antiqua"/>
          <w:szCs w:val="24"/>
          <w:lang w:eastAsia="zh-CN"/>
        </w:rPr>
      </w:pPr>
      <w:r w:rsidRPr="00B909F3">
        <w:rPr>
          <w:rFonts w:ascii="Book Antiqua" w:hAnsi="Book Antiqua"/>
          <w:b/>
          <w:szCs w:val="24"/>
        </w:rPr>
        <w:t xml:space="preserve">Received: </w:t>
      </w:r>
      <w:r w:rsidR="00B909F3">
        <w:rPr>
          <w:rFonts w:ascii="Book Antiqua" w:eastAsia="SimSun" w:hAnsi="Book Antiqua"/>
          <w:szCs w:val="24"/>
          <w:lang w:eastAsia="zh-CN"/>
        </w:rPr>
        <w:t>March</w:t>
      </w:r>
      <w:r w:rsidRPr="00B909F3">
        <w:rPr>
          <w:rFonts w:ascii="Book Antiqua" w:eastAsia="SimSun" w:hAnsi="Book Antiqua"/>
          <w:szCs w:val="24"/>
          <w:lang w:eastAsia="zh-CN"/>
        </w:rPr>
        <w:t xml:space="preserve"> 2</w:t>
      </w:r>
      <w:r w:rsidR="00B909F3">
        <w:rPr>
          <w:rFonts w:ascii="Book Antiqua" w:eastAsia="SimSun" w:hAnsi="Book Antiqua"/>
          <w:szCs w:val="24"/>
          <w:lang w:eastAsia="zh-CN"/>
        </w:rPr>
        <w:t>6</w:t>
      </w:r>
      <w:r w:rsidRPr="00B909F3">
        <w:rPr>
          <w:rFonts w:ascii="Book Antiqua" w:eastAsia="SimSun" w:hAnsi="Book Antiqua"/>
          <w:szCs w:val="24"/>
          <w:lang w:eastAsia="zh-CN"/>
        </w:rPr>
        <w:t>, 201</w:t>
      </w:r>
      <w:r w:rsidR="00B909F3">
        <w:rPr>
          <w:rFonts w:ascii="Book Antiqua" w:eastAsia="SimSun" w:hAnsi="Book Antiqua"/>
          <w:szCs w:val="24"/>
          <w:lang w:eastAsia="zh-CN"/>
        </w:rPr>
        <w:t>9</w:t>
      </w:r>
    </w:p>
    <w:p w14:paraId="3A170B7B" w14:textId="26412863" w:rsidR="009F401B" w:rsidRPr="00B909F3" w:rsidRDefault="009F401B" w:rsidP="00197EDE">
      <w:pPr>
        <w:spacing w:after="0" w:line="360" w:lineRule="auto"/>
        <w:jc w:val="both"/>
        <w:rPr>
          <w:rFonts w:ascii="Book Antiqua" w:eastAsia="SimSun" w:hAnsi="Book Antiqua"/>
          <w:szCs w:val="24"/>
          <w:lang w:eastAsia="zh-CN"/>
        </w:rPr>
      </w:pPr>
      <w:r w:rsidRPr="00B909F3">
        <w:rPr>
          <w:rFonts w:ascii="Book Antiqua" w:hAnsi="Book Antiqua"/>
          <w:b/>
          <w:szCs w:val="24"/>
        </w:rPr>
        <w:t>Peer-review started:</w:t>
      </w:r>
      <w:r w:rsidRPr="00B909F3">
        <w:rPr>
          <w:rFonts w:ascii="Book Antiqua" w:eastAsia="SimSun" w:hAnsi="Book Antiqua"/>
          <w:szCs w:val="24"/>
          <w:lang w:eastAsia="zh-CN"/>
        </w:rPr>
        <w:t xml:space="preserve"> </w:t>
      </w:r>
      <w:r w:rsidR="00B909F3">
        <w:rPr>
          <w:rFonts w:ascii="Book Antiqua" w:eastAsia="SimSun" w:hAnsi="Book Antiqua"/>
          <w:szCs w:val="24"/>
          <w:lang w:eastAsia="zh-CN"/>
        </w:rPr>
        <w:t>March</w:t>
      </w:r>
      <w:r w:rsidR="00B909F3" w:rsidRPr="00B909F3">
        <w:rPr>
          <w:rFonts w:ascii="Book Antiqua" w:eastAsia="SimSun" w:hAnsi="Book Antiqua"/>
          <w:szCs w:val="24"/>
          <w:lang w:eastAsia="zh-CN"/>
        </w:rPr>
        <w:t xml:space="preserve"> 2</w:t>
      </w:r>
      <w:r w:rsidR="00B909F3">
        <w:rPr>
          <w:rFonts w:ascii="Book Antiqua" w:eastAsia="SimSun" w:hAnsi="Book Antiqua"/>
          <w:szCs w:val="24"/>
          <w:lang w:eastAsia="zh-CN"/>
        </w:rPr>
        <w:t>6</w:t>
      </w:r>
      <w:r w:rsidR="00B909F3" w:rsidRPr="00B909F3">
        <w:rPr>
          <w:rFonts w:ascii="Book Antiqua" w:eastAsia="SimSun" w:hAnsi="Book Antiqua"/>
          <w:szCs w:val="24"/>
          <w:lang w:eastAsia="zh-CN"/>
        </w:rPr>
        <w:t>, 201</w:t>
      </w:r>
      <w:r w:rsidR="00B909F3">
        <w:rPr>
          <w:rFonts w:ascii="Book Antiqua" w:eastAsia="SimSun" w:hAnsi="Book Antiqua"/>
          <w:szCs w:val="24"/>
          <w:lang w:eastAsia="zh-CN"/>
        </w:rPr>
        <w:t>9</w:t>
      </w:r>
    </w:p>
    <w:p w14:paraId="212039D0" w14:textId="069AC86D" w:rsidR="009F401B" w:rsidRPr="00B909F3" w:rsidRDefault="009F401B" w:rsidP="00197EDE">
      <w:pPr>
        <w:spacing w:after="0" w:line="360" w:lineRule="auto"/>
        <w:jc w:val="both"/>
        <w:rPr>
          <w:rFonts w:ascii="Book Antiqua" w:eastAsia="SimSun" w:hAnsi="Book Antiqua"/>
          <w:szCs w:val="24"/>
          <w:lang w:eastAsia="zh-CN"/>
        </w:rPr>
      </w:pPr>
      <w:r w:rsidRPr="00B909F3">
        <w:rPr>
          <w:rFonts w:ascii="Book Antiqua" w:hAnsi="Book Antiqua"/>
          <w:b/>
          <w:szCs w:val="24"/>
        </w:rPr>
        <w:t>First decision:</w:t>
      </w:r>
      <w:r w:rsidRPr="00B909F3">
        <w:rPr>
          <w:rFonts w:ascii="Book Antiqua" w:eastAsia="SimSun" w:hAnsi="Book Antiqua"/>
          <w:b/>
          <w:szCs w:val="24"/>
          <w:lang w:eastAsia="zh-CN"/>
        </w:rPr>
        <w:t xml:space="preserve"> </w:t>
      </w:r>
      <w:r w:rsidR="00B909F3">
        <w:rPr>
          <w:rFonts w:ascii="Book Antiqua" w:eastAsia="SimSun" w:hAnsi="Book Antiqua"/>
          <w:szCs w:val="24"/>
          <w:lang w:eastAsia="zh-CN"/>
        </w:rPr>
        <w:t>March</w:t>
      </w:r>
      <w:r w:rsidR="00B909F3" w:rsidRPr="00B909F3">
        <w:rPr>
          <w:rFonts w:ascii="Book Antiqua" w:eastAsia="SimSun" w:hAnsi="Book Antiqua"/>
          <w:szCs w:val="24"/>
          <w:lang w:eastAsia="zh-CN"/>
        </w:rPr>
        <w:t xml:space="preserve"> 2</w:t>
      </w:r>
      <w:r w:rsidR="00B909F3">
        <w:rPr>
          <w:rFonts w:ascii="Book Antiqua" w:eastAsia="SimSun" w:hAnsi="Book Antiqua"/>
          <w:szCs w:val="24"/>
          <w:lang w:eastAsia="zh-CN"/>
        </w:rPr>
        <w:t>6</w:t>
      </w:r>
      <w:r w:rsidR="00B909F3" w:rsidRPr="00B909F3">
        <w:rPr>
          <w:rFonts w:ascii="Book Antiqua" w:eastAsia="SimSun" w:hAnsi="Book Antiqua"/>
          <w:szCs w:val="24"/>
          <w:lang w:eastAsia="zh-CN"/>
        </w:rPr>
        <w:t>, 201</w:t>
      </w:r>
      <w:r w:rsidR="00B909F3">
        <w:rPr>
          <w:rFonts w:ascii="Book Antiqua" w:eastAsia="SimSun" w:hAnsi="Book Antiqua"/>
          <w:szCs w:val="24"/>
          <w:lang w:eastAsia="zh-CN"/>
        </w:rPr>
        <w:t>9</w:t>
      </w:r>
    </w:p>
    <w:p w14:paraId="6C56A904" w14:textId="07BF6DCC" w:rsidR="009F401B" w:rsidRPr="00B909F3" w:rsidRDefault="009F401B" w:rsidP="00197EDE">
      <w:pPr>
        <w:widowControl w:val="0"/>
        <w:spacing w:after="0" w:line="360" w:lineRule="auto"/>
        <w:jc w:val="both"/>
        <w:rPr>
          <w:rFonts w:ascii="Book Antiqua" w:hAnsi="Book Antiqua"/>
          <w:b/>
          <w:szCs w:val="24"/>
        </w:rPr>
      </w:pPr>
      <w:r w:rsidRPr="00B909F3">
        <w:rPr>
          <w:rFonts w:ascii="Book Antiqua" w:hAnsi="Book Antiqua"/>
          <w:b/>
          <w:szCs w:val="24"/>
        </w:rPr>
        <w:t xml:space="preserve">Revised: </w:t>
      </w:r>
      <w:r w:rsidR="00B909F3">
        <w:rPr>
          <w:rFonts w:ascii="Book Antiqua" w:eastAsia="SimSun" w:hAnsi="Book Antiqua"/>
          <w:szCs w:val="24"/>
          <w:lang w:eastAsia="zh-CN"/>
        </w:rPr>
        <w:t>October</w:t>
      </w:r>
      <w:r w:rsidR="00B909F3" w:rsidRPr="00B909F3">
        <w:rPr>
          <w:rFonts w:ascii="Book Antiqua" w:eastAsia="SimSun" w:hAnsi="Book Antiqua"/>
          <w:szCs w:val="24"/>
          <w:lang w:eastAsia="zh-CN"/>
        </w:rPr>
        <w:t xml:space="preserve"> </w:t>
      </w:r>
      <w:r w:rsidR="00B909F3">
        <w:rPr>
          <w:rFonts w:ascii="Book Antiqua" w:eastAsia="SimSun" w:hAnsi="Book Antiqua"/>
          <w:szCs w:val="24"/>
          <w:lang w:eastAsia="zh-CN"/>
        </w:rPr>
        <w:t>16</w:t>
      </w:r>
      <w:r w:rsidR="00B909F3" w:rsidRPr="00B909F3">
        <w:rPr>
          <w:rFonts w:ascii="Book Antiqua" w:eastAsia="SimSun" w:hAnsi="Book Antiqua"/>
          <w:szCs w:val="24"/>
          <w:lang w:eastAsia="zh-CN"/>
        </w:rPr>
        <w:t>, 201</w:t>
      </w:r>
      <w:r w:rsidR="00B909F3">
        <w:rPr>
          <w:rFonts w:ascii="Book Antiqua" w:eastAsia="SimSun" w:hAnsi="Book Antiqua"/>
          <w:szCs w:val="24"/>
          <w:lang w:eastAsia="zh-CN"/>
        </w:rPr>
        <w:t>9</w:t>
      </w:r>
    </w:p>
    <w:p w14:paraId="539EF118" w14:textId="2AC42D36" w:rsidR="009F401B" w:rsidRPr="00B909F3" w:rsidRDefault="009F401B" w:rsidP="00197EDE">
      <w:pPr>
        <w:widowControl w:val="0"/>
        <w:spacing w:after="0" w:line="360" w:lineRule="auto"/>
        <w:jc w:val="both"/>
        <w:rPr>
          <w:rFonts w:ascii="Book Antiqua" w:hAnsi="Book Antiqua"/>
          <w:b/>
          <w:szCs w:val="24"/>
        </w:rPr>
      </w:pPr>
      <w:r w:rsidRPr="00B909F3">
        <w:rPr>
          <w:rFonts w:ascii="Book Antiqua" w:hAnsi="Book Antiqua"/>
          <w:b/>
          <w:szCs w:val="24"/>
        </w:rPr>
        <w:t>Accepted:</w:t>
      </w:r>
      <w:r w:rsidR="00611455">
        <w:rPr>
          <w:rFonts w:ascii="Book Antiqua" w:hAnsi="Book Antiqua"/>
          <w:b/>
          <w:szCs w:val="24"/>
        </w:rPr>
        <w:t xml:space="preserve"> </w:t>
      </w:r>
      <w:r w:rsidR="00611455" w:rsidRPr="005E31A1">
        <w:rPr>
          <w:rFonts w:ascii="Book Antiqua" w:hAnsi="Book Antiqua"/>
          <w:bCs/>
          <w:szCs w:val="24"/>
        </w:rPr>
        <w:t>November 6, 2019</w:t>
      </w:r>
      <w:r w:rsidRPr="00B909F3">
        <w:rPr>
          <w:rFonts w:ascii="Book Antiqua" w:hAnsi="Book Antiqua"/>
          <w:b/>
          <w:szCs w:val="24"/>
        </w:rPr>
        <w:t xml:space="preserve"> </w:t>
      </w:r>
    </w:p>
    <w:p w14:paraId="1393FC44" w14:textId="77777777" w:rsidR="009F401B" w:rsidRPr="00B909F3" w:rsidRDefault="009F401B" w:rsidP="00197EDE">
      <w:pPr>
        <w:widowControl w:val="0"/>
        <w:spacing w:after="0" w:line="360" w:lineRule="auto"/>
        <w:jc w:val="both"/>
        <w:rPr>
          <w:rFonts w:ascii="Book Antiqua" w:hAnsi="Book Antiqua"/>
          <w:b/>
          <w:szCs w:val="24"/>
        </w:rPr>
      </w:pPr>
      <w:r w:rsidRPr="00B909F3">
        <w:rPr>
          <w:rFonts w:ascii="Book Antiqua" w:hAnsi="Book Antiqua"/>
          <w:b/>
          <w:szCs w:val="24"/>
        </w:rPr>
        <w:t>Article in press:</w:t>
      </w:r>
    </w:p>
    <w:p w14:paraId="2F416850" w14:textId="77777777" w:rsidR="009F401B" w:rsidRPr="00B909F3" w:rsidRDefault="009F401B" w:rsidP="00197EDE">
      <w:pPr>
        <w:widowControl w:val="0"/>
        <w:spacing w:after="0" w:line="360" w:lineRule="auto"/>
        <w:jc w:val="both"/>
        <w:rPr>
          <w:rFonts w:ascii="Book Antiqua" w:eastAsia="SimSun" w:hAnsi="Book Antiqua"/>
          <w:szCs w:val="24"/>
          <w:lang w:eastAsia="zh-CN"/>
        </w:rPr>
      </w:pPr>
      <w:r w:rsidRPr="00B909F3">
        <w:rPr>
          <w:rFonts w:ascii="Book Antiqua" w:hAnsi="Book Antiqua"/>
          <w:b/>
          <w:szCs w:val="24"/>
        </w:rPr>
        <w:t>Published online:</w:t>
      </w:r>
    </w:p>
    <w:p w14:paraId="5C3A5B9D" w14:textId="6C75F8F3" w:rsidR="001B4081" w:rsidRPr="00B909F3" w:rsidRDefault="00AE2710" w:rsidP="00197EDE">
      <w:pPr>
        <w:spacing w:after="0" w:line="360" w:lineRule="auto"/>
        <w:jc w:val="both"/>
        <w:rPr>
          <w:rFonts w:ascii="Book Antiqua" w:hAnsi="Book Antiqua" w:cs="Arial"/>
          <w:szCs w:val="24"/>
        </w:rPr>
      </w:pPr>
      <w:r w:rsidRPr="00B909F3">
        <w:rPr>
          <w:rFonts w:ascii="Book Antiqua" w:hAnsi="Book Antiqua" w:cs="Arial"/>
          <w:szCs w:val="24"/>
        </w:rPr>
        <w:br w:type="page"/>
      </w:r>
    </w:p>
    <w:p w14:paraId="1A0DBFDD" w14:textId="0D64708F" w:rsidR="001B4081" w:rsidRPr="00B909F3" w:rsidRDefault="00FF33F0" w:rsidP="00197EDE">
      <w:pPr>
        <w:spacing w:after="0" w:line="360" w:lineRule="auto"/>
        <w:jc w:val="both"/>
        <w:rPr>
          <w:rFonts w:ascii="Book Antiqua" w:hAnsi="Book Antiqua" w:cs="Arial"/>
          <w:szCs w:val="24"/>
        </w:rPr>
      </w:pPr>
      <w:r w:rsidRPr="00B909F3">
        <w:rPr>
          <w:rFonts w:ascii="Book Antiqua" w:hAnsi="Book Antiqua" w:cs="Arial"/>
          <w:b/>
          <w:szCs w:val="24"/>
        </w:rPr>
        <w:lastRenderedPageBreak/>
        <w:t>Abstract</w:t>
      </w:r>
    </w:p>
    <w:p w14:paraId="5522E494" w14:textId="422D3DFE" w:rsidR="00E87152" w:rsidRPr="00B909F3" w:rsidRDefault="00FF33F0" w:rsidP="00197EDE">
      <w:pPr>
        <w:spacing w:after="0" w:line="360" w:lineRule="auto"/>
        <w:jc w:val="both"/>
        <w:rPr>
          <w:rFonts w:ascii="Book Antiqua" w:hAnsi="Book Antiqua" w:cs="Arial"/>
          <w:i/>
          <w:iCs/>
          <w:szCs w:val="24"/>
        </w:rPr>
      </w:pPr>
      <w:r w:rsidRPr="00B909F3">
        <w:rPr>
          <w:rFonts w:ascii="Book Antiqua" w:hAnsi="Book Antiqua" w:cs="Arial"/>
          <w:b/>
          <w:i/>
          <w:iCs/>
          <w:szCs w:val="24"/>
        </w:rPr>
        <w:t>BACKGROUND</w:t>
      </w:r>
    </w:p>
    <w:p w14:paraId="5C5CF4C6" w14:textId="5CB00FBD" w:rsidR="00584674" w:rsidRPr="00B909F3" w:rsidRDefault="00A014F8" w:rsidP="00197EDE">
      <w:pPr>
        <w:spacing w:after="0" w:line="360" w:lineRule="auto"/>
        <w:jc w:val="both"/>
        <w:rPr>
          <w:rFonts w:ascii="Book Antiqua" w:hAnsi="Book Antiqua" w:cs="Arial"/>
          <w:szCs w:val="24"/>
        </w:rPr>
      </w:pPr>
      <w:r w:rsidRPr="00B909F3">
        <w:rPr>
          <w:rFonts w:ascii="Book Antiqua" w:hAnsi="Book Antiqua" w:cs="Arial"/>
          <w:szCs w:val="24"/>
        </w:rPr>
        <w:t>The</w:t>
      </w:r>
      <w:r w:rsidR="00FA31FD" w:rsidRPr="00B909F3">
        <w:rPr>
          <w:rFonts w:ascii="Book Antiqua" w:hAnsi="Book Antiqua" w:cs="Arial"/>
          <w:szCs w:val="24"/>
        </w:rPr>
        <w:t xml:space="preserve"> </w:t>
      </w:r>
      <w:bookmarkStart w:id="16" w:name="OLE_LINK1"/>
      <w:proofErr w:type="spellStart"/>
      <w:r w:rsidR="00FA31FD" w:rsidRPr="00B909F3">
        <w:rPr>
          <w:rFonts w:ascii="Book Antiqua" w:hAnsi="Book Antiqua" w:cs="Arial"/>
          <w:szCs w:val="24"/>
        </w:rPr>
        <w:t>Karnofsky</w:t>
      </w:r>
      <w:proofErr w:type="spellEnd"/>
      <w:r w:rsidR="00FA31FD" w:rsidRPr="00B909F3">
        <w:rPr>
          <w:rFonts w:ascii="Book Antiqua" w:hAnsi="Book Antiqua" w:cs="Arial"/>
          <w:szCs w:val="24"/>
        </w:rPr>
        <w:t xml:space="preserve"> Performance Status</w:t>
      </w:r>
      <w:bookmarkEnd w:id="16"/>
      <w:r w:rsidR="00FA31FD" w:rsidRPr="00B909F3">
        <w:rPr>
          <w:rFonts w:ascii="Book Antiqua" w:hAnsi="Book Antiqua" w:cs="Arial"/>
          <w:szCs w:val="24"/>
        </w:rPr>
        <w:t xml:space="preserve"> (KPS)</w:t>
      </w:r>
      <w:r w:rsidR="00AE2710" w:rsidRPr="00B909F3">
        <w:rPr>
          <w:rFonts w:ascii="Book Antiqua" w:hAnsi="Book Antiqua" w:cs="Arial"/>
          <w:szCs w:val="24"/>
        </w:rPr>
        <w:t xml:space="preserve"> scale has been widely validated </w:t>
      </w:r>
      <w:r w:rsidRPr="00B909F3">
        <w:rPr>
          <w:rFonts w:ascii="Book Antiqua" w:hAnsi="Book Antiqua" w:cs="Arial"/>
          <w:szCs w:val="24"/>
        </w:rPr>
        <w:t>for</w:t>
      </w:r>
      <w:r w:rsidR="00AE2710" w:rsidRPr="00B909F3">
        <w:rPr>
          <w:rFonts w:ascii="Book Antiqua" w:hAnsi="Book Antiqua" w:cs="Arial"/>
          <w:szCs w:val="24"/>
        </w:rPr>
        <w:t xml:space="preserve"> clinical practice </w:t>
      </w:r>
      <w:r w:rsidRPr="00B909F3">
        <w:rPr>
          <w:rFonts w:ascii="Book Antiqua" w:hAnsi="Book Antiqua" w:cs="Arial"/>
          <w:szCs w:val="24"/>
        </w:rPr>
        <w:t>for over 60 years.</w:t>
      </w:r>
    </w:p>
    <w:p w14:paraId="62D6E180" w14:textId="2B5FB0EF" w:rsidR="00E87152" w:rsidRPr="00B909F3" w:rsidRDefault="00E87152" w:rsidP="00197EDE">
      <w:pPr>
        <w:spacing w:after="0" w:line="360" w:lineRule="auto"/>
        <w:jc w:val="both"/>
        <w:rPr>
          <w:rFonts w:ascii="Book Antiqua" w:hAnsi="Book Antiqua" w:cs="Arial"/>
          <w:szCs w:val="24"/>
        </w:rPr>
      </w:pPr>
    </w:p>
    <w:p w14:paraId="11139413" w14:textId="4785F104" w:rsidR="00E87152" w:rsidRPr="00B909F3" w:rsidRDefault="00E87152" w:rsidP="00197EDE">
      <w:pPr>
        <w:spacing w:after="0" w:line="360" w:lineRule="auto"/>
        <w:jc w:val="both"/>
        <w:rPr>
          <w:rFonts w:ascii="Book Antiqua" w:hAnsi="Book Antiqua" w:cs="Arial"/>
          <w:b/>
          <w:bCs/>
          <w:i/>
          <w:iCs/>
          <w:szCs w:val="24"/>
        </w:rPr>
      </w:pPr>
      <w:r w:rsidRPr="00B909F3">
        <w:rPr>
          <w:rFonts w:ascii="Book Antiqua" w:eastAsia="SimSun" w:hAnsi="Book Antiqua" w:cs="Arial"/>
          <w:b/>
          <w:bCs/>
          <w:i/>
          <w:iCs/>
          <w:szCs w:val="24"/>
          <w:lang w:eastAsia="zh-CN"/>
        </w:rPr>
        <w:t>AIM</w:t>
      </w:r>
    </w:p>
    <w:p w14:paraId="787BFC9E" w14:textId="1AD56BBA" w:rsidR="00E87152" w:rsidRPr="00B909F3" w:rsidRDefault="00E94EE9" w:rsidP="00197EDE">
      <w:pPr>
        <w:spacing w:after="0" w:line="360" w:lineRule="auto"/>
        <w:jc w:val="both"/>
        <w:rPr>
          <w:rFonts w:ascii="Book Antiqua" w:hAnsi="Book Antiqua" w:cs="Arial"/>
          <w:szCs w:val="24"/>
        </w:rPr>
      </w:pPr>
      <w:r w:rsidRPr="00B909F3">
        <w:rPr>
          <w:rFonts w:ascii="Book Antiqua" w:hAnsi="Book Antiqua" w:cs="Arial"/>
          <w:szCs w:val="24"/>
        </w:rPr>
        <w:t xml:space="preserve">To examine the extent to which poor pre-transplant functional status, assessed using the </w:t>
      </w:r>
      <w:r w:rsidR="00522467" w:rsidRPr="00B909F3">
        <w:rPr>
          <w:rFonts w:ascii="Book Antiqua" w:hAnsi="Book Antiqua" w:cs="Arial"/>
          <w:szCs w:val="24"/>
        </w:rPr>
        <w:t>KPS</w:t>
      </w:r>
      <w:r w:rsidRPr="00B909F3">
        <w:rPr>
          <w:rFonts w:ascii="Book Antiqua" w:hAnsi="Book Antiqua" w:cs="Arial"/>
          <w:szCs w:val="24"/>
        </w:rPr>
        <w:t xml:space="preserve"> scale, is associated with increased risk of mortality and/or graft failure at 1-year post-transplantation.</w:t>
      </w:r>
    </w:p>
    <w:p w14:paraId="3C31BC5F" w14:textId="77777777" w:rsidR="00E94EE9" w:rsidRPr="00B909F3" w:rsidRDefault="00E94EE9" w:rsidP="00197EDE">
      <w:pPr>
        <w:spacing w:after="0" w:line="360" w:lineRule="auto"/>
        <w:jc w:val="both"/>
        <w:rPr>
          <w:rFonts w:ascii="Book Antiqua" w:hAnsi="Book Antiqua" w:cs="Arial"/>
          <w:szCs w:val="24"/>
        </w:rPr>
      </w:pPr>
    </w:p>
    <w:p w14:paraId="060A17FA" w14:textId="0DD0B721" w:rsidR="00E87152" w:rsidRPr="00B909F3" w:rsidRDefault="00522467" w:rsidP="00197EDE">
      <w:pPr>
        <w:spacing w:after="0" w:line="360" w:lineRule="auto"/>
        <w:jc w:val="both"/>
        <w:rPr>
          <w:rFonts w:ascii="Book Antiqua" w:hAnsi="Book Antiqua" w:cs="Arial"/>
          <w:i/>
          <w:iCs/>
          <w:szCs w:val="24"/>
        </w:rPr>
      </w:pPr>
      <w:r w:rsidRPr="00B909F3">
        <w:rPr>
          <w:rFonts w:ascii="Book Antiqua" w:hAnsi="Book Antiqua" w:cs="Arial"/>
          <w:b/>
          <w:i/>
          <w:iCs/>
          <w:szCs w:val="24"/>
        </w:rPr>
        <w:t>METHODS</w:t>
      </w:r>
    </w:p>
    <w:p w14:paraId="7B8B7373" w14:textId="56203D82" w:rsidR="00584674" w:rsidRPr="00B909F3" w:rsidRDefault="00AE2710" w:rsidP="00197EDE">
      <w:pPr>
        <w:spacing w:after="0" w:line="360" w:lineRule="auto"/>
        <w:jc w:val="both"/>
        <w:rPr>
          <w:rFonts w:ascii="Book Antiqua" w:hAnsi="Book Antiqua" w:cs="Arial"/>
          <w:szCs w:val="24"/>
        </w:rPr>
      </w:pPr>
      <w:r w:rsidRPr="00B909F3">
        <w:rPr>
          <w:rFonts w:ascii="Book Antiqua" w:hAnsi="Book Antiqua" w:cs="Arial"/>
          <w:szCs w:val="24"/>
        </w:rPr>
        <w:t xml:space="preserve">This </w:t>
      </w:r>
      <w:r w:rsidR="00A014F8" w:rsidRPr="00B909F3">
        <w:rPr>
          <w:rFonts w:ascii="Book Antiqua" w:hAnsi="Book Antiqua" w:cs="Arial"/>
          <w:szCs w:val="24"/>
        </w:rPr>
        <w:t>study included</w:t>
      </w:r>
      <w:r w:rsidRPr="00B909F3">
        <w:rPr>
          <w:rFonts w:ascii="Book Antiqua" w:hAnsi="Book Antiqua" w:cs="Arial"/>
          <w:szCs w:val="24"/>
        </w:rPr>
        <w:t xml:space="preserve"> 38278 </w:t>
      </w:r>
      <w:r w:rsidR="009F401B" w:rsidRPr="00B909F3">
        <w:rPr>
          <w:rFonts w:ascii="Book Antiqua" w:hAnsi="Book Antiqua" w:cs="Arial"/>
          <w:szCs w:val="24"/>
        </w:rPr>
        <w:t>United States</w:t>
      </w:r>
      <w:r w:rsidRPr="00B909F3">
        <w:rPr>
          <w:rFonts w:ascii="Book Antiqua" w:hAnsi="Book Antiqua" w:cs="Arial"/>
          <w:szCs w:val="24"/>
        </w:rPr>
        <w:t xml:space="preserve"> adults </w:t>
      </w:r>
      <w:r w:rsidR="00A014F8" w:rsidRPr="00B909F3">
        <w:rPr>
          <w:rFonts w:ascii="Book Antiqua" w:hAnsi="Book Antiqua" w:cs="Arial"/>
          <w:szCs w:val="24"/>
        </w:rPr>
        <w:t>who underwent first,</w:t>
      </w:r>
      <w:r w:rsidRPr="00B909F3">
        <w:rPr>
          <w:rFonts w:ascii="Book Antiqua" w:hAnsi="Book Antiqua" w:cs="Arial"/>
          <w:szCs w:val="24"/>
        </w:rPr>
        <w:t xml:space="preserve"> non-urgent, liver-only transplantation from 2005 to 2014 (Scientific Registry of Transplant Recipients). </w:t>
      </w:r>
      <w:r w:rsidR="002243A5" w:rsidRPr="00B909F3">
        <w:rPr>
          <w:rFonts w:ascii="Book Antiqua" w:hAnsi="Book Antiqua" w:cs="Arial"/>
          <w:szCs w:val="24"/>
        </w:rPr>
        <w:t>Functional</w:t>
      </w:r>
      <w:r w:rsidRPr="00B909F3">
        <w:rPr>
          <w:rFonts w:ascii="Book Antiqua" w:hAnsi="Book Antiqua" w:cs="Arial"/>
          <w:szCs w:val="24"/>
        </w:rPr>
        <w:t xml:space="preserve"> impairment/disability </w:t>
      </w:r>
      <w:r w:rsidR="002243A5" w:rsidRPr="00B909F3">
        <w:rPr>
          <w:rFonts w:ascii="Book Antiqua" w:hAnsi="Book Antiqua" w:cs="Arial"/>
          <w:szCs w:val="24"/>
        </w:rPr>
        <w:t xml:space="preserve">was categorized </w:t>
      </w:r>
      <w:r w:rsidR="00A014F8" w:rsidRPr="00B909F3">
        <w:rPr>
          <w:rFonts w:ascii="Book Antiqua" w:hAnsi="Book Antiqua" w:cs="Arial"/>
          <w:szCs w:val="24"/>
        </w:rPr>
        <w:t>as</w:t>
      </w:r>
      <w:r w:rsidRPr="00B909F3">
        <w:rPr>
          <w:rFonts w:ascii="Book Antiqua" w:hAnsi="Book Antiqua" w:cs="Arial"/>
          <w:szCs w:val="24"/>
        </w:rPr>
        <w:t xml:space="preserve"> </w:t>
      </w:r>
      <w:r w:rsidR="009F401B" w:rsidRPr="00B909F3">
        <w:rPr>
          <w:rFonts w:ascii="Book Antiqua" w:hAnsi="Book Antiqua" w:cs="Arial"/>
          <w:szCs w:val="24"/>
        </w:rPr>
        <w:t xml:space="preserve">severe </w:t>
      </w:r>
      <w:r w:rsidRPr="00B909F3">
        <w:rPr>
          <w:rFonts w:ascii="Book Antiqua" w:hAnsi="Book Antiqua" w:cs="Arial"/>
          <w:szCs w:val="24"/>
        </w:rPr>
        <w:t>(10</w:t>
      </w:r>
      <w:r w:rsidR="009F401B" w:rsidRPr="00B909F3">
        <w:rPr>
          <w:rFonts w:ascii="Book Antiqua" w:hAnsi="Book Antiqua" w:cs="Arial"/>
          <w:szCs w:val="24"/>
        </w:rPr>
        <w:t>%-</w:t>
      </w:r>
      <w:r w:rsidRPr="00B909F3">
        <w:rPr>
          <w:rFonts w:ascii="Book Antiqua" w:hAnsi="Book Antiqua" w:cs="Arial"/>
          <w:szCs w:val="24"/>
        </w:rPr>
        <w:t xml:space="preserve">40%), </w:t>
      </w:r>
      <w:r w:rsidR="009F401B" w:rsidRPr="00B909F3">
        <w:rPr>
          <w:rFonts w:ascii="Book Antiqua" w:hAnsi="Book Antiqua" w:cs="Arial"/>
          <w:szCs w:val="24"/>
        </w:rPr>
        <w:t xml:space="preserve">moderate </w:t>
      </w:r>
      <w:r w:rsidRPr="00B909F3">
        <w:rPr>
          <w:rFonts w:ascii="Book Antiqua" w:hAnsi="Book Antiqua" w:cs="Arial"/>
          <w:szCs w:val="24"/>
        </w:rPr>
        <w:t>(50</w:t>
      </w:r>
      <w:r w:rsidR="00CB6A78" w:rsidRPr="00B909F3">
        <w:rPr>
          <w:rFonts w:ascii="Book Antiqua" w:hAnsi="Book Antiqua" w:cs="Arial"/>
          <w:szCs w:val="24"/>
        </w:rPr>
        <w:t>%-</w:t>
      </w:r>
      <w:r w:rsidRPr="00B909F3">
        <w:rPr>
          <w:rFonts w:ascii="Book Antiqua" w:hAnsi="Book Antiqua" w:cs="Arial"/>
          <w:szCs w:val="24"/>
        </w:rPr>
        <w:t>70</w:t>
      </w:r>
      <w:r w:rsidR="00A014F8" w:rsidRPr="00B909F3">
        <w:rPr>
          <w:rFonts w:ascii="Book Antiqua" w:hAnsi="Book Antiqua" w:cs="Arial"/>
          <w:szCs w:val="24"/>
        </w:rPr>
        <w:t xml:space="preserve">%), or </w:t>
      </w:r>
      <w:r w:rsidR="009F401B" w:rsidRPr="00B909F3">
        <w:rPr>
          <w:rFonts w:ascii="Book Antiqua" w:hAnsi="Book Antiqua" w:cs="Arial"/>
          <w:szCs w:val="24"/>
        </w:rPr>
        <w:t>none</w:t>
      </w:r>
      <w:r w:rsidR="00A014F8" w:rsidRPr="00B909F3">
        <w:rPr>
          <w:rFonts w:ascii="Book Antiqua" w:hAnsi="Book Antiqua" w:cs="Arial"/>
          <w:szCs w:val="24"/>
        </w:rPr>
        <w:t>/</w:t>
      </w:r>
      <w:r w:rsidR="009F401B" w:rsidRPr="00B909F3">
        <w:rPr>
          <w:rFonts w:ascii="Book Antiqua" w:hAnsi="Book Antiqua" w:cs="Arial"/>
          <w:szCs w:val="24"/>
        </w:rPr>
        <w:t xml:space="preserve">normal </w:t>
      </w:r>
      <w:r w:rsidR="00A014F8" w:rsidRPr="00B909F3">
        <w:rPr>
          <w:rFonts w:ascii="Book Antiqua" w:hAnsi="Book Antiqua" w:cs="Arial"/>
          <w:szCs w:val="24"/>
        </w:rPr>
        <w:t>(80</w:t>
      </w:r>
      <w:r w:rsidR="00F36E6A" w:rsidRPr="00B909F3">
        <w:rPr>
          <w:rFonts w:ascii="Book Antiqua" w:hAnsi="Book Antiqua" w:cs="Arial"/>
          <w:szCs w:val="24"/>
        </w:rPr>
        <w:t>%-</w:t>
      </w:r>
      <w:r w:rsidR="00A014F8" w:rsidRPr="00B909F3">
        <w:rPr>
          <w:rFonts w:ascii="Book Antiqua" w:hAnsi="Book Antiqua" w:cs="Arial"/>
          <w:szCs w:val="24"/>
        </w:rPr>
        <w:t>100%). Analyses were conducted using m</w:t>
      </w:r>
      <w:r w:rsidRPr="00B909F3">
        <w:rPr>
          <w:rFonts w:ascii="Book Antiqua" w:hAnsi="Book Antiqua" w:cs="Arial"/>
          <w:szCs w:val="24"/>
        </w:rPr>
        <w:t>ultivariable-adjusted Cox survival regression models.</w:t>
      </w:r>
    </w:p>
    <w:p w14:paraId="26577AEE" w14:textId="77777777" w:rsidR="00E87152" w:rsidRPr="00B909F3" w:rsidRDefault="00E87152" w:rsidP="00197EDE">
      <w:pPr>
        <w:spacing w:after="0" w:line="360" w:lineRule="auto"/>
        <w:jc w:val="both"/>
        <w:rPr>
          <w:rFonts w:ascii="Book Antiqua" w:hAnsi="Book Antiqua" w:cs="Arial"/>
          <w:szCs w:val="24"/>
        </w:rPr>
      </w:pPr>
    </w:p>
    <w:p w14:paraId="23854BBB" w14:textId="7654F118" w:rsidR="00E87152" w:rsidRPr="00B909F3" w:rsidRDefault="00CB6A78" w:rsidP="00197EDE">
      <w:pPr>
        <w:spacing w:after="0" w:line="360" w:lineRule="auto"/>
        <w:jc w:val="both"/>
        <w:rPr>
          <w:rFonts w:ascii="Book Antiqua" w:hAnsi="Book Antiqua" w:cs="Arial"/>
          <w:i/>
          <w:iCs/>
          <w:szCs w:val="24"/>
        </w:rPr>
      </w:pPr>
      <w:r w:rsidRPr="00B909F3">
        <w:rPr>
          <w:rFonts w:ascii="Book Antiqua" w:hAnsi="Book Antiqua" w:cs="Arial"/>
          <w:b/>
          <w:i/>
          <w:iCs/>
          <w:szCs w:val="24"/>
        </w:rPr>
        <w:t>RESULTS</w:t>
      </w:r>
    </w:p>
    <w:p w14:paraId="26E77933" w14:textId="089C2EE7" w:rsidR="00584674" w:rsidRPr="00B909F3" w:rsidRDefault="00AE2710" w:rsidP="00197EDE">
      <w:pPr>
        <w:spacing w:after="0" w:line="360" w:lineRule="auto"/>
        <w:jc w:val="both"/>
        <w:rPr>
          <w:rFonts w:ascii="Book Antiqua" w:hAnsi="Book Antiqua" w:cs="Arial"/>
          <w:b/>
          <w:szCs w:val="24"/>
        </w:rPr>
      </w:pPr>
      <w:r w:rsidRPr="00B909F3">
        <w:rPr>
          <w:rFonts w:ascii="Book Antiqua" w:hAnsi="Book Antiqua" w:cs="Arial"/>
          <w:szCs w:val="24"/>
        </w:rPr>
        <w:t>The median age wa</w:t>
      </w:r>
      <w:r w:rsidR="002243A5" w:rsidRPr="00B909F3">
        <w:rPr>
          <w:rFonts w:ascii="Book Antiqua" w:hAnsi="Book Antiqua" w:cs="Arial"/>
          <w:szCs w:val="24"/>
        </w:rPr>
        <w:t xml:space="preserve">s 56 years, 31% were women, </w:t>
      </w:r>
      <w:r w:rsidRPr="00B909F3">
        <w:rPr>
          <w:rFonts w:ascii="Book Antiqua" w:hAnsi="Book Antiqua" w:cs="Arial"/>
          <w:szCs w:val="24"/>
        </w:rPr>
        <w:t xml:space="preserve">median pre-transplant </w:t>
      </w:r>
      <w:r w:rsidR="009F401B" w:rsidRPr="00B909F3">
        <w:rPr>
          <w:rFonts w:ascii="Book Antiqua" w:hAnsi="Book Antiqua" w:cs="Arial"/>
          <w:szCs w:val="24"/>
        </w:rPr>
        <w:t xml:space="preserve">Model for </w:t>
      </w:r>
      <w:r w:rsidR="009F401B" w:rsidRPr="00B909F3">
        <w:rPr>
          <w:rFonts w:ascii="Book Antiqua" w:hAnsi="Book Antiqua" w:cs="Arial"/>
          <w:noProof/>
          <w:szCs w:val="24"/>
        </w:rPr>
        <w:t>End-Stage</w:t>
      </w:r>
      <w:r w:rsidR="009F401B" w:rsidRPr="00B909F3">
        <w:rPr>
          <w:rFonts w:ascii="Book Antiqua" w:hAnsi="Book Antiqua" w:cs="Arial"/>
          <w:szCs w:val="24"/>
        </w:rPr>
        <w:t xml:space="preserve"> for Liver Disease</w:t>
      </w:r>
      <w:r w:rsidRPr="00B909F3">
        <w:rPr>
          <w:rFonts w:ascii="Book Antiqua" w:hAnsi="Book Antiqua" w:cs="Arial"/>
          <w:szCs w:val="24"/>
        </w:rPr>
        <w:t xml:space="preserve"> was 18. </w:t>
      </w:r>
      <w:r w:rsidR="002243A5" w:rsidRPr="00B909F3">
        <w:rPr>
          <w:rFonts w:ascii="Book Antiqua" w:hAnsi="Book Antiqua" w:cs="Arial"/>
          <w:szCs w:val="24"/>
        </w:rPr>
        <w:t xml:space="preserve">Functional impairment was present in 70%; </w:t>
      </w:r>
      <w:r w:rsidRPr="00B909F3">
        <w:rPr>
          <w:rFonts w:ascii="Book Antiqua" w:hAnsi="Book Antiqua" w:cs="Arial"/>
          <w:szCs w:val="24"/>
        </w:rPr>
        <w:t xml:space="preserve">one-quarter </w:t>
      </w:r>
      <w:r w:rsidR="00A014F8" w:rsidRPr="00B909F3">
        <w:rPr>
          <w:rFonts w:ascii="Book Antiqua" w:hAnsi="Book Antiqua" w:cs="Arial"/>
          <w:szCs w:val="24"/>
        </w:rPr>
        <w:t>of the sample was</w:t>
      </w:r>
      <w:r w:rsidRPr="00B909F3">
        <w:rPr>
          <w:rFonts w:ascii="Book Antiqua" w:hAnsi="Book Antiqua" w:cs="Arial"/>
          <w:szCs w:val="24"/>
        </w:rPr>
        <w:t xml:space="preserve"> severely </w:t>
      </w:r>
      <w:r w:rsidR="002243A5" w:rsidRPr="00B909F3">
        <w:rPr>
          <w:rFonts w:ascii="Book Antiqua" w:hAnsi="Book Antiqua" w:cs="Arial"/>
          <w:szCs w:val="24"/>
        </w:rPr>
        <w:t>disabled</w:t>
      </w:r>
      <w:r w:rsidRPr="00B909F3">
        <w:rPr>
          <w:rFonts w:ascii="Book Antiqua" w:hAnsi="Book Antiqua" w:cs="Arial"/>
          <w:szCs w:val="24"/>
        </w:rPr>
        <w:t xml:space="preserve">. After controlling for </w:t>
      </w:r>
      <w:r w:rsidRPr="00B909F3">
        <w:rPr>
          <w:rFonts w:ascii="Book Antiqua" w:hAnsi="Book Antiqua" w:cs="Arial"/>
          <w:noProof/>
          <w:szCs w:val="24"/>
        </w:rPr>
        <w:t>key</w:t>
      </w:r>
      <w:r w:rsidRPr="00B909F3">
        <w:rPr>
          <w:rFonts w:ascii="Book Antiqua" w:hAnsi="Book Antiqua" w:cs="Arial"/>
          <w:szCs w:val="24"/>
        </w:rPr>
        <w:t xml:space="preserve"> recipient and donor factors, moderately </w:t>
      </w:r>
      <w:r w:rsidR="00A014F8" w:rsidRPr="00B909F3">
        <w:rPr>
          <w:rFonts w:ascii="Book Antiqua" w:hAnsi="Book Antiqua" w:cs="Arial"/>
          <w:szCs w:val="24"/>
        </w:rPr>
        <w:t xml:space="preserve">and severely </w:t>
      </w:r>
      <w:r w:rsidR="002243A5" w:rsidRPr="00B909F3">
        <w:rPr>
          <w:rFonts w:ascii="Book Antiqua" w:hAnsi="Book Antiqua" w:cs="Arial"/>
          <w:szCs w:val="24"/>
        </w:rPr>
        <w:t xml:space="preserve">disabled </w:t>
      </w:r>
      <w:r w:rsidRPr="00B909F3">
        <w:rPr>
          <w:rFonts w:ascii="Book Antiqua" w:hAnsi="Book Antiqua" w:cs="Arial"/>
          <w:szCs w:val="24"/>
        </w:rPr>
        <w:t xml:space="preserve">patients had a 1-year mortality rate </w:t>
      </w:r>
      <w:r w:rsidR="002243A5" w:rsidRPr="00B909F3">
        <w:rPr>
          <w:rFonts w:ascii="Book Antiqua" w:hAnsi="Book Antiqua" w:cs="Arial"/>
          <w:szCs w:val="24"/>
        </w:rPr>
        <w:t>of</w:t>
      </w:r>
      <w:r w:rsidRPr="00B909F3">
        <w:rPr>
          <w:rFonts w:ascii="Book Antiqua" w:hAnsi="Book Antiqua" w:cs="Arial"/>
          <w:szCs w:val="24"/>
        </w:rPr>
        <w:t xml:space="preserve"> </w:t>
      </w:r>
      <w:r w:rsidR="00A014F8" w:rsidRPr="00B909F3">
        <w:rPr>
          <w:rFonts w:ascii="Book Antiqua" w:hAnsi="Book Antiqua" w:cs="Arial"/>
          <w:szCs w:val="24"/>
        </w:rPr>
        <w:t xml:space="preserve">1.32 </w:t>
      </w:r>
      <w:r w:rsidR="006A44EF" w:rsidRPr="00B909F3">
        <w:rPr>
          <w:rFonts w:ascii="Book Antiqua" w:hAnsi="Book Antiqua" w:cs="Arial"/>
          <w:szCs w:val="24"/>
        </w:rPr>
        <w:t>[confidence interval (CI)</w:t>
      </w:r>
      <w:r w:rsidR="00A014F8" w:rsidRPr="00B909F3">
        <w:rPr>
          <w:rFonts w:ascii="Book Antiqua" w:hAnsi="Book Antiqua" w:cs="Arial"/>
          <w:szCs w:val="24"/>
        </w:rPr>
        <w:t>: 1.21</w:t>
      </w:r>
      <w:r w:rsidR="00CB6A78" w:rsidRPr="00B909F3">
        <w:rPr>
          <w:rFonts w:ascii="Book Antiqua" w:hAnsi="Book Antiqua" w:cs="Arial"/>
          <w:szCs w:val="24"/>
        </w:rPr>
        <w:t>-</w:t>
      </w:r>
      <w:r w:rsidR="00A014F8" w:rsidRPr="00B909F3">
        <w:rPr>
          <w:rFonts w:ascii="Book Antiqua" w:hAnsi="Book Antiqua" w:cs="Arial"/>
          <w:szCs w:val="24"/>
        </w:rPr>
        <w:t>1.44</w:t>
      </w:r>
      <w:r w:rsidR="006A44EF" w:rsidRPr="00B909F3">
        <w:rPr>
          <w:rFonts w:ascii="Book Antiqua" w:hAnsi="Book Antiqua" w:cs="Arial"/>
          <w:szCs w:val="24"/>
        </w:rPr>
        <w:t>]</w:t>
      </w:r>
      <w:r w:rsidR="00A014F8" w:rsidRPr="00B909F3">
        <w:rPr>
          <w:rFonts w:ascii="Book Antiqua" w:hAnsi="Book Antiqua" w:cs="Arial"/>
          <w:szCs w:val="24"/>
        </w:rPr>
        <w:t xml:space="preserve"> and 1.73 (95%CI: 1.56</w:t>
      </w:r>
      <w:r w:rsidR="00CB6A78" w:rsidRPr="00B909F3">
        <w:rPr>
          <w:rFonts w:ascii="Book Antiqua" w:hAnsi="Book Antiqua" w:cs="Arial"/>
          <w:szCs w:val="24"/>
        </w:rPr>
        <w:t>-</w:t>
      </w:r>
      <w:r w:rsidR="00A014F8" w:rsidRPr="00B909F3">
        <w:rPr>
          <w:rFonts w:ascii="Book Antiqua" w:hAnsi="Book Antiqua" w:cs="Arial"/>
          <w:szCs w:val="24"/>
        </w:rPr>
        <w:t>1.91)</w:t>
      </w:r>
      <w:r w:rsidR="00C77B55" w:rsidRPr="00B909F3">
        <w:rPr>
          <w:rFonts w:ascii="Book Antiqua" w:hAnsi="Book Antiqua" w:cs="Arial"/>
          <w:szCs w:val="24"/>
        </w:rPr>
        <w:t xml:space="preserve"> compared to patients with no impairment</w:t>
      </w:r>
      <w:r w:rsidR="00A014F8" w:rsidRPr="00B909F3">
        <w:rPr>
          <w:rFonts w:ascii="Book Antiqua" w:hAnsi="Book Antiqua" w:cs="Arial"/>
          <w:szCs w:val="24"/>
        </w:rPr>
        <w:t xml:space="preserve">, </w:t>
      </w:r>
      <w:r w:rsidRPr="00B909F3">
        <w:rPr>
          <w:rFonts w:ascii="Book Antiqua" w:hAnsi="Book Antiqua" w:cs="Arial"/>
          <w:szCs w:val="24"/>
        </w:rPr>
        <w:t xml:space="preserve">respectively. Subjects with moderate </w:t>
      </w:r>
      <w:r w:rsidR="00A014F8" w:rsidRPr="00B909F3">
        <w:rPr>
          <w:rFonts w:ascii="Book Antiqua" w:hAnsi="Book Antiqua" w:cs="Arial"/>
          <w:szCs w:val="24"/>
        </w:rPr>
        <w:t xml:space="preserve">and severe </w:t>
      </w:r>
      <w:r w:rsidRPr="00B909F3">
        <w:rPr>
          <w:rFonts w:ascii="Book Antiqua" w:hAnsi="Book Antiqua" w:cs="Arial"/>
          <w:szCs w:val="24"/>
        </w:rPr>
        <w:t xml:space="preserve">disability also had </w:t>
      </w:r>
      <w:r w:rsidR="002243A5" w:rsidRPr="00B909F3">
        <w:rPr>
          <w:rFonts w:ascii="Book Antiqua" w:hAnsi="Book Antiqua" w:cs="Arial"/>
          <w:szCs w:val="24"/>
        </w:rPr>
        <w:t xml:space="preserve">a </w:t>
      </w:r>
      <w:r w:rsidRPr="00B909F3">
        <w:rPr>
          <w:rFonts w:ascii="Book Antiqua" w:hAnsi="Book Antiqua" w:cs="Arial"/>
          <w:noProof/>
          <w:szCs w:val="24"/>
        </w:rPr>
        <w:t>multivariable-adjusted</w:t>
      </w:r>
      <w:r w:rsidRPr="00B909F3">
        <w:rPr>
          <w:rFonts w:ascii="Book Antiqua" w:hAnsi="Book Antiqua" w:cs="Arial"/>
          <w:szCs w:val="24"/>
        </w:rPr>
        <w:t xml:space="preserve"> 1-year graft failure </w:t>
      </w:r>
      <w:r w:rsidR="002243A5" w:rsidRPr="00B909F3">
        <w:rPr>
          <w:rFonts w:ascii="Book Antiqua" w:hAnsi="Book Antiqua" w:cs="Arial"/>
          <w:szCs w:val="24"/>
        </w:rPr>
        <w:t>rate of</w:t>
      </w:r>
      <w:r w:rsidRPr="00B909F3">
        <w:rPr>
          <w:rFonts w:ascii="Book Antiqua" w:hAnsi="Book Antiqua" w:cs="Arial"/>
          <w:szCs w:val="24"/>
        </w:rPr>
        <w:t xml:space="preserve"> 1</w:t>
      </w:r>
      <w:r w:rsidR="00A014F8" w:rsidRPr="00B909F3">
        <w:rPr>
          <w:rFonts w:ascii="Book Antiqua" w:hAnsi="Book Antiqua" w:cs="Arial"/>
          <w:szCs w:val="24"/>
        </w:rPr>
        <w:t>.13 (CI: 1.02</w:t>
      </w:r>
      <w:r w:rsidR="00CB6A78" w:rsidRPr="00B909F3">
        <w:rPr>
          <w:rFonts w:ascii="Book Antiqua" w:hAnsi="Book Antiqua" w:cs="Arial"/>
          <w:szCs w:val="24"/>
        </w:rPr>
        <w:t>-</w:t>
      </w:r>
      <w:r w:rsidR="00A014F8" w:rsidRPr="00B909F3">
        <w:rPr>
          <w:rFonts w:ascii="Book Antiqua" w:hAnsi="Book Antiqua" w:cs="Arial"/>
          <w:szCs w:val="24"/>
        </w:rPr>
        <w:t>1.24) and 1.16 (CI: 1.02</w:t>
      </w:r>
      <w:r w:rsidR="00CB6A78" w:rsidRPr="00B909F3">
        <w:rPr>
          <w:rFonts w:ascii="Book Antiqua" w:hAnsi="Book Antiqua" w:cs="Arial"/>
          <w:szCs w:val="24"/>
        </w:rPr>
        <w:t>-</w:t>
      </w:r>
      <w:r w:rsidR="00A014F8" w:rsidRPr="00B909F3">
        <w:rPr>
          <w:rFonts w:ascii="Book Antiqua" w:hAnsi="Book Antiqua" w:cs="Arial"/>
          <w:szCs w:val="24"/>
        </w:rPr>
        <w:t>1.31)</w:t>
      </w:r>
      <w:r w:rsidRPr="00B909F3">
        <w:rPr>
          <w:rFonts w:ascii="Book Antiqua" w:hAnsi="Book Antiqua" w:cs="Arial"/>
          <w:szCs w:val="24"/>
        </w:rPr>
        <w:t>, respectively.</w:t>
      </w:r>
    </w:p>
    <w:p w14:paraId="4AD3E739" w14:textId="77777777" w:rsidR="00E87152" w:rsidRPr="00B909F3" w:rsidRDefault="00E87152" w:rsidP="00197EDE">
      <w:pPr>
        <w:spacing w:after="0" w:line="360" w:lineRule="auto"/>
        <w:jc w:val="both"/>
        <w:rPr>
          <w:rFonts w:ascii="Book Antiqua" w:hAnsi="Book Antiqua" w:cs="Arial"/>
          <w:b/>
          <w:szCs w:val="24"/>
        </w:rPr>
      </w:pPr>
    </w:p>
    <w:p w14:paraId="29A4BFCB" w14:textId="2B26F6A2" w:rsidR="00E87152" w:rsidRPr="00B909F3" w:rsidRDefault="00CB6A78" w:rsidP="00197EDE">
      <w:pPr>
        <w:spacing w:after="0" w:line="360" w:lineRule="auto"/>
        <w:jc w:val="both"/>
        <w:rPr>
          <w:rFonts w:ascii="Book Antiqua" w:hAnsi="Book Antiqua" w:cs="Arial"/>
          <w:b/>
          <w:i/>
          <w:iCs/>
          <w:szCs w:val="24"/>
        </w:rPr>
      </w:pPr>
      <w:r w:rsidRPr="00B909F3">
        <w:rPr>
          <w:rFonts w:ascii="Book Antiqua" w:hAnsi="Book Antiqua" w:cs="Arial"/>
          <w:b/>
          <w:i/>
          <w:iCs/>
          <w:szCs w:val="24"/>
        </w:rPr>
        <w:t>CONCLUSION</w:t>
      </w:r>
    </w:p>
    <w:p w14:paraId="73026422" w14:textId="3E5A4F66" w:rsidR="00AE2710" w:rsidRPr="00B909F3" w:rsidRDefault="00AE2710" w:rsidP="00197EDE">
      <w:pPr>
        <w:spacing w:after="0" w:line="360" w:lineRule="auto"/>
        <w:jc w:val="both"/>
        <w:rPr>
          <w:rFonts w:ascii="Book Antiqua" w:hAnsi="Book Antiqua" w:cs="Arial"/>
          <w:szCs w:val="24"/>
        </w:rPr>
      </w:pPr>
      <w:r w:rsidRPr="00B909F3">
        <w:rPr>
          <w:rFonts w:ascii="Book Antiqua" w:hAnsi="Book Antiqua" w:cs="Arial"/>
          <w:szCs w:val="24"/>
        </w:rPr>
        <w:t xml:space="preserve">Pre-transplant functional status is </w:t>
      </w:r>
      <w:r w:rsidR="002243A5" w:rsidRPr="00B909F3">
        <w:rPr>
          <w:rFonts w:ascii="Book Antiqua" w:hAnsi="Book Antiqua" w:cs="Arial"/>
          <w:szCs w:val="24"/>
        </w:rPr>
        <w:t>a useful</w:t>
      </w:r>
      <w:r w:rsidRPr="00B909F3">
        <w:rPr>
          <w:rFonts w:ascii="Book Antiqua" w:hAnsi="Book Antiqua" w:cs="Arial"/>
          <w:szCs w:val="24"/>
        </w:rPr>
        <w:t xml:space="preserve"> prognostic indicator for 1-year post-transplan</w:t>
      </w:r>
      <w:r w:rsidR="002243A5" w:rsidRPr="00B909F3">
        <w:rPr>
          <w:rFonts w:ascii="Book Antiqua" w:hAnsi="Book Antiqua" w:cs="Arial"/>
          <w:szCs w:val="24"/>
        </w:rPr>
        <w:t>t patient and graft survival</w:t>
      </w:r>
      <w:r w:rsidRPr="00B909F3">
        <w:rPr>
          <w:rFonts w:ascii="Book Antiqua" w:hAnsi="Book Antiqua" w:cs="Arial"/>
          <w:szCs w:val="24"/>
        </w:rPr>
        <w:t>.</w:t>
      </w:r>
    </w:p>
    <w:p w14:paraId="433DE37C" w14:textId="77777777" w:rsidR="001B4081" w:rsidRPr="00B909F3" w:rsidRDefault="001B4081" w:rsidP="00197EDE">
      <w:pPr>
        <w:spacing w:after="0" w:line="360" w:lineRule="auto"/>
        <w:jc w:val="both"/>
        <w:rPr>
          <w:rFonts w:ascii="Book Antiqua" w:hAnsi="Book Antiqua" w:cs="Arial"/>
          <w:b/>
          <w:szCs w:val="24"/>
        </w:rPr>
      </w:pPr>
    </w:p>
    <w:p w14:paraId="6638A2CA" w14:textId="55A56904" w:rsidR="001B4081" w:rsidRPr="00B909F3" w:rsidRDefault="001B4081" w:rsidP="00197EDE">
      <w:pPr>
        <w:spacing w:after="0" w:line="360" w:lineRule="auto"/>
        <w:jc w:val="both"/>
        <w:rPr>
          <w:rFonts w:ascii="Book Antiqua" w:hAnsi="Book Antiqua" w:cs="Arial"/>
          <w:szCs w:val="24"/>
        </w:rPr>
      </w:pPr>
      <w:r w:rsidRPr="00B909F3">
        <w:rPr>
          <w:rFonts w:ascii="Book Antiqua" w:hAnsi="Book Antiqua" w:cs="Arial"/>
          <w:b/>
          <w:szCs w:val="24"/>
        </w:rPr>
        <w:t>Key</w:t>
      </w:r>
      <w:r w:rsidR="00CB6A78" w:rsidRPr="00B909F3">
        <w:rPr>
          <w:rFonts w:ascii="Book Antiqua" w:hAnsi="Book Antiqua" w:cs="Arial"/>
          <w:b/>
          <w:szCs w:val="24"/>
        </w:rPr>
        <w:t xml:space="preserve"> </w:t>
      </w:r>
      <w:r w:rsidRPr="00B909F3">
        <w:rPr>
          <w:rFonts w:ascii="Book Antiqua" w:hAnsi="Book Antiqua" w:cs="Arial"/>
          <w:b/>
          <w:szCs w:val="24"/>
        </w:rPr>
        <w:t xml:space="preserve">words: </w:t>
      </w:r>
      <w:bookmarkStart w:id="17" w:name="OLE_LINK17"/>
      <w:r w:rsidR="00CB6A78" w:rsidRPr="00B909F3">
        <w:rPr>
          <w:rFonts w:ascii="Book Antiqua" w:hAnsi="Book Antiqua" w:cs="Arial"/>
          <w:szCs w:val="24"/>
        </w:rPr>
        <w:t xml:space="preserve">Patient </w:t>
      </w:r>
      <w:r w:rsidR="00BB2C21" w:rsidRPr="00B909F3">
        <w:rPr>
          <w:rFonts w:ascii="Book Antiqua" w:hAnsi="Book Antiqua" w:cs="Arial"/>
          <w:szCs w:val="24"/>
        </w:rPr>
        <w:t>survival</w:t>
      </w:r>
      <w:bookmarkEnd w:id="17"/>
      <w:r w:rsidR="00CB6A78" w:rsidRPr="00B909F3">
        <w:rPr>
          <w:rFonts w:ascii="Book Antiqua" w:hAnsi="Book Antiqua" w:cs="Arial"/>
          <w:szCs w:val="24"/>
        </w:rPr>
        <w:t>;</w:t>
      </w:r>
      <w:r w:rsidR="00BB2C21" w:rsidRPr="00B909F3">
        <w:rPr>
          <w:rFonts w:ascii="Book Antiqua" w:hAnsi="Book Antiqua" w:cs="Arial"/>
          <w:szCs w:val="24"/>
        </w:rPr>
        <w:t xml:space="preserve"> </w:t>
      </w:r>
      <w:bookmarkStart w:id="18" w:name="OLE_LINK18"/>
      <w:r w:rsidR="00CB6A78" w:rsidRPr="00B909F3">
        <w:rPr>
          <w:rFonts w:ascii="Book Antiqua" w:hAnsi="Book Antiqua" w:cs="Arial"/>
          <w:szCs w:val="24"/>
        </w:rPr>
        <w:t>Transplantation</w:t>
      </w:r>
      <w:bookmarkEnd w:id="18"/>
      <w:r w:rsidR="00CB6A78" w:rsidRPr="00B909F3">
        <w:rPr>
          <w:rFonts w:ascii="Book Antiqua" w:hAnsi="Book Antiqua" w:cs="Arial"/>
          <w:szCs w:val="24"/>
        </w:rPr>
        <w:t>;</w:t>
      </w:r>
      <w:r w:rsidR="00BB2C21" w:rsidRPr="00B909F3">
        <w:rPr>
          <w:rFonts w:ascii="Book Antiqua" w:hAnsi="Book Antiqua" w:cs="Arial"/>
          <w:szCs w:val="24"/>
        </w:rPr>
        <w:t xml:space="preserve"> </w:t>
      </w:r>
      <w:bookmarkStart w:id="19" w:name="OLE_LINK19"/>
      <w:r w:rsidR="00CB6A78" w:rsidRPr="00B909F3">
        <w:rPr>
          <w:rFonts w:ascii="Book Antiqua" w:hAnsi="Book Antiqua" w:cs="Arial"/>
          <w:szCs w:val="24"/>
        </w:rPr>
        <w:t xml:space="preserve">Liver </w:t>
      </w:r>
      <w:r w:rsidR="00BB2C21" w:rsidRPr="00B909F3">
        <w:rPr>
          <w:rFonts w:ascii="Book Antiqua" w:hAnsi="Book Antiqua" w:cs="Arial"/>
          <w:szCs w:val="24"/>
        </w:rPr>
        <w:t>disease</w:t>
      </w:r>
      <w:bookmarkEnd w:id="19"/>
      <w:r w:rsidR="00CB6A78" w:rsidRPr="00B909F3">
        <w:rPr>
          <w:rFonts w:ascii="Book Antiqua" w:hAnsi="Book Antiqua" w:cs="Arial"/>
          <w:szCs w:val="24"/>
        </w:rPr>
        <w:t>;</w:t>
      </w:r>
      <w:r w:rsidR="00BB2C21" w:rsidRPr="00B909F3">
        <w:rPr>
          <w:rFonts w:ascii="Book Antiqua" w:hAnsi="Book Antiqua" w:cs="Arial"/>
          <w:szCs w:val="24"/>
        </w:rPr>
        <w:t xml:space="preserve"> </w:t>
      </w:r>
      <w:bookmarkStart w:id="20" w:name="OLE_LINK21"/>
      <w:r w:rsidR="00CB6A78" w:rsidRPr="00B909F3">
        <w:rPr>
          <w:rFonts w:ascii="Book Antiqua" w:hAnsi="Book Antiqua" w:cs="Arial"/>
          <w:szCs w:val="24"/>
        </w:rPr>
        <w:t xml:space="preserve">Clinical </w:t>
      </w:r>
      <w:r w:rsidR="00687BEA" w:rsidRPr="00B909F3">
        <w:rPr>
          <w:rFonts w:ascii="Book Antiqua" w:hAnsi="Book Antiqua" w:cs="Arial"/>
          <w:szCs w:val="24"/>
        </w:rPr>
        <w:t>decision-making</w:t>
      </w:r>
      <w:bookmarkEnd w:id="20"/>
      <w:r w:rsidR="00CB6A78" w:rsidRPr="00B909F3">
        <w:rPr>
          <w:rFonts w:ascii="Book Antiqua" w:hAnsi="Book Antiqua" w:cs="Arial"/>
          <w:szCs w:val="24"/>
        </w:rPr>
        <w:t>;</w:t>
      </w:r>
      <w:r w:rsidR="00687BEA" w:rsidRPr="00B909F3">
        <w:rPr>
          <w:rFonts w:ascii="Book Antiqua" w:hAnsi="Book Antiqua" w:cs="Arial"/>
          <w:szCs w:val="24"/>
        </w:rPr>
        <w:t xml:space="preserve"> </w:t>
      </w:r>
      <w:bookmarkStart w:id="21" w:name="OLE_LINK23"/>
      <w:r w:rsidR="00CB6A78" w:rsidRPr="00B909F3">
        <w:rPr>
          <w:rFonts w:ascii="Book Antiqua" w:hAnsi="Book Antiqua" w:cs="Arial"/>
          <w:szCs w:val="24"/>
        </w:rPr>
        <w:t xml:space="preserve">Graft </w:t>
      </w:r>
      <w:r w:rsidR="0074551E" w:rsidRPr="00B909F3">
        <w:rPr>
          <w:rFonts w:ascii="Book Antiqua" w:hAnsi="Book Antiqua" w:cs="Arial"/>
          <w:szCs w:val="24"/>
        </w:rPr>
        <w:t>survival</w:t>
      </w:r>
      <w:bookmarkEnd w:id="21"/>
      <w:r w:rsidR="00CB6A78" w:rsidRPr="00B909F3">
        <w:rPr>
          <w:rFonts w:ascii="Book Antiqua" w:hAnsi="Book Antiqua" w:cs="Arial"/>
          <w:szCs w:val="24"/>
        </w:rPr>
        <w:t>;</w:t>
      </w:r>
      <w:r w:rsidR="0074551E" w:rsidRPr="00B909F3">
        <w:rPr>
          <w:rFonts w:ascii="Book Antiqua" w:hAnsi="Book Antiqua" w:cs="Arial"/>
          <w:szCs w:val="24"/>
        </w:rPr>
        <w:t xml:space="preserve"> </w:t>
      </w:r>
      <w:bookmarkStart w:id="22" w:name="OLE_LINK22"/>
      <w:r w:rsidR="00CB6A78" w:rsidRPr="00B909F3">
        <w:rPr>
          <w:rFonts w:ascii="Book Antiqua" w:hAnsi="Book Antiqua" w:cs="Arial"/>
          <w:szCs w:val="24"/>
        </w:rPr>
        <w:t xml:space="preserve">Risk </w:t>
      </w:r>
      <w:r w:rsidR="0074551E" w:rsidRPr="00B909F3">
        <w:rPr>
          <w:rFonts w:ascii="Book Antiqua" w:hAnsi="Book Antiqua" w:cs="Arial"/>
          <w:szCs w:val="24"/>
        </w:rPr>
        <w:t>assessment/</w:t>
      </w:r>
      <w:r w:rsidR="009F401B" w:rsidRPr="00B909F3">
        <w:rPr>
          <w:rFonts w:ascii="Book Antiqua" w:hAnsi="Book Antiqua" w:cs="Arial"/>
          <w:szCs w:val="24"/>
        </w:rPr>
        <w:t xml:space="preserve">risk </w:t>
      </w:r>
      <w:r w:rsidR="00BB2C21" w:rsidRPr="00B909F3">
        <w:rPr>
          <w:rFonts w:ascii="Book Antiqua" w:hAnsi="Book Antiqua" w:cs="Arial"/>
          <w:szCs w:val="24"/>
        </w:rPr>
        <w:t>stratification</w:t>
      </w:r>
      <w:bookmarkEnd w:id="22"/>
    </w:p>
    <w:p w14:paraId="1EE3930E" w14:textId="77777777" w:rsidR="00060606" w:rsidRPr="00B909F3" w:rsidRDefault="00060606" w:rsidP="00197EDE">
      <w:pPr>
        <w:spacing w:after="0" w:line="360" w:lineRule="auto"/>
        <w:jc w:val="both"/>
        <w:rPr>
          <w:rFonts w:ascii="Book Antiqua" w:eastAsia="SimSun" w:hAnsi="Book Antiqua" w:cs="Arial"/>
          <w:szCs w:val="24"/>
          <w:lang w:eastAsia="zh-CN"/>
        </w:rPr>
      </w:pPr>
    </w:p>
    <w:p w14:paraId="6125D24E" w14:textId="27EEADD9" w:rsidR="009F401B" w:rsidRPr="00B909F3" w:rsidRDefault="009F401B" w:rsidP="00197EDE">
      <w:pPr>
        <w:widowControl w:val="0"/>
        <w:spacing w:after="0" w:line="360" w:lineRule="auto"/>
        <w:jc w:val="both"/>
        <w:rPr>
          <w:rFonts w:ascii="Book Antiqua" w:eastAsia="SimSun" w:hAnsi="Book Antiqua"/>
          <w:bCs/>
          <w:szCs w:val="24"/>
          <w:lang w:eastAsia="zh-CN"/>
        </w:rPr>
      </w:pPr>
      <w:bookmarkStart w:id="23" w:name="_Hlk6581786"/>
      <w:r w:rsidRPr="00B909F3">
        <w:rPr>
          <w:rFonts w:ascii="Book Antiqua" w:hAnsi="Book Antiqua"/>
          <w:b/>
          <w:bCs/>
          <w:szCs w:val="24"/>
        </w:rPr>
        <w:t xml:space="preserve">© The Author(s) 2019. </w:t>
      </w:r>
      <w:r w:rsidRPr="00B909F3">
        <w:rPr>
          <w:rFonts w:ascii="Book Antiqua" w:hAnsi="Book Antiqua"/>
          <w:bCs/>
          <w:szCs w:val="24"/>
        </w:rPr>
        <w:t xml:space="preserve">Published by </w:t>
      </w:r>
      <w:proofErr w:type="spellStart"/>
      <w:r w:rsidRPr="00B909F3">
        <w:rPr>
          <w:rFonts w:ascii="Book Antiqua" w:hAnsi="Book Antiqua"/>
          <w:bCs/>
          <w:szCs w:val="24"/>
        </w:rPr>
        <w:t>Baishideng</w:t>
      </w:r>
      <w:proofErr w:type="spellEnd"/>
      <w:r w:rsidRPr="00B909F3">
        <w:rPr>
          <w:rFonts w:ascii="Book Antiqua" w:hAnsi="Book Antiqua"/>
          <w:bCs/>
          <w:szCs w:val="24"/>
        </w:rPr>
        <w:t xml:space="preserve"> Publishing Group Inc. All rights reserved.</w:t>
      </w:r>
    </w:p>
    <w:p w14:paraId="0301EAF5" w14:textId="77777777" w:rsidR="009F401B" w:rsidRPr="00B909F3" w:rsidRDefault="009F401B" w:rsidP="00197EDE">
      <w:pPr>
        <w:widowControl w:val="0"/>
        <w:spacing w:after="0" w:line="360" w:lineRule="auto"/>
        <w:jc w:val="both"/>
        <w:rPr>
          <w:rFonts w:ascii="Book Antiqua" w:eastAsia="SimSun" w:hAnsi="Book Antiqua"/>
          <w:szCs w:val="24"/>
          <w:lang w:eastAsia="zh-CN"/>
        </w:rPr>
      </w:pPr>
    </w:p>
    <w:p w14:paraId="2D2E215D" w14:textId="3C088F2C" w:rsidR="00DF39AB" w:rsidRPr="00B909F3" w:rsidRDefault="009F401B" w:rsidP="00197EDE">
      <w:pPr>
        <w:adjustRightInd w:val="0"/>
        <w:snapToGrid w:val="0"/>
        <w:spacing w:after="0" w:line="360" w:lineRule="auto"/>
        <w:jc w:val="both"/>
        <w:rPr>
          <w:rFonts w:ascii="Book Antiqua" w:hAnsi="Book Antiqua"/>
          <w:szCs w:val="24"/>
        </w:rPr>
      </w:pPr>
      <w:r w:rsidRPr="00B909F3">
        <w:rPr>
          <w:rFonts w:ascii="Book Antiqua" w:hAnsi="Book Antiqua"/>
          <w:b/>
          <w:szCs w:val="24"/>
        </w:rPr>
        <w:t>Co</w:t>
      </w:r>
      <w:r w:rsidRPr="00B909F3">
        <w:rPr>
          <w:rFonts w:ascii="Book Antiqua" w:eastAsia="SimSun" w:hAnsi="Book Antiqua"/>
          <w:b/>
          <w:szCs w:val="24"/>
          <w:lang w:eastAsia="zh-CN"/>
        </w:rPr>
        <w:t xml:space="preserve">re tip: </w:t>
      </w:r>
      <w:bookmarkStart w:id="24" w:name="OLE_LINK24"/>
      <w:r w:rsidR="00DF39AB" w:rsidRPr="00B909F3">
        <w:rPr>
          <w:rFonts w:ascii="Book Antiqua" w:hAnsi="Book Antiqua" w:cs="Arial"/>
          <w:szCs w:val="24"/>
        </w:rPr>
        <w:t xml:space="preserve">Poor functional status, as defined by The </w:t>
      </w:r>
      <w:proofErr w:type="spellStart"/>
      <w:r w:rsidR="00DF39AB" w:rsidRPr="00B909F3">
        <w:rPr>
          <w:rFonts w:ascii="Book Antiqua" w:hAnsi="Book Antiqua" w:cs="Arial"/>
          <w:szCs w:val="24"/>
        </w:rPr>
        <w:t>Karnofsky</w:t>
      </w:r>
      <w:proofErr w:type="spellEnd"/>
      <w:r w:rsidR="00DF39AB" w:rsidRPr="00B909F3">
        <w:rPr>
          <w:rFonts w:ascii="Book Antiqua" w:hAnsi="Book Antiqua" w:cs="Arial"/>
          <w:szCs w:val="24"/>
        </w:rPr>
        <w:t xml:space="preserve"> Performance Status scale, is a strong predictor of worse 1-year post-transplant outcomes (patient and graft survival) in a national </w:t>
      </w:r>
      <w:r w:rsidRPr="00B909F3">
        <w:rPr>
          <w:rFonts w:ascii="Book Antiqua" w:hAnsi="Book Antiqua" w:cs="Arial"/>
          <w:szCs w:val="24"/>
        </w:rPr>
        <w:t>United States</w:t>
      </w:r>
      <w:r w:rsidR="00DF39AB" w:rsidRPr="00B909F3">
        <w:rPr>
          <w:rFonts w:ascii="Book Antiqua" w:hAnsi="Book Antiqua" w:cs="Arial"/>
          <w:szCs w:val="24"/>
        </w:rPr>
        <w:t xml:space="preserve"> liver transplant population.</w:t>
      </w:r>
    </w:p>
    <w:bookmarkEnd w:id="24"/>
    <w:p w14:paraId="1CA5C87B" w14:textId="77777777" w:rsidR="00E87152" w:rsidRPr="00B909F3" w:rsidRDefault="00E87152" w:rsidP="00197EDE">
      <w:pPr>
        <w:adjustRightInd w:val="0"/>
        <w:snapToGrid w:val="0"/>
        <w:spacing w:after="0" w:line="360" w:lineRule="auto"/>
        <w:jc w:val="both"/>
        <w:rPr>
          <w:rFonts w:ascii="Book Antiqua" w:hAnsi="Book Antiqua"/>
          <w:b/>
          <w:szCs w:val="24"/>
        </w:rPr>
      </w:pPr>
    </w:p>
    <w:p w14:paraId="1B8D4B04" w14:textId="0481B6AC" w:rsidR="00060606" w:rsidRPr="00B909F3" w:rsidRDefault="00E94EE9" w:rsidP="00197EDE">
      <w:pPr>
        <w:widowControl w:val="0"/>
        <w:numPr>
          <w:ilvl w:val="0"/>
          <w:numId w:val="15"/>
        </w:numPr>
        <w:spacing w:after="0" w:line="360" w:lineRule="auto"/>
        <w:ind w:left="0" w:firstLine="0"/>
        <w:jc w:val="both"/>
        <w:rPr>
          <w:rFonts w:ascii="Book Antiqua" w:eastAsia="SimSun" w:hAnsi="Book Antiqua"/>
          <w:szCs w:val="24"/>
          <w:lang w:eastAsia="zh-CN"/>
        </w:rPr>
      </w:pPr>
      <w:bookmarkStart w:id="25" w:name="_Hlk6582555"/>
      <w:proofErr w:type="spellStart"/>
      <w:r w:rsidRPr="00B909F3">
        <w:rPr>
          <w:rFonts w:ascii="Book Antiqua" w:hAnsi="Book Antiqua" w:cs="Arial"/>
          <w:szCs w:val="24"/>
        </w:rPr>
        <w:t>Dolgin</w:t>
      </w:r>
      <w:proofErr w:type="spellEnd"/>
      <w:r w:rsidRPr="00B909F3">
        <w:rPr>
          <w:rFonts w:ascii="Book Antiqua" w:hAnsi="Book Antiqua" w:cs="Arial"/>
          <w:szCs w:val="24"/>
        </w:rPr>
        <w:t xml:space="preserve"> NH, </w:t>
      </w:r>
      <w:proofErr w:type="spellStart"/>
      <w:r w:rsidRPr="00B909F3">
        <w:rPr>
          <w:rFonts w:ascii="Book Antiqua" w:hAnsi="Book Antiqua" w:cs="Arial"/>
          <w:szCs w:val="24"/>
        </w:rPr>
        <w:t>Movahedi</w:t>
      </w:r>
      <w:proofErr w:type="spellEnd"/>
      <w:r w:rsidRPr="00B909F3">
        <w:rPr>
          <w:rFonts w:ascii="Book Antiqua" w:hAnsi="Book Antiqua" w:cs="Arial"/>
          <w:szCs w:val="24"/>
        </w:rPr>
        <w:t xml:space="preserve"> B, Anderson FA, </w:t>
      </w:r>
      <w:proofErr w:type="spellStart"/>
      <w:r w:rsidRPr="00B909F3">
        <w:rPr>
          <w:rFonts w:ascii="Book Antiqua" w:hAnsi="Book Antiqua" w:cs="Arial"/>
          <w:szCs w:val="24"/>
        </w:rPr>
        <w:t>Bruggenwirth</w:t>
      </w:r>
      <w:proofErr w:type="spellEnd"/>
      <w:r w:rsidRPr="00B909F3">
        <w:rPr>
          <w:rFonts w:ascii="Book Antiqua" w:hAnsi="Book Antiqua" w:cs="Arial"/>
          <w:szCs w:val="24"/>
        </w:rPr>
        <w:t xml:space="preserve"> IMA, Martins PN, </w:t>
      </w:r>
      <w:proofErr w:type="spellStart"/>
      <w:r w:rsidRPr="00B909F3">
        <w:rPr>
          <w:rFonts w:ascii="Book Antiqua" w:hAnsi="Book Antiqua" w:cs="Arial"/>
          <w:szCs w:val="24"/>
        </w:rPr>
        <w:t>Bozorgzadeh</w:t>
      </w:r>
      <w:proofErr w:type="spellEnd"/>
      <w:r w:rsidRPr="00B909F3">
        <w:rPr>
          <w:rFonts w:ascii="Book Antiqua" w:hAnsi="Book Antiqua" w:cs="Arial"/>
          <w:szCs w:val="24"/>
        </w:rPr>
        <w:t xml:space="preserve"> A</w:t>
      </w:r>
      <w:r w:rsidR="00CB6A78" w:rsidRPr="00B909F3">
        <w:rPr>
          <w:rFonts w:ascii="Book Antiqua" w:hAnsi="Book Antiqua" w:cs="Arial"/>
          <w:szCs w:val="24"/>
        </w:rPr>
        <w:t xml:space="preserve">. Impact of recipient functional status on 1-year liver transplant outcomes. </w:t>
      </w:r>
      <w:bookmarkEnd w:id="23"/>
      <w:bookmarkEnd w:id="25"/>
      <w:r w:rsidR="009F401B" w:rsidRPr="00B909F3">
        <w:rPr>
          <w:rFonts w:ascii="Book Antiqua" w:hAnsi="Book Antiqua"/>
          <w:i/>
          <w:iCs/>
          <w:szCs w:val="24"/>
        </w:rPr>
        <w:t xml:space="preserve">World J </w:t>
      </w:r>
      <w:r w:rsidR="009F401B" w:rsidRPr="00B909F3">
        <w:rPr>
          <w:rFonts w:ascii="Book Antiqua" w:eastAsia="SimSun" w:hAnsi="Book Antiqua"/>
          <w:i/>
          <w:szCs w:val="24"/>
          <w:lang w:val="en-GB" w:eastAsia="zh-CN"/>
        </w:rPr>
        <w:t>Transplant</w:t>
      </w:r>
      <w:r w:rsidR="009F401B" w:rsidRPr="00B909F3">
        <w:rPr>
          <w:rFonts w:ascii="Book Antiqua" w:eastAsia="SimSun" w:hAnsi="Book Antiqua"/>
          <w:szCs w:val="24"/>
          <w:lang w:eastAsia="zh-CN"/>
        </w:rPr>
        <w:t xml:space="preserve"> 2019; In press</w:t>
      </w:r>
    </w:p>
    <w:p w14:paraId="3DC854CD" w14:textId="4C9D4FFF" w:rsidR="00AE2710" w:rsidRPr="00B909F3" w:rsidRDefault="00AE2710" w:rsidP="00197EDE">
      <w:pPr>
        <w:spacing w:after="0" w:line="360" w:lineRule="auto"/>
        <w:jc w:val="both"/>
        <w:rPr>
          <w:rFonts w:ascii="Book Antiqua" w:hAnsi="Book Antiqua" w:cs="Arial"/>
          <w:szCs w:val="24"/>
        </w:rPr>
      </w:pPr>
      <w:r w:rsidRPr="00B909F3">
        <w:rPr>
          <w:rFonts w:ascii="Book Antiqua" w:hAnsi="Book Antiqua" w:cs="Arial"/>
          <w:b/>
          <w:szCs w:val="24"/>
        </w:rPr>
        <w:br w:type="page"/>
      </w:r>
      <w:r w:rsidRPr="00B909F3">
        <w:rPr>
          <w:rFonts w:ascii="Book Antiqua" w:hAnsi="Book Antiqua" w:cs="Arial"/>
          <w:b/>
          <w:szCs w:val="24"/>
        </w:rPr>
        <w:lastRenderedPageBreak/>
        <w:t>INTRODUCTION</w:t>
      </w:r>
    </w:p>
    <w:p w14:paraId="496A1E67" w14:textId="1E8E100F" w:rsidR="00AE2710" w:rsidRPr="00B909F3" w:rsidRDefault="00AE2710" w:rsidP="00197EDE">
      <w:pPr>
        <w:spacing w:after="0" w:line="360" w:lineRule="auto"/>
        <w:jc w:val="both"/>
        <w:rPr>
          <w:rFonts w:ascii="Book Antiqua" w:hAnsi="Book Antiqua" w:cs="Arial"/>
          <w:szCs w:val="24"/>
        </w:rPr>
      </w:pPr>
      <w:r w:rsidRPr="00B909F3">
        <w:rPr>
          <w:rFonts w:ascii="Book Antiqua" w:hAnsi="Book Antiqua" w:cs="Arial"/>
          <w:szCs w:val="24"/>
        </w:rPr>
        <w:t xml:space="preserve">Due to increasing organ shortages in the </w:t>
      </w:r>
      <w:r w:rsidR="00CB6A78" w:rsidRPr="00B909F3">
        <w:rPr>
          <w:rFonts w:ascii="Book Antiqua" w:hAnsi="Book Antiqua" w:cs="Arial"/>
          <w:szCs w:val="24"/>
        </w:rPr>
        <w:t>United States</w:t>
      </w:r>
      <w:r w:rsidRPr="00B909F3">
        <w:rPr>
          <w:rFonts w:ascii="Book Antiqua" w:hAnsi="Book Antiqua" w:cs="Arial"/>
          <w:szCs w:val="24"/>
        </w:rPr>
        <w:t>, patients on the liver transplant waiting list are ol</w:t>
      </w:r>
      <w:r w:rsidR="00007545" w:rsidRPr="00B909F3">
        <w:rPr>
          <w:rFonts w:ascii="Book Antiqua" w:hAnsi="Book Antiqua" w:cs="Arial"/>
          <w:szCs w:val="24"/>
        </w:rPr>
        <w:t xml:space="preserve">der and sicker than ever before, while </w:t>
      </w:r>
      <w:r w:rsidRPr="00B909F3">
        <w:rPr>
          <w:rFonts w:ascii="Book Antiqua" w:hAnsi="Book Antiqua" w:cs="Arial"/>
          <w:szCs w:val="24"/>
        </w:rPr>
        <w:t>wait time continues to climb</w:t>
      </w:r>
      <w:r w:rsidR="00CB6A78" w:rsidRPr="00B909F3">
        <w:rPr>
          <w:rFonts w:ascii="Book Antiqua" w:hAnsi="Book Antiqua" w:cs="Arial"/>
          <w:szCs w:val="24"/>
          <w:vertAlign w:val="superscript"/>
        </w:rPr>
        <w:t>[</w:t>
      </w:r>
      <w:r w:rsidR="00CB6A78" w:rsidRPr="00B909F3">
        <w:rPr>
          <w:rFonts w:ascii="Book Antiqua" w:hAnsi="Book Antiqua" w:cs="Arial"/>
          <w:szCs w:val="24"/>
          <w:vertAlign w:val="superscript"/>
        </w:rPr>
        <w:fldChar w:fldCharType="begin" w:fldLock="1"/>
      </w:r>
      <w:r w:rsidR="00CB6A78" w:rsidRPr="00B909F3">
        <w:rPr>
          <w:rFonts w:ascii="Book Antiqua" w:hAnsi="Book Antiqua" w:cs="Arial"/>
          <w:szCs w:val="24"/>
          <w:vertAlign w:val="superscript"/>
        </w:rPr>
        <w:instrText>ADDIN CSL_CITATION {"citationItems":[{"id":"ITEM-1","itemData":{"DOI":"10.1007/s00268-012-1748-0","ISBN":"1432-2323; 0364-2313","ISSN":"14322323","PMID":"22933050","abstract":"BACKGROUND: Organ shortage is the greatest challenge facing the field of organ transplantation today. Use of more organs of marginal quality has been advocated to address the shortage. METHOD: We examined the pattern of donation and organ use in the United States as shown in the Organ Procurement and Transplantation Network/United Network for Organ Sharing database of individuals who were consented for and progressed to organ donation between January 2001 and December 2010. RESULTS: There were 66,421 living donors and 73,359 deceased donors, including 67,583 (92.1%) identified as donation after brain death and 5,776 (7.9%) as donation after circulatory death (DCD). Comparing two periods, era 1 (01/2001-12/2005) and era 2 (01/2006-12/2010), the number of deceased donors increased by 20.3% from 33,300 to 40,059 while there was a trend for decreasing living donation. The DCD subgroup increased from 4.9 to 11.7% comparing the two eras. A significant increase in cardiovascular/cerebrovascular disease as a cause of death was also noted, from 38.1% in era 1 to 56.1% in era 2 (p&lt;0.001), as was a corresponding decrease in the number of deaths due to head trauma (48.8 vs. 34.9%). The overall discard rate also increased from 13,411 (11.5%) in era 1 to 19,516 (13.7%) in era 2. This increase in discards was especially prominent in the DCD group [440 (20.9%) in era 1 vs. 2,089 (24.9%) in era 2]. CONCLUSIONS: We detect a significant change in pattern of organ donation and use in the last decade in the United States. The transplant community should consider every precaution to prevent the decay of organ quality and to improve the use of marginal organs.","author":[{"dropping-particle":"","family":"Saidi","given":"Reza F.","non-dropping-particle":"","parse-names":false,"suffix":""},{"dropping-particle":"","family":"Markmann","given":"James F.","non-dropping-particle":"","parse-names":false,"suffix":""},{"dropping-particle":"","family":"Jabbour","given":"Nicolas","non-dropping-particle":"","parse-names":false,"suffix":""},{"dropping-particle":"","family":"Li","given":"Youfu","non-dropping-particle":"","parse-names":false,"suffix":""},{"dropping-particle":"","family":"Shah","given":"Shimul A.","non-dropping-particle":"","parse-names":false,"suffix":""},{"dropping-particle":"","family":"Cosimi","given":"A. B.","non-dropping-particle":"","parse-names":false,"suffix":""},{"dropping-particle":"","family":"Bozorgzadeh","given":"Adel","non-dropping-particle":"","parse-names":false,"suffix":""}],"container-title":"World Journal of Surgery","id":"ITEM-1","issue":"12","issued":{"date-parts":[["2012","12"]]},"note":"JID: 7704052; ppublish","page":"2909-2913","title":"The faltering solid organ donor pool in the United States (2001-2010)","type":"article-journal","volume":"36"},"uris":["http://www.mendeley.com/documents/?uuid=50ffbdd5-1c71-4b85-a5cf-61ffdf711779","http://www.mendeley.com/documents/?uuid=07cdf156-ccd6-4a0d-b09a-3ca31b1b6a69"]},{"id":"ITEM-2","itemData":{"DOI":"10.1111/ajt.13197","ISSN":"1600-6143","PMID":"25626341","abstract":"During 2013, 10,479 adult candidates were added to the liver transplant waiting list, compared with 10,185 in 2012; 5921 liver transplants were performed, and 211 of the transplanted organs were from living donors. As of December 31, 2013, 15,027 candidates were registered on the waiting list, including 12,407 in active status. The most significant change in allocation policy affecting liver waitlist trends in 2013 was the Share 35 policy, whereby organs from an entire region are available to candidates with model for end-stage liver disease scores of 35 or higher. Median waiting time for such candidates decreased dramatically, from 14.0 months in 2012 to 1.4 months in 2013, but the effect on waitlist mortality is unknown. The number of new active pediatric candidates added to the liver transplant waiting list increased to 693 in 2013. Transplant rates were highest for candidates aged younger than 1 year (275.6 per 100 waitlist years) and lowest for candidates aged 11 to 17 years (97.0 per 100 waitlist years). Five-year graft survival was 71.7% for recipients aged younger than 1 year, 74.9% for ages 1 to 5 years, 78.9% ages 6 to 10 years, and 77.4% for ages 11 to 17 years.","author":[{"dropping-particle":"","family":"Kim","given":"W R","non-dropping-particle":"","parse-names":false,"suffix":""},{"dropping-particle":"","family":"Lake","given":"J R","non-dropping-particle":"","parse-names":false,"suffix":""},{"dropping-particle":"","family":"Smith","given":"J M","non-dropping-particle":"","parse-names":false,"suffix":""},{"dropping-particle":"","family":"Skeans","given":"M A","non-dropping-particle":"","parse-names":false,"suffix":""},{"dropping-particle":"","family":"Schladt","given":"D P","non-dropping-particle":"","parse-names":false,"suffix":""},{"dropping-particle":"","family":"Edwards","given":"E B","non-dropping-particle":"","parse-names":false,"suffix":""},{"dropping-particle":"","family":"Harper","given":"A M","non-dropping-particle":"","parse-names":false,"suffix":""},{"dropping-particle":"","family":"Wainright","given":"J L","non-dropping-particle":"","parse-names":false,"suffix":""},{"dropping-particle":"","family":"Snyder","given":"J J","non-dropping-particle":"","parse-names":false,"suffix":""},{"dropping-particle":"","family":"Israni","given":"A K","non-dropping-particle":"","parse-names":false,"suffix":""},{"dropping-particle":"","family":"Kasiske","given":"B L","non-dropping-particle":"","parse-names":false,"suffix":""}],"container-title":"American journal of transplantation : official journal of the American Society of Transplantation and the American Society of Transplant Surgeons","id":"ITEM-2","issued":{"date-parts":[["2015","1"]]},"page":"1-28","title":"OPTN/SRTR 2013 Annual Data Report: liver.","type":"article-journal","volume":"15 Suppl 2"},"uris":["http://www.mendeley.com/documents/?uuid=0e57a2c7-c0fc-465f-b6c7-6294310d3059"]},{"id":"ITEM-3","itemData":{"DOI":"10.1016/j.jamcollsurg.2016.03.021","ISSN":"18791190","PMID":"27178368","abstract":"Background The central tenet of liver transplant organ allocation is to prioritize the sickest patients first. However, a 2007 Centers for Medicare and Medicaid Services regulatory policy, Conditions of Participation (COP), which mandates publically reported transplant center performance assessment and outcomes-based auditing, critically altered waitlist management and clinical decision making. We examine the extent to which COP implementation is associated with increased removal of the \"sickest\" patients from the liver transplant waitlist. Study Design This study included 90,765 adult (aged 18 years and older) deceased donor liver transplant candidates listed at 102 transplant centers from April 2002 through December 2012 (Scientific Registry of Transplant Recipients). We quantified the effect of COP implementation on trends in waitlist removal due to illness severity and 1-year post-transplant mortality using interrupted time series segmented Poisson regression analysis. Results We observed increasing trends in delisting due to illness severity in the setting of comparable demographic and clinical characteristics. Delisting abruptly increased by 16% at the time of COP implementation, and likelihood of being delisted continued to increase by 3% per quarter thereafter, without attenuation (p &lt; 0.001). Results remained consistent after stratifying on key variables (ie, Model for End-Stage Liver Disease and age). The COP did not significantly impact 1-year post-transplant mortality (p = 0.38). Conclusions Although the 2007 Centers for Medicare and Medicaid Services COP policy was a quality initiative designed to improve patient outcomes, in reality, it failed to show beneficial effects in the liver transplant population. Patients who could potentially benefit from transplantation are increasingly being denied this lifesaving procedure while transplant mortality rates remain unaffected. Policy makers and clinicians should strive to balance candidate and recipient needs from a population-benefit perspective when designing performance metrics and during clinical decision making for patients on the waitlist.","author":[{"dropping-particle":"","family":"Dolgin","given":"Natasha H.","non-dropping-particle":"","parse-names":false,"suffix":""},{"dropping-particle":"","family":"Movahedi","given":"Babak","non-dropping-particle":"","parse-names":false,"suffix":""},{"dropping-particle":"","family":"Martins","given":"Paulo N.A.","non-dropping-particle":"","parse-names":false,"suffix":""},{"dropping-particle":"","family":"Goldberg","given":"Robert","non-dropping-particle":"","parse-names":false,"suffix":""},{"dropping-particle":"","family":"Lapane","given":"Kate L.","non-dropping-particle":"","parse-names":false,"suffix":""},{"dropping-particle":"","family":"Anderson","given":"Frederick A.","non-dropping-particle":"","parse-names":false,"suffix":""},{"dropping-particle":"","family":"Bozorgzadeh","given":"Adel","non-dropping-particle":"","parse-names":false,"suffix":""}],"container-title":"Journal of the American College of Surgeons","id":"ITEM-3","issue":"6","issued":{"date-parts":[["2016","6"]]},"page":"1054-1065","title":"Decade-long trends in liver transplant waitlist removal due to illness severity: The impact of centers for medicare and medicaid services policy","type":"article-journal","volume":"222"},"uris":["http://www.mendeley.com/documents/?uuid=04723c29-8b56-3c93-be27-7b73fbe96a49","http://www.mendeley.com/documents/?uuid=e477f9e7-7adb-4e96-a8b0-552fa32613fa"]}],"mendeley":{"formattedCitation":"&lt;sup&gt;1–3&lt;/sup&gt;","plainTextFormattedCitation":"1–3","previouslyFormattedCitation":"&lt;sup&gt;1–3&lt;/sup&gt;"},"properties":{"noteIndex":0},"schema":"https://github.com/citation-style-language/schema/raw/master/csl-citation.json"}</w:instrText>
      </w:r>
      <w:r w:rsidR="00CB6A78" w:rsidRPr="00B909F3">
        <w:rPr>
          <w:rFonts w:ascii="Book Antiqua" w:hAnsi="Book Antiqua" w:cs="Arial"/>
          <w:szCs w:val="24"/>
          <w:vertAlign w:val="superscript"/>
        </w:rPr>
        <w:fldChar w:fldCharType="separate"/>
      </w:r>
      <w:r w:rsidR="00CB6A78" w:rsidRPr="00B909F3">
        <w:rPr>
          <w:rFonts w:ascii="Book Antiqua" w:hAnsi="Book Antiqua" w:cs="Arial"/>
          <w:noProof/>
          <w:szCs w:val="24"/>
          <w:vertAlign w:val="superscript"/>
        </w:rPr>
        <w:t>1-3</w:t>
      </w:r>
      <w:r w:rsidR="00CB6A78" w:rsidRPr="00B909F3">
        <w:rPr>
          <w:rFonts w:ascii="Book Antiqua" w:hAnsi="Book Antiqua" w:cs="Arial"/>
          <w:szCs w:val="24"/>
          <w:vertAlign w:val="superscript"/>
        </w:rPr>
        <w:fldChar w:fldCharType="end"/>
      </w:r>
      <w:r w:rsidR="00CB6A78" w:rsidRPr="00B909F3">
        <w:rPr>
          <w:rFonts w:ascii="Book Antiqua" w:hAnsi="Book Antiqua" w:cs="Arial"/>
          <w:szCs w:val="24"/>
          <w:vertAlign w:val="superscript"/>
        </w:rPr>
        <w:t>]</w:t>
      </w:r>
      <w:r w:rsidR="00A96029" w:rsidRPr="00B909F3">
        <w:rPr>
          <w:rFonts w:ascii="Book Antiqua" w:hAnsi="Book Antiqua" w:cs="Arial"/>
          <w:szCs w:val="24"/>
        </w:rPr>
        <w:t xml:space="preserve">. </w:t>
      </w:r>
      <w:r w:rsidRPr="00B909F3">
        <w:rPr>
          <w:rFonts w:ascii="Book Antiqua" w:hAnsi="Book Antiqua" w:cs="Arial"/>
          <w:szCs w:val="24"/>
        </w:rPr>
        <w:t>Among the 15000 patients with End-Stage Liver Disease on the transplant waiting list in 2013, 20% were over 65 years old, 20% had been waiting for at least 5 years already, 20% died while awaiting transplant, and fewer than 6000 patients received an organ</w:t>
      </w:r>
      <w:r w:rsidR="00CB6A78" w:rsidRPr="00B909F3">
        <w:rPr>
          <w:rFonts w:ascii="Book Antiqua" w:hAnsi="Book Antiqua" w:cs="Arial"/>
          <w:szCs w:val="24"/>
          <w:vertAlign w:val="superscript"/>
        </w:rPr>
        <w:t>[</w:t>
      </w:r>
      <w:r w:rsidR="00CB6A78" w:rsidRPr="00B909F3">
        <w:rPr>
          <w:rFonts w:ascii="Book Antiqua" w:hAnsi="Book Antiqua" w:cs="Arial"/>
          <w:szCs w:val="24"/>
          <w:vertAlign w:val="superscript"/>
        </w:rPr>
        <w:fldChar w:fldCharType="begin" w:fldLock="1"/>
      </w:r>
      <w:r w:rsidR="00CB6A78" w:rsidRPr="00B909F3">
        <w:rPr>
          <w:rFonts w:ascii="Book Antiqua" w:hAnsi="Book Antiqua" w:cs="Arial"/>
          <w:szCs w:val="24"/>
          <w:vertAlign w:val="superscript"/>
        </w:rPr>
        <w:instrText>ADDIN CSL_CITATION {"citationItems":[{"id":"ITEM-1","itemData":{"DOI":"10.1111/ajt.13197","ISSN":"1600-6143","PMID":"25626341","abstract":"During 2013, 10,479 adult candidates were added to the liver transplant waiting list, compared with 10,185 in 2012; 5921 liver transplants were performed, and 211 of the transplanted organs were from living donors. As of December 31, 2013, 15,027 candidates were registered on the waiting list, including 12,407 in active status. The most significant change in allocation policy affecting liver waitlist trends in 2013 was the Share 35 policy, whereby organs from an entire region are available to candidates with model for end-stage liver disease scores of 35 or higher. Median waiting time for such candidates decreased dramatically, from 14.0 months in 2012 to 1.4 months in 2013, but the effect on waitlist mortality is unknown. The number of new active pediatric candidates added to the liver transplant waiting list increased to 693 in 2013. Transplant rates were highest for candidates aged younger than 1 year (275.6 per 100 waitlist years) and lowest for candidates aged 11 to 17 years (97.0 per 100 waitlist years). Five-year graft survival was 71.7% for recipients aged younger than 1 year, 74.9% for ages 1 to 5 years, 78.9% ages 6 to 10 years, and 77.4% for ages 11 to 17 years.","author":[{"dropping-particle":"","family":"Kim","given":"W R","non-dropping-particle":"","parse-names":false,"suffix":""},{"dropping-particle":"","family":"Lake","given":"J R","non-dropping-particle":"","parse-names":false,"suffix":""},{"dropping-particle":"","family":"Smith","given":"J M","non-dropping-particle":"","parse-names":false,"suffix":""},{"dropping-particle":"","family":"Skeans","given":"M A","non-dropping-particle":"","parse-names":false,"suffix":""},{"dropping-particle":"","family":"Schladt","given":"D P","non-dropping-particle":"","parse-names":false,"suffix":""},{"dropping-particle":"","family":"Edwards","given":"E B","non-dropping-particle":"","parse-names":false,"suffix":""},{"dropping-particle":"","family":"Harper","given":"A M","non-dropping-particle":"","parse-names":false,"suffix":""},{"dropping-particle":"","family":"Wainright","given":"J L","non-dropping-particle":"","parse-names":false,"suffix":""},{"dropping-particle":"","family":"Snyder","given":"J J","non-dropping-particle":"","parse-names":false,"suffix":""},{"dropping-particle":"","family":"Israni","given":"A K","non-dropping-particle":"","parse-names":false,"suffix":""},{"dropping-particle":"","family":"Kasiske","given":"B L","non-dropping-particle":"","parse-names":false,"suffix":""}],"container-title":"American journal of transplantation : official journal of the American Society of Transplantation and the American Society of Transplant Surgeons","id":"ITEM-1","issued":{"date-parts":[["2015","1"]]},"page":"1-28","title":"OPTN/SRTR 2013 Annual Data Report: liver.","type":"article-journal","volume":"15 Suppl 2"},"uris":["http://www.mendeley.com/documents/?uuid=0e57a2c7-c0fc-465f-b6c7-6294310d3059"]}],"mendeley":{"formattedCitation":"&lt;sup&gt;2&lt;/sup&gt;","plainTextFormattedCitation":"2","previouslyFormattedCitation":"&lt;sup&gt;2&lt;/sup&gt;"},"properties":{"noteIndex":0},"schema":"https://github.com/citation-style-language/schema/raw/master/csl-citation.json"}</w:instrText>
      </w:r>
      <w:r w:rsidR="00CB6A78" w:rsidRPr="00B909F3">
        <w:rPr>
          <w:rFonts w:ascii="Book Antiqua" w:hAnsi="Book Antiqua" w:cs="Arial"/>
          <w:szCs w:val="24"/>
          <w:vertAlign w:val="superscript"/>
        </w:rPr>
        <w:fldChar w:fldCharType="separate"/>
      </w:r>
      <w:r w:rsidR="00CB6A78" w:rsidRPr="00B909F3">
        <w:rPr>
          <w:rFonts w:ascii="Book Antiqua" w:hAnsi="Book Antiqua" w:cs="Arial"/>
          <w:noProof/>
          <w:szCs w:val="24"/>
          <w:vertAlign w:val="superscript"/>
        </w:rPr>
        <w:t>2</w:t>
      </w:r>
      <w:r w:rsidR="00CB6A78" w:rsidRPr="00B909F3">
        <w:rPr>
          <w:rFonts w:ascii="Book Antiqua" w:hAnsi="Book Antiqua" w:cs="Arial"/>
          <w:szCs w:val="24"/>
          <w:vertAlign w:val="superscript"/>
        </w:rPr>
        <w:fldChar w:fldCharType="end"/>
      </w:r>
      <w:r w:rsidR="00CB6A78" w:rsidRPr="00B909F3">
        <w:rPr>
          <w:rFonts w:ascii="Book Antiqua" w:hAnsi="Book Antiqua" w:cs="Arial"/>
          <w:szCs w:val="24"/>
          <w:vertAlign w:val="superscript"/>
        </w:rPr>
        <w:t>]</w:t>
      </w:r>
      <w:r w:rsidR="00A96029" w:rsidRPr="00B909F3">
        <w:rPr>
          <w:rFonts w:ascii="Book Antiqua" w:hAnsi="Book Antiqua" w:cs="Arial"/>
          <w:szCs w:val="24"/>
        </w:rPr>
        <w:t>.</w:t>
      </w:r>
      <w:r w:rsidRPr="00B909F3">
        <w:rPr>
          <w:rFonts w:ascii="Book Antiqua" w:hAnsi="Book Antiqua" w:cs="Arial"/>
          <w:szCs w:val="24"/>
        </w:rPr>
        <w:t xml:space="preserve"> In 2002, in response to increasing shortages and waitlist mortality, the liver allocation system was reorganized to prioritize patients according to urgency</w:t>
      </w:r>
      <w:r w:rsidR="00CB6A78" w:rsidRPr="00B909F3">
        <w:rPr>
          <w:rFonts w:ascii="Book Antiqua" w:hAnsi="Book Antiqua" w:cs="Arial"/>
          <w:szCs w:val="24"/>
          <w:vertAlign w:val="superscript"/>
        </w:rPr>
        <w:t>[</w:t>
      </w:r>
      <w:r w:rsidR="00CB6A78" w:rsidRPr="00B909F3">
        <w:rPr>
          <w:rFonts w:ascii="Book Antiqua" w:hAnsi="Book Antiqua" w:cs="Arial"/>
          <w:szCs w:val="24"/>
          <w:vertAlign w:val="superscript"/>
        </w:rPr>
        <w:fldChar w:fldCharType="begin" w:fldLock="1"/>
      </w:r>
      <w:r w:rsidR="00CB6A78" w:rsidRPr="00B909F3">
        <w:rPr>
          <w:rFonts w:ascii="Book Antiqua" w:hAnsi="Book Antiqua" w:cs="Arial"/>
          <w:szCs w:val="24"/>
          <w:vertAlign w:val="superscript"/>
        </w:rPr>
        <w:instrText>ADDIN CSL_CITATION {"citationItems":[{"id":"ITEM-1","itemData":{"DOI":"10.1001/archsurg.142.11.1079","ISBN":"1538-3644; 0004-0010","ISSN":"00040010","PMID":"18025337","abstract":"OBJECTIVE: To examine the impact of the Model for End-stage Liver Disease (MELD) on waiting list mortality. DESIGN: Interrupted time series with a nominal inception point of the intervention on February 27, 2002. SETTING: United Network for Organ Sharing Standard Transplant Analysis and Research file data from March 1, 1999, to July 30, 2004. PARTICIPANTS: All adult candidates on the waiting list for liver transplantation in the United States during the study period. INTERVENTION: Implementation of the MELD policy. MAIN OUTCOME MEASURES: Waiting list mortality, waiting time to transplantation, number of new registrants, and posttransplantation survival. RESULTS: Although no preintervention trend was identified, the policy change was associated with an immediate effect of increasing waiting list mortality by 2.2 deaths per 1000 registrants per month (from approximately 11 to 13 deaths per 1000 registrants per month; 95% confidence interval [CI], 1.1 to 3.4; P = .001) followed by a postintervention decline in waiting list mortality over time (-0.09 death per 1000 registrants per month; 95% CI, -0.16 to -0.03; P &lt;.001). An immediate effect of decreased waiting time was also noted (from approximately 294 to 250 days; -44.4 days; 95% CI, -77.1 to -11.7 days; P &lt;.001), which reached a new, lower postintervention steady state. The intervention had no effect on the number of new registrants listed per month or on 3- and 6-month posttransplantation survival. CONCLUSION: After an initial increase in waiting list mortality, the implementation of the MELD-based allocation policy was associated with an overall decline in waiting list mortality and time to transplantation.","author":[{"dropping-particle":"","family":"Austin","given":"Mary T.","non-dropping-particle":"","parse-names":false,"suffix":""},{"dropping-particle":"","family":"Poulose","given":"Benjamin K.","non-dropping-particle":"","parse-names":false,"suffix":""},{"dropping-particle":"","family":"Ray","given":"Wayne A.","non-dropping-particle":"","parse-names":false,"suffix":""},{"dropping-particle":"","family":"Arbogast","given":"Patrick G.","non-dropping-particle":"","parse-names":false,"suffix":""},{"dropping-particle":"","family":"Feurer","given":"Irene D.","non-dropping-particle":"","parse-names":false,"suffix":""},{"dropping-particle":"","family":"Pinson","given":"C. Wright","non-dropping-particle":"","parse-names":false,"suffix":""}],"container-title":"Archives of Surgery","id":"ITEM-1","issue":"11","issued":{"date-parts":[["2007","11"]]},"note":"GR: 231-00-0115/PHS HHS/United States; JID: 9716528; ppublish","page":"1079-1085","title":"Model for end-stage liver disease: Did the new liver allocation policy affect waiting list mortality?","type":"article-journal","volume":"142"},"uris":["http://www.mendeley.com/documents/?uuid=558ae824-a45b-45a3-b293-e30b14bb54df","http://www.mendeley.com/documents/?uuid=ebbbf9d4-e749-46ae-9ad3-bf4e70802add"]}],"mendeley":{"formattedCitation":"&lt;sup&gt;4&lt;/sup&gt;","plainTextFormattedCitation":"4","previouslyFormattedCitation":"&lt;sup&gt;4&lt;/sup&gt;"},"properties":{"noteIndex":0},"schema":"https://github.com/citation-style-language/schema/raw/master/csl-citation.json"}</w:instrText>
      </w:r>
      <w:r w:rsidR="00CB6A78" w:rsidRPr="00B909F3">
        <w:rPr>
          <w:rFonts w:ascii="Book Antiqua" w:hAnsi="Book Antiqua" w:cs="Arial"/>
          <w:szCs w:val="24"/>
          <w:vertAlign w:val="superscript"/>
        </w:rPr>
        <w:fldChar w:fldCharType="separate"/>
      </w:r>
      <w:r w:rsidR="00CB6A78" w:rsidRPr="00B909F3">
        <w:rPr>
          <w:rFonts w:ascii="Book Antiqua" w:hAnsi="Book Antiqua" w:cs="Arial"/>
          <w:noProof/>
          <w:szCs w:val="24"/>
          <w:vertAlign w:val="superscript"/>
        </w:rPr>
        <w:t>4</w:t>
      </w:r>
      <w:r w:rsidR="00CB6A78" w:rsidRPr="00B909F3">
        <w:rPr>
          <w:rFonts w:ascii="Book Antiqua" w:hAnsi="Book Antiqua" w:cs="Arial"/>
          <w:szCs w:val="24"/>
          <w:vertAlign w:val="superscript"/>
        </w:rPr>
        <w:fldChar w:fldCharType="end"/>
      </w:r>
      <w:r w:rsidR="00CB6A78" w:rsidRPr="00B909F3">
        <w:rPr>
          <w:rFonts w:ascii="Book Antiqua" w:hAnsi="Book Antiqua" w:cs="Arial"/>
          <w:szCs w:val="24"/>
          <w:vertAlign w:val="superscript"/>
        </w:rPr>
        <w:t>]</w:t>
      </w:r>
      <w:r w:rsidR="00A96029" w:rsidRPr="00B909F3">
        <w:rPr>
          <w:rFonts w:ascii="Book Antiqua" w:hAnsi="Book Antiqua" w:cs="Arial"/>
          <w:szCs w:val="24"/>
        </w:rPr>
        <w:t>.</w:t>
      </w:r>
      <w:r w:rsidRPr="00B909F3">
        <w:rPr>
          <w:rFonts w:ascii="Book Antiqua" w:hAnsi="Book Antiqua" w:cs="Arial"/>
          <w:szCs w:val="24"/>
        </w:rPr>
        <w:t xml:space="preserve"> “Urgency” was defined according to </w:t>
      </w:r>
      <w:r w:rsidRPr="00B909F3">
        <w:rPr>
          <w:rFonts w:ascii="Book Antiqua" w:hAnsi="Book Antiqua" w:cs="Arial"/>
          <w:noProof/>
          <w:szCs w:val="24"/>
        </w:rPr>
        <w:t>risk</w:t>
      </w:r>
      <w:r w:rsidRPr="00B909F3">
        <w:rPr>
          <w:rFonts w:ascii="Book Antiqua" w:hAnsi="Book Antiqua" w:cs="Arial"/>
          <w:szCs w:val="24"/>
        </w:rPr>
        <w:t xml:space="preserve"> of 3-mo mortality, calculated using 3 objective laboratory parameters (creatinine, bilirubin, international normalized ratio) to create individualized Model for </w:t>
      </w:r>
      <w:r w:rsidRPr="00B909F3">
        <w:rPr>
          <w:rFonts w:ascii="Book Antiqua" w:hAnsi="Book Antiqua" w:cs="Arial"/>
          <w:noProof/>
          <w:szCs w:val="24"/>
        </w:rPr>
        <w:t>End-Stage</w:t>
      </w:r>
      <w:r w:rsidRPr="00B909F3">
        <w:rPr>
          <w:rFonts w:ascii="Book Antiqua" w:hAnsi="Book Antiqua" w:cs="Arial"/>
          <w:szCs w:val="24"/>
        </w:rPr>
        <w:t xml:space="preserve"> for Liver Disease (MELD) scores used to rank patients. Although this system successfully lowered population-level waitlist mortality rates, it is an insufficient summary measure for describing global health status</w:t>
      </w:r>
      <w:r w:rsidR="00CB6A78" w:rsidRPr="00B909F3">
        <w:rPr>
          <w:rFonts w:ascii="Book Antiqua" w:hAnsi="Book Antiqua" w:cs="Arial"/>
          <w:szCs w:val="24"/>
          <w:vertAlign w:val="superscript"/>
        </w:rPr>
        <w:t>[</w:t>
      </w:r>
      <w:r w:rsidR="00CB6A78" w:rsidRPr="00B909F3">
        <w:rPr>
          <w:rFonts w:ascii="Book Antiqua" w:hAnsi="Book Antiqua" w:cs="Arial"/>
          <w:noProof/>
          <w:szCs w:val="24"/>
          <w:vertAlign w:val="superscript"/>
        </w:rPr>
        <w:fldChar w:fldCharType="begin" w:fldLock="1"/>
      </w:r>
      <w:r w:rsidR="00CB6A78" w:rsidRPr="00B909F3">
        <w:rPr>
          <w:rFonts w:ascii="Book Antiqua" w:hAnsi="Book Antiqua" w:cs="Arial"/>
          <w:noProof/>
          <w:szCs w:val="24"/>
          <w:vertAlign w:val="superscript"/>
        </w:rPr>
        <w:instrText>ADDIN CSL_CITATION {"citationItems":[{"id":"ITEM-1","itemData":{"ISBN":"11087471 (ISSN)","ISSN":"11087471","PMID":"24713804","abstract":"Policies for organ allocation can be based on medical urgency, utility or transplant benefit. With an urgency policy, patients with worse outcomes on the waiting list are given higher priority for transplantation [based on the Child-Turcotte-Pugh score or the Model for End-stage Liver Disease (MELD) score, or United Kingdom model for End-stage Liver Disease (UKELD) score]. The MELD and UKELD scores have statistical validation and use objective and widely available laboratory tests. However, both scores have important limitations. Adjustments to the original MELD equation and new scoring systems have been proposed to overcome these limitations; incorporation of serum sodium improves its predictive accuracy and is part of the UKELD score. The utility-based systems are based on post-transplant outcome taking into account donor and recipient characteristics. MELD and UKELD scores poorly predict outcomes after liver transplantation due to the absence of donor factors. The transplant benefit models rank patients according to the net survival benefit that they would derive from transplantation. These models would be based on the maximization of the lifetime gained through liver transplantation. Well-designed prospective studies and simulation models are necessary to establish the optimal allocation system in liver transplantation, as no current model has all the best characteristics.","author":[{"dropping-particle":"","family":"Cholongitas","given":"Evangelos","non-dropping-particle":"","parse-names":false,"suffix":""},{"dropping-particle":"","family":"Burroughs","given":"Andrew K.","non-dropping-particle":"","parse-names":false,"suffix":""}],"container-title":"Annals of Gastroenterology","id":"ITEM-1","issue":"1","issued":{"date-parts":[["2012","1"]]},"page":"6-13","title":"The evolution in the prioritization for liver transplantation","type":"article-journal","volume":"25"},"uris":["http://www.mendeley.com/documents/?uuid=30cc8b15-6e38-4729-9f33-fd9bc2ffd2c8","http://www.mendeley.com/documents/?uuid=96833ed6-9bc9-4b46-84b3-3d9927d6a7e4"]},{"id":"ITEM-2","itemData":{"DOI":"10.1186/1471-230X-9-72","ISBN":"1471-230X (Electronic)\\r1471-230X (Linking)","ISSN":"1471230X","PMID":"19778459","abstract":"BACKGROUND Decompensated cirrhosis is associated with a poor prognosis and liver transplantation provides the only curative treatment option with excellent long-term results. The relative shortage of organ donors renders the allocation algorithms of organs essential. The optimal strategy based on scoring systems and/or waiting time is still under debate. METHODS Data sets of 268 consecutive patients listed for single-organ liver transplantation for nonfulminant liver disease between 2003 and 2005 were included into the study. The Model for End-Stage Liver Disease (MELD) and Child-Turcotte-Pugh (CTP) scores of all patients at the time of listing were used for calculation. The predictive ability not only for mortality on the waiting list but also for the need for withdrawal from the waiting list was calculated for both scores. The Mann-Whitney-U Test was used for the univariate analysis and the AUC-Model for discrimination of the scores. RESULTS In the univariate analysis comparing patients who are still on the waiting list and patients who died or were removed from the waiting list due to poor conditions, the serum albumin, bilirubin INR, and CTP and MELD scores as well as the presence of ascites and encephalopathy were significantly different between the groups (p &lt; 0.05), whereas serum creatinine and urea showed no difference. Comparing the predictive abilities of CTP and MELD scores, the best discrimination between patients still alive on the waiting list and patients who died on or were removed from the waiting list was achieved at a CTP score of &gt;or=9 and a MELD score of &gt;or=14.4. The sensitivity and specificity to identify mortality or severe deterioration for CTP was 69.0% and 70.5%, respectively; for MELD, it was 62.1% and 72.7%, respectively. This result was supported by the AUC analysis showing a strong trend for superiority of CTP over MELD scores (AUROC 0.73 and 0.68, resp.; p = 0.091). CONCLUSION The long term prediction of mortality or removal from waiting list in patients awaiting liver transplantation might be better assessed by the CTP score than the MELD score. This might have implications for the development of new improved scoring systems.","author":[{"dropping-particle":"","family":"Gotthardt","given":"Daniel","non-dropping-particle":"","parse-names":false,"suffix":""},{"dropping-particle":"","family":"Weiss","given":"Karl H.","non-dropping-particle":"","parse-names":false,"suffix":""},{"dropping-particle":"","family":"Baumgärtner","given":"Melanie","non-dropping-particle":"","parse-names":false,"suffix":""},{"dropping-particle":"","family":"Zahn","given":"Alexandra","non-dropping-particle":"","parse-names":false,"suffix":""},{"dropping-particle":"","family":"Stremmel","given":"Wolfgang","non-dropping-particle":"","parse-names":false,"suffix":""},{"dropping-particle":"","family":"Schmidt","given":"Jan","non-dropping-particle":"","parse-names":false,"suffix":""},{"dropping-particle":"","family":"Bruckner","given":"Thomas","non-dropping-particle":"","parse-names":false,"suffix":""},{"dropping-particle":"","family":"Sauer","given":"Peter","non-dropping-particle":"","parse-names":false,"suffix":""}],"container-title":"BMC Gastroenterology","id":"ITEM-2","issue":"1","issued":{"date-parts":[["2009","1"]]},"language":"en","note":"From Duplicate 2 (Limitations of the MELD score in predicting mortality or need for removal from waiting list in patients awaiting liver transplantation - Gotthardt, D; Weiss, K H; Baumgartner, M; Zahn, A; Stremmel, W; Schmidt, J; Bruckner, T; Sauer, P)\n\nJID: 100968547; 0 (Serum Albumin); 60-27-5 (Creatinine); 635-65-4 (Bilirubin); OID: NLM: PMC2760571; 2009/04/30 [received]; 2009/09/25 [accepted]; 2009/09/25 [aheadofprint]; epublish","page":"72","publisher":"BioMed Central","title":"Limitations of the MELD score in predicting mortality or need for removal from waiting list in patients awaiting liver transplantation","type":"article-journal","volume":"9"},"uris":["http://www.mendeley.com/documents/?uuid=31eb35d6-4b65-4a7d-b54b-8ced38e2c539","http://www.mendeley.com/documents/?uuid=225c4998-02e4-4b76-b8b3-78da81dab429"]}],"mendeley":{"formattedCitation":"&lt;sup&gt;5,6&lt;/sup&gt;","plainTextFormattedCitation":"5,6","previouslyFormattedCitation":"&lt;sup&gt;5,6&lt;/sup&gt;"},"properties":{"noteIndex":0},"schema":"https://github.com/citation-style-language/schema/raw/master/csl-citation.json"}</w:instrText>
      </w:r>
      <w:r w:rsidR="00CB6A78" w:rsidRPr="00B909F3">
        <w:rPr>
          <w:rFonts w:ascii="Book Antiqua" w:hAnsi="Book Antiqua" w:cs="Arial"/>
          <w:noProof/>
          <w:szCs w:val="24"/>
          <w:vertAlign w:val="superscript"/>
        </w:rPr>
        <w:fldChar w:fldCharType="separate"/>
      </w:r>
      <w:r w:rsidR="00CB6A78" w:rsidRPr="00B909F3">
        <w:rPr>
          <w:rFonts w:ascii="Book Antiqua" w:hAnsi="Book Antiqua" w:cs="Arial"/>
          <w:noProof/>
          <w:szCs w:val="24"/>
          <w:vertAlign w:val="superscript"/>
        </w:rPr>
        <w:t>5,6</w:t>
      </w:r>
      <w:r w:rsidR="00CB6A78" w:rsidRPr="00B909F3">
        <w:rPr>
          <w:rFonts w:ascii="Book Antiqua" w:hAnsi="Book Antiqua" w:cs="Arial"/>
          <w:noProof/>
          <w:szCs w:val="24"/>
          <w:vertAlign w:val="superscript"/>
        </w:rPr>
        <w:fldChar w:fldCharType="end"/>
      </w:r>
      <w:r w:rsidR="00CB6A78" w:rsidRPr="00B909F3">
        <w:rPr>
          <w:rFonts w:ascii="Book Antiqua" w:hAnsi="Book Antiqua" w:cs="Arial"/>
          <w:noProof/>
          <w:szCs w:val="24"/>
          <w:vertAlign w:val="superscript"/>
        </w:rPr>
        <w:t>]</w:t>
      </w:r>
      <w:r w:rsidR="00A96029" w:rsidRPr="00B909F3">
        <w:rPr>
          <w:rFonts w:ascii="Book Antiqua" w:hAnsi="Book Antiqua" w:cs="Arial"/>
          <w:szCs w:val="24"/>
        </w:rPr>
        <w:t>,</w:t>
      </w:r>
      <w:r w:rsidRPr="00B909F3">
        <w:rPr>
          <w:rFonts w:ascii="Book Antiqua" w:hAnsi="Book Antiqua" w:cs="Arial"/>
          <w:szCs w:val="24"/>
        </w:rPr>
        <w:t xml:space="preserve"> and has recently been shown to underestimate mortality risk among subgroups of “frail” patients</w:t>
      </w:r>
      <w:r w:rsidR="00CB6A78" w:rsidRPr="00B909F3">
        <w:rPr>
          <w:rFonts w:ascii="Book Antiqua" w:hAnsi="Book Antiqua" w:cs="Arial"/>
          <w:szCs w:val="24"/>
          <w:vertAlign w:val="superscript"/>
        </w:rPr>
        <w:t>[</w:t>
      </w:r>
      <w:r w:rsidR="00CB6A78" w:rsidRPr="00B909F3">
        <w:rPr>
          <w:rFonts w:ascii="Book Antiqua" w:hAnsi="Book Antiqua" w:cs="Arial"/>
          <w:szCs w:val="24"/>
          <w:vertAlign w:val="superscript"/>
        </w:rPr>
        <w:fldChar w:fldCharType="begin" w:fldLock="1"/>
      </w:r>
      <w:r w:rsidR="00CB6A78" w:rsidRPr="00B909F3">
        <w:rPr>
          <w:rFonts w:ascii="Book Antiqua" w:hAnsi="Book Antiqua" w:cs="Arial"/>
          <w:szCs w:val="24"/>
          <w:vertAlign w:val="superscript"/>
        </w:rPr>
        <w:instrText xml:space="preserve">ADDIN CSL_CITATION {"citationItems":[{"id":"ITEM-1","itemData":{"DOI":"10.1111/ajt.12762","ISSN":"1600-6143","PMID":"24935609","abstract":"We aimed to determine whether frailty, a validated geriatric construct of increased vulnerability to physiologic stressors, predicts mortality in liver transplant candidates. Consecutive adult outpatients listed for liver transplant with laboratory Model for End-Stage Liver Disease (MELD) ≥ 12 at a single center (97% recruitment rate) underwent four frailty assessments: Fried Frailty, Short Physical Performance Battery (SPPB), Activities of Daily Living (ADL) and Instrumental ADL (IADL) scales. Competing risks models associated frailty with waitlist mortality (death/delisting for being too sick for liver transplant). Two hundred ninety-four listed liver transplant patients with MELD ≥ 12, median age 60 years and MELD 15 were followed for 12 months. By Fried Frailty score ≥3, 17% were frail; 11/51 (22%) of the frail versus 25/243 (10%) of the not frail died/were delisted (p = 0.03). Each 1-unit increase in the Fried Frailty score was associated with a 45% (95% confidence interval, 4-202) increased risk of waitlist mortality adjusted for MELD. Similarly, the adjusted risk of waitlist mortality associated with each 1-unit decrease (i.e. increasing frailty) in the Short Physical Performance Battery (hazard ratio 1.19, 95% confidence interval 1.07-1.32). Frailty is prevalent in liver transplant candidates. It strongly predicts waitlist mortality, even after adjustment for liver disease severity demonstrating the applicability and importance of the frailty construct in this population.","author":[{"dropping-particle":"","family":"Lai","given":"J C","non-dropping-particle":"","parse-names":false,"suffix":""},{"dropping-particle":"","family":"Feng","given":"S","non-dropping-particle":"","parse-names":false,"suffix":""},{"dropping-particle":"","family":"Terrault","given":"N A","non-dropping-particle":"","parse-names":false,"suffix":""},{"dropping-particle":"","family":"Lizaola","given":"B","non-dropping-particle":"","parse-names":false,"suffix":""},{"dropping-particle":"","family":"Hayssen","given":"H","non-dropping-particle":"","parse-names":false,"suffix":""},{"dropping-particle":"","family":"Covinsky","given":"K","non-dropping-particle":"","parse-names":false,"suffix":""}],"container-title":"American journal of transplantation : official journal of the American Society of Transplantation and the American Society of Transplant Surgeons","id":"ITEM-1","issue":"8","issued":{"date-parts":[["2014","8"]]},"page":"1870-9","title":"Frailty predicts waitlist mortality in liver transplant candidates.","type":"article-journal","volume":"14"},"uris":["http://www.mendeley.com/documents/?uuid=1d298d7d-45ae-4007-98c5-f4b8657671c7","http://www.mendeley.com/documents/?uuid=7abc8227-6cad-48f2-8d01-d267f77daf75"]},{"id":"ITEM-2","itemData":{"DOI":"10.1111/liv.12792","ISSN":"1478-3231","PMID":"25644788","abstract":"BACKGROUND &amp; AIMS: The US liver allocation system effectively prioritizes most liver transplant candidates by disease severity as assessed by the Model for End-Stage Liver Disease (MELD) score. Yet, one in five dies on the wait-list. We aimed to determine whether clinician assessments of health status could identify this subgroup of patients at higher risk for wait-list mortality. METHODS: From 2012-2013, clinicians of all adult liver transplant candidates with laboratory MELD≥12 were asked at the clinic visit: 'How would you rate your patient's overall health today (0 = excellent, 5 = very poor)?' The odds of death/delisting for being too sick for the transplant by clinician-assessment score ≥3 vs. &lt;3 were assessed by logistic regression. RESULTS: Three hundred and forty-seven liver transplant candidates (36% female) had a mean follow-up of 13 months. Men differed from women by disease aetiology (&lt;0.01) but were similar in age and markers of liver disease severity (P &gt; 0.05). Mean clinician assessment differed between men and women (2.3 vs. 2.6; P = 0.02). The association between clinician-assessment and MELD was </w:instrText>
      </w:r>
      <w:r w:rsidR="00CB6A78" w:rsidRPr="00B909F3">
        <w:rPr>
          <w:rFonts w:ascii="Book Antiqua" w:hAnsi="Book Antiqua" w:cs="Myriad Pro Semibold"/>
          <w:szCs w:val="24"/>
          <w:vertAlign w:val="superscript"/>
        </w:rPr>
        <w:instrText>ρ</w:instrText>
      </w:r>
      <w:r w:rsidR="00CB6A78" w:rsidRPr="00B909F3">
        <w:rPr>
          <w:rFonts w:ascii="Book Antiqua" w:hAnsi="Book Antiqua" w:cs="Arial"/>
          <w:szCs w:val="24"/>
          <w:vertAlign w:val="superscript"/>
        </w:rPr>
        <w:instrText xml:space="preserve"> = 0.28 (P &lt; 0.01). 53/347 (15%) died/were delisted. In univariable analysis, a clinician-assessment score ≥ 3 was associated with increased odds of death/delisting (2.57; 95% CI 1.42-4.66). After adjustment for MELD and age, a clinician-assessment score ≥ 3 was associated with 2.25 (95% CI 1.22-4.15) times the odds of death/delisting compared to a clinician-assessment score &lt; 3. CONCLUSIONS: A standardized clinician assessment of health status can identify liver transplant candidates at high risk for wait-list mortality independent of MELD score. Objectifying this 'eyeball test' may inform interventions targeted at this vulnerable subgroup to optimize wait-list outcomes.","author":[{"dropping-particle":"","family":"Lai","given":"Jennifer C","non-dropping-particle":"","parse-names":false,"suffix":""},{"dropping-particle":"","family":"Covinsky","given":"Kenneth E","non-dropping-particle":"","parse-names":false,"suffix":""},{"dropping-particle":"","family":"Hayssen","given":"Hilary","non-dropping-particle":"","parse-names":false,"suffix":""},{"dropping-particle":"","family":"Lizaola","given":"Blanca","non-dropping-particle":"","parse-names":false,"suffix":""},{"dropping-particle":"","family":"Dodge","given":"Jennifer L","non-dropping-particle":"","parse-names":false,"suffix":""},{"dropping-particle":"","family":"Roberts","given":"John P","non-dropping-particle":"","parse-names":false,"suffix":""},{"dropping-particle":"","family":"Terrault","given":"Norah A","non-dropping-particle":"","parse-names":false,"suffix":""},{"dropping-particle":"","family":"Feng","given":"Sandy","non-dropping-particle":"","parse-names":false,"suffix":""}],"container-title":"Liver international : official journal of the International Association for the Study of the Liver","id":"ITEM-2","issued":{"date-parts":[["2015","1","28"]]},"title":"Clinician assessments of health status predict mortality in patients with end-stage liver disease awaiting liver transplantation.","type":"article-journal"},"uris":["http://www.mendeley.com/documents/?uuid=98a15b11-022b-4dc7-ae3b-45843a6aec9f","http://www.mendeley.com/documents/?uuid=5e485df0-d97b-4507-bd61-ac625f6d61ad"]},{"id":"ITEM-3","itemData":{"DOI":"10.1186/1471-230X-9-72","ISBN":"1471-230X (Electronic)\\r1471-230X (Linking)","ISSN":"1471230X","PMID":"19778459","abstract":"BACKGROUND Decompensated cirrhosis is associated with a poor prognosis and liver transplantation provides the only curative treatment option with excellent long-term results. The relative shortage of organ donors renders the allocation algorithms of organs essential. The optimal strategy based on scoring systems and/or waiting time is still under debate. METHODS Data sets of 268 consecutive patients listed for single-organ liver transplantation for nonfulminant liver disease between 2003 and 2005 were included into the study. The Model for End-Stage Liver Disease (MELD) and Child-Turcotte-Pugh (CTP) scores of all patients at the time of listing were used for calculation. The predictive ability not only for mortality on the waiting list but also for the need for withdrawal from the waiting list was calculated for both scores. The Mann-Whitney-U Test was used for the univariate analysis and the AUC-Model for discrimination of the scores. RESULTS In the univariate analysis comparing patients who are still on the waiting list and patients who died or were removed from the waiting list due to poor conditions, the serum albumin, bilirubin INR, and CTP and MELD scores as well as the presence of ascites and encephalopathy were significantly different between the groups (p &lt; 0.05), whereas serum creatinine and urea showed no difference. Comparing the predictive abilities of CTP and MELD scores, the best discrimination between patients still alive on the waiting list and patients who died on or were removed from the waiting list was achieved at a CTP score of &gt;or=9 and a MELD score of &gt;or=14.4. The sensitivity and specificity to identify mortality or severe deterioration for CTP was 69.0% and 70.5%, respectively; for MELD, it was 62.1% and 72.7%, respectively. This result was supported by the AUC analysis showing a strong trend for superiority of CTP over MELD scores (AUROC 0.73 and 0.68, resp.; p = 0.091). CONCLUSION The long term prediction of mortality or removal from waiting list in patients awaiting liver transplantation might be better assessed by the CTP score than the MELD score. This might have implications for the development of new improved scoring systems.","author":[{"dropping-particle":"","family":"Gotthardt","given":"Daniel","non-dropping-particle":"","parse-names":false,"suffix":""},{"dropping-particle":"","family":"Weiss","given":"Karl H.","non-dropping-particle":"","parse-names":false,"suffix":""},{"dropping-particle":"","family":"Baumgärtner","given":"Melanie","non-dropping-particle":"","parse-names":false,"suffix":""},{"dropping-particle":"","family":"Zahn","given":"Alexandra","non-dropping-particle":"","parse-names":false,"suffix":""},{"dropping-particle":"","family":"Stremmel","given":"Wolfgang","non-dropping-particle":"","parse-names":false,"suffix":""},{"dropping-particle":"","family":"Schmidt","given":"Jan","non-dropping-particle":"","parse-names":false,"suffix":""},{"dropping-particle":"","family":"Bruckner","given":"Thomas","non-dropping-particle":"","parse-names":false,"suffix":""},{"dropping-particle":"","family":"Sauer","given":"Peter","non-dropping-particle":"","parse-names":false,"suffix":""}],"container-title":"BMC Gastroenterology","id":"ITEM-3","issue":"1","issued":{"date-parts":[["2009","1"]]},"language":"en","note":"From Duplicate 2 (Limitations of the MELD score in predicting mortality or need for removal from waiting list in patients awaiting liver transplantation - Gotthardt, D; Weiss, K H; Baumgartner, M; Zahn, A; Stremmel, W; Schmidt, J; Bruckner, T; Sauer, P)\n\nJID: 100968547; 0 (Serum Albumin); 60-27-5 (Creatinine); 635-65-4 (Bilirubin); OID: NLM: PMC2760571; 2009/04/30 [received]; 2009/09/25 [accepted]; 2009/09/25 [aheadofprint]; epublish","page":"72","publisher":"BioMed Central","title":"Limitations of the MELD score in predicting mortality or need for removal from waiting list in patients awaiting liver transplantation","type":"article-journal","volume":"9"},"uris":["http://www.mendeley.com/documents/?uuid=225c4998-02e4-4b76-b8b3-78da81dab429","http://www.mendeley.com/documents/?uuid=31eb35d6-4b65-4a7d-b54b-8ced38e2c539"]}],"mendeley":{"formattedCitation":"&lt;sup&gt;6–8&lt;/sup&gt;","plainTextFormattedCitation":"6–8","previouslyFormattedCitation":"&lt;sup&gt;6–8&lt;/sup&gt;"},"properties":{"noteIndex":0},"schema":"https://github.com/citation-style-language/schema/raw/master/csl-citation.json"}</w:instrText>
      </w:r>
      <w:r w:rsidR="00CB6A78" w:rsidRPr="00B909F3">
        <w:rPr>
          <w:rFonts w:ascii="Book Antiqua" w:hAnsi="Book Antiqua" w:cs="Arial"/>
          <w:szCs w:val="24"/>
          <w:vertAlign w:val="superscript"/>
        </w:rPr>
        <w:fldChar w:fldCharType="separate"/>
      </w:r>
      <w:r w:rsidR="00CB6A78" w:rsidRPr="00B909F3">
        <w:rPr>
          <w:rFonts w:ascii="Book Antiqua" w:hAnsi="Book Antiqua" w:cs="Arial"/>
          <w:noProof/>
          <w:szCs w:val="24"/>
          <w:vertAlign w:val="superscript"/>
        </w:rPr>
        <w:t>6-8</w:t>
      </w:r>
      <w:r w:rsidR="00CB6A78" w:rsidRPr="00B909F3">
        <w:rPr>
          <w:rFonts w:ascii="Book Antiqua" w:hAnsi="Book Antiqua" w:cs="Arial"/>
          <w:szCs w:val="24"/>
          <w:vertAlign w:val="superscript"/>
        </w:rPr>
        <w:fldChar w:fldCharType="end"/>
      </w:r>
      <w:r w:rsidR="00CB6A78" w:rsidRPr="00B909F3">
        <w:rPr>
          <w:rFonts w:ascii="Book Antiqua" w:hAnsi="Book Antiqua" w:cs="Arial"/>
          <w:szCs w:val="24"/>
          <w:vertAlign w:val="superscript"/>
        </w:rPr>
        <w:t>]</w:t>
      </w:r>
      <w:r w:rsidR="00A96029" w:rsidRPr="00B909F3">
        <w:rPr>
          <w:rFonts w:ascii="Book Antiqua" w:hAnsi="Book Antiqua" w:cs="Arial"/>
          <w:szCs w:val="24"/>
        </w:rPr>
        <w:t>.</w:t>
      </w:r>
    </w:p>
    <w:p w14:paraId="31464BCC" w14:textId="77777777" w:rsidR="00396947" w:rsidRPr="00B909F3" w:rsidRDefault="003C47B8"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Frailty is increasingly recognized as an important predictor of outcomes after major surgical procedures including liver transplantation</w:t>
      </w:r>
      <w:r w:rsidR="00CB6A78" w:rsidRPr="00B909F3">
        <w:rPr>
          <w:rFonts w:ascii="Book Antiqua" w:hAnsi="Book Antiqua" w:cs="Arial"/>
          <w:szCs w:val="24"/>
          <w:vertAlign w:val="superscript"/>
        </w:rPr>
        <w:t>[</w:t>
      </w:r>
      <w:r w:rsidR="00CB6A78" w:rsidRPr="00B909F3">
        <w:rPr>
          <w:rFonts w:ascii="Book Antiqua" w:hAnsi="Book Antiqua" w:cs="Arial"/>
          <w:szCs w:val="24"/>
          <w:vertAlign w:val="superscript"/>
        </w:rPr>
        <w:fldChar w:fldCharType="begin" w:fldLock="1"/>
      </w:r>
      <w:r w:rsidR="00CB6A78" w:rsidRPr="00B909F3">
        <w:rPr>
          <w:rFonts w:ascii="Book Antiqua" w:hAnsi="Book Antiqua" w:cs="Arial"/>
          <w:szCs w:val="24"/>
          <w:vertAlign w:val="superscript"/>
        </w:rPr>
        <w:instrText>ADDIN CSL_CITATION {"citationItems":[{"id":"ITEM-1","itemData":{"DOI":"10.1111/anae.12490","ISSN":"1365-2044","PMID":"24303858","abstract":"For most surgeons and many anaesthetists, patient frailty is currently the 'elephant in the (operating) room': it is easy to spot, but is often ignored. In this paper, we discuss different approaches to the measurement of frailty and review the evidence regarding the effect of frailty on peri-operative outcomes. We explore the limitations of 'eyeballing' patients to quantify frailty, and consider why the frail older patient, challenged by seemingly minor insults in the postoperative period, may suffer falls or delirium. Frailty represents a state of increased vulnerability to stressors, and older inpatients are exposed to multiple stressors in the peri-operative setting. Quantifying frailty is likely to increase the precision of peri-operative risk assessment. The Frailty Index derived from Comprehensive Geriatric Assessment is a simple and robust way to quantify frailty, but is yet to be systematically investigated in the pre-operative setting. Furthermore, the optimal care for frail patients and the reversibility of frailty with prehabilitation are fertile areas for future research.","author":[{"dropping-particle":"","family":"Hubbard","given":"R E","non-dropping-particle":"","parse-names":false,"suffix":""},{"dropping-particle":"","family":"Story","given":"D A","non-dropping-particle":"","parse-names":false,"suffix":""}],"container-title":"Anaesthesia","id":"ITEM-1","issued":{"date-parts":[["2014","1"]]},"page":"26-34","title":"Patient frailty: the elephant in the operating room.","type":"article-journal","volume":"69 Suppl 1"},"uris":["http://www.mendeley.com/documents/?uuid=714aa196-d6b4-41fd-81b9-558d96a1cca3","http://www.mendeley.com/documents/?uuid=556478a4-ff8b-49f0-9032-903128314277"]},{"id":"ITEM-2","itemData":{"DOI":"10.1001/jamasurg.2015.5085","ISSN":"2168-6262","PMID":"26791334","abstract":"Importance: Single-center studies identify frailty as a risk factor for 30-day postoperative mortality. The long-term and population-level effect of frailty on postoperative mortality is, to our knowledge, poorly described, as are the interactions of frailty with important predictors of mortality. Objective: To measure the population-level effect of patient frailty on, and its association with, 1-year postoperative mortality. Design, Setting, and Participants: Population-based retrospective cohort study in Ontario, Canada, with data collected between April 1, 2002 and March 31, 2012. Analysis was performed from December 2014 to March 2015. All patients were community-dwelling individuals aged 65 years or older on the day of elective, major noncardiac surgery. Exposure: Frailty, as defined by the Johns Hopkins Adjusted Clinical Groups (ACG) frailty-defining diagnoses indicator. The ACG frailty-defining diagnoses indicator is a binary variable that uses 12 clusters of frailty-defining diagnoses. Main Outcomes and Measures: One-year all-cause postoperative mortality. Results: Of 202 811 patients, 6289 (3.1%) were frail (mean [SD] age, 77 [7] years). Within 1 year, 13.6% (n = 855) of frail and 4.8% (n = 9433) of nonfrail patients died. Adjustment for sociodemographic and surgical confounders resulted in a hazard ratio of 2.23 (95% CI, 2.08-2.40). The interaction between frailty and postoperative time demonstrated an increased relative hazard for death in frail patients (hazard ratio, 35.58; 95% CI, 29.78-40.19) on postoperative day 3. The association between frailty and increased risk of death decreased with patient age (HR, 2.66; 95% CI, 2.28-3.10 at age 65; HR, 1.63; 95% CI, 1.36-1.95 at age 90). Significant variations in the increased risk for death in frail patients existed between different surgery types and was strongest after total joint arthroplasty (HR, 3.79; 95% CI, 3.21-4.47 for hip replacement; HR, 2.68; 95% CI, 2.10-3.42 for knee replacement). Conclusions and Relevance: At a population level, preoperative frailty-defining diagnoses were associated with a significantly increased risk of 1-year mortality that was particularly notable in the early postoperative period, in younger patients, and after joint arthroplasty.","author":[{"dropping-particle":"","family":"McIsaac","given":"Daniel I","non-dropping-particle":"","parse-names":false,"suffix":""},{"dropping-particle":"","family":"Bryson","given":"Gregory L","non-dropping-particle":"","parse-names":false,"suffix":""},{"dropping-particle":"","family":"Walraven","given":"Carl","non-dropping-particle":"van","parse-names":false,"suffix":""}],"container-title":"JAMA surgery","id":"ITEM-2","issued":{"date-parts":[["2016","1","20"]]},"title":"Association of Frailty and 1-Year Postoperative Mortality Following Major Elective Noncardiac Surgery: A Population-Based Cohort Study.","type":"article-journal"},"uris":["http://www.mendeley.com/documents/?uuid=5d6ac920-01d6-4c2f-bfb3-3811f159fedc","http://www.mendeley.com/documents/?uuid=e51f2aa0-5d23-425a-9300-2fa22dae8960"]},{"id":"ITEM-3","itemData":{"DOI":"10.1097/01.tp.0000235516.99977.95","ISBN":"0041-1337; 0041-1337","ISSN":"00411337","PMID":"17038904","abstract":"Background. Current statistical prognostic models for mortality after liver transplantation do not have good discriminatory ability. Furthermore, the methodology used to develop these models is often flawed. The objective of this paper is to develop a prognostic model for 90-day mortality after liver transplantation based on pretransplant recipient factors, employing a rigorous model development method.Methods. We used data on 4,829 patient that were prospectively collected for the UK &amp; Ireland Liver Transplant Audit. Switching regression was employed to impute missing values combined with a bootstrapping approach for variable selection.Results. In all, 452 patients (9.4%) died within 90 days of their transplantation. The final prognostic model was well calibrated and discriminated moderately well between patients who did and who did not die (c-statistic 0.65, 95% CI [0.63, 0.68]). Although discrimination was not excellent overall, the results showed that those patients with a \"low\" chance of dying within 90 days of their transplant and those with a \"high\" chance of dying could be differentiated from patients with a \"intermediate\" chance.Conclusions. Our model can provide transplant candidates with predictions of their early posttransplantation prospects before any donor information is known, which is essential information for patients with end-stage liver disease for whom liver transplantation is a treatment option.","author":[{"dropping-particle":"","family":"Lewsey","given":"James D.","non-dropping-particle":"","parse-names":false,"suffix":""},{"dropping-particle":"","family":"Dawwas","given":"Muhammad","non-dropping-particle":"","parse-names":false,"suffix":""},{"dropping-particle":"","family":"Copley","given":"Lynn P.","non-dropping-particle":"","parse-names":false,"suffix":""},{"dropping-particle":"","family":"Gimson","given":"Alexander","non-dropping-particle":"","parse-names":false,"suffix":""},{"dropping-particle":"","family":"Meulen","given":"Jan H P","non-dropping-particle":"Van Der","parse-names":false,"suffix":""}],"container-title":"Transplantation","id":"ITEM-3","issue":"7","issued":{"date-parts":[["2006","10"]]},"note":"LR: 20070613; JID: 0132144; CIN: Liver Transpl. 2007 Apr;13(4):619-21. PMID: 17494127; ppublish","page":"898-907","title":"Developing a prognostic model for 90-day mortality after liver transplantation based on pretransplant recipient factors","type":"article-journal","volume":"82"},"uris":["http://www.mendeley.com/documents/?uuid=5e818118-f6fd-4187-859d-20a2cd603ac6","http://www.mendeley.com/documents/?uuid=c354837d-9d1f-46ea-8517-bf0c3cc1bd06"]}],"mendeley":{"formattedCitation":"&lt;sup&gt;9–11&lt;/sup&gt;","plainTextFormattedCitation":"9–11","previouslyFormattedCitation":"&lt;sup&gt;9–11&lt;/sup&gt;"},"properties":{"noteIndex":0},"schema":"https://github.com/citation-style-language/schema/raw/master/csl-citation.json"}</w:instrText>
      </w:r>
      <w:r w:rsidR="00CB6A78" w:rsidRPr="00B909F3">
        <w:rPr>
          <w:rFonts w:ascii="Book Antiqua" w:hAnsi="Book Antiqua" w:cs="Arial"/>
          <w:szCs w:val="24"/>
          <w:vertAlign w:val="superscript"/>
        </w:rPr>
        <w:fldChar w:fldCharType="separate"/>
      </w:r>
      <w:r w:rsidR="00CB6A78" w:rsidRPr="00B909F3">
        <w:rPr>
          <w:rFonts w:ascii="Book Antiqua" w:hAnsi="Book Antiqua" w:cs="Arial"/>
          <w:noProof/>
          <w:szCs w:val="24"/>
          <w:vertAlign w:val="superscript"/>
        </w:rPr>
        <w:t>9-11</w:t>
      </w:r>
      <w:r w:rsidR="00CB6A78" w:rsidRPr="00B909F3">
        <w:rPr>
          <w:rFonts w:ascii="Book Antiqua" w:hAnsi="Book Antiqua" w:cs="Arial"/>
          <w:szCs w:val="24"/>
          <w:vertAlign w:val="superscript"/>
        </w:rPr>
        <w:fldChar w:fldCharType="end"/>
      </w:r>
      <w:r w:rsidR="00CB6A78" w:rsidRPr="00B909F3">
        <w:rPr>
          <w:rFonts w:ascii="Book Antiqua" w:hAnsi="Book Antiqua" w:cs="Arial"/>
          <w:szCs w:val="24"/>
          <w:vertAlign w:val="superscript"/>
        </w:rPr>
        <w:t>]</w:t>
      </w:r>
      <w:r w:rsidR="00A96029" w:rsidRPr="00B909F3">
        <w:rPr>
          <w:rFonts w:ascii="Book Antiqua" w:hAnsi="Book Antiqua" w:cs="Arial"/>
          <w:szCs w:val="24"/>
        </w:rPr>
        <w:t>.</w:t>
      </w:r>
      <w:r w:rsidRPr="00B909F3">
        <w:rPr>
          <w:rFonts w:ascii="Book Antiqua" w:hAnsi="Book Antiqua" w:cs="Arial"/>
          <w:szCs w:val="24"/>
        </w:rPr>
        <w:t xml:space="preserve"> </w:t>
      </w:r>
      <w:r w:rsidR="00AE2710" w:rsidRPr="00B909F3">
        <w:rPr>
          <w:rFonts w:ascii="Book Antiqua" w:hAnsi="Book Antiqua" w:cs="Arial"/>
          <w:szCs w:val="24"/>
        </w:rPr>
        <w:t xml:space="preserve">Frailty syndrome is defined by a cluster of signs and symptoms </w:t>
      </w:r>
      <w:r w:rsidRPr="00B909F3">
        <w:rPr>
          <w:rFonts w:ascii="Book Antiqua" w:hAnsi="Book Antiqua" w:cs="Arial"/>
          <w:szCs w:val="24"/>
        </w:rPr>
        <w:t>that are</w:t>
      </w:r>
      <w:r w:rsidR="00AE2710" w:rsidRPr="00B909F3">
        <w:rPr>
          <w:rFonts w:ascii="Book Antiqua" w:hAnsi="Book Antiqua" w:cs="Arial"/>
          <w:noProof/>
          <w:szCs w:val="24"/>
        </w:rPr>
        <w:t xml:space="preserve"> hallmark</w:t>
      </w:r>
      <w:r w:rsidR="00AE2710" w:rsidRPr="00B909F3">
        <w:rPr>
          <w:rFonts w:ascii="Book Antiqua" w:hAnsi="Book Antiqua" w:cs="Arial"/>
          <w:szCs w:val="24"/>
        </w:rPr>
        <w:t xml:space="preserve"> sequelae of liver disease</w:t>
      </w:r>
      <w:r w:rsidRPr="00B909F3">
        <w:rPr>
          <w:rFonts w:ascii="Book Antiqua" w:hAnsi="Book Antiqua" w:cs="Arial"/>
          <w:szCs w:val="24"/>
        </w:rPr>
        <w:t xml:space="preserve">, </w:t>
      </w:r>
      <w:r w:rsidR="00AE2710" w:rsidRPr="00B909F3">
        <w:rPr>
          <w:rFonts w:ascii="Book Antiqua" w:hAnsi="Book Antiqua" w:cs="Arial"/>
          <w:szCs w:val="24"/>
        </w:rPr>
        <w:t>malnutrition, sarcopenia, functional impairment/disability</w:t>
      </w:r>
      <w:r w:rsidRPr="00B909F3">
        <w:rPr>
          <w:rFonts w:ascii="Book Antiqua" w:hAnsi="Book Antiqua" w:cs="Arial"/>
          <w:szCs w:val="24"/>
        </w:rPr>
        <w:t>, which</w:t>
      </w:r>
      <w:r w:rsidR="00AE2710" w:rsidRPr="00B909F3">
        <w:rPr>
          <w:rFonts w:ascii="Book Antiqua" w:hAnsi="Book Antiqua" w:cs="Arial"/>
          <w:szCs w:val="24"/>
        </w:rPr>
        <w:t xml:space="preserve"> ultimately</w:t>
      </w:r>
      <w:r w:rsidRPr="00B909F3">
        <w:rPr>
          <w:rFonts w:ascii="Book Antiqua" w:hAnsi="Book Antiqua" w:cs="Arial"/>
          <w:szCs w:val="24"/>
        </w:rPr>
        <w:t xml:space="preserve"> lead to</w:t>
      </w:r>
      <w:r w:rsidR="00AE2710" w:rsidRPr="00B909F3">
        <w:rPr>
          <w:rFonts w:ascii="Book Antiqua" w:hAnsi="Book Antiqua" w:cs="Arial"/>
          <w:szCs w:val="24"/>
        </w:rPr>
        <w:t xml:space="preserve"> increased vulnerability to stressors due to depleted physiologic reserve</w:t>
      </w:r>
      <w:r w:rsidR="00396947" w:rsidRPr="00B909F3">
        <w:rPr>
          <w:rFonts w:ascii="Book Antiqua" w:hAnsi="Book Antiqua" w:cs="Arial"/>
          <w:szCs w:val="24"/>
          <w:vertAlign w:val="superscript"/>
        </w:rPr>
        <w:t>[</w:t>
      </w:r>
      <w:r w:rsidR="00396947" w:rsidRPr="00B909F3">
        <w:rPr>
          <w:rFonts w:ascii="Book Antiqua" w:hAnsi="Book Antiqua" w:cs="Arial"/>
          <w:szCs w:val="24"/>
          <w:vertAlign w:val="superscript"/>
        </w:rPr>
        <w:fldChar w:fldCharType="begin" w:fldLock="1"/>
      </w:r>
      <w:r w:rsidR="00396947" w:rsidRPr="00B909F3">
        <w:rPr>
          <w:rFonts w:ascii="Book Antiqua" w:hAnsi="Book Antiqua" w:cs="Arial"/>
          <w:szCs w:val="24"/>
          <w:vertAlign w:val="superscript"/>
        </w:rPr>
        <w:instrText>ADDIN CSL_CITATION {"citationItems":[{"id":"ITEM-1","itemData":{"DOI":"10.1093/gerona/56.3.M146","ISBN":"1079-5006 (Print)\\r1079-5006","ISSN":"08130531","PMID":"11253156","abstract":"Objective The tendency for people to present a favourable image of themselves on questionnaires is called socially desirable responding (SDR). SDR confounds research results by creating false relationships or obscuring relationships between variables. Social desirability (SD) scales can be used to detect, minimise, and correct for SDR in order to improve the validity of questionnaire</w:instrText>
      </w:r>
      <w:r w:rsidR="00396947" w:rsidRPr="00B909F3">
        <w:rPr>
          <w:szCs w:val="24"/>
          <w:vertAlign w:val="superscript"/>
        </w:rPr>
        <w:instrText>‑</w:instrText>
      </w:r>
      <w:r w:rsidR="00396947" w:rsidRPr="00B909F3">
        <w:rPr>
          <w:rFonts w:ascii="Book Antiqua" w:hAnsi="Book Antiqua" w:cs="Arial"/>
          <w:szCs w:val="24"/>
          <w:vertAlign w:val="superscript"/>
        </w:rPr>
        <w:instrText xml:space="preserve"> based research. The aim of this review was to determine the proportion of health</w:instrText>
      </w:r>
      <w:r w:rsidR="00396947" w:rsidRPr="00B909F3">
        <w:rPr>
          <w:szCs w:val="24"/>
          <w:vertAlign w:val="superscript"/>
        </w:rPr>
        <w:instrText>‑</w:instrText>
      </w:r>
      <w:r w:rsidR="00396947" w:rsidRPr="00B909F3">
        <w:rPr>
          <w:rFonts w:ascii="Book Antiqua" w:hAnsi="Book Antiqua" w:cs="Arial"/>
          <w:szCs w:val="24"/>
          <w:vertAlign w:val="superscript"/>
        </w:rPr>
        <w:instrText>related studies that used questionnaires and used SD scales and estimate the proportion that were potentially affected by SDR. Methods Questionnaire</w:instrText>
      </w:r>
      <w:r w:rsidR="00396947" w:rsidRPr="00B909F3">
        <w:rPr>
          <w:szCs w:val="24"/>
          <w:vertAlign w:val="superscript"/>
        </w:rPr>
        <w:instrText>‑</w:instrText>
      </w:r>
      <w:r w:rsidR="00396947" w:rsidRPr="00B909F3">
        <w:rPr>
          <w:rFonts w:ascii="Book Antiqua" w:hAnsi="Book Antiqua" w:cs="Arial"/>
          <w:szCs w:val="24"/>
          <w:vertAlign w:val="superscript"/>
        </w:rPr>
        <w:instrText>based research studies listed on CINAHL in 2004</w:instrText>
      </w:r>
      <w:r w:rsidR="00396947" w:rsidRPr="00B909F3">
        <w:rPr>
          <w:szCs w:val="24"/>
          <w:vertAlign w:val="superscript"/>
        </w:rPr>
        <w:instrText>‑</w:instrText>
      </w:r>
      <w:r w:rsidR="00396947" w:rsidRPr="00B909F3">
        <w:rPr>
          <w:rFonts w:ascii="Book Antiqua" w:hAnsi="Book Antiqua" w:cs="Arial"/>
          <w:szCs w:val="24"/>
          <w:vertAlign w:val="superscript"/>
        </w:rPr>
        <w:instrText>2005 were reviewed. The proportion of studies that . The SDR on study outcomes and the proportion of studies that used statistical methods to control for social desirability response bias are reported. Results Fourteen eligible . Only . 2% (31) used an . Of , 43% results . A further 10% controlled for SDR bias when analysing the data . The outcomes in 45% of studies that . Conclusions While few studies used an SD scale to detect or control for SD bias , almost half of those that used an SD scale found . Recommendations Researchers using questionnaires containing socially sensitive items should consider the impact of SDR on the validity of their research and use an SD scale to detect and control for SD bias .","author":[{"dropping-particle":"","family":"Mortel","given":"Thea F.","non-dropping-particle":"van de","parse-names":false,"suffix":""}],"container-title":"Australian Journal of Advanced Nursing","id":"ITEM-1","issue":"4","issued":{"date-parts":[["2008","3"]]},"note":"frailty syndrome - conceptual diagram","page":"40-48","title":"Faking it: Social desirability response bias in selfreport research","type":"article-journal","volume":"25"},"uris":["http://www.mendeley.com/documents/?uuid=26160440-9617-487f-8664-b0cdf91ec608","http://www.mendeley.com/documents/?uuid=ab5f7de8-75d1-444b-a36a-97c561023bb7"]}],"mendeley":{"formattedCitation":"&lt;sup&gt;12&lt;/sup&gt;","plainTextFormattedCitation":"12","previouslyFormattedCitation":"&lt;sup&gt;12&lt;/sup&gt;"},"properties":{"noteIndex":0},"schema":"https://github.com/citation-style-language/schema/raw/master/csl-citation.json"}</w:instrText>
      </w:r>
      <w:r w:rsidR="00396947" w:rsidRPr="00B909F3">
        <w:rPr>
          <w:rFonts w:ascii="Book Antiqua" w:hAnsi="Book Antiqua" w:cs="Arial"/>
          <w:szCs w:val="24"/>
          <w:vertAlign w:val="superscript"/>
        </w:rPr>
        <w:fldChar w:fldCharType="separate"/>
      </w:r>
      <w:r w:rsidR="00396947" w:rsidRPr="00B909F3">
        <w:rPr>
          <w:rFonts w:ascii="Book Antiqua" w:hAnsi="Book Antiqua" w:cs="Arial"/>
          <w:noProof/>
          <w:szCs w:val="24"/>
          <w:vertAlign w:val="superscript"/>
        </w:rPr>
        <w:t>12</w:t>
      </w:r>
      <w:r w:rsidR="00396947" w:rsidRPr="00B909F3">
        <w:rPr>
          <w:rFonts w:ascii="Book Antiqua" w:hAnsi="Book Antiqua" w:cs="Arial"/>
          <w:szCs w:val="24"/>
          <w:vertAlign w:val="superscript"/>
        </w:rPr>
        <w:fldChar w:fldCharType="end"/>
      </w:r>
      <w:r w:rsidR="00396947" w:rsidRPr="00B909F3">
        <w:rPr>
          <w:rFonts w:ascii="Book Antiqua" w:hAnsi="Book Antiqua" w:cs="Arial"/>
          <w:szCs w:val="24"/>
          <w:vertAlign w:val="superscript"/>
        </w:rPr>
        <w:t>]</w:t>
      </w:r>
      <w:r w:rsidR="00A96029" w:rsidRPr="00B909F3">
        <w:rPr>
          <w:rFonts w:ascii="Book Antiqua" w:hAnsi="Book Antiqua" w:cs="Arial"/>
          <w:szCs w:val="24"/>
        </w:rPr>
        <w:t>.</w:t>
      </w:r>
      <w:r w:rsidR="00AE2710" w:rsidRPr="00B909F3">
        <w:rPr>
          <w:rFonts w:ascii="Book Antiqua" w:hAnsi="Book Antiqua" w:cs="Arial"/>
          <w:szCs w:val="24"/>
        </w:rPr>
        <w:t xml:space="preserve"> However, there is no gold standard measure of frailty</w:t>
      </w:r>
      <w:r w:rsidR="00396947" w:rsidRPr="00B909F3">
        <w:rPr>
          <w:rFonts w:ascii="Book Antiqua" w:hAnsi="Book Antiqua" w:cs="Arial"/>
          <w:szCs w:val="24"/>
          <w:vertAlign w:val="superscript"/>
        </w:rPr>
        <w:t>[</w:t>
      </w:r>
      <w:r w:rsidR="00396947" w:rsidRPr="00B909F3">
        <w:rPr>
          <w:rFonts w:ascii="Book Antiqua" w:hAnsi="Book Antiqua" w:cs="Arial"/>
          <w:szCs w:val="24"/>
          <w:vertAlign w:val="superscript"/>
        </w:rPr>
        <w:fldChar w:fldCharType="begin" w:fldLock="1"/>
      </w:r>
      <w:r w:rsidR="00396947" w:rsidRPr="00B909F3">
        <w:rPr>
          <w:rFonts w:ascii="Book Antiqua" w:hAnsi="Book Antiqua" w:cs="Arial"/>
          <w:szCs w:val="24"/>
          <w:vertAlign w:val="superscript"/>
        </w:rPr>
        <w:instrText>ADDIN CSL_CITATION {"citationItems":[{"id":"ITEM-1","itemData":{"DOI":"10.1111/jgs.12420","ISSN":"1532-5415","PMID":"24028357","abstract":"OBJECTIVES: To operationalize frailty using eight scales and to compare their content validity, feasibility, prevalence estimates of frailty, and ability to predict all-cause mortality. DESIGN: Secondary analysis of the Survey of Health, Ageing and Retirement in Europe (SHARE). SETTING: Eleven European countries. PARTICIPANTS: Individuals aged 50 to 104 (mean age 65.3 ± 10.5, 54.8% female, N = 27,527). MEASUREMENTS: Frailty was operationalized using SHARE data based on the Groningen Frailty Indicator, the Tilburg Frailty Indicator, a 70-item Frailty Index (FI), a 44-item FI based on a Comprehensive Geriatric Assessment (FI-CGA), the Clinical Frailty Scale, frailty phenotype (weighted and unweighted versions), the Edmonton Frail Scale, and the FRAIL scale. RESULTS: All scales had fewer than 6% of cases with at least one missing item, except the SHARE-frailty phenotype (11.1%) and the SHARE-Tilburg (12.2%). In the SHARE-Groningen, SHARE-Tilburg, SHARE-frailty phenotype, and SHARE-FRAIL scales, death rates were 3 to 5 times as high in excluded cases as in included ones. Frailty prevalence estimates ranged from 6% (SHARE-FRAIL) to 44% (SHARE-Groningen). All scales categorized 2.4% of participants as frail. Of unweighted scales, the SHARE-FI and SHARE-Edmonton scales most accurately predicted mortality at 2 (SHARE-FI area under the receiver operating characteristic curve (AUC) = 0.77, 95% confidence interval (CI) = 0.75-0.79); SHARE-Edmonton AUC = 0.76, 95% CI = 0.74-0.79) and 5 (both AUC = 0.75, 95% CI = 0.74-0.77) years. The continuous score of the weighted SHARE-frailty phenotype (AUC = 0.77, 95% CI = 0.75-0.78) predicted 5-year mortality better than the unweighted SHARE-frailty phenotype (AUC = 0.70, 95% CI = 0.68-0.71), but the categorical score of the weighted SHARE-frailty phenotype did not (AUC = 0.70, 95% CI = 0.68-0.72). CONCLUSION: Substantive differences exist between scales in their content validity, feasibility, and ability to predict all-cause mortality. These frailty scales capture related but distinct groups. Weighting items in frailty scales can improve their predictive ability, but the trade-off between specificity, predictive power, and generalizability requires additional evaluation.","author":[{"dropping-particle":"","family":"Theou","given":"Olga","non-dropping-particle":"","parse-names":false,"suffix":""},{"dropping-particle":"","family":"Brothers","given":"Thomas D","non-dropping-particle":"","parse-names":false,"suffix":""},{"dropping-particle":"","family":"Mitnitski","given":"Arnold","non-dropping-particle":"","parse-names":false,"suffix":""},{"dropping-particle":"","family":"Rockwood","given":"Kenneth","non-dropping-particle":"","parse-names":false,"suffix":""}],"container-title":"Journal of the American Geriatrics Society","id":"ITEM-1","issue":"9","issued":{"date-parts":[["2013","9"]]},"note":"No gold-standard frailty tool","page":"1537-51","title":"Operationalization of frailty using eight commonly used scales and comparison of their ability to predict all-cause mortality.","type":"article-journal","volume":"61"},"uris":["http://www.mendeley.com/documents/?uuid=d6aa5885-eb62-4101-a6e3-949e03135f11","http://www.mendeley.com/documents/?uuid=4ce74615-9d12-4d16-b2c5-efd7484f4ef7"]}],"mendeley":{"formattedCitation":"&lt;sup&gt;13&lt;/sup&gt;","plainTextFormattedCitation":"13","previouslyFormattedCitation":"&lt;sup&gt;13&lt;/sup&gt;"},"properties":{"noteIndex":0},"schema":"https://github.com/citation-style-language/schema/raw/master/csl-citation.json"}</w:instrText>
      </w:r>
      <w:r w:rsidR="00396947" w:rsidRPr="00B909F3">
        <w:rPr>
          <w:rFonts w:ascii="Book Antiqua" w:hAnsi="Book Antiqua" w:cs="Arial"/>
          <w:szCs w:val="24"/>
          <w:vertAlign w:val="superscript"/>
        </w:rPr>
        <w:fldChar w:fldCharType="separate"/>
      </w:r>
      <w:r w:rsidR="00396947" w:rsidRPr="00B909F3">
        <w:rPr>
          <w:rFonts w:ascii="Book Antiqua" w:hAnsi="Book Antiqua" w:cs="Arial"/>
          <w:noProof/>
          <w:szCs w:val="24"/>
          <w:vertAlign w:val="superscript"/>
        </w:rPr>
        <w:t>13</w:t>
      </w:r>
      <w:r w:rsidR="00396947" w:rsidRPr="00B909F3">
        <w:rPr>
          <w:rFonts w:ascii="Book Antiqua" w:hAnsi="Book Antiqua" w:cs="Arial"/>
          <w:szCs w:val="24"/>
          <w:vertAlign w:val="superscript"/>
        </w:rPr>
        <w:fldChar w:fldCharType="end"/>
      </w:r>
      <w:r w:rsidR="00396947" w:rsidRPr="00B909F3">
        <w:rPr>
          <w:rFonts w:ascii="Book Antiqua" w:hAnsi="Book Antiqua" w:cs="Arial"/>
          <w:szCs w:val="24"/>
          <w:vertAlign w:val="superscript"/>
        </w:rPr>
        <w:t>]</w:t>
      </w:r>
      <w:r w:rsidR="00A96029" w:rsidRPr="00B909F3">
        <w:rPr>
          <w:rFonts w:ascii="Book Antiqua" w:hAnsi="Book Antiqua" w:cs="Arial"/>
          <w:szCs w:val="24"/>
        </w:rPr>
        <w:t>.</w:t>
      </w:r>
      <w:r w:rsidR="00AE2710" w:rsidRPr="00B909F3">
        <w:rPr>
          <w:rFonts w:ascii="Book Antiqua" w:hAnsi="Book Antiqua" w:cs="Arial"/>
          <w:szCs w:val="24"/>
        </w:rPr>
        <w:t xml:space="preserve"> </w:t>
      </w:r>
    </w:p>
    <w:p w14:paraId="2415BFE3" w14:textId="77777777" w:rsidR="00396947" w:rsidRPr="00B909F3" w:rsidRDefault="00BC5832"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L</w:t>
      </w:r>
      <w:r w:rsidR="00AE2710" w:rsidRPr="00B909F3">
        <w:rPr>
          <w:rFonts w:ascii="Book Antiqua" w:hAnsi="Book Antiqua" w:cs="Arial"/>
          <w:szCs w:val="24"/>
        </w:rPr>
        <w:t>iver and lung transplant centers</w:t>
      </w:r>
      <w:r w:rsidRPr="00B909F3">
        <w:rPr>
          <w:rFonts w:ascii="Book Antiqua" w:hAnsi="Book Antiqua" w:cs="Arial"/>
          <w:szCs w:val="24"/>
        </w:rPr>
        <w:t xml:space="preserve"> in the </w:t>
      </w:r>
      <w:r w:rsidR="00396947" w:rsidRPr="00B909F3">
        <w:rPr>
          <w:rFonts w:ascii="Book Antiqua" w:hAnsi="Book Antiqua" w:cs="Arial"/>
          <w:szCs w:val="24"/>
        </w:rPr>
        <w:t>United States</w:t>
      </w:r>
      <w:r w:rsidR="00AE2710" w:rsidRPr="00B909F3">
        <w:rPr>
          <w:rFonts w:ascii="Book Antiqua" w:hAnsi="Book Antiqua" w:cs="Arial"/>
          <w:szCs w:val="24"/>
        </w:rPr>
        <w:t xml:space="preserve"> are mandated to submit </w:t>
      </w:r>
      <w:proofErr w:type="spellStart"/>
      <w:r w:rsidR="00AE2710" w:rsidRPr="00B909F3">
        <w:rPr>
          <w:rFonts w:ascii="Book Antiqua" w:hAnsi="Book Antiqua" w:cs="Arial"/>
          <w:szCs w:val="24"/>
        </w:rPr>
        <w:t>Karnofsky</w:t>
      </w:r>
      <w:proofErr w:type="spellEnd"/>
      <w:r w:rsidR="00AE2710" w:rsidRPr="00B909F3">
        <w:rPr>
          <w:rFonts w:ascii="Book Antiqua" w:hAnsi="Book Antiqua" w:cs="Arial"/>
          <w:szCs w:val="24"/>
        </w:rPr>
        <w:t xml:space="preserve"> Performance Status (KPS) functional status data on all patients, with other clinical data, to the Organ Procurement and Transplantation Network (OPTN) each quarter. </w:t>
      </w:r>
      <w:r w:rsidRPr="00B909F3">
        <w:rPr>
          <w:rFonts w:ascii="Book Antiqua" w:hAnsi="Book Antiqua" w:cs="Arial"/>
          <w:szCs w:val="24"/>
        </w:rPr>
        <w:t>This frailty</w:t>
      </w:r>
      <w:r w:rsidR="00AE2710" w:rsidRPr="00B909F3">
        <w:rPr>
          <w:rFonts w:ascii="Book Antiqua" w:hAnsi="Book Antiqua" w:cs="Arial"/>
          <w:szCs w:val="24"/>
        </w:rPr>
        <w:t xml:space="preserve"> </w:t>
      </w:r>
      <w:r w:rsidRPr="00B909F3">
        <w:rPr>
          <w:rFonts w:ascii="Book Antiqua" w:hAnsi="Book Antiqua" w:cs="Arial"/>
          <w:szCs w:val="24"/>
        </w:rPr>
        <w:t xml:space="preserve">measure has been widely used in clinical practice and research for over 60 years and </w:t>
      </w:r>
      <w:r w:rsidR="00AE2710" w:rsidRPr="00B909F3">
        <w:rPr>
          <w:rFonts w:ascii="Book Antiqua" w:hAnsi="Book Antiqua" w:cs="Arial"/>
          <w:szCs w:val="24"/>
        </w:rPr>
        <w:t xml:space="preserve">has been </w:t>
      </w:r>
      <w:r w:rsidR="003C47B8" w:rsidRPr="00B909F3">
        <w:rPr>
          <w:rFonts w:ascii="Book Antiqua" w:hAnsi="Book Antiqua" w:cs="Arial"/>
          <w:szCs w:val="24"/>
        </w:rPr>
        <w:t xml:space="preserve">extensively </w:t>
      </w:r>
      <w:r w:rsidR="00AE2710" w:rsidRPr="00B909F3">
        <w:rPr>
          <w:rFonts w:ascii="Book Antiqua" w:hAnsi="Book Antiqua" w:cs="Arial"/>
          <w:szCs w:val="24"/>
        </w:rPr>
        <w:t xml:space="preserve">validated across </w:t>
      </w:r>
      <w:r w:rsidR="00387CAD" w:rsidRPr="00B909F3">
        <w:rPr>
          <w:rFonts w:ascii="Book Antiqua" w:hAnsi="Book Antiqua" w:cs="Arial"/>
          <w:szCs w:val="24"/>
        </w:rPr>
        <w:t xml:space="preserve">a wide range of </w:t>
      </w:r>
      <w:r w:rsidR="00AE2710" w:rsidRPr="00B909F3">
        <w:rPr>
          <w:rFonts w:ascii="Book Antiqua" w:hAnsi="Book Antiqua" w:cs="Arial"/>
          <w:szCs w:val="24"/>
        </w:rPr>
        <w:t xml:space="preserve">disease groups </w:t>
      </w:r>
      <w:r w:rsidR="005456B7" w:rsidRPr="00B909F3">
        <w:rPr>
          <w:rFonts w:ascii="Book Antiqua" w:hAnsi="Book Antiqua" w:cs="Arial"/>
          <w:szCs w:val="24"/>
        </w:rPr>
        <w:t>including</w:t>
      </w:r>
      <w:r w:rsidR="00AF4A82" w:rsidRPr="00B909F3">
        <w:rPr>
          <w:rFonts w:ascii="Book Antiqua" w:hAnsi="Book Antiqua" w:cs="Arial"/>
          <w:szCs w:val="24"/>
        </w:rPr>
        <w:t xml:space="preserve"> transplant, liver disease, and </w:t>
      </w:r>
      <w:r w:rsidR="00AE2710" w:rsidRPr="00B909F3">
        <w:rPr>
          <w:rFonts w:ascii="Book Antiqua" w:hAnsi="Book Antiqua" w:cs="Arial"/>
          <w:szCs w:val="24"/>
        </w:rPr>
        <w:t>End-Stage Renal Disease</w:t>
      </w:r>
      <w:r w:rsidR="00AF4A82" w:rsidRPr="00B909F3">
        <w:rPr>
          <w:rFonts w:ascii="Book Antiqua" w:hAnsi="Book Antiqua" w:cs="Arial"/>
          <w:szCs w:val="24"/>
        </w:rPr>
        <w:t xml:space="preserve"> populations</w:t>
      </w:r>
      <w:r w:rsidR="00396947" w:rsidRPr="00B909F3">
        <w:rPr>
          <w:rFonts w:ascii="Book Antiqua" w:hAnsi="Book Antiqua" w:cs="Arial"/>
          <w:szCs w:val="24"/>
          <w:vertAlign w:val="superscript"/>
        </w:rPr>
        <w:t>[</w:t>
      </w:r>
      <w:r w:rsidR="00396947" w:rsidRPr="00B909F3">
        <w:rPr>
          <w:rFonts w:ascii="Book Antiqua" w:hAnsi="Book Antiqua" w:cs="Arial"/>
          <w:szCs w:val="24"/>
          <w:vertAlign w:val="superscript"/>
        </w:rPr>
        <w:fldChar w:fldCharType="begin" w:fldLock="1"/>
      </w:r>
      <w:r w:rsidR="00396947" w:rsidRPr="00B909F3">
        <w:rPr>
          <w:rFonts w:ascii="Book Antiqua" w:hAnsi="Book Antiqua" w:cs="Arial"/>
          <w:szCs w:val="24"/>
          <w:vertAlign w:val="superscript"/>
        </w:rPr>
        <w:instrText>ADDIN CSL_CITATION {"citationItems":[{"id":"ITEM-1","itemData":{"ISSN":"0027-9684","PMID":"15622699","abstract":"BACKGROUND: Assessment of quality of life is vital inmonitoring response to various treatment measures. Various instruments, which include both generic and disease-specific instruments, are used in the assessment of health-related quality of life (HRQOL). In this study, we compare two commonly used generic instruments.\n\nOBJECTIVES: The objective of this study was to compare two generic instruments, the Karnofsky Performance Status Scale and the SF-36 Health Survey in hemodialysis (HD) patients. The study also aims to find out the association (if any) between HRQOL scores using these two scales and various clinical and biochemical parameters.\n\nMATERIALS AND METHODS: Sixty-two maintenance HD patients were recruited after informed consents were obtained. Detailed sociodemographic data was obtained. They were assessed during their regular HD sessions. Serum chemistry (which included serum urea, creatinine, Na+, K+, HCO3-, Ca2+, Po4(2-)), albumin, globulin, total protein and hemoglobin (g/dl) were assessed in all the patients. Adequacy of HD was assessed using second-generation Daugirdais formula. HRQOL was assessed using the Karnofsky and SSF-36 instruments and the scores collated and compared. Data was analyzed using SPSS version 10.\n\nRESULTS: Fifty-five patients completed the study (27 males and 28 females, mean age 40.76 +/- 11.05 years and age range of 20-65 years). There was a significant positive correlation between Karnofsky scores and all eight SF-36 domains, but only physical functioning, social functioning and role limitation due to emotional problems maintained the significance on multiple regression analysis. The serum creatinine and hemoglobin postively correlated with physical function, bodily pain, social functioning and Karnofsky scores. Age of the patients correlated negatively with two SF-36 dimensions (physical functioning and role limitation due to physical fitness) and Karnofsky scores.\n\nCONCLUSION: This study revealed a good correlation between Karnofsky performance status scale and the short-form (SF36) health survey in this Egyptian population. Age, serum creatinine and hemoglobin significantly influence quality of life in this HD patient population.","author":[{"dropping-particle":"","family":"Arogundade","given":"Fatiu A","non-dropping-particle":"","parse-names":false,"suffix":""},{"dropping-particle":"","family":"Zayed","given":"Bahaa","non-dropping-particle":"","parse-names":false,"suffix":""},{"dropping-particle":"","family":"Daba","given":"Maryam","non-dropping-particle":"","parse-names":false,"suffix":""},{"dropping-particle":"","family":"Barsoum","given":"Rashad S","non-dropping-particle":"","parse-names":false,"suffix":""}],"container-title":"Journal of the National Medical Association","id":"ITEM-1","issue":"12","issued":{"date-parts":[["2004","12"]]},"page":"1661-7","title":"Correlation between Karnofsky Performance Status Scale and Short-Form Health Survey in patients on maintenance hemodialysis.","type":"article-journal","volume":"96"},"uris":["http://www.mendeley.com/documents/?uuid=bf25b1c5-d268-416c-bdb9-0ffa1113086a","http://www.mendeley.com/documents/?uuid=bd1d155a-fc3d-47a6-9365-e3e8d44e5e54"]},{"id":"ITEM-2","itemData":{"DOI":"10.1002/lt.23434","ISBN":"1527-6473; 1527-6465","ISSN":"15276465","PMID":"22454258","abstract":"The aim of this study was to develop a tool for preoperatively predicting the need of a patient to attend an extended care facility after orthotopic liver transplantation (OLT). A multidisciplinary group, which included 2 transplant surgeons, 2 transplant nurses, 1 nurse manager, 2 physical therapists, 1 case manager, 1 home health care professional, 1 rehabilitation physician, and 1 statistician, met to identify preoperative factors relevant to discharge planning. The parameters that were examined as potential predictors of the discharge status were as follows: age, sex, language, Karnofsky score, OLT alone (versus a combined procedure), creatinine, bilirubin, international normalized ratio (INR), albumin, body mass index (BMI), Child-Turcotte-Pugh score, chemical Model for End-Stage Liver Disease score, renal dialysis, location before transplantation, comorbidities (encephalopathy, ascites, hydrothorax, and hepatopulmonary syndrome), diabetes mellitus (DM), cardiac ejection fraction and right ventricular systolic pressure, sex and availability of the primary caregiver, donor risk index, and donor characteristics. Between January 2004 and April 2010, 730 of 777 patients (94%) underwent only liver transplantation, and 47 patients (6%) underwent combined procedures. Five hundred nineteen patients (67%) were discharged home, 215 (28%) were discharged to a facility, and 43 (6%) died early after OLT. A multivariate logistic regression analysis identified the following parameters as significantly influencing the discharge status: a low Karnofsky score, an older age, female sex, an INR of 2.0, a creatinine level of 2.0 mg/dL, DM, a high bilirubin level, a low albumin level, a low or high BMI, and renal dialysis before OLT. The nomogram was prospectively validated with a population of 126 OLT recipients with a concordance index of 0.813. In conclusion, a new approach to improving the efficiency of hospital care is essential. We believe that this tool will aid in reducing lengths of stay and improving the experience of patients by facilitating early discharge planning.","author":[{"dropping-particle":"","family":"Kelly","given":"Dympna M.","non-dropping-particle":"","parse-names":false,"suffix":""},{"dropping-particle":"","family":"Bennett","given":"Renee","non-dropping-particle":"","parse-names":false,"suffix":""},{"dropping-particle":"","family":"Brown","given":"Nancy","non-dropping-particle":"","parse-names":false,"suffix":""},{"dropping-particle":"","family":"McCoy","given":"Judy","non-dropping-particle":"","parse-names":false,"suffix":""},{"dropping-particle":"","family":"Boerner","given":"Derek","non-dropping-particle":"","parse-names":false,"suffix":""},{"dropping-particle":"","family":"Yu","given":"Changhong","non-dropping-particle":"","parse-names":false,"suffix":""},{"dropping-particle":"","family":"Eghtesad","given":"Bijan","non-dropping-particle":"","parse-names":false,"suffix":""},{"dropping-particle":"","family":"Barsoum","given":"Wael","non-dropping-particle":"","parse-names":false,"suffix":""},{"dropping-particle":"","family":"Fung","given":"John J.","non-dropping-particle":"","parse-names":false,"suffix":""},{"dropping-particle":"","family":"Kattan","given":"Michael W.","non-dropping-particle":"","parse-names":false,"suffix":""}],"container-title":"Liver Transplantation","id":"ITEM-2","issue":"7","issued":{"date-parts":[["2012","7"]]},"note":"CI: Copyright (c) 2012; JID: 100909185; ppublish","page":"796-802","title":"Predicting the discharge status after liver transplantation at a single center: A new approach for a new era","type":"article-journal","volume":"18"},"uris":["http://www.mendeley.com/documents/?uuid=25302c3a-32b6-4c03-91f0-cef5cd36a275","http://www.mendeley.com/documents/?uuid=1a3ebe6e-c315-4dca-91ed-f7f1827078e2"]},{"id":"ITEM-3","itemData":{"DOI":"10.1016/j.amjsurg.2003.07.024","ISBN":"0002-9610 (Print)\\r0002-9610 (Linking)","ISSN":"00029610","PMID":"14599610","abstract":"Background: Some previous studies suggested that transplantation performed in Department of Veterans Affairs (VA) patients was associated with a higher rate of complications and poorer outcomes. We examined more than a decade of experience with solid organ transplantation at a single center and compared VA patients with nonveteran patients to assess long-term patient and graft survival and health-related quality of life (HRQOL). Methods: Demographic, clinical, and survival data were extracted from a database that included all transplants from January 1990 through December 2002 at Vanderbilt University Medical Center (non-VA) and the Nashville VA Medical Center (VA). The HRQOL was assessed in a subset of patients using the Karnofsky functional performance (FP) index and the Short-Form-36 self-report questionnaire. Data were analyzed by Kaplan-Meier survival and analysis of variance methods. Results: One thousand eight hundred nine adult patients receiving solid organ transplants (1,896 grafts) between 1990 and 2002 were reviewed: 380 VA patients (141 liver, 54 heart, 183 kidney, 2 lung) and 1429 non-VA patients (280 liver, 246 heart, 749 kidney, 154 lung). Mean follow-up time was 46 ± 1 months. Five-year graft survival for VA and non-VA patients, respectively, was liver 65% ± 5% versus 69% ± 3% (P = 0.97); heart 73% ± 8% versus 73% ± 3% (P = 0.67); and kidney 76% ± 5% versus 77% ± 2% (P = 0.84). Five-year patient survival was liver 75% ± 5% versus 78% ± 3% (P = 0.94); heart 73% ± 8% versus 74% ± 3% (P = 0.75); and kidney 84% ± 4% versus 87% ± 2% (P = 0.21) for VA and non-VA, respectively. In the first 3 years after transplant, the FP scores for VA versus non-VA patients were 85 ± 2 versus 87 ± 1 (P = 0.50). The SF-36 mental component scales were 47 ± 3 versus 49 ± 1 (P = 0.39); and the SF-36 physical component scales were 37 ± 2 versus 38 ± 1 (P = 0.59), respectively. Longer-term (through year 7) HRQOL scores for VA versus non-VA patients were FP 85 ± 1 versus 88 ± 1 (P = 0.17); mental component scales 47 ± 2 versus 49 ± 1 (P = 0.29); and physical component scales 35 ± 2 versus 39 ± 1 (P = 0.05), respectively. Conclusions: The veteran patients have similar graft and patient survival as the nonveteran patients. Overall quality of life is similar between veterans and nonveterans during the first three years after transplantation. A trend toward a later decline in the veterans' perception of their physical functioning may stem from the increased prevalence …","author":[{"dropping-particle":"","family":"Moore","given":"Derek","non-dropping-particle":"","parse-names":false,"suffix":""},{"dropping-particle":"","family":"Feurer","given":"Irene","non-dropping-particle":"","parse-names":false,"suffix":""},{"dropping-particle":"","family":"Speroff","given":"Theodore","non-dropping-particle":"","parse-names":false,"suffix":""},{"dropping-particle":"","family":"Shaffer","given":"David","non-dropping-particle":"","parse-names":false,"suffix":""},{"dropping-particle":"","family":"Nylander","given":"William","non-dropping-particle":"","parse-names":false,"suffix":""},{"dropping-particle":"","family":"Kizilisik","given":"Tarik","non-dropping-particle":"","parse-names":false,"suffix":""},{"dropping-particle":"","family":"Butler","given":"Javed","non-dropping-particle":"","parse-names":false,"suffix":""},{"dropping-particle":"","family":"Awad","given":"Joseph","non-dropping-particle":"","parse-names":false,"suffix":""},{"dropping-particle":"","family":"Gorden","given":"D. Lee","non-dropping-particle":"","parse-names":false,"suffix":""},{"dropping-particle":"","family":"Chari","given":"Ravi","non-dropping-particle":"","parse-names":false,"suffix":""},{"dropping-particle":"","family":"Wright","given":"J. Kelly","non-dropping-particle":"","parse-names":false,"suffix":""},{"dropping-particle":"","family":"Pinson","given":"C. Wright","non-dropping-particle":"","parse-names":false,"suffix":""}],"container-title":"American Journal of Surgery","id":"ITEM-3","issue":"5","issued":{"date-parts":[["2003","11"]]},"note":"LR: 20061115; JID: 0370473; ppublish\n\nderek.moore@vanderbilt.edu","page":"476-480","publisher-place":"Department of Surgery and Vanderbilt University Transplant Center, 801 Oxford House, Nashville, TN 37232-4753, USA.","title":"Survival and quality of life after organ transplantation in veterans and nonveterans","type":"article-journal","volume":"186"},"uris":["http://www.mendeley.com/documents/?uuid=fb01b3d6-f6e1-4ac9-bf08-62b7f806819b","http://www.mendeley.com/documents/?uuid=4044eac0-7891-4692-bb9f-4c7965a45dc2"]},{"id":"ITEM-4","itemData":{"DOI":"10.1001/archsurg.140.3.273","ISBN":"0004-0010 (Print)\r0004-0010 (Linking)","ISSN":"00040010","PMID":"15781792","abstract":"HYPOTHESIS: Donor, technical, and recipient risk factors cumulatively impact survival and health-related quality of life after liver transplantation. DESIGN: Retrospective study. SETTING: Tertiary care center. PATIENTS: A total of 483 adults undergoing primary orthotopic liver transplantation between January 1, 1991, and July 31, 2003. MAIN OUTCOME MEASURES: Graft and patient survival, Karnofsky functional performance scores, Medical Outcomes Study Short Form 36 Health Survey scores, and Psychosocial Adjustment to Illness Scale scores as influenced by potential risk factors including donor age, weight, warm ischemia time, cold ischemia time (CIT), sex, United Network for Organ Sharing (UNOS) status (1 or 2A vs 2B or 3), recipient age and disease, bilirubin level, and creatinine level. RESULTS: Five-year graft survival was 72% for recipients of donors younger than 60 years and 35% for recipients of donors 60 years and older (P&lt;.001). A CIT of 12 hours or more was associated with shorter 5-year graft survival (71% vs 58%; P = .004). Five-year graft survival for UNOS status 2B or 3 was 71% vs 60% for status 1 or 2A (P = .02). A comparable pattern was seen for patient survival in relation to donor age (P = .003), CIT (P = .005), and urgency status (P = .03). Urgent UNOS status, advanced donor age, and prolonged CIT were independently associated with shorter graft and patient survival (P&lt;.05). Functional performance and health-related quality of life were not affected by donor, recipient, or technical characteristics. CONCLUSIONS: Combining advanced donor age, urgent status, and prolonged CIT adversely affects graft and patient survival, and the cumulative effects of these risk factors can be modeled to predict posttransplant survival.","author":[{"dropping-particle":"","family":"Moore","given":"Derek E.","non-dropping-particle":"","parse-names":false,"suffix":""},{"dropping-particle":"","family":"Feurer","given":"Irene D.","non-dropping-particle":"","parse-names":false,"suffix":""},{"dropping-particle":"","family":"Speroff","given":"Theodore","non-dropping-particle":"","parse-names":false,"suffix":""},{"dropping-particle":"","family":"Gorden","given":"D. Lee","non-dropping-particle":"","parse-names":false,"suffix":""},{"dropping-particle":"","family":"Wright","given":"J. Kelly","non-dropping-particle":"","parse-names":false,"suffix":""},{"dropping-particle":"","family":"Chari","given":"Ravi S.","non-dropping-particle":"","parse-names":false,"suffix":""},{"dropping-particle":"","family":"Pinson","given":"C. Wright","non-dropping-particle":"","parse-names":false,"suffix":""}],"container-title":"Archives of Surgery","id":"ITEM-4","issue":"3","issued":{"date-parts":[["2005","3"]]},"note":"From Duplicate 2 ( \n\n\n\n\n\n\n\nImpact of donor, technical, and recipient risk factors on survival and quality of life after liver transplantation\n\nderek.moore@vanderbilt.edu\n\n\n\n\n\n- Moore, D E; Feurer, I D; Speroff, T; Gorden, D L; Wright, J K; Chari, R S; Pinson, C W )\n\n\n\n\n\n\n\nLR: 20071114; GR: 1R03 HS 13036/HS/AHRQ HHS/United States; JID: 9716528; ppublish\n\n\n\n\n\n\n\n\n\nFrom Duplicate 3 (Impact of donor, technical, and recipient risk factors on survival and quality of life after liver transplantation - Moore, D E; Feurer, I D; Speroff, T; Gorden, D L; Wright, J K; Chari, R S; Pinson, C W)\n\nLR: 20071114; GR: 1R03 HS 13036/HS/AHRQ HHS/United States; JID: 9716528; ppublish","page":"273-277","publisher-place":"Department of Surgery and Vanderbilt University Transplant Center, 801 Oxford House, Nashville, TN 37232, USA.","title":"Impact of donor, technical, and recipient risk factors on survival and quality of life after liver transplantation","type":"article-journal","volume":"140"},"uris":["http://www.mendeley.com/documents/?uuid=7f98bca9-e2a5-45c4-93c4-bc73bc74f0eb","http://www.mendeley.com/documents/?uuid=afd234f3-cb1c-4731-b1b6-237f08b035c7"]},{"id":"ITEM-5","itemData":{"DOI":"10.1002/1097-0142(19840501)53:9&lt;2002::AID-CNCR2820530933&gt;3.0.CO;2-W","ISBN":"0008-543X (Print)\\n0008-543X (Linking)","ISSN":"10970142","PMID":"6704925","abstract":"The Karnofsky Performance Status Scale (KPS) is widely used to quantify the functional status of cancer patients. However, limited data exist documenting its reliability and validity. The KPS is used in the National Hospice Study (NHS) as both a study eligibility criterion and an outcome measure. As part of intensive training, interviewers were instructed in and tested on guidelines for determining the KPS levels of patients. After 4 months of field experience, interviewers were again tested based on narrative patient descriptions. The interrator reliability of 47 NHS interviewers was found to be 0.97. The construct validity of the KPS was analyzed, and the KPS was found to be strongly related (P less than 0.001) to two other independent measures of patient functioning. Finally, the relationship of the KPS to longevity (r = 0.30) in a population of terminal cancer patients documents its predictive validity. These findings suggest the utility of the KPS as a valuable research tool when employed by trained observers.","author":[{"dropping-particle":"","family":"Mor","given":"Vincent","non-dropping-particle":"","parse-names":false,"suffix":""},{"dropping-particle":"","family":"Laliberte","given":"Linda","non-dropping-particle":"","parse-names":false,"suffix":""},{"dropping-particle":"","family":"Morris","given":"John N.","non-dropping-particle":"","parse-names":false,"suffix":""},{"dropping-particle":"","family":"Wiemann","given":"Michael","non-dropping-particle":"","parse-names":false,"suffix":""}],"container-title":"Cancer","id":"ITEM-5","issue":"9","issued":{"date-parts":[["1984","5","1"]]},"page":"2002-2007","title":"The Karnofsky performance status scale: An examination of its reliability and validity in a research setting","type":"article-journal","volume":"53"},"uris":["http://www.mendeley.com/documents/?uuid=c220a2b1-94d8-488d-8cf2-93e4ed8c13cb","http://www.mendeley.com/documents/?uuid=733d13e1-f3bb-40d1-af79-240e6acc37cb"]},{"id":"ITEM-6","itemData":{"DOI":"10.1097/00000658-200010000-00015","ISBN":"0003-4932 (Print)\\r0003-4932 (Linking)","ISSN":"00034932","PMID":"10998658","abstract":"OBJECTIVE: To describe functional health and health-related quality of life (QOL) before and after transplantation; to compare and contrast outcomes among liver, heart, lung, and kidney transplant patients, and compare these outcomes with selected norms; and to explore whether physiologic performance, demographics, and other clinical variables are predictors of posttransplantation overall subjective QOL. SUMMARY BACKGROUND DATA: There is increasing demand for outcomes analysis, including health-related QOL, after medical and surgical interventions. Because of the high cost, interest in transplantation outcomes is particularly intense. With technical surgical experience and improved immunosuppression, survival after solid organ transplantation has matured to acceptable levels. More sensitive measures of outcomes are necessary to evaluate further developments in clinical transplantation, including data on objective functional outcome and subjective QOL. METHODS: The Karnofsky Performance Status was assessed objectively for patients before transplantation and up to 4 years after transplantation, and scores were compared by repeated measures analysis of variance. Subjective evaluation of QOL over time was obtained using the Short Form-36 (SF-36) and the Psychosocial Adjustment to Illness Scale (PAIS). These data were analyzed using multivariate and univariate analysis of variance. A summary model of health-related QOL was tested by path analysis. RESULTS: Tools were administered to 100 liver, 94 heart, 112 kidney, and 65 lung transplant patients. Mean age at transplantation was 48 years; 36% of recipients were female. The Karnofsky Performance Status before transplantation was 37 +/- 1 for lung, 38 +/- 2 for heart, 53 +/- 3 for liver, and 75 +/- 1 for kidney recipients. After transplantation, the scores improved to 67 +/- 1 at 3 months, 77 +/- 1 at 6 months, 82 +/- 1 at 12 months, 86 +/- 1 at 24 months, 84 +/- 2 at 36 months, and 83 +/- 3 at 48 months. When patients were stratified by initial performance score as disabled or able, both groups merged in terms of performance by 6 months after liver and heart transplantation; kidney transplant patients maintained their stratification 2 years after transplantation. The SF-36 physical and mental component scales improved after transplantation. The PAIS score improved globally. Path analysis demonstrated a direct effect on the posttransplant Karnofsky score by time after transplantation and diabetes, with trends …","author":[{"dropping-particle":"","family":"Pinson","given":"C. Wright","non-dropping-particle":"","parse-names":false,"suffix":""},{"dropping-particle":"","family":"Feurer","given":"Irene D.","non-dropping-particle":"","parse-names":false,"suffix":""},{"dropping-particle":"","family":"Payne","given":"Jerita L.","non-dropping-particle":"","parse-names":false,"suffix":""},{"dropping-particle":"","family":"Wise","given":"Paul E.","non-dropping-particle":"","parse-names":false,"suffix":""},{"dropping-particle":"","family":"Shockley","given":"Shannon","non-dropping-particle":"","parse-names":false,"suffix":""},{"dropping-particle":"","family":"Speroff","given":"Theodore","non-dropping-particle":"","parse-names":false,"suffix":""}],"container-title":"Annals of Surgery","id":"ITEM-6","issue":"4","issued":{"date-parts":[["2000","10"]]},"page":"597-607","title":"Health-related quality of life after different types of solid organ transplantation","type":"article-journal","volume":"232"},"uris":["http://www.mendeley.com/documents/?uuid=a2715467-6c18-42d2-9687-0a7377c9d8d2","http://www.mendeley.com/documents/?uuid=05e1eeb5-5a1c-4186-bc93-356f2ef21afc"]},{"id":"ITEM-7","itemData":{"DOI":"10.1007/BF00435393","ISBN":"0962-9343","ISSN":"09629343","PMID":"7866359","abstract":"A cross-validation of the Karnofsky Performance Status (KPS) and quality of life (QOL) as measured by item 30 of the quality of life questionnaire developed by the European Organization for Research and Treatment of Cancer Study Group (EORTC QLQ-C30) was conducted using ordered logit analysis and prospective data from a continuous sample of 139 lung cancer patients. The QOL is found to be a much broader concept than the KPS, since it likely captures not only physical functioning but also functioning in the non-physical dimensions of social, emotional, and possibly cognitive well-being as well as the level of distress in the physical dimensions of pain, breathing and fatigue. These results suggest that the palliative treatment of advanced cancer and the terminally ill should be guided by a broad concept of well-being that goes beyond one based only on physical functioning.","author":[{"dropping-particle":"","family":"Schaafsma","given":"J.","non-dropping-particle":"","parse-names":false,"suffix":""},{"dropping-particle":"","family":"Osoba","given":"D.","non-dropping-particle":"","parse-names":false,"suffix":""}],"container-title":"Quality of Life Research","id":"ITEM-7","issue":"6","issued":{"date-parts":[["1994","12"]]},"page":"413-424","title":"The Karnofsky performance status scale re-examined: a cross-validation with the EORTC-C30","type":"article-journal","volume":"3"},"uris":["http://www.mendeley.com/documents/?uuid=d7c7c719-5531-4ac0-a953-741ff1c849a9","http://www.mendeley.com/documents/?uuid=d903212e-c126-494e-bec9-60f83db17621"]},{"id":"ITEM-8","itemData":{"DOI":"10.1200/JCO.1984.2.3.187","ISBN":"0732-183X (Print)\\n0732-183X (Linking)","ISSN":"0732183X","PMID":"6699671","abstract":"Little research has been conducted documenting the reliability and validity of the Karnofsky Performance Status (KPS) scale, and guidelines based on empirical data do not exist to govern its use. Two hundred ninety-three cancer patients completed a questionnaire that assesses their physical and psychosocial difficulties. Physicians rated patients on the KPS and a subsample of 75 patients was used to evaluate interrater reliability. Analyses were conducted to evaluate the interrater reliability and construct validity of the KPS. The KPS was shown to have good reliability and validity. Detailed examination of the reliability data suggested areas in which physicians err in their judgments. Multiple regression techniques were used to empirically identify seven behaviorally based questions that would be helpful in predicting KPS scores. The seven variables included weight loss, weight gain, reduced energy, difficulty walking, driving, grooming, and working part time. An interview approach with behaviorally based guidelines is presented using these variables to obtain relevant data and make more accurate KPS ratings. With the approach suggested and the guidelines presented, oncologists may train themselves to use the KPS in a standard way, which should increase reliability and validity of the KPS and has implications for patients and research studies that use KPS as a stratifying variable.","author":[{"dropping-particle":"","family":"Schag","given":"C. C.","non-dropping-particle":"","parse-names":false,"suffix":""},{"dropping-particle":"","family":"Heinrich","given":"R. L.","non-dropping-particle":"","parse-names":false,"suffix":""},{"dropping-particle":"","family":"Ganz","given":"P. A.","non-dropping-particle":"","parse-names":false,"suffix":""}],"container-title":"Journal of Clinical Oncology","id":"ITEM-8","issue":"3","issued":{"date-parts":[["1984","3"]]},"page":"187-193","title":"Karnofsky performance status revisited: Reliability, validity, and guidelines","type":"article-journal","volume":"2"},"uris":["http://www.mendeley.com/documents/?uuid=66b9fd58-111f-4182-91e3-ce7e210aa52c","http://www.mendeley.com/documents/?uuid=18b9d5de-6318-4106-9cdc-fa3caf348505"]},{"id":"ITEM-9","itemData":{"DOI":"10.1016/j.critrevonc.2010.01.015","ISSN":"1879-0461","PMID":"20185330","abstract":"Oncologists usually base treatment decision on the assessment of patients' performance status (PS). This study was undertaken to explore the ability of KPS to correctly assess the PS of elderly cancer patients, comparing it to a validated geriatric tool named Physical Performance Test (PPT). One single examiner assessed elderly cancer patients' PS at registration in our institution and performed the PPT on patients with KPS ≥ 60. A sample of 152 patients actually underwent PPT. A low refusal rate was observed (&lt;5%). Most patients (82%) had a high PS (KPS ≥ 80), whereas only 20% had no health impairment according to PPT scores. Patients' gender and disease stage did not correlate with PPT scores. The KPS seems to be a less accurate tool than the PPT to assess functional status of elderly cancer patients. Then PPT could be used as an inclusion criterion instead of KPS before cancer treatment decision.","author":[{"dropping-particle":"","family":"Terret","given":"Catherine","non-dropping-particle":"","parse-names":false,"suffix":""},{"dropping-particle":"","family":"Albrand","given":"Gilles","non-dropping-particle":"","parse-names":false,"suffix":""},{"dropping-particle":"","family":"Moncenix","given":"Géraldine","non-dropping-particle":"","parse-names":false,"suffix":""},{"dropping-particle":"","family":"Droz","given":"Jean Pierre","non-dropping-particle":"","parse-names":false,"suffix":""}],"container-title":"Critical reviews in oncology/hematology","id":"ITEM-9","issue":"2","issued":{"date-parts":[["2011","2"]]},"page":"142-7","title":"Karnofsky Performance Scale (KPS) or Physical Performance Test (PPT)? That is the question.","type":"article-journal","volume":"77"},"uris":["http://www.mendeley.com/documents/?uuid=51efdd22-4cb9-4746-9e1e-64e03cef776f","http://www.mendeley.com/documents/?uuid=f885b961-cf78-4489-b25f-74cd67bfeacc"]},{"id":"ITEM-10","itemData":{"DOI":"10.3324/haematol.2009.011809","ISBN":"1592-8721 (Electronic)\\r0390-6078 (Linking)","ISSN":"03906078","PMID":"20007143","abstract":"Disease stage is the most important prognostic parameter in allogeneic hematopoietic cell transplantation (HCT) for acute lymphoblastic leukemia, but other factors such as donor/host histocompatibility and gender combination, recipient age, performance status and comorbidities need to be considered. Several scoring systems are available to predict outcome in HCT recipients; however, their prognostic relevance in acute lymphoblastic leukemia is not well defined.","author":[{"dropping-particle":"","family":"Terwey","given":"Theis H.","non-dropping-particle":"","parse-names":false,"suffix":""},{"dropping-particle":"","family":"Hemmati","given":"Philipp G.","non-dropping-particle":"","parse-names":false,"suffix":""},{"dropping-particle":"","family":"Martus","given":"Peter","non-dropping-particle":"","parse-names":false,"suffix":""},{"dropping-particle":"","family":"Dietz","given":"Ekkehart","non-dropping-particle":"","parse-names":false,"suffix":""},{"dropping-particle":"","family":"Vuong","given":"Lam G.","non-dropping-particle":"","parse-names":false,"suffix":""},{"dropping-particle":"","family":"Massenkeil","given":"Gero","non-dropping-particle":"","parse-names":false,"suffix":""},{"dropping-particle":"","family":"Dörken","given":"Bernd","non-dropping-particle":"","parse-names":false,"suffix":""},{"dropping-particle":"","family":"Arnold","given":"Renate","non-dropping-particle":"","parse-names":false,"suffix":""}],"container-title":"Haematologica","id":"ITEM-10","issue":"5","issued":{"date-parts":[["2010","5"]]},"note":"LR: 20130531; JID: 0417435; OID: NLM: PMC2864388; 2009/12/08 [aheadofprint]; ppublish\n\ntheis.terwey@charite.de","page":"810-818","publisher-place":"Department of Hematology and Oncology, Charite - Universitatsmedizin Berlin, Campus Virchow-Klinikum, Augustenburger Platz 1, 13353 Berlin, Germany.","title":"A modified EBMT risk score and the hematopoietic cell transplantation-specific comorbidity index for pre-transplant risk assessment in adult acute lymphoblastic leukemia","type":"article-journal","volume":"95"},"uris":["http://www.mendeley.com/documents/?uuid=e9fb361e-7ce5-4150-ad99-aa95d8b0d759","http://www.mendeley.com/documents/?uuid=810a834b-da5b-49c2-b5d0-d36ac6d4cc7e"]},{"id":"ITEM-11","itemData":{"DOI":"10.1371/journal.pone.0089744","ISSN":"1932-6203","PMID":"24594735","abstract":"BACKGROUND: While some prediction models have been developed for diabetic populations, prediction rules for mortality in diabetic dialysis patients are still lacking. Therefore, the objective of this study was to identify predictors for 1-year mortality in diabetic dialysis patients and use these results to develop a prediction model.\n\nMETHODS: Data were used from the Netherlands Cooperative Study on the Adequacy of Dialysis (NECOSAD), a multicenter, prospective cohort study in which incident patients with end stage renal disease (ESRD) were monitored until transplantation or death. For the present analysis, patients with DM at baseline were included. A prediction algorithm for 1-year all-cause mortality was developed through multivariate logistic regression. Candidate predictors were selected based on literature and clinical expertise. The final model was constructed through backward selection. The model's predictive performance, measured by calibration and discrimination, was assessed and internally validated through bootstrapping.\n\nRESULTS: A total of 394 patients were available for statistical analysis; 82 (21%) patients died within one year after baseline (3 months after starting dialysis therapy). The final prediction model contained seven predictors; age, smoking, history of macrovascular complications, duration of diabetes mellitus, Karnofsky scale, serum albumin and hemoglobin level. Predictive performance was good, as shown by the c-statistic of 0.810. Internal validation showed a slightly lower, but still adequate performance. Sensitivity analyses showed stability of results.\n\nCONCLUSIONS: A prediction model containing seven predictors has been identified in order to predict 1-year mortality for diabetic incident dialysis patients. Predictive performance of the model was good. Before implementing the model in clinical practice, for example for counseling patients regarding their prognosis, external validation is necessary.","author":[{"dropping-particle":"","family":"Diepen","given":"Merel","non-dropping-particle":"van","parse-names":false,"suffix":""},{"dropping-particle":"","family":"Schroijen","given":"Marielle A","non-dropping-particle":"","parse-names":false,"suffix":""},{"dropping-particle":"","family":"Dekkers","given":"Olaf M","non-dropping-particle":"","parse-names":false,"suffix":""},{"dropping-particle":"","family":"Rotmans","given":"Joris I","non-dropping-particle":"","parse-names":false,"suffix":""},{"dropping-particle":"","family":"Krediet","given":"Raymond T","non-dropping-particle":"","parse-names":false,"suffix":""},{"dropping-particle":"","family":"Boeschoten","given":"Elisabeth W","non-dropping-particle":"","parse-names":false,"suffix":""},{"dropping-particle":"","family":"Dekker","given":"Friedo W","non-dropping-particle":"","parse-names":false,"suffix":""}],"container-title":"PloS one","id":"ITEM-11","issue":"3","issued":{"date-parts":[["2014","1"]]},"page":"e89744","title":"Predicting mortality in patients with diabetes starting dialysis.","type":"article-journal","volume":"9"},"uris":["http://www.mendeley.com/documents/?uuid=9453e802-0bc9-43b0-bd07-4fe1fcc4a430","http://www.mendeley.com/documents/?uuid=89fe7ecb-9dfb-4fe9-813f-80dafb5b6d67"]},{"id":"ITEM-12","itemData":{"DOI":"10.1002/1097-0142(19800415)45:8&lt;2220::AID-CNCR2820450835&gt;3.0.CO;2-Q","ISBN":"0008-543X (Print)\\n0008-543X (Linking)","ISSN":"10970142","PMID":"7370963","abstract":"The Karnofsky Performance Status Scale (KPS) was designed to measure the level of patient activity and medical care requirements. It is a general measure of patient independence and has been widely used as a general assessment of patient with cancer. Although there is a long history of use of the KPS for judging cancer patients, its reliability and validity have been assumed without formal investigation. The interrater reliability of the KPS was investigated in two ways, both of which gave evidence of moderately high reliability. The patients evaluated in their home were usually assigned a lower KPS score compared with a similar evaluation at the same time done in the outpatient clinic. Costruct validity of the KPS was demonstrated by strong correlation with several variables relating to physical function. On-study KPS score accurately predicted early death, but high initial KPS scores did not necessarily predict long survival. Patient deterioration with subsequent death within a few months could be predicted to a limited extent by a rapidly dropping KPS. These results suggest that the KPS has considerable validity as a global indicator of the functional status of patients with cancer and might be helpful for following other patients with chronic disease.","author":[{"dropping-particle":"","family":"Yates","given":"Jerome W.","non-dropping-particle":"","parse-names":false,"suffix":""},{"dropping-particle":"","family":"Chalmer","given":"Bruce","non-dropping-particle":"","parse-names":false,"suffix":""},{"dropping-particle":"","family":"McKegney","given":"F. Patrick","non-dropping-particle":"","parse-names":false,"suffix":""}],"container-title":"Cancer","id":"ITEM-12","issue":"8","issued":{"date-parts":[["1980","4","15"]]},"page":"2220-2224","title":"Evaluation of patients with advanced cancer using the karnofsky performance status","type":"article-journal","volume":"45"},"uris":["http://www.mendeley.com/documents/?uuid=d41d8b9a-9bdc-4b18-bad6-c7be789a06e8","http://www.mendeley.com/documents/?uuid=ce9e2cb8-6263-4696-bb4c-713fcdbba317"]},{"id":"ITEM-13","itemData":{"id":"ITEM-13","issued":{"date-parts":[["2013"]]},"number-of-pages":"16","publisher-place":"Atlanta, GA","title":"OPTN/UNOS Liver and Intestinal Organ Transplantation Committee: Report to the Board of Directors","type":"report"},"uris":["http://www.mendeley.com/documents/?uuid=40ca3333-b23a-4f12-a15c-e2f97a5e6949","http://www.mendeley.com/documents/?uuid=44563064-53c8-493d-aee0-6a2f01dc6d3c"]},{"id":"ITEM-14","itemData":{"DOI":"10.1016/S0149-2918(96)80049-X","ISBN":"0149-2918 (Print)\\n0149-2918 (Linking)","ISSN":"1879114X","PMID":"8930432","abstract":"Health-related quality of life (HRQOL) is a critical issue in the treatment of endstage renal disease (ESRD) patients. The variety of symptoms, comorbidities, and treatments of ESRD over the course of its chronic disease trajectory necessitate comprehensive assessment of the impact of interventions on HRQOL. A literature review of ESRD HRQOL studies was performed to provide an overview of the instruments used and to provide recommendations for HRQOL assessment in future studies. Instruments were classified based on the health domains they assess and whether they are generic or disease targeted. The instruments were judged in terms of their comprehensiveness, reliability, and validity.","author":[{"dropping-particle":"","family":"Edgell","given":"Eric T.","non-dropping-particle":"","parse-names":false,"suffix":""},{"dropping-particle":"","family":"Coons","given":"Stephen Joel","non-dropping-particle":"","parse-names":false,"suffix":""},{"dropping-particle":"","family":"Carter","given":"William B.","non-dropping-particle":"","parse-names":false,"suffix":""},{"dropping-particle":"","family":"Kallich","given":"Joel D.","non-dropping-particle":"","parse-names":false,"suffix":""},{"dropping-particle":"","family":"Mapes","given":"Donna","non-dropping-particle":"","parse-names":false,"suffix":""},{"dropping-particle":"","family":"Damush","given":"Teresa M.","non-dropping-particle":"","parse-names":false,"suffix":""},{"dropping-particle":"","family":"Hays","given":"Ron D.","non-dropping-particle":"","parse-names":false,"suffix":""}],"container-title":"Clinical Therapeutics","id":"ITEM-14","issue":"5","issued":{"date-parts":[["1996"]]},"note":"Approaches to measuring physical\nfunction in ESRD center around the use of\nthe Kamofsky Performance Status (KPS)\nscalelo","page":"887-938","title":"A review of health-related quality-of-life measures used in end-stage renal disease","type":"article-journal","volume":"18"},"uris":["http://www.mendeley.com/documents/?uuid=398c1251-6010-4f85-a09e-6b4708df675e","http://www.mendeley.com/documents/?uuid=4c60fd4a-e065-4119-97ab-ea96399adef7"]}],"mendeley":{"formattedCitation":"&lt;sup&gt;14–27&lt;/sup&gt;","plainTextFormattedCitation":"14–27","previouslyFormattedCitation":"&lt;sup&gt;14,15,24–27,16–23&lt;/sup&gt;"},"properties":{"noteIndex":0},"schema":"https://github.com/citation-style-language/schema/raw/master/csl-citation.json"}</w:instrText>
      </w:r>
      <w:r w:rsidR="00396947" w:rsidRPr="00B909F3">
        <w:rPr>
          <w:rFonts w:ascii="Book Antiqua" w:hAnsi="Book Antiqua" w:cs="Arial"/>
          <w:szCs w:val="24"/>
          <w:vertAlign w:val="superscript"/>
        </w:rPr>
        <w:fldChar w:fldCharType="separate"/>
      </w:r>
      <w:r w:rsidR="00396947" w:rsidRPr="00B909F3">
        <w:rPr>
          <w:rFonts w:ascii="Book Antiqua" w:hAnsi="Book Antiqua" w:cs="Arial"/>
          <w:noProof/>
          <w:szCs w:val="24"/>
          <w:vertAlign w:val="superscript"/>
        </w:rPr>
        <w:t>14-27</w:t>
      </w:r>
      <w:r w:rsidR="00396947" w:rsidRPr="00B909F3">
        <w:rPr>
          <w:rFonts w:ascii="Book Antiqua" w:hAnsi="Book Antiqua" w:cs="Arial"/>
          <w:szCs w:val="24"/>
          <w:vertAlign w:val="superscript"/>
        </w:rPr>
        <w:fldChar w:fldCharType="end"/>
      </w:r>
      <w:r w:rsidR="00396947" w:rsidRPr="00B909F3">
        <w:rPr>
          <w:rFonts w:ascii="Book Antiqua" w:hAnsi="Book Antiqua" w:cs="Arial"/>
          <w:szCs w:val="24"/>
          <w:vertAlign w:val="superscript"/>
        </w:rPr>
        <w:t>]</w:t>
      </w:r>
      <w:r w:rsidR="00A96029" w:rsidRPr="00B909F3">
        <w:rPr>
          <w:rFonts w:ascii="Book Antiqua" w:hAnsi="Book Antiqua" w:cs="Arial"/>
          <w:szCs w:val="24"/>
        </w:rPr>
        <w:t>.</w:t>
      </w:r>
      <w:r w:rsidR="00AE2710" w:rsidRPr="00B909F3">
        <w:rPr>
          <w:rFonts w:ascii="Book Antiqua" w:hAnsi="Book Antiqua" w:cs="Arial"/>
          <w:szCs w:val="24"/>
        </w:rPr>
        <w:t xml:space="preserve"> </w:t>
      </w:r>
      <w:r w:rsidRPr="00B909F3">
        <w:rPr>
          <w:rFonts w:ascii="Book Antiqua" w:hAnsi="Book Antiqua" w:cs="Arial"/>
          <w:szCs w:val="24"/>
        </w:rPr>
        <w:t>However, though s</w:t>
      </w:r>
      <w:r w:rsidR="00AE2710" w:rsidRPr="00B909F3">
        <w:rPr>
          <w:rFonts w:ascii="Book Antiqua" w:hAnsi="Book Antiqua" w:cs="Arial"/>
          <w:szCs w:val="24"/>
        </w:rPr>
        <w:t xml:space="preserve">everal studies have used KPS as a predictor of liver transplant </w:t>
      </w:r>
      <w:r w:rsidR="00AE2710" w:rsidRPr="00B909F3">
        <w:rPr>
          <w:rFonts w:ascii="Book Antiqua" w:hAnsi="Book Antiqua" w:cs="Arial"/>
          <w:noProof/>
          <w:szCs w:val="24"/>
        </w:rPr>
        <w:t>outcomes,</w:t>
      </w:r>
      <w:r w:rsidRPr="00B909F3">
        <w:rPr>
          <w:rFonts w:ascii="Book Antiqua" w:hAnsi="Book Antiqua" w:cs="Arial"/>
          <w:szCs w:val="24"/>
        </w:rPr>
        <w:t xml:space="preserve"> </w:t>
      </w:r>
      <w:r w:rsidR="003C47B8" w:rsidRPr="00B909F3">
        <w:rPr>
          <w:rFonts w:ascii="Book Antiqua" w:hAnsi="Book Antiqua" w:cs="Arial"/>
          <w:szCs w:val="24"/>
        </w:rPr>
        <w:t>the majority of</w:t>
      </w:r>
      <w:r w:rsidR="00AE2710" w:rsidRPr="00B909F3">
        <w:rPr>
          <w:rFonts w:ascii="Book Antiqua" w:hAnsi="Book Antiqua" w:cs="Arial"/>
          <w:szCs w:val="24"/>
        </w:rPr>
        <w:t xml:space="preserve"> studies were limited in </w:t>
      </w:r>
      <w:r w:rsidR="00AE2710" w:rsidRPr="00B909F3">
        <w:rPr>
          <w:rFonts w:ascii="Book Antiqua" w:hAnsi="Book Antiqua" w:cs="Arial"/>
          <w:noProof/>
          <w:szCs w:val="24"/>
        </w:rPr>
        <w:t xml:space="preserve">generalizability as they were </w:t>
      </w:r>
      <w:r w:rsidR="00A81A09" w:rsidRPr="00B909F3">
        <w:rPr>
          <w:rFonts w:ascii="Book Antiqua" w:hAnsi="Book Antiqua" w:cs="Arial"/>
          <w:noProof/>
          <w:szCs w:val="24"/>
        </w:rPr>
        <w:t xml:space="preserve">either </w:t>
      </w:r>
      <w:r w:rsidR="00AE2710" w:rsidRPr="00B909F3">
        <w:rPr>
          <w:rFonts w:ascii="Book Antiqua" w:hAnsi="Book Antiqua" w:cs="Arial"/>
          <w:noProof/>
          <w:szCs w:val="24"/>
        </w:rPr>
        <w:t>single-center studies</w:t>
      </w:r>
      <w:r w:rsidR="00396947" w:rsidRPr="00B909F3">
        <w:rPr>
          <w:rFonts w:ascii="Book Antiqua" w:hAnsi="Book Antiqua" w:cs="Arial"/>
          <w:szCs w:val="24"/>
          <w:vertAlign w:val="superscript"/>
        </w:rPr>
        <w:t>[</w:t>
      </w:r>
      <w:r w:rsidR="00396947" w:rsidRPr="00B909F3">
        <w:rPr>
          <w:rFonts w:ascii="Book Antiqua" w:hAnsi="Book Antiqua" w:cs="Arial"/>
          <w:szCs w:val="24"/>
          <w:vertAlign w:val="superscript"/>
        </w:rPr>
        <w:fldChar w:fldCharType="begin" w:fldLock="1"/>
      </w:r>
      <w:r w:rsidR="00396947" w:rsidRPr="00B909F3">
        <w:rPr>
          <w:rFonts w:ascii="Book Antiqua" w:hAnsi="Book Antiqua" w:cs="Arial"/>
          <w:szCs w:val="24"/>
          <w:vertAlign w:val="superscript"/>
        </w:rPr>
        <w:instrText>ADDIN CSL_CITATION {"citationItems":[{"id":"ITEM-1","itemData":{"DOI":"10.1016/S0002-9610(98)00053-1","ISBN":"0002-9610 (Print) 0002-9610","ISSN":"00029610","PMID":"9600275","abstract":"BACKGROUND: There is an increasing demand for outcomes analysis, including quality of life and financial analysis, following medical interventions and surgical procedures. We analyzed outcomes for 100 consecutive patients undergoing liver transplantation during a period of case management revision. METHODS: Patient survival was calculated by Kaplan- Meier actuarial methods. The Karnofsky performance status was objectively assessed for surviving patients up to 6 years after transplantation and was evaluated by repeated measures analysis of variance and covariance. Subjective evaluation of quality of life over time was obtained using the Psychosocial Adjustment to Illness Scale. The correlations between time and scale were calculated. Financial data were accumulated from billing records. RESULTS: Six-month, 1-year, 2-year, and 3-through 5-year survival was 86%, 84%, 83%, and 78%, respectively. Karnofsky performance status confirmed poor functional status preoperatively with a mean of 53 ± 2, but significantly improving to 72 ± 2 at 3 months, 80 ± 2 at 6 months, 90± 1 at 1 year, 92 ± 1 at 2 years, 94 ± 1 at 3 years, 96 ± 1 at 4 years, and 97 ± 1 at 5 years (P &lt;0.001). Psychosocial Adjustment to Illness Scale scores demonstrated significant improvement following transplantation overall (r = - 0.33), improving most in sexual relationships (r = -0.41), and domestic environment (r = -0.35; P &lt;0.001). Median length of stay for the first half of the patients was 19 days declining to 11 days for the second half. Median hospital charges declined from $105,000 to $90,000. CONCLUSIONS: Quality of life parameters assessed both by care givers (Karnofsky) and by patients (Psychosocial Adjustment to Illness Scale) improved dramatically following transplantation and over time, demonstrating that liver transplantation effectively restores a good quality of life. Outcomes can be improved while reducing length of stay and charges through modifications in case management.","author":[{"dropping-particle":"","family":"Geevarghese","given":"Sunil K.","non-dropping-particle":"","parse-names":false,"suffix":""},{"dropping-particle":"","family":"Bradley","given":"Anne E.","non-dropping-particle":"","parse-names":false,"suffix":""},{"dropping-particle":"","family":"Wright","given":"J. Kelly","non-dropping-particle":"","parse-names":false,"suffix":""},{"dropping-particle":"","family":"Chapman","given":"William C.","non-dropping-particle":"","parse-names":false,"suffix":""},{"dropping-particle":"","family":"Feurer","given":"Irene","non-dropping-particle":"","parse-names":false,"suffix":""},{"dropping-particle":"","family":"Payne","given":"Jerita L.","non-dropping-particle":"","parse-names":false,"suffix":""},{"dropping-particle":"","family":"Hunter","given":"Ellen B.","non-dropping-particle":"","parse-names":false,"suffix":""},{"dropping-particle":"","family":"Pinson","given":"C. Wright","non-dropping-particle":"","parse-names":false,"suffix":""}],"container-title":"American Journal of Surgery","id":"ITEM-1","issue":"5","issued":{"date-parts":[["1998","5"]]},"page":"348-353","title":"Outcomes analysis in 100 liver transplantation patients","type":"article-journal","volume":"175"},"uris":["http://www.mendeley.com/documents/?uuid=5527b0ba-e5d5-4780-8f81-d361b2acac0c","http://www.mendeley.com/documents/?uuid=5bcead64-3469-4c9f-958e-ea22ea8ce370"]},{"id":"ITEM-2","itemData":{"DOI":"10.1002/hep.26805","ISBN":"0270-9139","ISSN":"02709139","abstract":"Appropriate organ allocation must balance minimizing waitlist mortality and maximizing post-transplant outcomes. While MELD predicts waitlist death, additional metrics are needed to identify transplant candidates at risk for poor outcomes. Frailty, a syndrome of decreased physiologic reserve associated with adverse health outcomes, may provide a novel measure of risk stratification among candidates for transplantation. Single center prospective trial of patients referred for transplant evaluation and assessed for quality of life (sf36), depression, and frailty. The frailty instrument has 5 elements (walking speed, grip strength, unintentional weight loss, self-reported exhaustion, and weekly physical activity). Each element has criteria that indicate frailty, such that each patient has a frailty score between 0 (not frail) and 5 (highly frail). The frailty instrument has been validated in geriatrics but not studied in liver disease. Clinical data and outcomes were recorded for all patients, and deaths confirmed via the SSDMF. Since 2009, 502 subjects have been enrolled in the clinical trial, with median follow-up of 21 months (range 3-45 mos). Frailty was normally distributed among study subjects, and not correlated with age, sex, BMI, cause of liver disease, or number of comorbidities. Frailty was weakly positively correlated with MELD score (=0.25, P&lt;0.01), but mean MELD score among high frailty (3-5) and low frailty (0-2) subjects was equivalent (12.5). High frailty was associated with higher depression (6 vs. 3, P&lt;0.01), and decreased quality of life (sf36 32 vs. 53, P&lt;0.01). Pre-transplant mortality was increased among high frailty patients (HR=2.7, P=0.02), and interacted with high MELD to produce poor pre-transplant survival (median survival, high frailty with MELD&gt;15 = 6 mos). Among 73 patients in the study who underwent transplantation, 1-year survival was equivalent among high frailty and low frailty patients (90%). However, high frailty patients had higher rates of biliary complications (33 vs 20%), renal failure (29 vs 14%), discharge to a skilled nursing facility (20 vs 9.3%) and 90-day readmission rates (67 vs 43%). Reoperation rates increased in a linear fashion from 8% for nonfrail patients (score 0) to 100% in highly frail patients (score 5). Frailty is a useful risk stratification domain for liver transplant candidates associated with decreased pre-transplant survival and increased post-transplant complications and resource utilization…","author":[{"dropping-particle":"","family":"Sonnenday","given":"C J","non-dropping-particle":"","parse-names":false,"suffix":""},{"dropping-particle":"","family":"Volk","given":"Michael","non-dropping-particle":"","parse-names":false,"suffix":""},{"dropping-particle":"","family":"Englesbe","given":"M J","non-dropping-particle":"","parse-names":false,"suffix":""}],"container-title":"Hepatology","id":"ITEM-2","issue":"S1","issued":{"date-parts":[["2013"]]},"page":"249A-253A","title":"PBC, PSC, and autoimmune disease","type":"paper-conference","volume":"58"},"uris":["http://www.mendeley.com/documents/?uuid=6e4f8d23-d305-4f4d-ad55-8a61572250cd","http://www.mendeley.com/documents/?uuid=3e535a52-bc6e-4400-aefc-4321f34bea85"]}],"mendeley":{"formattedCitation":"&lt;sup&gt;28,29&lt;/sup&gt;","plainTextFormattedCitation":"28,29","previouslyFormattedCitation":"&lt;sup&gt;28,29&lt;/sup&gt;"},"properties":{"noteIndex":0},"schema":"https://github.com/citation-style-language/schema/raw/master/csl-citation.json"}</w:instrText>
      </w:r>
      <w:r w:rsidR="00396947" w:rsidRPr="00B909F3">
        <w:rPr>
          <w:rFonts w:ascii="Book Antiqua" w:hAnsi="Book Antiqua" w:cs="Arial"/>
          <w:szCs w:val="24"/>
          <w:vertAlign w:val="superscript"/>
        </w:rPr>
        <w:fldChar w:fldCharType="separate"/>
      </w:r>
      <w:r w:rsidR="00396947" w:rsidRPr="00B909F3">
        <w:rPr>
          <w:rFonts w:ascii="Book Antiqua" w:hAnsi="Book Antiqua" w:cs="Arial"/>
          <w:noProof/>
          <w:szCs w:val="24"/>
          <w:vertAlign w:val="superscript"/>
        </w:rPr>
        <w:t>28,29</w:t>
      </w:r>
      <w:r w:rsidR="00396947" w:rsidRPr="00B909F3">
        <w:rPr>
          <w:rFonts w:ascii="Book Antiqua" w:hAnsi="Book Antiqua" w:cs="Arial"/>
          <w:szCs w:val="24"/>
          <w:vertAlign w:val="superscript"/>
        </w:rPr>
        <w:fldChar w:fldCharType="end"/>
      </w:r>
      <w:r w:rsidR="00396947" w:rsidRPr="00B909F3">
        <w:rPr>
          <w:rFonts w:ascii="Book Antiqua" w:hAnsi="Book Antiqua" w:cs="Arial"/>
          <w:szCs w:val="24"/>
          <w:vertAlign w:val="superscript"/>
        </w:rPr>
        <w:t>]</w:t>
      </w:r>
      <w:r w:rsidR="00A96029" w:rsidRPr="00B909F3">
        <w:rPr>
          <w:rFonts w:ascii="Book Antiqua" w:hAnsi="Book Antiqua" w:cs="Arial"/>
          <w:szCs w:val="24"/>
        </w:rPr>
        <w:t>,</w:t>
      </w:r>
      <w:r w:rsidR="00AE2710" w:rsidRPr="00B909F3">
        <w:rPr>
          <w:rFonts w:ascii="Book Antiqua" w:hAnsi="Book Antiqua" w:cs="Arial"/>
          <w:noProof/>
          <w:szCs w:val="24"/>
        </w:rPr>
        <w:t xml:space="preserve"> </w:t>
      </w:r>
      <w:r w:rsidR="00A81A09" w:rsidRPr="00B909F3">
        <w:rPr>
          <w:rFonts w:ascii="Book Antiqua" w:hAnsi="Book Antiqua" w:cs="Arial"/>
          <w:noProof/>
          <w:szCs w:val="24"/>
        </w:rPr>
        <w:t xml:space="preserve">conducted </w:t>
      </w:r>
      <w:r w:rsidR="00AE2710" w:rsidRPr="00B909F3">
        <w:rPr>
          <w:rFonts w:ascii="Book Antiqua" w:hAnsi="Book Antiqua" w:cs="Arial"/>
          <w:noProof/>
          <w:szCs w:val="24"/>
        </w:rPr>
        <w:t xml:space="preserve">outside of the </w:t>
      </w:r>
      <w:r w:rsidR="00396947" w:rsidRPr="00B909F3">
        <w:rPr>
          <w:rFonts w:ascii="Book Antiqua" w:hAnsi="Book Antiqua" w:cs="Arial"/>
          <w:szCs w:val="24"/>
        </w:rPr>
        <w:t>United States</w:t>
      </w:r>
      <w:r w:rsidR="00396947" w:rsidRPr="00B909F3">
        <w:rPr>
          <w:rFonts w:ascii="Book Antiqua" w:hAnsi="Book Antiqua" w:cs="Arial"/>
          <w:noProof/>
          <w:szCs w:val="24"/>
          <w:vertAlign w:val="superscript"/>
        </w:rPr>
        <w:t>[</w:t>
      </w:r>
      <w:r w:rsidR="00396947" w:rsidRPr="00B909F3">
        <w:rPr>
          <w:rFonts w:ascii="Book Antiqua" w:hAnsi="Book Antiqua" w:cs="Arial"/>
          <w:szCs w:val="24"/>
          <w:vertAlign w:val="superscript"/>
        </w:rPr>
        <w:fldChar w:fldCharType="begin" w:fldLock="1"/>
      </w:r>
      <w:r w:rsidR="00396947" w:rsidRPr="00B909F3">
        <w:rPr>
          <w:rFonts w:ascii="Book Antiqua" w:hAnsi="Book Antiqua" w:cs="Arial"/>
          <w:szCs w:val="24"/>
          <w:vertAlign w:val="superscript"/>
        </w:rPr>
        <w:instrText>ADDIN CSL_CITATION {"citationItems":[{"id":"ITEM-1","itemData":{"DOI":"10.1097/01.TP.0000163292.03640.5C","ISBN":"0041-1337 (Print)\\n0041-1337 (Linking)","ISSN":"00411337","PMID":"16003233","abstract":"BACKGROUND: Risk models for mortality after liver transplantation have poor predictive ability. We examined whether the performance of these risk models can be improved by including information about patients' functional status (i.e., their ability to carry out activities of daily living) in addition to conventional clinical risk factors. METHODS: The UK and Ireland Liver Transplant Audit has data on all liver transplantations carried out in both countries since 1994. We examined the association of functional status measures taken immediately before transplantation on a 5-point scale (modified version of the Eastern Cooperative Oncology Group performance status) and mortality 90 days after transplantation. Logistic regression was used to adjust for other risk factors. RESULTS: Posttransplant mortality increased from 5.3% in patients able to carry out normal activity without restriction (functional status 1) to 24.8% in patients completely reliant on nursing and medical care (functional status 5; P for trend 0.003). This association remained after adjustment for conventional risk factors (adjusted P for trend 0.003). Adjusted odds ratios with functional status 3 (the most frequent functional status) as baseline category were 0.60 (95% confidence interval 0.29-1.25) for functional status 1, 0.70 (0.50-0.97) for functional status 2, 1.00 (0.71-1.41) for functional status 4, and 1.85 (1.07-3.19) for functional status 5. CONCLUSIONS: Considering a patient's functional status or more general measures of a patient's health status before transplantation in addition to conventional clinical factors may help to improve our ability to predict posttransplant survival.","author":[{"dropping-particle":"","family":"Jacob","given":"Mathew","non-dropping-particle":"","parse-names":false,"suffix":""},{"dropping-particle":"","family":"Copley","given":"Lynn P.","non-dropping-particle":"","parse-names":false,"suffix":""},{"dropping-particle":"","family":"Lewsey","given":"James D.","non-dropping-particle":"","parse-names":false,"suffix":""},{"dropping-particle":"","family":"Gimson","given":"Alex","non-dropping-particle":"","parse-names":false,"suffix":""},{"dropping-particle":"","family":"Rela","given":"Mohamed","non-dropping-particle":"","parse-names":false,"suffix":""},{"dropping-particle":"","family":"Meulen","given":"Jan H P","non-dropping-particle":"Van Der","parse-names":false,"suffix":""}],"container-title":"Transplantation","id":"ITEM-1","issue":"1","issued":{"date-parts":[["2005","7"]]},"note":"LR: 20061115; JID: 0132144; ppublish","page":"52-57","title":"Functional status of patients before liver transplantation as a predictor of posttransplant mortality","type":"article-journal","volume":"80"},"uris":["http://www.mendeley.com/documents/?uuid=632df16d-950b-4f03-92b2-1bfa0253aaee","http://www.mendeley.com/documents/?uuid=9f6678a5-74c1-4b7c-adea-7aaec9fe91dd"]},{"id":"ITEM-2","itemData":{"DOI":"10.1097/01.tp.0000235516.99977.95","ISBN":"0041-1337; 0041-1337","ISSN":"00411337","PMID":"17038904","abstract":"Background. Current statistical prognostic models for mortality after liver transplantation do not have good discriminatory ability. Furthermore, the methodology used to develop these models is often flawed. The objective of this paper is to develop a prognostic model for 90-day mortality after liver transplantation based on pretransplant recipient factors, employing a rigorous model development method.Methods. We used data on 4,829 patient that were prospectively collected for the UK &amp; Ireland Liver Transplant Audit. Switching regression was employed to impute missing values combined with a bootstrapping approach for variable selection.Results. In all, 452 patients (9.4%) died within 90 days of their transplantation. The final prognostic model was well calibrated and discriminated moderately well between patients who did and who did not die (c-statistic 0.65, 95% CI [0.63, 0.68]). Although discrimination was not excellent overall, the results showed that those patients with a \"low\" chance of dying within 90 days of their transplant and those with a \"high\" chance of dying could be differentiated from patients with a \"intermediate\" chance.Conclusions. Our model can provide transplant candidates with predictions of their early posttransplantation prospects before any donor information is known, which is essential information for patients with end-stage liver disease for whom liver transplantation is a treatment option.","author":[{"dropping-particle":"","family":"Lewsey","given":"James D.","non-dropping-particle":"","parse-names":false,"suffix":""},{"dropping-particle":"","family":"Dawwas","given":"Muhammad","non-dropping-particle":"","parse-names":false,"suffix":""},{"dropping-particle":"","family":"Copley","given":"Lynn P.","non-dropping-particle":"","parse-names":false,"suffix":""},{"dropping-particle":"","family":"Gimson","given":"Alexander","non-dropping-particle":"","parse-names":false,"suffix":""},{"dropping-particle":"","family":"Meulen","given":"Jan H P","non-dropping-particle":"Van Der","parse-names":false,"suffix":""}],"container-title":"Transplantation","id":"ITEM-2","issue":"7","issued":{"date-parts":[["2006","10"]]},"note":"LR: 20070613; JID: 0132144; CIN: Liver Transpl. 2007 Apr;13(4):619-21. PMID: 17494127; ppublish","page":"898-907","title":"Developing a prognostic model for 90-day mortality after liver transplantation based on pretransplant recipient factors","type":"article-journal","volume":"82"},"uris":["http://www.mendeley.com/documents/?uuid=c354837d-9d1f-46ea-8517-bf0c3cc1bd06","http://www.mendeley.com/documents/?uuid=5e818118-f6fd-4187-859d-20a2cd603ac6"]}],"mendeley":{"formattedCitation":"&lt;sup&gt;11,30&lt;/sup&gt;","plainTextFormattedCitation":"11,30","previouslyFormattedCitation":"&lt;sup&gt;11,30&lt;/sup&gt;"},"properties":{"noteIndex":0},"schema":"https://github.com/citation-style-language/schema/raw/master/csl-citation.json"}</w:instrText>
      </w:r>
      <w:r w:rsidR="00396947" w:rsidRPr="00B909F3">
        <w:rPr>
          <w:rFonts w:ascii="Book Antiqua" w:hAnsi="Book Antiqua" w:cs="Arial"/>
          <w:szCs w:val="24"/>
          <w:vertAlign w:val="superscript"/>
        </w:rPr>
        <w:fldChar w:fldCharType="separate"/>
      </w:r>
      <w:r w:rsidR="00396947" w:rsidRPr="00B909F3">
        <w:rPr>
          <w:rFonts w:ascii="Book Antiqua" w:hAnsi="Book Antiqua" w:cs="Arial"/>
          <w:noProof/>
          <w:szCs w:val="24"/>
          <w:vertAlign w:val="superscript"/>
        </w:rPr>
        <w:t>11,30</w:t>
      </w:r>
      <w:r w:rsidR="00396947" w:rsidRPr="00B909F3">
        <w:rPr>
          <w:rFonts w:ascii="Book Antiqua" w:hAnsi="Book Antiqua" w:cs="Arial"/>
          <w:szCs w:val="24"/>
          <w:vertAlign w:val="superscript"/>
        </w:rPr>
        <w:fldChar w:fldCharType="end"/>
      </w:r>
      <w:r w:rsidR="00396947" w:rsidRPr="00B909F3">
        <w:rPr>
          <w:rFonts w:ascii="Book Antiqua" w:hAnsi="Book Antiqua" w:cs="Arial"/>
          <w:szCs w:val="24"/>
          <w:vertAlign w:val="superscript"/>
        </w:rPr>
        <w:t>]</w:t>
      </w:r>
      <w:r w:rsidR="00A96029" w:rsidRPr="00B909F3">
        <w:rPr>
          <w:rFonts w:ascii="Book Antiqua" w:hAnsi="Book Antiqua" w:cs="Arial"/>
          <w:noProof/>
          <w:szCs w:val="24"/>
        </w:rPr>
        <w:t>,</w:t>
      </w:r>
      <w:r w:rsidR="00AE2710" w:rsidRPr="00B909F3">
        <w:rPr>
          <w:rFonts w:ascii="Book Antiqua" w:hAnsi="Book Antiqua" w:cs="Arial"/>
          <w:szCs w:val="24"/>
        </w:rPr>
        <w:t xml:space="preserve"> limited to the early post-transplant period</w:t>
      </w:r>
      <w:r w:rsidR="00396947" w:rsidRPr="00B909F3">
        <w:rPr>
          <w:rFonts w:ascii="Book Antiqua" w:hAnsi="Book Antiqua" w:cs="Arial"/>
          <w:szCs w:val="24"/>
          <w:vertAlign w:val="superscript"/>
        </w:rPr>
        <w:t>[</w:t>
      </w:r>
      <w:r w:rsidR="00396947" w:rsidRPr="00B909F3">
        <w:rPr>
          <w:rFonts w:ascii="Book Antiqua" w:hAnsi="Book Antiqua" w:cs="Arial"/>
          <w:szCs w:val="24"/>
          <w:vertAlign w:val="superscript"/>
        </w:rPr>
        <w:fldChar w:fldCharType="begin" w:fldLock="1"/>
      </w:r>
      <w:r w:rsidR="00396947" w:rsidRPr="00B909F3">
        <w:rPr>
          <w:rFonts w:ascii="Book Antiqua" w:hAnsi="Book Antiqua" w:cs="Arial"/>
          <w:szCs w:val="24"/>
          <w:vertAlign w:val="superscript"/>
        </w:rPr>
        <w:instrText>ADDIN CSL_CITATION {"citationItems":[{"id":"ITEM-1","itemData":{"DOI":"10.1111/ctr.12808","ISBN":"0902-0063","ISSN":"13990012","PMID":"27439897","abstract":"BACKGROUND: Frail patients are more vulnerable to perioperative stressors of liver transplantation (LT). Program Specific Reports, used in transplant center auditing, risk-adjust for frailty using the Karnofsky Performance Status (KPS) scale. We evaluate the extent to which functional impairment/disability is associated with increased risk of postoperative death. METHODS: We included 24 505 first-time LT recipients from the Scientific Registry of Transplant Recipients (2006-2011). We categorized patients as Severe, Moderate, or Normal function/disability using the KPS scale and evaluated risk of 30- and 90-day mortality. Analyses took potential center-specific differences in KPS measurement protocols into account using hierarchal logistic modeling. RESULTS: Over one-quarter of our population was Severely impaired/disabled, and 30.5% had no functional limitations. Severely and Moderately impaired/disabled patients had 2.56 (95% CI 1.91-3.44) and 1.40 (95% CI 1.10-1.78) times the odds of 30-day mortality, respectively, after adjusting for key recipient and donor factors. Estimates remained consistent regardless of Model for End-Stage Liver Disease score, medical condition, or clustering analyses by center. Technical/operative complications and multiorgan failure/hemorrhage were more common causes of death among more Severely disabled patients than in higher functioning groups. CONCLUSIONS: Pre-transplant functional status, assessed using the KPS scale, is a reliable predictor of post-LT mortality in the United States.","author":[{"dropping-particle":"","family":"Dolgin","given":"Natasha H.","non-dropping-particle":"","parse-names":false,"suffix":""},{"dropping-particle":"","family":"Martins","given":"Paulo N.A.","non-dropping-particle":"","parse-names":false,"suffix":""},{"dropping-particle":"","family":"Movahedi","given":"Babak","non-dropping-particle":"","parse-names":false,"suffix":""},{"dropping-particle":"","family":"Lapane","given":"Kate L.","non-dropping-particle":"","parse-names":false,"suffix":""},{"dropping-particle":"","family":"Anderson","given":"Fred A.","non-dropping-particle":"","parse-names":false,"suffix":""},{"dropping-particle":"","family":"Bozorgzadeh","given":"Adel","non-dropping-particle":"","parse-names":false,"suffix":""}],"container-title":"Clinical Transplantation","id":"ITEM-1","issue":"11","issued":{"date-parts":[["2016","11"]]},"page":"1403-1410","title":"Functional status predicts postoperative mortality after liver transplantation","type":"article-journal","volume":"30"},"uris":["http://www.mendeley.com/documents/?uuid=ecb1719c-b93b-3e76-8c09-bf6a41aa2e5a","http://www.mendeley.com/documents/?uuid=54c4a721-443f-49d1-9a17-a9dc0a8170c1"]},{"id":"ITEM-2","itemData":{"DOI":"10.1097/01.TP.0000163292.03640.5C","ISBN":"0041-1337 (Print)\\n0041-1337 (Linking)","ISSN":"00411337","PMID":"16003233","abstract":"BACKGROUND: Risk models for mortality after liver transplantation have poor predictive ability. We examined whether the performance of these risk models can be improved by including information about patients' functional status (i.e., their ability to carry out activities of daily living) in addition to conventional clinical risk factors. METHODS: The UK and Ireland Liver Transplant Audit has data on all liver transplantations carried out in both countries since 1994. We examined the association of functional status measures taken immediately before transplantation on a 5-point scale (modified version of the Eastern Cooperative Oncology Group performance status) and mortality 90 days after transplantation. Logistic regression was used to adjust for other risk factors. RESULTS: Posttransplant mortality increased from 5.3% in patients able to carry out normal activity without restriction (functional status 1) to 24.8% in patients completely reliant on nursing and medical care (functional status 5; P for trend 0.003). This association remained after adjustment for conventional risk factors (adjusted P for trend 0.003). Adjusted odds ratios with functional status 3 (the most frequent functional status) as baseline category were 0.60 (95% confidence interval 0.29-1.25) for functional status 1, 0.70 (0.50-0.97) for functional status 2, 1.00 (0.71-1.41) for functional status 4, and 1.85 (1.07-3.19) for functional status 5. CONCLUSIONS: Considering a patient's functional status or more general measures of a patient's health status before transplantation in addition to conventional clinical factors may help to improve our ability to predict posttransplant survival.","author":[{"dropping-particle":"","family":"Jacob","given":"Mathew","non-dropping-particle":"","parse-names":false,"suffix":""},{"dropping-particle":"","family":"Copley","given":"Lynn P.","non-dropping-particle":"","parse-names":false,"suffix":""},{"dropping-particle":"","family":"Lewsey","given":"James D.","non-dropping-particle":"","parse-names":false,"suffix":""},{"dropping-particle":"","family":"Gimson","given":"Alex","non-dropping-particle":"","parse-names":false,"suffix":""},{"dropping-particle":"","family":"Rela","given":"Mohamed","non-dropping-particle":"","parse-names":false,"suffix":""},{"dropping-particle":"","family":"Meulen","given":"Jan H P","non-dropping-particle":"Van Der","parse-names":false,"suffix":""}],"container-title":"Transplantation","id":"ITEM-2","issue":"1","issued":{"date-parts":[["2005","7"]]},"note":"LR: 20061115; JID: 0132144; ppublish","page":"52-57","title":"Functional status of patients before liver transplantation as a predictor of posttransplant mortality","type":"article-journal","volume":"80"},"uris":["http://www.mendeley.com/documents/?uuid=9f6678a5-74c1-4b7c-adea-7aaec9fe91dd","http://www.mendeley.com/documents/?uuid=632df16d-950b-4f03-92b2-1bfa0253aaee"]},{"id":"ITEM-3","itemData":{"DOI":"10.1097/01.tp.0000235516.99977.95","ISBN":"0041-1337; 0041-1337","ISSN":"00411337","PMID":"17038904","abstract":"Background. Current statistical prognostic models for mortality after liver transplantation do not have good discriminatory ability. Furthermore, the methodology used to develop these models is often flawed. The objective of this paper is to develop a prognostic model for 90-day mortality after liver transplantation based on pretransplant recipient factors, employing a rigorous model development method.Methods. We used data on 4,829 patient that were prospectively collected for the UK &amp; Ireland Liver Transplant Audit. Switching regression was employed to impute missing values combined with a bootstrapping approach for variable selection.Results. In all, 452 patients (9.4%) died within 90 days of their transplantation. The final prognostic model was well calibrated and discriminated moderately well between patients who did and who did not die (c-statistic 0.65, 95% CI [0.63, 0.68]). Although discrimination was not excellent overall, the results showed that those patients with a \"low\" chance of dying within 90 days of their transplant and those with a \"high\" chance of dying could be differentiated from patients with a \"intermediate\" chance.Conclusions. Our model can provide transplant candidates with predictions of their early posttransplantation prospects before any donor information is known, which is essential information for patients with end-stage liver disease for whom liver transplantation is a treatment option.","author":[{"dropping-particle":"","family":"Lewsey","given":"James D.","non-dropping-particle":"","parse-names":false,"suffix":""},{"dropping-particle":"","family":"Dawwas","given":"Muhammad","non-dropping-particle":"","parse-names":false,"suffix":""},{"dropping-particle":"","family":"Copley","given":"Lynn P.","non-dropping-particle":"","parse-names":false,"suffix":""},{"dropping-particle":"","family":"Gimson","given":"Alexander","non-dropping-particle":"","parse-names":false,"suffix":""},{"dropping-particle":"","family":"Meulen","given":"Jan H P","non-dropping-particle":"Van Der","parse-names":false,"suffix":""}],"container-title":"Transplantation","id":"ITEM-3","issue":"7","issued":{"date-parts":[["2006","10"]]},"note":"LR: 20070613; JID: 0132144; CIN: Liver Transpl. 2007 Apr;13(4):619-21. PMID: 17494127; ppublish","page":"898-907","title":"Developing a prognostic model for 90-day mortality after liver transplantation based on pretransplant recipient factors","type":"article-journal","volume":"82"},"uris":["http://www.mendeley.com/documents/?uuid=c354837d-9d1f-46ea-8517-bf0c3cc1bd06","http://www.mendeley.com/documents/?uuid=5e818118-f6fd-4187-859d-20a2cd603ac6","http://www.mendeley.com/documents/?uuid=044e3077-e280-4851-8c65-02c776f85d4a"]}],"mendeley":{"formattedCitation":"&lt;sup&gt;11,30,31&lt;/sup&gt;","plainTextFormattedCitation":"11,30,31","previouslyFormattedCitation":"&lt;sup&gt;11,30,31&lt;/sup&gt;"},"properties":{"noteIndex":0},"schema":"https://github.com/citation-style-language/schema/raw/master/csl-citation.json"}</w:instrText>
      </w:r>
      <w:r w:rsidR="00396947" w:rsidRPr="00B909F3">
        <w:rPr>
          <w:rFonts w:ascii="Book Antiqua" w:hAnsi="Book Antiqua" w:cs="Arial"/>
          <w:szCs w:val="24"/>
          <w:vertAlign w:val="superscript"/>
        </w:rPr>
        <w:fldChar w:fldCharType="separate"/>
      </w:r>
      <w:r w:rsidR="00396947" w:rsidRPr="00B909F3">
        <w:rPr>
          <w:rFonts w:ascii="Book Antiqua" w:hAnsi="Book Antiqua" w:cs="Arial"/>
          <w:noProof/>
          <w:szCs w:val="24"/>
          <w:vertAlign w:val="superscript"/>
        </w:rPr>
        <w:t>11,30,31</w:t>
      </w:r>
      <w:r w:rsidR="00396947" w:rsidRPr="00B909F3">
        <w:rPr>
          <w:rFonts w:ascii="Book Antiqua" w:hAnsi="Book Antiqua" w:cs="Arial"/>
          <w:szCs w:val="24"/>
          <w:vertAlign w:val="superscript"/>
        </w:rPr>
        <w:fldChar w:fldCharType="end"/>
      </w:r>
      <w:r w:rsidR="00396947" w:rsidRPr="00B909F3">
        <w:rPr>
          <w:rFonts w:ascii="Book Antiqua" w:hAnsi="Book Antiqua" w:cs="Arial"/>
          <w:szCs w:val="24"/>
          <w:vertAlign w:val="superscript"/>
        </w:rPr>
        <w:t>]</w:t>
      </w:r>
      <w:r w:rsidR="00A96029" w:rsidRPr="00B909F3">
        <w:rPr>
          <w:rFonts w:ascii="Book Antiqua" w:hAnsi="Book Antiqua" w:cs="Arial"/>
          <w:szCs w:val="24"/>
        </w:rPr>
        <w:t xml:space="preserve">, </w:t>
      </w:r>
      <w:r w:rsidR="00AE2710" w:rsidRPr="00B909F3">
        <w:rPr>
          <w:rFonts w:ascii="Book Antiqua" w:hAnsi="Book Antiqua" w:cs="Arial"/>
          <w:noProof/>
          <w:szCs w:val="24"/>
        </w:rPr>
        <w:t>and</w:t>
      </w:r>
      <w:r w:rsidR="00AE2710" w:rsidRPr="00B909F3">
        <w:rPr>
          <w:rFonts w:ascii="Book Antiqua" w:hAnsi="Book Antiqua" w:cs="Arial"/>
          <w:szCs w:val="24"/>
        </w:rPr>
        <w:t>/or took place before MELD implementation</w:t>
      </w:r>
      <w:r w:rsidR="00966C11" w:rsidRPr="00B909F3">
        <w:rPr>
          <w:rFonts w:ascii="Book Antiqua" w:hAnsi="Book Antiqua" w:cs="Arial"/>
          <w:szCs w:val="24"/>
        </w:rPr>
        <w:t>,</w:t>
      </w:r>
      <w:r w:rsidR="00AE2710" w:rsidRPr="00B909F3">
        <w:rPr>
          <w:rFonts w:ascii="Book Antiqua" w:hAnsi="Book Antiqua" w:cs="Arial"/>
          <w:szCs w:val="24"/>
        </w:rPr>
        <w:t xml:space="preserve"> at which </w:t>
      </w:r>
      <w:r w:rsidR="00AE2710" w:rsidRPr="00B909F3">
        <w:rPr>
          <w:rFonts w:ascii="Book Antiqua" w:hAnsi="Book Antiqua" w:cs="Arial"/>
          <w:szCs w:val="24"/>
        </w:rPr>
        <w:lastRenderedPageBreak/>
        <w:t>point the transplant recipient population shifted dramatically</w:t>
      </w:r>
      <w:r w:rsidR="00396947" w:rsidRPr="00B909F3">
        <w:rPr>
          <w:rFonts w:ascii="Book Antiqua" w:hAnsi="Book Antiqua" w:cs="Arial"/>
          <w:szCs w:val="24"/>
          <w:vertAlign w:val="superscript"/>
        </w:rPr>
        <w:t>[</w:t>
      </w:r>
      <w:r w:rsidR="00396947" w:rsidRPr="00B909F3">
        <w:rPr>
          <w:rFonts w:ascii="Book Antiqua" w:hAnsi="Book Antiqua" w:cs="Arial"/>
          <w:szCs w:val="24"/>
          <w:vertAlign w:val="superscript"/>
        </w:rPr>
        <w:fldChar w:fldCharType="begin" w:fldLock="1"/>
      </w:r>
      <w:r w:rsidR="00396947" w:rsidRPr="00B909F3">
        <w:rPr>
          <w:rFonts w:ascii="Book Antiqua" w:hAnsi="Book Antiqua" w:cs="Arial"/>
          <w:szCs w:val="24"/>
          <w:vertAlign w:val="superscript"/>
        </w:rPr>
        <w:instrText>ADDIN CSL_CITATION {"citationItems":[{"id":"ITEM-1","itemData":{"DOI":"10.1002/hep.510250330","ISSN":"0270-9139","PMID":"9049217","abstract":"We studied the outcome of 436 patients with primary biliary cirrhosis (PBC) or primary sclerosing cholangitis (PSC) who underwent orthotopic liver transplant (OLT) at three major liver transplant centers. Univariate predictors of outcome included age, Karnofsky score, Child's class, Mayo risk score, United Network for Organ Sharing (UNOS) status, nutritional status, serum albumin, serum bilirubin, international normalized ratio, and the presence of ascites, encephalopathy, renal failure (serum creatinine &gt; 2 mg/dL), and edema refractory to diuretics. Using these predictors, we developed a four variable mathematical prognostic model to help the liver transplant physician predict the following: 1) the amount of intraoperative blood loss; 2) the number of days in the intensive care unit (ICU); and 3) severe complications after surgery. The model uses age, renal failure, Child's class, and United Network for Organ Sharing status. This study is the first to model the outcome of liver transplant in patients with a specific etiology of chronic liver disease (PBC or PSC). The model may be used to help select patients for OLT and to plan the timing of their transplantation.","author":[{"dropping-particle":"","family":"Ricci","given":"P","non-dropping-particle":"","parse-names":false,"suffix":""},{"dropping-particle":"","family":"Therneau","given":"T M","non-dropping-particle":"","parse-names":false,"suffix":""},{"dropping-particle":"","family":"Malinchoc","given":"M","non-dropping-particle":"","parse-names":false,"suffix":""},{"dropping-particle":"","family":"Benson","given":"J T","non-dropping-particle":"","parse-names":false,"suffix":""},{"dropping-particle":"","family":"Petz","given":"J L","non-dropping-particle":"","parse-names":false,"suffix":""},{"dropping-particle":"","family":"Klintmalm","given":"G B","non-dropping-particle":"","parse-names":false,"suffix":""},{"dropping-particle":"","family":"Crippin","given":"J S","non-dropping-particle":"","parse-names":false,"suffix":""},{"dropping-particle":"","family":"Wiesner","given":"R H","non-dropping-particle":"","parse-names":false,"suffix":""},{"dropping-particle":"","family":"Steers","given":"J L","non-dropping-particle":"","parse-names":false,"suffix":""},{"dropping-particle":"","family":"Rakela","given":"J","non-dropping-particle":"","parse-names":false,"suffix":""},{"dropping-particle":"","family":"Starzl","given":"T E","non-dropping-particle":"","parse-names":false,"suffix":""},{"dropping-particle":"","family":"Dickson","given":"E R","non-dropping-particle":"","parse-names":false,"suffix":""}],"container-title":"Hepatology (Baltimore, Md.)","id":"ITEM-1","issue":"3","issued":{"date-parts":[["1997","3"]]},"note":"KPS --&amp;gt; intraoperative blood loss, and postoperative morbidity (intensive care unit [ICU] stay and major complications after OLT) \nnote: not survival because said &amp;quot;clinically acceptable&amp;quot;","page":"672-7","title":"A prognostic model for the outcome of liver transplantation in patients with cholestatic liver disease.","type":"article-journal","volume":"25"},"uris":["http://www.mendeley.com/documents/?uuid=3611fd7d-e1b9-436b-bb2b-f2c5a160c4ab","http://www.mendeley.com/documents/?uuid=7bd61ad4-c22f-43b2-97ce-d07d9562406e"]},{"id":"ITEM-2","itemData":{"DOI":"10.1016/S0002-9610(98)00053-1","ISBN":"0002-9610 (Print) 0002-9610","ISSN":"00029610","PMID":"9600275","abstract":"BACKGROUND: There is an increasing demand for outcomes analysis, including quality of life and financial analysis, following medical interventions and surgical procedures. We analyzed outcomes for 100 consecutive patients undergoing liver transplantation during a period of case management revision. METHODS: Patient survival was calculated by Kaplan- Meier actuarial methods. The Karnofsky performance status was objectively assessed for surviving patients up to 6 years after transplantation and was evaluated by repeated measures analysis of variance and covariance. Subjective evaluation of quality of life over time was obtained using the Psychosocial Adjustment to Illness Scale. The correlations between time and scale were calculated. Financial data were accumulated from billing records. RESULTS: Six-month, 1-year, 2-year, and 3-through 5-year survival was 86%, 84%, 83%, and 78%, respectively. Karnofsky performance status confirmed poor functional status preoperatively with a mean of 53 ± 2, but significantly improving to 72 ± 2 at 3 months, 80 ± 2 at 6 months, 90± 1 at 1 year, 92 ± 1 at 2 years, 94 ± 1 at 3 years, 96 ± 1 at 4 years, and 97 ± 1 at 5 years (P &lt;0.001). Psychosocial Adjustment to Illness Scale scores demonstrated significant improvement following transplantation overall (r = - 0.33), improving most in sexual relationships (r = -0.41), and domestic environment (r = -0.35; P &lt;0.001). Median length of stay for the first half of the patients was 19 days declining to 11 days for the second half. Median hospital charges declined from $105,000 to $90,000. CONCLUSIONS: Quality of life parameters assessed both by care givers (Karnofsky) and by patients (Psychosocial Adjustment to Illness Scale) improved dramatically following transplantation and over time, demonstrating that liver transplantation effectively restores a good quality of life. Outcomes can be improved while reducing length of stay and charges through modifications in case management.","author":[{"dropping-particle":"","family":"Geevarghese","given":"Sunil K.","non-dropping-particle":"","parse-names":false,"suffix":""},{"dropping-particle":"","family":"Bradley","given":"Anne E.","non-dropping-particle":"","parse-names":false,"suffix":""},{"dropping-particle":"","family":"Wright","given":"J. Kelly","non-dropping-particle":"","parse-names":false,"suffix":""},{"dropping-particle":"","family":"Chapman","given":"William C.","non-dropping-particle":"","parse-names":false,"suffix":""},{"dropping-particle":"","family":"Feurer","given":"Irene","non-dropping-particle":"","parse-names":false,"suffix":""},{"dropping-particle":"","family":"Payne","given":"Jerita L.","non-dropping-particle":"","parse-names":false,"suffix":""},{"dropping-particle":"","family":"Hunter","given":"Ellen B.","non-dropping-particle":"","parse-names":false,"suffix":""},{"dropping-particle":"","family":"Pinson","given":"C. Wright","non-dropping-particle":"","parse-names":false,"suffix":""}],"container-title":"American Journal of Surgery","id":"ITEM-2","issue":"5","issued":{"date-parts":[["1998","5"]]},"page":"348-353","title":"Outcomes analysis in 100 liver transplantation patients","type":"article-journal","volume":"175"},"uris":["http://www.mendeley.com/documents/?uuid=5bcead64-3469-4c9f-958e-ea22ea8ce370","http://www.mendeley.com/documents/?uuid=5527b0ba-e5d5-4780-8f81-d361b2acac0c"]}],"mendeley":{"formattedCitation":"&lt;sup&gt;28,32&lt;/sup&gt;","plainTextFormattedCitation":"28,32","previouslyFormattedCitation":"&lt;sup&gt;28,32&lt;/sup&gt;"},"properties":{"noteIndex":0},"schema":"https://github.com/citation-style-language/schema/raw/master/csl-citation.json"}</w:instrText>
      </w:r>
      <w:r w:rsidR="00396947" w:rsidRPr="00B909F3">
        <w:rPr>
          <w:rFonts w:ascii="Book Antiqua" w:hAnsi="Book Antiqua" w:cs="Arial"/>
          <w:szCs w:val="24"/>
          <w:vertAlign w:val="superscript"/>
        </w:rPr>
        <w:fldChar w:fldCharType="separate"/>
      </w:r>
      <w:r w:rsidR="00396947" w:rsidRPr="00B909F3">
        <w:rPr>
          <w:rFonts w:ascii="Book Antiqua" w:hAnsi="Book Antiqua" w:cs="Arial"/>
          <w:noProof/>
          <w:szCs w:val="24"/>
          <w:vertAlign w:val="superscript"/>
        </w:rPr>
        <w:t>28,32</w:t>
      </w:r>
      <w:r w:rsidR="00396947" w:rsidRPr="00B909F3">
        <w:rPr>
          <w:rFonts w:ascii="Book Antiqua" w:hAnsi="Book Antiqua" w:cs="Arial"/>
          <w:szCs w:val="24"/>
          <w:vertAlign w:val="superscript"/>
        </w:rPr>
        <w:fldChar w:fldCharType="end"/>
      </w:r>
      <w:r w:rsidR="00396947" w:rsidRPr="00B909F3">
        <w:rPr>
          <w:rFonts w:ascii="Book Antiqua" w:hAnsi="Book Antiqua" w:cs="Arial"/>
          <w:szCs w:val="24"/>
          <w:vertAlign w:val="superscript"/>
        </w:rPr>
        <w:t>]</w:t>
      </w:r>
      <w:r w:rsidR="00A96029" w:rsidRPr="00B909F3">
        <w:rPr>
          <w:rFonts w:ascii="Book Antiqua" w:hAnsi="Book Antiqua" w:cs="Arial"/>
          <w:szCs w:val="24"/>
        </w:rPr>
        <w:t>.</w:t>
      </w:r>
      <w:r w:rsidR="00AE2710" w:rsidRPr="00B909F3">
        <w:rPr>
          <w:rFonts w:ascii="Book Antiqua" w:hAnsi="Book Antiqua" w:cs="Arial"/>
          <w:szCs w:val="24"/>
        </w:rPr>
        <w:t xml:space="preserve"> In 2013, the Liver and Intestinal Transplant Committee of OPTN </w:t>
      </w:r>
      <w:r w:rsidR="00582391" w:rsidRPr="00B909F3">
        <w:rPr>
          <w:rFonts w:ascii="Book Antiqua" w:hAnsi="Book Antiqua" w:cs="Arial"/>
          <w:szCs w:val="24"/>
        </w:rPr>
        <w:t>publicly</w:t>
      </w:r>
      <w:r w:rsidR="00AE2710" w:rsidRPr="00B909F3">
        <w:rPr>
          <w:rFonts w:ascii="Book Antiqua" w:hAnsi="Book Antiqua" w:cs="Arial"/>
          <w:szCs w:val="24"/>
        </w:rPr>
        <w:t xml:space="preserve"> asked for researchers to fill th</w:t>
      </w:r>
      <w:r w:rsidR="00966C11" w:rsidRPr="00B909F3">
        <w:rPr>
          <w:rFonts w:ascii="Book Antiqua" w:hAnsi="Book Antiqua" w:cs="Arial"/>
          <w:szCs w:val="24"/>
        </w:rPr>
        <w:t>is</w:t>
      </w:r>
      <w:r w:rsidR="00AE2710" w:rsidRPr="00B909F3">
        <w:rPr>
          <w:rFonts w:ascii="Book Antiqua" w:hAnsi="Book Antiqua" w:cs="Arial"/>
          <w:szCs w:val="24"/>
        </w:rPr>
        <w:t xml:space="preserve"> gap in the literature </w:t>
      </w:r>
      <w:r w:rsidR="00966C11" w:rsidRPr="00B909F3">
        <w:rPr>
          <w:rFonts w:ascii="Book Antiqua" w:hAnsi="Book Antiqua" w:cs="Arial"/>
          <w:szCs w:val="24"/>
        </w:rPr>
        <w:t>regarding</w:t>
      </w:r>
      <w:r w:rsidR="00AE2710" w:rsidRPr="00B909F3">
        <w:rPr>
          <w:rFonts w:ascii="Book Antiqua" w:hAnsi="Book Antiqua" w:cs="Arial"/>
          <w:szCs w:val="24"/>
        </w:rPr>
        <w:t xml:space="preserve"> the utility of the KPS scale in a national liver transplant population</w:t>
      </w:r>
      <w:r w:rsidR="00396947" w:rsidRPr="00B909F3">
        <w:rPr>
          <w:rFonts w:ascii="Book Antiqua" w:hAnsi="Book Antiqua" w:cs="Arial"/>
          <w:szCs w:val="24"/>
          <w:vertAlign w:val="superscript"/>
        </w:rPr>
        <w:t>[</w:t>
      </w:r>
      <w:r w:rsidR="00396947" w:rsidRPr="00B909F3">
        <w:rPr>
          <w:rFonts w:ascii="Book Antiqua" w:hAnsi="Book Antiqua" w:cs="Arial"/>
          <w:szCs w:val="24"/>
          <w:vertAlign w:val="superscript"/>
        </w:rPr>
        <w:fldChar w:fldCharType="begin" w:fldLock="1"/>
      </w:r>
      <w:r w:rsidR="00396947" w:rsidRPr="00B909F3">
        <w:rPr>
          <w:rFonts w:ascii="Book Antiqua" w:hAnsi="Book Antiqua" w:cs="Arial"/>
          <w:szCs w:val="24"/>
          <w:vertAlign w:val="superscript"/>
        </w:rPr>
        <w:instrText>ADDIN CSL_CITATION {"citationItems":[{"id":"ITEM-1","itemData":{"id":"ITEM-1","issued":{"date-parts":[["2013"]]},"number-of-pages":"16","publisher-place":"Atlanta, GA","title":"OPTN/UNOS Liver and Intestinal Organ Transplantation Committee: Report to the Board of Directors","type":"report"},"uris":["http://www.mendeley.com/documents/?uuid=44563064-53c8-493d-aee0-6a2f01dc6d3c","http://www.mendeley.com/documents/?uuid=40ca3333-b23a-4f12-a15c-e2f97a5e6949"]}],"mendeley":{"formattedCitation":"&lt;sup&gt;18&lt;/sup&gt;","plainTextFormattedCitation":"18","previouslyFormattedCitation":"&lt;sup&gt;26&lt;/sup&gt;"},"properties":{"noteIndex":0},"schema":"https://github.com/citation-style-language/schema/raw/master/csl-citation.json"}</w:instrText>
      </w:r>
      <w:r w:rsidR="00396947" w:rsidRPr="00B909F3">
        <w:rPr>
          <w:rFonts w:ascii="Book Antiqua" w:hAnsi="Book Antiqua" w:cs="Arial"/>
          <w:szCs w:val="24"/>
          <w:vertAlign w:val="superscript"/>
        </w:rPr>
        <w:fldChar w:fldCharType="separate"/>
      </w:r>
      <w:r w:rsidR="00396947" w:rsidRPr="00B909F3">
        <w:rPr>
          <w:rFonts w:ascii="Book Antiqua" w:hAnsi="Book Antiqua" w:cs="Arial"/>
          <w:noProof/>
          <w:szCs w:val="24"/>
          <w:vertAlign w:val="superscript"/>
        </w:rPr>
        <w:t>18</w:t>
      </w:r>
      <w:r w:rsidR="00396947" w:rsidRPr="00B909F3">
        <w:rPr>
          <w:rFonts w:ascii="Book Antiqua" w:hAnsi="Book Antiqua" w:cs="Arial"/>
          <w:szCs w:val="24"/>
          <w:vertAlign w:val="superscript"/>
        </w:rPr>
        <w:fldChar w:fldCharType="end"/>
      </w:r>
      <w:r w:rsidR="00396947" w:rsidRPr="00B909F3">
        <w:rPr>
          <w:rFonts w:ascii="Book Antiqua" w:hAnsi="Book Antiqua" w:cs="Arial"/>
          <w:szCs w:val="24"/>
          <w:vertAlign w:val="superscript"/>
        </w:rPr>
        <w:t>]</w:t>
      </w:r>
      <w:r w:rsidR="00D104C1" w:rsidRPr="00B909F3">
        <w:rPr>
          <w:rFonts w:ascii="Book Antiqua" w:hAnsi="Book Antiqua" w:cs="Arial"/>
          <w:szCs w:val="24"/>
        </w:rPr>
        <w:t>.</w:t>
      </w:r>
      <w:bookmarkStart w:id="26" w:name="_Hlk536049454"/>
    </w:p>
    <w:p w14:paraId="07FDCDE2" w14:textId="308B2A07" w:rsidR="00AE2710" w:rsidRPr="00B909F3" w:rsidRDefault="00AE2710"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xml:space="preserve">To our knowledge, this will be the first study to evaluate a standardized, validated measure of functional status as a predictor of </w:t>
      </w:r>
      <w:r w:rsidR="003C47B8" w:rsidRPr="00B909F3">
        <w:rPr>
          <w:rFonts w:ascii="Book Antiqua" w:hAnsi="Book Antiqua" w:cs="Arial"/>
          <w:szCs w:val="24"/>
        </w:rPr>
        <w:t>1-year post-transplant</w:t>
      </w:r>
      <w:r w:rsidR="00966C11" w:rsidRPr="00B909F3">
        <w:rPr>
          <w:rFonts w:ascii="Book Antiqua" w:hAnsi="Book Antiqua" w:cs="Arial"/>
          <w:szCs w:val="24"/>
        </w:rPr>
        <w:t xml:space="preserve"> outcomes</w:t>
      </w:r>
      <w:r w:rsidRPr="00B909F3">
        <w:rPr>
          <w:rFonts w:ascii="Book Antiqua" w:hAnsi="Book Antiqua" w:cs="Arial"/>
          <w:szCs w:val="24"/>
        </w:rPr>
        <w:t xml:space="preserve"> in a national </w:t>
      </w:r>
      <w:r w:rsidR="00396947" w:rsidRPr="00B909F3">
        <w:rPr>
          <w:rFonts w:ascii="Book Antiqua" w:hAnsi="Book Antiqua" w:cs="Arial"/>
          <w:szCs w:val="24"/>
        </w:rPr>
        <w:t xml:space="preserve">United States </w:t>
      </w:r>
      <w:r w:rsidRPr="00B909F3">
        <w:rPr>
          <w:rFonts w:ascii="Book Antiqua" w:hAnsi="Book Antiqua" w:cs="Arial"/>
          <w:szCs w:val="24"/>
        </w:rPr>
        <w:t xml:space="preserve">liver transplant population. Using data from the only comprehensive nationwide transplant database, the United Network </w:t>
      </w:r>
      <w:r w:rsidRPr="00B909F3">
        <w:rPr>
          <w:rFonts w:ascii="Book Antiqua" w:hAnsi="Book Antiqua" w:cs="Arial"/>
          <w:noProof/>
          <w:szCs w:val="24"/>
        </w:rPr>
        <w:t>for</w:t>
      </w:r>
      <w:r w:rsidRPr="00B909F3">
        <w:rPr>
          <w:rFonts w:ascii="Book Antiqua" w:hAnsi="Book Antiqua" w:cs="Arial"/>
          <w:szCs w:val="24"/>
        </w:rPr>
        <w:t xml:space="preserve"> Organ Sharing (UNOS) </w:t>
      </w:r>
      <w:bookmarkEnd w:id="26"/>
      <w:r w:rsidR="00F064D4" w:rsidRPr="00B909F3">
        <w:rPr>
          <w:rFonts w:ascii="Book Antiqua" w:hAnsi="Book Antiqua" w:cs="Arial"/>
          <w:szCs w:val="24"/>
        </w:rPr>
        <w:t>Scientific Registry of Transplant Recipients (SRTR)</w:t>
      </w:r>
      <w:r w:rsidRPr="00B909F3">
        <w:rPr>
          <w:rFonts w:ascii="Book Antiqua" w:hAnsi="Book Antiqua" w:cs="Arial"/>
          <w:noProof/>
          <w:szCs w:val="24"/>
        </w:rPr>
        <w:t>, we</w:t>
      </w:r>
      <w:r w:rsidRPr="00B909F3">
        <w:rPr>
          <w:rFonts w:ascii="Book Antiqua" w:hAnsi="Book Antiqua" w:cs="Arial"/>
          <w:szCs w:val="24"/>
        </w:rPr>
        <w:t xml:space="preserve"> assessed the clinical utility of the KPS scale for the prediction of 1-year post-liver transplant patient and graft survival.</w:t>
      </w:r>
    </w:p>
    <w:p w14:paraId="2ED00110" w14:textId="77777777" w:rsidR="00AE2710" w:rsidRPr="00B909F3" w:rsidRDefault="00AE2710" w:rsidP="00197EDE">
      <w:pPr>
        <w:spacing w:after="0" w:line="360" w:lineRule="auto"/>
        <w:jc w:val="both"/>
        <w:rPr>
          <w:rFonts w:ascii="Book Antiqua" w:hAnsi="Book Antiqua" w:cs="Arial"/>
          <w:b/>
          <w:szCs w:val="24"/>
        </w:rPr>
      </w:pPr>
    </w:p>
    <w:p w14:paraId="7CC591DC" w14:textId="7975FCD5" w:rsidR="00AE2710" w:rsidRPr="00B909F3" w:rsidRDefault="00E46B52" w:rsidP="00197EDE">
      <w:pPr>
        <w:spacing w:after="0" w:line="360" w:lineRule="auto"/>
        <w:jc w:val="both"/>
        <w:rPr>
          <w:rFonts w:ascii="Book Antiqua" w:hAnsi="Book Antiqua" w:cs="Arial"/>
          <w:b/>
          <w:szCs w:val="24"/>
        </w:rPr>
      </w:pPr>
      <w:r w:rsidRPr="00B909F3">
        <w:rPr>
          <w:rFonts w:ascii="Book Antiqua" w:hAnsi="Book Antiqua" w:cs="Arial"/>
          <w:b/>
          <w:szCs w:val="24"/>
        </w:rPr>
        <w:t xml:space="preserve">MATERIALS AND </w:t>
      </w:r>
      <w:r w:rsidR="00AE2710" w:rsidRPr="00B909F3">
        <w:rPr>
          <w:rFonts w:ascii="Book Antiqua" w:hAnsi="Book Antiqua" w:cs="Arial"/>
          <w:b/>
          <w:szCs w:val="24"/>
        </w:rPr>
        <w:t>METHODS</w:t>
      </w:r>
    </w:p>
    <w:p w14:paraId="4DA146E4" w14:textId="170234E5" w:rsidR="00AE2710" w:rsidRPr="00B909F3" w:rsidRDefault="00AE2710" w:rsidP="00197EDE">
      <w:pPr>
        <w:spacing w:after="0" w:line="360" w:lineRule="auto"/>
        <w:jc w:val="both"/>
        <w:rPr>
          <w:rFonts w:ascii="Book Antiqua" w:hAnsi="Book Antiqua" w:cs="Arial"/>
          <w:b/>
          <w:i/>
          <w:iCs/>
          <w:szCs w:val="24"/>
        </w:rPr>
      </w:pPr>
      <w:r w:rsidRPr="00B909F3">
        <w:rPr>
          <w:rFonts w:ascii="Book Antiqua" w:hAnsi="Book Antiqua" w:cs="Arial"/>
          <w:b/>
          <w:i/>
          <w:iCs/>
          <w:szCs w:val="24"/>
        </w:rPr>
        <w:t xml:space="preserve">Study </w:t>
      </w:r>
      <w:r w:rsidR="00B50943" w:rsidRPr="00B909F3">
        <w:rPr>
          <w:rFonts w:ascii="Book Antiqua" w:hAnsi="Book Antiqua" w:cs="Arial"/>
          <w:b/>
          <w:i/>
          <w:iCs/>
          <w:szCs w:val="24"/>
        </w:rPr>
        <w:t>design and sample</w:t>
      </w:r>
    </w:p>
    <w:p w14:paraId="5217A5CD" w14:textId="30BD2756" w:rsidR="00396947" w:rsidRPr="00B909F3" w:rsidRDefault="00AE2710" w:rsidP="00197EDE">
      <w:pPr>
        <w:spacing w:after="0" w:line="360" w:lineRule="auto"/>
        <w:jc w:val="both"/>
        <w:rPr>
          <w:rFonts w:ascii="Book Antiqua" w:hAnsi="Book Antiqua" w:cs="Arial"/>
          <w:szCs w:val="24"/>
        </w:rPr>
      </w:pPr>
      <w:r w:rsidRPr="00B909F3">
        <w:rPr>
          <w:rFonts w:ascii="Book Antiqua" w:hAnsi="Book Antiqua" w:cs="Arial"/>
          <w:szCs w:val="24"/>
        </w:rPr>
        <w:t xml:space="preserve">This retrospective cohort study used data from the SRTR. The SRTR is contracted to UNOS by the </w:t>
      </w:r>
      <w:r w:rsidR="00396947" w:rsidRPr="00B909F3">
        <w:rPr>
          <w:rFonts w:ascii="Book Antiqua" w:hAnsi="Book Antiqua" w:cs="Arial"/>
          <w:szCs w:val="24"/>
        </w:rPr>
        <w:t>United States</w:t>
      </w:r>
      <w:r w:rsidRPr="00B909F3">
        <w:rPr>
          <w:rFonts w:ascii="Book Antiqua" w:hAnsi="Book Antiqua" w:cs="Arial"/>
          <w:szCs w:val="24"/>
        </w:rPr>
        <w:t xml:space="preserve"> Department of Health and Human Services to manage data collected via government-mandated reporting by all </w:t>
      </w:r>
      <w:r w:rsidR="00396947" w:rsidRPr="00B909F3">
        <w:rPr>
          <w:rFonts w:ascii="Book Antiqua" w:hAnsi="Book Antiqua" w:cs="Arial"/>
          <w:szCs w:val="24"/>
        </w:rPr>
        <w:t>United States</w:t>
      </w:r>
      <w:r w:rsidRPr="00B909F3">
        <w:rPr>
          <w:rFonts w:ascii="Book Antiqua" w:hAnsi="Book Antiqua" w:cs="Arial"/>
          <w:szCs w:val="24"/>
        </w:rPr>
        <w:t xml:space="preserve"> transplant centers.</w:t>
      </w:r>
      <w:r w:rsidR="005E165B" w:rsidRPr="00B909F3">
        <w:rPr>
          <w:rFonts w:ascii="Book Antiqua" w:hAnsi="Book Antiqua" w:cs="Arial"/>
          <w:szCs w:val="24"/>
        </w:rPr>
        <w:t xml:space="preserve"> This study was deemed exempt by the University of Massachusetts Medical School Institutional Review Board.</w:t>
      </w:r>
    </w:p>
    <w:p w14:paraId="322412AF" w14:textId="1A0ED765" w:rsidR="00AE2710" w:rsidRPr="00B909F3" w:rsidRDefault="00AE2710"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xml:space="preserve">The study population included patients that underwent a first liver transplant between January 1, </w:t>
      </w:r>
      <w:r w:rsidRPr="00B909F3">
        <w:rPr>
          <w:rFonts w:ascii="Book Antiqua" w:hAnsi="Book Antiqua" w:cs="Arial"/>
          <w:noProof/>
          <w:szCs w:val="24"/>
        </w:rPr>
        <w:t>2005</w:t>
      </w:r>
      <w:r w:rsidRPr="00B909F3">
        <w:rPr>
          <w:rFonts w:ascii="Book Antiqua" w:hAnsi="Book Antiqua" w:cs="Arial"/>
          <w:szCs w:val="24"/>
        </w:rPr>
        <w:t xml:space="preserve"> and October 1, 2014 (Figure 1). Exclusion </w:t>
      </w:r>
      <w:r w:rsidRPr="00B909F3">
        <w:rPr>
          <w:rFonts w:ascii="Book Antiqua" w:hAnsi="Book Antiqua" w:cs="Arial"/>
          <w:noProof/>
          <w:szCs w:val="24"/>
        </w:rPr>
        <w:t>criteria consisted</w:t>
      </w:r>
      <w:r w:rsidRPr="00B909F3">
        <w:rPr>
          <w:rFonts w:ascii="Book Antiqua" w:hAnsi="Book Antiqua" w:cs="Arial"/>
          <w:szCs w:val="24"/>
        </w:rPr>
        <w:t xml:space="preserve"> of the following: </w:t>
      </w:r>
      <w:r w:rsidR="00396947" w:rsidRPr="00B909F3">
        <w:rPr>
          <w:rFonts w:ascii="Book Antiqua" w:hAnsi="Book Antiqua" w:cs="Arial"/>
          <w:szCs w:val="24"/>
        </w:rPr>
        <w:t>(</w:t>
      </w:r>
      <w:r w:rsidRPr="00B909F3">
        <w:rPr>
          <w:rFonts w:ascii="Book Antiqua" w:hAnsi="Book Antiqua" w:cs="Arial"/>
          <w:szCs w:val="24"/>
        </w:rPr>
        <w:t xml:space="preserve">1) </w:t>
      </w:r>
      <w:r w:rsidR="00F705FB" w:rsidRPr="00B909F3">
        <w:rPr>
          <w:rFonts w:ascii="Book Antiqua" w:hAnsi="Book Antiqua" w:cs="Arial"/>
          <w:szCs w:val="24"/>
        </w:rPr>
        <w:t>P</w:t>
      </w:r>
      <w:r w:rsidRPr="00B909F3">
        <w:rPr>
          <w:rFonts w:ascii="Book Antiqua" w:hAnsi="Book Antiqua" w:cs="Arial"/>
          <w:szCs w:val="24"/>
        </w:rPr>
        <w:t>ediatric transplant (&lt; 18 years)</w:t>
      </w:r>
      <w:r w:rsidR="00396947" w:rsidRPr="00B909F3">
        <w:rPr>
          <w:rFonts w:ascii="Book Antiqua" w:hAnsi="Book Antiqua" w:cs="Arial"/>
          <w:szCs w:val="24"/>
        </w:rPr>
        <w:t>;</w:t>
      </w:r>
      <w:r w:rsidRPr="00B909F3">
        <w:rPr>
          <w:rFonts w:ascii="Book Antiqua" w:hAnsi="Book Antiqua" w:cs="Arial"/>
          <w:szCs w:val="24"/>
        </w:rPr>
        <w:t xml:space="preserve"> </w:t>
      </w:r>
      <w:r w:rsidR="00396947" w:rsidRPr="00B909F3">
        <w:rPr>
          <w:rFonts w:ascii="Book Antiqua" w:hAnsi="Book Antiqua" w:cs="Arial"/>
          <w:szCs w:val="24"/>
        </w:rPr>
        <w:t>(</w:t>
      </w:r>
      <w:r w:rsidRPr="00B909F3">
        <w:rPr>
          <w:rFonts w:ascii="Book Antiqua" w:hAnsi="Book Antiqua" w:cs="Arial"/>
          <w:szCs w:val="24"/>
        </w:rPr>
        <w:t>2) multi-organ transplant</w:t>
      </w:r>
      <w:r w:rsidR="00396947" w:rsidRPr="00B909F3">
        <w:rPr>
          <w:rFonts w:ascii="Book Antiqua" w:hAnsi="Book Antiqua" w:cs="Arial"/>
          <w:szCs w:val="24"/>
        </w:rPr>
        <w:t>;</w:t>
      </w:r>
      <w:r w:rsidRPr="00B909F3">
        <w:rPr>
          <w:rFonts w:ascii="Book Antiqua" w:hAnsi="Book Antiqua" w:cs="Arial"/>
          <w:szCs w:val="24"/>
        </w:rPr>
        <w:t xml:space="preserve"> </w:t>
      </w:r>
      <w:r w:rsidR="00396947" w:rsidRPr="00B909F3">
        <w:rPr>
          <w:rFonts w:ascii="Book Antiqua" w:hAnsi="Book Antiqua" w:cs="Arial"/>
          <w:szCs w:val="24"/>
        </w:rPr>
        <w:t>(</w:t>
      </w:r>
      <w:r w:rsidRPr="00B909F3">
        <w:rPr>
          <w:rFonts w:ascii="Book Antiqua" w:hAnsi="Book Antiqua" w:cs="Arial"/>
          <w:szCs w:val="24"/>
        </w:rPr>
        <w:t>3) UNOS Status 1 or acute liver failure</w:t>
      </w:r>
      <w:r w:rsidR="00396947" w:rsidRPr="00B909F3">
        <w:rPr>
          <w:rFonts w:ascii="Book Antiqua" w:hAnsi="Book Antiqua" w:cs="Arial"/>
          <w:szCs w:val="24"/>
        </w:rPr>
        <w:t>;</w:t>
      </w:r>
      <w:r w:rsidR="00D105F9" w:rsidRPr="00B909F3">
        <w:rPr>
          <w:rFonts w:ascii="Book Antiqua" w:hAnsi="Book Antiqua" w:cs="Arial"/>
          <w:szCs w:val="24"/>
        </w:rPr>
        <w:t xml:space="preserve"> </w:t>
      </w:r>
      <w:r w:rsidR="00396947" w:rsidRPr="00B909F3">
        <w:rPr>
          <w:rFonts w:ascii="Book Antiqua" w:hAnsi="Book Antiqua" w:cs="Arial"/>
          <w:szCs w:val="24"/>
        </w:rPr>
        <w:t>(</w:t>
      </w:r>
      <w:r w:rsidR="00D105F9" w:rsidRPr="00B909F3">
        <w:rPr>
          <w:rFonts w:ascii="Book Antiqua" w:hAnsi="Book Antiqua" w:cs="Arial"/>
          <w:szCs w:val="24"/>
        </w:rPr>
        <w:t>4) ICU</w:t>
      </w:r>
      <w:r w:rsidRPr="00B909F3">
        <w:rPr>
          <w:rFonts w:ascii="Book Antiqua" w:hAnsi="Book Antiqua" w:cs="Arial"/>
          <w:szCs w:val="24"/>
        </w:rPr>
        <w:t xml:space="preserve"> pre-transplant</w:t>
      </w:r>
      <w:r w:rsidR="00396947" w:rsidRPr="00B909F3">
        <w:rPr>
          <w:rFonts w:ascii="Book Antiqua" w:hAnsi="Book Antiqua" w:cs="Arial"/>
          <w:szCs w:val="24"/>
        </w:rPr>
        <w:t>;</w:t>
      </w:r>
      <w:r w:rsidRPr="00B909F3">
        <w:rPr>
          <w:rFonts w:ascii="Book Antiqua" w:hAnsi="Book Antiqua" w:cs="Arial"/>
          <w:szCs w:val="24"/>
        </w:rPr>
        <w:t xml:space="preserve"> or </w:t>
      </w:r>
      <w:r w:rsidR="00396947" w:rsidRPr="00B909F3">
        <w:rPr>
          <w:rFonts w:ascii="Book Antiqua" w:hAnsi="Book Antiqua" w:cs="Arial"/>
          <w:szCs w:val="24"/>
        </w:rPr>
        <w:t>(</w:t>
      </w:r>
      <w:r w:rsidRPr="00B909F3">
        <w:rPr>
          <w:rFonts w:ascii="Book Antiqua" w:hAnsi="Book Antiqua" w:cs="Arial"/>
          <w:szCs w:val="24"/>
        </w:rPr>
        <w:t xml:space="preserve">4) subjects with missing data in any of the key variables of interest (variables with ≥ 5% missing values were not used in this study). </w:t>
      </w:r>
      <w:r w:rsidR="003F6DBF" w:rsidRPr="00B909F3">
        <w:rPr>
          <w:rFonts w:ascii="Book Antiqua" w:hAnsi="Book Antiqua" w:cs="Arial"/>
          <w:szCs w:val="24"/>
        </w:rPr>
        <w:t xml:space="preserve">Pediatric and multi-organ transplants were excluded because the organ allocation systems for these patients are </w:t>
      </w:r>
      <w:proofErr w:type="gramStart"/>
      <w:r w:rsidR="003F6DBF" w:rsidRPr="00B909F3">
        <w:rPr>
          <w:rFonts w:ascii="Book Antiqua" w:hAnsi="Book Antiqua" w:cs="Arial"/>
          <w:szCs w:val="24"/>
        </w:rPr>
        <w:t>separate, and</w:t>
      </w:r>
      <w:proofErr w:type="gramEnd"/>
      <w:r w:rsidR="003F6DBF" w:rsidRPr="00B909F3">
        <w:rPr>
          <w:rFonts w:ascii="Book Antiqua" w:hAnsi="Book Antiqua" w:cs="Arial"/>
          <w:szCs w:val="24"/>
        </w:rPr>
        <w:t xml:space="preserve"> represent a distinct set of indications and disease courses, than the general </w:t>
      </w:r>
      <w:r w:rsidR="00396947" w:rsidRPr="00B909F3">
        <w:rPr>
          <w:rFonts w:ascii="Book Antiqua" w:hAnsi="Book Antiqua" w:cs="Arial"/>
          <w:szCs w:val="24"/>
        </w:rPr>
        <w:t>United States</w:t>
      </w:r>
      <w:r w:rsidR="003F6DBF" w:rsidRPr="00B909F3">
        <w:rPr>
          <w:rFonts w:ascii="Book Antiqua" w:hAnsi="Book Antiqua" w:cs="Arial"/>
          <w:szCs w:val="24"/>
        </w:rPr>
        <w:t xml:space="preserve"> liver transplant population.</w:t>
      </w:r>
      <w:r w:rsidR="00F961BC" w:rsidRPr="00B909F3">
        <w:rPr>
          <w:rFonts w:ascii="Book Antiqua" w:hAnsi="Book Antiqua" w:cs="Arial"/>
          <w:szCs w:val="24"/>
        </w:rPr>
        <w:t xml:space="preserve"> In addition, the </w:t>
      </w:r>
      <w:r w:rsidR="0076762A" w:rsidRPr="00B909F3">
        <w:rPr>
          <w:rFonts w:ascii="Book Antiqua" w:hAnsi="Book Antiqua" w:cs="Arial"/>
          <w:szCs w:val="24"/>
        </w:rPr>
        <w:t>risk of complications and graft loss are higher in these groups.</w:t>
      </w:r>
      <w:r w:rsidR="003F6DBF" w:rsidRPr="00B909F3">
        <w:rPr>
          <w:rFonts w:ascii="Book Antiqua" w:hAnsi="Book Antiqua" w:cs="Arial"/>
          <w:szCs w:val="24"/>
        </w:rPr>
        <w:t xml:space="preserve"> </w:t>
      </w:r>
      <w:r w:rsidRPr="00B909F3">
        <w:rPr>
          <w:rFonts w:ascii="Book Antiqua" w:hAnsi="Book Antiqua" w:cs="Arial"/>
          <w:szCs w:val="24"/>
        </w:rPr>
        <w:t xml:space="preserve">We excluded urgent (Status 1 or acute hepatic necrosis) and ICU-admitted </w:t>
      </w:r>
      <w:r w:rsidRPr="00B909F3">
        <w:rPr>
          <w:rFonts w:ascii="Book Antiqua" w:hAnsi="Book Antiqua" w:cs="Arial"/>
          <w:noProof/>
          <w:szCs w:val="24"/>
        </w:rPr>
        <w:t>patients.</w:t>
      </w:r>
      <w:r w:rsidRPr="00B909F3">
        <w:rPr>
          <w:rFonts w:ascii="Book Antiqua" w:hAnsi="Book Antiqua" w:cs="Arial"/>
          <w:szCs w:val="24"/>
        </w:rPr>
        <w:t xml:space="preserve"> This was done because these are often patients who rapidly decline due to an </w:t>
      </w:r>
      <w:r w:rsidRPr="00B909F3">
        <w:rPr>
          <w:rFonts w:ascii="Book Antiqua" w:hAnsi="Book Antiqua" w:cs="Arial"/>
          <w:szCs w:val="24"/>
        </w:rPr>
        <w:lastRenderedPageBreak/>
        <w:t>inciting event (</w:t>
      </w:r>
      <w:r w:rsidRPr="00B909F3">
        <w:rPr>
          <w:rFonts w:ascii="Book Antiqua" w:hAnsi="Book Antiqua" w:cs="Arial"/>
          <w:i/>
          <w:iCs/>
          <w:szCs w:val="24"/>
        </w:rPr>
        <w:t>e.g.</w:t>
      </w:r>
      <w:r w:rsidRPr="00B909F3">
        <w:rPr>
          <w:rFonts w:ascii="Book Antiqua" w:hAnsi="Book Antiqua" w:cs="Arial"/>
          <w:szCs w:val="24"/>
        </w:rPr>
        <w:t xml:space="preserve">, infection) and </w:t>
      </w:r>
      <w:r w:rsidRPr="00B909F3">
        <w:rPr>
          <w:rFonts w:ascii="Book Antiqua" w:hAnsi="Book Antiqua" w:cs="Arial"/>
          <w:noProof/>
          <w:szCs w:val="24"/>
        </w:rPr>
        <w:t>may, therefore,</w:t>
      </w:r>
      <w:r w:rsidRPr="00B909F3">
        <w:rPr>
          <w:rFonts w:ascii="Book Antiqua" w:hAnsi="Book Antiqua" w:cs="Arial"/>
          <w:szCs w:val="24"/>
        </w:rPr>
        <w:t xml:space="preserve"> be categorized as being of poor functional status due to the event as opposed to being </w:t>
      </w:r>
      <w:r w:rsidR="00396947" w:rsidRPr="00B909F3">
        <w:rPr>
          <w:rFonts w:ascii="Book Antiqua" w:hAnsi="Book Antiqua" w:cs="Arial"/>
          <w:szCs w:val="24"/>
        </w:rPr>
        <w:t>“</w:t>
      </w:r>
      <w:r w:rsidRPr="00B909F3">
        <w:rPr>
          <w:rFonts w:ascii="Book Antiqua" w:hAnsi="Book Antiqua" w:cs="Arial"/>
          <w:noProof/>
          <w:szCs w:val="24"/>
        </w:rPr>
        <w:t>frail</w:t>
      </w:r>
      <w:r w:rsidR="00396947" w:rsidRPr="00B909F3">
        <w:rPr>
          <w:rFonts w:ascii="Book Antiqua" w:hAnsi="Book Antiqua" w:cs="Arial"/>
          <w:szCs w:val="24"/>
        </w:rPr>
        <w:t>”,</w:t>
      </w:r>
      <w:r w:rsidRPr="00B909F3">
        <w:rPr>
          <w:rFonts w:ascii="Book Antiqua" w:hAnsi="Book Antiqua" w:cs="Arial"/>
          <w:szCs w:val="24"/>
        </w:rPr>
        <w:t xml:space="preserve"> which is conceptualized as a chronic process leading to depletion of physiologic reserve.</w:t>
      </w:r>
    </w:p>
    <w:p w14:paraId="42C32745" w14:textId="77777777" w:rsidR="00396947" w:rsidRPr="00B909F3" w:rsidRDefault="00396947" w:rsidP="00197EDE">
      <w:pPr>
        <w:spacing w:after="0" w:line="360" w:lineRule="auto"/>
        <w:jc w:val="both"/>
        <w:rPr>
          <w:rFonts w:ascii="Book Antiqua" w:hAnsi="Book Antiqua" w:cs="Arial"/>
          <w:szCs w:val="24"/>
        </w:rPr>
      </w:pPr>
    </w:p>
    <w:p w14:paraId="32BF9D0D" w14:textId="3C8E5A06" w:rsidR="00AE2710" w:rsidRPr="00B909F3" w:rsidRDefault="00396947" w:rsidP="00197EDE">
      <w:pPr>
        <w:spacing w:after="0" w:line="360" w:lineRule="auto"/>
        <w:jc w:val="both"/>
        <w:rPr>
          <w:rFonts w:ascii="Book Antiqua" w:hAnsi="Book Antiqua" w:cs="Arial"/>
          <w:b/>
          <w:i/>
          <w:iCs/>
          <w:szCs w:val="24"/>
        </w:rPr>
      </w:pPr>
      <w:r w:rsidRPr="00B909F3">
        <w:rPr>
          <w:rFonts w:ascii="Book Antiqua" w:hAnsi="Book Antiqua" w:cs="Arial"/>
          <w:b/>
          <w:i/>
          <w:iCs/>
          <w:szCs w:val="24"/>
        </w:rPr>
        <w:t>Data collection</w:t>
      </w:r>
    </w:p>
    <w:p w14:paraId="13766EE0" w14:textId="72DDB11E" w:rsidR="00AE2710" w:rsidRPr="00B909F3" w:rsidRDefault="00AE2710" w:rsidP="00197EDE">
      <w:pPr>
        <w:spacing w:after="0" w:line="360" w:lineRule="auto"/>
        <w:jc w:val="both"/>
        <w:rPr>
          <w:rFonts w:ascii="Book Antiqua" w:hAnsi="Book Antiqua" w:cs="Arial"/>
          <w:szCs w:val="24"/>
        </w:rPr>
      </w:pPr>
      <w:r w:rsidRPr="00B909F3">
        <w:rPr>
          <w:rFonts w:ascii="Book Antiqua" w:hAnsi="Book Antiqua" w:cs="Arial"/>
          <w:b/>
          <w:iCs/>
          <w:szCs w:val="24"/>
        </w:rPr>
        <w:t xml:space="preserve">Exposure </w:t>
      </w:r>
      <w:r w:rsidR="00396947" w:rsidRPr="00B909F3">
        <w:rPr>
          <w:rFonts w:ascii="Book Antiqua" w:hAnsi="Book Antiqua" w:cs="Arial"/>
          <w:b/>
          <w:iCs/>
          <w:szCs w:val="24"/>
        </w:rPr>
        <w:t xml:space="preserve">variable: </w:t>
      </w:r>
      <w:r w:rsidRPr="00B909F3">
        <w:rPr>
          <w:rFonts w:ascii="Book Antiqua" w:hAnsi="Book Antiqua" w:cs="Arial"/>
          <w:szCs w:val="24"/>
        </w:rPr>
        <w:t>The primary exposure of interest was provider assessment of preoperative (</w:t>
      </w:r>
      <w:r w:rsidR="00396947" w:rsidRPr="00B909F3">
        <w:rPr>
          <w:rFonts w:ascii="Book Antiqua" w:hAnsi="Book Antiqua" w:cs="Arial"/>
          <w:szCs w:val="24"/>
        </w:rPr>
        <w:t>“</w:t>
      </w:r>
      <w:r w:rsidRPr="00B909F3">
        <w:rPr>
          <w:rFonts w:ascii="Book Antiqua" w:hAnsi="Book Antiqua" w:cs="Arial"/>
          <w:szCs w:val="24"/>
        </w:rPr>
        <w:t>pre-transplant</w:t>
      </w:r>
      <w:r w:rsidR="00396947" w:rsidRPr="00B909F3">
        <w:rPr>
          <w:rFonts w:ascii="Book Antiqua" w:hAnsi="Book Antiqua" w:cs="Arial"/>
          <w:szCs w:val="24"/>
        </w:rPr>
        <w:t>”</w:t>
      </w:r>
      <w:r w:rsidRPr="00B909F3">
        <w:rPr>
          <w:rFonts w:ascii="Book Antiqua" w:hAnsi="Book Antiqua" w:cs="Arial"/>
          <w:szCs w:val="24"/>
        </w:rPr>
        <w:t xml:space="preserve">) functional status using the </w:t>
      </w:r>
      <w:r w:rsidR="00D105F9" w:rsidRPr="00B909F3">
        <w:rPr>
          <w:rFonts w:ascii="Book Antiqua" w:hAnsi="Book Antiqua" w:cs="Arial"/>
          <w:szCs w:val="24"/>
        </w:rPr>
        <w:t>KPS</w:t>
      </w:r>
      <w:r w:rsidRPr="00B909F3">
        <w:rPr>
          <w:rFonts w:ascii="Book Antiqua" w:hAnsi="Book Antiqua" w:cs="Arial"/>
          <w:szCs w:val="24"/>
        </w:rPr>
        <w:t xml:space="preserve"> scale (</w:t>
      </w:r>
      <w:r w:rsidR="00610305" w:rsidRPr="00B909F3">
        <w:rPr>
          <w:rFonts w:ascii="Book Antiqua" w:hAnsi="Book Antiqua" w:cs="Arial"/>
          <w:szCs w:val="24"/>
        </w:rPr>
        <w:t>Table 1</w:t>
      </w:r>
      <w:r w:rsidRPr="00B909F3">
        <w:rPr>
          <w:rFonts w:ascii="Book Antiqua" w:hAnsi="Book Antiqua" w:cs="Arial"/>
          <w:szCs w:val="24"/>
        </w:rPr>
        <w:t>). The KPS defines functional status on an 11-point scale from 100% (normal, no complaints, no evidence of disease) to 0% (dead) in 10% increments, with 3 corresponding tiers. We used the 3-tiered version of the scale based on higher inter-rater reliability scores</w:t>
      </w:r>
      <w:r w:rsidR="00396947" w:rsidRPr="00B909F3">
        <w:rPr>
          <w:rFonts w:ascii="Book Antiqua" w:hAnsi="Book Antiqua" w:cs="Arial"/>
          <w:szCs w:val="24"/>
          <w:vertAlign w:val="superscript"/>
        </w:rPr>
        <w:t>[</w:t>
      </w:r>
      <w:r w:rsidR="00396947" w:rsidRPr="00B909F3">
        <w:rPr>
          <w:rFonts w:ascii="Book Antiqua" w:hAnsi="Book Antiqua" w:cs="Arial"/>
          <w:szCs w:val="24"/>
          <w:vertAlign w:val="superscript"/>
        </w:rPr>
        <w:fldChar w:fldCharType="begin" w:fldLock="1"/>
      </w:r>
      <w:r w:rsidR="00396947" w:rsidRPr="00B909F3">
        <w:rPr>
          <w:rFonts w:ascii="Book Antiqua" w:hAnsi="Book Antiqua" w:cs="Arial"/>
          <w:szCs w:val="24"/>
          <w:vertAlign w:val="superscript"/>
        </w:rPr>
        <w:instrText>ADDIN CSL_CITATION {"citationItems":[{"id":"ITEM-1","itemData":{"DOI":"10.1186/1472-6947-13-72","ISSN":"1472-6947","PMID":"23870327","abstract":"BACKGROUND: For over 60 years, the Karnofsky Performance Status (KPS) has proven itself a valuable tool with which to perform measurement of and comparison between the functional statuses of individual patients. In recent decades conditions for patients have changed, and so too has the KPS undergone several adjustments since its initial development.\n\nDISCUSSION: The most important works regarding the KPS tend to focus upon a variety of issues, including but not limited to reliability, validity and health-related quality of life. Also discussed is the question of what quantity the KPS may in fact be said to measure. The KPS is increasingly used as a prognostic factor in patient assessment. Thus, questions regarding if and how it affects survival are relevant.In this paper, we propose an algorithm which uses a minimum of two and a maximum of three questions to facilitate an adequate and efficient evaluation of the KPS.\n\nSUMMARY: This review honors the original intention of the discoverer and gives an overview of adaptations made in recent years. The proposed algorithm suggests specific updates with the goal of ensuring continued adequacy and expediency in the determination of the KPS.","author":[{"dropping-particle":"","family":"Péus","given":"Dominik","non-dropping-particle":"","parse-names":false,"suffix":""},{"dropping-particle":"","family":"Newcomb","given":"Nicolas","non-dropping-particle":"","parse-names":false,"suffix":""},{"dropping-particle":"","family":"Hofer","given":"Silvia","non-dropping-particle":"","parse-names":false,"suffix":""}],"container-title":"BMC medical informatics and decision making","id":"ITEM-1","issue":"1","issued":{"date-parts":[["2013","7","19"]]},"page":"72","title":"Appraisal of the Karnofsky Performance Status and proposal of a simple algorithmic system for its evaluation.","type":"article-journal","volume":"13"},"uris":["http://www.mendeley.com/documents/?uuid=e8415ed8-0f62-4e22-9591-7352ecbb80d9","http://www.mendeley.com/documents/?uuid=7b1c71c3-f18d-4e3f-9000-7a0a0c1a032b"]}],"mendeley":{"formattedCitation":"&lt;sup&gt;33&lt;/sup&gt;","plainTextFormattedCitation":"33","previouslyFormattedCitation":"&lt;sup&gt;33&lt;/sup&gt;"},"properties":{"noteIndex":0},"schema":"https://github.com/citation-style-language/schema/raw/master/csl-citation.json"}</w:instrText>
      </w:r>
      <w:r w:rsidR="00396947" w:rsidRPr="00B909F3">
        <w:rPr>
          <w:rFonts w:ascii="Book Antiqua" w:hAnsi="Book Antiqua" w:cs="Arial"/>
          <w:szCs w:val="24"/>
          <w:vertAlign w:val="superscript"/>
        </w:rPr>
        <w:fldChar w:fldCharType="separate"/>
      </w:r>
      <w:r w:rsidR="00396947" w:rsidRPr="00B909F3">
        <w:rPr>
          <w:rFonts w:ascii="Book Antiqua" w:hAnsi="Book Antiqua" w:cs="Arial"/>
          <w:noProof/>
          <w:szCs w:val="24"/>
          <w:vertAlign w:val="superscript"/>
        </w:rPr>
        <w:t>33</w:t>
      </w:r>
      <w:r w:rsidR="00396947" w:rsidRPr="00B909F3">
        <w:rPr>
          <w:rFonts w:ascii="Book Antiqua" w:hAnsi="Book Antiqua" w:cs="Arial"/>
          <w:szCs w:val="24"/>
          <w:vertAlign w:val="superscript"/>
        </w:rPr>
        <w:fldChar w:fldCharType="end"/>
      </w:r>
      <w:r w:rsidR="00396947" w:rsidRPr="00B909F3">
        <w:rPr>
          <w:rFonts w:ascii="Book Antiqua" w:hAnsi="Book Antiqua" w:cs="Arial"/>
          <w:szCs w:val="24"/>
          <w:vertAlign w:val="superscript"/>
        </w:rPr>
        <w:t>]</w:t>
      </w:r>
      <w:r w:rsidR="00D104C1" w:rsidRPr="00B909F3">
        <w:rPr>
          <w:rFonts w:ascii="Book Antiqua" w:hAnsi="Book Antiqua" w:cs="Arial"/>
          <w:szCs w:val="24"/>
        </w:rPr>
        <w:t>.</w:t>
      </w:r>
      <w:r w:rsidRPr="00B909F3">
        <w:rPr>
          <w:rFonts w:ascii="Book Antiqua" w:hAnsi="Book Antiqua" w:cs="Arial"/>
          <w:szCs w:val="24"/>
        </w:rPr>
        <w:t xml:space="preserve"> We assigned labels to the categories with respect to level of functional impairment/disability as follows: subjects with minimal or no symptoms of disease (80</w:t>
      </w:r>
      <w:r w:rsidR="00F705FB">
        <w:rPr>
          <w:rFonts w:ascii="Book Antiqua" w:hAnsi="Book Antiqua" w:cs="Arial"/>
          <w:szCs w:val="24"/>
        </w:rPr>
        <w:t>%-</w:t>
      </w:r>
      <w:r w:rsidRPr="00B909F3">
        <w:rPr>
          <w:rFonts w:ascii="Book Antiqua" w:hAnsi="Book Antiqua" w:cs="Arial"/>
          <w:szCs w:val="24"/>
        </w:rPr>
        <w:t xml:space="preserve">100%) were labeled </w:t>
      </w:r>
      <w:r w:rsidR="00396947" w:rsidRPr="00B909F3">
        <w:rPr>
          <w:rFonts w:ascii="Book Antiqua" w:hAnsi="Book Antiqua" w:cs="Arial"/>
          <w:szCs w:val="24"/>
        </w:rPr>
        <w:t>“</w:t>
      </w:r>
      <w:r w:rsidRPr="00B909F3">
        <w:rPr>
          <w:rFonts w:ascii="Book Antiqua" w:hAnsi="Book Antiqua" w:cs="Arial"/>
          <w:szCs w:val="24"/>
        </w:rPr>
        <w:t>(A) None/Normal [function]</w:t>
      </w:r>
      <w:r w:rsidR="00396947" w:rsidRPr="00B909F3">
        <w:rPr>
          <w:rFonts w:ascii="Book Antiqua" w:hAnsi="Book Antiqua" w:cs="Arial"/>
          <w:szCs w:val="24"/>
        </w:rPr>
        <w:t>”</w:t>
      </w:r>
      <w:r w:rsidRPr="00B909F3">
        <w:rPr>
          <w:rFonts w:ascii="Book Antiqua" w:hAnsi="Book Antiqua" w:cs="Arial"/>
          <w:szCs w:val="24"/>
        </w:rPr>
        <w:t xml:space="preserve">; subjects </w:t>
      </w:r>
      <w:r w:rsidRPr="00B909F3">
        <w:rPr>
          <w:rFonts w:ascii="Book Antiqua" w:hAnsi="Book Antiqua" w:cs="Arial"/>
          <w:noProof/>
          <w:szCs w:val="24"/>
        </w:rPr>
        <w:t>needing varying levels</w:t>
      </w:r>
      <w:r w:rsidRPr="00B909F3">
        <w:rPr>
          <w:rFonts w:ascii="Book Antiqua" w:hAnsi="Book Antiqua" w:cs="Arial"/>
          <w:szCs w:val="24"/>
        </w:rPr>
        <w:t xml:space="preserve"> of assistance in daily activities (50</w:t>
      </w:r>
      <w:r w:rsidR="00396947" w:rsidRPr="00B909F3">
        <w:rPr>
          <w:rFonts w:ascii="Book Antiqua" w:hAnsi="Book Antiqua" w:cs="Arial"/>
          <w:szCs w:val="24"/>
        </w:rPr>
        <w:t>%-</w:t>
      </w:r>
      <w:r w:rsidRPr="00B909F3">
        <w:rPr>
          <w:rFonts w:ascii="Book Antiqua" w:hAnsi="Book Antiqua" w:cs="Arial"/>
          <w:szCs w:val="24"/>
        </w:rPr>
        <w:t xml:space="preserve">70%) were labeled </w:t>
      </w:r>
      <w:r w:rsidR="00396947" w:rsidRPr="00B909F3">
        <w:rPr>
          <w:rFonts w:ascii="Book Antiqua" w:hAnsi="Book Antiqua" w:cs="Arial"/>
          <w:szCs w:val="24"/>
        </w:rPr>
        <w:t>“</w:t>
      </w:r>
      <w:r w:rsidRPr="00B909F3">
        <w:rPr>
          <w:rFonts w:ascii="Book Antiqua" w:hAnsi="Book Antiqua" w:cs="Arial"/>
          <w:szCs w:val="24"/>
        </w:rPr>
        <w:t>(B) Moderate [impairment in function]</w:t>
      </w:r>
      <w:r w:rsidR="00396947" w:rsidRPr="00B909F3">
        <w:rPr>
          <w:rFonts w:ascii="Book Antiqua" w:hAnsi="Book Antiqua" w:cs="Arial"/>
          <w:szCs w:val="24"/>
        </w:rPr>
        <w:t>”</w:t>
      </w:r>
      <w:r w:rsidRPr="00B909F3">
        <w:rPr>
          <w:rFonts w:ascii="Book Antiqua" w:hAnsi="Book Antiqua" w:cs="Arial"/>
          <w:szCs w:val="24"/>
        </w:rPr>
        <w:t>; and subjects who were disabled and/or hospitalization indicated and/or moribund (10</w:t>
      </w:r>
      <w:r w:rsidR="00396947" w:rsidRPr="00B909F3">
        <w:rPr>
          <w:rFonts w:ascii="Book Antiqua" w:hAnsi="Book Antiqua" w:cs="Arial"/>
          <w:szCs w:val="24"/>
        </w:rPr>
        <w:t>%-</w:t>
      </w:r>
      <w:r w:rsidRPr="00B909F3">
        <w:rPr>
          <w:rFonts w:ascii="Book Antiqua" w:hAnsi="Book Antiqua" w:cs="Arial"/>
          <w:szCs w:val="24"/>
        </w:rPr>
        <w:t xml:space="preserve">40%) were labeled </w:t>
      </w:r>
      <w:r w:rsidR="00396947" w:rsidRPr="00B909F3">
        <w:rPr>
          <w:rFonts w:ascii="Book Antiqua" w:hAnsi="Book Antiqua" w:cs="Arial"/>
          <w:szCs w:val="24"/>
        </w:rPr>
        <w:t>“</w:t>
      </w:r>
      <w:r w:rsidRPr="00B909F3">
        <w:rPr>
          <w:rFonts w:ascii="Book Antiqua" w:hAnsi="Book Antiqua" w:cs="Arial"/>
          <w:szCs w:val="24"/>
        </w:rPr>
        <w:t>(C) Severe [functional impairment/disability]</w:t>
      </w:r>
      <w:r w:rsidR="00396947" w:rsidRPr="00B909F3">
        <w:rPr>
          <w:rFonts w:ascii="Book Antiqua" w:hAnsi="Book Antiqua" w:cs="Arial"/>
          <w:szCs w:val="24"/>
        </w:rPr>
        <w:t>”.</w:t>
      </w:r>
    </w:p>
    <w:p w14:paraId="41884FAE" w14:textId="77777777" w:rsidR="00AE2710" w:rsidRPr="00B909F3" w:rsidRDefault="00AE2710" w:rsidP="00197EDE">
      <w:pPr>
        <w:spacing w:after="0" w:line="360" w:lineRule="auto"/>
        <w:jc w:val="both"/>
        <w:rPr>
          <w:rFonts w:ascii="Book Antiqua" w:hAnsi="Book Antiqua" w:cs="Arial"/>
          <w:b/>
          <w:i/>
          <w:szCs w:val="24"/>
        </w:rPr>
      </w:pPr>
    </w:p>
    <w:p w14:paraId="2B6F92EB" w14:textId="0EB9533E" w:rsidR="00EA5F13" w:rsidRPr="00B909F3" w:rsidRDefault="00AE2710" w:rsidP="00197EDE">
      <w:pPr>
        <w:spacing w:after="0" w:line="360" w:lineRule="auto"/>
        <w:jc w:val="both"/>
        <w:rPr>
          <w:rFonts w:ascii="Book Antiqua" w:hAnsi="Book Antiqua" w:cs="Arial"/>
          <w:szCs w:val="24"/>
        </w:rPr>
      </w:pPr>
      <w:r w:rsidRPr="00B909F3">
        <w:rPr>
          <w:rFonts w:ascii="Book Antiqua" w:hAnsi="Book Antiqua" w:cs="Arial"/>
          <w:b/>
          <w:iCs/>
          <w:szCs w:val="24"/>
        </w:rPr>
        <w:t xml:space="preserve">Study </w:t>
      </w:r>
      <w:r w:rsidR="00396947" w:rsidRPr="00B909F3">
        <w:rPr>
          <w:rFonts w:ascii="Book Antiqua" w:hAnsi="Book Antiqua" w:cs="Arial"/>
          <w:b/>
          <w:iCs/>
          <w:szCs w:val="24"/>
        </w:rPr>
        <w:t xml:space="preserve">end points: </w:t>
      </w:r>
      <w:r w:rsidRPr="00B909F3">
        <w:rPr>
          <w:rFonts w:ascii="Book Antiqua" w:hAnsi="Book Antiqua" w:cs="Arial"/>
          <w:szCs w:val="24"/>
        </w:rPr>
        <w:t>The primary outcome of interest was 1-year all-cause mortality (Social Security Death Master File/Organ Procurement and Transplant Network</w:t>
      </w:r>
      <w:r w:rsidR="00966C11" w:rsidRPr="00B909F3">
        <w:rPr>
          <w:rFonts w:ascii="Book Antiqua" w:hAnsi="Book Antiqua" w:cs="Arial"/>
          <w:szCs w:val="24"/>
        </w:rPr>
        <w:t xml:space="preserve"> data</w:t>
      </w:r>
      <w:r w:rsidRPr="00B909F3">
        <w:rPr>
          <w:rFonts w:ascii="Book Antiqua" w:hAnsi="Book Antiqua" w:cs="Arial"/>
          <w:szCs w:val="24"/>
        </w:rPr>
        <w:t xml:space="preserve">). </w:t>
      </w:r>
      <w:r w:rsidR="00966C11" w:rsidRPr="00B909F3">
        <w:rPr>
          <w:rFonts w:ascii="Book Antiqua" w:hAnsi="Book Antiqua" w:cs="Arial"/>
          <w:szCs w:val="24"/>
        </w:rPr>
        <w:t>As</w:t>
      </w:r>
      <w:r w:rsidRPr="00B909F3">
        <w:rPr>
          <w:rFonts w:ascii="Book Antiqua" w:hAnsi="Book Antiqua" w:cs="Arial"/>
          <w:szCs w:val="24"/>
        </w:rPr>
        <w:t xml:space="preserve"> mortality after </w:t>
      </w:r>
      <w:r w:rsidRPr="00B909F3">
        <w:rPr>
          <w:rFonts w:ascii="Book Antiqua" w:hAnsi="Book Antiqua" w:cs="Arial"/>
          <w:noProof/>
          <w:szCs w:val="24"/>
        </w:rPr>
        <w:t>transplantation</w:t>
      </w:r>
      <w:r w:rsidRPr="00B909F3">
        <w:rPr>
          <w:rFonts w:ascii="Book Antiqua" w:hAnsi="Book Antiqua" w:cs="Arial"/>
          <w:szCs w:val="24"/>
        </w:rPr>
        <w:t xml:space="preserve"> is highest in the early postoperative period and likely related to operative risks and complications that may become less relevant for long-term outcomes, the importance of functional status may change with time and context</w:t>
      </w:r>
      <w:r w:rsidR="00EA5F13" w:rsidRPr="00B909F3">
        <w:rPr>
          <w:rFonts w:ascii="Book Antiqua" w:hAnsi="Book Antiqua" w:cs="Arial"/>
          <w:szCs w:val="24"/>
          <w:vertAlign w:val="superscript"/>
        </w:rPr>
        <w:t>[</w:t>
      </w:r>
      <w:r w:rsidR="00EA5F13" w:rsidRPr="00B909F3">
        <w:rPr>
          <w:rFonts w:ascii="Book Antiqua" w:hAnsi="Book Antiqua" w:cs="Arial"/>
          <w:szCs w:val="24"/>
          <w:vertAlign w:val="superscript"/>
        </w:rPr>
        <w:fldChar w:fldCharType="begin" w:fldLock="1"/>
      </w:r>
      <w:r w:rsidR="00EA5F13" w:rsidRPr="00B909F3">
        <w:rPr>
          <w:rFonts w:ascii="Book Antiqua" w:hAnsi="Book Antiqua" w:cs="Arial"/>
          <w:szCs w:val="24"/>
          <w:vertAlign w:val="superscript"/>
        </w:rPr>
        <w:instrText>ADDIN CSL_CITATION {"citationItems":[{"id":"ITEM-1","itemData":{"DOI":"10.1111/ctr.12186","ISSN":"1399-0012","PMID":"23923973","abstract":"INTRODUCTION: The 15% mortality rate of liver transplant recipients at one yr may be viewed as a feat in comparison with the waiting list mortality, yet it nonetheless leaves room for much improvement. Our aim was to critically examine the mortality rates to identify high-risk periods and to incorporate cause of death into the analysis of post-transplant survival. METHODS: We performed a retrospective analysis on United Network for Organ Sharing data for all adult recipients of liver transplants from January 1, 2002 to October 31, 2011. Our analysis included multivariate logistic regression where the primary outcome measure was patient death of 49,288 recipients. RESULTS: The highest mortality rate by day post-transplant was on day 0 (0.9%). The most significant risk factors were as follows: for one-d mortality from technical failure, intensive care unit admission odds ratio (OR 3.2); for one-d mortality from graft failure, warm ischemia &gt;75 min (OR 5.6); for one-month mortality from infection, a previous transplant (OR 3.3); and for one-month mortality from graft failure, a previous transplant (OR 3.7). CONCLUSION: We found that the highest mortality rate after liver transplantation is within the first day and the first month post-transplant. Those two high-risk periods have common, as well as different, risk factors for mortality.","author":[{"dropping-particle":"","family":"Rana","given":"Abbas","non-dropping-particle":"","parse-names":false,"suffix":""},{"dropping-particle":"","family":"Kaplan","given":"Bruce","non-dropping-particle":"","parse-names":false,"suffix":""},{"dropping-particle":"","family":"Jie","given":"Tun","non-dropping-particle":"","parse-names":false,"suffix":""},{"dropping-particle":"","family":"Porubsky","given":"Marian","non-dropping-particle":"","parse-names":false,"suffix":""},{"dropping-particle":"","family":"Habib","given":"Shahid","non-dropping-particle":"","parse-names":false,"suffix":""},{"dropping-particle":"","family":"Rilo","given":"Horacio","non-dropping-particle":"","parse-names":false,"suffix":""},{"dropping-particle":"","family":"Gruessner","given":"Angelika C","non-dropping-particle":"","parse-names":false,"suffix":""},{"dropping-particle":"","family":"Gruessner","given":"Rainer W G","non-dropping-particle":"","parse-names":false,"suffix":""}],"container-title":"Clinical transplantation","id":"ITEM-1","issue":"4","issued":{"date-parts":[["0"]]},"page":"E448-53","title":"A critical analysis of early death after adult liver transplants.","type":"article-journal","volume":"27"},"uris":["http://www.mendeley.com/documents/?uuid=16e26aad-f4b0-415a-9f56-9f4456655f1e","http://www.mendeley.com/documents/?uuid=b923d74b-c1b3-4849-aa2b-dfa5d7260cde"]}],"mendeley":{"formattedCitation":"&lt;sup&gt;34&lt;/sup&gt;","plainTextFormattedCitation":"34","previouslyFormattedCitation":"&lt;sup&gt;34&lt;/sup&gt;"},"properties":{"noteIndex":0},"schema":"https://github.com/citation-style-language/schema/raw/master/csl-citation.json"}</w:instrText>
      </w:r>
      <w:r w:rsidR="00EA5F13" w:rsidRPr="00B909F3">
        <w:rPr>
          <w:rFonts w:ascii="Book Antiqua" w:hAnsi="Book Antiqua" w:cs="Arial"/>
          <w:szCs w:val="24"/>
          <w:vertAlign w:val="superscript"/>
        </w:rPr>
        <w:fldChar w:fldCharType="separate"/>
      </w:r>
      <w:r w:rsidR="00EA5F13" w:rsidRPr="00B909F3">
        <w:rPr>
          <w:rFonts w:ascii="Book Antiqua" w:hAnsi="Book Antiqua" w:cs="Arial"/>
          <w:noProof/>
          <w:szCs w:val="24"/>
          <w:vertAlign w:val="superscript"/>
        </w:rPr>
        <w:t>34</w:t>
      </w:r>
      <w:r w:rsidR="00EA5F13" w:rsidRPr="00B909F3">
        <w:rPr>
          <w:rFonts w:ascii="Book Antiqua" w:hAnsi="Book Antiqua" w:cs="Arial"/>
          <w:szCs w:val="24"/>
          <w:vertAlign w:val="superscript"/>
        </w:rPr>
        <w:fldChar w:fldCharType="end"/>
      </w:r>
      <w:r w:rsidR="00EA5F13" w:rsidRPr="00B909F3">
        <w:rPr>
          <w:rFonts w:ascii="Book Antiqua" w:hAnsi="Book Antiqua" w:cs="Arial"/>
          <w:szCs w:val="24"/>
          <w:vertAlign w:val="superscript"/>
        </w:rPr>
        <w:t>]</w:t>
      </w:r>
      <w:r w:rsidR="00D104C1" w:rsidRPr="00B909F3">
        <w:rPr>
          <w:rFonts w:ascii="Book Antiqua" w:hAnsi="Book Antiqua" w:cs="Arial"/>
          <w:szCs w:val="24"/>
        </w:rPr>
        <w:t>.</w:t>
      </w:r>
      <w:r w:rsidR="00966C11" w:rsidRPr="00B909F3">
        <w:rPr>
          <w:rFonts w:ascii="Book Antiqua" w:hAnsi="Book Antiqua" w:cs="Arial"/>
          <w:szCs w:val="24"/>
        </w:rPr>
        <w:t xml:space="preserve"> Therefore, we also </w:t>
      </w:r>
      <w:r w:rsidR="00966C11" w:rsidRPr="00B909F3">
        <w:rPr>
          <w:rFonts w:ascii="Book Antiqua" w:hAnsi="Book Antiqua" w:cs="Arial"/>
          <w:noProof/>
          <w:szCs w:val="24"/>
        </w:rPr>
        <w:t xml:space="preserve">examined </w:t>
      </w:r>
      <w:r w:rsidR="00966C11" w:rsidRPr="00B909F3">
        <w:rPr>
          <w:rFonts w:ascii="Book Antiqua" w:hAnsi="Book Antiqua" w:cs="Arial"/>
          <w:szCs w:val="24"/>
        </w:rPr>
        <w:t>death rates during the 1-mo postoperative period (day 0</w:t>
      </w:r>
      <w:r w:rsidR="00EA5F13" w:rsidRPr="00B909F3">
        <w:rPr>
          <w:rFonts w:ascii="Book Antiqua" w:hAnsi="Book Antiqua" w:cs="Arial"/>
          <w:szCs w:val="24"/>
        </w:rPr>
        <w:t>-</w:t>
      </w:r>
      <w:r w:rsidR="00966C11" w:rsidRPr="00B909F3">
        <w:rPr>
          <w:rFonts w:ascii="Book Antiqua" w:hAnsi="Book Antiqua" w:cs="Arial"/>
          <w:szCs w:val="24"/>
        </w:rPr>
        <w:t xml:space="preserve">30) as compared to residual risk during the remaining 11 </w:t>
      </w:r>
      <w:proofErr w:type="spellStart"/>
      <w:r w:rsidR="00966C11" w:rsidRPr="00B909F3">
        <w:rPr>
          <w:rFonts w:ascii="Book Antiqua" w:hAnsi="Book Antiqua" w:cs="Arial"/>
          <w:szCs w:val="24"/>
        </w:rPr>
        <w:t>mo</w:t>
      </w:r>
      <w:proofErr w:type="spellEnd"/>
      <w:r w:rsidR="00966C11" w:rsidRPr="00B909F3">
        <w:rPr>
          <w:rFonts w:ascii="Book Antiqua" w:hAnsi="Book Antiqua" w:cs="Arial"/>
          <w:szCs w:val="24"/>
        </w:rPr>
        <w:t xml:space="preserve"> of the year (day 31</w:t>
      </w:r>
      <w:r w:rsidR="00EA5F13" w:rsidRPr="00B909F3">
        <w:rPr>
          <w:rFonts w:ascii="Book Antiqua" w:hAnsi="Book Antiqua" w:cs="Arial"/>
          <w:szCs w:val="24"/>
        </w:rPr>
        <w:t>-</w:t>
      </w:r>
      <w:r w:rsidR="00966C11" w:rsidRPr="00B909F3">
        <w:rPr>
          <w:rFonts w:ascii="Book Antiqua" w:hAnsi="Book Antiqua" w:cs="Arial"/>
          <w:szCs w:val="24"/>
        </w:rPr>
        <w:t xml:space="preserve">365). </w:t>
      </w:r>
      <w:r w:rsidRPr="00B909F3">
        <w:rPr>
          <w:rFonts w:ascii="Book Antiqua" w:hAnsi="Book Antiqua" w:cs="Arial"/>
          <w:szCs w:val="24"/>
        </w:rPr>
        <w:t>The secondary outcome of interest was 1-year graft failure.</w:t>
      </w:r>
    </w:p>
    <w:p w14:paraId="5A5DCA3A" w14:textId="3DE0B121" w:rsidR="00AE2710" w:rsidRPr="00B909F3" w:rsidRDefault="00AE2710"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xml:space="preserve">Lastly, among patients who did not experience either adverse outcome (death or graft failure), we describe the proportion that was able to return to </w:t>
      </w:r>
      <w:r w:rsidR="00EA5F13" w:rsidRPr="00B909F3">
        <w:rPr>
          <w:rFonts w:ascii="Book Antiqua" w:hAnsi="Book Antiqua" w:cs="Arial"/>
          <w:szCs w:val="24"/>
        </w:rPr>
        <w:t>“</w:t>
      </w:r>
      <w:r w:rsidRPr="00B909F3">
        <w:rPr>
          <w:rFonts w:ascii="Book Antiqua" w:hAnsi="Book Antiqua" w:cs="Arial"/>
          <w:szCs w:val="24"/>
        </w:rPr>
        <w:t>Normal</w:t>
      </w:r>
      <w:r w:rsidR="00EA5F13" w:rsidRPr="00B909F3">
        <w:rPr>
          <w:rFonts w:ascii="Book Antiqua" w:hAnsi="Book Antiqua" w:cs="Arial"/>
          <w:szCs w:val="24"/>
        </w:rPr>
        <w:t>”</w:t>
      </w:r>
      <w:r w:rsidRPr="00B909F3">
        <w:rPr>
          <w:rFonts w:ascii="Book Antiqua" w:hAnsi="Book Antiqua" w:cs="Arial"/>
          <w:szCs w:val="24"/>
        </w:rPr>
        <w:t xml:space="preserve"> functional status during the </w:t>
      </w:r>
      <w:proofErr w:type="gramStart"/>
      <w:r w:rsidRPr="00B909F3">
        <w:rPr>
          <w:rFonts w:ascii="Book Antiqua" w:hAnsi="Book Antiqua" w:cs="Arial"/>
          <w:szCs w:val="24"/>
        </w:rPr>
        <w:t>first year</w:t>
      </w:r>
      <w:proofErr w:type="gramEnd"/>
      <w:r w:rsidRPr="00B909F3">
        <w:rPr>
          <w:rFonts w:ascii="Book Antiqua" w:hAnsi="Book Antiqua" w:cs="Arial"/>
          <w:szCs w:val="24"/>
        </w:rPr>
        <w:t xml:space="preserve"> post-transplant. Transplant centers must report follow-up data on transplant recipients at 6-mo post-transplant, 1-year, and annually thereafter; follow-up records from day 0 to 395 (365</w:t>
      </w:r>
      <w:r w:rsidR="00EA5F13" w:rsidRPr="00B909F3">
        <w:rPr>
          <w:rFonts w:ascii="Book Antiqua" w:hAnsi="Book Antiqua" w:cs="Arial"/>
          <w:szCs w:val="24"/>
        </w:rPr>
        <w:t xml:space="preserve"> </w:t>
      </w:r>
      <w:r w:rsidRPr="00B909F3">
        <w:rPr>
          <w:rFonts w:ascii="Book Antiqua" w:hAnsi="Book Antiqua" w:cs="Arial"/>
          <w:szCs w:val="24"/>
        </w:rPr>
        <w:t>+</w:t>
      </w:r>
      <w:r w:rsidR="00EA5F13" w:rsidRPr="00B909F3">
        <w:rPr>
          <w:rFonts w:ascii="Book Antiqua" w:hAnsi="Book Antiqua" w:cs="Arial"/>
          <w:szCs w:val="24"/>
        </w:rPr>
        <w:t xml:space="preserve"> </w:t>
      </w:r>
      <w:r w:rsidRPr="00B909F3">
        <w:rPr>
          <w:rFonts w:ascii="Book Antiqua" w:hAnsi="Book Antiqua" w:cs="Arial"/>
          <w:szCs w:val="24"/>
        </w:rPr>
        <w:t xml:space="preserve">30 d) with functional status data available (&lt; 5% of </w:t>
      </w:r>
      <w:r w:rsidRPr="00B909F3">
        <w:rPr>
          <w:rFonts w:ascii="Book Antiqua" w:hAnsi="Book Antiqua" w:cs="Arial"/>
          <w:szCs w:val="24"/>
        </w:rPr>
        <w:lastRenderedPageBreak/>
        <w:t>recipients were missing follow-up functional status) were analyzed (but counted once per patient).</w:t>
      </w:r>
    </w:p>
    <w:p w14:paraId="5B23F141" w14:textId="77777777" w:rsidR="00AE2710" w:rsidRPr="00B909F3" w:rsidRDefault="00AE2710" w:rsidP="00197EDE">
      <w:pPr>
        <w:spacing w:after="0" w:line="360" w:lineRule="auto"/>
        <w:jc w:val="both"/>
        <w:rPr>
          <w:rFonts w:ascii="Book Antiqua" w:hAnsi="Book Antiqua" w:cs="Arial"/>
          <w:szCs w:val="24"/>
        </w:rPr>
      </w:pPr>
    </w:p>
    <w:p w14:paraId="35BC927A" w14:textId="6831B373" w:rsidR="00AE2710" w:rsidRPr="00B909F3" w:rsidRDefault="00AE2710" w:rsidP="00197EDE">
      <w:pPr>
        <w:spacing w:after="0" w:line="360" w:lineRule="auto"/>
        <w:jc w:val="both"/>
        <w:rPr>
          <w:rFonts w:ascii="Book Antiqua" w:hAnsi="Book Antiqua" w:cs="Arial"/>
          <w:szCs w:val="24"/>
        </w:rPr>
      </w:pPr>
      <w:r w:rsidRPr="00B909F3">
        <w:rPr>
          <w:rFonts w:ascii="Book Antiqua" w:hAnsi="Book Antiqua" w:cs="Arial"/>
          <w:b/>
          <w:iCs/>
          <w:szCs w:val="24"/>
        </w:rPr>
        <w:t xml:space="preserve">Potential </w:t>
      </w:r>
      <w:r w:rsidR="00EA5F13" w:rsidRPr="00B909F3">
        <w:rPr>
          <w:rFonts w:ascii="Book Antiqua" w:hAnsi="Book Antiqua" w:cs="Arial"/>
          <w:b/>
          <w:iCs/>
          <w:szCs w:val="24"/>
        </w:rPr>
        <w:t xml:space="preserve">confounding variables: </w:t>
      </w:r>
      <w:r w:rsidRPr="00B909F3">
        <w:rPr>
          <w:rFonts w:ascii="Book Antiqua" w:hAnsi="Book Antiqua" w:cs="Arial"/>
          <w:szCs w:val="24"/>
        </w:rPr>
        <w:t xml:space="preserve">Potential confounders were identified from </w:t>
      </w:r>
      <w:r w:rsidRPr="00B909F3">
        <w:rPr>
          <w:rFonts w:ascii="Book Antiqua" w:hAnsi="Book Antiqua" w:cs="Arial"/>
          <w:iCs/>
          <w:szCs w:val="24"/>
        </w:rPr>
        <w:t xml:space="preserve">a priori </w:t>
      </w:r>
      <w:r w:rsidRPr="00B909F3">
        <w:rPr>
          <w:rFonts w:ascii="Book Antiqua" w:hAnsi="Book Antiqua" w:cs="Arial"/>
          <w:szCs w:val="24"/>
        </w:rPr>
        <w:t>clinical knowledge, literature review, and variables included in the SRTR risk-adjustment models, available at srtr.org. Potential confounders included recipient sociodemographic and medical/surgical history factors (</w:t>
      </w:r>
      <w:r w:rsidRPr="00B909F3">
        <w:rPr>
          <w:rFonts w:ascii="Book Antiqua" w:hAnsi="Book Antiqua" w:cs="Arial"/>
          <w:i/>
          <w:iCs/>
          <w:szCs w:val="24"/>
        </w:rPr>
        <w:t>i.e.</w:t>
      </w:r>
      <w:r w:rsidR="00EA5F13" w:rsidRPr="00B909F3">
        <w:rPr>
          <w:rFonts w:ascii="Book Antiqua" w:hAnsi="Book Antiqua" w:cs="Arial"/>
          <w:szCs w:val="24"/>
        </w:rPr>
        <w:t>,</w:t>
      </w:r>
      <w:r w:rsidRPr="00B909F3">
        <w:rPr>
          <w:rFonts w:ascii="Book Antiqua" w:hAnsi="Book Antiqua" w:cs="Arial"/>
          <w:szCs w:val="24"/>
        </w:rPr>
        <w:t xml:space="preserve"> information known at least 2 </w:t>
      </w:r>
      <w:proofErr w:type="spellStart"/>
      <w:r w:rsidRPr="00B909F3">
        <w:rPr>
          <w:rFonts w:ascii="Book Antiqua" w:hAnsi="Book Antiqua" w:cs="Arial"/>
          <w:szCs w:val="24"/>
        </w:rPr>
        <w:t>wk</w:t>
      </w:r>
      <w:proofErr w:type="spellEnd"/>
      <w:r w:rsidRPr="00B909F3">
        <w:rPr>
          <w:rFonts w:ascii="Book Antiqua" w:hAnsi="Book Antiqua" w:cs="Arial"/>
          <w:szCs w:val="24"/>
        </w:rPr>
        <w:t xml:space="preserve"> before transplant, </w:t>
      </w:r>
      <w:r w:rsidRPr="00B909F3">
        <w:rPr>
          <w:rFonts w:ascii="Book Antiqua" w:hAnsi="Book Antiqua" w:cs="Arial"/>
          <w:i/>
          <w:iCs/>
          <w:szCs w:val="24"/>
        </w:rPr>
        <w:t>e.g.</w:t>
      </w:r>
      <w:r w:rsidR="00EA5F13" w:rsidRPr="00B909F3">
        <w:rPr>
          <w:rFonts w:ascii="Book Antiqua" w:hAnsi="Book Antiqua" w:cs="Arial"/>
          <w:szCs w:val="24"/>
        </w:rPr>
        <w:t>,</w:t>
      </w:r>
      <w:r w:rsidRPr="00B909F3">
        <w:rPr>
          <w:rFonts w:ascii="Book Antiqua" w:hAnsi="Book Antiqua" w:cs="Arial"/>
          <w:szCs w:val="24"/>
        </w:rPr>
        <w:t xml:space="preserve"> primary liver diagnosis; </w:t>
      </w:r>
      <w:r w:rsidR="006C7D58" w:rsidRPr="00B909F3">
        <w:rPr>
          <w:rFonts w:ascii="Book Antiqua" w:hAnsi="Book Antiqua" w:cs="Arial"/>
          <w:szCs w:val="24"/>
        </w:rPr>
        <w:t xml:space="preserve">Table </w:t>
      </w:r>
      <w:r w:rsidR="00DA5B3C" w:rsidRPr="00B909F3">
        <w:rPr>
          <w:rFonts w:ascii="Book Antiqua" w:hAnsi="Book Antiqua" w:cs="Arial"/>
          <w:szCs w:val="24"/>
        </w:rPr>
        <w:t>2</w:t>
      </w:r>
      <w:r w:rsidRPr="00B909F3">
        <w:rPr>
          <w:rFonts w:ascii="Book Antiqua" w:hAnsi="Book Antiqua" w:cs="Arial"/>
          <w:szCs w:val="24"/>
        </w:rPr>
        <w:t>), pre-transplant illness severity markers (</w:t>
      </w:r>
      <w:r w:rsidR="00EA5F13" w:rsidRPr="00B909F3">
        <w:rPr>
          <w:rFonts w:ascii="Book Antiqua" w:hAnsi="Book Antiqua" w:cs="Arial"/>
          <w:i/>
          <w:iCs/>
          <w:szCs w:val="24"/>
        </w:rPr>
        <w:t>e.g.</w:t>
      </w:r>
      <w:r w:rsidR="00EA5F13" w:rsidRPr="00B909F3">
        <w:rPr>
          <w:rFonts w:ascii="Book Antiqua" w:hAnsi="Book Antiqua" w:cs="Arial"/>
          <w:szCs w:val="24"/>
        </w:rPr>
        <w:t>,</w:t>
      </w:r>
      <w:r w:rsidRPr="00B909F3">
        <w:rPr>
          <w:rFonts w:ascii="Book Antiqua" w:hAnsi="Book Antiqua" w:cs="Arial"/>
          <w:szCs w:val="24"/>
        </w:rPr>
        <w:t xml:space="preserve"> last-calculated laboratory MELD</w:t>
      </w:r>
      <w:r w:rsidR="00D104C1" w:rsidRPr="00B909F3">
        <w:rPr>
          <w:rFonts w:ascii="Book Antiqua" w:hAnsi="Book Antiqua" w:cs="Arial"/>
          <w:szCs w:val="24"/>
        </w:rPr>
        <w:t>;</w:t>
      </w:r>
      <w:r w:rsidRPr="00B909F3">
        <w:rPr>
          <w:rFonts w:ascii="Book Antiqua" w:hAnsi="Book Antiqua" w:cs="Arial"/>
          <w:szCs w:val="24"/>
        </w:rPr>
        <w:t xml:space="preserve"> </w:t>
      </w:r>
      <w:r w:rsidR="006C7D58" w:rsidRPr="00B909F3">
        <w:rPr>
          <w:rFonts w:ascii="Book Antiqua" w:hAnsi="Book Antiqua" w:cs="Arial"/>
          <w:szCs w:val="24"/>
        </w:rPr>
        <w:t xml:space="preserve">Table </w:t>
      </w:r>
      <w:r w:rsidR="00DA5B3C" w:rsidRPr="00B909F3">
        <w:rPr>
          <w:rFonts w:ascii="Book Antiqua" w:hAnsi="Book Antiqua" w:cs="Arial"/>
          <w:szCs w:val="24"/>
        </w:rPr>
        <w:t>3</w:t>
      </w:r>
      <w:r w:rsidRPr="00B909F3">
        <w:rPr>
          <w:rFonts w:ascii="Book Antiqua" w:hAnsi="Book Antiqua" w:cs="Arial"/>
          <w:szCs w:val="24"/>
        </w:rPr>
        <w:t>), and all Donor Risk Index factors (</w:t>
      </w:r>
      <w:r w:rsidR="00EA5F13" w:rsidRPr="00B909F3">
        <w:rPr>
          <w:rFonts w:ascii="Book Antiqua" w:hAnsi="Book Antiqua" w:cs="Arial"/>
          <w:i/>
          <w:iCs/>
          <w:szCs w:val="24"/>
        </w:rPr>
        <w:t>e.g.</w:t>
      </w:r>
      <w:r w:rsidR="00EA5F13" w:rsidRPr="00B909F3">
        <w:rPr>
          <w:rFonts w:ascii="Book Antiqua" w:hAnsi="Book Antiqua" w:cs="Arial"/>
          <w:szCs w:val="24"/>
        </w:rPr>
        <w:t>,</w:t>
      </w:r>
      <w:r w:rsidRPr="00B909F3">
        <w:rPr>
          <w:rFonts w:ascii="Book Antiqua" w:hAnsi="Book Antiqua" w:cs="Arial"/>
          <w:szCs w:val="24"/>
        </w:rPr>
        <w:t xml:space="preserve"> cause of death; </w:t>
      </w:r>
      <w:r w:rsidR="006C7D58" w:rsidRPr="00B909F3">
        <w:rPr>
          <w:rFonts w:ascii="Book Antiqua" w:hAnsi="Book Antiqua" w:cs="Arial"/>
          <w:szCs w:val="24"/>
        </w:rPr>
        <w:t xml:space="preserve">Table </w:t>
      </w:r>
      <w:r w:rsidR="00DA5B3C" w:rsidRPr="00B909F3">
        <w:rPr>
          <w:rFonts w:ascii="Book Antiqua" w:hAnsi="Book Antiqua" w:cs="Arial"/>
          <w:szCs w:val="24"/>
        </w:rPr>
        <w:t>4</w:t>
      </w:r>
      <w:r w:rsidRPr="00B909F3">
        <w:rPr>
          <w:rFonts w:ascii="Book Antiqua" w:hAnsi="Book Antiqua" w:cs="Arial"/>
          <w:szCs w:val="24"/>
        </w:rPr>
        <w:t>)</w:t>
      </w:r>
      <w:r w:rsidR="00EA5F13" w:rsidRPr="00B909F3">
        <w:rPr>
          <w:rFonts w:ascii="Book Antiqua" w:hAnsi="Book Antiqua" w:cs="Arial"/>
          <w:szCs w:val="24"/>
          <w:vertAlign w:val="superscript"/>
        </w:rPr>
        <w:t>[</w:t>
      </w:r>
      <w:r w:rsidR="00EA5F13" w:rsidRPr="00B909F3">
        <w:rPr>
          <w:rFonts w:ascii="Book Antiqua" w:hAnsi="Book Antiqua" w:cs="Arial"/>
          <w:szCs w:val="24"/>
          <w:vertAlign w:val="superscript"/>
        </w:rPr>
        <w:fldChar w:fldCharType="begin" w:fldLock="1"/>
      </w:r>
      <w:r w:rsidR="00EA5F13" w:rsidRPr="00B909F3">
        <w:rPr>
          <w:rFonts w:ascii="Book Antiqua" w:hAnsi="Book Antiqua" w:cs="Arial"/>
          <w:szCs w:val="24"/>
          <w:vertAlign w:val="superscript"/>
        </w:rPr>
        <w:instrText>ADDIN CSL_CITATION {"citationItems":[{"id":"ITEM-1","itemData":{"DOI":"10.1111/j.1600-6143.2006.01242.x","ISBN":"1600-6135; 1600-6135","ISSN":"16006135","PMID":"16539636","abstract":"Transplant physicians and candidates have become increasingly aware that donor characteristics signif-icantly impact liver transplantation outcomes. Al-though the qualitative effect of individual donor vari-ables are understood, the quantitative risk associated with combinations of characteristics are unclear. Us-ing national data from 1998 to 2002, we developed a quantitative donor risk index. Cox regression mod-els identified seven donor characteristics that indepen-dently predicted significantly increased risk of graft failure. Donor age over 40 years (and particularly over 60 years), donation after cardiac death (DCD), and split/partial grafts were strongly associated with graft failure, while African-American race, less height, cere-brovascular accident and 'other' causes of brain death were more modestly but still significantly associated with graft failure. Grafts with an increased donor risk index have been preferentially transplanted into older candidates (&gt;50 years of age) with moderate disease severity (nonstatus 1 with lower model for end-stage liver disease (MELD) scores) and without hepatitis C. Quantitative assessment of the risk of donor liver graft failure using a donor risk index is useful to inform the process of organ acceptance.","author":[{"dropping-particle":"","family":"Munksgaard","given":"Blackwell","non-dropping-particle":"","parse-names":false,"suffix":""},{"dropping-particle":"","family":"Feng","given":"S","non-dropping-particle":"","parse-names":false,"suffix":""},{"dropping-particle":"","family":"Goodrich","given":"N P","non-dropping-particle":"","parse-names":false,"suffix":""},{"dropping-particle":"","family":"Bragg-Gresham","given":"J L","non-dropping-particle":"","parse-names":false,"suffix":""},{"dropping-particle":"","family":"Dykstra","given":"D M","non-dropping-particle":"","parse-names":false,"suffix":""},{"dropping-particle":"","family":"Punch","given":"J D","non-dropping-particle":"","parse-names":false,"suffix":""},{"dropping-particle":"","family":"Debroy","given":"M A","non-dropping-particle":"","parse-names":false,"suffix":""},{"dropping-particle":"","family":"Greenstein","given":"S M","non-dropping-particle":"","parse-names":false,"suffix":""},{"dropping-particle":"","family":"Merion","given":"R M","non-dropping-particle":"","parse-names":false,"suffix":""},{"dropping-particle":"","family":"Feng","given":"Sandy","non-dropping-particle":"","parse-names":false,"suffix":""}],"container-title":"American Journal of Transplantation","id":"ITEM-1","issue":"4","issued":{"date-parts":[["2006","4"]]},"note":"LR: 20070214; JID: 100968638; ppublish","page":"783-790","title":"Characteristics Associated with Liver Graft Failure: The Concept of a Donor Risk Index","type":"article-journal","volume":"6"},"uris":["http://www.mendeley.com/documents/?uuid=ccefd5db-f64f-4c38-b971-0c2a6403b09d"]},{"id":"ITEM-2","itemData":{"DOI":"10.1111/ctr.12186","ISSN":"1399-0012","PMID":"23923973","abstract":"INTRODUCTION: The 15% mortality rate of liver transplant recipients at one yr may be viewed as a feat in comparison with the waiting list mortality, yet it nonetheless leaves room for much improvement. Our aim was to critically examine the mortality rates to identify high-risk periods and to incorporate cause of death into the analysis of post-transplant survival. METHODS: We performed a retrospective analysis on United Network for Organ Sharing data for all adult recipients of liver transplants from January 1, 2002 to October 31, 2011. Our analysis included multivariate logistic regression where the primary outcome measure was patient death of 49,288 recipients. RESULTS: The highest mortality rate by day post-transplant was on day 0 (0.9%). The most significant risk factors were as follows: for one-d mortality from technical failure, intensive care unit admission odds ratio (OR 3.2); for one-d mortality from graft failure, warm ischemia &gt;75 min (OR 5.6); for one-month mortality from infection, a previous transplant (OR 3.3); and for one-month mortality from graft failure, a previous transplant (OR 3.7). CONCLUSION: We found that the highest mortality rate after liver transplantation is within the first day and the first month post-transplant. Those two high-risk periods have common, as well as different, risk factors for mortality.","author":[{"dropping-particle":"","family":"Rana","given":"Abbas","non-dropping-particle":"","parse-names":false,"suffix":""},{"dropping-particle":"","family":"Kaplan","given":"Bruce","non-dropping-particle":"","parse-names":false,"suffix":""},{"dropping-particle":"","family":"Jie","given":"Tun","non-dropping-particle":"","parse-names":false,"suffix":""},{"dropping-particle":"","family":"Porubsky","given":"Marian","non-dropping-particle":"","parse-names":false,"suffix":""},{"dropping-particle":"","family":"Habib","given":"Shahid","non-dropping-particle":"","parse-names":false,"suffix":""},{"dropping-particle":"","family":"Rilo","given":"Horacio","non-dropping-particle":"","parse-names":false,"suffix":""},{"dropping-particle":"","family":"Gruessner","given":"Angelika C","non-dropping-particle":"","parse-names":false,"suffix":""},{"dropping-particle":"","family":"Gruessner","given":"Rainer W G","non-dropping-particle":"","parse-names":false,"suffix":""}],"container-title":"Clinical transplantation","id":"ITEM-2","issue":"4","issued":{"date-parts":[["0"]]},"page":"E448-53","title":"A critical analysis of early death after adult liver transplants.","type":"article-journal","volume":"27"},"uris":["http://www.mendeley.com/documents/?uuid=b923d74b-c1b3-4849-aa2b-dfa5d7260cde","http://www.mendeley.com/documents/?uuid=16e26aad-f4b0-415a-9f56-9f4456655f1e"]}],"mendeley":{"formattedCitation":"&lt;sup&gt;34,35&lt;/sup&gt;","plainTextFormattedCitation":"34,35","previouslyFormattedCitation":"&lt;sup&gt;34,35&lt;/sup&gt;"},"properties":{"noteIndex":0},"schema":"https://github.com/citation-style-language/schema/raw/master/csl-citation.json"}</w:instrText>
      </w:r>
      <w:r w:rsidR="00EA5F13" w:rsidRPr="00B909F3">
        <w:rPr>
          <w:rFonts w:ascii="Book Antiqua" w:hAnsi="Book Antiqua" w:cs="Arial"/>
          <w:szCs w:val="24"/>
          <w:vertAlign w:val="superscript"/>
        </w:rPr>
        <w:fldChar w:fldCharType="separate"/>
      </w:r>
      <w:r w:rsidR="00EA5F13" w:rsidRPr="00B909F3">
        <w:rPr>
          <w:rFonts w:ascii="Book Antiqua" w:hAnsi="Book Antiqua" w:cs="Arial"/>
          <w:noProof/>
          <w:szCs w:val="24"/>
          <w:vertAlign w:val="superscript"/>
        </w:rPr>
        <w:t>34,35</w:t>
      </w:r>
      <w:r w:rsidR="00EA5F13" w:rsidRPr="00B909F3">
        <w:rPr>
          <w:rFonts w:ascii="Book Antiqua" w:hAnsi="Book Antiqua" w:cs="Arial"/>
          <w:szCs w:val="24"/>
          <w:vertAlign w:val="superscript"/>
        </w:rPr>
        <w:fldChar w:fldCharType="end"/>
      </w:r>
      <w:r w:rsidR="00EA5F13" w:rsidRPr="00B909F3">
        <w:rPr>
          <w:rFonts w:ascii="Book Antiqua" w:hAnsi="Book Antiqua" w:cs="Arial"/>
          <w:szCs w:val="24"/>
          <w:vertAlign w:val="superscript"/>
        </w:rPr>
        <w:t>]</w:t>
      </w:r>
      <w:r w:rsidRPr="00B909F3">
        <w:rPr>
          <w:rFonts w:ascii="Book Antiqua" w:hAnsi="Book Antiqua" w:cs="Arial"/>
          <w:szCs w:val="24"/>
        </w:rPr>
        <w:t>.</w:t>
      </w:r>
      <w:r w:rsidR="00D104C1" w:rsidRPr="00B909F3">
        <w:rPr>
          <w:rFonts w:ascii="Book Antiqua" w:hAnsi="Book Antiqua" w:cs="Arial"/>
          <w:szCs w:val="24"/>
        </w:rPr>
        <w:t xml:space="preserve"> </w:t>
      </w:r>
      <w:r w:rsidRPr="00B909F3">
        <w:rPr>
          <w:rFonts w:ascii="Book Antiqua" w:hAnsi="Book Antiqua" w:cs="Arial"/>
          <w:szCs w:val="24"/>
        </w:rPr>
        <w:t xml:space="preserve">Every variable evaluated </w:t>
      </w:r>
      <w:r w:rsidR="00966C11" w:rsidRPr="00B909F3">
        <w:rPr>
          <w:rFonts w:ascii="Book Antiqua" w:hAnsi="Book Antiqua" w:cs="Arial"/>
          <w:szCs w:val="24"/>
        </w:rPr>
        <w:t xml:space="preserve">as a </w:t>
      </w:r>
      <w:r w:rsidRPr="00B909F3">
        <w:rPr>
          <w:rFonts w:ascii="Book Antiqua" w:hAnsi="Book Antiqua" w:cs="Arial"/>
          <w:szCs w:val="24"/>
        </w:rPr>
        <w:t>potential confound</w:t>
      </w:r>
      <w:r w:rsidR="00966C11" w:rsidRPr="00B909F3">
        <w:rPr>
          <w:rFonts w:ascii="Book Antiqua" w:hAnsi="Book Antiqua" w:cs="Arial"/>
          <w:szCs w:val="24"/>
        </w:rPr>
        <w:t>er</w:t>
      </w:r>
      <w:r w:rsidRPr="00B909F3">
        <w:rPr>
          <w:rFonts w:ascii="Book Antiqua" w:hAnsi="Book Antiqua" w:cs="Arial"/>
          <w:szCs w:val="24"/>
        </w:rPr>
        <w:t xml:space="preserve"> </w:t>
      </w:r>
      <w:r w:rsidR="00966C11" w:rsidRPr="00B909F3">
        <w:rPr>
          <w:rFonts w:ascii="Book Antiqua" w:hAnsi="Book Antiqua" w:cs="Arial"/>
          <w:szCs w:val="24"/>
        </w:rPr>
        <w:t>was categorized and is</w:t>
      </w:r>
      <w:r w:rsidRPr="00B909F3">
        <w:rPr>
          <w:rFonts w:ascii="Book Antiqua" w:hAnsi="Book Antiqua" w:cs="Arial"/>
          <w:szCs w:val="24"/>
        </w:rPr>
        <w:t xml:space="preserve"> described in Tables </w:t>
      </w:r>
      <w:r w:rsidR="00DA5B3C" w:rsidRPr="00B909F3">
        <w:rPr>
          <w:rFonts w:ascii="Book Antiqua" w:hAnsi="Book Antiqua" w:cs="Arial"/>
          <w:szCs w:val="24"/>
        </w:rPr>
        <w:t>2</w:t>
      </w:r>
      <w:r w:rsidR="00EA5F13" w:rsidRPr="00B909F3">
        <w:rPr>
          <w:rFonts w:ascii="Book Antiqua" w:hAnsi="Book Antiqua" w:cs="Arial"/>
          <w:szCs w:val="24"/>
        </w:rPr>
        <w:t>-</w:t>
      </w:r>
      <w:r w:rsidR="00DA5B3C" w:rsidRPr="00B909F3">
        <w:rPr>
          <w:rFonts w:ascii="Book Antiqua" w:hAnsi="Book Antiqua" w:cs="Arial"/>
          <w:szCs w:val="24"/>
        </w:rPr>
        <w:t>4</w:t>
      </w:r>
      <w:r w:rsidRPr="00B909F3">
        <w:rPr>
          <w:rFonts w:ascii="Book Antiqua" w:hAnsi="Book Antiqua" w:cs="Arial"/>
          <w:szCs w:val="24"/>
        </w:rPr>
        <w:t xml:space="preserve"> (exceptions: baseline functional status, time on the </w:t>
      </w:r>
      <w:r w:rsidRPr="00B909F3">
        <w:rPr>
          <w:rFonts w:ascii="Book Antiqua" w:hAnsi="Book Antiqua" w:cs="Arial"/>
          <w:noProof/>
          <w:szCs w:val="24"/>
        </w:rPr>
        <w:t>waitlist</w:t>
      </w:r>
      <w:r w:rsidRPr="00B909F3">
        <w:rPr>
          <w:rFonts w:ascii="Book Antiqua" w:hAnsi="Book Antiqua" w:cs="Arial"/>
          <w:szCs w:val="24"/>
        </w:rPr>
        <w:t>, and MELD component labs are listed for descriptive purposes only).</w:t>
      </w:r>
    </w:p>
    <w:p w14:paraId="1E4C0FEA" w14:textId="77777777" w:rsidR="00AE2710" w:rsidRPr="00B909F3" w:rsidRDefault="00AE2710" w:rsidP="00197EDE">
      <w:pPr>
        <w:spacing w:after="0" w:line="360" w:lineRule="auto"/>
        <w:jc w:val="both"/>
        <w:rPr>
          <w:rFonts w:ascii="Book Antiqua" w:hAnsi="Book Antiqua" w:cs="Arial"/>
          <w:szCs w:val="24"/>
        </w:rPr>
      </w:pPr>
    </w:p>
    <w:p w14:paraId="670B4352" w14:textId="14F44215" w:rsidR="00AE2710" w:rsidRPr="00B909F3" w:rsidRDefault="00AE2710" w:rsidP="00197EDE">
      <w:pPr>
        <w:spacing w:after="0" w:line="360" w:lineRule="auto"/>
        <w:jc w:val="both"/>
        <w:rPr>
          <w:rFonts w:ascii="Book Antiqua" w:hAnsi="Book Antiqua" w:cs="Arial"/>
          <w:b/>
          <w:i/>
          <w:iCs/>
          <w:szCs w:val="24"/>
        </w:rPr>
      </w:pPr>
      <w:r w:rsidRPr="00B909F3">
        <w:rPr>
          <w:rFonts w:ascii="Book Antiqua" w:hAnsi="Book Antiqua" w:cs="Arial"/>
          <w:b/>
          <w:i/>
          <w:iCs/>
          <w:szCs w:val="24"/>
        </w:rPr>
        <w:t xml:space="preserve">Statistical </w:t>
      </w:r>
      <w:r w:rsidR="00EA5F13" w:rsidRPr="00B909F3">
        <w:rPr>
          <w:rFonts w:ascii="Book Antiqua" w:hAnsi="Book Antiqua" w:cs="Arial"/>
          <w:b/>
          <w:i/>
          <w:iCs/>
          <w:szCs w:val="24"/>
        </w:rPr>
        <w:t>analysis</w:t>
      </w:r>
    </w:p>
    <w:p w14:paraId="4A5B608C" w14:textId="3511AECA" w:rsidR="00EA5F13" w:rsidRPr="00B909F3" w:rsidRDefault="00AE2710" w:rsidP="00197EDE">
      <w:pPr>
        <w:spacing w:after="0" w:line="360" w:lineRule="auto"/>
        <w:jc w:val="both"/>
        <w:rPr>
          <w:rFonts w:ascii="Book Antiqua" w:hAnsi="Book Antiqua" w:cs="Arial"/>
          <w:szCs w:val="24"/>
        </w:rPr>
      </w:pPr>
      <w:r w:rsidRPr="00B909F3">
        <w:rPr>
          <w:rFonts w:ascii="Book Antiqua" w:hAnsi="Book Antiqua" w:cs="Arial"/>
          <w:szCs w:val="24"/>
        </w:rPr>
        <w:t xml:space="preserve">We explored bivariate relationships between the primary exposure (functional status) and potential confounders of interest using contingency table </w:t>
      </w:r>
      <w:r w:rsidRPr="00B909F3">
        <w:rPr>
          <w:rFonts w:ascii="Book Antiqua" w:hAnsi="Book Antiqua" w:cs="Arial"/>
          <w:noProof/>
          <w:szCs w:val="24"/>
        </w:rPr>
        <w:t>analyses</w:t>
      </w:r>
      <w:r w:rsidRPr="00B909F3">
        <w:rPr>
          <w:rFonts w:ascii="Book Antiqua" w:hAnsi="Book Antiqua" w:cs="Arial"/>
          <w:szCs w:val="24"/>
        </w:rPr>
        <w:t xml:space="preserve"> </w:t>
      </w:r>
      <w:r w:rsidR="009361E1" w:rsidRPr="00B909F3">
        <w:rPr>
          <w:rFonts w:ascii="Book Antiqua" w:hAnsi="Book Antiqua" w:cs="Arial"/>
          <w:szCs w:val="24"/>
        </w:rPr>
        <w:t>[</w:t>
      </w:r>
      <w:r w:rsidRPr="00B909F3">
        <w:rPr>
          <w:rFonts w:ascii="Book Antiqua" w:hAnsi="Book Antiqua" w:cs="Arial"/>
          <w:noProof/>
          <w:szCs w:val="24"/>
        </w:rPr>
        <w:t xml:space="preserve">chi-squared </w:t>
      </w:r>
      <w:r w:rsidRPr="00B909F3">
        <w:rPr>
          <w:rFonts w:ascii="Book Antiqua" w:hAnsi="Book Antiqua" w:cs="Arial"/>
          <w:szCs w:val="24"/>
        </w:rPr>
        <w:t>tests for categorical variables, ANOVA for continuous variables, and Spearman</w:t>
      </w:r>
      <w:r w:rsidR="00F064D4" w:rsidRPr="00B909F3">
        <w:rPr>
          <w:rFonts w:ascii="Book Antiqua" w:hAnsi="Book Antiqua" w:cs="Arial"/>
          <w:szCs w:val="24"/>
        </w:rPr>
        <w:t>’</w:t>
      </w:r>
      <w:r w:rsidRPr="00B909F3">
        <w:rPr>
          <w:rFonts w:ascii="Book Antiqua" w:hAnsi="Book Antiqua" w:cs="Arial"/>
          <w:szCs w:val="24"/>
        </w:rPr>
        <w:t>s rho (</w:t>
      </w:r>
      <w:proofErr w:type="spellStart"/>
      <w:r w:rsidRPr="00B909F3">
        <w:rPr>
          <w:rFonts w:ascii="Book Antiqua" w:hAnsi="Book Antiqua" w:cs="Arial"/>
          <w:i/>
          <w:szCs w:val="24"/>
        </w:rPr>
        <w:t>r</w:t>
      </w:r>
      <w:r w:rsidRPr="00B909F3">
        <w:rPr>
          <w:rFonts w:ascii="Book Antiqua" w:hAnsi="Book Antiqua" w:cs="Arial"/>
          <w:szCs w:val="24"/>
          <w:vertAlign w:val="subscript"/>
        </w:rPr>
        <w:t>s</w:t>
      </w:r>
      <w:proofErr w:type="spellEnd"/>
      <w:r w:rsidRPr="00B909F3">
        <w:rPr>
          <w:rFonts w:ascii="Book Antiqua" w:hAnsi="Book Antiqua" w:cs="Arial"/>
          <w:szCs w:val="24"/>
        </w:rPr>
        <w:t>) for ordered-variable correlations, using expanded KPS, continuous MELD</w:t>
      </w:r>
      <w:r w:rsidR="009361E1" w:rsidRPr="00B909F3">
        <w:rPr>
          <w:rFonts w:ascii="Book Antiqua" w:hAnsi="Book Antiqua" w:cs="Arial"/>
          <w:szCs w:val="24"/>
        </w:rPr>
        <w:t>]</w:t>
      </w:r>
      <w:r w:rsidRPr="00B909F3">
        <w:rPr>
          <w:rFonts w:ascii="Book Antiqua" w:hAnsi="Book Antiqua" w:cs="Arial"/>
          <w:szCs w:val="24"/>
        </w:rPr>
        <w:t xml:space="preserve">. Relationships between variables and post-transplant time were explored graphically. One-year cumulative failure rates were estimated using the </w:t>
      </w:r>
      <w:r w:rsidRPr="00B909F3">
        <w:rPr>
          <w:rFonts w:ascii="Book Antiqua" w:hAnsi="Book Antiqua" w:cs="Arial"/>
          <w:noProof/>
          <w:szCs w:val="24"/>
        </w:rPr>
        <w:t>Kaplan Meier</w:t>
      </w:r>
      <w:r w:rsidRPr="00B909F3">
        <w:rPr>
          <w:rFonts w:ascii="Book Antiqua" w:hAnsi="Book Antiqua" w:cs="Arial"/>
          <w:szCs w:val="24"/>
        </w:rPr>
        <w:t xml:space="preserve"> method.</w:t>
      </w:r>
    </w:p>
    <w:p w14:paraId="38CBC91E" w14:textId="09DB2963" w:rsidR="00EA5F13" w:rsidRPr="00B909F3" w:rsidRDefault="00AE2710"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xml:space="preserve">To quantify the extent to which impaired functional status was associated with increased risk of 1-year all-cause mortality and 1-year graft failure, we developed separate Cox survival regression models for each outcome. We applied a manual forward approach, sequentially adding conceptually meaningful groups of variables to the model. With the exception of recipient age, sex, race/ethnicity, and MELD, variables (and variable interactions) with p-values of &gt; 0.05 were excluded from the final model. Goodness-of-fit and proportionality of hazards </w:t>
      </w:r>
      <w:r w:rsidRPr="00B909F3">
        <w:rPr>
          <w:rFonts w:ascii="Book Antiqua" w:hAnsi="Book Antiqua" w:cs="Arial"/>
          <w:noProof/>
          <w:szCs w:val="24"/>
        </w:rPr>
        <w:t>were</w:t>
      </w:r>
      <w:r w:rsidRPr="00B909F3">
        <w:rPr>
          <w:rFonts w:ascii="Book Antiqua" w:hAnsi="Book Antiqua" w:cs="Arial"/>
          <w:szCs w:val="24"/>
        </w:rPr>
        <w:t xml:space="preserve"> tested using the omnibus </w:t>
      </w:r>
      <w:proofErr w:type="spellStart"/>
      <w:r w:rsidRPr="00B909F3">
        <w:rPr>
          <w:rFonts w:ascii="Book Antiqua" w:hAnsi="Book Antiqua" w:cs="Arial"/>
          <w:szCs w:val="24"/>
        </w:rPr>
        <w:t>Gronnesby</w:t>
      </w:r>
      <w:proofErr w:type="spellEnd"/>
      <w:r w:rsidRPr="00B909F3">
        <w:rPr>
          <w:rFonts w:ascii="Book Antiqua" w:hAnsi="Book Antiqua" w:cs="Arial"/>
          <w:szCs w:val="24"/>
        </w:rPr>
        <w:t xml:space="preserve"> and </w:t>
      </w:r>
      <w:r w:rsidRPr="00B909F3">
        <w:rPr>
          <w:rFonts w:ascii="Book Antiqua" w:hAnsi="Book Antiqua" w:cs="Arial"/>
          <w:noProof/>
          <w:szCs w:val="24"/>
        </w:rPr>
        <w:t>Borgan</w:t>
      </w:r>
      <w:r w:rsidRPr="00B909F3">
        <w:rPr>
          <w:rFonts w:ascii="Book Antiqua" w:hAnsi="Book Antiqua" w:cs="Arial"/>
          <w:szCs w:val="24"/>
        </w:rPr>
        <w:t xml:space="preserve"> test and martingale residuals and confirmed non-significant (no evidence of poor fit) for all models reported</w:t>
      </w:r>
      <w:r w:rsidR="00EA5F13" w:rsidRPr="00B909F3">
        <w:rPr>
          <w:rFonts w:ascii="Book Antiqua" w:hAnsi="Book Antiqua" w:cs="Arial"/>
          <w:szCs w:val="24"/>
          <w:vertAlign w:val="superscript"/>
        </w:rPr>
        <w:t>[</w:t>
      </w:r>
      <w:r w:rsidR="00EA5F13" w:rsidRPr="00B909F3">
        <w:rPr>
          <w:rFonts w:ascii="Book Antiqua" w:hAnsi="Book Antiqua" w:cs="Arial"/>
          <w:szCs w:val="24"/>
          <w:vertAlign w:val="superscript"/>
        </w:rPr>
        <w:fldChar w:fldCharType="begin" w:fldLock="1"/>
      </w:r>
      <w:r w:rsidR="00EA5F13" w:rsidRPr="00B909F3">
        <w:rPr>
          <w:rFonts w:ascii="Book Antiqua" w:hAnsi="Book Antiqua" w:cs="Arial"/>
          <w:szCs w:val="24"/>
          <w:vertAlign w:val="superscript"/>
        </w:rPr>
        <w:instrText>ADDIN CSL_CITATION {"citationItems":[{"id":"ITEM-1","itemData":{"ISBN":"1380-7870 (Print)\r1380-7870 (Linking)","ISSN":"1380-7870","PMID":"9384628","abstract":"We propose to perform model check for the Cox and Aalen regression models using martingale residual processes grouped after the risk score. Asymptotic distributions of the grouped martingale residual processes are deduced, so both formal and graphical model check can be performed. The method is validated by stochastic simulation. A data example with patients with primary biliary cirrhosis of the liver is discussed.","author":[{"dropping-particle":"","family":"Grønnesby","given":"J K","non-dropping-particle":"","parse-names":false,"suffix":""},{"dropping-particle":"","family":"Borgan","given":"O","non-dropping-particle":"","parse-names":false,"suffix":""}],"container-title":"Lifetime data analysis","id":"ITEM-1","issue":"4","issued":{"date-parts":[["1996"]]},"page":"315-28","title":"A method for checking regression models in survival analysis based on the risk score.","type":"article-journal","volume":"2"},"uris":["http://www.mendeley.com/documents/?uuid=a35e128b-6b94-46cf-bab3-afed1703239e"]}],"mendeley":{"formattedCitation":"&lt;sup&gt;36&lt;/sup&gt;","plainTextFormattedCitation":"36","previouslyFormattedCitation":"&lt;sup&gt;36&lt;/sup&gt;"},"properties":{"noteIndex":0},"schema":"https://github.com/citation-style-language/schema/raw/master/csl-citation.json"}</w:instrText>
      </w:r>
      <w:r w:rsidR="00EA5F13" w:rsidRPr="00B909F3">
        <w:rPr>
          <w:rFonts w:ascii="Book Antiqua" w:hAnsi="Book Antiqua" w:cs="Arial"/>
          <w:szCs w:val="24"/>
          <w:vertAlign w:val="superscript"/>
        </w:rPr>
        <w:fldChar w:fldCharType="separate"/>
      </w:r>
      <w:r w:rsidR="00EA5F13" w:rsidRPr="00B909F3">
        <w:rPr>
          <w:rFonts w:ascii="Book Antiqua" w:hAnsi="Book Antiqua" w:cs="Arial"/>
          <w:noProof/>
          <w:szCs w:val="24"/>
          <w:vertAlign w:val="superscript"/>
        </w:rPr>
        <w:t>36</w:t>
      </w:r>
      <w:r w:rsidR="00EA5F13" w:rsidRPr="00B909F3">
        <w:rPr>
          <w:rFonts w:ascii="Book Antiqua" w:hAnsi="Book Antiqua" w:cs="Arial"/>
          <w:szCs w:val="24"/>
          <w:vertAlign w:val="superscript"/>
        </w:rPr>
        <w:fldChar w:fldCharType="end"/>
      </w:r>
      <w:r w:rsidR="00EA5F13" w:rsidRPr="00B909F3">
        <w:rPr>
          <w:rFonts w:ascii="Book Antiqua" w:hAnsi="Book Antiqua" w:cs="Arial"/>
          <w:szCs w:val="24"/>
          <w:vertAlign w:val="superscript"/>
        </w:rPr>
        <w:t>]</w:t>
      </w:r>
      <w:r w:rsidR="00933E77" w:rsidRPr="00B909F3">
        <w:rPr>
          <w:rFonts w:ascii="Book Antiqua" w:hAnsi="Book Antiqua" w:cs="Arial"/>
          <w:szCs w:val="24"/>
        </w:rPr>
        <w:t>.</w:t>
      </w:r>
    </w:p>
    <w:p w14:paraId="310BB10F" w14:textId="6A1C2C1E" w:rsidR="00AE2710" w:rsidRPr="00B909F3" w:rsidRDefault="00AE2710"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lastRenderedPageBreak/>
        <w:t>Results are rep</w:t>
      </w:r>
      <w:r w:rsidR="00933E77" w:rsidRPr="00B909F3">
        <w:rPr>
          <w:rFonts w:ascii="Book Antiqua" w:hAnsi="Book Antiqua" w:cs="Arial"/>
          <w:szCs w:val="24"/>
        </w:rPr>
        <w:t xml:space="preserve">orted as hazard ratios (HR) with </w:t>
      </w:r>
      <w:r w:rsidRPr="00B909F3">
        <w:rPr>
          <w:rFonts w:ascii="Book Antiqua" w:hAnsi="Book Antiqua" w:cs="Arial"/>
          <w:szCs w:val="24"/>
        </w:rPr>
        <w:t>95%</w:t>
      </w:r>
      <w:r w:rsidR="009361E1" w:rsidRPr="00B909F3">
        <w:rPr>
          <w:rFonts w:ascii="Book Antiqua" w:hAnsi="Book Antiqua" w:cs="Arial"/>
          <w:szCs w:val="24"/>
        </w:rPr>
        <w:t xml:space="preserve"> confidence interval (CI)</w:t>
      </w:r>
      <w:r w:rsidRPr="00B909F3">
        <w:rPr>
          <w:rFonts w:ascii="Book Antiqua" w:hAnsi="Book Antiqua" w:cs="Arial"/>
          <w:szCs w:val="24"/>
        </w:rPr>
        <w:t xml:space="preserve">; </w:t>
      </w:r>
      <w:r w:rsidR="00EA5F13" w:rsidRPr="00B909F3">
        <w:rPr>
          <w:rFonts w:ascii="Book Antiqua" w:hAnsi="Book Antiqua" w:cs="Arial"/>
          <w:i/>
          <w:iCs/>
          <w:szCs w:val="24"/>
        </w:rPr>
        <w:t>P</w:t>
      </w:r>
      <w:r w:rsidRPr="00B909F3">
        <w:rPr>
          <w:rFonts w:ascii="Book Antiqua" w:hAnsi="Book Antiqua" w:cs="Arial"/>
          <w:szCs w:val="24"/>
        </w:rPr>
        <w:t xml:space="preserve">-values ≤ 0.05 were considered statistically significant. All </w:t>
      </w:r>
      <w:r w:rsidRPr="00B909F3">
        <w:rPr>
          <w:rFonts w:ascii="Book Antiqua" w:hAnsi="Book Antiqua" w:cs="Arial"/>
          <w:noProof/>
          <w:szCs w:val="24"/>
        </w:rPr>
        <w:t>analyses</w:t>
      </w:r>
      <w:r w:rsidRPr="00B909F3">
        <w:rPr>
          <w:rFonts w:ascii="Book Antiqua" w:hAnsi="Book Antiqua" w:cs="Arial"/>
          <w:szCs w:val="24"/>
        </w:rPr>
        <w:t xml:space="preserve"> were conducted using Stata version 13 (</w:t>
      </w:r>
      <w:proofErr w:type="spellStart"/>
      <w:r w:rsidRPr="00B909F3">
        <w:rPr>
          <w:rFonts w:ascii="Book Antiqua" w:hAnsi="Book Antiqua" w:cs="Arial"/>
          <w:szCs w:val="24"/>
        </w:rPr>
        <w:t>Stat</w:t>
      </w:r>
      <w:r w:rsidR="005E165B" w:rsidRPr="00B909F3">
        <w:rPr>
          <w:rFonts w:ascii="Book Antiqua" w:hAnsi="Book Antiqua" w:cs="Arial"/>
          <w:szCs w:val="24"/>
        </w:rPr>
        <w:t>aCorp</w:t>
      </w:r>
      <w:proofErr w:type="spellEnd"/>
      <w:r w:rsidR="005E165B" w:rsidRPr="00B909F3">
        <w:rPr>
          <w:rFonts w:ascii="Book Antiqua" w:hAnsi="Book Antiqua" w:cs="Arial"/>
          <w:szCs w:val="24"/>
        </w:rPr>
        <w:t xml:space="preserve"> LP, College Station, TX</w:t>
      </w:r>
      <w:r w:rsidR="00F705FB">
        <w:rPr>
          <w:rFonts w:ascii="Book Antiqua" w:hAnsi="Book Antiqua" w:cs="Arial"/>
          <w:szCs w:val="24"/>
        </w:rPr>
        <w:t>, United States</w:t>
      </w:r>
      <w:r w:rsidR="005E165B" w:rsidRPr="00B909F3">
        <w:rPr>
          <w:rFonts w:ascii="Book Antiqua" w:hAnsi="Book Antiqua" w:cs="Arial"/>
          <w:szCs w:val="24"/>
        </w:rPr>
        <w:t>).</w:t>
      </w:r>
    </w:p>
    <w:p w14:paraId="28946B3C" w14:textId="77777777" w:rsidR="00AE2710" w:rsidRPr="00B909F3" w:rsidRDefault="00AE2710" w:rsidP="00197EDE">
      <w:pPr>
        <w:spacing w:after="0" w:line="360" w:lineRule="auto"/>
        <w:jc w:val="both"/>
        <w:rPr>
          <w:rFonts w:ascii="Book Antiqua" w:hAnsi="Book Antiqua" w:cs="Arial"/>
          <w:szCs w:val="24"/>
        </w:rPr>
      </w:pPr>
    </w:p>
    <w:p w14:paraId="733ACBC2" w14:textId="79FBFB9F" w:rsidR="00AE2710" w:rsidRPr="00B909F3" w:rsidRDefault="00AE2710" w:rsidP="00197EDE">
      <w:pPr>
        <w:spacing w:after="0" w:line="360" w:lineRule="auto"/>
        <w:jc w:val="both"/>
        <w:rPr>
          <w:rFonts w:ascii="Book Antiqua" w:hAnsi="Book Antiqua" w:cs="Arial"/>
          <w:b/>
          <w:szCs w:val="24"/>
        </w:rPr>
      </w:pPr>
      <w:r w:rsidRPr="00B909F3">
        <w:rPr>
          <w:rFonts w:ascii="Book Antiqua" w:hAnsi="Book Antiqua" w:cs="Arial"/>
          <w:b/>
          <w:szCs w:val="24"/>
        </w:rPr>
        <w:t>RESULTS</w:t>
      </w:r>
    </w:p>
    <w:p w14:paraId="31A7B86E" w14:textId="1585A149" w:rsidR="00AE2710" w:rsidRPr="00B909F3" w:rsidRDefault="00AE2710" w:rsidP="00197EDE">
      <w:pPr>
        <w:spacing w:after="0" w:line="360" w:lineRule="auto"/>
        <w:jc w:val="both"/>
        <w:rPr>
          <w:rFonts w:ascii="Book Antiqua" w:hAnsi="Book Antiqua" w:cs="Arial"/>
          <w:b/>
          <w:i/>
          <w:iCs/>
          <w:szCs w:val="24"/>
        </w:rPr>
      </w:pPr>
      <w:r w:rsidRPr="00B909F3">
        <w:rPr>
          <w:rFonts w:ascii="Book Antiqua" w:hAnsi="Book Antiqua" w:cs="Arial"/>
          <w:b/>
          <w:i/>
          <w:iCs/>
          <w:szCs w:val="24"/>
        </w:rPr>
        <w:t xml:space="preserve">Sample </w:t>
      </w:r>
      <w:r w:rsidR="00EA5F13" w:rsidRPr="00B909F3">
        <w:rPr>
          <w:rFonts w:ascii="Book Antiqua" w:hAnsi="Book Antiqua" w:cs="Arial"/>
          <w:b/>
          <w:i/>
          <w:iCs/>
          <w:szCs w:val="24"/>
        </w:rPr>
        <w:t>characteristics</w:t>
      </w:r>
    </w:p>
    <w:p w14:paraId="7777CB56" w14:textId="4B8BD529" w:rsidR="00EA5F13" w:rsidRPr="00B909F3" w:rsidRDefault="00AE2710" w:rsidP="00197EDE">
      <w:pPr>
        <w:spacing w:after="0" w:line="360" w:lineRule="auto"/>
        <w:jc w:val="both"/>
        <w:rPr>
          <w:rFonts w:ascii="Book Antiqua" w:hAnsi="Book Antiqua" w:cs="Arial"/>
          <w:szCs w:val="24"/>
        </w:rPr>
      </w:pPr>
      <w:r w:rsidRPr="00B909F3">
        <w:rPr>
          <w:rFonts w:ascii="Book Antiqua" w:hAnsi="Book Antiqua" w:cs="Arial"/>
          <w:szCs w:val="24"/>
        </w:rPr>
        <w:t>The final study sample included 38278 liver transplant recipients (</w:t>
      </w:r>
      <w:r w:rsidR="00BC34E9" w:rsidRPr="00B909F3">
        <w:rPr>
          <w:rFonts w:ascii="Book Antiqua" w:hAnsi="Book Antiqua" w:cs="Arial"/>
          <w:szCs w:val="24"/>
        </w:rPr>
        <w:t xml:space="preserve">Figure </w:t>
      </w:r>
      <w:r w:rsidRPr="00B909F3">
        <w:rPr>
          <w:rFonts w:ascii="Book Antiqua" w:hAnsi="Book Antiqua" w:cs="Arial"/>
          <w:szCs w:val="24"/>
        </w:rPr>
        <w:t xml:space="preserve">1). The median </w:t>
      </w:r>
      <w:r w:rsidR="00EA5F13" w:rsidRPr="00B909F3">
        <w:rPr>
          <w:rFonts w:ascii="Book Antiqua" w:hAnsi="Book Antiqua" w:cs="Arial"/>
          <w:szCs w:val="24"/>
        </w:rPr>
        <w:t>[</w:t>
      </w:r>
      <w:r w:rsidRPr="00B909F3">
        <w:rPr>
          <w:rFonts w:ascii="Book Antiqua" w:hAnsi="Book Antiqua" w:cs="Arial"/>
          <w:szCs w:val="24"/>
        </w:rPr>
        <w:t xml:space="preserve">interquartile range </w:t>
      </w:r>
      <w:r w:rsidR="00EA5F13" w:rsidRPr="00B909F3">
        <w:rPr>
          <w:rFonts w:ascii="Book Antiqua" w:hAnsi="Book Antiqua" w:cs="Arial"/>
          <w:szCs w:val="24"/>
        </w:rPr>
        <w:t>(</w:t>
      </w:r>
      <w:r w:rsidRPr="00B909F3">
        <w:rPr>
          <w:rFonts w:ascii="Book Antiqua" w:hAnsi="Book Antiqua" w:cs="Arial"/>
          <w:szCs w:val="24"/>
        </w:rPr>
        <w:t>IQR</w:t>
      </w:r>
      <w:r w:rsidR="00EA5F13" w:rsidRPr="00B909F3">
        <w:rPr>
          <w:rFonts w:ascii="Book Antiqua" w:hAnsi="Book Antiqua" w:cs="Arial"/>
          <w:szCs w:val="24"/>
        </w:rPr>
        <w:t>)]</w:t>
      </w:r>
      <w:r w:rsidRPr="00B909F3">
        <w:rPr>
          <w:rFonts w:ascii="Book Antiqua" w:hAnsi="Book Antiqua" w:cs="Arial"/>
          <w:szCs w:val="24"/>
        </w:rPr>
        <w:t xml:space="preserve"> age was 56 (51</w:t>
      </w:r>
      <w:r w:rsidR="009361E1" w:rsidRPr="00B909F3">
        <w:rPr>
          <w:rFonts w:ascii="Book Antiqua" w:hAnsi="Book Antiqua" w:cs="Arial"/>
          <w:szCs w:val="24"/>
        </w:rPr>
        <w:t>-</w:t>
      </w:r>
      <w:r w:rsidRPr="00B909F3">
        <w:rPr>
          <w:rFonts w:ascii="Book Antiqua" w:hAnsi="Book Antiqua" w:cs="Arial"/>
          <w:szCs w:val="24"/>
        </w:rPr>
        <w:t>61) years and MELD was 18 (12</w:t>
      </w:r>
      <w:r w:rsidR="00EA5F13" w:rsidRPr="00B909F3">
        <w:rPr>
          <w:rFonts w:ascii="Book Antiqua" w:hAnsi="Book Antiqua" w:cs="Arial"/>
          <w:szCs w:val="24"/>
        </w:rPr>
        <w:t>-</w:t>
      </w:r>
      <w:r w:rsidRPr="00B909F3">
        <w:rPr>
          <w:rFonts w:ascii="Book Antiqua" w:hAnsi="Book Antiqua" w:cs="Arial"/>
          <w:szCs w:val="24"/>
        </w:rPr>
        <w:t>25). Women represented 31% of the sample and the largest ethnic minority was Hispanic/Latino (12.7%). Median follow-up time was 3.3 (1.5</w:t>
      </w:r>
      <w:r w:rsidR="00EA5F13" w:rsidRPr="00B909F3">
        <w:rPr>
          <w:rFonts w:ascii="Book Antiqua" w:hAnsi="Book Antiqua" w:cs="Arial"/>
          <w:szCs w:val="24"/>
        </w:rPr>
        <w:t>-</w:t>
      </w:r>
      <w:r w:rsidRPr="00B909F3">
        <w:rPr>
          <w:rFonts w:ascii="Book Antiqua" w:hAnsi="Book Antiqua" w:cs="Arial"/>
          <w:szCs w:val="24"/>
        </w:rPr>
        <w:t>6.0) years after transplant.</w:t>
      </w:r>
    </w:p>
    <w:p w14:paraId="648BFF14" w14:textId="5990ADEF" w:rsidR="00AE2710" w:rsidRPr="00B909F3" w:rsidRDefault="00AE2710"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At pre-transplant assessment, approximately 70% of the sample had some degree of functional impairment or disability. Approximately one-quarter (23.7%) had “Severe” functional impairment/disability (≤ 40% function), 45.8% were “Moderately” impaired, and the remaining 30.5% had no functional impairments (≥ 80% function). The median (IQR) pre-transplant functional performance status score was 60% (50</w:t>
      </w:r>
      <w:r w:rsidR="00EA5F13" w:rsidRPr="00B909F3">
        <w:rPr>
          <w:rFonts w:ascii="Book Antiqua" w:hAnsi="Book Antiqua" w:cs="Arial"/>
          <w:szCs w:val="24"/>
        </w:rPr>
        <w:t>%-</w:t>
      </w:r>
      <w:r w:rsidRPr="00B909F3">
        <w:rPr>
          <w:rFonts w:ascii="Book Antiqua" w:hAnsi="Book Antiqua" w:cs="Arial"/>
          <w:szCs w:val="24"/>
        </w:rPr>
        <w:t>80%) and the mean (standard deviation) was 61% (21%).</w:t>
      </w:r>
    </w:p>
    <w:p w14:paraId="69C58372" w14:textId="77777777" w:rsidR="00AE2710" w:rsidRPr="00B909F3" w:rsidRDefault="00AE2710" w:rsidP="00F705FB">
      <w:pPr>
        <w:spacing w:after="0" w:line="360" w:lineRule="auto"/>
        <w:jc w:val="both"/>
        <w:rPr>
          <w:rFonts w:ascii="Book Antiqua" w:hAnsi="Book Antiqua" w:cs="Arial"/>
          <w:szCs w:val="24"/>
        </w:rPr>
      </w:pPr>
    </w:p>
    <w:p w14:paraId="59509CCE" w14:textId="029CBC5C" w:rsidR="00AE2710" w:rsidRPr="00B909F3" w:rsidRDefault="00AE2710" w:rsidP="00197EDE">
      <w:pPr>
        <w:spacing w:after="0" w:line="360" w:lineRule="auto"/>
        <w:jc w:val="both"/>
        <w:rPr>
          <w:rFonts w:ascii="Book Antiqua" w:hAnsi="Book Antiqua" w:cs="Arial"/>
          <w:b/>
          <w:i/>
          <w:szCs w:val="24"/>
        </w:rPr>
      </w:pPr>
      <w:r w:rsidRPr="00B909F3">
        <w:rPr>
          <w:rFonts w:ascii="Book Antiqua" w:hAnsi="Book Antiqua" w:cs="Arial"/>
          <w:b/>
          <w:i/>
          <w:szCs w:val="24"/>
        </w:rPr>
        <w:t xml:space="preserve">Baseline </w:t>
      </w:r>
      <w:r w:rsidR="00EA5F13" w:rsidRPr="00B909F3">
        <w:rPr>
          <w:rFonts w:ascii="Book Antiqua" w:hAnsi="Book Antiqua" w:cs="Arial"/>
          <w:b/>
          <w:i/>
          <w:szCs w:val="24"/>
        </w:rPr>
        <w:t xml:space="preserve">characteristics </w:t>
      </w:r>
      <w:r w:rsidRPr="00B909F3">
        <w:rPr>
          <w:rFonts w:ascii="Book Antiqua" w:hAnsi="Book Antiqua" w:cs="Arial"/>
          <w:b/>
          <w:i/>
          <w:szCs w:val="24"/>
        </w:rPr>
        <w:t xml:space="preserve">and </w:t>
      </w:r>
      <w:r w:rsidR="00EA5F13" w:rsidRPr="00B909F3">
        <w:rPr>
          <w:rFonts w:ascii="Book Antiqua" w:hAnsi="Book Antiqua" w:cs="Arial"/>
          <w:b/>
          <w:i/>
          <w:szCs w:val="24"/>
        </w:rPr>
        <w:t xml:space="preserve">changes </w:t>
      </w:r>
      <w:r w:rsidRPr="00B909F3">
        <w:rPr>
          <w:rFonts w:ascii="Book Antiqua" w:hAnsi="Book Antiqua" w:cs="Arial"/>
          <w:b/>
          <w:i/>
          <w:szCs w:val="24"/>
        </w:rPr>
        <w:t xml:space="preserve">over </w:t>
      </w:r>
      <w:r w:rsidR="00EA5F13" w:rsidRPr="00B909F3">
        <w:rPr>
          <w:rFonts w:ascii="Book Antiqua" w:hAnsi="Book Antiqua" w:cs="Arial"/>
          <w:b/>
          <w:i/>
          <w:szCs w:val="24"/>
        </w:rPr>
        <w:t>waitlist course</w:t>
      </w:r>
    </w:p>
    <w:p w14:paraId="293000DF" w14:textId="77777777" w:rsidR="00EA5F13" w:rsidRPr="00B909F3" w:rsidRDefault="006C7D58" w:rsidP="00197EDE">
      <w:pPr>
        <w:spacing w:after="0" w:line="360" w:lineRule="auto"/>
        <w:jc w:val="both"/>
        <w:rPr>
          <w:rFonts w:ascii="Book Antiqua" w:hAnsi="Book Antiqua" w:cs="Arial"/>
          <w:szCs w:val="24"/>
        </w:rPr>
      </w:pPr>
      <w:r w:rsidRPr="00B909F3">
        <w:rPr>
          <w:rFonts w:ascii="Book Antiqua" w:hAnsi="Book Antiqua" w:cs="Arial"/>
          <w:szCs w:val="24"/>
        </w:rPr>
        <w:t xml:space="preserve">Table </w:t>
      </w:r>
      <w:r w:rsidR="00DA5B3C" w:rsidRPr="00B909F3">
        <w:rPr>
          <w:rFonts w:ascii="Book Antiqua" w:hAnsi="Book Antiqua" w:cs="Arial"/>
          <w:szCs w:val="24"/>
        </w:rPr>
        <w:t>2</w:t>
      </w:r>
      <w:r w:rsidR="00AE2710" w:rsidRPr="00B909F3">
        <w:rPr>
          <w:rFonts w:ascii="Book Antiqua" w:hAnsi="Book Antiqua" w:cs="Arial"/>
          <w:szCs w:val="24"/>
        </w:rPr>
        <w:t xml:space="preserve"> describes baseline characteristics of the sample by category of pre-transplant functional status. Subjects who were of worse functional status pre-transplant were more likely to be female, of Hispanic/Latino race/ethnicity, and/or have Medicaid insurance. Primary diagnosis of hepatic malignancy was associated with </w:t>
      </w:r>
      <w:r w:rsidR="00AE2710" w:rsidRPr="00B909F3">
        <w:rPr>
          <w:rFonts w:ascii="Book Antiqua" w:hAnsi="Book Antiqua" w:cs="Arial"/>
          <w:noProof/>
          <w:szCs w:val="24"/>
        </w:rPr>
        <w:t>better</w:t>
      </w:r>
      <w:r w:rsidR="00AE2710" w:rsidRPr="00B909F3">
        <w:rPr>
          <w:rFonts w:ascii="Book Antiqua" w:hAnsi="Book Antiqua" w:cs="Arial"/>
          <w:szCs w:val="24"/>
        </w:rPr>
        <w:t xml:space="preserve"> physical function. Baseline and pre-transplant functional status were moderately correlated (</w:t>
      </w:r>
      <w:proofErr w:type="spellStart"/>
      <w:r w:rsidR="00AE2710" w:rsidRPr="00B909F3">
        <w:rPr>
          <w:rFonts w:ascii="Book Antiqua" w:hAnsi="Book Antiqua" w:cs="Arial"/>
          <w:i/>
          <w:szCs w:val="24"/>
        </w:rPr>
        <w:t>r</w:t>
      </w:r>
      <w:r w:rsidR="00AE2710" w:rsidRPr="00B909F3">
        <w:rPr>
          <w:rFonts w:ascii="Book Antiqua" w:hAnsi="Book Antiqua" w:cs="Arial"/>
          <w:szCs w:val="24"/>
          <w:vertAlign w:val="subscript"/>
        </w:rPr>
        <w:t>s</w:t>
      </w:r>
      <w:proofErr w:type="spellEnd"/>
      <w:r w:rsidR="00AE2710" w:rsidRPr="00B909F3">
        <w:rPr>
          <w:rFonts w:ascii="Book Antiqua" w:hAnsi="Book Antiqua" w:cs="Arial"/>
          <w:i/>
          <w:szCs w:val="24"/>
          <w:vertAlign w:val="subscript"/>
        </w:rPr>
        <w:t xml:space="preserve"> </w:t>
      </w:r>
      <w:r w:rsidR="00AE2710" w:rsidRPr="00B909F3">
        <w:rPr>
          <w:rFonts w:ascii="Book Antiqua" w:hAnsi="Book Antiqua" w:cs="Arial"/>
          <w:szCs w:val="24"/>
        </w:rPr>
        <w:t xml:space="preserve">= 0.42, </w:t>
      </w:r>
      <w:r w:rsidR="00EA5F13" w:rsidRPr="00B909F3">
        <w:rPr>
          <w:rFonts w:ascii="Book Antiqua" w:hAnsi="Book Antiqua" w:cs="Arial"/>
          <w:i/>
          <w:iCs/>
          <w:szCs w:val="24"/>
        </w:rPr>
        <w:t xml:space="preserve">P </w:t>
      </w:r>
      <w:r w:rsidR="00AE2710" w:rsidRPr="00B909F3">
        <w:rPr>
          <w:rFonts w:ascii="Book Antiqua" w:hAnsi="Book Antiqua" w:cs="Arial"/>
          <w:szCs w:val="24"/>
        </w:rPr>
        <w:t xml:space="preserve">&lt; 0.001). Sixty-percent of recipients maintained the same level of function over their waitlist </w:t>
      </w:r>
      <w:r w:rsidR="00AE2710" w:rsidRPr="00B909F3">
        <w:rPr>
          <w:rFonts w:ascii="Book Antiqua" w:hAnsi="Book Antiqua" w:cs="Arial"/>
          <w:noProof/>
          <w:szCs w:val="24"/>
        </w:rPr>
        <w:t>course</w:t>
      </w:r>
      <w:r w:rsidR="00AE2710" w:rsidRPr="00B909F3">
        <w:rPr>
          <w:rFonts w:ascii="Book Antiqua" w:hAnsi="Book Antiqua" w:cs="Arial"/>
          <w:szCs w:val="24"/>
        </w:rPr>
        <w:t xml:space="preserve"> while 30% declined from a higher level of function at baseline.</w:t>
      </w:r>
    </w:p>
    <w:p w14:paraId="7510D770" w14:textId="77777777" w:rsidR="00EA5F13" w:rsidRPr="00B909F3" w:rsidRDefault="006C7D58"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xml:space="preserve">Table </w:t>
      </w:r>
      <w:r w:rsidR="00DA5B3C" w:rsidRPr="00B909F3">
        <w:rPr>
          <w:rFonts w:ascii="Book Antiqua" w:hAnsi="Book Antiqua" w:cs="Arial"/>
          <w:szCs w:val="24"/>
        </w:rPr>
        <w:t>3</w:t>
      </w:r>
      <w:r w:rsidR="00AE2710" w:rsidRPr="00B909F3">
        <w:rPr>
          <w:rFonts w:ascii="Book Antiqua" w:hAnsi="Book Antiqua" w:cs="Arial"/>
          <w:szCs w:val="24"/>
        </w:rPr>
        <w:t xml:space="preserve"> describes recipient clinical characteristics pre-transplant by category of pre-transplant functional status. Significant weight loss (≥ 5% of baseline weight) over the waitlist period was more common among transplant recipients who were impaired/disabled pre-transplant, and the weight loss occurred more rapidly. Poor functional status was moderately correlated with worse (higher) MELD scores (</w:t>
      </w:r>
      <w:proofErr w:type="spellStart"/>
      <w:r w:rsidR="00AE2710" w:rsidRPr="00B909F3">
        <w:rPr>
          <w:rFonts w:ascii="Book Antiqua" w:hAnsi="Book Antiqua" w:cs="Arial"/>
          <w:i/>
          <w:szCs w:val="24"/>
        </w:rPr>
        <w:t>r</w:t>
      </w:r>
      <w:r w:rsidR="00AE2710" w:rsidRPr="00B909F3">
        <w:rPr>
          <w:rFonts w:ascii="Book Antiqua" w:hAnsi="Book Antiqua" w:cs="Arial"/>
          <w:szCs w:val="24"/>
          <w:vertAlign w:val="subscript"/>
        </w:rPr>
        <w:t>s</w:t>
      </w:r>
      <w:proofErr w:type="spellEnd"/>
      <w:r w:rsidR="00AE2710" w:rsidRPr="00B909F3">
        <w:rPr>
          <w:rFonts w:ascii="Book Antiqua" w:hAnsi="Book Antiqua" w:cs="Arial"/>
          <w:i/>
          <w:szCs w:val="24"/>
          <w:vertAlign w:val="subscript"/>
        </w:rPr>
        <w:t xml:space="preserve"> </w:t>
      </w:r>
      <w:r w:rsidR="00AE2710" w:rsidRPr="00B909F3">
        <w:rPr>
          <w:rFonts w:ascii="Book Antiqua" w:hAnsi="Book Antiqua" w:cs="Arial"/>
          <w:szCs w:val="24"/>
        </w:rPr>
        <w:t xml:space="preserve">= -0.49; </w:t>
      </w:r>
      <w:r w:rsidR="00EA5F13" w:rsidRPr="00B909F3">
        <w:rPr>
          <w:rFonts w:ascii="Book Antiqua" w:hAnsi="Book Antiqua" w:cs="Arial"/>
          <w:i/>
          <w:iCs/>
          <w:szCs w:val="24"/>
        </w:rPr>
        <w:lastRenderedPageBreak/>
        <w:t>P</w:t>
      </w:r>
      <w:r w:rsidR="00AE2710" w:rsidRPr="00B909F3">
        <w:rPr>
          <w:rFonts w:ascii="Book Antiqua" w:hAnsi="Book Antiqua" w:cs="Arial"/>
          <w:szCs w:val="24"/>
        </w:rPr>
        <w:t xml:space="preserve"> &lt; 0.001). However, only 64% of subjects with MELD scores ≥ 30 were “Severely” impaired/disabled, and less than half (44%) of patients with MELD scores &lt; 15 were of “Normal” functional status. </w:t>
      </w:r>
      <w:r w:rsidR="00AE2710" w:rsidRPr="00B909F3">
        <w:rPr>
          <w:rFonts w:ascii="Book Antiqua" w:hAnsi="Book Antiqua" w:cs="Arial"/>
          <w:noProof/>
          <w:szCs w:val="24"/>
        </w:rPr>
        <w:t>Cirrhosis severity according to Child-Pugh</w:t>
      </w:r>
      <w:r w:rsidR="00AE2710" w:rsidRPr="00B909F3">
        <w:rPr>
          <w:rFonts w:ascii="Book Antiqua" w:hAnsi="Book Antiqua" w:cs="Arial"/>
          <w:szCs w:val="24"/>
        </w:rPr>
        <w:t xml:space="preserve"> class was associated with severity of functional status. Around 10% of severely impaired subjects were on dialysis pre-transplant, compared to &lt; 1% of Normal functional status subjects.</w:t>
      </w:r>
    </w:p>
    <w:p w14:paraId="11EFEFE8" w14:textId="1FCCC31C" w:rsidR="00AE2710" w:rsidRPr="00B909F3" w:rsidRDefault="006C7D58"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xml:space="preserve">Table </w:t>
      </w:r>
      <w:r w:rsidR="00DA5B3C" w:rsidRPr="00B909F3">
        <w:rPr>
          <w:rFonts w:ascii="Book Antiqua" w:hAnsi="Book Antiqua" w:cs="Arial"/>
          <w:szCs w:val="24"/>
        </w:rPr>
        <w:t>4</w:t>
      </w:r>
      <w:r w:rsidR="00AE2710" w:rsidRPr="00B909F3">
        <w:rPr>
          <w:rFonts w:ascii="Book Antiqua" w:hAnsi="Book Antiqua" w:cs="Arial"/>
          <w:szCs w:val="24"/>
        </w:rPr>
        <w:t xml:space="preserve"> describes donor characteristics by categories of pre-transplant functional status. Donor characteristics were mostly comparable across functional status categories. Only 8.3% of </w:t>
      </w:r>
      <w:r w:rsidR="00AE2710" w:rsidRPr="00B909F3">
        <w:rPr>
          <w:rFonts w:ascii="Book Antiqua" w:hAnsi="Book Antiqua" w:cs="Arial"/>
          <w:noProof/>
          <w:szCs w:val="24"/>
        </w:rPr>
        <w:t>living</w:t>
      </w:r>
      <w:r w:rsidR="00AE2710" w:rsidRPr="00B909F3">
        <w:rPr>
          <w:rFonts w:ascii="Book Antiqua" w:hAnsi="Book Antiqua" w:cs="Arial"/>
          <w:szCs w:val="24"/>
        </w:rPr>
        <w:t xml:space="preserve"> donor liver transplant recipients was Severely impaired/disabled (</w:t>
      </w:r>
      <w:r w:rsidR="00AE2710" w:rsidRPr="00B909F3">
        <w:rPr>
          <w:rFonts w:ascii="Book Antiqua" w:hAnsi="Book Antiqua" w:cs="Arial"/>
          <w:i/>
          <w:iCs/>
          <w:szCs w:val="24"/>
        </w:rPr>
        <w:t>n</w:t>
      </w:r>
      <w:r w:rsidR="00AE2710" w:rsidRPr="00B909F3">
        <w:rPr>
          <w:rFonts w:ascii="Book Antiqua" w:hAnsi="Book Antiqua" w:cs="Arial"/>
          <w:szCs w:val="24"/>
        </w:rPr>
        <w:t xml:space="preserve"> = 729). Functionally impaired patients were slightly less likely to receive higher risk organs (</w:t>
      </w:r>
      <w:r w:rsidR="00AE2710" w:rsidRPr="00B909F3">
        <w:rPr>
          <w:rFonts w:ascii="Book Antiqua" w:hAnsi="Book Antiqua" w:cs="Arial"/>
          <w:i/>
          <w:iCs/>
          <w:szCs w:val="24"/>
        </w:rPr>
        <w:t>e.g.</w:t>
      </w:r>
      <w:r w:rsidR="00EA5F13" w:rsidRPr="00B909F3">
        <w:rPr>
          <w:rFonts w:ascii="Book Antiqua" w:hAnsi="Book Antiqua" w:cs="Arial"/>
          <w:szCs w:val="24"/>
        </w:rPr>
        <w:t>,</w:t>
      </w:r>
      <w:r w:rsidR="00AE2710" w:rsidRPr="00B909F3">
        <w:rPr>
          <w:rFonts w:ascii="Book Antiqua" w:hAnsi="Book Antiqua" w:cs="Arial"/>
          <w:szCs w:val="24"/>
        </w:rPr>
        <w:t xml:space="preserve"> donor ≥ 70 years, nationally allocated or with prolonged cold ischemia time).</w:t>
      </w:r>
    </w:p>
    <w:p w14:paraId="3CD34AD5" w14:textId="77777777" w:rsidR="00AE2710" w:rsidRPr="00B909F3" w:rsidRDefault="00AE2710" w:rsidP="00197EDE">
      <w:pPr>
        <w:spacing w:after="0" w:line="360" w:lineRule="auto"/>
        <w:jc w:val="both"/>
        <w:rPr>
          <w:rFonts w:ascii="Book Antiqua" w:hAnsi="Book Antiqua" w:cs="Arial"/>
          <w:szCs w:val="24"/>
        </w:rPr>
      </w:pPr>
    </w:p>
    <w:p w14:paraId="10EAB186" w14:textId="19221F2F" w:rsidR="00AE2710" w:rsidRPr="00B909F3" w:rsidRDefault="00AE2710" w:rsidP="00197EDE">
      <w:pPr>
        <w:spacing w:after="0" w:line="360" w:lineRule="auto"/>
        <w:jc w:val="both"/>
        <w:rPr>
          <w:rFonts w:ascii="Book Antiqua" w:hAnsi="Book Antiqua" w:cs="Arial"/>
          <w:b/>
          <w:i/>
          <w:iCs/>
          <w:szCs w:val="24"/>
        </w:rPr>
      </w:pPr>
      <w:r w:rsidRPr="00B909F3">
        <w:rPr>
          <w:rFonts w:ascii="Book Antiqua" w:hAnsi="Book Antiqua" w:cs="Arial"/>
          <w:b/>
          <w:i/>
          <w:iCs/>
          <w:szCs w:val="24"/>
        </w:rPr>
        <w:t>All-</w:t>
      </w:r>
      <w:r w:rsidR="00EA5F13" w:rsidRPr="00B909F3">
        <w:rPr>
          <w:rFonts w:ascii="Book Antiqua" w:hAnsi="Book Antiqua" w:cs="Arial"/>
          <w:b/>
          <w:i/>
          <w:iCs/>
          <w:szCs w:val="24"/>
        </w:rPr>
        <w:t>cause mortality</w:t>
      </w:r>
    </w:p>
    <w:p w14:paraId="15DA133B" w14:textId="77777777" w:rsidR="00EA5F13" w:rsidRPr="00B909F3" w:rsidRDefault="00AE2710" w:rsidP="00197EDE">
      <w:pPr>
        <w:spacing w:after="0" w:line="360" w:lineRule="auto"/>
        <w:jc w:val="both"/>
        <w:rPr>
          <w:rFonts w:ascii="Book Antiqua" w:hAnsi="Book Antiqua" w:cs="Arial"/>
          <w:szCs w:val="24"/>
        </w:rPr>
      </w:pPr>
      <w:r w:rsidRPr="00B909F3">
        <w:rPr>
          <w:rFonts w:ascii="Book Antiqua" w:hAnsi="Book Antiqua" w:cs="Arial"/>
          <w:szCs w:val="24"/>
        </w:rPr>
        <w:t>Death within one year was observed in 3595 (9.4%) transplant recipients. The mortality rate was directly related to functional status. Among patients that were severely impaired/disabled, 12.8% died compared with 9.3% of those with moderate functional limitations and 6.9% of those with normal functional status at the time of transplant.</w:t>
      </w:r>
    </w:p>
    <w:p w14:paraId="3B36CC3C" w14:textId="77777777" w:rsidR="00EA5F13" w:rsidRPr="00B909F3" w:rsidRDefault="006C7D58"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xml:space="preserve">Table </w:t>
      </w:r>
      <w:r w:rsidR="00DA5B3C" w:rsidRPr="00B909F3">
        <w:rPr>
          <w:rFonts w:ascii="Book Antiqua" w:hAnsi="Book Antiqua" w:cs="Arial"/>
          <w:szCs w:val="24"/>
        </w:rPr>
        <w:t>5</w:t>
      </w:r>
      <w:r w:rsidR="00AE2710" w:rsidRPr="00B909F3">
        <w:rPr>
          <w:rFonts w:ascii="Book Antiqua" w:hAnsi="Book Antiqua" w:cs="Arial"/>
          <w:szCs w:val="24"/>
        </w:rPr>
        <w:t xml:space="preserve"> describes the results of unadjusted and adjusted Cox regression models for 1-year mortality. Subjects with severe or moderate functional impairment pre-transplant were at significantly increased </w:t>
      </w:r>
      <w:r w:rsidR="00AE2710" w:rsidRPr="00B909F3">
        <w:rPr>
          <w:rFonts w:ascii="Book Antiqua" w:hAnsi="Book Antiqua" w:cs="Arial"/>
          <w:noProof/>
          <w:szCs w:val="24"/>
        </w:rPr>
        <w:t>risk</w:t>
      </w:r>
      <w:r w:rsidR="00AE2710" w:rsidRPr="00B909F3">
        <w:rPr>
          <w:rFonts w:ascii="Book Antiqua" w:hAnsi="Book Antiqua" w:cs="Arial"/>
          <w:szCs w:val="24"/>
        </w:rPr>
        <w:t xml:space="preserve"> </w:t>
      </w:r>
      <w:r w:rsidR="00AE2710" w:rsidRPr="00B909F3">
        <w:rPr>
          <w:rFonts w:ascii="Book Antiqua" w:hAnsi="Book Antiqua" w:cs="Arial"/>
          <w:noProof/>
          <w:szCs w:val="24"/>
        </w:rPr>
        <w:t>of</w:t>
      </w:r>
      <w:r w:rsidR="00AE2710" w:rsidRPr="00B909F3">
        <w:rPr>
          <w:rFonts w:ascii="Book Antiqua" w:hAnsi="Book Antiqua" w:cs="Arial"/>
          <w:szCs w:val="24"/>
        </w:rPr>
        <w:t xml:space="preserve"> dying within </w:t>
      </w:r>
      <w:r w:rsidR="00AE2710" w:rsidRPr="00B909F3">
        <w:rPr>
          <w:rFonts w:ascii="Book Antiqua" w:hAnsi="Book Antiqua" w:cs="Arial"/>
          <w:noProof/>
          <w:szCs w:val="24"/>
        </w:rPr>
        <w:t>one year</w:t>
      </w:r>
      <w:r w:rsidR="00AE2710" w:rsidRPr="00B909F3">
        <w:rPr>
          <w:rFonts w:ascii="Book Antiqua" w:hAnsi="Book Antiqua" w:cs="Arial"/>
          <w:szCs w:val="24"/>
        </w:rPr>
        <w:t xml:space="preserve"> post-transplant. After multivariable adjustment, severely and moderately impaired patients had 1-year mortality rates that were 1.73 (CI: 1.56</w:t>
      </w:r>
      <w:r w:rsidR="00EA5F13" w:rsidRPr="00B909F3">
        <w:rPr>
          <w:rFonts w:ascii="Book Antiqua" w:hAnsi="Book Antiqua" w:cs="Arial"/>
          <w:szCs w:val="24"/>
        </w:rPr>
        <w:t>-</w:t>
      </w:r>
      <w:r w:rsidR="00AE2710" w:rsidRPr="00B909F3">
        <w:rPr>
          <w:rFonts w:ascii="Book Antiqua" w:hAnsi="Book Antiqua" w:cs="Arial"/>
          <w:szCs w:val="24"/>
        </w:rPr>
        <w:t>1.91) and 1.32 (CI: 1.21</w:t>
      </w:r>
      <w:r w:rsidR="00EA5F13" w:rsidRPr="00B909F3">
        <w:rPr>
          <w:rFonts w:ascii="Book Antiqua" w:hAnsi="Book Antiqua" w:cs="Arial"/>
          <w:szCs w:val="24"/>
        </w:rPr>
        <w:t>-</w:t>
      </w:r>
      <w:r w:rsidR="00AE2710" w:rsidRPr="00B909F3">
        <w:rPr>
          <w:rFonts w:ascii="Book Antiqua" w:hAnsi="Book Antiqua" w:cs="Arial"/>
          <w:szCs w:val="24"/>
        </w:rPr>
        <w:t>1.44) times greater than the hazard for subjects without any functional impairment, respectively.</w:t>
      </w:r>
    </w:p>
    <w:p w14:paraId="2D2E8885" w14:textId="7657C487" w:rsidR="00AE2710" w:rsidRPr="00B909F3" w:rsidRDefault="00AE2710"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xml:space="preserve">Mortality risks were greatest in the immediate postoperative period (day </w:t>
      </w:r>
      <w:r w:rsidRPr="00B909F3">
        <w:rPr>
          <w:rFonts w:ascii="Book Antiqua" w:hAnsi="Book Antiqua" w:cs="Arial"/>
          <w:noProof/>
          <w:szCs w:val="24"/>
        </w:rPr>
        <w:t>0</w:t>
      </w:r>
      <w:r w:rsidR="00EA5F13" w:rsidRPr="00B909F3">
        <w:rPr>
          <w:rFonts w:ascii="Book Antiqua" w:hAnsi="Book Antiqua" w:cs="Arial"/>
          <w:noProof/>
          <w:szCs w:val="24"/>
        </w:rPr>
        <w:t>-</w:t>
      </w:r>
      <w:r w:rsidRPr="00B909F3">
        <w:rPr>
          <w:rFonts w:ascii="Book Antiqua" w:hAnsi="Book Antiqua" w:cs="Arial"/>
          <w:noProof/>
          <w:szCs w:val="24"/>
        </w:rPr>
        <w:t>30)</w:t>
      </w:r>
      <w:r w:rsidRPr="00B909F3">
        <w:rPr>
          <w:rFonts w:ascii="Book Antiqua" w:hAnsi="Book Antiqua" w:cs="Arial"/>
          <w:szCs w:val="24"/>
        </w:rPr>
        <w:t xml:space="preserve"> when 881 (2.3%) deaths were observed in a single month. The adjusted 30-d mortality risk for Severely impaired/disabled patients was more than double (HR</w:t>
      </w:r>
      <w:r w:rsidR="009361E1" w:rsidRPr="00B909F3">
        <w:rPr>
          <w:rFonts w:ascii="Book Antiqua" w:hAnsi="Book Antiqua" w:cs="Arial"/>
          <w:szCs w:val="24"/>
        </w:rPr>
        <w:t>:</w:t>
      </w:r>
      <w:r w:rsidRPr="00B909F3">
        <w:rPr>
          <w:rFonts w:ascii="Book Antiqua" w:hAnsi="Book Antiqua" w:cs="Arial"/>
          <w:szCs w:val="24"/>
        </w:rPr>
        <w:t xml:space="preserve"> 2.10; CI: 1.71</w:t>
      </w:r>
      <w:r w:rsidR="00EA5F13" w:rsidRPr="00B909F3">
        <w:rPr>
          <w:rFonts w:ascii="Book Antiqua" w:hAnsi="Book Antiqua" w:cs="Arial"/>
          <w:szCs w:val="24"/>
        </w:rPr>
        <w:t>-</w:t>
      </w:r>
      <w:r w:rsidRPr="00B909F3">
        <w:rPr>
          <w:rFonts w:ascii="Book Antiqua" w:hAnsi="Book Antiqua" w:cs="Arial"/>
          <w:szCs w:val="24"/>
        </w:rPr>
        <w:t>2.59) that of patients of “Normal” functional status, after adjusting for all variables controlled for in the full 1-year survival model (</w:t>
      </w:r>
      <w:r w:rsidR="006C7D58" w:rsidRPr="00B909F3">
        <w:rPr>
          <w:rFonts w:ascii="Book Antiqua" w:hAnsi="Book Antiqua" w:cs="Arial"/>
          <w:szCs w:val="24"/>
        </w:rPr>
        <w:t xml:space="preserve">Table </w:t>
      </w:r>
      <w:r w:rsidR="00DA5B3C" w:rsidRPr="00B909F3">
        <w:rPr>
          <w:rFonts w:ascii="Book Antiqua" w:hAnsi="Book Antiqua" w:cs="Arial"/>
          <w:szCs w:val="24"/>
        </w:rPr>
        <w:t>5</w:t>
      </w:r>
      <w:r w:rsidRPr="00B909F3">
        <w:rPr>
          <w:rFonts w:ascii="Book Antiqua" w:hAnsi="Book Antiqua" w:cs="Arial"/>
          <w:szCs w:val="24"/>
        </w:rPr>
        <w:t>). Approximately three-quarters (</w:t>
      </w:r>
      <w:r w:rsidRPr="00B909F3">
        <w:rPr>
          <w:rFonts w:ascii="Book Antiqua" w:hAnsi="Book Antiqua" w:cs="Arial"/>
          <w:i/>
          <w:iCs/>
          <w:szCs w:val="24"/>
        </w:rPr>
        <w:t>n</w:t>
      </w:r>
      <w:r w:rsidRPr="00B909F3">
        <w:rPr>
          <w:rFonts w:ascii="Book Antiqua" w:hAnsi="Book Antiqua" w:cs="Arial"/>
          <w:szCs w:val="24"/>
        </w:rPr>
        <w:t xml:space="preserve"> = 2714) of all one-year deaths occurred during the remaining 11 </w:t>
      </w:r>
      <w:proofErr w:type="spellStart"/>
      <w:r w:rsidRPr="00B909F3">
        <w:rPr>
          <w:rFonts w:ascii="Book Antiqua" w:hAnsi="Book Antiqua" w:cs="Arial"/>
          <w:szCs w:val="24"/>
        </w:rPr>
        <w:t>mo</w:t>
      </w:r>
      <w:proofErr w:type="spellEnd"/>
      <w:r w:rsidRPr="00B909F3">
        <w:rPr>
          <w:rFonts w:ascii="Book Antiqua" w:hAnsi="Book Antiqua" w:cs="Arial"/>
          <w:szCs w:val="24"/>
        </w:rPr>
        <w:t xml:space="preserve"> of the postoperative year (day 31</w:t>
      </w:r>
      <w:r w:rsidR="00EA5F13" w:rsidRPr="00B909F3">
        <w:rPr>
          <w:rFonts w:ascii="Book Antiqua" w:hAnsi="Book Antiqua" w:cs="Arial"/>
          <w:szCs w:val="24"/>
        </w:rPr>
        <w:t>-</w:t>
      </w:r>
      <w:r w:rsidRPr="00B909F3">
        <w:rPr>
          <w:rFonts w:ascii="Book Antiqua" w:hAnsi="Book Antiqua" w:cs="Arial"/>
          <w:szCs w:val="24"/>
        </w:rPr>
        <w:t>365); HRs were comparable to estimates for overall one-year mortality (&lt; 10% relative difference).</w:t>
      </w:r>
    </w:p>
    <w:p w14:paraId="6D3830C1" w14:textId="77777777" w:rsidR="00AE2710" w:rsidRPr="00B909F3" w:rsidRDefault="00AE2710" w:rsidP="00197EDE">
      <w:pPr>
        <w:spacing w:after="0" w:line="360" w:lineRule="auto"/>
        <w:jc w:val="both"/>
        <w:rPr>
          <w:rFonts w:ascii="Book Antiqua" w:hAnsi="Book Antiqua" w:cs="Arial"/>
          <w:b/>
          <w:szCs w:val="24"/>
        </w:rPr>
      </w:pPr>
    </w:p>
    <w:p w14:paraId="1FB33F2C" w14:textId="7863194F" w:rsidR="00AE2710" w:rsidRPr="00B909F3" w:rsidRDefault="00AE2710" w:rsidP="00197EDE">
      <w:pPr>
        <w:spacing w:after="0" w:line="360" w:lineRule="auto"/>
        <w:jc w:val="both"/>
        <w:rPr>
          <w:rFonts w:ascii="Book Antiqua" w:hAnsi="Book Antiqua" w:cs="Arial"/>
          <w:b/>
          <w:i/>
          <w:iCs/>
          <w:szCs w:val="24"/>
        </w:rPr>
      </w:pPr>
      <w:r w:rsidRPr="00B909F3">
        <w:rPr>
          <w:rFonts w:ascii="Book Antiqua" w:hAnsi="Book Antiqua" w:cs="Arial"/>
          <w:b/>
          <w:i/>
          <w:iCs/>
          <w:szCs w:val="24"/>
        </w:rPr>
        <w:t xml:space="preserve">Graft </w:t>
      </w:r>
      <w:r w:rsidR="00EA5F13" w:rsidRPr="00B909F3">
        <w:rPr>
          <w:rFonts w:ascii="Book Antiqua" w:hAnsi="Book Antiqua" w:cs="Arial"/>
          <w:b/>
          <w:i/>
          <w:iCs/>
          <w:szCs w:val="24"/>
        </w:rPr>
        <w:t>failure</w:t>
      </w:r>
    </w:p>
    <w:p w14:paraId="243383C1" w14:textId="77777777" w:rsidR="00EA5F13" w:rsidRPr="00B909F3" w:rsidRDefault="00AE2710" w:rsidP="00197EDE">
      <w:pPr>
        <w:spacing w:after="0" w:line="360" w:lineRule="auto"/>
        <w:jc w:val="both"/>
        <w:rPr>
          <w:rFonts w:ascii="Book Antiqua" w:hAnsi="Book Antiqua" w:cs="Arial"/>
          <w:szCs w:val="24"/>
        </w:rPr>
      </w:pPr>
      <w:r w:rsidRPr="00B909F3">
        <w:rPr>
          <w:rFonts w:ascii="Book Antiqua" w:hAnsi="Book Antiqua" w:cs="Arial"/>
          <w:szCs w:val="24"/>
        </w:rPr>
        <w:t xml:space="preserve">Graft failure was observed in 2214 of the study population within one year of transplant. The estimated failure rate on day 365 was 6.2% (cumulative failure </w:t>
      </w:r>
      <w:r w:rsidRPr="00B909F3">
        <w:rPr>
          <w:rFonts w:ascii="Book Antiqua" w:hAnsi="Book Antiqua" w:cs="Arial"/>
          <w:iCs/>
          <w:szCs w:val="24"/>
        </w:rPr>
        <w:t>or</w:t>
      </w:r>
      <w:r w:rsidRPr="00B909F3">
        <w:rPr>
          <w:rFonts w:ascii="Book Antiqua" w:hAnsi="Book Antiqua" w:cs="Arial"/>
          <w:szCs w:val="24"/>
        </w:rPr>
        <w:t xml:space="preserve"> death rate on day 365: 12.7%). Approximately half (53.8%) received a second transplant within the first post-transplant year, of which 75.9% (</w:t>
      </w:r>
      <w:r w:rsidRPr="00B909F3">
        <w:rPr>
          <w:rFonts w:ascii="Book Antiqua" w:hAnsi="Book Antiqua" w:cs="Arial"/>
          <w:i/>
          <w:iCs/>
          <w:szCs w:val="24"/>
        </w:rPr>
        <w:t>n</w:t>
      </w:r>
      <w:r w:rsidRPr="00B909F3">
        <w:rPr>
          <w:rFonts w:ascii="Book Antiqua" w:hAnsi="Book Antiqua" w:cs="Arial"/>
          <w:szCs w:val="24"/>
        </w:rPr>
        <w:t xml:space="preserve"> = 905) survived the year; 98.6% (</w:t>
      </w:r>
      <w:r w:rsidRPr="00B909F3">
        <w:rPr>
          <w:rFonts w:ascii="Book Antiqua" w:hAnsi="Book Antiqua" w:cs="Arial"/>
          <w:i/>
          <w:iCs/>
          <w:szCs w:val="24"/>
        </w:rPr>
        <w:t>n</w:t>
      </w:r>
      <w:r w:rsidRPr="00B909F3">
        <w:rPr>
          <w:rFonts w:ascii="Book Antiqua" w:hAnsi="Book Antiqua" w:cs="Arial"/>
          <w:szCs w:val="24"/>
        </w:rPr>
        <w:t xml:space="preserve"> = 1008) of those who did not undergo </w:t>
      </w:r>
      <w:r w:rsidRPr="00B909F3">
        <w:rPr>
          <w:rFonts w:ascii="Book Antiqua" w:hAnsi="Book Antiqua" w:cs="Arial"/>
          <w:noProof/>
          <w:szCs w:val="24"/>
        </w:rPr>
        <w:t>retransplantation</w:t>
      </w:r>
      <w:r w:rsidRPr="00B909F3">
        <w:rPr>
          <w:rFonts w:ascii="Book Antiqua" w:hAnsi="Book Antiqua" w:cs="Arial"/>
          <w:szCs w:val="24"/>
        </w:rPr>
        <w:t xml:space="preserve"> within the first postoperative year did not survive to 1-year post-transplant.</w:t>
      </w:r>
    </w:p>
    <w:p w14:paraId="0945ADC0" w14:textId="5069AC3A" w:rsidR="00AE2710" w:rsidRPr="00B909F3" w:rsidRDefault="006C7D58"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xml:space="preserve">Table </w:t>
      </w:r>
      <w:r w:rsidR="00DA5B3C" w:rsidRPr="00B909F3">
        <w:rPr>
          <w:rFonts w:ascii="Book Antiqua" w:hAnsi="Book Antiqua" w:cs="Arial"/>
          <w:szCs w:val="24"/>
        </w:rPr>
        <w:t>6</w:t>
      </w:r>
      <w:r w:rsidR="00AE2710" w:rsidRPr="00B909F3">
        <w:rPr>
          <w:rFonts w:ascii="Book Antiqua" w:hAnsi="Book Antiqua" w:cs="Arial"/>
          <w:szCs w:val="24"/>
        </w:rPr>
        <w:t xml:space="preserve"> describes the results of unadjusted and adjusted Cox regression models for 1-year graft failure. Subjects with </w:t>
      </w:r>
      <w:r w:rsidR="00AE2710" w:rsidRPr="00B909F3">
        <w:rPr>
          <w:rFonts w:ascii="Book Antiqua" w:hAnsi="Book Antiqua" w:cs="Arial"/>
          <w:noProof/>
          <w:szCs w:val="24"/>
        </w:rPr>
        <w:t>severe</w:t>
      </w:r>
      <w:r w:rsidR="00AE2710" w:rsidRPr="00B909F3">
        <w:rPr>
          <w:rFonts w:ascii="Book Antiqua" w:hAnsi="Book Antiqua" w:cs="Arial"/>
          <w:szCs w:val="24"/>
        </w:rPr>
        <w:t xml:space="preserve"> and moderate impairment/disability had </w:t>
      </w:r>
      <w:r w:rsidR="00AE2710" w:rsidRPr="00B909F3">
        <w:rPr>
          <w:rFonts w:ascii="Book Antiqua" w:hAnsi="Book Antiqua" w:cs="Arial"/>
          <w:noProof/>
          <w:szCs w:val="24"/>
        </w:rPr>
        <w:t>multivariable-adjusted</w:t>
      </w:r>
      <w:r w:rsidR="00AE2710" w:rsidRPr="00B909F3">
        <w:rPr>
          <w:rFonts w:ascii="Book Antiqua" w:hAnsi="Book Antiqua" w:cs="Arial"/>
          <w:szCs w:val="24"/>
        </w:rPr>
        <w:t xml:space="preserve"> 1-year graft failure rates that were 1.16 (CI: 1.02</w:t>
      </w:r>
      <w:r w:rsidR="009F4640">
        <w:rPr>
          <w:rFonts w:ascii="Book Antiqua" w:hAnsi="Book Antiqua" w:cs="Arial"/>
          <w:szCs w:val="24"/>
        </w:rPr>
        <w:t>-</w:t>
      </w:r>
      <w:r w:rsidR="00AE2710" w:rsidRPr="00B909F3">
        <w:rPr>
          <w:rFonts w:ascii="Book Antiqua" w:hAnsi="Book Antiqua" w:cs="Arial"/>
          <w:szCs w:val="24"/>
        </w:rPr>
        <w:t>1.31) and 1.13 (CI: 1.02</w:t>
      </w:r>
      <w:r w:rsidR="009F4640">
        <w:rPr>
          <w:rFonts w:ascii="Book Antiqua" w:hAnsi="Book Antiqua" w:cs="Arial"/>
          <w:szCs w:val="24"/>
        </w:rPr>
        <w:t>-</w:t>
      </w:r>
      <w:r w:rsidR="00AE2710" w:rsidRPr="00B909F3">
        <w:rPr>
          <w:rFonts w:ascii="Book Antiqua" w:hAnsi="Book Antiqua" w:cs="Arial"/>
          <w:szCs w:val="24"/>
        </w:rPr>
        <w:t xml:space="preserve">1.24) times higher than patients </w:t>
      </w:r>
      <w:r w:rsidR="00AE2710" w:rsidRPr="00B909F3">
        <w:rPr>
          <w:rFonts w:ascii="Book Antiqua" w:hAnsi="Book Antiqua" w:cs="Arial"/>
          <w:noProof/>
          <w:szCs w:val="24"/>
        </w:rPr>
        <w:t>with</w:t>
      </w:r>
      <w:r w:rsidR="00AE2710" w:rsidRPr="00B909F3">
        <w:rPr>
          <w:rFonts w:ascii="Book Antiqua" w:hAnsi="Book Antiqua" w:cs="Arial"/>
          <w:szCs w:val="24"/>
        </w:rPr>
        <w:t xml:space="preserve"> normal function, respectively.</w:t>
      </w:r>
    </w:p>
    <w:p w14:paraId="51274616" w14:textId="77777777" w:rsidR="00AE2710" w:rsidRPr="00B909F3" w:rsidRDefault="00AE2710" w:rsidP="00197EDE">
      <w:pPr>
        <w:spacing w:after="0" w:line="360" w:lineRule="auto"/>
        <w:jc w:val="both"/>
        <w:rPr>
          <w:rFonts w:ascii="Book Antiqua" w:hAnsi="Book Antiqua" w:cs="Arial"/>
          <w:b/>
          <w:szCs w:val="24"/>
        </w:rPr>
      </w:pPr>
    </w:p>
    <w:p w14:paraId="6AB8A1B1" w14:textId="180CA731" w:rsidR="00AE2710" w:rsidRPr="00B909F3" w:rsidRDefault="00AE2710" w:rsidP="00197EDE">
      <w:pPr>
        <w:spacing w:after="0" w:line="360" w:lineRule="auto"/>
        <w:jc w:val="both"/>
        <w:rPr>
          <w:rFonts w:ascii="Book Antiqua" w:hAnsi="Book Antiqua" w:cs="Arial"/>
          <w:b/>
          <w:i/>
          <w:iCs/>
          <w:szCs w:val="24"/>
        </w:rPr>
      </w:pPr>
      <w:r w:rsidRPr="00B909F3">
        <w:rPr>
          <w:rFonts w:ascii="Book Antiqua" w:hAnsi="Book Antiqua" w:cs="Arial"/>
          <w:b/>
          <w:i/>
          <w:iCs/>
          <w:szCs w:val="24"/>
        </w:rPr>
        <w:t xml:space="preserve">Functional </w:t>
      </w:r>
      <w:r w:rsidR="00EA5F13" w:rsidRPr="00B909F3">
        <w:rPr>
          <w:rFonts w:ascii="Book Antiqua" w:hAnsi="Book Antiqua" w:cs="Arial"/>
          <w:b/>
          <w:i/>
          <w:iCs/>
          <w:szCs w:val="24"/>
        </w:rPr>
        <w:t>status post</w:t>
      </w:r>
      <w:r w:rsidRPr="00B909F3">
        <w:rPr>
          <w:rFonts w:ascii="Book Antiqua" w:hAnsi="Book Antiqua" w:cs="Arial"/>
          <w:b/>
          <w:i/>
          <w:iCs/>
          <w:szCs w:val="24"/>
        </w:rPr>
        <w:t>-</w:t>
      </w:r>
      <w:r w:rsidR="00EA5F13" w:rsidRPr="00B909F3">
        <w:rPr>
          <w:rFonts w:ascii="Book Antiqua" w:hAnsi="Book Antiqua" w:cs="Arial"/>
          <w:b/>
          <w:i/>
          <w:iCs/>
          <w:szCs w:val="24"/>
        </w:rPr>
        <w:t>liver transplant</w:t>
      </w:r>
    </w:p>
    <w:p w14:paraId="481FEC20" w14:textId="1EC98618" w:rsidR="00AE2710" w:rsidRPr="00B909F3" w:rsidRDefault="00AE2710" w:rsidP="00197EDE">
      <w:pPr>
        <w:spacing w:after="0" w:line="360" w:lineRule="auto"/>
        <w:jc w:val="both"/>
        <w:rPr>
          <w:rFonts w:ascii="Book Antiqua" w:hAnsi="Book Antiqua" w:cs="Arial"/>
          <w:b/>
          <w:i/>
          <w:szCs w:val="24"/>
        </w:rPr>
      </w:pPr>
      <w:r w:rsidRPr="00B909F3">
        <w:rPr>
          <w:rFonts w:ascii="Book Antiqua" w:hAnsi="Book Antiqua" w:cs="Arial"/>
          <w:szCs w:val="24"/>
        </w:rPr>
        <w:t>Among the 33764 (88.2%) transplant recipients who experienced neither outcome (death or graft failure within a year), 95% (</w:t>
      </w:r>
      <w:r w:rsidRPr="00B909F3">
        <w:rPr>
          <w:rFonts w:ascii="Book Antiqua" w:hAnsi="Book Antiqua" w:cs="Arial"/>
          <w:i/>
          <w:iCs/>
          <w:szCs w:val="24"/>
        </w:rPr>
        <w:t>n</w:t>
      </w:r>
      <w:r w:rsidRPr="00B909F3">
        <w:rPr>
          <w:rFonts w:ascii="Book Antiqua" w:hAnsi="Book Antiqua" w:cs="Arial"/>
          <w:szCs w:val="24"/>
        </w:rPr>
        <w:t xml:space="preserve"> = 32004) </w:t>
      </w:r>
      <w:r w:rsidRPr="00B909F3">
        <w:rPr>
          <w:rFonts w:ascii="Book Antiqua" w:hAnsi="Book Antiqua" w:cs="Arial"/>
          <w:noProof/>
          <w:szCs w:val="24"/>
        </w:rPr>
        <w:t xml:space="preserve">had at least 1 </w:t>
      </w:r>
      <w:r w:rsidRPr="00B909F3">
        <w:rPr>
          <w:rFonts w:ascii="Book Antiqua" w:hAnsi="Book Antiqua" w:cs="Arial"/>
          <w:szCs w:val="24"/>
        </w:rPr>
        <w:t xml:space="preserve">follow-up functional status assessment within a year. The majority (86.3%) recovered from transplant and reached </w:t>
      </w:r>
      <w:r w:rsidR="00EA5F13" w:rsidRPr="00B909F3">
        <w:rPr>
          <w:rFonts w:ascii="Book Antiqua" w:hAnsi="Book Antiqua" w:cs="Arial"/>
          <w:szCs w:val="24"/>
        </w:rPr>
        <w:t>“</w:t>
      </w:r>
      <w:r w:rsidRPr="00B909F3">
        <w:rPr>
          <w:rFonts w:ascii="Book Antiqua" w:hAnsi="Book Antiqua" w:cs="Arial"/>
          <w:szCs w:val="24"/>
        </w:rPr>
        <w:t>Normal</w:t>
      </w:r>
      <w:r w:rsidR="00EA5F13" w:rsidRPr="00B909F3">
        <w:rPr>
          <w:rFonts w:ascii="Book Antiqua" w:hAnsi="Book Antiqua" w:cs="Arial"/>
          <w:szCs w:val="24"/>
        </w:rPr>
        <w:t>”</w:t>
      </w:r>
      <w:r w:rsidRPr="00B909F3">
        <w:rPr>
          <w:rFonts w:ascii="Book Antiqua" w:hAnsi="Book Antiqua" w:cs="Arial"/>
          <w:szCs w:val="24"/>
        </w:rPr>
        <w:t xml:space="preserve"> functional status within 1 year. Of the 7258 recipients in this subsample that were severely impaired/disabled pre-transplant, 81% (</w:t>
      </w:r>
      <w:r w:rsidRPr="00B909F3">
        <w:rPr>
          <w:rFonts w:ascii="Book Antiqua" w:hAnsi="Book Antiqua" w:cs="Arial"/>
          <w:i/>
          <w:iCs/>
          <w:szCs w:val="24"/>
        </w:rPr>
        <w:t>n</w:t>
      </w:r>
      <w:r w:rsidRPr="00B909F3">
        <w:rPr>
          <w:rFonts w:ascii="Book Antiqua" w:hAnsi="Book Antiqua" w:cs="Arial"/>
          <w:szCs w:val="24"/>
        </w:rPr>
        <w:t xml:space="preserve"> = 5861) recovered full physical function (</w:t>
      </w:r>
      <w:r w:rsidR="00EA5F13" w:rsidRPr="00B909F3">
        <w:rPr>
          <w:rFonts w:ascii="Book Antiqua" w:hAnsi="Book Antiqua" w:cs="Arial"/>
          <w:szCs w:val="24"/>
        </w:rPr>
        <w:t>“</w:t>
      </w:r>
      <w:r w:rsidRPr="00B909F3">
        <w:rPr>
          <w:rFonts w:ascii="Book Antiqua" w:hAnsi="Book Antiqua" w:cs="Arial"/>
          <w:szCs w:val="24"/>
        </w:rPr>
        <w:t>Normal</w:t>
      </w:r>
      <w:r w:rsidR="00EA5F13" w:rsidRPr="00B909F3">
        <w:rPr>
          <w:rFonts w:ascii="Book Antiqua" w:hAnsi="Book Antiqua" w:cs="Arial"/>
          <w:szCs w:val="24"/>
        </w:rPr>
        <w:t>”</w:t>
      </w:r>
      <w:r w:rsidRPr="00B909F3">
        <w:rPr>
          <w:rFonts w:ascii="Book Antiqua" w:hAnsi="Book Antiqua" w:cs="Arial"/>
          <w:szCs w:val="24"/>
        </w:rPr>
        <w:t xml:space="preserve"> functional status) within 1 year of transplant.</w:t>
      </w:r>
    </w:p>
    <w:p w14:paraId="0BB265E3" w14:textId="77777777" w:rsidR="00AE2710" w:rsidRPr="00B909F3" w:rsidRDefault="00AE2710" w:rsidP="00197EDE">
      <w:pPr>
        <w:spacing w:after="0" w:line="360" w:lineRule="auto"/>
        <w:jc w:val="both"/>
        <w:rPr>
          <w:rFonts w:ascii="Book Antiqua" w:hAnsi="Book Antiqua" w:cs="Arial"/>
          <w:b/>
          <w:szCs w:val="24"/>
        </w:rPr>
      </w:pPr>
    </w:p>
    <w:p w14:paraId="55FB7C45" w14:textId="77777777" w:rsidR="00AE2710" w:rsidRPr="00B909F3" w:rsidRDefault="00AE2710" w:rsidP="00197EDE">
      <w:pPr>
        <w:spacing w:after="0" w:line="360" w:lineRule="auto"/>
        <w:jc w:val="both"/>
        <w:rPr>
          <w:rFonts w:ascii="Book Antiqua" w:hAnsi="Book Antiqua" w:cs="Arial"/>
          <w:b/>
          <w:szCs w:val="24"/>
        </w:rPr>
      </w:pPr>
      <w:r w:rsidRPr="00B909F3">
        <w:rPr>
          <w:rFonts w:ascii="Book Antiqua" w:hAnsi="Book Antiqua" w:cs="Arial"/>
          <w:b/>
          <w:szCs w:val="24"/>
        </w:rPr>
        <w:t xml:space="preserve">DISCUSSION </w:t>
      </w:r>
    </w:p>
    <w:p w14:paraId="72CA30EC" w14:textId="35921C18" w:rsidR="00F30A75" w:rsidRPr="00B909F3" w:rsidRDefault="00AE2710" w:rsidP="00197EDE">
      <w:pPr>
        <w:spacing w:after="0" w:line="360" w:lineRule="auto"/>
        <w:jc w:val="both"/>
        <w:rPr>
          <w:rFonts w:ascii="Book Antiqua" w:hAnsi="Book Antiqua" w:cs="Arial"/>
          <w:b/>
          <w:i/>
          <w:szCs w:val="24"/>
        </w:rPr>
      </w:pPr>
      <w:r w:rsidRPr="00B909F3">
        <w:rPr>
          <w:rFonts w:ascii="Book Antiqua" w:hAnsi="Book Antiqua" w:cs="Arial"/>
          <w:szCs w:val="24"/>
        </w:rPr>
        <w:t xml:space="preserve">Almost 1 in 4 patients included in this national study of 38278 </w:t>
      </w:r>
      <w:r w:rsidR="00F30A75" w:rsidRPr="00B909F3">
        <w:rPr>
          <w:rFonts w:ascii="Book Antiqua" w:hAnsi="Book Antiqua" w:cs="Arial"/>
          <w:szCs w:val="24"/>
        </w:rPr>
        <w:t>United States</w:t>
      </w:r>
      <w:r w:rsidRPr="00B909F3">
        <w:rPr>
          <w:rFonts w:ascii="Book Antiqua" w:hAnsi="Book Antiqua" w:cs="Arial"/>
          <w:szCs w:val="24"/>
        </w:rPr>
        <w:t xml:space="preserve"> adults that underwent non-urgent liver transplantation between 2005 and 2014 </w:t>
      </w:r>
      <w:r w:rsidRPr="00B909F3">
        <w:rPr>
          <w:rFonts w:ascii="Book Antiqua" w:hAnsi="Book Antiqua" w:cs="Arial"/>
          <w:noProof/>
          <w:szCs w:val="24"/>
        </w:rPr>
        <w:t>had s</w:t>
      </w:r>
      <w:r w:rsidRPr="00B909F3">
        <w:rPr>
          <w:rFonts w:ascii="Book Antiqua" w:hAnsi="Book Antiqua" w:cs="Arial"/>
          <w:szCs w:val="24"/>
        </w:rPr>
        <w:t xml:space="preserve">evere functional impairment/disability at the time of transplant. This group of patients was found to have a markedly increased hazard of dying and/or having graft failure at 1 year compared to Normal functional status patients. This increased hazard was observed in both unadjusted and </w:t>
      </w:r>
      <w:r w:rsidRPr="00B909F3">
        <w:rPr>
          <w:rFonts w:ascii="Book Antiqua" w:hAnsi="Book Antiqua" w:cs="Arial"/>
          <w:noProof/>
          <w:szCs w:val="24"/>
        </w:rPr>
        <w:t>multivariable</w:t>
      </w:r>
      <w:r w:rsidRPr="00B909F3">
        <w:rPr>
          <w:rFonts w:ascii="Book Antiqua" w:hAnsi="Book Antiqua" w:cs="Arial"/>
          <w:szCs w:val="24"/>
        </w:rPr>
        <w:t xml:space="preserve">-adjusted </w:t>
      </w:r>
      <w:r w:rsidRPr="00B909F3">
        <w:rPr>
          <w:rFonts w:ascii="Book Antiqua" w:hAnsi="Book Antiqua" w:cs="Arial"/>
          <w:noProof/>
          <w:szCs w:val="24"/>
        </w:rPr>
        <w:t>regression</w:t>
      </w:r>
      <w:r w:rsidRPr="00B909F3">
        <w:rPr>
          <w:rFonts w:ascii="Book Antiqua" w:hAnsi="Book Antiqua" w:cs="Arial"/>
          <w:szCs w:val="24"/>
        </w:rPr>
        <w:t xml:space="preserve"> </w:t>
      </w:r>
      <w:r w:rsidRPr="00B909F3">
        <w:rPr>
          <w:rFonts w:ascii="Book Antiqua" w:hAnsi="Book Antiqua" w:cs="Arial"/>
          <w:noProof/>
          <w:szCs w:val="24"/>
        </w:rPr>
        <w:t>analyses</w:t>
      </w:r>
      <w:r w:rsidRPr="00B909F3">
        <w:rPr>
          <w:rFonts w:ascii="Book Antiqua" w:hAnsi="Book Antiqua" w:cs="Arial"/>
          <w:szCs w:val="24"/>
        </w:rPr>
        <w:t xml:space="preserve"> controlling for a variety of potentially confounding factors of prognostic importance. Approximately 86% of recipients who did not experience 1-year death or graft failure (and had follow-up data </w:t>
      </w:r>
      <w:r w:rsidRPr="00B909F3">
        <w:rPr>
          <w:rFonts w:ascii="Book Antiqua" w:hAnsi="Book Antiqua" w:cs="Arial"/>
          <w:szCs w:val="24"/>
        </w:rPr>
        <w:lastRenderedPageBreak/>
        <w:t xml:space="preserve">available) recovered from transplant and reached </w:t>
      </w:r>
      <w:r w:rsidR="00F30A75" w:rsidRPr="00B909F3">
        <w:rPr>
          <w:rFonts w:ascii="Book Antiqua" w:hAnsi="Book Antiqua" w:cs="Arial"/>
          <w:szCs w:val="24"/>
        </w:rPr>
        <w:t>“</w:t>
      </w:r>
      <w:r w:rsidRPr="00B909F3">
        <w:rPr>
          <w:rFonts w:ascii="Book Antiqua" w:hAnsi="Book Antiqua" w:cs="Arial"/>
          <w:szCs w:val="24"/>
        </w:rPr>
        <w:t>Normal</w:t>
      </w:r>
      <w:r w:rsidR="00F30A75" w:rsidRPr="00B909F3">
        <w:rPr>
          <w:rFonts w:ascii="Book Antiqua" w:hAnsi="Book Antiqua" w:cs="Arial"/>
          <w:szCs w:val="24"/>
        </w:rPr>
        <w:t>”</w:t>
      </w:r>
      <w:r w:rsidRPr="00B909F3">
        <w:rPr>
          <w:rFonts w:ascii="Book Antiqua" w:hAnsi="Book Antiqua" w:cs="Arial"/>
          <w:szCs w:val="24"/>
        </w:rPr>
        <w:t xml:space="preserve"> functional </w:t>
      </w:r>
      <w:r w:rsidRPr="00B909F3">
        <w:rPr>
          <w:rFonts w:ascii="Book Antiqua" w:hAnsi="Book Antiqua" w:cs="Arial"/>
          <w:noProof/>
          <w:szCs w:val="24"/>
        </w:rPr>
        <w:t>status</w:t>
      </w:r>
      <w:r w:rsidRPr="00B909F3">
        <w:rPr>
          <w:rFonts w:ascii="Book Antiqua" w:hAnsi="Book Antiqua" w:cs="Arial"/>
          <w:szCs w:val="24"/>
        </w:rPr>
        <w:t xml:space="preserve"> within </w:t>
      </w:r>
      <w:r w:rsidRPr="00B909F3">
        <w:rPr>
          <w:rFonts w:ascii="Book Antiqua" w:hAnsi="Book Antiqua" w:cs="Arial"/>
          <w:noProof/>
          <w:szCs w:val="24"/>
        </w:rPr>
        <w:t>1-year</w:t>
      </w:r>
      <w:r w:rsidRPr="00B909F3">
        <w:rPr>
          <w:rFonts w:ascii="Book Antiqua" w:hAnsi="Book Antiqua" w:cs="Arial"/>
          <w:szCs w:val="24"/>
        </w:rPr>
        <w:t>.</w:t>
      </w:r>
    </w:p>
    <w:p w14:paraId="187996E4" w14:textId="2025224D" w:rsidR="00AE2710" w:rsidRPr="00B909F3" w:rsidRDefault="00AE2710" w:rsidP="00197EDE">
      <w:pPr>
        <w:spacing w:after="0" w:line="360" w:lineRule="auto"/>
        <w:ind w:firstLineChars="100" w:firstLine="240"/>
        <w:jc w:val="both"/>
        <w:rPr>
          <w:rFonts w:ascii="Book Antiqua" w:hAnsi="Book Antiqua" w:cs="Arial"/>
          <w:b/>
          <w:i/>
          <w:szCs w:val="24"/>
        </w:rPr>
      </w:pPr>
      <w:r w:rsidRPr="00B909F3">
        <w:rPr>
          <w:rFonts w:ascii="Book Antiqua" w:hAnsi="Book Antiqua" w:cs="Arial"/>
          <w:szCs w:val="24"/>
        </w:rPr>
        <w:t>We present data from the first national study illustrating the role of pre-transplant functional status as a predictor of one-year survival among liver transplant recipients. Our results are in agreement with the findings from earlier studies that evaluated Poor functional status as a predictor of adverse transplant outcomes</w:t>
      </w:r>
      <w:r w:rsidR="00F30A75" w:rsidRPr="00B909F3">
        <w:rPr>
          <w:rFonts w:ascii="Book Antiqua" w:hAnsi="Book Antiqua" w:cs="Arial"/>
          <w:szCs w:val="24"/>
          <w:vertAlign w:val="superscript"/>
        </w:rPr>
        <w:t>[</w:t>
      </w:r>
      <w:r w:rsidR="00F30A75" w:rsidRPr="00B909F3">
        <w:rPr>
          <w:rFonts w:ascii="Book Antiqua" w:hAnsi="Book Antiqua" w:cs="Arial"/>
          <w:szCs w:val="24"/>
          <w:vertAlign w:val="superscript"/>
        </w:rPr>
        <w:fldChar w:fldCharType="begin" w:fldLock="1"/>
      </w:r>
      <w:r w:rsidR="00F30A75" w:rsidRPr="00B909F3">
        <w:rPr>
          <w:rFonts w:ascii="Book Antiqua" w:hAnsi="Book Antiqua" w:cs="Arial"/>
          <w:szCs w:val="24"/>
          <w:vertAlign w:val="superscript"/>
        </w:rPr>
        <w:instrText>ADDIN CSL_CITATION {"citationItems":[{"id":"ITEM-1","itemData":{"DOI":"10.1097/01.TP.0000163292.03640.5C","ISBN":"0041-1337 (Print)\\n0041-1337 (Linking)","ISSN":"00411337","PMID":"16003233","abstract":"BACKGROUND: Risk models for mortality after liver transplantation have poor predictive ability. We examined whether the performance of these risk models can be improved by including information about patients' functional status (i.e., their ability to carry out activities of daily living) in addition to conventional clinical risk factors. METHODS: The UK and Ireland Liver Transplant Audit has data on all liver transplantations carried out in both countries since 1994. We examined the association of functional status measures taken immediately before transplantation on a 5-point scale (modified version of the Eastern Cooperative Oncology Group performance status) and mortality 90 days after transplantation. Logistic regression was used to adjust for other risk factors. RESULTS: Posttransplant mortality increased from 5.3% in patients able to carry out normal activity without restriction (functional status 1) to 24.8% in patients completely reliant on nursing and medical care (functional status 5; P for trend 0.003). This association remained after adjustment for conventional risk factors (adjusted P for trend 0.003). Adjusted odds ratios with functional status 3 (the most frequent functional status) as baseline category were 0.60 (95% confidence interval 0.29-1.25) for functional status 1, 0.70 (0.50-0.97) for functional status 2, 1.00 (0.71-1.41) for functional status 4, and 1.85 (1.07-3.19) for functional status 5. CONCLUSIONS: Considering a patient's functional status or more general measures of a patient's health status before transplantation in addition to conventional clinical factors may help to improve our ability to predict posttransplant survival.","author":[{"dropping-particle":"","family":"Jacob","given":"Mathew","non-dropping-particle":"","parse-names":false,"suffix":""},{"dropping-particle":"","family":"Copley","given":"Lynn P.","non-dropping-particle":"","parse-names":false,"suffix":""},{"dropping-particle":"","family":"Lewsey","given":"James D.","non-dropping-particle":"","parse-names":false,"suffix":""},{"dropping-particle":"","family":"Gimson","given":"Alex","non-dropping-particle":"","parse-names":false,"suffix":""},{"dropping-particle":"","family":"Rela","given":"Mohamed","non-dropping-particle":"","parse-names":false,"suffix":""},{"dropping-particle":"","family":"Meulen","given":"Jan H P","non-dropping-particle":"Van Der","parse-names":false,"suffix":""}],"container-title":"Transplantation","id":"ITEM-1","issue":"1","issued":{"date-parts":[["2005","7"]]},"note":"LR: 20061115; JID: 0132144; ppublish","page":"52-57","title":"Functional status of patients before liver transplantation as a predictor of posttransplant mortality","type":"article-journal","volume":"80"},"uris":["http://www.mendeley.com/documents/?uuid=9f6678a5-74c1-4b7c-adea-7aaec9fe91dd","http://www.mendeley.com/documents/?uuid=632df16d-950b-4f03-92b2-1bfa0253aaee"]},{"id":"ITEM-2","itemData":{"DOI":"10.1097/01.tp.0000235516.99977.95","ISBN":"0041-1337; 0041-1337","ISSN":"00411337","PMID":"17038904","abstract":"Background. Current statistical prognostic models for mortality after liver transplantation do not have good discriminatory ability. Furthermore, the methodology used to develop these models is often flawed. The objective of this paper is to develop a prognostic model for 90-day mortality after liver transplantation based on pretransplant recipient factors, employing a rigorous model development method.Methods. We used data on 4,829 patient that were prospectively collected for the UK &amp; Ireland Liver Transplant Audit. Switching regression was employed to impute missing values combined with a bootstrapping approach for variable selection.Results. In all, 452 patients (9.4%) died within 90 days of their transplantation. The final prognostic model was well calibrated and discriminated moderately well between patients who did and who did not die (c-statistic 0.65, 95% CI [0.63, 0.68]). Although discrimination was not excellent overall, the results showed that those patients with a \"low\" chance of dying within 90 days of their transplant and those with a \"high\" chance of dying could be differentiated from patients with a \"intermediate\" chance.Conclusions. Our model can provide transplant candidates with predictions of their early posttransplantation prospects before any donor information is known, which is essential information for patients with end-stage liver disease for whom liver transplantation is a treatment option.","author":[{"dropping-particle":"","family":"Lewsey","given":"James D.","non-dropping-particle":"","parse-names":false,"suffix":""},{"dropping-particle":"","family":"Dawwas","given":"Muhammad","non-dropping-particle":"","parse-names":false,"suffix":""},{"dropping-particle":"","family":"Copley","given":"Lynn P.","non-dropping-particle":"","parse-names":false,"suffix":""},{"dropping-particle":"","family":"Gimson","given":"Alexander","non-dropping-particle":"","parse-names":false,"suffix":""},{"dropping-particle":"","family":"Meulen","given":"Jan H P","non-dropping-particle":"Van Der","parse-names":false,"suffix":""}],"container-title":"Transplantation","id":"ITEM-2","issue":"7","issued":{"date-parts":[["2006","10"]]},"note":"LR: 20070613; JID: 0132144; CIN: Liver Transpl. 2007 Apr;13(4):619-21. PMID: 17494127; ppublish","page":"898-907","title":"Developing a prognostic model for 90-day mortality after liver transplantation based on pretransplant recipient factors","type":"article-journal","volume":"82"},"uris":["http://www.mendeley.com/documents/?uuid=c354837d-9d1f-46ea-8517-bf0c3cc1bd06","http://www.mendeley.com/documents/?uuid=5e818118-f6fd-4187-859d-20a2cd603ac6","http://www.mendeley.com/documents/?uuid=a37fa8e2-855f-460d-8528-20bd46880c8a"]},{"id":"ITEM-3","itemData":{"DOI":"10.1016/S0002-9610(98)00053-1","ISBN":"0002-9610 (Print) 0002-9610","ISSN":"00029610","PMID":"9600275","abstract":"BACKGROUND: There is an increasing demand for outcomes analysis, including quality of life and financial analysis, following medical interventions and surgical procedures. We analyzed outcomes for 100 consecutive patients undergoing liver transplantation during a period of case management revision. METHODS: Patient survival was calculated by Kaplan- Meier actuarial methods. The Karnofsky performance status was objectively assessed for surviving patients up to 6 years after transplantation and was evaluated by repeated measures analysis of variance and covariance. Subjective evaluation of quality of life over time was obtained using the Psychosocial Adjustment to Illness Scale. The correlations between time and scale were calculated. Financial data were accumulated from billing records. RESULTS: Six-month, 1-year, 2-year, and 3-through 5-year survival was 86%, 84%, 83%, and 78%, respectively. Karnofsky performance status confirmed poor functional status preoperatively with a mean of 53 ± 2, but significantly improving to 72 ± 2 at 3 months, 80 ± 2 at 6 months, 90± 1 at 1 year, 92 ± 1 at 2 years, 94 ± 1 at 3 years, 96 ± 1 at 4 years, and 97 ± 1 at 5 years (P &lt;0.001). Psychosocial Adjustment to Illness Scale scores demonstrated significant improvement following transplantation overall (r = - 0.33), improving most in sexual relationships (r = -0.41), and domestic environment (r = -0.35; P &lt;0.001). Median length of stay for the first half of the patients was 19 days declining to 11 days for the second half. Median hospital charges declined from $105,000 to $90,000. CONCLUSIONS: Quality of life parameters assessed both by care givers (Karnofsky) and by patients (Psychosocial Adjustment to Illness Scale) improved dramatically following transplantation and over time, demonstrating that liver transplantation effectively restores a good quality of life. Outcomes can be improved while reducing length of stay and charges through modifications in case management.","author":[{"dropping-particle":"","family":"Geevarghese","given":"Sunil K.","non-dropping-particle":"","parse-names":false,"suffix":""},{"dropping-particle":"","family":"Bradley","given":"Anne E.","non-dropping-particle":"","parse-names":false,"suffix":""},{"dropping-particle":"","family":"Wright","given":"J. Kelly","non-dropping-particle":"","parse-names":false,"suffix":""},{"dropping-particle":"","family":"Chapman","given":"William C.","non-dropping-particle":"","parse-names":false,"suffix":""},{"dropping-particle":"","family":"Feurer","given":"Irene","non-dropping-particle":"","parse-names":false,"suffix":""},{"dropping-particle":"","family":"Payne","given":"Jerita L.","non-dropping-particle":"","parse-names":false,"suffix":""},{"dropping-particle":"","family":"Hunter","given":"Ellen B.","non-dropping-particle":"","parse-names":false,"suffix":""},{"dropping-particle":"","family":"Pinson","given":"C. Wright","non-dropping-particle":"","parse-names":false,"suffix":""}],"container-title":"American Journal of Surgery","id":"ITEM-3","issue":"5","issued":{"date-parts":[["1998","5"]]},"page":"348-353","title":"Outcomes analysis in 100 liver transplantation patients","type":"article-journal","volume":"175"},"uris":["http://www.mendeley.com/documents/?uuid=5bcead64-3469-4c9f-958e-ea22ea8ce370","http://www.mendeley.com/documents/?uuid=5527b0ba-e5d5-4780-8f81-d361b2acac0c","http://www.mendeley.com/documents/?uuid=7fae2e22-87a8-4cbd-8e7a-d6605846b7ef"]},{"id":"ITEM-4","itemData":{"DOI":"10.1002/hep.26805","ISBN":"0270-9139","ISSN":"02709139","abstract":"Appropriate organ allocation must balance minimizing waitlist mortality and maximizing post-transplant outcomes. While MELD predicts waitlist death, additional metrics are needed to identify transplant candidates at risk for poor outcomes. Frailty, a syndrome of decreased physiologic reserve associated with adverse health outcomes, may provide a novel measure of risk stratification among candidates for transplantation. Single center prospective trial of patients referred for transplant evaluation and assessed for quality of life (sf36), depression, and frailty. The frailty instrument has 5 elements (walking speed, grip strength, unintentional weight loss, self-reported exhaustion, and weekly physical activity). Each element has criteria that indicate frailty, such that each patient has a frailty score between 0 (not frail) and 5 (highly frail). The frailty instrument has been validated in geriatrics but not studied in liver disease. Clinical data and outcomes were recorded for all patients, and deaths confirmed via the SSDMF. Since 2009, 502 subjects have been enrolled in the clinical trial, with median follow-up of 21 months (range 3-45 mos). Frailty was normally distributed among study subjects, and not correlated with age, sex, BMI, cause of liver disease, or number of comorbidities. Frailty was weakly positively correlated with MELD score (=0.25, P&lt;0.01), but mean MELD score among high frailty (3-5) and low frailty (0-2) subjects was equivalent (12.5). High frailty was associated with higher depression (6 vs. 3, P&lt;0.01), and decreased quality of life (sf36 32 vs. 53, P&lt;0.01). Pre-transplant mortality was increased among high frailty patients (HR=2.7, P=0.02), and interacted with high MELD to produce poor pre-transplant survival (median survival, high frailty with MELD&gt;15 = 6 mos). Among 73 patients in the study who underwent transplantation, 1-year survival was equivalent among high frailty and low frailty patients (90%). However, high frailty patients had higher rates of biliary complications (33 vs 20%), renal failure (29 vs 14%), discharge to a skilled nursing facility (20 vs 9.3%) and 90-day readmission rates (67 vs 43%). Reoperation rates increased in a linear fashion from 8% for nonfrail patients (score 0) to 100% in highly frail patients (score 5). Frailty is a useful risk stratification domain for liver transplant candidates associated with decreased pre-transplant survival and increased post-transplant complications and resource utilization…","author":[{"dropping-particle":"","family":"Sonnenday","given":"C J","non-dropping-particle":"","parse-names":false,"suffix":""},{"dropping-particle":"","family":"Volk","given":"Michael","non-dropping-particle":"","parse-names":false,"suffix":""},{"dropping-particle":"","family":"Englesbe","given":"M J","non-dropping-particle":"","parse-names":false,"suffix":""}],"container-title":"Hepatology","id":"ITEM-4","issue":"S1","issued":{"date-parts":[["2013"]]},"page":"249A-253A","title":"PBC, PSC, and autoimmune disease","type":"paper-conference","volume":"58"},"uris":["http://www.mendeley.com/documents/?uuid=3e535a52-bc6e-4400-aefc-4321f34bea85","http://www.mendeley.com/documents/?uuid=6e4f8d23-d305-4f4d-ad55-8a61572250cd","http://www.mendeley.com/documents/?uuid=bff6c67a-bc63-4209-b3f6-7083c9dd92a8"]}],"mendeley":{"formattedCitation":"&lt;sup&gt;11,28–30&lt;/sup&gt;","plainTextFormattedCitation":"11,28–30","previouslyFormattedCitation":"&lt;sup&gt;11,28–30&lt;/sup&gt;"},"properties":{"noteIndex":0},"schema":"https://github.com/citation-style-language/schema/raw/master/csl-citation.json"}</w:instrText>
      </w:r>
      <w:r w:rsidR="00F30A75" w:rsidRPr="00B909F3">
        <w:rPr>
          <w:rFonts w:ascii="Book Antiqua" w:hAnsi="Book Antiqua" w:cs="Arial"/>
          <w:szCs w:val="24"/>
          <w:vertAlign w:val="superscript"/>
        </w:rPr>
        <w:fldChar w:fldCharType="separate"/>
      </w:r>
      <w:r w:rsidR="00F30A75" w:rsidRPr="00B909F3">
        <w:rPr>
          <w:rFonts w:ascii="Book Antiqua" w:hAnsi="Book Antiqua" w:cs="Arial"/>
          <w:noProof/>
          <w:szCs w:val="24"/>
          <w:vertAlign w:val="superscript"/>
        </w:rPr>
        <w:t>11,28</w:t>
      </w:r>
      <w:r w:rsidR="009F4640">
        <w:rPr>
          <w:rFonts w:ascii="Book Antiqua" w:hAnsi="Book Antiqua" w:cs="Arial"/>
          <w:noProof/>
          <w:szCs w:val="24"/>
          <w:vertAlign w:val="superscript"/>
        </w:rPr>
        <w:t>-</w:t>
      </w:r>
      <w:r w:rsidR="00F30A75" w:rsidRPr="00B909F3">
        <w:rPr>
          <w:rFonts w:ascii="Book Antiqua" w:hAnsi="Book Antiqua" w:cs="Arial"/>
          <w:noProof/>
          <w:szCs w:val="24"/>
          <w:vertAlign w:val="superscript"/>
        </w:rPr>
        <w:t>30</w:t>
      </w:r>
      <w:r w:rsidR="00F30A75" w:rsidRPr="00B909F3">
        <w:rPr>
          <w:rFonts w:ascii="Book Antiqua" w:hAnsi="Book Antiqua" w:cs="Arial"/>
          <w:szCs w:val="24"/>
          <w:vertAlign w:val="superscript"/>
        </w:rPr>
        <w:fldChar w:fldCharType="end"/>
      </w:r>
      <w:r w:rsidR="00F30A75" w:rsidRPr="00B909F3">
        <w:rPr>
          <w:rFonts w:ascii="Book Antiqua" w:hAnsi="Book Antiqua" w:cs="Arial"/>
          <w:szCs w:val="24"/>
          <w:vertAlign w:val="superscript"/>
        </w:rPr>
        <w:t>]</w:t>
      </w:r>
      <w:r w:rsidR="00933E77" w:rsidRPr="00B909F3">
        <w:rPr>
          <w:rFonts w:ascii="Book Antiqua" w:hAnsi="Book Antiqua" w:cs="Arial"/>
          <w:szCs w:val="24"/>
        </w:rPr>
        <w:t>.</w:t>
      </w:r>
      <w:r w:rsidRPr="00B909F3">
        <w:rPr>
          <w:rFonts w:ascii="Book Antiqua" w:hAnsi="Book Antiqua" w:cs="Arial"/>
          <w:szCs w:val="24"/>
        </w:rPr>
        <w:t xml:space="preserve"> Two such studies, each with approximately 4000 </w:t>
      </w:r>
      <w:r w:rsidR="00F30A75" w:rsidRPr="00B909F3">
        <w:rPr>
          <w:rFonts w:ascii="Book Antiqua" w:hAnsi="Book Antiqua" w:cs="Arial"/>
          <w:szCs w:val="24"/>
        </w:rPr>
        <w:t>United Kingdom</w:t>
      </w:r>
      <w:r w:rsidRPr="00B909F3">
        <w:rPr>
          <w:rFonts w:ascii="Book Antiqua" w:hAnsi="Book Antiqua" w:cs="Arial"/>
          <w:szCs w:val="24"/>
        </w:rPr>
        <w:t xml:space="preserve"> recipients of a liver transplant, reported a near 2-fold increased </w:t>
      </w:r>
      <w:r w:rsidRPr="00B909F3">
        <w:rPr>
          <w:rFonts w:ascii="Book Antiqua" w:hAnsi="Book Antiqua" w:cs="Arial"/>
          <w:noProof/>
          <w:szCs w:val="24"/>
        </w:rPr>
        <w:t>risk</w:t>
      </w:r>
      <w:r w:rsidRPr="00B909F3">
        <w:rPr>
          <w:rFonts w:ascii="Book Antiqua" w:hAnsi="Book Antiqua" w:cs="Arial"/>
          <w:szCs w:val="24"/>
        </w:rPr>
        <w:t xml:space="preserve"> of post-transplant mortality at 90 d for the worst functioning group relative to the highest functioning group</w:t>
      </w:r>
      <w:r w:rsidR="00F30A75" w:rsidRPr="00B909F3">
        <w:rPr>
          <w:rFonts w:ascii="Book Antiqua" w:hAnsi="Book Antiqua" w:cs="Arial"/>
          <w:szCs w:val="24"/>
          <w:vertAlign w:val="superscript"/>
        </w:rPr>
        <w:t>[</w:t>
      </w:r>
      <w:r w:rsidR="00F30A75" w:rsidRPr="00B909F3">
        <w:rPr>
          <w:rFonts w:ascii="Book Antiqua" w:hAnsi="Book Antiqua" w:cs="Arial"/>
          <w:szCs w:val="24"/>
          <w:vertAlign w:val="superscript"/>
        </w:rPr>
        <w:fldChar w:fldCharType="begin" w:fldLock="1"/>
      </w:r>
      <w:r w:rsidR="00F30A75" w:rsidRPr="00B909F3">
        <w:rPr>
          <w:rFonts w:ascii="Book Antiqua" w:hAnsi="Book Antiqua" w:cs="Arial"/>
          <w:szCs w:val="24"/>
          <w:vertAlign w:val="superscript"/>
        </w:rPr>
        <w:instrText>ADDIN CSL_CITATION {"citationItems":[{"id":"ITEM-1","itemData":{"DOI":"10.1097/01.TP.0000163292.03640.5C","ISBN":"0041-1337 (Print)\\n0041-1337 (Linking)","ISSN":"00411337","PMID":"16003233","abstract":"BACKGROUND: Risk models for mortality after liver transplantation have poor predictive ability. We examined whether the performance of these risk models can be improved by including information about patients' functional status (i.e., their ability to carry out activities of daily living) in addition to conventional clinical risk factors. METHODS: The UK and Ireland Liver Transplant Audit has data on all liver transplantations carried out in both countries since 1994. We examined the association of functional status measures taken immediately before transplantation on a 5-point scale (modified version of the Eastern Cooperative Oncology Group performance status) and mortality 90 days after transplantation. Logistic regression was used to adjust for other risk factors. RESULTS: Posttransplant mortality increased from 5.3% in patients able to carry out normal activity without restriction (functional status 1) to 24.8% in patients completely reliant on nursing and medical care (functional status 5; P for trend 0.003). This association remained after adjustment for conventional risk factors (adjusted P for trend 0.003). Adjusted odds ratios with functional status 3 (the most frequent functional status) as baseline category were 0.60 (95% confidence interval 0.29-1.25) for functional status 1, 0.70 (0.50-0.97) for functional status 2, 1.00 (0.71-1.41) for functional status 4, and 1.85 (1.07-3.19) for functional status 5. CONCLUSIONS: Considering a patient's functional status or more general measures of a patient's health status before transplantation in addition to conventional clinical factors may help to improve our ability to predict posttransplant survival.","author":[{"dropping-particle":"","family":"Jacob","given":"Mathew","non-dropping-particle":"","parse-names":false,"suffix":""},{"dropping-particle":"","family":"Copley","given":"Lynn P.","non-dropping-particle":"","parse-names":false,"suffix":""},{"dropping-particle":"","family":"Lewsey","given":"James D.","non-dropping-particle":"","parse-names":false,"suffix":""},{"dropping-particle":"","family":"Gimson","given":"Alex","non-dropping-particle":"","parse-names":false,"suffix":""},{"dropping-particle":"","family":"Rela","given":"Mohamed","non-dropping-particle":"","parse-names":false,"suffix":""},{"dropping-particle":"","family":"Meulen","given":"Jan H P","non-dropping-particle":"Van Der","parse-names":false,"suffix":""}],"container-title":"Transplantation","id":"ITEM-1","issue":"1","issued":{"date-parts":[["2005","7"]]},"note":"LR: 20061115; JID: 0132144; ppublish","page":"52-57","title":"Functional status of patients before liver transplantation as a predictor of posttransplant mortality","type":"article-journal","volume":"80"},"uris":["http://www.mendeley.com/documents/?uuid=9f6678a5-74c1-4b7c-adea-7aaec9fe91dd","http://www.mendeley.com/documents/?uuid=632df16d-950b-4f03-92b2-1bfa0253aaee"]},{"id":"ITEM-2","itemData":{"DOI":"10.1097/01.tp.0000235516.99977.95","ISBN":"0041-1337; 0041-1337","ISSN":"00411337","PMID":"17038904","abstract":"Background. Current statistical prognostic models for mortality after liver transplantation do not have good discriminatory ability. Furthermore, the methodology used to develop these models is often flawed. The objective of this paper is to develop a prognostic model for 90-day mortality after liver transplantation based on pretransplant recipient factors, employing a rigorous model development method.Methods. We used data on 4,829 patient that were prospectively collected for the UK &amp; Ireland Liver Transplant Audit. Switching regression was employed to impute missing values combined with a bootstrapping approach for variable selection.Results. In all, 452 patients (9.4%) died within 90 days of their transplantation. The final prognostic model was well calibrated and discriminated moderately well between patients who did and who did not die (c-statistic 0.65, 95% CI [0.63, 0.68]). Although discrimination was not excellent overall, the results showed that those patients with a \"low\" chance of dying within 90 days of their transplant and those with a \"high\" chance of dying could be differentiated from patients with a \"intermediate\" chance.Conclusions. Our model can provide transplant candidates with predictions of their early posttransplantation prospects before any donor information is known, which is essential information for patients with end-stage liver disease for whom liver transplantation is a treatment option.","author":[{"dropping-particle":"","family":"Lewsey","given":"James D.","non-dropping-particle":"","parse-names":false,"suffix":""},{"dropping-particle":"","family":"Dawwas","given":"Muhammad","non-dropping-particle":"","parse-names":false,"suffix":""},{"dropping-particle":"","family":"Copley","given":"Lynn P.","non-dropping-particle":"","parse-names":false,"suffix":""},{"dropping-particle":"","family":"Gimson","given":"Alexander","non-dropping-particle":"","parse-names":false,"suffix":""},{"dropping-particle":"","family":"Meulen","given":"Jan H P","non-dropping-particle":"Van Der","parse-names":false,"suffix":""}],"container-title":"Transplantation","id":"ITEM-2","issue":"7","issued":{"date-parts":[["2006","10"]]},"note":"LR: 20070613; JID: 0132144; CIN: Liver Transpl. 2007 Apr;13(4):619-21. PMID: 17494127; ppublish","page":"898-907","title":"Developing a prognostic model for 90-day mortality after liver transplantation based on pretransplant recipient factors","type":"article-journal","volume":"82"},"uris":["http://www.mendeley.com/documents/?uuid=c354837d-9d1f-46ea-8517-bf0c3cc1bd06","http://www.mendeley.com/documents/?uuid=5e818118-f6fd-4187-859d-20a2cd603ac6","http://www.mendeley.com/documents/?uuid=042f2256-5020-4eda-a74d-b263ee5f6793"]}],"mendeley":{"formattedCitation":"&lt;sup&gt;11,30&lt;/sup&gt;","plainTextFormattedCitation":"11,30","previouslyFormattedCitation":"&lt;sup&gt;11,30&lt;/sup&gt;"},"properties":{"noteIndex":0},"schema":"https://github.com/citation-style-language/schema/raw/master/csl-citation.json"}</w:instrText>
      </w:r>
      <w:r w:rsidR="00F30A75" w:rsidRPr="00B909F3">
        <w:rPr>
          <w:rFonts w:ascii="Book Antiqua" w:hAnsi="Book Antiqua" w:cs="Arial"/>
          <w:szCs w:val="24"/>
          <w:vertAlign w:val="superscript"/>
        </w:rPr>
        <w:fldChar w:fldCharType="separate"/>
      </w:r>
      <w:r w:rsidR="00F30A75" w:rsidRPr="00B909F3">
        <w:rPr>
          <w:rFonts w:ascii="Book Antiqua" w:hAnsi="Book Antiqua" w:cs="Arial"/>
          <w:noProof/>
          <w:szCs w:val="24"/>
          <w:vertAlign w:val="superscript"/>
        </w:rPr>
        <w:t>11,30</w:t>
      </w:r>
      <w:r w:rsidR="00F30A75" w:rsidRPr="00B909F3">
        <w:rPr>
          <w:rFonts w:ascii="Book Antiqua" w:hAnsi="Book Antiqua" w:cs="Arial"/>
          <w:szCs w:val="24"/>
          <w:vertAlign w:val="superscript"/>
        </w:rPr>
        <w:fldChar w:fldCharType="end"/>
      </w:r>
      <w:r w:rsidR="00F30A75" w:rsidRPr="00B909F3">
        <w:rPr>
          <w:rFonts w:ascii="Book Antiqua" w:hAnsi="Book Antiqua" w:cs="Arial"/>
          <w:szCs w:val="24"/>
          <w:vertAlign w:val="superscript"/>
        </w:rPr>
        <w:t>]</w:t>
      </w:r>
      <w:r w:rsidR="00933E77" w:rsidRPr="00B909F3">
        <w:rPr>
          <w:rFonts w:ascii="Book Antiqua" w:hAnsi="Book Antiqua" w:cs="Arial"/>
          <w:szCs w:val="24"/>
        </w:rPr>
        <w:t>.</w:t>
      </w:r>
      <w:r w:rsidRPr="00B909F3">
        <w:rPr>
          <w:rFonts w:ascii="Book Antiqua" w:hAnsi="Book Antiqua" w:cs="Arial"/>
          <w:szCs w:val="24"/>
        </w:rPr>
        <w:t xml:space="preserve"> Studies have also shown that objective measures of physical function, such as walking distance or speed and grip strength, are also strong predictors of adverse liver transplant outcomes regardless of recipient age, size, or cause/severity of liver disease</w:t>
      </w:r>
      <w:r w:rsidR="00F30A75" w:rsidRPr="00B909F3">
        <w:rPr>
          <w:rFonts w:ascii="Book Antiqua" w:hAnsi="Book Antiqua" w:cs="Arial"/>
          <w:szCs w:val="24"/>
          <w:vertAlign w:val="superscript"/>
        </w:rPr>
        <w:t>[</w:t>
      </w:r>
      <w:r w:rsidR="00F30A75" w:rsidRPr="00B909F3">
        <w:rPr>
          <w:rFonts w:ascii="Book Antiqua" w:hAnsi="Book Antiqua" w:cs="Arial"/>
          <w:szCs w:val="24"/>
          <w:vertAlign w:val="superscript"/>
        </w:rPr>
        <w:fldChar w:fldCharType="begin" w:fldLock="1"/>
      </w:r>
      <w:r w:rsidR="00F30A75" w:rsidRPr="00B909F3">
        <w:rPr>
          <w:rFonts w:ascii="Book Antiqua" w:hAnsi="Book Antiqua" w:cs="Arial"/>
          <w:szCs w:val="24"/>
          <w:vertAlign w:val="superscript"/>
        </w:rPr>
        <w:instrText>ADDIN CSL_CITATION {"citationItems":[{"id":"ITEM-1","itemData":{"DOI":"10.1002/hep.26805","ISBN":"0270-9139","ISSN":"02709139","abstract":"Appropriate organ allocation must balance minimizing waitlist mortality and maximizing post-transplant outcomes. While MELD predicts waitlist death, additional metrics are needed to identify transplant candidates at risk for poor outcomes. Frailty, a syndrome of decreased physiologic reserve associated with adverse health outcomes, may provide a novel measure of risk stratification among candidates for transplantation. Single center prospective trial of patients referred for transplant evaluation and assessed for quality of life (sf36), depression, and frailty. The frailty instrument has 5 elements (walking speed, grip strength, unintentional weight loss, self-reported exhaustion, and weekly physical activity). Each element has criteria that indicate frailty, such that each patient has a frailty score between 0 (not frail) and 5 (highly frail). The frailty instrument has been validated in geriatrics but not studied in liver disease. Clinical data and outcomes were recorded for all patients, and deaths confirmed via the SSDMF. Since 2009, 502 subjects have been enrolled in the clinical trial, with median follow-up of 21 months (range 3-45 mos). Frailty was normally distributed among study subjects, and not correlated with age, sex, BMI, cause of liver disease, or number of comorbidities. Frailty was weakly positively correlated with MELD score (=0.25, P&lt;0.01), but mean MELD score among high frailty (3-5) and low frailty (0-2) subjects was equivalent (12.5). High frailty was associated with higher depression (6 vs. 3, P&lt;0.01), and decreased quality of life (sf36 32 vs. 53, P&lt;0.01). Pre-transplant mortality was increased among high frailty patients (HR=2.7, P=0.02), and interacted with high MELD to produce poor pre-transplant survival (median survival, high frailty with MELD&gt;15 = 6 mos). Among 73 patients in the study who underwent transplantation, 1-year survival was equivalent among high frailty and low frailty patients (90%). However, high frailty patients had higher rates of biliary complications (33 vs 20%), renal failure (29 vs 14%), discharge to a skilled nursing facility (20 vs 9.3%) and 90-day readmission rates (67 vs 43%). Reoperation rates increased in a linear fashion from 8% for nonfrail patients (score 0) to 100% in highly frail patients (score 5). Frailty is a useful risk stratification domain for liver transplant candidates associated with decreased pre-transplant survival and increased post-transplant complications and resource utilization…","author":[{"dropping-particle":"","family":"Sonnenday","given":"C J","non-dropping-particle":"","parse-names":false,"suffix":""},{"dropping-particle":"","family":"Volk","given":"Michael","non-dropping-particle":"","parse-names":false,"suffix":""},{"dropping-particle":"","family":"Englesbe","given":"M J","non-dropping-particle":"","parse-names":false,"suffix":""}],"container-title":"Hepatology","id":"ITEM-1","issue":"S1","issued":{"date-parts":[["2013"]]},"page":"249A-253A","title":"PBC, PSC, and autoimmune disease","type":"paper-conference","volume":"58"},"uris":["http://www.mendeley.com/documents/?uuid=3e535a52-bc6e-4400-aefc-4321f34bea85","http://www.mendeley.com/documents/?uuid=6e4f8d23-d305-4f4d-ad55-8a61572250cd"]}],"mendeley":{"formattedCitation":"&lt;sup&gt;29&lt;/sup&gt;","plainTextFormattedCitation":"29","previouslyFormattedCitation":"&lt;sup&gt;29&lt;/sup&gt;"},"properties":{"noteIndex":0},"schema":"https://github.com/citation-style-language/schema/raw/master/csl-citation.json"}</w:instrText>
      </w:r>
      <w:r w:rsidR="00F30A75" w:rsidRPr="00B909F3">
        <w:rPr>
          <w:rFonts w:ascii="Book Antiqua" w:hAnsi="Book Antiqua" w:cs="Arial"/>
          <w:szCs w:val="24"/>
          <w:vertAlign w:val="superscript"/>
        </w:rPr>
        <w:fldChar w:fldCharType="separate"/>
      </w:r>
      <w:r w:rsidR="00F30A75" w:rsidRPr="00B909F3">
        <w:rPr>
          <w:rFonts w:ascii="Book Antiqua" w:hAnsi="Book Antiqua" w:cs="Arial"/>
          <w:noProof/>
          <w:szCs w:val="24"/>
          <w:vertAlign w:val="superscript"/>
        </w:rPr>
        <w:t>29</w:t>
      </w:r>
      <w:r w:rsidR="00F30A75" w:rsidRPr="00B909F3">
        <w:rPr>
          <w:rFonts w:ascii="Book Antiqua" w:hAnsi="Book Antiqua" w:cs="Arial"/>
          <w:szCs w:val="24"/>
          <w:vertAlign w:val="superscript"/>
        </w:rPr>
        <w:fldChar w:fldCharType="end"/>
      </w:r>
      <w:r w:rsidR="00F30A75" w:rsidRPr="00B909F3">
        <w:rPr>
          <w:rFonts w:ascii="Book Antiqua" w:hAnsi="Book Antiqua" w:cs="Arial"/>
          <w:szCs w:val="24"/>
          <w:vertAlign w:val="superscript"/>
        </w:rPr>
        <w:t>]</w:t>
      </w:r>
      <w:r w:rsidR="00933E77" w:rsidRPr="00B909F3">
        <w:rPr>
          <w:rFonts w:ascii="Book Antiqua" w:hAnsi="Book Antiqua" w:cs="Arial"/>
          <w:szCs w:val="24"/>
        </w:rPr>
        <w:t>.</w:t>
      </w:r>
    </w:p>
    <w:p w14:paraId="0B9E64A0" w14:textId="77777777" w:rsidR="00AE2710" w:rsidRPr="00B909F3" w:rsidRDefault="00AE2710" w:rsidP="00197EDE">
      <w:pPr>
        <w:spacing w:after="0" w:line="360" w:lineRule="auto"/>
        <w:jc w:val="both"/>
        <w:rPr>
          <w:rFonts w:ascii="Book Antiqua" w:hAnsi="Book Antiqua" w:cs="Arial"/>
          <w:szCs w:val="24"/>
        </w:rPr>
      </w:pPr>
    </w:p>
    <w:p w14:paraId="5686FFA7" w14:textId="77777777" w:rsidR="00AE2710" w:rsidRPr="00B909F3" w:rsidRDefault="00AE2710" w:rsidP="00197EDE">
      <w:pPr>
        <w:spacing w:after="0" w:line="360" w:lineRule="auto"/>
        <w:jc w:val="both"/>
        <w:rPr>
          <w:rFonts w:ascii="Book Antiqua" w:hAnsi="Book Antiqua" w:cs="Arial"/>
          <w:b/>
          <w:i/>
          <w:iCs/>
          <w:szCs w:val="24"/>
        </w:rPr>
      </w:pPr>
      <w:r w:rsidRPr="00B909F3">
        <w:rPr>
          <w:rFonts w:ascii="Book Antiqua" w:hAnsi="Book Antiqua" w:cs="Arial"/>
          <w:b/>
          <w:i/>
          <w:iCs/>
          <w:szCs w:val="24"/>
        </w:rPr>
        <w:t>Implications</w:t>
      </w:r>
    </w:p>
    <w:p w14:paraId="0DFD42E4" w14:textId="58B2882F" w:rsidR="00F30A75" w:rsidRPr="00B909F3" w:rsidRDefault="00AE2710" w:rsidP="00197EDE">
      <w:pPr>
        <w:spacing w:after="0" w:line="360" w:lineRule="auto"/>
        <w:jc w:val="both"/>
        <w:rPr>
          <w:rFonts w:ascii="Book Antiqua" w:hAnsi="Book Antiqua" w:cs="Arial"/>
          <w:b/>
          <w:i/>
          <w:szCs w:val="24"/>
        </w:rPr>
      </w:pPr>
      <w:r w:rsidRPr="00B909F3">
        <w:rPr>
          <w:rFonts w:ascii="Book Antiqua" w:hAnsi="Book Antiqua" w:cs="Arial"/>
          <w:szCs w:val="24"/>
        </w:rPr>
        <w:t>Insight into a transplant patient’s global health status guides day-to-day clinical management, as well as transplant decisions, particularly in the face of contradictory laboratory or otherwise objective measures of pathological disease progression (</w:t>
      </w:r>
      <w:r w:rsidRPr="00B909F3">
        <w:rPr>
          <w:rFonts w:ascii="Book Antiqua" w:hAnsi="Book Antiqua" w:cs="Arial"/>
          <w:i/>
          <w:iCs/>
          <w:szCs w:val="24"/>
        </w:rPr>
        <w:t>e.g.</w:t>
      </w:r>
      <w:r w:rsidR="00F30A75" w:rsidRPr="00B909F3">
        <w:rPr>
          <w:rFonts w:ascii="Book Antiqua" w:hAnsi="Book Antiqua" w:cs="Arial"/>
          <w:szCs w:val="24"/>
        </w:rPr>
        <w:t>,</w:t>
      </w:r>
      <w:r w:rsidRPr="00B909F3">
        <w:rPr>
          <w:rFonts w:ascii="Book Antiqua" w:hAnsi="Book Antiqua" w:cs="Arial"/>
          <w:szCs w:val="24"/>
        </w:rPr>
        <w:t xml:space="preserve"> MELD score). Capturing such insight through the use of a quantitative physical health scale may help transplant teams to strategize and communicate complex medical and surgical management decisions with patients, families, and the many other members </w:t>
      </w:r>
      <w:r w:rsidRPr="00B909F3">
        <w:rPr>
          <w:rFonts w:ascii="Book Antiqua" w:hAnsi="Book Antiqua" w:cs="Arial"/>
          <w:noProof/>
          <w:szCs w:val="24"/>
        </w:rPr>
        <w:t>of</w:t>
      </w:r>
      <w:r w:rsidRPr="00B909F3">
        <w:rPr>
          <w:rFonts w:ascii="Book Antiqua" w:hAnsi="Book Antiqua" w:cs="Arial"/>
          <w:szCs w:val="24"/>
        </w:rPr>
        <w:t xml:space="preserve"> multidisciplinary transplant teams that provide longitudinal care for liver transplant patients.</w:t>
      </w:r>
    </w:p>
    <w:p w14:paraId="2FD3B070" w14:textId="77777777" w:rsidR="00F30A75" w:rsidRPr="00B909F3" w:rsidRDefault="00AE2710" w:rsidP="00197EDE">
      <w:pPr>
        <w:spacing w:after="0" w:line="360" w:lineRule="auto"/>
        <w:ind w:firstLineChars="100" w:firstLine="240"/>
        <w:jc w:val="both"/>
        <w:rPr>
          <w:rFonts w:ascii="Book Antiqua" w:hAnsi="Book Antiqua" w:cs="Arial"/>
          <w:b/>
          <w:i/>
          <w:szCs w:val="24"/>
        </w:rPr>
      </w:pPr>
      <w:r w:rsidRPr="00B909F3">
        <w:rPr>
          <w:rFonts w:ascii="Book Antiqua" w:hAnsi="Book Antiqua" w:cs="Arial"/>
          <w:szCs w:val="24"/>
        </w:rPr>
        <w:t>Knowledge of a patient’s functional status before transplant may practically assist transplant teams to anticipate, communicate, and coordinate resources for postoperative critical care, rehabilitation after discharge, and potentially longer-term occupational therapy to help patients recover physical health and quality of life</w:t>
      </w:r>
      <w:r w:rsidR="00F30A75" w:rsidRPr="00B909F3">
        <w:rPr>
          <w:rFonts w:ascii="Book Antiqua" w:hAnsi="Book Antiqua" w:cs="Arial"/>
          <w:szCs w:val="24"/>
          <w:vertAlign w:val="superscript"/>
        </w:rPr>
        <w:t>[</w:t>
      </w:r>
      <w:r w:rsidR="00F30A75" w:rsidRPr="00B909F3">
        <w:rPr>
          <w:rFonts w:ascii="Book Antiqua" w:hAnsi="Book Antiqua" w:cs="Arial"/>
          <w:szCs w:val="24"/>
          <w:vertAlign w:val="superscript"/>
        </w:rPr>
        <w:fldChar w:fldCharType="begin" w:fldLock="1"/>
      </w:r>
      <w:r w:rsidR="00F30A75" w:rsidRPr="00B909F3">
        <w:rPr>
          <w:rFonts w:ascii="Book Antiqua" w:hAnsi="Book Antiqua" w:cs="Arial"/>
          <w:szCs w:val="24"/>
          <w:vertAlign w:val="superscript"/>
        </w:rPr>
        <w:instrText>ADDIN CSL_CITATION {"citationItems":[{"id":"ITEM-1","itemData":{"DOI":"10.3109/07380577.2011.600427","ISBN":"1541-3098 (Electronic)\\n0738-0577 (Linking)","ISSN":"07380577","PMID":"23899078","abstract":"ABSTRACT Transplantation is the only viable treatment for end-stage liver failure. With advances in biomedicine and surgical technique, survival rates have improved and current research is beginning to focus on patient-related outcomes such as of quality of life (QOL) and life satisfaction. However, attention to the rehabilitation needs of those patients whose lives are saved, is lagging. Pretransplantation, there are serious strains to role function and limitations to mental and physical capacity. Following transplantation, the ability to perform once easy familiar tasks is difficult for a prolonged recovery period. Within a year many people do well, others do not. Little has been done for this latter group. The purpose of this article is to systematically describe the contributions occupational therapy can make to the people struggling with the challenges faced during the transplantation process. The first part presents a framework for understanding the impact of end-stage liver disease, then the transplant, and the subsequent recovery through the combination of two frameworks: the International Classification of Functioning Disability and Health (ICF) and the Model of Human Occupation. The second part of this article will present the implications for occupational therapists throughout seven stages: (1) decline in health, (2) organ failure, (3) referral for transplantation, (4) the waiting period, (5) the transplant surgery, (6) recovery, and (7) return of health. Attention to the needs of transplant recipients who lack the adaptive skills to resume productive lifestyles has the capacity to improve participation outcomes for this population.","author":[{"dropping-particle":"","family":"Scott","given":"P J","non-dropping-particle":"","parse-names":false,"suffix":""}],"container-title":"Occup Ther Health Care","id":"ITEM-1","issue":"4","issued":{"date-parts":[["2011"]]},"page":"240-256","title":"Occupational therapy services to enable liver patients to thrive following transplantation","type":"article-journal","volume":"25"},"uris":["http://www.mendeley.com/documents/?uuid=a27b1e0e-c5ff-465e-8a4e-8aeaa6f4c660","http://www.mendeley.com/documents/?uuid=a72a6689-420f-4a92-bfb5-1cbaa6968974"]}],"mendeley":{"formattedCitation":"&lt;sup&gt;37&lt;/sup&gt;","plainTextFormattedCitation":"37","previouslyFormattedCitation":"&lt;sup&gt;37&lt;/sup&gt;"},"properties":{"noteIndex":0},"schema":"https://github.com/citation-style-language/schema/raw/master/csl-citation.json"}</w:instrText>
      </w:r>
      <w:r w:rsidR="00F30A75" w:rsidRPr="00B909F3">
        <w:rPr>
          <w:rFonts w:ascii="Book Antiqua" w:hAnsi="Book Antiqua" w:cs="Arial"/>
          <w:szCs w:val="24"/>
          <w:vertAlign w:val="superscript"/>
        </w:rPr>
        <w:fldChar w:fldCharType="separate"/>
      </w:r>
      <w:r w:rsidR="00F30A75" w:rsidRPr="00B909F3">
        <w:rPr>
          <w:rFonts w:ascii="Book Antiqua" w:hAnsi="Book Antiqua" w:cs="Arial"/>
          <w:noProof/>
          <w:szCs w:val="24"/>
          <w:vertAlign w:val="superscript"/>
        </w:rPr>
        <w:t>37</w:t>
      </w:r>
      <w:r w:rsidR="00F30A75" w:rsidRPr="00B909F3">
        <w:rPr>
          <w:rFonts w:ascii="Book Antiqua" w:hAnsi="Book Antiqua" w:cs="Arial"/>
          <w:szCs w:val="24"/>
          <w:vertAlign w:val="superscript"/>
        </w:rPr>
        <w:fldChar w:fldCharType="end"/>
      </w:r>
      <w:r w:rsidR="00F30A75" w:rsidRPr="00B909F3">
        <w:rPr>
          <w:rFonts w:ascii="Book Antiqua" w:hAnsi="Book Antiqua" w:cs="Arial"/>
          <w:szCs w:val="24"/>
          <w:vertAlign w:val="superscript"/>
        </w:rPr>
        <w:t>]</w:t>
      </w:r>
      <w:r w:rsidR="00933E77" w:rsidRPr="00B909F3">
        <w:rPr>
          <w:rFonts w:ascii="Book Antiqua" w:hAnsi="Book Antiqua" w:cs="Arial"/>
          <w:szCs w:val="24"/>
        </w:rPr>
        <w:t>.</w:t>
      </w:r>
      <w:r w:rsidRPr="00B909F3">
        <w:rPr>
          <w:rFonts w:ascii="Book Antiqua" w:hAnsi="Book Antiqua" w:cs="Arial"/>
          <w:szCs w:val="24"/>
        </w:rPr>
        <w:t xml:space="preserve"> Many well-established risk factors for adverse outcomes among patients undergoing liver transplant may be unpredic</w:t>
      </w:r>
      <w:bookmarkStart w:id="27" w:name="_GoBack"/>
      <w:r w:rsidRPr="00B909F3">
        <w:rPr>
          <w:rFonts w:ascii="Book Antiqua" w:hAnsi="Book Antiqua" w:cs="Arial"/>
          <w:szCs w:val="24"/>
        </w:rPr>
        <w:t>table</w:t>
      </w:r>
      <w:bookmarkEnd w:id="27"/>
      <w:r w:rsidRPr="00B909F3">
        <w:rPr>
          <w:rFonts w:ascii="Book Antiqua" w:hAnsi="Book Antiqua" w:cs="Arial"/>
          <w:szCs w:val="24"/>
        </w:rPr>
        <w:t xml:space="preserve"> or sudden (spontaneous bacterial peritonitis), unavoidable (older age), and/or untreatable (portal vein thrombosis). Furthermore, many of the strongest predictors of adverse outcomes are present in a relatively small percentage of the liver </w:t>
      </w:r>
      <w:r w:rsidRPr="00B909F3">
        <w:rPr>
          <w:rFonts w:ascii="Book Antiqua" w:hAnsi="Book Antiqua" w:cs="Arial"/>
          <w:szCs w:val="24"/>
        </w:rPr>
        <w:lastRenderedPageBreak/>
        <w:t>transplant population. Many risk factors are unknown until very close to transplant time (</w:t>
      </w:r>
      <w:r w:rsidR="00F30A75" w:rsidRPr="00B909F3">
        <w:rPr>
          <w:rFonts w:ascii="Book Antiqua" w:hAnsi="Book Antiqua" w:cs="Arial"/>
          <w:i/>
          <w:iCs/>
          <w:szCs w:val="24"/>
        </w:rPr>
        <w:t>e.g.</w:t>
      </w:r>
      <w:r w:rsidR="00F30A75" w:rsidRPr="00B909F3">
        <w:rPr>
          <w:rFonts w:ascii="Book Antiqua" w:hAnsi="Book Antiqua" w:cs="Arial"/>
          <w:szCs w:val="24"/>
        </w:rPr>
        <w:t xml:space="preserve">, </w:t>
      </w:r>
      <w:r w:rsidRPr="00B909F3">
        <w:rPr>
          <w:rFonts w:ascii="Book Antiqua" w:hAnsi="Book Antiqua" w:cs="Arial"/>
          <w:szCs w:val="24"/>
        </w:rPr>
        <w:t xml:space="preserve">life support, cold ischemia time), whereas functional impairment can present very early and progress insidiously in end-stage liver disease patients over the course of waiting for an organ. All patients can also be assigned a value for functional status at baseline, which can be used as a reference point to assess change over time. While this scale is an all-encompassing global physical function measure and a patient can fall anywhere on the continuous scale, many risk factors considered in transplant decisions are individual dichotomous variables, which are usually assessed in combination with other risk factors that can take </w:t>
      </w:r>
      <w:r w:rsidRPr="00B909F3">
        <w:rPr>
          <w:rFonts w:ascii="Book Antiqua" w:hAnsi="Book Antiqua" w:cs="Arial"/>
          <w:noProof/>
          <w:szCs w:val="24"/>
        </w:rPr>
        <w:t>time</w:t>
      </w:r>
      <w:r w:rsidRPr="00B909F3">
        <w:rPr>
          <w:rFonts w:ascii="Book Antiqua" w:hAnsi="Book Antiqua" w:cs="Arial"/>
          <w:szCs w:val="24"/>
        </w:rPr>
        <w:t xml:space="preserve"> to accumulate. Thus, as functional status is a harbinger of adverse outcomes and may present early, it may be a useful clinical tracking tool that can be used for strategic care management.</w:t>
      </w:r>
    </w:p>
    <w:p w14:paraId="343E6E56" w14:textId="23E26F1B" w:rsidR="00AE2710" w:rsidRPr="00B909F3" w:rsidRDefault="00AE2710" w:rsidP="00197EDE">
      <w:pPr>
        <w:spacing w:after="0" w:line="360" w:lineRule="auto"/>
        <w:ind w:firstLineChars="100" w:firstLine="240"/>
        <w:jc w:val="both"/>
        <w:rPr>
          <w:rFonts w:ascii="Book Antiqua" w:hAnsi="Book Antiqua" w:cs="Arial"/>
          <w:b/>
          <w:i/>
          <w:szCs w:val="24"/>
        </w:rPr>
      </w:pPr>
      <w:r w:rsidRPr="00B909F3">
        <w:rPr>
          <w:rFonts w:ascii="Book Antiqua" w:hAnsi="Book Antiqua" w:cs="Arial"/>
          <w:szCs w:val="24"/>
        </w:rPr>
        <w:t>Promising interventional studies have also shown that “</w:t>
      </w:r>
      <w:proofErr w:type="spellStart"/>
      <w:r w:rsidRPr="00B909F3">
        <w:rPr>
          <w:rFonts w:ascii="Book Antiqua" w:hAnsi="Book Antiqua" w:cs="Arial"/>
          <w:szCs w:val="24"/>
        </w:rPr>
        <w:t>prehabilitation</w:t>
      </w:r>
      <w:proofErr w:type="spellEnd"/>
      <w:r w:rsidRPr="00B909F3">
        <w:rPr>
          <w:rFonts w:ascii="Book Antiqua" w:hAnsi="Book Antiqua" w:cs="Arial"/>
          <w:szCs w:val="24"/>
        </w:rPr>
        <w:t>”</w:t>
      </w:r>
      <w:r w:rsidR="00F30A75" w:rsidRPr="00B909F3">
        <w:rPr>
          <w:rFonts w:ascii="Book Antiqua" w:hAnsi="Book Antiqua" w:cs="Arial"/>
          <w:szCs w:val="24"/>
        </w:rPr>
        <w:t>,</w:t>
      </w:r>
      <w:r w:rsidRPr="00B909F3">
        <w:rPr>
          <w:rFonts w:ascii="Book Antiqua" w:hAnsi="Book Antiqua" w:cs="Arial"/>
          <w:szCs w:val="24"/>
        </w:rPr>
        <w:t xml:space="preserve"> physical therapy (</w:t>
      </w:r>
      <w:r w:rsidR="00F30A75" w:rsidRPr="00B909F3">
        <w:rPr>
          <w:rFonts w:ascii="Book Antiqua" w:hAnsi="Book Antiqua" w:cs="Arial"/>
          <w:i/>
          <w:iCs/>
          <w:szCs w:val="24"/>
        </w:rPr>
        <w:t>e.g.</w:t>
      </w:r>
      <w:r w:rsidR="00F30A75" w:rsidRPr="00B909F3">
        <w:rPr>
          <w:rFonts w:ascii="Book Antiqua" w:hAnsi="Book Antiqua" w:cs="Arial"/>
          <w:szCs w:val="24"/>
        </w:rPr>
        <w:t>,</w:t>
      </w:r>
      <w:r w:rsidRPr="00B909F3">
        <w:rPr>
          <w:rFonts w:ascii="Book Antiqua" w:hAnsi="Book Antiqua" w:cs="Arial"/>
          <w:szCs w:val="24"/>
        </w:rPr>
        <w:t xml:space="preserve"> strength training) and nutritional support, designed to improve functional status (or slow decline) in anticipation of a physiologic stressor such as surgery</w:t>
      </w:r>
      <w:r w:rsidR="00F30A75" w:rsidRPr="00B909F3">
        <w:rPr>
          <w:rFonts w:ascii="Book Antiqua" w:hAnsi="Book Antiqua" w:cs="Arial"/>
          <w:szCs w:val="24"/>
          <w:vertAlign w:val="superscript"/>
        </w:rPr>
        <w:t>[</w:t>
      </w:r>
      <w:r w:rsidR="00F30A75" w:rsidRPr="00B909F3">
        <w:rPr>
          <w:rFonts w:ascii="Book Antiqua" w:hAnsi="Book Antiqua" w:cs="Arial"/>
          <w:szCs w:val="24"/>
          <w:vertAlign w:val="superscript"/>
        </w:rPr>
        <w:fldChar w:fldCharType="begin" w:fldLock="1"/>
      </w:r>
      <w:r w:rsidR="00F30A75" w:rsidRPr="00B909F3">
        <w:rPr>
          <w:rFonts w:ascii="Book Antiqua" w:hAnsi="Book Antiqua" w:cs="Arial"/>
          <w:szCs w:val="24"/>
          <w:vertAlign w:val="superscript"/>
        </w:rPr>
        <w:instrText>ADDIN CSL_CITATION {"citationItems":[{"id":"ITEM-1","itemData":{"DOI":"10.1097/00044067-200205000-00011","ISBN":"1079-0713","ISSN":"10790713","PMID":"12011598","abstract":"Declines in physical activity that accompany an admission to an intensive care unit (ICU) represent a significant stress to the body. Decreases in physical activity have been demonstrated to result in losses in functional capacity of the musculoskeletal and cardiovascular systems. These two systems are central to achieving and maintaining functional independence, which is a prerequisite for discharge from a healthcare facility, as is independent functioning of the individual in the community setting. Whereas a decrease in physical activity will result in an attenuation in the functioning of the cardiovascular and musculoskeletal systems, increases in physical activity can stimulate gains in their functional capacity. The concept of improving the functional capacity of the body to withstand anticipated musculoskeletal stressors has had limited application to the effects of inactivity associated with an ICU admission. By increasing an individual's functional capacity through increased physical activity prior to an ICU admission, it seems reasonable that the patient would retain a higher level of functional capacity over their entire ICU admission. The process of enhancing functional capacity of the individual to enable them to withstand the stressor of inactivity associated with an admission to ICU is termed prehabilitation. A generic program of prehabilitation includes warm-up, aerobic, strength, flexibility, and functional task components. The initial level of prehabilitation training and the progression of the training will be different for each individual based upon their initial functional capacity and the degree to which they individually respond to increases in physical activity. Declines in physical activity among ICU patients represents a significant health risk that may be reduced through introducing prehabilitation interventions.","author":[{"dropping-particle":"","family":"Topp","given":"Robert","non-dropping-particle":"","parse-names":false,"suffix":""},{"dropping-particle":"","family":"Ditmyer","given":"Marcia","non-dropping-particle":"","parse-names":false,"suffix":""},{"dropping-particle":"","family":"King","given":"Karen","non-dropping-particle":"","parse-names":false,"suffix":""},{"dropping-particle":"","family":"Doherty","given":"Kristen","non-dropping-particle":"","parse-names":false,"suffix":""},{"dropping-particle":"","family":"Hornyak","given":"Joseph","non-dropping-particle":"","parse-names":false,"suffix":""}],"container-title":"AACN clinical issues","id":"ITEM-1","issue":"2","issued":{"date-parts":[["2002","5"]]},"page":"263-276","title":"The effect of bed rest and potential of prehabilitation on patients in the intensive care unit.","type":"article-journal","volume":"13"},"uris":["http://www.mendeley.com/documents/?uuid=b149b50f-e349-4269-b361-90c07eb6fa55","http://www.mendeley.com/documents/?uuid=f367e6df-62c5-4087-9b01-8e22d36a61e9"]},{"id":"ITEM-2","itemData":{"ISSN":"0744-6020","PMID":"12432699","abstract":"By improving an individual's functional capacity through increased physical activity before an anticipated orthopaedic procedure, it seems reasonable to assume that the individual will maintain a higher level of functional ability and rebound more rapidly in the rehabilitation process. Prehabilitation is the process of enhancing functional capacity of the individual to enable him or her to withstand the stressor of inactivity associated with an orthopaedic procedure. A generic prehabilitation program incorporates the components of warm-up, a cardiovascular component, resistance training, flexibility training, and practicing functional tasks.","author":[{"dropping-particle":"","family":"Ditmyer","given":"Marcia M","non-dropping-particle":"","parse-names":false,"suffix":""},{"dropping-particle":"","family":"Topp","given":"Robert","non-dropping-particle":"","parse-names":false,"suffix":""},{"dropping-particle":"","family":"Pifer","given":"Matthew","non-dropping-particle":"","parse-names":false,"suffix":""}],"container-title":"Orthopedic nursing","id":"ITEM-2","issue":"5","issued":{"date-parts":[["2002"]]},"page":"43-51; quiz 52-4","title":"Prehabilitation in preparation for orthopaedic surgery.","type":"article-journal","volume":"21"},"uris":["http://www.mendeley.com/documents/?uuid=fc8d87b5-c7de-4030-b912-55067cf19cff","http://www.mendeley.com/documents/?uuid=ff09bda6-f130-49e5-aa54-e7d443e377ae"]}],"mendeley":{"formattedCitation":"&lt;sup&gt;38,39&lt;/sup&gt;","plainTextFormattedCitation":"38,39","previouslyFormattedCitation":"&lt;sup&gt;38,39&lt;/sup&gt;"},"properties":{"noteIndex":0},"schema":"https://github.com/citation-style-language/schema/raw/master/csl-citation.json"}</w:instrText>
      </w:r>
      <w:r w:rsidR="00F30A75" w:rsidRPr="00B909F3">
        <w:rPr>
          <w:rFonts w:ascii="Book Antiqua" w:hAnsi="Book Antiqua" w:cs="Arial"/>
          <w:szCs w:val="24"/>
          <w:vertAlign w:val="superscript"/>
        </w:rPr>
        <w:fldChar w:fldCharType="separate"/>
      </w:r>
      <w:r w:rsidR="00F30A75" w:rsidRPr="00B909F3">
        <w:rPr>
          <w:rFonts w:ascii="Book Antiqua" w:hAnsi="Book Antiqua" w:cs="Arial"/>
          <w:noProof/>
          <w:szCs w:val="24"/>
          <w:vertAlign w:val="superscript"/>
        </w:rPr>
        <w:t>38,39</w:t>
      </w:r>
      <w:r w:rsidR="00F30A75" w:rsidRPr="00B909F3">
        <w:rPr>
          <w:rFonts w:ascii="Book Antiqua" w:hAnsi="Book Antiqua" w:cs="Arial"/>
          <w:szCs w:val="24"/>
          <w:vertAlign w:val="superscript"/>
        </w:rPr>
        <w:fldChar w:fldCharType="end"/>
      </w:r>
      <w:r w:rsidR="00F30A75" w:rsidRPr="00B909F3">
        <w:rPr>
          <w:rFonts w:ascii="Book Antiqua" w:hAnsi="Book Antiqua" w:cs="Arial"/>
          <w:szCs w:val="24"/>
          <w:vertAlign w:val="superscript"/>
        </w:rPr>
        <w:t>]</w:t>
      </w:r>
      <w:r w:rsidR="00933E77" w:rsidRPr="00B909F3">
        <w:rPr>
          <w:rFonts w:ascii="Book Antiqua" w:hAnsi="Book Antiqua" w:cs="Arial"/>
          <w:szCs w:val="24"/>
        </w:rPr>
        <w:t>,</w:t>
      </w:r>
      <w:r w:rsidRPr="00B909F3">
        <w:rPr>
          <w:rFonts w:ascii="Book Antiqua" w:hAnsi="Book Antiqua" w:cs="Arial"/>
          <w:szCs w:val="24"/>
        </w:rPr>
        <w:t xml:space="preserve"> is effective at improving postoperative recovery and outcomes after major abdominal surgery</w:t>
      </w:r>
      <w:r w:rsidR="00F30A75" w:rsidRPr="00B909F3">
        <w:rPr>
          <w:rFonts w:ascii="Book Antiqua" w:hAnsi="Book Antiqua" w:cs="Arial"/>
          <w:szCs w:val="24"/>
          <w:vertAlign w:val="superscript"/>
        </w:rPr>
        <w:t>[</w:t>
      </w:r>
      <w:r w:rsidR="00F30A75" w:rsidRPr="00B909F3">
        <w:rPr>
          <w:rFonts w:ascii="Book Antiqua" w:hAnsi="Book Antiqua" w:cs="Arial"/>
          <w:szCs w:val="24"/>
          <w:vertAlign w:val="superscript"/>
        </w:rPr>
        <w:fldChar w:fldCharType="begin" w:fldLock="1"/>
      </w:r>
      <w:r w:rsidR="00F30A75" w:rsidRPr="00B909F3">
        <w:rPr>
          <w:rFonts w:ascii="Book Antiqua" w:hAnsi="Book Antiqua" w:cs="Arial"/>
          <w:szCs w:val="24"/>
          <w:vertAlign w:val="superscript"/>
        </w:rPr>
        <w:instrText>ADDIN CSL_CITATION {"citationItems":[{"id":"ITEM-1","itemData":{"DOI":"10.1016/j.physio.2013.08.008","ISSN":"1873-1465","PMID":"24439570","abstract":"OBJECTIVE: To systematically review the evidence of pre-operative exercise, known as 'prehabilitation', on peri- and postoperative outcomes in adult surgical populations. DESIGN: Systematic review and meta-analysis. DATA SOURCES: CENTRAL, Medline, EMBASE, CINAHL, PsycINFO and PEDro were searched from 1950 to 2011. METHODS: Two reviewers independently examined relevant, English-language articles that examined the effects of pre-operative total-body exercise with peri- and postoperative outcome analysis. Given the nascence of this field, controlled and uncontrolled trials were included. Risk of bias was assessed using the Cochrane Risk of Bias Assessment tool. Only data on length of stay were considered eligible for meta-analysis due to the heterogeneity of measures and methodologies for assessing other outcomes. RESULTS: In total, 4597 citations were identified by the search strategy, of which 21 studies were included. Trials were generally small (median=54 participants) and of moderate to poor methodological quality. Compared with standard care, the majority of studies found that total-body prehabilitation improved postoperative pain, length of stay and physical function, but it was not consistently effective in improving health-related quality of life or aerobic fitness in the studies that examined these outcomes. The meta-analysis indicated that prehabilitation reduced postoperative length of stay with a small to moderate effect size (Hedges' g=-0.39, P=0.033). Intervention-related adverse events were reported in two of 669 exercising participants. CONCLUSION: The literature provides early evidence that prehabilitation may reduce length of stay and possibly provide postoperative physical benefits. Cautious interpretation of these findings is warranted given modest methodological quality and significant risk of bias.","author":[{"dropping-particle":"","family":"Santa Mina","given":"D","non-dropping-particle":"","parse-names":false,"suffix":""},{"dropping-particle":"","family":"Clarke","given":"H","non-dropping-particle":"","parse-names":false,"suffix":""},{"dropping-particle":"","family":"Ritvo","given":"P","non-dropping-particle":"","parse-names":false,"suffix":""},{"dropping-particle":"","family":"Leung","given":"Y W","non-dropping-particle":"","parse-names":false,"suffix":""},{"dropping-particle":"","family":"Matthew","given":"A G","non-dropping-particle":"","parse-names":false,"suffix":""},{"dropping-particle":"","family":"Katz","given":"J","non-dropping-particle":"","parse-names":false,"suffix":""},{"dropping-particle":"","family":"Trachtenberg","given":"J","non-dropping-particle":"","parse-names":false,"suffix":""},{"dropping-particle":"","family":"Alibhai","given":"S M H","non-dropping-particle":"","parse-names":false,"suffix":""}],"container-title":"Physiotherapy","id":"ITEM-1","issue":"3","issued":{"date-parts":[["2014","9"]]},"note":"sys review","page":"196-207","title":"Effect of total-body prehabilitation on postoperative outcomes: a systematic review and meta-analysis.","type":"article-journal","volume":"100"},"uris":["http://www.mendeley.com/documents/?uuid=739906ee-dfd6-4df8-84e6-de6bd11e43ba","http://www.mendeley.com/documents/?uuid=57ab84a5-6a9c-47c8-be06-9f669bdea151"]},{"id":"ITEM-2","itemData":{"DOI":"10.1097/ALN.0000000000000393","ISSN":"1528-1175","PMID":"25076007","abstract":"BACKGROUND: The preoperative period (prehabilitation) may represent a more appropriate time than the postoperative period to implement an intervention. The impact of prehabilitation on recovery of function al exercise capacity was thus studied in patients undergoing colorectal resection for cancer. METHODS: A parallel-arm single-blind superiority randomized controlled trial was conducted. Seventy-seven patients were randomized to receive either prehabilitation (n = 38) or rehabilitation (n = 39). Both groups received a home-based intervention of moderate aerobic and resistance exercises, nutritional counseling with protein supplementation, and relaxation exercises initiated either 4 weeks before surgery (prehabilitation) or immediately after surgery (rehabilitation), and continued for 8 weeks after surgery. Patients were managed with an enhanced recovery pathway. Primary outcome was functional exercise capacity measured using the validated 6-min walk test. RESULTS: Median duration of prehabilitation was 24.5 days. While awaiting surgery, functional walking capacity increased (≥20 m) in a higher proportion of the prehabilitation group compared with the rehabilitation group (53 vs. 15%, adjusted P = 0.006). Complication rates and duration of hospital stay were similar. The difference between baseline and 8-week 6-min walking test was significantly higher in the prehabilitation compared with the rehabilitation group (+23.7 m [SD, 54.8] vs. -21.8 m [SD, 80.7]; mean difference 45.4 m [95% CI, 13.9 to 77.0]). A higher proportion of the prehabilitation group were also recovered to or above baseline exercise capacity at 8 weeks compared with the rehabilitation group (84 vs. 62%, adjusted P = 0.049). CONCLUSION: Meaningful changes in postoperative functional exercise capacity can be achieved with a prehabilitation program.","author":[{"dropping-particle":"","family":"Gillis","given":"Chelsia","non-dropping-particle":"","parse-names":false,"suffix":""},{"dropping-particle":"","family":"Li","given":"Chao","non-dropping-particle":"","parse-names":false,"suffix":""},{"dropping-particle":"","family":"Lee","given":"Lawrence","non-dropping-particle":"","parse-names":false,"suffix":""},{"dropping-particle":"","family":"Awasthi","given":"Rashami","non-dropping-particle":"","parse-names":false,"suffix":""},{"dropping-particle":"","family":"Augustin","given":"Berson","non-dropping-particle":"","parse-names":false,"suffix":""},{"dropping-particle":"","family":"Gamsa","given":"Ann","non-dropping-particle":"","parse-names":false,"suffix":""},{"dropping-particle":"","family":"Liberman","given":"A Sender","non-dropping-particle":"","parse-names":false,"suffix":""},{"dropping-particle":"","family":"Stein","given":"Barry","non-dropping-particle":"","parse-names":false,"suffix":""},{"dropping-particle":"","family":"Charlebois","given":"Patrick","non-dropping-particle":"","parse-names":false,"suffix":""},{"dropping-particle":"","family":"Feldman","given":"Liane S","non-dropping-particle":"","parse-names":false,"suffix":""},{"dropping-particle":"","family":"Carli","given":"Francesco","non-dropping-particle":"","parse-names":false,"suffix":""}],"container-title":"Anesthesiology","id":"ITEM-2","issue":"5","issued":{"date-parts":[["2014","11"]]},"page":"937-47","title":"Prehabilitation versus Rehabilitation: A Randomized Control Trial in Patients Undergoing Colorectal Resection for Cancer.","type":"article-journal","volume":"121"},"uris":["http://www.mendeley.com/documents/?uuid=904d0ba5-2f33-489d-808b-19c19e9b20a1","http://www.mendeley.com/documents/?uuid=17fa9120-40b3-46b7-b441-edac22993f8e"]},{"id":"ITEM-3","itemData":{"DOI":"10.1007/s00464-012-2560-5","ISSN":"1432-2218","PMID":"23052535","abstract":"BACKGROUND: Patients undergoing colorectal cancer resections are at risk for delayed recovery. Prehabilitation aims to enhance functional capacity preoperatively for better toleration of surgery and to facilitate recovery. The authors previously demonstrated the limited impact of a prehabilitation program using exercise alone. They propose an expanded trimodal prehabilitation program that adds nutritional counseling, protein supplementation, and anxiety reduction to a moderate exercise program. This study aimed to estimate the impact of this trimodal program on the recovery of functional capacity compared with standard surgical care. METHODS: Consecutive patients were enrolled in this pre- and postintervention study over a 23-month period. The postoperative recovery for 42 consecutive patients enrolled in the prehabilitation program was compared with that of 45 patients assessed before the intervention began. The primary outcome was functional walking capacity (6-min walk test [6MWT]). The secondary outcomes included self-reported physical activity (CHAMPS questionnaire) and health-related quality of life (SF-36). Data are expressed as mean ± standard deviation or median (interquartile range [IQR]) and were analyzed using Chi-square and Student's t test. All p values lower than 0.05 were considered significant. RESULTS: The prehabilitation and control groups were comparable in terms of age, gender, body mass index (BMI) and American Society of Anesthesiology (ASA) class. There was no difference in walking capacity at the first assessment (6MWT distance, 422 ± 87 vs 402 ± 57 m; p = 0.21). During the prehabilitation period lasting a median of 33 days (range, 21-46 days), functional walking capacity improved by 40 ± 40 m (p &lt; 0.01). The postoperative complication rates and the hospital length of stay were similar. The patients in the prehabilitation program had better postoperative walking capacity at both 4 weeks (mean difference, 51.5 ± 93 m; p = 0.01) and 8 weeks (mean difference, 84.5 ± 83 m; p &lt; 0.01). At 8 weeks, 81 % of the prehabilitated patients were recovered compared with 40 % of the control group (p &lt; 0.01). The prehabilitation group also reported higher levels of physical activity before and after surgery. CONCLUSION: In this pilot study, a 1-month trimodal prehabilitation program improved postoperative functional recovery. A randomized trial is ongoing (NCT01356264).","author":[{"dropping-particle":"","family":"Li","given":"Chao","non-dropping-particle":"","parse-names":false,"suffix":""},{"dropping-particle":"","family":"Carli","given":"Francesco","non-dropping-particle":"","parse-names":false,"suffix":""},{"dropping-particle":"","family":"Lee","given":"Lawrence","non-dropping-particle":"","parse-names":false,"suffix":""},{"dropping-particle":"","family":"Charlebois","given":"Patrick","non-dropping-particle":"","parse-names":false,"suffix":""},{"dropping-particle":"","family":"Stein","given":"Barry","non-dropping-particle":"","parse-names":false,"suffix":""},{"dropping-particle":"","family":"Liberman","given":"Alexander S","non-dropping-particle":"","parse-names":false,"suffix":""},{"dropping-particle":"","family":"Kaneva","given":"Pepa","non-dropping-particle":"","parse-names":false,"suffix":""},{"dropping-particle":"","family":"Augustin","given":"Berson","non-dropping-particle":"","parse-names":false,"suffix":""},{"dropping-particle":"","family":"Wongyingsinn","given":"Mingkwan","non-dropping-particle":"","parse-names":false,"suffix":""},{"dropping-particle":"","family":"Gamsa","given":"Ann","non-dropping-particle":"","parse-names":false,"suffix":""},{"dropping-particle":"","family":"Kim","given":"Do Jun","non-dropping-particle":"","parse-names":false,"suffix":""},{"dropping-particle":"","family":"Vassiliou","given":"Melina C","non-dropping-particle":"","parse-names":false,"suffix":""},{"dropping-particle":"","family":"Feldman","given":"Liane S","non-dropping-particle":"","parse-names":false,"suffix":""}],"container-title":"Surgical endoscopy","id":"ITEM-3","issue":"4","issued":{"date-parts":[["2013","4"]]},"page":"1072-82","title":"Impact of a trimodal prehabilitation program on functional recovery after colorectal cancer surgery: a pilot study.","type":"article-journal","volume":"27"},"uris":["http://www.mendeley.com/documents/?uuid=0fefc65d-957d-4932-96dc-f5495b6bdd29","http://www.mendeley.com/documents/?uuid=57fec351-faea-4cb3-a605-b2320498fcff"]},{"id":"ITEM-4","itemData":{"DOI":"10.1016/j.surg.2011.07.045","ISBN":"0039-6060","ISSN":"00396060","PMID":"21878237","abstract":"Background: Abdominal surgery represents a physiologic stress and is associated with a period of recovery during which functional capacity is often diminished. \"Prehabilitation\" is a program to increase functional capacity in anticipation of an upcoming stressor. We reported recently the results of a randomized trial comparing 2 prehabilitation programs before colorectal surgery (stationary cycling plus weight training versus a recommendation to increase walking coupled with breathing exercises); however, adherence to the programs was low. The objectives of this study were to estimate: (1) the extent to which physical function could be improved with either prehabilitation program and identify variables associated with response; and (2) the impact of change in preoperative function on postoperative recovery. Methods: This study involved a reanalysis of data arising from a randomized trial. The primary outcome measure was functional walking capacity measured by the Six-Minute Walk Test; secondary outcomes were anxiety, depression, health-related quality of life, and complications (Clavien classification). Multiple linear regression was used to estimate the extent to which key variables predicted change in functional walking capacity over the prehabilitation and follow-up periods. Results: We included 95 people who completed the prehabilitation phase (median, 38 days; interquartile range, 22-60), and 75 who were also evaluated postoperatively (mean, 9 weeks). During prehabilitation, 33% improved their physical function, 38% stayed within 20 m of their baseline score, and 29% deteriorated. Among those who improved, mental health, vitality, self-perceived health, and peak exercise capacity also increased significantly. Women were less likely to improve; low baseline walking capacity, anxiety, and the belief that fitness aids recovery were associated with improvements during prehabilitation. In the postoperative phase, the patients who had improved during prehabilitation were also more likely to have recovered to their baseline walking capacity than those with no change or deterioration (77% vs 59% and 32%; P =.0007). Patients who deteriorated were at greater risk of complications requiring reoperation and/or intensive care management. Significant predictors of poorer recovery included deterioration during prehabilitation, age &gt;75 years, high anxiety, complications requiring intervention, and timing of follow-up assessment. Conclusion: In a group of patients …","author":[{"dropping-particle":"","family":"Mayo","given":"Nancy E.","non-dropping-particle":"","parse-names":false,"suffix":""},{"dropping-particle":"","family":"Feldman","given":"Liane","non-dropping-particle":"","parse-names":false,"suffix":""},{"dropping-particle":"","family":"Scott","given":"Susan","non-dropping-particle":"","parse-names":false,"suffix":""},{"dropping-particle":"","family":"Zavorsky","given":"Gerald","non-dropping-particle":"","parse-names":false,"suffix":""},{"dropping-particle":"","family":"Kim","given":"Do Jun","non-dropping-particle":"","parse-names":false,"suffix":""},{"dropping-particle":"","family":"Charlebois","given":"Patrick","non-dropping-particle":"","parse-names":false,"suffix":""},{"dropping-particle":"","family":"Stein","given":"Barry","non-dropping-particle":"","parse-names":false,"suffix":""},{"dropping-particle":"","family":"Carli","given":"Francesco","non-dropping-particle":"","parse-names":false,"suffix":""}],"container-title":"Surgery","id":"ITEM-4","issue":"3","issued":{"date-parts":[["2011","9"]]},"page":"505-514","title":"Impact of preoperative change in physical function on postoperative recovery: Argument supporting prehabilitation for colorectal surgery","type":"article-journal","volume":"150"},"uris":["http://www.mendeley.com/documents/?uuid=885782a2-a5cf-445d-8523-659d95720f7b","http://www.mendeley.com/documents/?uuid=657973b2-e188-42fb-9eca-f08f334d2986"]},{"id":"ITEM-5","itemData":{"DOI":"10.1097/00075197-200501000-00005","ISBN":"1363-1950","ISSN":"13631950","PMID":"15585997","abstract":"Purpose of review: There are several studies on the effect of exercise post surgery (rehabilitation), but few studies have looked at augmenting functional capacity prior to surgical admission (prehabilitation). A programme of prehabilitation is proposed in order to enhance functional exercise capacity in elderly patients with the intent to minimize the postoperative morbidity and accelerate postsurgical recovery. Recent findings: Few studies have looked at exercise prehabilitation to improve functional capacity prior to surgical admission. Prehabilitation prior to orthopaedic surgery does not seem to improve quality of life or recovery. However, prehabilitation prior to abdominal or cardiac surgery, based on 275 elderly patients, results in fewer postoperative complications, shorter postoperative length of stay, improved quality of life, and reduced declines in functional disability compared to sedentary controls. Summary: A concentrated 3-month progressive exercise prehabilitation programme consisting of aerobic training at 45-65% of maximal heart rate reserve (%HRR) along with periodic high-intensity interval training (</w:instrText>
      </w:r>
      <w:r w:rsidR="00F30A75" w:rsidRPr="00B909F3">
        <w:rPr>
          <w:rFonts w:ascii="Cambria Math" w:hAnsi="Cambria Math" w:cs="Cambria Math"/>
          <w:szCs w:val="24"/>
          <w:vertAlign w:val="superscript"/>
        </w:rPr>
        <w:instrText>∼</w:instrText>
      </w:r>
      <w:r w:rsidR="00F30A75" w:rsidRPr="00B909F3">
        <w:rPr>
          <w:rFonts w:ascii="Book Antiqua" w:hAnsi="Book Antiqua" w:cs="Arial"/>
          <w:szCs w:val="24"/>
          <w:vertAlign w:val="superscript"/>
        </w:rPr>
        <w:instrText>90% HRR) four times per week, 30-50 minutes per session, is recommended for improving cardiovascular functioning. A strength training programme of about 10 different exercises focused on large, multi-jointed muscle groups should also be implemented twice per week at a mean training intensity of 80% of one-repetition maximum. Finally, a minimum of 140 g (</w:instrText>
      </w:r>
      <w:r w:rsidR="00F30A75" w:rsidRPr="00B909F3">
        <w:rPr>
          <w:rFonts w:ascii="Cambria Math" w:hAnsi="Cambria Math" w:cs="Cambria Math"/>
          <w:szCs w:val="24"/>
          <w:vertAlign w:val="superscript"/>
        </w:rPr>
        <w:instrText>∼</w:instrText>
      </w:r>
      <w:r w:rsidR="00F30A75" w:rsidRPr="00B909F3">
        <w:rPr>
          <w:rFonts w:ascii="Book Antiqua" w:hAnsi="Book Antiqua" w:cs="Arial"/>
          <w:szCs w:val="24"/>
          <w:vertAlign w:val="superscript"/>
        </w:rPr>
        <w:instrText>560 kcal) of carbohydrate (CHO) should be taken 3 h before training to increase liver and muscle glycogen stores and a minimum of about 200 kcal of mixed protein-CHO should be ingested within 30 min following training to enhance muscle hypertrophy. © 2005 Lippincott Williams &amp; Wilkins.","author":[{"dropping-particle":"","family":"Carli","given":"Franco","non-dropping-particle":"","parse-names":false,"suffix":""},{"dropping-particle":"","family":"Zavorsky","given":"Gerald S.","non-dropping-particle":"","parse-names":false,"suffix":""}],"container-title":"Current Opinion in Clinical Nutrition and Metabolic Care","id":"ITEM-5","issue":"1","issued":{"date-parts":[["2005","1"]]},"page":"23-32","title":"Optimizing functional exercise capacity in the elderly surgical population","type":"article-journal","volume":"8"},"uris":["http://www.mendeley.com/documents/?uuid=3621396c-dae6-49d1-a260-9f349e4028b5","http://www.mendeley.com/documents/?uuid=5498f165-b437-405e-af36-1ceaadc314dc"]}],"mendeley":{"formattedCitation":"&lt;sup&gt;40–44&lt;/sup&gt;","plainTextFormattedCitation":"40–44","previouslyFormattedCitation":"&lt;sup&gt;40–44&lt;/sup&gt;"},"properties":{"noteIndex":0},"schema":"https://github.com/citation-style-language/schema/raw/master/csl-citation.json"}</w:instrText>
      </w:r>
      <w:r w:rsidR="00F30A75" w:rsidRPr="00B909F3">
        <w:rPr>
          <w:rFonts w:ascii="Book Antiqua" w:hAnsi="Book Antiqua" w:cs="Arial"/>
          <w:szCs w:val="24"/>
          <w:vertAlign w:val="superscript"/>
        </w:rPr>
        <w:fldChar w:fldCharType="separate"/>
      </w:r>
      <w:r w:rsidR="00F30A75" w:rsidRPr="00B909F3">
        <w:rPr>
          <w:rFonts w:ascii="Book Antiqua" w:hAnsi="Book Antiqua" w:cs="Arial"/>
          <w:noProof/>
          <w:szCs w:val="24"/>
          <w:vertAlign w:val="superscript"/>
        </w:rPr>
        <w:t>40-44</w:t>
      </w:r>
      <w:r w:rsidR="00F30A75" w:rsidRPr="00B909F3">
        <w:rPr>
          <w:rFonts w:ascii="Book Antiqua" w:hAnsi="Book Antiqua" w:cs="Arial"/>
          <w:szCs w:val="24"/>
          <w:vertAlign w:val="superscript"/>
        </w:rPr>
        <w:fldChar w:fldCharType="end"/>
      </w:r>
      <w:r w:rsidR="00F30A75" w:rsidRPr="00B909F3">
        <w:rPr>
          <w:rFonts w:ascii="Book Antiqua" w:hAnsi="Book Antiqua" w:cs="Arial"/>
          <w:szCs w:val="24"/>
          <w:vertAlign w:val="superscript"/>
        </w:rPr>
        <w:t>]</w:t>
      </w:r>
      <w:r w:rsidR="00933E77" w:rsidRPr="00B909F3">
        <w:rPr>
          <w:rFonts w:ascii="Book Antiqua" w:hAnsi="Book Antiqua" w:cs="Arial"/>
          <w:szCs w:val="24"/>
        </w:rPr>
        <w:t>.</w:t>
      </w:r>
      <w:r w:rsidRPr="00B909F3">
        <w:rPr>
          <w:rFonts w:ascii="Book Antiqua" w:hAnsi="Book Antiqua" w:cs="Arial"/>
          <w:szCs w:val="24"/>
        </w:rPr>
        <w:t xml:space="preserve"> Although none of these studies focused on liver transplant patients, several included cohorts that similarly have a high likelihood of becoming frail due malnutrition, inflammation, and sarcopenia (</w:t>
      </w:r>
      <w:r w:rsidR="00F30A75" w:rsidRPr="00B909F3">
        <w:rPr>
          <w:rFonts w:ascii="Book Antiqua" w:hAnsi="Book Antiqua" w:cs="Arial"/>
          <w:i/>
          <w:iCs/>
          <w:szCs w:val="24"/>
        </w:rPr>
        <w:t>e.g.</w:t>
      </w:r>
      <w:r w:rsidR="00F30A75" w:rsidRPr="00B909F3">
        <w:rPr>
          <w:rFonts w:ascii="Book Antiqua" w:hAnsi="Book Antiqua" w:cs="Arial"/>
          <w:szCs w:val="24"/>
        </w:rPr>
        <w:t>,</w:t>
      </w:r>
      <w:r w:rsidRPr="00B909F3">
        <w:rPr>
          <w:rFonts w:ascii="Book Antiqua" w:hAnsi="Book Antiqua" w:cs="Arial"/>
          <w:szCs w:val="24"/>
        </w:rPr>
        <w:t xml:space="preserve"> cancer patients</w:t>
      </w:r>
      <w:r w:rsidR="00F30A75" w:rsidRPr="00B909F3">
        <w:rPr>
          <w:rFonts w:ascii="Book Antiqua" w:hAnsi="Book Antiqua" w:cs="Arial"/>
          <w:szCs w:val="24"/>
          <w:vertAlign w:val="superscript"/>
        </w:rPr>
        <w:t>[</w:t>
      </w:r>
      <w:r w:rsidRPr="00B909F3">
        <w:rPr>
          <w:rFonts w:ascii="Book Antiqua" w:hAnsi="Book Antiqua" w:cs="Arial"/>
          <w:szCs w:val="24"/>
          <w:vertAlign w:val="superscript"/>
        </w:rPr>
        <w:fldChar w:fldCharType="begin" w:fldLock="1"/>
      </w:r>
      <w:r w:rsidR="00542FCD" w:rsidRPr="00B909F3">
        <w:rPr>
          <w:rFonts w:ascii="Book Antiqua" w:hAnsi="Book Antiqua" w:cs="Arial"/>
          <w:szCs w:val="24"/>
          <w:vertAlign w:val="superscript"/>
        </w:rPr>
        <w:instrText>ADDIN CSL_CITATION {"citationItems":[{"id":"ITEM-1","itemData":{"DOI":"10.1097/ALN.0000000000000393","ISSN":"1528-1175","PMID":"25076007","abstract":"BACKGROUND: The preoperative period (prehabilitation) may represent a more appropriate time than the postoperative period to implement an intervention. The impact of prehabilitation on recovery of function al exercise capacity was thus studied in patients undergoing colorectal resection for cancer. METHODS: A parallel-arm single-blind superiority randomized controlled trial was conducted. Seventy-seven patients were randomized to receive either prehabilitation (n = 38) or rehabilitation (n = 39). Both groups received a home-based intervention of moderate aerobic and resistance exercises, nutritional counseling with protein supplementation, and relaxation exercises initiated either 4 weeks before surgery (prehabilitation) or immediately after surgery (rehabilitation), and continued for 8 weeks after surgery. Patients were managed with an enhanced recovery pathway. Primary outcome was functional exercise capacity measured using the validated 6-min walk test. RESULTS: Median duration of prehabilitation was 24.5 days. While awaiting surgery, functional walking capacity increased (≥20 m) in a higher proportion of the prehabilitation group compared with the rehabilitation group (53 vs. 15%, adjusted P = 0.006). Complication rates and duration of hospital stay were similar. The difference between baseline and 8-week 6-min walking test was significantly higher in the prehabilitation compared with the rehabilitation group (+23.7 m [SD, 54.8] vs. -21.8 m [SD, 80.7]; mean difference 45.4 m [95% CI, 13.9 to 77.0]). A higher proportion of the prehabilitation group were also recovered to or above baseline exercise capacity at 8 weeks compared with the rehabilitation group (84 vs. 62%, adjusted P = 0.049). CONCLUSION: Meaningful changes in postoperative functional exercise capacity can be achieved with a prehabilitation program.","author":[{"dropping-particle":"","family":"Gillis","given":"Chelsia","non-dropping-particle":"","parse-names":false,"suffix":""},{"dropping-particle":"","family":"Li","given":"Chao","non-dropping-particle":"","parse-names":false,"suffix":""},{"dropping-particle":"","family":"Lee","given":"Lawrence","non-dropping-particle":"","parse-names":false,"suffix":""},{"dropping-particle":"","family":"Awasthi","given":"Rashami","non-dropping-particle":"","parse-names":false,"suffix":""},{"dropping-particle":"","family":"Augustin","given":"Berson","non-dropping-particle":"","parse-names":false,"suffix":""},{"dropping-particle":"","family":"Gamsa","given":"Ann","non-dropping-particle":"","parse-names":false,"suffix":""},{"dropping-particle":"","family":"Liberman","given":"A Sender","non-dropping-particle":"","parse-names":false,"suffix":""},{"dropping-particle":"","family":"Stein","given":"Barry","non-dropping-particle":"","parse-names":false,"suffix":""},{"dropping-particle":"","family":"Charlebois","given":"Patrick","non-dropping-particle":"","parse-names":false,"suffix":""},{"dropping-particle":"","family":"Feldman","given":"Liane S","non-dropping-particle":"","parse-names":false,"suffix":""},{"dropping-particle":"","family":"Carli","given":"Francesco","non-dropping-particle":"","parse-names":false,"suffix":""}],"container-title":"Anesthesiology","id":"ITEM-1","issue":"5","issued":{"date-parts":[["2014","11"]]},"page":"937-47","title":"Prehabilitation versus Rehabilitation: A Randomized Control Trial in Patients Undergoing Colorectal Resection for Cancer.","type":"article-journal","volume":"121"},"uris":["http://www.mendeley.com/documents/?uuid=17fa9120-40b3-46b7-b441-edac22993f8e","http://www.mendeley.com/documents/?uuid=904d0ba5-2f33-489d-808b-19c19e9b20a1"]},{"id":"ITEM-2","itemData":{"DOI":"10.1007/s00464-012-2560-5","ISSN":"1432-2218","PMID":"23052535","abstract":"BACKGROUND: Patients undergoing colorectal cancer resections are at risk for delayed recovery. Prehabilitation aims to enhance functional capacity preoperatively for better toleration of surgery and to facilitate recovery. The authors previously demonstrated the limited impact of a prehabilitation program using exercise alone. They propose an expanded trimodal prehabilitation program that adds nutritional counseling, protein supplementation, and anxiety reduction to a moderate exercise program. This study aimed to estimate the impact of this trimodal program on the recovery of functional capacity compared with standard surgical care. METHODS: Consecutive patients were enrolled in this pre- and postintervention study over a 23-month period. The postoperative recovery for 42 consecutive patients enrolled in the prehabilitation program was compared with that of 45 patients assessed before the intervention began. The primary outcome was functional walking capacity (6-min walk test [6MWT]). The secondary outcomes included self-reported physical activity (CHAMPS questionnaire) and health-related quality of life (SF-36). Data are expressed as mean ± standard deviation or median (interquartile range [IQR]) and were analyzed using Chi-square and Student's t test. All p values lower than 0.05 were considered significant. RESULTS: The prehabilitation and control groups were comparable in terms of age, gender, body mass index (BMI) and American Society of Anesthesiology (ASA) class. There was no difference in walking capacity at the first assessment (6MWT distance, 422 ± 87 vs 402 ± 57 m; p = 0.21). During the prehabilitation period lasting a median of 33 days (range, 21-46 days), functional walking capacity improved by 40 ± 40 m (p &lt; 0.01). The postoperative complication rates and the hospital length of stay were similar. The patients in the prehabilitation program had better postoperative walking capacity at both 4 weeks (mean difference, 51.5 ± 93 m; p = 0.01) and 8 weeks (mean difference, 84.5 ± 83 m; p &lt; 0.01). At 8 weeks, 81 % of the prehabilitated patients were recovered compared with 40 % of the control group (p &lt; 0.01). The prehabilitation group also reported higher levels of physical activity before and after surgery. CONCLUSION: In this pilot study, a 1-month trimodal prehabilitation program improved postoperative functional recovery. A randomized trial is ongoing (NCT01356264).","author":[{"dropping-particle":"","family":"Li","given":"Chao","non-dropping-particle":"","parse-names":false,"suffix":""},{"dropping-particle":"","family":"Carli","given":"Francesco","non-dropping-particle":"","parse-names":false,"suffix":""},{"dropping-particle":"","family":"Lee","given":"Lawrence","non-dropping-particle":"","parse-names":false,"suffix":""},{"dropping-particle":"","family":"Charlebois","given":"Patrick","non-dropping-particle":"","parse-names":false,"suffix":""},{"dropping-particle":"","family":"Stein","given":"Barry","non-dropping-particle":"","parse-names":false,"suffix":""},{"dropping-particle":"","family":"Liberman","given":"Alexander S","non-dropping-particle":"","parse-names":false,"suffix":""},{"dropping-particle":"","family":"Kaneva","given":"Pepa","non-dropping-particle":"","parse-names":false,"suffix":""},{"dropping-particle":"","family":"Augustin","given":"Berson","non-dropping-particle":"","parse-names":false,"suffix":""},{"dropping-particle":"","family":"Wongyingsinn","given":"Mingkwan","non-dropping-particle":"","parse-names":false,"suffix":""},{"dropping-particle":"","family":"Gamsa","given":"Ann","non-dropping-particle":"","parse-names":false,"suffix":""},{"dropping-particle":"","family":"Kim","given":"Do Jun","non-dropping-particle":"","parse-names":false,"suffix":""},{"dropping-particle":"","family":"Vassiliou","given":"Melina C","non-dropping-particle":"","parse-names":false,"suffix":""},{"dropping-particle":"","family":"Feldman","given":"Liane S","non-dropping-particle":"","parse-names":false,"suffix":""}],"container-title":"Surgical endoscopy","id":"ITEM-2","issue":"4","issued":{"date-parts":[["2013","4"]]},"page":"1072-82","title":"Impact of a trimodal prehabilitation program on functional recovery after colorectal cancer surgery: a pilot study.","type":"article-journal","volume":"27"},"uris":["http://www.mendeley.com/documents/?uuid=57fec351-faea-4cb3-a605-b2320498fcff","http://www.mendeley.com/documents/?uuid=0fefc65d-957d-4932-96dc-f5495b6bdd29","http://www.mendeley.com/documents/?uuid=5dd59969-f24e-4157-94a4-4e7d96bc712a"]}],"mendeley":{"formattedCitation":"&lt;sup&gt;41,42&lt;/sup&gt;","plainTextFormattedCitation":"41,42","previouslyFormattedCitation":"&lt;sup&gt;41,42&lt;/sup&gt;"},"properties":{"noteIndex":0},"schema":"https://github.com/citation-style-language/schema/raw/master/csl-citation.json"}</w:instrText>
      </w:r>
      <w:r w:rsidRPr="00B909F3">
        <w:rPr>
          <w:rFonts w:ascii="Book Antiqua" w:hAnsi="Book Antiqua" w:cs="Arial"/>
          <w:szCs w:val="24"/>
          <w:vertAlign w:val="superscript"/>
        </w:rPr>
        <w:fldChar w:fldCharType="separate"/>
      </w:r>
      <w:r w:rsidR="00542FCD" w:rsidRPr="00B909F3">
        <w:rPr>
          <w:rFonts w:ascii="Book Antiqua" w:hAnsi="Book Antiqua" w:cs="Arial"/>
          <w:noProof/>
          <w:szCs w:val="24"/>
          <w:vertAlign w:val="superscript"/>
        </w:rPr>
        <w:t>41,42</w:t>
      </w:r>
      <w:r w:rsidRPr="00B909F3">
        <w:rPr>
          <w:rFonts w:ascii="Book Antiqua" w:hAnsi="Book Antiqua" w:cs="Arial"/>
          <w:szCs w:val="24"/>
          <w:vertAlign w:val="superscript"/>
        </w:rPr>
        <w:fldChar w:fldCharType="end"/>
      </w:r>
      <w:r w:rsidR="00F30A75" w:rsidRPr="00B909F3">
        <w:rPr>
          <w:rFonts w:ascii="Book Antiqua" w:hAnsi="Book Antiqua" w:cs="Arial"/>
          <w:szCs w:val="24"/>
          <w:vertAlign w:val="superscript"/>
        </w:rPr>
        <w:t>]</w:t>
      </w:r>
      <w:r w:rsidRPr="00B909F3">
        <w:rPr>
          <w:rFonts w:ascii="Book Antiqua" w:hAnsi="Book Antiqua" w:cs="Arial"/>
          <w:szCs w:val="24"/>
        </w:rPr>
        <w:t xml:space="preserve"> and older populations</w:t>
      </w:r>
      <w:r w:rsidR="00F30A75" w:rsidRPr="00B909F3">
        <w:rPr>
          <w:rFonts w:ascii="Book Antiqua" w:hAnsi="Book Antiqua" w:cs="Arial"/>
          <w:szCs w:val="24"/>
          <w:vertAlign w:val="superscript"/>
        </w:rPr>
        <w:t>[</w:t>
      </w:r>
      <w:r w:rsidRPr="00B909F3">
        <w:rPr>
          <w:rFonts w:ascii="Book Antiqua" w:hAnsi="Book Antiqua" w:cs="Arial"/>
          <w:szCs w:val="24"/>
          <w:vertAlign w:val="superscript"/>
        </w:rPr>
        <w:fldChar w:fldCharType="begin" w:fldLock="1"/>
      </w:r>
      <w:r w:rsidR="00542FCD" w:rsidRPr="00B909F3">
        <w:rPr>
          <w:rFonts w:ascii="Book Antiqua" w:hAnsi="Book Antiqua" w:cs="Arial"/>
          <w:szCs w:val="24"/>
          <w:vertAlign w:val="superscript"/>
        </w:rPr>
        <w:instrText>ADDIN CSL_CITATION {"citationItems":[{"id":"ITEM-1","itemData":{"DOI":"10.1097/00075197-200501000-00005","ISBN":"1363-1950","ISSN":"13631950","PMID":"15585997","abstract":"Purpose of review: There are several studies on the effect of exercise post surgery (rehabilitation), but few studies have looked at augmenting functional capacity prior to surgical admission (prehabilitation). A programme of prehabilitation is proposed in order to enhance functional exercise capacity in elderly patients with the intent to minimize the postoperative morbidity and accelerate postsurgical recovery. Recent findings: Few studies have looked at exercise prehabilitation to improve functional capacity prior to surgical admission. Prehabilitation prior to orthopaedic surgery does not seem to improve quality of life or recovery. However, prehabilitation prior to abdominal or cardiac surgery, based on 275 elderly patients, results in fewer postoperative complications, shorter postoperative length of stay, improved quality of life, and reduced declines in functional disability compared to sedentary controls. Summary: A concentrated 3-month progressive exercise prehabilitation programme consisting of aerobic training at 45-65% of maximal heart rate reserve (%HRR) along with periodic high-intensity interval training (</w:instrText>
      </w:r>
      <w:r w:rsidR="00542FCD" w:rsidRPr="00B909F3">
        <w:rPr>
          <w:rFonts w:ascii="Cambria Math" w:hAnsi="Cambria Math" w:cs="Cambria Math"/>
          <w:szCs w:val="24"/>
          <w:vertAlign w:val="superscript"/>
        </w:rPr>
        <w:instrText>∼</w:instrText>
      </w:r>
      <w:r w:rsidR="00542FCD" w:rsidRPr="00B909F3">
        <w:rPr>
          <w:rFonts w:ascii="Book Antiqua" w:hAnsi="Book Antiqua" w:cs="Arial"/>
          <w:szCs w:val="24"/>
          <w:vertAlign w:val="superscript"/>
        </w:rPr>
        <w:instrText>90% HRR) four times per week, 30-50 minutes per session, is recommended for improving cardiovascular functioning. A strength training programme of about 10 different exercises focused on large, multi-jointed muscle groups should also be implemented twice per week at a mean training intensity of 80% of one-repetition maximum. Finally, a minimum of 140 g (</w:instrText>
      </w:r>
      <w:r w:rsidR="00542FCD" w:rsidRPr="00B909F3">
        <w:rPr>
          <w:rFonts w:ascii="Cambria Math" w:hAnsi="Cambria Math" w:cs="Cambria Math"/>
          <w:szCs w:val="24"/>
          <w:vertAlign w:val="superscript"/>
        </w:rPr>
        <w:instrText>∼</w:instrText>
      </w:r>
      <w:r w:rsidR="00542FCD" w:rsidRPr="00B909F3">
        <w:rPr>
          <w:rFonts w:ascii="Book Antiqua" w:hAnsi="Book Antiqua" w:cs="Arial"/>
          <w:szCs w:val="24"/>
          <w:vertAlign w:val="superscript"/>
        </w:rPr>
        <w:instrText>560 kcal) of carbohydrate (CHO) should be taken 3 h before training to increase liver and muscle glycogen stores and a minimum of about 200 kcal of mixed protein-CHO should be ingested within 30 min following training to enhance muscle hypertrophy. © 2005 Lippincott Williams &amp; Wilkins.","author":[{"dropping-particle":"","family":"Carli","given":"Franco","non-dropping-particle":"","parse-names":false,"suffix":""},{"dropping-particle":"","family":"Zavorsky","given":"Gerald S.","non-dropping-particle":"","parse-names":false,"suffix":""}],"container-title":"Current Opinion in Clinical Nutrition and Metabolic Care","id":"ITEM-1","issue":"1","issued":{"date-parts":[["2005","1"]]},"page":"23-32","title":"Optimizing functional exercise capacity in the elderly surgical population","type":"article-journal","volume":"8"},"uris":["http://www.mendeley.com/documents/?uuid=5498f165-b437-405e-af36-1ceaadc314dc","http://www.mendeley.com/documents/?uuid=3621396c-dae6-49d1-a260-9f349e4028b5"]},{"id":"ITEM-2","itemData":{"DOI":"10.1016/j.surg.2011.07.045","ISBN":"0039-6060","ISSN":"00396060","PMID":"21878237","abstract":"Background: Abdominal surgery represents a physiologic stress and is associated with a period of recovery during which functional capacity is often diminished. \"Prehabilitation\" is a program to increase functional capacity in anticipation of an upcoming stressor. We reported recently the results of a randomized trial comparing 2 prehabilitation programs before colorectal surgery (stationary cycling plus weight training versus a recommendation to increase walking coupled with breathing exercises); however, adherence to the programs was low. The objectives of this study were to estimate: (1) the extent to which physical function could be improved with either prehabilitation program and identify variables associated with response; and (2) the impact of change in preoperative function on postoperative recovery. Methods: This study involved a reanalysis of data arising from a randomized trial. The primary outcome measure was functional walking capacity measured by the Six-Minute Walk Test; secondary outcomes were anxiety, depression, health-related quality of life, and complications (Clavien classification). Multiple linear regression was used to estimate the extent to which key variables predicted change in functional walking capacity over the prehabilitation and follow-up periods. Results: We included 95 people who completed the prehabilitation phase (median, 38 days; interquartile range, 22-60), and 75 who were also evaluated postoperatively (mean, 9 weeks). During prehabilitation, 33% improved their physical function, 38% stayed within 20 m of their baseline score, and 29% deteriorated. Among those who improved, mental health, vitality, self-perceived health, and peak exercise capacity also increased significantly. Women were less likely to improve; low baseline walking capacity, anxiety, and the belief that fitness aids recovery were associated with improvements during prehabilitation. In the postoperative phase, the patients who had improved during prehabilitation were also more likely to have recovered to their baseline walking capacity than those with no change or deterioration (77% vs 59% and 32%; P =.0007). Patients who deteriorated were at greater risk of complications requiring reoperation and/or intensive care management. Significant predictors of poorer recovery included deterioration during prehabilitation, age &gt;75 years, high anxiety, complications requiring intervention, and timing of follow-up assessment. Conclusion: In a group of patients …","author":[{"dropping-particle":"","family":"Mayo","given":"Nancy E.","non-dropping-particle":"","parse-names":false,"suffix":""},{"dropping-particle":"","family":"Feldman","given":"Liane","non-dropping-particle":"","parse-names":false,"suffix":""},{"dropping-particle":"","family":"Scott","given":"Susan","non-dropping-particle":"","parse-names":false,"suffix":""},{"dropping-particle":"","family":"Zavorsky","given":"Gerald","non-dropping-particle":"","parse-names":false,"suffix":""},{"dropping-particle":"","family":"Kim","given":"Do Jun","non-dropping-particle":"","parse-names":false,"suffix":""},{"dropping-particle":"","family":"Charlebois","given":"Patrick","non-dropping-particle":"","parse-names":false,"suffix":""},{"dropping-particle":"","family":"Stein","given":"Barry","non-dropping-particle":"","parse-names":false,"suffix":""},{"dropping-particle":"","family":"Carli","given":"Francesco","non-dropping-particle":"","parse-names":false,"suffix":""}],"container-title":"Surgery","id":"ITEM-2","issue":"3","issued":{"date-parts":[["2011","9"]]},"page":"505-514","title":"Impact of preoperative change in physical function on postoperative recovery: Argument supporting prehabilitation for colorectal surgery","type":"article-journal","volume":"150"},"uris":["http://www.mendeley.com/documents/?uuid=657973b2-e188-42fb-9eca-f08f334d2986","http://www.mendeley.com/documents/?uuid=885782a2-a5cf-445d-8523-659d95720f7b","http://www.mendeley.com/documents/?uuid=e8125080-f39a-457c-bc3d-d4000b37d01e"]}],"mendeley":{"formattedCitation":"&lt;sup&gt;43,44&lt;/sup&gt;","plainTextFormattedCitation":"43,44","previouslyFormattedCitation":"&lt;sup&gt;43,44&lt;/sup&gt;"},"properties":{"noteIndex":0},"schema":"https://github.com/citation-style-language/schema/raw/master/csl-citation.json"}</w:instrText>
      </w:r>
      <w:r w:rsidRPr="00B909F3">
        <w:rPr>
          <w:rFonts w:ascii="Book Antiqua" w:hAnsi="Book Antiqua" w:cs="Arial"/>
          <w:szCs w:val="24"/>
          <w:vertAlign w:val="superscript"/>
        </w:rPr>
        <w:fldChar w:fldCharType="separate"/>
      </w:r>
      <w:r w:rsidR="00542FCD" w:rsidRPr="00B909F3">
        <w:rPr>
          <w:rFonts w:ascii="Book Antiqua" w:hAnsi="Book Antiqua" w:cs="Arial"/>
          <w:noProof/>
          <w:szCs w:val="24"/>
          <w:vertAlign w:val="superscript"/>
        </w:rPr>
        <w:t>43,44</w:t>
      </w:r>
      <w:r w:rsidRPr="00B909F3">
        <w:rPr>
          <w:rFonts w:ascii="Book Antiqua" w:hAnsi="Book Antiqua" w:cs="Arial"/>
          <w:szCs w:val="24"/>
          <w:vertAlign w:val="superscript"/>
        </w:rPr>
        <w:fldChar w:fldCharType="end"/>
      </w:r>
      <w:r w:rsidR="00F30A75" w:rsidRPr="00B909F3">
        <w:rPr>
          <w:rFonts w:ascii="Book Antiqua" w:hAnsi="Book Antiqua" w:cs="Arial"/>
          <w:szCs w:val="24"/>
          <w:vertAlign w:val="superscript"/>
        </w:rPr>
        <w:t>]</w:t>
      </w:r>
      <w:r w:rsidRPr="00B909F3">
        <w:rPr>
          <w:rFonts w:ascii="Book Antiqua" w:hAnsi="Book Antiqua" w:cs="Arial"/>
          <w:szCs w:val="24"/>
        </w:rPr>
        <w:t xml:space="preserve">). </w:t>
      </w:r>
      <w:proofErr w:type="spellStart"/>
      <w:r w:rsidRPr="00B909F3">
        <w:rPr>
          <w:rFonts w:ascii="Book Antiqua" w:hAnsi="Book Antiqua" w:cs="Arial"/>
          <w:szCs w:val="24"/>
        </w:rPr>
        <w:t>Prehabilitation</w:t>
      </w:r>
      <w:proofErr w:type="spellEnd"/>
      <w:r w:rsidRPr="00B909F3">
        <w:rPr>
          <w:rFonts w:ascii="Book Antiqua" w:hAnsi="Book Antiqua" w:cs="Arial"/>
          <w:szCs w:val="24"/>
        </w:rPr>
        <w:t xml:space="preserve"> has the potential for providing clinicians with a way to not only recognize, but also slow or prevent decline to the point of “Severe” impairment/disability. However, more research on </w:t>
      </w:r>
      <w:r w:rsidRPr="00B909F3">
        <w:rPr>
          <w:rFonts w:ascii="Book Antiqua" w:hAnsi="Book Antiqua" w:cs="Arial"/>
          <w:noProof/>
          <w:szCs w:val="24"/>
        </w:rPr>
        <w:t>prehabilitation</w:t>
      </w:r>
      <w:r w:rsidRPr="00B909F3">
        <w:rPr>
          <w:rFonts w:ascii="Book Antiqua" w:hAnsi="Book Antiqua" w:cs="Arial"/>
          <w:szCs w:val="24"/>
        </w:rPr>
        <w:t xml:space="preserve"> specific to a liver disease population is warranted. Frailty due to liver failure may not respond to the same interventions that have successfully </w:t>
      </w:r>
      <w:r w:rsidRPr="00B909F3">
        <w:rPr>
          <w:rFonts w:ascii="Book Antiqua" w:hAnsi="Book Antiqua" w:cs="Arial"/>
          <w:noProof/>
          <w:szCs w:val="24"/>
        </w:rPr>
        <w:t xml:space="preserve">slowed </w:t>
      </w:r>
      <w:r w:rsidRPr="00B909F3">
        <w:rPr>
          <w:rFonts w:ascii="Book Antiqua" w:hAnsi="Book Antiqua" w:cs="Arial"/>
          <w:szCs w:val="24"/>
        </w:rPr>
        <w:t xml:space="preserve">progression of </w:t>
      </w:r>
      <w:r w:rsidRPr="00B909F3">
        <w:rPr>
          <w:rFonts w:ascii="Book Antiqua" w:hAnsi="Book Antiqua" w:cs="Arial"/>
          <w:noProof/>
          <w:szCs w:val="24"/>
        </w:rPr>
        <w:t>frailty due to aging</w:t>
      </w:r>
      <w:r w:rsidRPr="00B909F3">
        <w:rPr>
          <w:rFonts w:ascii="Book Antiqua" w:hAnsi="Book Antiqua" w:cs="Arial"/>
          <w:szCs w:val="24"/>
        </w:rPr>
        <w:t xml:space="preserve"> as there may be fundamental differences in etiology and pathogenesis between these populations that may limit their effectiveness</w:t>
      </w:r>
      <w:r w:rsidR="00F30A75" w:rsidRPr="00B909F3">
        <w:rPr>
          <w:rFonts w:ascii="Book Antiqua" w:hAnsi="Book Antiqua" w:cs="Arial"/>
          <w:szCs w:val="24"/>
          <w:vertAlign w:val="superscript"/>
        </w:rPr>
        <w:t>[</w:t>
      </w:r>
      <w:r w:rsidR="00F30A75" w:rsidRPr="00B909F3">
        <w:rPr>
          <w:rFonts w:ascii="Book Antiqua" w:hAnsi="Book Antiqua" w:cs="Arial"/>
          <w:noProof/>
          <w:szCs w:val="24"/>
          <w:vertAlign w:val="superscript"/>
        </w:rPr>
        <w:fldChar w:fldCharType="begin" w:fldLock="1"/>
      </w:r>
      <w:r w:rsidR="00F30A75" w:rsidRPr="00B909F3">
        <w:rPr>
          <w:rFonts w:ascii="Book Antiqua" w:hAnsi="Book Antiqua" w:cs="Arial"/>
          <w:noProof/>
          <w:szCs w:val="24"/>
          <w:vertAlign w:val="superscript"/>
        </w:rPr>
        <w:instrText>ADDIN CSL_CITATION {"citationItems":[{"id":"ITEM-1","itemData":{"DOI":"10.1097/01.mco.0000049044.06038.30","ISSN":"1363-1950","PMID":"12496684","abstract":"PURPOSE OF REVIEW: Liver cirrhosis in the advanced state is characterized by protein wasting, as indicated by the loss of muscle mass, hypoalbuminemia, and an abnormal amino acid profile. The protein wasting condition cirrhosis is associated with a poor prognosis and reduced survival. Poor nutrition, metabolic and hormonal abnormalities, and other disease-associated alterations may all concur to protein wasting. An understanding of the causes and mechanisms leading to protein wasting in cirrhosis may help in the development of nutritional interventions and new therapies. RECENT FINDINGS: Albumin and muscle protein turnover in cirrhotic patients have been studied in vivo with the aid of isotope dilution techniques or organ catheterization. Albumin synthesis appears to parallel liver function, i.e. the more compromised is the liver, the less is the albumin production rate. Meal-induced albumin synthesis is impaired even in compensated cirrhotic patients. Skeletal muscle protein synthesis is diminished in cirrhosis, and total muscle protein breakdown also appears to be increased, thus explaining the reduced muscle mass. Either hormone or substrate resistance, or newly involved substances (cytokines, insulin-like growth factor 1, leptin) may play a role in the reduced synthesis of both albumin and muscle proteins in liver cirrhosis. SUMMARY: Abnormalities of both albumin and muscle protein turnover have been demonstrated in liver cirrhotic patients. The possible role of the multiple hormonal and metabolic abnormalities of this disease, as well that of cytokines and other recently discovered substances, need to be investigated further.","author":[{"dropping-particle":"","family":"Tessari","given":"Paolo","non-dropping-particle":"","parse-names":false,"suffix":""}],"container-title":"Current opinion in clinical nutrition and metabolic care","id":"ITEM-1","issue":"1","issued":{"date-parts":[["2003","1"]]},"page":"79-85","title":"Protein metabolism in liver cirrhosis: from albumin to muscle myofibrils.","type":"article-journal","volume":"6"},"uris":["http://www.mendeley.com/documents/?uuid=12b63f19-7f2f-4f12-b062-4b6810af8907","http://www.mendeley.com/documents/?uuid=34680b43-8fbe-4d0b-bf89-eb11e0043336"]}],"mendeley":{"formattedCitation":"&lt;sup&gt;45&lt;/sup&gt;","plainTextFormattedCitation":"45","previouslyFormattedCitation":"&lt;sup&gt;45&lt;/sup&gt;"},"properties":{"noteIndex":0},"schema":"https://github.com/citation-style-language/schema/raw/master/csl-citation.json"}</w:instrText>
      </w:r>
      <w:r w:rsidR="00F30A75" w:rsidRPr="00B909F3">
        <w:rPr>
          <w:rFonts w:ascii="Book Antiqua" w:hAnsi="Book Antiqua" w:cs="Arial"/>
          <w:noProof/>
          <w:szCs w:val="24"/>
          <w:vertAlign w:val="superscript"/>
        </w:rPr>
        <w:fldChar w:fldCharType="separate"/>
      </w:r>
      <w:r w:rsidR="00F30A75" w:rsidRPr="00B909F3">
        <w:rPr>
          <w:rFonts w:ascii="Book Antiqua" w:hAnsi="Book Antiqua" w:cs="Arial"/>
          <w:noProof/>
          <w:szCs w:val="24"/>
          <w:vertAlign w:val="superscript"/>
        </w:rPr>
        <w:t>45</w:t>
      </w:r>
      <w:r w:rsidR="00F30A75" w:rsidRPr="00B909F3">
        <w:rPr>
          <w:rFonts w:ascii="Book Antiqua" w:hAnsi="Book Antiqua" w:cs="Arial"/>
          <w:noProof/>
          <w:szCs w:val="24"/>
          <w:vertAlign w:val="superscript"/>
        </w:rPr>
        <w:fldChar w:fldCharType="end"/>
      </w:r>
      <w:r w:rsidR="00F30A75" w:rsidRPr="00B909F3">
        <w:rPr>
          <w:rFonts w:ascii="Book Antiqua" w:hAnsi="Book Antiqua" w:cs="Arial"/>
          <w:noProof/>
          <w:szCs w:val="24"/>
          <w:vertAlign w:val="superscript"/>
        </w:rPr>
        <w:t>]</w:t>
      </w:r>
      <w:r w:rsidR="000E0550" w:rsidRPr="00B909F3">
        <w:rPr>
          <w:rFonts w:ascii="Book Antiqua" w:hAnsi="Book Antiqua" w:cs="Arial"/>
          <w:szCs w:val="24"/>
        </w:rPr>
        <w:t>.</w:t>
      </w:r>
    </w:p>
    <w:p w14:paraId="5A1BB3FB" w14:textId="541F4CD6" w:rsidR="00AE2710" w:rsidRPr="00B909F3" w:rsidRDefault="00AE2710" w:rsidP="00197EDE">
      <w:pPr>
        <w:spacing w:after="0" w:line="360" w:lineRule="auto"/>
        <w:jc w:val="both"/>
        <w:rPr>
          <w:rFonts w:ascii="Book Antiqua" w:hAnsi="Book Antiqua" w:cs="Arial"/>
          <w:b/>
          <w:szCs w:val="24"/>
        </w:rPr>
      </w:pPr>
    </w:p>
    <w:p w14:paraId="73D47CBF" w14:textId="5720DB68" w:rsidR="00AE2710" w:rsidRPr="00B909F3" w:rsidRDefault="00AE2710" w:rsidP="00197EDE">
      <w:pPr>
        <w:spacing w:after="0" w:line="360" w:lineRule="auto"/>
        <w:jc w:val="both"/>
        <w:rPr>
          <w:rFonts w:ascii="Book Antiqua" w:hAnsi="Book Antiqua" w:cs="Arial"/>
          <w:b/>
          <w:i/>
          <w:iCs/>
          <w:szCs w:val="24"/>
        </w:rPr>
      </w:pPr>
      <w:r w:rsidRPr="00B909F3">
        <w:rPr>
          <w:rFonts w:ascii="Book Antiqua" w:hAnsi="Book Antiqua" w:cs="Arial"/>
          <w:b/>
          <w:i/>
          <w:iCs/>
          <w:szCs w:val="24"/>
        </w:rPr>
        <w:t xml:space="preserve">Strengths and </w:t>
      </w:r>
      <w:r w:rsidR="00F30A75" w:rsidRPr="00B909F3">
        <w:rPr>
          <w:rFonts w:ascii="Book Antiqua" w:hAnsi="Book Antiqua" w:cs="Arial"/>
          <w:b/>
          <w:i/>
          <w:iCs/>
          <w:szCs w:val="24"/>
        </w:rPr>
        <w:t>limitations</w:t>
      </w:r>
    </w:p>
    <w:p w14:paraId="3AFC28F0" w14:textId="77777777" w:rsidR="00F30A75" w:rsidRPr="00B909F3" w:rsidRDefault="00AE2710" w:rsidP="00197EDE">
      <w:pPr>
        <w:spacing w:after="0" w:line="360" w:lineRule="auto"/>
        <w:jc w:val="both"/>
        <w:rPr>
          <w:rFonts w:ascii="Book Antiqua" w:hAnsi="Book Antiqua" w:cs="Arial"/>
          <w:b/>
          <w:szCs w:val="24"/>
        </w:rPr>
      </w:pPr>
      <w:r w:rsidRPr="00B909F3">
        <w:rPr>
          <w:rFonts w:ascii="Book Antiqua" w:hAnsi="Book Antiqua" w:cs="Arial"/>
          <w:szCs w:val="24"/>
        </w:rPr>
        <w:t xml:space="preserve">Strengths of this study include its use of the SRTR with complete capture of every solid organ transplant in the </w:t>
      </w:r>
      <w:r w:rsidR="00F30A75" w:rsidRPr="00B909F3">
        <w:rPr>
          <w:rFonts w:ascii="Book Antiqua" w:hAnsi="Book Antiqua" w:cs="Arial"/>
          <w:szCs w:val="24"/>
        </w:rPr>
        <w:t>United States</w:t>
      </w:r>
      <w:r w:rsidRPr="00B909F3">
        <w:rPr>
          <w:rFonts w:ascii="Book Antiqua" w:hAnsi="Book Antiqua" w:cs="Arial"/>
          <w:szCs w:val="24"/>
        </w:rPr>
        <w:t xml:space="preserve"> since 1987, including waitlist, donor, follow-up, and external data file linkages (</w:t>
      </w:r>
      <w:r w:rsidR="00F30A75" w:rsidRPr="00B909F3">
        <w:rPr>
          <w:rFonts w:ascii="Book Antiqua" w:hAnsi="Book Antiqua" w:cs="Arial"/>
          <w:i/>
          <w:iCs/>
          <w:szCs w:val="24"/>
        </w:rPr>
        <w:t>e.g.</w:t>
      </w:r>
      <w:r w:rsidR="00F30A75" w:rsidRPr="00B909F3">
        <w:rPr>
          <w:rFonts w:ascii="Book Antiqua" w:hAnsi="Book Antiqua" w:cs="Arial"/>
          <w:szCs w:val="24"/>
        </w:rPr>
        <w:t>,</w:t>
      </w:r>
      <w:r w:rsidRPr="00B909F3">
        <w:rPr>
          <w:rFonts w:ascii="Book Antiqua" w:hAnsi="Book Antiqua" w:cs="Arial"/>
          <w:szCs w:val="24"/>
        </w:rPr>
        <w:t xml:space="preserve"> Social Security Death Master File). Mandated reporting of </w:t>
      </w:r>
      <w:r w:rsidRPr="00B909F3">
        <w:rPr>
          <w:rFonts w:ascii="Book Antiqua" w:hAnsi="Book Antiqua" w:cs="Arial"/>
          <w:szCs w:val="24"/>
        </w:rPr>
        <w:lastRenderedPageBreak/>
        <w:t xml:space="preserve">KPS providing more than a decade of nationally representative data on functional status is also a major strength of our </w:t>
      </w:r>
      <w:r w:rsidRPr="00B909F3">
        <w:rPr>
          <w:rFonts w:ascii="Book Antiqua" w:hAnsi="Book Antiqua" w:cs="Arial"/>
          <w:noProof/>
          <w:szCs w:val="24"/>
        </w:rPr>
        <w:t>investigation.</w:t>
      </w:r>
    </w:p>
    <w:p w14:paraId="6D14B9D8" w14:textId="77777777" w:rsidR="00F30A75" w:rsidRPr="00B909F3" w:rsidRDefault="002669C9" w:rsidP="00197EDE">
      <w:pPr>
        <w:spacing w:after="0" w:line="360" w:lineRule="auto"/>
        <w:ind w:firstLineChars="100" w:firstLine="240"/>
        <w:jc w:val="both"/>
        <w:rPr>
          <w:rFonts w:ascii="Book Antiqua" w:eastAsia="SimSun" w:hAnsi="Book Antiqua" w:cs="Arial"/>
          <w:b/>
          <w:szCs w:val="24"/>
          <w:lang w:eastAsia="zh-CN"/>
        </w:rPr>
      </w:pPr>
      <w:r w:rsidRPr="00B909F3">
        <w:rPr>
          <w:rFonts w:ascii="Book Antiqua" w:hAnsi="Book Antiqua" w:cs="Arial"/>
          <w:szCs w:val="24"/>
        </w:rPr>
        <w:t xml:space="preserve">This study is limited by reliance on the less-than-ideal </w:t>
      </w:r>
      <w:r w:rsidR="00021C5A" w:rsidRPr="00B909F3">
        <w:rPr>
          <w:rFonts w:ascii="Book Antiqua" w:hAnsi="Book Antiqua" w:cs="Arial"/>
          <w:szCs w:val="24"/>
        </w:rPr>
        <w:t>KPS</w:t>
      </w:r>
      <w:r w:rsidRPr="00B909F3">
        <w:rPr>
          <w:rFonts w:ascii="Book Antiqua" w:hAnsi="Book Antiqua" w:cs="Arial"/>
          <w:szCs w:val="24"/>
        </w:rPr>
        <w:t xml:space="preserve"> scale as</w:t>
      </w:r>
      <w:r w:rsidR="00953009" w:rsidRPr="00B909F3">
        <w:rPr>
          <w:rFonts w:ascii="Book Antiqua" w:hAnsi="Book Antiqua" w:cs="Arial"/>
          <w:szCs w:val="24"/>
        </w:rPr>
        <w:t xml:space="preserve"> it is</w:t>
      </w:r>
      <w:r w:rsidRPr="00B909F3">
        <w:rPr>
          <w:rFonts w:ascii="Book Antiqua" w:hAnsi="Book Antiqua" w:cs="Arial"/>
          <w:szCs w:val="24"/>
        </w:rPr>
        <w:t xml:space="preserve"> the only available measure of functional status in the SRTR</w:t>
      </w:r>
      <w:r w:rsidR="00AE2710" w:rsidRPr="00B909F3">
        <w:rPr>
          <w:rFonts w:ascii="Book Antiqua" w:hAnsi="Book Antiqua" w:cs="Arial"/>
          <w:noProof/>
          <w:szCs w:val="24"/>
        </w:rPr>
        <w:t xml:space="preserve">. </w:t>
      </w:r>
      <w:r w:rsidRPr="00B909F3">
        <w:rPr>
          <w:rFonts w:ascii="Book Antiqua" w:hAnsi="Book Antiqua" w:cs="Arial"/>
          <w:szCs w:val="24"/>
        </w:rPr>
        <w:t>T</w:t>
      </w:r>
      <w:r w:rsidR="0056269A" w:rsidRPr="00B909F3">
        <w:rPr>
          <w:rFonts w:ascii="Book Antiqua" w:hAnsi="Book Antiqua" w:cs="Arial"/>
          <w:szCs w:val="24"/>
        </w:rPr>
        <w:t xml:space="preserve">he KPS uses </w:t>
      </w:r>
      <w:r w:rsidRPr="00B909F3">
        <w:rPr>
          <w:rFonts w:ascii="Book Antiqua" w:hAnsi="Book Antiqua" w:cs="Arial"/>
          <w:szCs w:val="24"/>
        </w:rPr>
        <w:t xml:space="preserve">multiple domains in the </w:t>
      </w:r>
      <w:r w:rsidR="0056269A" w:rsidRPr="00B909F3">
        <w:rPr>
          <w:rFonts w:ascii="Book Antiqua" w:hAnsi="Book Antiqua" w:cs="Arial"/>
          <w:szCs w:val="24"/>
        </w:rPr>
        <w:t xml:space="preserve">assessment of function </w:t>
      </w:r>
      <w:r w:rsidR="00D50836" w:rsidRPr="00B909F3">
        <w:rPr>
          <w:rFonts w:ascii="Book Antiqua" w:hAnsi="Book Antiqua" w:cs="Arial"/>
          <w:szCs w:val="24"/>
        </w:rPr>
        <w:t>and concern may arise that it is</w:t>
      </w:r>
      <w:r w:rsidRPr="00B909F3">
        <w:rPr>
          <w:rFonts w:ascii="Book Antiqua" w:hAnsi="Book Antiqua" w:cs="Arial"/>
          <w:szCs w:val="24"/>
        </w:rPr>
        <w:t xml:space="preserve"> less objective or standardized than direct measures of frailty such as grip strength or walking distance</w:t>
      </w:r>
      <w:r w:rsidR="0056269A" w:rsidRPr="00B909F3">
        <w:rPr>
          <w:rFonts w:ascii="Book Antiqua" w:hAnsi="Book Antiqua" w:cs="Arial"/>
          <w:szCs w:val="24"/>
        </w:rPr>
        <w:t>.</w:t>
      </w:r>
      <w:r w:rsidR="00D50836" w:rsidRPr="00B909F3">
        <w:rPr>
          <w:rFonts w:ascii="Book Antiqua" w:hAnsi="Book Antiqua" w:cs="Arial"/>
          <w:szCs w:val="24"/>
        </w:rPr>
        <w:t xml:space="preserve"> </w:t>
      </w:r>
      <w:r w:rsidR="00E07962" w:rsidRPr="00B909F3">
        <w:rPr>
          <w:rFonts w:ascii="Book Antiqua" w:hAnsi="Book Antiqua" w:cs="Arial"/>
          <w:szCs w:val="24"/>
        </w:rPr>
        <w:t xml:space="preserve">However, </w:t>
      </w:r>
      <w:r w:rsidR="00D50836" w:rsidRPr="00B909F3">
        <w:rPr>
          <w:rFonts w:ascii="Book Antiqua" w:hAnsi="Book Antiqua" w:cs="Arial"/>
          <w:szCs w:val="24"/>
        </w:rPr>
        <w:t>the KPS has been extensively validated across a wide range of diseases over the last 60 years, and the simplest 3-tiered scale version used in this analysis has shown excellent inter-rater reliability regardless of provider type or setting</w:t>
      </w:r>
      <w:r w:rsidR="00F30A75" w:rsidRPr="00B909F3">
        <w:rPr>
          <w:rFonts w:ascii="Book Antiqua" w:hAnsi="Book Antiqua" w:cs="Arial"/>
          <w:szCs w:val="24"/>
          <w:vertAlign w:val="superscript"/>
        </w:rPr>
        <w:t>[</w:t>
      </w:r>
      <w:r w:rsidR="00F30A75" w:rsidRPr="00B909F3">
        <w:rPr>
          <w:rFonts w:ascii="Book Antiqua" w:hAnsi="Book Antiqua" w:cs="Arial"/>
          <w:szCs w:val="24"/>
          <w:vertAlign w:val="superscript"/>
        </w:rPr>
        <w:fldChar w:fldCharType="begin" w:fldLock="1"/>
      </w:r>
      <w:r w:rsidR="00F30A75" w:rsidRPr="00B909F3">
        <w:rPr>
          <w:rFonts w:ascii="Book Antiqua" w:hAnsi="Book Antiqua" w:cs="Arial"/>
          <w:szCs w:val="24"/>
          <w:vertAlign w:val="superscript"/>
        </w:rPr>
        <w:instrText>ADDIN CSL_CITATION {"citationItems":[{"id":"ITEM-1","itemData":{"DOI":"10.1186/1472-6947-13-72","ISSN":"1472-6947","PMID":"23870327","abstract":"BACKGROUND: For over 60 years, the Karnofsky Performance Status (KPS) has proven itself a valuable tool with which to perform measurement of and comparison between the functional statuses of individual patients. In recent decades conditions for patients have changed, and so too has the KPS undergone several adjustments since its initial development.\n\nDISCUSSION: The most important works regarding the KPS tend to focus upon a variety of issues, including but not limited to reliability, validity and health-related quality of life. Also discussed is the question of what quantity the KPS may in fact be said to measure. The KPS is increasingly used as a prognostic factor in patient assessment. Thus, questions regarding if and how it affects survival are relevant.In this paper, we propose an algorithm which uses a minimum of two and a maximum of three questions to facilitate an adequate and efficient evaluation of the KPS.\n\nSUMMARY: This review honors the original intention of the discoverer and gives an overview of adaptations made in recent years. The proposed algorithm suggests specific updates with the goal of ensuring continued adequacy and expediency in the determination of the KPS.","author":[{"dropping-particle":"","family":"Péus","given":"Dominik","non-dropping-particle":"","parse-names":false,"suffix":""},{"dropping-particle":"","family":"Newcomb","given":"Nicolas","non-dropping-particle":"","parse-names":false,"suffix":""},{"dropping-particle":"","family":"Hofer","given":"Silvia","non-dropping-particle":"","parse-names":false,"suffix":""}],"container-title":"BMC medical informatics and decision making","id":"ITEM-1","issue":"1","issued":{"date-parts":[["2013","7","19"]]},"page":"72","title":"Appraisal of the Karnofsky Performance Status and proposal of a simple algorithmic system for its evaluation.","type":"article-journal","volume":"13"},"uris":["http://www.mendeley.com/documents/?uuid=7b1c71c3-f18d-4e3f-9000-7a0a0c1a032b","http://www.mendeley.com/documents/?uuid=e8415ed8-0f62-4e22-9591-7352ecbb80d9"]}],"mendeley":{"formattedCitation":"&lt;sup&gt;33&lt;/sup&gt;","plainTextFormattedCitation":"33","previouslyFormattedCitation":"&lt;sup&gt;33&lt;/sup&gt;"},"properties":{"noteIndex":0},"schema":"https://github.com/citation-style-language/schema/raw/master/csl-citation.json"}</w:instrText>
      </w:r>
      <w:r w:rsidR="00F30A75" w:rsidRPr="00B909F3">
        <w:rPr>
          <w:rFonts w:ascii="Book Antiqua" w:hAnsi="Book Antiqua" w:cs="Arial"/>
          <w:szCs w:val="24"/>
          <w:vertAlign w:val="superscript"/>
        </w:rPr>
        <w:fldChar w:fldCharType="separate"/>
      </w:r>
      <w:r w:rsidR="00F30A75" w:rsidRPr="00B909F3">
        <w:rPr>
          <w:rFonts w:ascii="Book Antiqua" w:hAnsi="Book Antiqua" w:cs="Arial"/>
          <w:noProof/>
          <w:szCs w:val="24"/>
          <w:vertAlign w:val="superscript"/>
        </w:rPr>
        <w:t>33</w:t>
      </w:r>
      <w:r w:rsidR="00F30A75" w:rsidRPr="00B909F3">
        <w:rPr>
          <w:rFonts w:ascii="Book Antiqua" w:hAnsi="Book Antiqua" w:cs="Arial"/>
          <w:szCs w:val="24"/>
          <w:vertAlign w:val="superscript"/>
        </w:rPr>
        <w:fldChar w:fldCharType="end"/>
      </w:r>
      <w:r w:rsidR="00F30A75" w:rsidRPr="00B909F3">
        <w:rPr>
          <w:rFonts w:ascii="Book Antiqua" w:hAnsi="Book Antiqua" w:cs="Arial"/>
          <w:szCs w:val="24"/>
          <w:vertAlign w:val="superscript"/>
        </w:rPr>
        <w:t>]</w:t>
      </w:r>
      <w:r w:rsidR="000E0550" w:rsidRPr="00B909F3">
        <w:rPr>
          <w:rFonts w:ascii="Book Antiqua" w:hAnsi="Book Antiqua" w:cs="Arial"/>
          <w:szCs w:val="24"/>
        </w:rPr>
        <w:t>.</w:t>
      </w:r>
      <w:r w:rsidR="004A2265" w:rsidRPr="00B909F3">
        <w:rPr>
          <w:rFonts w:ascii="Book Antiqua" w:hAnsi="Book Antiqua" w:cs="Arial"/>
          <w:szCs w:val="24"/>
        </w:rPr>
        <w:t xml:space="preserve"> </w:t>
      </w:r>
      <w:r w:rsidR="00D50836" w:rsidRPr="00B909F3">
        <w:rPr>
          <w:rFonts w:ascii="Book Antiqua" w:hAnsi="Book Antiqua" w:cs="Arial"/>
          <w:szCs w:val="24"/>
        </w:rPr>
        <w:t>The KPS has in fact been validated in transplant populations specifically,</w:t>
      </w:r>
      <w:r w:rsidR="00D50836" w:rsidRPr="00B909F3">
        <w:rPr>
          <w:rFonts w:ascii="Book Antiqua" w:hAnsi="Book Antiqua" w:cs="Arial"/>
          <w:noProof/>
          <w:szCs w:val="24"/>
        </w:rPr>
        <w:t xml:space="preserve"> </w:t>
      </w:r>
      <w:r w:rsidR="00AE2710" w:rsidRPr="00B909F3">
        <w:rPr>
          <w:rFonts w:ascii="Book Antiqua" w:hAnsi="Book Antiqua" w:cs="Arial"/>
          <w:noProof/>
          <w:szCs w:val="24"/>
        </w:rPr>
        <w:t xml:space="preserve">compared with the Short Form survey and other physical function scales </w:t>
      </w:r>
      <w:r w:rsidR="00D50836" w:rsidRPr="00B909F3">
        <w:rPr>
          <w:rFonts w:ascii="Book Antiqua" w:hAnsi="Book Antiqua" w:cs="Arial"/>
          <w:noProof/>
          <w:szCs w:val="24"/>
        </w:rPr>
        <w:t>for</w:t>
      </w:r>
      <w:r w:rsidR="00AE2710" w:rsidRPr="00B909F3">
        <w:rPr>
          <w:rFonts w:ascii="Book Antiqua" w:hAnsi="Book Antiqua" w:cs="Arial"/>
          <w:noProof/>
          <w:szCs w:val="24"/>
        </w:rPr>
        <w:t xml:space="preserve"> liver </w:t>
      </w:r>
      <w:r w:rsidR="00D50836" w:rsidRPr="00B909F3">
        <w:rPr>
          <w:rFonts w:ascii="Book Antiqua" w:hAnsi="Book Antiqua" w:cs="Arial"/>
          <w:noProof/>
          <w:szCs w:val="24"/>
        </w:rPr>
        <w:t>disease patients</w:t>
      </w:r>
      <w:r w:rsidR="00F30A75" w:rsidRPr="00B909F3">
        <w:rPr>
          <w:rFonts w:ascii="Book Antiqua" w:hAnsi="Book Antiqua" w:cs="Arial"/>
          <w:noProof/>
          <w:szCs w:val="24"/>
          <w:vertAlign w:val="superscript"/>
        </w:rPr>
        <w:t>[</w:t>
      </w:r>
      <w:r w:rsidR="00F30A75" w:rsidRPr="00B909F3">
        <w:rPr>
          <w:rFonts w:ascii="Book Antiqua" w:hAnsi="Book Antiqua" w:cs="Arial"/>
          <w:noProof/>
          <w:szCs w:val="24"/>
          <w:vertAlign w:val="superscript"/>
        </w:rPr>
        <w:fldChar w:fldCharType="begin" w:fldLock="1"/>
      </w:r>
      <w:r w:rsidR="00F30A75" w:rsidRPr="00B909F3">
        <w:rPr>
          <w:rFonts w:ascii="Book Antiqua" w:hAnsi="Book Antiqua" w:cs="Arial"/>
          <w:noProof/>
          <w:szCs w:val="24"/>
          <w:vertAlign w:val="superscript"/>
        </w:rPr>
        <w:instrText>ADDIN CSL_CITATION {"citationItems":[{"id":"ITEM-1","itemData":{"DOI":"10.1111/j.1399-0012.2004.00216.x","ISSN":"0902-0063","PMID":"15217406","abstract":"PURPOSE: The psychometric properties of generic health-related quality of life (HRQOL) assessment instruments were evaluated to identify a reliable, valid, and non-redundant battery to measure longitudinal outcomes in organ transplant patients. METHODS: Objective functional performance and subjective HRQOL were assessed in 371 solid organ (liver, heart, kidney, lung) transplant patients using the Karnofsky scale, the SF-36 Health Survey (SF-36), and Psychosocial Adjustment to Illness Scale (PAIS). The surveys' internal-consistency reliability, criterion-related validity, and redundancy were tested. RESULTS: The SF-36 mental (MCS) and physical components (PCS), and PAIS summary scales were internally consistent (all alpha &gt; or = 0.83). Four out of seven PAIS scales (vocational, domestic, sexual, social) were collectively associated with the PCS (R = 0.65, P &lt; 0.001), as was functional performance (r = 0.52, P &lt; 0.001). Three PAIS scales (family, social, psychological distress) were associated with the MCS (R = 0.72, P &lt; 0.001). Only the PAIS healthcare orientation (satisfaction) scale was not associated with the SF-36((R)). The relationship between functional performance and the PCS is stronger (r = 0.52, P &lt; 0.001) than with the MCS (r = 0.25, P &lt; 0.001) and the PAIS global score (r = 0.37, P &lt; 0.001). CONCLUSIONS: The SF-36 and PAIS are internally consistent and exhibit divergent criterion-related validity but, with the exception of the PAIS healthcare orientation scale, are statistically redundant. The advantages of the SF-36 include wider use, more norms, and a lesser response burden. A transplant-specific patient satisfaction inventory was indicated and was developed.","author":[{"dropping-particle":"","family":"Feurer","given":"Irene D","non-dropping-particle":"","parse-names":false,"suffix":""},{"dropping-particle":"","family":"Moore","given":"Derek E","non-dropping-particle":"","parse-names":false,"suffix":""},{"dropping-particle":"","family":"Speroff","given":"Theodore","non-dropping-particle":"","parse-names":false,"suffix":""},{"dropping-particle":"","family":"Liu","given":"Hongxia","non-dropping-particle":"","parse-names":false,"suffix":""},{"dropping-particle":"","family":"Payne","given":"Jerita","non-dropping-particle":"","parse-names":false,"suffix":""},{"dropping-particle":"","family":"Harrison","given":"Connie","non-dropping-particle":"","parse-names":false,"suffix":""},{"dropping-particle":"","family":"Pinson","given":"C Wright","non-dropping-particle":"","parse-names":false,"suffix":""}],"container-title":"Clinical transplantation","id":"ITEM-1","issued":{"date-parts":[["2004","1"]]},"note":"KPS used as criterion (reference)\nResults: SF-36: physical component score &amp;amp; KPS strongest association\n\n&amp;quot;Given its extensive past and\ncurrent utilization, the Karnofsky scale is consid- ered an historically relevant proxy measure for HRQOL and is widely used in a variety of clinical settings.&amp;quot;\n\n\nThe Index employs an ordinal rating scale ranging from 0 (?deceased?) to 100 (?normal?). Eleven specific descriptors of performance are defined and summarized into three levels of functioning: (I)\n0–40 ¼ ?Disabled, requires special care and assist- ance?; (II) 50–70 ¼ ?Unable to work…A varying amount of assistance is needed?; and (III) 80–\n100 ¼ ?Able to carry on normal activity… No special care is needed?.","page":"39-45","title":"Refining a health-related quality of life assessment strategy for solid organ transplant patients.","type":"article-journal","volume":"18 Suppl 1"},"uris":["http://www.mendeley.com/documents/?uuid=21d77783-ec0b-4197-bde9-a52aac2f4f76","http://www.mendeley.com/documents/?uuid=58156502-aef0-4eba-86d8-4ed768d269f1"]}],"mendeley":{"formattedCitation":"&lt;sup&gt;46&lt;/sup&gt;","plainTextFormattedCitation":"46","previouslyFormattedCitation":"&lt;sup&gt;46&lt;/sup&gt;"},"properties":{"noteIndex":0},"schema":"https://github.com/citation-style-language/schema/raw/master/csl-citation.json"}</w:instrText>
      </w:r>
      <w:r w:rsidR="00F30A75" w:rsidRPr="00B909F3">
        <w:rPr>
          <w:rFonts w:ascii="Book Antiqua" w:hAnsi="Book Antiqua" w:cs="Arial"/>
          <w:noProof/>
          <w:szCs w:val="24"/>
          <w:vertAlign w:val="superscript"/>
        </w:rPr>
        <w:fldChar w:fldCharType="separate"/>
      </w:r>
      <w:r w:rsidR="00F30A75" w:rsidRPr="00B909F3">
        <w:rPr>
          <w:rFonts w:ascii="Book Antiqua" w:hAnsi="Book Antiqua" w:cs="Arial"/>
          <w:noProof/>
          <w:szCs w:val="24"/>
          <w:vertAlign w:val="superscript"/>
        </w:rPr>
        <w:t>46</w:t>
      </w:r>
      <w:r w:rsidR="00F30A75" w:rsidRPr="00B909F3">
        <w:rPr>
          <w:rFonts w:ascii="Book Antiqua" w:hAnsi="Book Antiqua" w:cs="Arial"/>
          <w:noProof/>
          <w:szCs w:val="24"/>
          <w:vertAlign w:val="superscript"/>
        </w:rPr>
        <w:fldChar w:fldCharType="end"/>
      </w:r>
      <w:r w:rsidR="00F30A75" w:rsidRPr="00B909F3">
        <w:rPr>
          <w:rFonts w:ascii="Book Antiqua" w:hAnsi="Book Antiqua" w:cs="Arial"/>
          <w:noProof/>
          <w:szCs w:val="24"/>
          <w:vertAlign w:val="superscript"/>
        </w:rPr>
        <w:t>]</w:t>
      </w:r>
      <w:r w:rsidR="000E0550" w:rsidRPr="00B909F3">
        <w:rPr>
          <w:rFonts w:ascii="Book Antiqua" w:hAnsi="Book Antiqua" w:cs="Arial"/>
          <w:noProof/>
          <w:szCs w:val="24"/>
        </w:rPr>
        <w:t>,</w:t>
      </w:r>
      <w:r w:rsidR="00D50836" w:rsidRPr="00B909F3">
        <w:rPr>
          <w:rFonts w:ascii="Book Antiqua" w:hAnsi="Book Antiqua" w:cs="Arial"/>
          <w:noProof/>
          <w:szCs w:val="24"/>
        </w:rPr>
        <w:t xml:space="preserve"> and </w:t>
      </w:r>
      <w:r w:rsidR="00AE2710" w:rsidRPr="00B909F3">
        <w:rPr>
          <w:rFonts w:ascii="Book Antiqua" w:hAnsi="Book Antiqua" w:cs="Arial"/>
          <w:noProof/>
          <w:szCs w:val="24"/>
        </w:rPr>
        <w:t>extensively validated in end-stage renal disease</w:t>
      </w:r>
      <w:r w:rsidR="00D50836" w:rsidRPr="00B909F3">
        <w:rPr>
          <w:rFonts w:ascii="Book Antiqua" w:hAnsi="Book Antiqua" w:cs="Arial"/>
          <w:noProof/>
          <w:szCs w:val="24"/>
        </w:rPr>
        <w:t xml:space="preserve"> populations</w:t>
      </w:r>
      <w:r w:rsidR="00F30A75" w:rsidRPr="00B909F3">
        <w:rPr>
          <w:rFonts w:ascii="Book Antiqua" w:hAnsi="Book Antiqua" w:cs="Arial"/>
          <w:noProof/>
          <w:szCs w:val="24"/>
          <w:vertAlign w:val="superscript"/>
        </w:rPr>
        <w:t>[</w:t>
      </w:r>
      <w:r w:rsidR="00F30A75" w:rsidRPr="00B909F3">
        <w:rPr>
          <w:rFonts w:ascii="Book Antiqua" w:hAnsi="Book Antiqua" w:cs="Arial"/>
          <w:noProof/>
          <w:szCs w:val="24"/>
          <w:vertAlign w:val="superscript"/>
        </w:rPr>
        <w:fldChar w:fldCharType="begin" w:fldLock="1"/>
      </w:r>
      <w:r w:rsidR="00F30A75" w:rsidRPr="00B909F3">
        <w:rPr>
          <w:rFonts w:ascii="Book Antiqua" w:hAnsi="Book Antiqua" w:cs="Arial"/>
          <w:noProof/>
          <w:szCs w:val="24"/>
          <w:vertAlign w:val="superscript"/>
        </w:rPr>
        <w:instrText>ADDIN CSL_CITATION {"citationItems":[{"id":"ITEM-1","itemData":{"ISSN":"0027-9684","PMID":"15622699","abstract":"BACKGROUND: Assessment of quality of life is vital inmonitoring response to various treatment measures. Various instruments, which include both generic and disease-specific instruments, are used in the assessment of health-related quality of life (HRQOL). In this study, we compare two commonly used generic instruments.\n\nOBJECTIVES: The objective of this study was to compare two generic instruments, the Karnofsky Performance Status Scale and the SF-36 Health Survey in hemodialysis (HD) patients. The study also aims to find out the association (if any) between HRQOL scores using these two scales and various clinical and biochemical parameters.\n\nMATERIALS AND METHODS: Sixty-two maintenance HD patients were recruited after informed consents were obtained. Detailed sociodemographic data was obtained. They were assessed during their regular HD sessions. Serum chemistry (which included serum urea, creatinine, Na+, K+, HCO3-, Ca2+, Po4(2-)), albumin, globulin, total protein and hemoglobin (g/dl) were assessed in all the patients. Adequacy of HD was assessed using second-generation Daugirdais formula. HRQOL was assessed using the Karnofsky and SSF-36 instruments and the scores collated and compared. Data was analyzed using SPSS version 10.\n\nRESULTS: Fifty-five patients completed the study (27 males and 28 females, mean age 40.76 +/- 11.05 years and age range of 20-65 years). There was a significant positive correlation between Karnofsky scores and all eight SF-36 domains, but only physical functioning, social functioning and role limitation due to emotional problems maintained the significance on multiple regression analysis. The serum creatinine and hemoglobin postively correlated with physical function, bodily pain, social functioning and Karnofsky scores. Age of the patients correlated negatively with two SF-36 dimensions (physical functioning and role limitation due to physical fitness) and Karnofsky scores.\n\nCONCLUSION: This study revealed a good correlation between Karnofsky performance status scale and the short-form (SF36) health survey in this Egyptian population. Age, serum creatinine and hemoglobin significantly influence quality of life in this HD patient population.","author":[{"dropping-particle":"","family":"Arogundade","given":"Fatiu A","non-dropping-particle":"","parse-names":false,"suffix":""},{"dropping-particle":"","family":"Zayed","given":"Bahaa","non-dropping-particle":"","parse-names":false,"suffix":""},{"dropping-particle":"","family":"Daba","given":"Maryam","non-dropping-particle":"","parse-names":false,"suffix":""},{"dropping-particle":"","family":"Barsoum","given":"Rashad S","non-dropping-particle":"","parse-names":false,"suffix":""}],"container-title":"Journal of the National Medical Association","id":"ITEM-1","issue":"12","issued":{"date-parts":[["2004","12"]]},"page":"1661-7","title":"Correlation between Karnofsky Performance Status Scale and Short-Form Health Survey in patients on maintenance hemodialysis.","type":"article-journal","volume":"96"},"uris":["http://www.mendeley.com/documents/?uuid=bd1d155a-fc3d-47a6-9365-e3e8d44e5e54","http://www.mendeley.com/documents/?uuid=bf25b1c5-d268-416c-bdb9-0ffa1113086a"]},{"id":"ITEM-2","itemData":{"DOI":"10.1016/S0149-2918(96)80049-X","ISBN":"0149-2918 (Print)\\n0149-2918 (Linking)","ISSN":"1879114X","PMID":"8930432","abstract":"Health-related quality of life (HRQOL) is a critical issue in the treatment of endstage renal disease (ESRD) patients. The variety of symptoms, comorbidities, and treatments of ESRD over the course of its chronic disease trajectory necessitate comprehensive assessment of the impact of interventions on HRQOL. A literature review of ESRD HRQOL studies was performed to provide an overview of the instruments used and to provide recommendations for HRQOL assessment in future studies. Instruments were classified based on the health domains they assess and whether they are generic or disease targeted. The instruments were judged in terms of their comprehensiveness, reliability, and validity.","author":[{"dropping-particle":"","family":"Edgell","given":"Eric T.","non-dropping-particle":"","parse-names":false,"suffix":""},{"dropping-particle":"","family":"Coons","given":"Stephen Joel","non-dropping-particle":"","parse-names":false,"suffix</w:instrText>
      </w:r>
      <w:r w:rsidR="00F30A75" w:rsidRPr="00B909F3">
        <w:rPr>
          <w:rFonts w:ascii="Book Antiqua" w:hAnsi="Book Antiqua" w:cs="Arial"/>
          <w:noProof/>
          <w:szCs w:val="24"/>
          <w:vertAlign w:val="superscript"/>
          <w:lang w:eastAsia="zh-CN"/>
        </w:rPr>
        <w:instrText>":""},{"dropping-particle":"","family":"Carter","given":"William B.","non-dropping-particle":"","parse-names":false,"suffix":""},{"dropping-particle":"","family":"Kallich","given":"Joel D.","non-dropping-particle":"","parse-names":false,"suffix":""},{"dropping-particle":"","family":"Mapes","given":"Donna","non-dropping-particle":"","parse-names":false,"suffix":""},{"dropping-particle":"","family":"Damush","given":"Teresa M.","non-dropping-particle":"","parse-names":false,"suffix":""},{"dropping-particle":"","family":"Hays","given":"Ron D.","non-dropping-particle":"","parse-names":false,"suffix":""}],"container-title":"Clinical Therapeutics","id":"ITEM-2","issue":"5","issued":{"date-parts":[["1996"]]},"note":"Approaches to measuring physical\nfunction in ESRD center around the use of\nthe Kamofsky Performance Status (KPS)\nscalelo","page":"887-938","title":"A review of health-related quality-of-life measures used in end-stage renal disease","type":"article-journal","volume":"18"},"uris":["http://www.mendeley.com/documents/?uuid=4c60fd4a-e065-4119-97ab-ea96399adef7","http://www.mendeley.com/documents/?uuid=398c1251-6010-4f85-a09e-6b4708df675e","http://www.mendeley.com/documents/?uuid=09e13274-cf1b-49f0-b69d-0eaf5ccd527e"]}],"mendeley":{"formattedCitation":"&lt;sup&gt;14,19&lt;/sup&gt;","plainTextFormattedCitation":"14,19","previouslyFormattedCitation":"&lt;sup&gt;14,27&lt;/sup&gt;"},"properties":{"noteIndex":0},"schema":"https://github.com/citation-style-language/schema/raw/master/csl-citation.json"}</w:instrText>
      </w:r>
      <w:r w:rsidR="00F30A75" w:rsidRPr="00B909F3">
        <w:rPr>
          <w:rFonts w:ascii="Book Antiqua" w:hAnsi="Book Antiqua" w:cs="Arial"/>
          <w:noProof/>
          <w:szCs w:val="24"/>
          <w:vertAlign w:val="superscript"/>
        </w:rPr>
        <w:fldChar w:fldCharType="separate"/>
      </w:r>
      <w:r w:rsidR="00F30A75" w:rsidRPr="00B909F3">
        <w:rPr>
          <w:rFonts w:ascii="Book Antiqua" w:hAnsi="Book Antiqua" w:cs="Arial"/>
          <w:noProof/>
          <w:szCs w:val="24"/>
          <w:vertAlign w:val="superscript"/>
          <w:lang w:eastAsia="zh-CN"/>
        </w:rPr>
        <w:t>14,19</w:t>
      </w:r>
      <w:r w:rsidR="00F30A75" w:rsidRPr="00B909F3">
        <w:rPr>
          <w:rFonts w:ascii="Book Antiqua" w:hAnsi="Book Antiqua" w:cs="Arial"/>
          <w:noProof/>
          <w:szCs w:val="24"/>
          <w:vertAlign w:val="superscript"/>
        </w:rPr>
        <w:fldChar w:fldCharType="end"/>
      </w:r>
      <w:r w:rsidR="00F30A75" w:rsidRPr="00B909F3">
        <w:rPr>
          <w:rFonts w:ascii="Book Antiqua" w:hAnsi="Book Antiqua" w:cs="Arial"/>
          <w:noProof/>
          <w:szCs w:val="24"/>
          <w:vertAlign w:val="superscript"/>
        </w:rPr>
        <w:t>]</w:t>
      </w:r>
      <w:r w:rsidR="000E0550" w:rsidRPr="00B909F3">
        <w:rPr>
          <w:rFonts w:ascii="Book Antiqua" w:hAnsi="Book Antiqua" w:cs="Arial"/>
          <w:noProof/>
          <w:szCs w:val="24"/>
        </w:rPr>
        <w:t>.</w:t>
      </w:r>
    </w:p>
    <w:p w14:paraId="5E88CCAD" w14:textId="77777777" w:rsidR="00F30A75" w:rsidRPr="00B909F3" w:rsidRDefault="00AE2710" w:rsidP="00197EDE">
      <w:pPr>
        <w:spacing w:after="0" w:line="360" w:lineRule="auto"/>
        <w:ind w:firstLineChars="100" w:firstLine="240"/>
        <w:jc w:val="both"/>
        <w:rPr>
          <w:rFonts w:ascii="Book Antiqua" w:eastAsia="SimSun" w:hAnsi="Book Antiqua" w:cs="Arial"/>
          <w:b/>
          <w:szCs w:val="24"/>
          <w:lang w:eastAsia="zh-CN"/>
        </w:rPr>
      </w:pPr>
      <w:r w:rsidRPr="00B909F3">
        <w:rPr>
          <w:rFonts w:ascii="Book Antiqua" w:hAnsi="Book Antiqua" w:cs="Arial"/>
          <w:szCs w:val="24"/>
          <w:lang w:eastAsia="zh-CN"/>
        </w:rPr>
        <w:t xml:space="preserve">Several different measures of physical function and composite frailty scores have been used in the literature and were effective predictors of </w:t>
      </w:r>
      <w:r w:rsidRPr="00B909F3">
        <w:rPr>
          <w:rFonts w:ascii="Book Antiqua" w:hAnsi="Book Antiqua" w:cs="Arial"/>
          <w:noProof/>
          <w:szCs w:val="24"/>
          <w:lang w:eastAsia="zh-CN"/>
        </w:rPr>
        <w:t>waitlist</w:t>
      </w:r>
      <w:r w:rsidRPr="00B909F3">
        <w:rPr>
          <w:rFonts w:ascii="Book Antiqua" w:hAnsi="Book Antiqua" w:cs="Arial"/>
          <w:szCs w:val="24"/>
          <w:lang w:eastAsia="zh-CN"/>
        </w:rPr>
        <w:t xml:space="preserve"> and transplant outcomes. However, </w:t>
      </w:r>
      <w:r w:rsidR="00DA1DCA" w:rsidRPr="00B909F3">
        <w:rPr>
          <w:rFonts w:ascii="Book Antiqua" w:hAnsi="Book Antiqua" w:cs="Arial"/>
          <w:szCs w:val="24"/>
          <w:lang w:eastAsia="zh-CN"/>
        </w:rPr>
        <w:t xml:space="preserve">such </w:t>
      </w:r>
      <w:r w:rsidRPr="00B909F3">
        <w:rPr>
          <w:rFonts w:ascii="Book Antiqua" w:hAnsi="Book Antiqua" w:cs="Arial"/>
          <w:szCs w:val="24"/>
          <w:lang w:eastAsia="zh-CN"/>
        </w:rPr>
        <w:t>direct measures of frailty would demand more resources (time, training, materials) from transplant centers than the KPS alone</w:t>
      </w:r>
      <w:r w:rsidR="00DA1DCA" w:rsidRPr="00B909F3">
        <w:rPr>
          <w:rFonts w:ascii="Book Antiqua" w:hAnsi="Book Antiqua" w:cs="Arial"/>
          <w:szCs w:val="24"/>
          <w:lang w:eastAsia="zh-CN"/>
        </w:rPr>
        <w:t>. Furthermore, their advantages over the use of the</w:t>
      </w:r>
      <w:r w:rsidRPr="00B909F3">
        <w:rPr>
          <w:rFonts w:ascii="Book Antiqua" w:hAnsi="Book Antiqua" w:cs="Arial"/>
          <w:szCs w:val="24"/>
          <w:lang w:eastAsia="zh-CN"/>
        </w:rPr>
        <w:t xml:space="preserve"> KPS </w:t>
      </w:r>
      <w:r w:rsidR="00DA1DCA" w:rsidRPr="00B909F3">
        <w:rPr>
          <w:rFonts w:ascii="Book Antiqua" w:hAnsi="Book Antiqua" w:cs="Arial"/>
          <w:szCs w:val="24"/>
          <w:lang w:eastAsia="zh-CN"/>
        </w:rPr>
        <w:t xml:space="preserve">should be evaluated </w:t>
      </w:r>
      <w:r w:rsidR="000203A1" w:rsidRPr="00B909F3">
        <w:rPr>
          <w:rFonts w:ascii="Book Antiqua" w:hAnsi="Book Antiqua" w:cs="Arial"/>
          <w:szCs w:val="24"/>
          <w:lang w:eastAsia="zh-CN"/>
        </w:rPr>
        <w:t xml:space="preserve">in terms of predictive value (area under the curve) </w:t>
      </w:r>
      <w:r w:rsidRPr="00B909F3">
        <w:rPr>
          <w:rFonts w:ascii="Book Antiqua" w:hAnsi="Book Antiqua" w:cs="Arial"/>
          <w:szCs w:val="24"/>
          <w:lang w:eastAsia="zh-CN"/>
        </w:rPr>
        <w:t xml:space="preserve">before </w:t>
      </w:r>
      <w:r w:rsidR="000203A1" w:rsidRPr="00B909F3">
        <w:rPr>
          <w:rFonts w:ascii="Book Antiqua" w:hAnsi="Book Antiqua" w:cs="Arial"/>
          <w:szCs w:val="24"/>
          <w:lang w:eastAsia="zh-CN"/>
        </w:rPr>
        <w:t>major investment in resource-intensive measures that may already capture similar predictive information</w:t>
      </w:r>
      <w:r w:rsidRPr="00B909F3">
        <w:rPr>
          <w:rFonts w:ascii="Book Antiqua" w:hAnsi="Book Antiqua" w:cs="Arial"/>
          <w:szCs w:val="24"/>
          <w:lang w:eastAsia="zh-CN"/>
        </w:rPr>
        <w:t>.</w:t>
      </w:r>
    </w:p>
    <w:p w14:paraId="79BBCFE6" w14:textId="68B0B7D1" w:rsidR="00AE2710" w:rsidRPr="00B909F3" w:rsidRDefault="00AE2710" w:rsidP="00197EDE">
      <w:pPr>
        <w:spacing w:after="0" w:line="360" w:lineRule="auto"/>
        <w:ind w:firstLineChars="100" w:firstLine="240"/>
        <w:jc w:val="both"/>
        <w:rPr>
          <w:rFonts w:ascii="Book Antiqua" w:hAnsi="Book Antiqua" w:cs="Arial"/>
          <w:b/>
          <w:szCs w:val="24"/>
          <w:lang w:eastAsia="zh-CN"/>
        </w:rPr>
      </w:pPr>
      <w:r w:rsidRPr="00B909F3">
        <w:rPr>
          <w:rFonts w:ascii="Book Antiqua" w:hAnsi="Book Antiqua" w:cs="Arial"/>
          <w:szCs w:val="24"/>
          <w:lang w:eastAsia="zh-CN"/>
        </w:rPr>
        <w:t xml:space="preserve">In summary, we have demonstrated </w:t>
      </w:r>
      <w:r w:rsidR="007B53D0" w:rsidRPr="00B909F3">
        <w:rPr>
          <w:rFonts w:ascii="Book Antiqua" w:hAnsi="Book Antiqua" w:cs="Arial"/>
          <w:szCs w:val="24"/>
          <w:lang w:eastAsia="zh-CN"/>
        </w:rPr>
        <w:t xml:space="preserve">that there is substantial value in using a </w:t>
      </w:r>
      <w:r w:rsidRPr="00B909F3">
        <w:rPr>
          <w:rFonts w:ascii="Book Antiqua" w:hAnsi="Book Antiqua" w:cs="Arial"/>
          <w:szCs w:val="24"/>
          <w:lang w:eastAsia="zh-CN"/>
        </w:rPr>
        <w:t>simple 3-point functional status scale</w:t>
      </w:r>
      <w:r w:rsidR="007B53D0" w:rsidRPr="00B909F3">
        <w:rPr>
          <w:rFonts w:ascii="Book Antiqua" w:hAnsi="Book Antiqua" w:cs="Arial"/>
          <w:szCs w:val="24"/>
          <w:lang w:eastAsia="zh-CN"/>
        </w:rPr>
        <w:t xml:space="preserve"> for</w:t>
      </w:r>
      <w:r w:rsidRPr="00B909F3">
        <w:rPr>
          <w:rFonts w:ascii="Book Antiqua" w:hAnsi="Book Antiqua" w:cs="Arial"/>
          <w:szCs w:val="24"/>
          <w:lang w:eastAsia="zh-CN"/>
        </w:rPr>
        <w:t xml:space="preserve"> predicting one-year liver transplant outcomes. We highlight areas where future research may further the validity, and ultimately, the clinical utility of the </w:t>
      </w:r>
      <w:proofErr w:type="spellStart"/>
      <w:r w:rsidRPr="00B909F3">
        <w:rPr>
          <w:rFonts w:ascii="Book Antiqua" w:hAnsi="Book Antiqua" w:cs="Arial"/>
          <w:szCs w:val="24"/>
          <w:lang w:eastAsia="zh-CN"/>
        </w:rPr>
        <w:t>Karnofsky</w:t>
      </w:r>
      <w:proofErr w:type="spellEnd"/>
      <w:r w:rsidRPr="00B909F3">
        <w:rPr>
          <w:rFonts w:ascii="Book Antiqua" w:hAnsi="Book Antiqua" w:cs="Arial"/>
          <w:szCs w:val="24"/>
          <w:lang w:eastAsia="zh-CN"/>
        </w:rPr>
        <w:t xml:space="preserve"> Functional Performance scale in a liver transplant population. It is important to continue to develop objective measures for describing global health status and illness severity to help in the allocation </w:t>
      </w:r>
      <w:r w:rsidRPr="00B909F3">
        <w:rPr>
          <w:rFonts w:ascii="Book Antiqua" w:hAnsi="Book Antiqua" w:cs="Arial"/>
          <w:szCs w:val="24"/>
        </w:rPr>
        <w:t>of organs and waitlist management, patient health improvement, and accurate adjustment for transplant center case-mix for transplant reimbursement.</w:t>
      </w:r>
    </w:p>
    <w:p w14:paraId="18AF5773" w14:textId="77777777" w:rsidR="009F404C" w:rsidRPr="00B909F3" w:rsidRDefault="009F404C" w:rsidP="00197EDE">
      <w:pPr>
        <w:spacing w:after="0" w:line="360" w:lineRule="auto"/>
        <w:jc w:val="both"/>
        <w:rPr>
          <w:rFonts w:ascii="Book Antiqua" w:eastAsia="SimSun" w:hAnsi="Book Antiqua" w:cs="Arial"/>
          <w:szCs w:val="24"/>
          <w:lang w:eastAsia="zh-CN"/>
        </w:rPr>
      </w:pPr>
    </w:p>
    <w:p w14:paraId="09825F8C" w14:textId="77777777" w:rsidR="00F30A75" w:rsidRPr="00B909F3" w:rsidRDefault="0076762A" w:rsidP="00197EDE">
      <w:pPr>
        <w:spacing w:after="0" w:line="360" w:lineRule="auto"/>
        <w:jc w:val="both"/>
        <w:rPr>
          <w:rFonts w:ascii="Book Antiqua" w:eastAsia="SimSun" w:hAnsi="Book Antiqua" w:cs="Arial"/>
          <w:b/>
          <w:szCs w:val="24"/>
          <w:lang w:eastAsia="zh-CN"/>
        </w:rPr>
      </w:pPr>
      <w:r w:rsidRPr="00B909F3">
        <w:rPr>
          <w:rFonts w:ascii="Book Antiqua" w:eastAsia="SimSun" w:hAnsi="Book Antiqua" w:cs="Arial"/>
          <w:b/>
          <w:szCs w:val="24"/>
          <w:lang w:eastAsia="zh-CN"/>
        </w:rPr>
        <w:t>ARTICLE HIGHLIGHTS</w:t>
      </w:r>
    </w:p>
    <w:p w14:paraId="19842408" w14:textId="73AE871D" w:rsidR="00F30A75" w:rsidRPr="00B909F3" w:rsidRDefault="0076762A" w:rsidP="00197EDE">
      <w:pPr>
        <w:spacing w:after="0" w:line="360" w:lineRule="auto"/>
        <w:jc w:val="both"/>
        <w:rPr>
          <w:rFonts w:ascii="Book Antiqua" w:eastAsia="SimSun" w:hAnsi="Book Antiqua" w:cs="Arial"/>
          <w:b/>
          <w:szCs w:val="24"/>
          <w:lang w:eastAsia="zh-CN"/>
        </w:rPr>
      </w:pPr>
      <w:r w:rsidRPr="00B909F3">
        <w:rPr>
          <w:rFonts w:ascii="Book Antiqua" w:hAnsi="Book Antiqua"/>
          <w:b/>
          <w:i/>
          <w:szCs w:val="24"/>
        </w:rPr>
        <w:t>Research background</w:t>
      </w:r>
    </w:p>
    <w:p w14:paraId="2A00B4D4" w14:textId="77777777" w:rsidR="00F30A75" w:rsidRPr="00B909F3" w:rsidRDefault="00790019" w:rsidP="00197EDE">
      <w:pPr>
        <w:adjustRightInd w:val="0"/>
        <w:snapToGrid w:val="0"/>
        <w:spacing w:after="0" w:line="360" w:lineRule="auto"/>
        <w:jc w:val="both"/>
        <w:rPr>
          <w:rFonts w:ascii="Book Antiqua" w:hAnsi="Book Antiqua"/>
          <w:b/>
          <w:i/>
          <w:szCs w:val="24"/>
        </w:rPr>
      </w:pPr>
      <w:r w:rsidRPr="00B909F3">
        <w:rPr>
          <w:rFonts w:ascii="Book Antiqua" w:hAnsi="Book Antiqua" w:cs="Arial"/>
          <w:szCs w:val="24"/>
        </w:rPr>
        <w:lastRenderedPageBreak/>
        <w:t xml:space="preserve">Frailty is increasingly recognized as an important predictor of outcomes after major surgical procedures including liver transplantation. </w:t>
      </w:r>
      <w:bookmarkStart w:id="28" w:name="_Hlk536049505"/>
      <w:r w:rsidR="00A2312A" w:rsidRPr="00B909F3">
        <w:rPr>
          <w:rFonts w:ascii="Book Antiqua" w:hAnsi="Book Antiqua" w:cs="Arial"/>
          <w:szCs w:val="24"/>
        </w:rPr>
        <w:t xml:space="preserve">The </w:t>
      </w:r>
      <w:proofErr w:type="spellStart"/>
      <w:r w:rsidR="00A2312A" w:rsidRPr="00B909F3">
        <w:rPr>
          <w:rFonts w:ascii="Book Antiqua" w:hAnsi="Book Antiqua" w:cs="Arial"/>
          <w:szCs w:val="24"/>
        </w:rPr>
        <w:t>Karnofsky</w:t>
      </w:r>
      <w:proofErr w:type="spellEnd"/>
      <w:r w:rsidR="00A2312A" w:rsidRPr="00B909F3">
        <w:rPr>
          <w:rFonts w:ascii="Book Antiqua" w:hAnsi="Book Antiqua" w:cs="Arial"/>
          <w:szCs w:val="24"/>
        </w:rPr>
        <w:t xml:space="preserve"> Performance Status (KPS) scale </w:t>
      </w:r>
      <w:bookmarkEnd w:id="28"/>
      <w:r w:rsidR="00A2312A" w:rsidRPr="00B909F3">
        <w:rPr>
          <w:rFonts w:ascii="Book Antiqua" w:hAnsi="Book Antiqua" w:cs="Arial"/>
          <w:szCs w:val="24"/>
        </w:rPr>
        <w:t xml:space="preserve">has been widely validated for clinical practice for over 60 years. </w:t>
      </w:r>
    </w:p>
    <w:p w14:paraId="64094B95" w14:textId="77777777" w:rsidR="00F30A75" w:rsidRPr="00B909F3" w:rsidRDefault="00F30A75" w:rsidP="00197EDE">
      <w:pPr>
        <w:adjustRightInd w:val="0"/>
        <w:snapToGrid w:val="0"/>
        <w:spacing w:after="0" w:line="360" w:lineRule="auto"/>
        <w:jc w:val="both"/>
        <w:rPr>
          <w:rFonts w:ascii="Book Antiqua" w:hAnsi="Book Antiqua"/>
          <w:b/>
          <w:i/>
          <w:szCs w:val="24"/>
        </w:rPr>
      </w:pPr>
    </w:p>
    <w:p w14:paraId="61EBC86C" w14:textId="77777777" w:rsidR="00F30A75" w:rsidRPr="00B909F3" w:rsidRDefault="0076762A" w:rsidP="00197EDE">
      <w:pPr>
        <w:adjustRightInd w:val="0"/>
        <w:snapToGrid w:val="0"/>
        <w:spacing w:after="0" w:line="360" w:lineRule="auto"/>
        <w:jc w:val="both"/>
        <w:rPr>
          <w:rFonts w:ascii="Book Antiqua" w:hAnsi="Book Antiqua"/>
          <w:b/>
          <w:i/>
          <w:szCs w:val="24"/>
        </w:rPr>
      </w:pPr>
      <w:r w:rsidRPr="00B909F3">
        <w:rPr>
          <w:rFonts w:ascii="Book Antiqua" w:hAnsi="Book Antiqua"/>
          <w:b/>
          <w:i/>
          <w:szCs w:val="24"/>
        </w:rPr>
        <w:t>Research motivation</w:t>
      </w:r>
    </w:p>
    <w:p w14:paraId="2D0A46D0" w14:textId="77777777" w:rsidR="00F30A75" w:rsidRPr="00B909F3" w:rsidRDefault="00CE7555" w:rsidP="00197EDE">
      <w:pPr>
        <w:adjustRightInd w:val="0"/>
        <w:snapToGrid w:val="0"/>
        <w:spacing w:after="0" w:line="360" w:lineRule="auto"/>
        <w:jc w:val="both"/>
        <w:rPr>
          <w:rFonts w:ascii="Book Antiqua" w:hAnsi="Book Antiqua"/>
          <w:b/>
          <w:i/>
          <w:szCs w:val="24"/>
        </w:rPr>
      </w:pPr>
      <w:r w:rsidRPr="00B909F3">
        <w:rPr>
          <w:rFonts w:ascii="Book Antiqua" w:hAnsi="Book Antiqua"/>
          <w:szCs w:val="24"/>
        </w:rPr>
        <w:t>To investigate the impact of frailty on liver transplant outcomes.</w:t>
      </w:r>
    </w:p>
    <w:p w14:paraId="2FD08581" w14:textId="77777777" w:rsidR="00F30A75" w:rsidRPr="00B909F3" w:rsidRDefault="00F30A75" w:rsidP="00197EDE">
      <w:pPr>
        <w:adjustRightInd w:val="0"/>
        <w:snapToGrid w:val="0"/>
        <w:spacing w:after="0" w:line="360" w:lineRule="auto"/>
        <w:jc w:val="both"/>
        <w:rPr>
          <w:rFonts w:ascii="Book Antiqua" w:hAnsi="Book Antiqua"/>
          <w:b/>
          <w:i/>
          <w:szCs w:val="24"/>
        </w:rPr>
      </w:pPr>
    </w:p>
    <w:p w14:paraId="0AAB7327" w14:textId="77777777" w:rsidR="00F30A75" w:rsidRPr="00B909F3" w:rsidRDefault="0076762A" w:rsidP="00197EDE">
      <w:pPr>
        <w:adjustRightInd w:val="0"/>
        <w:snapToGrid w:val="0"/>
        <w:spacing w:after="0" w:line="360" w:lineRule="auto"/>
        <w:jc w:val="both"/>
        <w:rPr>
          <w:rFonts w:ascii="Book Antiqua" w:hAnsi="Book Antiqua"/>
          <w:b/>
          <w:i/>
          <w:szCs w:val="24"/>
        </w:rPr>
      </w:pPr>
      <w:r w:rsidRPr="00B909F3">
        <w:rPr>
          <w:rFonts w:ascii="Book Antiqua" w:hAnsi="Book Antiqua"/>
          <w:b/>
          <w:i/>
          <w:szCs w:val="24"/>
        </w:rPr>
        <w:t>Research objectives</w:t>
      </w:r>
    </w:p>
    <w:p w14:paraId="11D77247" w14:textId="77777777" w:rsidR="00F30A75" w:rsidRPr="00B909F3" w:rsidRDefault="00790019" w:rsidP="00197EDE">
      <w:pPr>
        <w:adjustRightInd w:val="0"/>
        <w:snapToGrid w:val="0"/>
        <w:spacing w:after="0" w:line="360" w:lineRule="auto"/>
        <w:jc w:val="both"/>
        <w:rPr>
          <w:rFonts w:ascii="Book Antiqua" w:hAnsi="Book Antiqua"/>
          <w:b/>
          <w:i/>
          <w:szCs w:val="24"/>
        </w:rPr>
      </w:pPr>
      <w:r w:rsidRPr="00B909F3">
        <w:rPr>
          <w:rFonts w:ascii="Book Antiqua" w:hAnsi="Book Antiqua" w:cs="Arial"/>
          <w:szCs w:val="24"/>
        </w:rPr>
        <w:t>We wanted to determine the extent to which poor pre-transplant functional status, assessed using the KPS scale, is associated with increased risk of mortality and/or graft failure at 1-year post-transplantation. This would give clinicians some objective assessment and help on the decision to allocate livers for high-risk recipients.</w:t>
      </w:r>
    </w:p>
    <w:p w14:paraId="070DD9EB" w14:textId="77777777" w:rsidR="00F30A75" w:rsidRPr="00B909F3" w:rsidRDefault="00F30A75" w:rsidP="00197EDE">
      <w:pPr>
        <w:adjustRightInd w:val="0"/>
        <w:snapToGrid w:val="0"/>
        <w:spacing w:after="0" w:line="360" w:lineRule="auto"/>
        <w:jc w:val="both"/>
        <w:rPr>
          <w:rFonts w:ascii="Book Antiqua" w:hAnsi="Book Antiqua"/>
          <w:b/>
          <w:i/>
          <w:szCs w:val="24"/>
        </w:rPr>
      </w:pPr>
    </w:p>
    <w:p w14:paraId="7E75CFE4" w14:textId="1147B595" w:rsidR="0076762A" w:rsidRPr="00B909F3" w:rsidRDefault="0076762A" w:rsidP="00197EDE">
      <w:pPr>
        <w:adjustRightInd w:val="0"/>
        <w:snapToGrid w:val="0"/>
        <w:spacing w:after="0" w:line="360" w:lineRule="auto"/>
        <w:jc w:val="both"/>
        <w:rPr>
          <w:rFonts w:ascii="Book Antiqua" w:hAnsi="Book Antiqua"/>
          <w:b/>
          <w:i/>
          <w:szCs w:val="24"/>
        </w:rPr>
      </w:pPr>
      <w:r w:rsidRPr="00B909F3">
        <w:rPr>
          <w:rFonts w:ascii="Book Antiqua" w:hAnsi="Book Antiqua"/>
          <w:b/>
          <w:i/>
          <w:szCs w:val="24"/>
        </w:rPr>
        <w:t>Research methods</w:t>
      </w:r>
    </w:p>
    <w:p w14:paraId="5A393AA7" w14:textId="7C8481F8" w:rsidR="00790019" w:rsidRPr="00B909F3" w:rsidRDefault="00A2312A" w:rsidP="00197EDE">
      <w:pPr>
        <w:spacing w:after="0" w:line="360" w:lineRule="auto"/>
        <w:jc w:val="both"/>
        <w:rPr>
          <w:rFonts w:ascii="Book Antiqua" w:hAnsi="Book Antiqua" w:cs="Arial"/>
          <w:szCs w:val="24"/>
        </w:rPr>
      </w:pPr>
      <w:r w:rsidRPr="00B909F3">
        <w:rPr>
          <w:rFonts w:ascii="Book Antiqua" w:hAnsi="Book Antiqua" w:cs="Arial"/>
          <w:szCs w:val="24"/>
        </w:rPr>
        <w:t xml:space="preserve">This study included 38278 </w:t>
      </w:r>
      <w:r w:rsidR="009361E1" w:rsidRPr="00B909F3">
        <w:rPr>
          <w:rFonts w:ascii="Book Antiqua" w:hAnsi="Book Antiqua" w:cs="Arial"/>
          <w:szCs w:val="24"/>
        </w:rPr>
        <w:t>United States</w:t>
      </w:r>
      <w:r w:rsidRPr="00B909F3">
        <w:rPr>
          <w:rFonts w:ascii="Book Antiqua" w:hAnsi="Book Antiqua" w:cs="Arial"/>
          <w:szCs w:val="24"/>
        </w:rPr>
        <w:t xml:space="preserve"> adults who underwent first, non-urgent, liver-only transplantation from 2005 to 2014 (Scientific Registry of Transplant Recipients). Functional impairment/disability was categorized as </w:t>
      </w:r>
      <w:r w:rsidR="009361E1" w:rsidRPr="00B909F3">
        <w:rPr>
          <w:rFonts w:ascii="Book Antiqua" w:hAnsi="Book Antiqua" w:cs="Arial"/>
          <w:szCs w:val="24"/>
        </w:rPr>
        <w:t xml:space="preserve">severe </w:t>
      </w:r>
      <w:r w:rsidRPr="00B909F3">
        <w:rPr>
          <w:rFonts w:ascii="Book Antiqua" w:hAnsi="Book Antiqua" w:cs="Arial"/>
          <w:szCs w:val="24"/>
        </w:rPr>
        <w:t>(10</w:t>
      </w:r>
      <w:r w:rsidR="009361E1" w:rsidRPr="00B909F3">
        <w:rPr>
          <w:rFonts w:ascii="Book Antiqua" w:hAnsi="Book Antiqua" w:cs="Arial"/>
          <w:szCs w:val="24"/>
        </w:rPr>
        <w:t>%-</w:t>
      </w:r>
      <w:r w:rsidRPr="00B909F3">
        <w:rPr>
          <w:rFonts w:ascii="Book Antiqua" w:hAnsi="Book Antiqua" w:cs="Arial"/>
          <w:szCs w:val="24"/>
        </w:rPr>
        <w:t xml:space="preserve">40%), </w:t>
      </w:r>
      <w:r w:rsidR="009361E1" w:rsidRPr="00B909F3">
        <w:rPr>
          <w:rFonts w:ascii="Book Antiqua" w:hAnsi="Book Antiqua" w:cs="Arial"/>
          <w:szCs w:val="24"/>
        </w:rPr>
        <w:t xml:space="preserve">moderate </w:t>
      </w:r>
      <w:r w:rsidRPr="00B909F3">
        <w:rPr>
          <w:rFonts w:ascii="Book Antiqua" w:hAnsi="Book Antiqua" w:cs="Arial"/>
          <w:szCs w:val="24"/>
        </w:rPr>
        <w:t>(50</w:t>
      </w:r>
      <w:r w:rsidR="009361E1" w:rsidRPr="00B909F3">
        <w:rPr>
          <w:rFonts w:ascii="Book Antiqua" w:hAnsi="Book Antiqua" w:cs="Arial"/>
          <w:szCs w:val="24"/>
        </w:rPr>
        <w:t>%-</w:t>
      </w:r>
      <w:r w:rsidRPr="00B909F3">
        <w:rPr>
          <w:rFonts w:ascii="Book Antiqua" w:hAnsi="Book Antiqua" w:cs="Arial"/>
          <w:szCs w:val="24"/>
        </w:rPr>
        <w:t xml:space="preserve">70%), or </w:t>
      </w:r>
      <w:r w:rsidR="009361E1" w:rsidRPr="00B909F3">
        <w:rPr>
          <w:rFonts w:ascii="Book Antiqua" w:hAnsi="Book Antiqua" w:cs="Arial"/>
          <w:szCs w:val="24"/>
        </w:rPr>
        <w:t>none</w:t>
      </w:r>
      <w:r w:rsidRPr="00B909F3">
        <w:rPr>
          <w:rFonts w:ascii="Book Antiqua" w:hAnsi="Book Antiqua" w:cs="Arial"/>
          <w:szCs w:val="24"/>
        </w:rPr>
        <w:t>/</w:t>
      </w:r>
      <w:r w:rsidR="009361E1" w:rsidRPr="00B909F3">
        <w:rPr>
          <w:rFonts w:ascii="Book Antiqua" w:hAnsi="Book Antiqua" w:cs="Arial"/>
          <w:szCs w:val="24"/>
        </w:rPr>
        <w:t xml:space="preserve">normal </w:t>
      </w:r>
      <w:r w:rsidRPr="00B909F3">
        <w:rPr>
          <w:rFonts w:ascii="Book Antiqua" w:hAnsi="Book Antiqua" w:cs="Arial"/>
          <w:szCs w:val="24"/>
        </w:rPr>
        <w:t>(80</w:t>
      </w:r>
      <w:r w:rsidR="009361E1" w:rsidRPr="00B909F3">
        <w:rPr>
          <w:rFonts w:ascii="Book Antiqua" w:hAnsi="Book Antiqua" w:cs="Arial"/>
          <w:szCs w:val="24"/>
        </w:rPr>
        <w:t>%-</w:t>
      </w:r>
      <w:r w:rsidRPr="00B909F3">
        <w:rPr>
          <w:rFonts w:ascii="Book Antiqua" w:hAnsi="Book Antiqua" w:cs="Arial"/>
          <w:szCs w:val="24"/>
        </w:rPr>
        <w:t>100%). Analyses were conducted using multivariable-adjusted Cox survival regression models.</w:t>
      </w:r>
      <w:r w:rsidR="00790019" w:rsidRPr="00B909F3">
        <w:rPr>
          <w:rFonts w:ascii="Book Antiqua" w:hAnsi="Book Antiqua" w:cs="Arial"/>
          <w:szCs w:val="24"/>
        </w:rPr>
        <w:t xml:space="preserve"> We explored bivariate relationships between the primary exposure (functional status) and potential confounders of interest using contingency table </w:t>
      </w:r>
      <w:r w:rsidR="00790019" w:rsidRPr="00B909F3">
        <w:rPr>
          <w:rFonts w:ascii="Book Antiqua" w:hAnsi="Book Antiqua" w:cs="Arial"/>
          <w:noProof/>
          <w:szCs w:val="24"/>
        </w:rPr>
        <w:t>analyses</w:t>
      </w:r>
      <w:r w:rsidR="00790019" w:rsidRPr="00B909F3">
        <w:rPr>
          <w:rFonts w:ascii="Book Antiqua" w:hAnsi="Book Antiqua" w:cs="Arial"/>
          <w:szCs w:val="24"/>
        </w:rPr>
        <w:t xml:space="preserve"> </w:t>
      </w:r>
      <w:r w:rsidR="009361E1" w:rsidRPr="00B909F3">
        <w:rPr>
          <w:rFonts w:ascii="Book Antiqua" w:hAnsi="Book Antiqua" w:cs="Arial"/>
          <w:szCs w:val="24"/>
        </w:rPr>
        <w:t>[</w:t>
      </w:r>
      <w:r w:rsidR="00790019" w:rsidRPr="00B909F3">
        <w:rPr>
          <w:rFonts w:ascii="Book Antiqua" w:hAnsi="Book Antiqua" w:cs="Arial"/>
          <w:noProof/>
          <w:szCs w:val="24"/>
        </w:rPr>
        <w:t xml:space="preserve">chi-squared </w:t>
      </w:r>
      <w:r w:rsidR="00790019" w:rsidRPr="00B909F3">
        <w:rPr>
          <w:rFonts w:ascii="Book Antiqua" w:hAnsi="Book Antiqua" w:cs="Arial"/>
          <w:szCs w:val="24"/>
        </w:rPr>
        <w:t>tests for categorical variables, ANOVA for continuous variables, and Spearman's rho (</w:t>
      </w:r>
      <w:proofErr w:type="spellStart"/>
      <w:r w:rsidR="00790019" w:rsidRPr="00B909F3">
        <w:rPr>
          <w:rFonts w:ascii="Book Antiqua" w:hAnsi="Book Antiqua" w:cs="Arial"/>
          <w:i/>
          <w:szCs w:val="24"/>
        </w:rPr>
        <w:t>r</w:t>
      </w:r>
      <w:r w:rsidR="00790019" w:rsidRPr="00B909F3">
        <w:rPr>
          <w:rFonts w:ascii="Book Antiqua" w:hAnsi="Book Antiqua" w:cs="Arial"/>
          <w:szCs w:val="24"/>
          <w:vertAlign w:val="subscript"/>
        </w:rPr>
        <w:t>s</w:t>
      </w:r>
      <w:proofErr w:type="spellEnd"/>
      <w:r w:rsidR="00790019" w:rsidRPr="00B909F3">
        <w:rPr>
          <w:rFonts w:ascii="Book Antiqua" w:hAnsi="Book Antiqua" w:cs="Arial"/>
          <w:szCs w:val="24"/>
        </w:rPr>
        <w:t xml:space="preserve">) for ordered-variable correlations, using expanded KPS, continuous </w:t>
      </w:r>
      <w:r w:rsidR="009361E1" w:rsidRPr="00B909F3">
        <w:rPr>
          <w:rFonts w:ascii="Book Antiqua" w:hAnsi="Book Antiqua" w:cs="Arial"/>
          <w:szCs w:val="24"/>
        </w:rPr>
        <w:t xml:space="preserve">Model for </w:t>
      </w:r>
      <w:r w:rsidR="009361E1" w:rsidRPr="00B909F3">
        <w:rPr>
          <w:rFonts w:ascii="Book Antiqua" w:hAnsi="Book Antiqua" w:cs="Arial"/>
          <w:noProof/>
          <w:szCs w:val="24"/>
        </w:rPr>
        <w:t>End-Stage</w:t>
      </w:r>
      <w:r w:rsidR="009361E1" w:rsidRPr="00B909F3">
        <w:rPr>
          <w:rFonts w:ascii="Book Antiqua" w:hAnsi="Book Antiqua" w:cs="Arial"/>
          <w:szCs w:val="24"/>
        </w:rPr>
        <w:t xml:space="preserve"> for Liver Disease (MELD)]</w:t>
      </w:r>
      <w:r w:rsidR="00790019" w:rsidRPr="00B909F3">
        <w:rPr>
          <w:rFonts w:ascii="Book Antiqua" w:hAnsi="Book Antiqua" w:cs="Arial"/>
          <w:szCs w:val="24"/>
        </w:rPr>
        <w:t xml:space="preserve">. Relationships between variables and post-transplant time were explored graphically. One-year cumulative failure rates were estimated using the </w:t>
      </w:r>
      <w:r w:rsidR="00790019" w:rsidRPr="00B909F3">
        <w:rPr>
          <w:rFonts w:ascii="Book Antiqua" w:hAnsi="Book Antiqua" w:cs="Arial"/>
          <w:noProof/>
          <w:szCs w:val="24"/>
        </w:rPr>
        <w:t>Kaplan Meier</w:t>
      </w:r>
      <w:r w:rsidR="00790019" w:rsidRPr="00B909F3">
        <w:rPr>
          <w:rFonts w:ascii="Book Antiqua" w:hAnsi="Book Antiqua" w:cs="Arial"/>
          <w:szCs w:val="24"/>
        </w:rPr>
        <w:t xml:space="preserve"> method.</w:t>
      </w:r>
    </w:p>
    <w:p w14:paraId="1173B2FC" w14:textId="2F333306" w:rsidR="0076762A" w:rsidRPr="00B909F3" w:rsidRDefault="0076762A" w:rsidP="00197EDE">
      <w:pPr>
        <w:adjustRightInd w:val="0"/>
        <w:snapToGrid w:val="0"/>
        <w:spacing w:after="0" w:line="360" w:lineRule="auto"/>
        <w:jc w:val="both"/>
        <w:rPr>
          <w:rFonts w:ascii="Book Antiqua" w:hAnsi="Book Antiqua"/>
          <w:b/>
          <w:i/>
          <w:szCs w:val="24"/>
        </w:rPr>
      </w:pPr>
    </w:p>
    <w:p w14:paraId="6F8D13A1" w14:textId="48A6F19F" w:rsidR="0076762A" w:rsidRPr="00B909F3" w:rsidRDefault="0076762A" w:rsidP="00197EDE">
      <w:pPr>
        <w:adjustRightInd w:val="0"/>
        <w:snapToGrid w:val="0"/>
        <w:spacing w:after="0" w:line="360" w:lineRule="auto"/>
        <w:jc w:val="both"/>
        <w:rPr>
          <w:rFonts w:ascii="Book Antiqua" w:hAnsi="Book Antiqua"/>
          <w:b/>
          <w:i/>
          <w:szCs w:val="24"/>
        </w:rPr>
      </w:pPr>
      <w:r w:rsidRPr="00B909F3">
        <w:rPr>
          <w:rFonts w:ascii="Book Antiqua" w:hAnsi="Book Antiqua"/>
          <w:b/>
          <w:i/>
          <w:szCs w:val="24"/>
        </w:rPr>
        <w:t>Research results</w:t>
      </w:r>
    </w:p>
    <w:p w14:paraId="47903F65" w14:textId="6B3E81CA" w:rsidR="00A2312A" w:rsidRPr="00B909F3" w:rsidRDefault="00A2312A" w:rsidP="00197EDE">
      <w:pPr>
        <w:adjustRightInd w:val="0"/>
        <w:snapToGrid w:val="0"/>
        <w:spacing w:after="0" w:line="360" w:lineRule="auto"/>
        <w:jc w:val="both"/>
        <w:rPr>
          <w:rFonts w:ascii="Book Antiqua" w:hAnsi="Book Antiqua"/>
          <w:b/>
          <w:i/>
          <w:szCs w:val="24"/>
        </w:rPr>
      </w:pPr>
      <w:r w:rsidRPr="00B909F3">
        <w:rPr>
          <w:rFonts w:ascii="Book Antiqua" w:hAnsi="Book Antiqua" w:cs="Arial"/>
          <w:szCs w:val="24"/>
        </w:rPr>
        <w:t xml:space="preserve">The median age was 56 years, 31% were women, median pre-transplant MELD was 18. Functional impairment was present in 70%; one-quarter of the sample was severely disabled. After controlling for </w:t>
      </w:r>
      <w:r w:rsidRPr="00B909F3">
        <w:rPr>
          <w:rFonts w:ascii="Book Antiqua" w:hAnsi="Book Antiqua" w:cs="Arial"/>
          <w:noProof/>
          <w:szCs w:val="24"/>
        </w:rPr>
        <w:t>key</w:t>
      </w:r>
      <w:r w:rsidRPr="00B909F3">
        <w:rPr>
          <w:rFonts w:ascii="Book Antiqua" w:hAnsi="Book Antiqua" w:cs="Arial"/>
          <w:szCs w:val="24"/>
        </w:rPr>
        <w:t xml:space="preserve"> recipient and donor factors, moderately and severely </w:t>
      </w:r>
      <w:r w:rsidRPr="00B909F3">
        <w:rPr>
          <w:rFonts w:ascii="Book Antiqua" w:hAnsi="Book Antiqua" w:cs="Arial"/>
          <w:szCs w:val="24"/>
        </w:rPr>
        <w:lastRenderedPageBreak/>
        <w:t xml:space="preserve">disabled patients had a 1-year mortality rate of 1.32 </w:t>
      </w:r>
      <w:r w:rsidR="006A44EF" w:rsidRPr="00B909F3">
        <w:rPr>
          <w:rFonts w:ascii="Book Antiqua" w:hAnsi="Book Antiqua" w:cs="Arial"/>
          <w:szCs w:val="24"/>
        </w:rPr>
        <w:t>[confidence interval (CI)</w:t>
      </w:r>
      <w:r w:rsidRPr="00B909F3">
        <w:rPr>
          <w:rFonts w:ascii="Book Antiqua" w:hAnsi="Book Antiqua" w:cs="Arial"/>
          <w:szCs w:val="24"/>
        </w:rPr>
        <w:t>: 1.21</w:t>
      </w:r>
      <w:r w:rsidR="009F4640">
        <w:rPr>
          <w:rFonts w:ascii="Book Antiqua" w:hAnsi="Book Antiqua" w:cs="Arial"/>
          <w:szCs w:val="24"/>
        </w:rPr>
        <w:t>-</w:t>
      </w:r>
      <w:r w:rsidRPr="00B909F3">
        <w:rPr>
          <w:rFonts w:ascii="Book Antiqua" w:hAnsi="Book Antiqua" w:cs="Arial"/>
          <w:szCs w:val="24"/>
        </w:rPr>
        <w:t>1.44</w:t>
      </w:r>
      <w:r w:rsidR="006A44EF" w:rsidRPr="00B909F3">
        <w:rPr>
          <w:rFonts w:ascii="Book Antiqua" w:hAnsi="Book Antiqua" w:cs="Arial"/>
          <w:szCs w:val="24"/>
        </w:rPr>
        <w:t>]</w:t>
      </w:r>
      <w:r w:rsidRPr="00B909F3">
        <w:rPr>
          <w:rFonts w:ascii="Book Antiqua" w:hAnsi="Book Antiqua" w:cs="Arial"/>
          <w:szCs w:val="24"/>
        </w:rPr>
        <w:t xml:space="preserve"> and 1.73 (95%CI: 1.56</w:t>
      </w:r>
      <w:r w:rsidR="006A44EF" w:rsidRPr="00B909F3">
        <w:rPr>
          <w:rFonts w:ascii="Book Antiqua" w:hAnsi="Book Antiqua" w:cs="Arial"/>
          <w:szCs w:val="24"/>
        </w:rPr>
        <w:t>-</w:t>
      </w:r>
      <w:r w:rsidRPr="00B909F3">
        <w:rPr>
          <w:rFonts w:ascii="Book Antiqua" w:hAnsi="Book Antiqua" w:cs="Arial"/>
          <w:szCs w:val="24"/>
        </w:rPr>
        <w:t xml:space="preserve">1.91) compared to patients with no impairment, respectively. Subjects with moderate and severe disability also had a </w:t>
      </w:r>
      <w:r w:rsidRPr="00B909F3">
        <w:rPr>
          <w:rFonts w:ascii="Book Antiqua" w:hAnsi="Book Antiqua" w:cs="Arial"/>
          <w:noProof/>
          <w:szCs w:val="24"/>
        </w:rPr>
        <w:t>multivariable-adjusted</w:t>
      </w:r>
      <w:r w:rsidRPr="00B909F3">
        <w:rPr>
          <w:rFonts w:ascii="Book Antiqua" w:hAnsi="Book Antiqua" w:cs="Arial"/>
          <w:szCs w:val="24"/>
        </w:rPr>
        <w:t xml:space="preserve"> 1-year graft failure rate of 1.13 (CI: 1.02</w:t>
      </w:r>
      <w:r w:rsidR="009F4640">
        <w:rPr>
          <w:rFonts w:ascii="Book Antiqua" w:hAnsi="Book Antiqua" w:cs="Arial"/>
          <w:szCs w:val="24"/>
        </w:rPr>
        <w:t>-</w:t>
      </w:r>
      <w:r w:rsidRPr="00B909F3">
        <w:rPr>
          <w:rFonts w:ascii="Book Antiqua" w:hAnsi="Book Antiqua" w:cs="Arial"/>
          <w:szCs w:val="24"/>
        </w:rPr>
        <w:t>1.24) and 1.16 (CI: 1.02</w:t>
      </w:r>
      <w:r w:rsidR="009F4640">
        <w:rPr>
          <w:rFonts w:ascii="Book Antiqua" w:hAnsi="Book Antiqua" w:cs="Arial"/>
          <w:szCs w:val="24"/>
        </w:rPr>
        <w:t>-</w:t>
      </w:r>
      <w:r w:rsidRPr="00B909F3">
        <w:rPr>
          <w:rFonts w:ascii="Book Antiqua" w:hAnsi="Book Antiqua" w:cs="Arial"/>
          <w:szCs w:val="24"/>
        </w:rPr>
        <w:t>1.31), respectively.</w:t>
      </w:r>
    </w:p>
    <w:p w14:paraId="4DD6BACA" w14:textId="77777777" w:rsidR="00A2312A" w:rsidRPr="00B909F3" w:rsidRDefault="00A2312A" w:rsidP="00197EDE">
      <w:pPr>
        <w:adjustRightInd w:val="0"/>
        <w:snapToGrid w:val="0"/>
        <w:spacing w:after="0" w:line="360" w:lineRule="auto"/>
        <w:jc w:val="both"/>
        <w:rPr>
          <w:rFonts w:ascii="Book Antiqua" w:hAnsi="Book Antiqua"/>
          <w:b/>
          <w:i/>
          <w:szCs w:val="24"/>
        </w:rPr>
      </w:pPr>
    </w:p>
    <w:p w14:paraId="2DE5AD1C" w14:textId="37817BC2" w:rsidR="0076762A" w:rsidRPr="00B909F3" w:rsidRDefault="0076762A" w:rsidP="00197EDE">
      <w:pPr>
        <w:adjustRightInd w:val="0"/>
        <w:snapToGrid w:val="0"/>
        <w:spacing w:after="0" w:line="360" w:lineRule="auto"/>
        <w:jc w:val="both"/>
        <w:rPr>
          <w:rFonts w:ascii="Book Antiqua" w:hAnsi="Book Antiqua"/>
          <w:b/>
          <w:i/>
          <w:szCs w:val="24"/>
        </w:rPr>
      </w:pPr>
      <w:r w:rsidRPr="00B909F3">
        <w:rPr>
          <w:rFonts w:ascii="Book Antiqua" w:hAnsi="Book Antiqua"/>
          <w:b/>
          <w:i/>
          <w:szCs w:val="24"/>
        </w:rPr>
        <w:t>Research conclusions</w:t>
      </w:r>
    </w:p>
    <w:p w14:paraId="2E8B4F97" w14:textId="234A68DC" w:rsidR="00CE7555" w:rsidRPr="00B909F3" w:rsidRDefault="00A2312A" w:rsidP="00197EDE">
      <w:pPr>
        <w:adjustRightInd w:val="0"/>
        <w:snapToGrid w:val="0"/>
        <w:spacing w:after="0" w:line="360" w:lineRule="auto"/>
        <w:jc w:val="both"/>
        <w:rPr>
          <w:rFonts w:ascii="Book Antiqua" w:hAnsi="Book Antiqua"/>
          <w:b/>
          <w:i/>
          <w:szCs w:val="24"/>
        </w:rPr>
      </w:pPr>
      <w:r w:rsidRPr="00B909F3">
        <w:rPr>
          <w:rFonts w:ascii="Book Antiqua" w:hAnsi="Book Antiqua" w:cs="Arial"/>
          <w:szCs w:val="24"/>
        </w:rPr>
        <w:t>Pre-transplant functional status is a useful prognostic indicator for 1-year post-transplant patient and graft survival.</w:t>
      </w:r>
      <w:bookmarkStart w:id="29" w:name="_Hlk536048900"/>
      <w:r w:rsidR="009361E1" w:rsidRPr="00B909F3">
        <w:rPr>
          <w:rFonts w:ascii="Book Antiqua" w:eastAsia="SimSun" w:hAnsi="Book Antiqua"/>
          <w:b/>
          <w:i/>
          <w:szCs w:val="24"/>
          <w:lang w:eastAsia="zh-CN"/>
        </w:rPr>
        <w:t xml:space="preserve"> </w:t>
      </w:r>
      <w:r w:rsidR="00CE7555" w:rsidRPr="00B909F3">
        <w:rPr>
          <w:rFonts w:ascii="Book Antiqua" w:hAnsi="Book Antiqua" w:cs="Arial"/>
          <w:szCs w:val="24"/>
        </w:rPr>
        <w:t>It is important to continue to develop objective measures for describing global health status and illness severity to help in the allocation of organs and waitlist management, patient health improvement, and accurate adjustment for transplant center case-mix for transplant reimbursement.</w:t>
      </w:r>
      <w:bookmarkEnd w:id="29"/>
      <w:r w:rsidR="009361E1" w:rsidRPr="00B909F3">
        <w:rPr>
          <w:rFonts w:ascii="Book Antiqua" w:eastAsia="SimSun" w:hAnsi="Book Antiqua"/>
          <w:b/>
          <w:i/>
          <w:szCs w:val="24"/>
          <w:lang w:eastAsia="zh-CN"/>
        </w:rPr>
        <w:t xml:space="preserve"> </w:t>
      </w:r>
      <w:r w:rsidR="00CE7555" w:rsidRPr="00B909F3">
        <w:rPr>
          <w:rFonts w:ascii="Book Antiqua" w:hAnsi="Book Antiqua" w:cs="Arial"/>
          <w:szCs w:val="24"/>
        </w:rPr>
        <w:t>We present data from the first national study illustrating the role of pre-transplant functional status as a predictor of one-year survival among liver transplant recipients. Our results are in agreement with the findings from earlier studies that evaluated Poor functional status as a predictor of adverse transplant outcomes</w:t>
      </w:r>
      <w:r w:rsidR="009361E1" w:rsidRPr="00B909F3">
        <w:rPr>
          <w:rFonts w:ascii="Book Antiqua" w:eastAsia="SimSun" w:hAnsi="Book Antiqua"/>
          <w:b/>
          <w:i/>
          <w:szCs w:val="24"/>
          <w:lang w:eastAsia="zh-CN"/>
        </w:rPr>
        <w:t xml:space="preserve">. </w:t>
      </w:r>
      <w:r w:rsidR="00CE7555" w:rsidRPr="00B909F3">
        <w:rPr>
          <w:rFonts w:ascii="Book Antiqua" w:hAnsi="Book Antiqua"/>
          <w:szCs w:val="24"/>
        </w:rPr>
        <w:t>We have not proposed any theory.</w:t>
      </w:r>
      <w:bookmarkStart w:id="30" w:name="_Hlk536049639"/>
      <w:r w:rsidR="009361E1" w:rsidRPr="00B909F3">
        <w:rPr>
          <w:rFonts w:ascii="Book Antiqua" w:eastAsia="SimSun" w:hAnsi="Book Antiqua"/>
          <w:b/>
          <w:i/>
          <w:szCs w:val="24"/>
          <w:lang w:eastAsia="zh-CN"/>
        </w:rPr>
        <w:t xml:space="preserve"> </w:t>
      </w:r>
      <w:r w:rsidR="00871D2D" w:rsidRPr="00B909F3">
        <w:rPr>
          <w:rFonts w:ascii="Book Antiqua" w:hAnsi="Book Antiqua" w:cs="Arial"/>
          <w:szCs w:val="24"/>
        </w:rPr>
        <w:t>The index of frailty -</w:t>
      </w:r>
      <w:r w:rsidR="009361E1" w:rsidRPr="00B909F3">
        <w:rPr>
          <w:rFonts w:ascii="Book Antiqua" w:hAnsi="Book Antiqua" w:cs="Arial"/>
          <w:szCs w:val="24"/>
        </w:rPr>
        <w:t xml:space="preserve"> </w:t>
      </w:r>
      <w:r w:rsidR="00871D2D" w:rsidRPr="00B909F3">
        <w:rPr>
          <w:rFonts w:ascii="Book Antiqua" w:hAnsi="Book Antiqua" w:cs="Arial"/>
          <w:szCs w:val="24"/>
        </w:rPr>
        <w:t>The KPS scale</w:t>
      </w:r>
      <w:r w:rsidR="009361E1" w:rsidRPr="00B909F3">
        <w:rPr>
          <w:rFonts w:ascii="Book Antiqua" w:hAnsi="Book Antiqua" w:cs="Arial"/>
          <w:szCs w:val="24"/>
        </w:rPr>
        <w:t xml:space="preserve"> </w:t>
      </w:r>
      <w:r w:rsidR="00871D2D" w:rsidRPr="00B909F3">
        <w:rPr>
          <w:rFonts w:ascii="Book Antiqua" w:hAnsi="Book Antiqua" w:cs="Arial"/>
          <w:szCs w:val="24"/>
        </w:rPr>
        <w:t xml:space="preserve">- can be used as a predictor of 1-year post-transplant outcomes (patient and graft survival) in a national </w:t>
      </w:r>
      <w:r w:rsidR="009361E1" w:rsidRPr="00B909F3">
        <w:rPr>
          <w:rFonts w:ascii="Book Antiqua" w:hAnsi="Book Antiqua" w:cs="Arial"/>
          <w:szCs w:val="24"/>
        </w:rPr>
        <w:t>United States</w:t>
      </w:r>
      <w:r w:rsidR="00871D2D" w:rsidRPr="00B909F3">
        <w:rPr>
          <w:rFonts w:ascii="Book Antiqua" w:hAnsi="Book Antiqua" w:cs="Arial"/>
          <w:szCs w:val="24"/>
        </w:rPr>
        <w:t xml:space="preserve"> liver transplant population. </w:t>
      </w:r>
      <w:bookmarkEnd w:id="30"/>
      <w:r w:rsidR="00DF39AB" w:rsidRPr="00B909F3">
        <w:rPr>
          <w:rFonts w:ascii="Book Antiqua" w:hAnsi="Book Antiqua"/>
          <w:szCs w:val="24"/>
        </w:rPr>
        <w:t>Poor functional status predicts 1-year post-liver transplant outcomes.</w:t>
      </w:r>
      <w:r w:rsidR="009361E1" w:rsidRPr="00B909F3">
        <w:rPr>
          <w:rFonts w:ascii="Book Antiqua" w:eastAsia="SimSun" w:hAnsi="Book Antiqua"/>
          <w:b/>
          <w:i/>
          <w:szCs w:val="24"/>
          <w:lang w:eastAsia="zh-CN"/>
        </w:rPr>
        <w:t xml:space="preserve"> </w:t>
      </w:r>
      <w:r w:rsidR="00CE7555" w:rsidRPr="00B909F3">
        <w:rPr>
          <w:rFonts w:ascii="Book Antiqua" w:hAnsi="Book Antiqua"/>
          <w:szCs w:val="24"/>
        </w:rPr>
        <w:t>No new method</w:t>
      </w:r>
      <w:r w:rsidR="00DF39AB" w:rsidRPr="00B909F3">
        <w:rPr>
          <w:rFonts w:ascii="Book Antiqua" w:hAnsi="Book Antiqua"/>
          <w:szCs w:val="24"/>
        </w:rPr>
        <w:t xml:space="preserve">s </w:t>
      </w:r>
      <w:r w:rsidR="00CE7555" w:rsidRPr="00B909F3">
        <w:rPr>
          <w:rFonts w:ascii="Book Antiqua" w:hAnsi="Book Antiqua"/>
          <w:szCs w:val="24"/>
        </w:rPr>
        <w:t>were proposed. We used very well-established methods of outcome research.</w:t>
      </w:r>
      <w:r w:rsidR="00871D2D" w:rsidRPr="00B909F3">
        <w:rPr>
          <w:rFonts w:ascii="Book Antiqua" w:hAnsi="Book Antiqua" w:cs="Arial"/>
          <w:szCs w:val="24"/>
        </w:rPr>
        <w:t xml:space="preserve"> </w:t>
      </w:r>
      <w:r w:rsidR="00CE7555" w:rsidRPr="00B909F3">
        <w:rPr>
          <w:rFonts w:ascii="Book Antiqua" w:hAnsi="Book Antiqua" w:cs="Arial"/>
          <w:szCs w:val="24"/>
        </w:rPr>
        <w:t>It will help to determine objective measures for describing frailty and overall clinical status to help in the allocation of organs and waitlist management, patient health improvement, transplant reimbursement, and policy changes.</w:t>
      </w:r>
    </w:p>
    <w:p w14:paraId="2755C117" w14:textId="77777777" w:rsidR="00CE7555" w:rsidRPr="00B909F3" w:rsidRDefault="00CE7555" w:rsidP="00197EDE">
      <w:pPr>
        <w:adjustRightInd w:val="0"/>
        <w:snapToGrid w:val="0"/>
        <w:spacing w:after="0" w:line="360" w:lineRule="auto"/>
        <w:jc w:val="both"/>
        <w:rPr>
          <w:rFonts w:ascii="Book Antiqua" w:hAnsi="Book Antiqua"/>
          <w:b/>
          <w:i/>
          <w:szCs w:val="24"/>
        </w:rPr>
      </w:pPr>
    </w:p>
    <w:p w14:paraId="08B9C368" w14:textId="77777777" w:rsidR="00A2312A" w:rsidRPr="00B909F3" w:rsidRDefault="00A2312A" w:rsidP="00197EDE">
      <w:pPr>
        <w:adjustRightInd w:val="0"/>
        <w:snapToGrid w:val="0"/>
        <w:spacing w:after="0" w:line="360" w:lineRule="auto"/>
        <w:jc w:val="both"/>
        <w:rPr>
          <w:rFonts w:ascii="Book Antiqua" w:hAnsi="Book Antiqua"/>
          <w:b/>
          <w:i/>
          <w:szCs w:val="24"/>
        </w:rPr>
      </w:pPr>
      <w:r w:rsidRPr="00B909F3">
        <w:rPr>
          <w:rFonts w:ascii="Book Antiqua" w:hAnsi="Book Antiqua"/>
          <w:b/>
          <w:i/>
          <w:szCs w:val="24"/>
        </w:rPr>
        <w:t>Research perspectives</w:t>
      </w:r>
    </w:p>
    <w:p w14:paraId="4A4B8E50" w14:textId="74E835E1" w:rsidR="00A2312A" w:rsidRPr="00B909F3" w:rsidRDefault="00871D2D" w:rsidP="00197EDE">
      <w:pPr>
        <w:adjustRightInd w:val="0"/>
        <w:snapToGrid w:val="0"/>
        <w:spacing w:after="0" w:line="360" w:lineRule="auto"/>
        <w:jc w:val="both"/>
        <w:rPr>
          <w:rFonts w:ascii="Book Antiqua" w:hAnsi="Book Antiqua"/>
          <w:szCs w:val="24"/>
        </w:rPr>
      </w:pPr>
      <w:r w:rsidRPr="00B909F3">
        <w:rPr>
          <w:rFonts w:ascii="Book Antiqua" w:hAnsi="Book Antiqua"/>
          <w:szCs w:val="24"/>
        </w:rPr>
        <w:t>That patients’ pre-transplant frailty plays a critical role in transplant outcomes and the transplant community need to study it with more detail.</w:t>
      </w:r>
      <w:r w:rsidR="00A964E0" w:rsidRPr="00B909F3">
        <w:rPr>
          <w:rFonts w:ascii="Book Antiqua" w:eastAsia="SimSun" w:hAnsi="Book Antiqua"/>
          <w:szCs w:val="24"/>
          <w:lang w:eastAsia="zh-CN"/>
        </w:rPr>
        <w:t xml:space="preserve"> </w:t>
      </w:r>
      <w:r w:rsidR="00CE7555" w:rsidRPr="00B909F3">
        <w:rPr>
          <w:rFonts w:ascii="Book Antiqua" w:hAnsi="Book Antiqua"/>
          <w:szCs w:val="24"/>
        </w:rPr>
        <w:t xml:space="preserve">To perform prospective and randomized studies </w:t>
      </w:r>
      <w:bookmarkStart w:id="31" w:name="_Hlk536049214"/>
      <w:r w:rsidR="00CE7555" w:rsidRPr="00B909F3">
        <w:rPr>
          <w:rFonts w:ascii="Book Antiqua" w:hAnsi="Book Antiqua"/>
          <w:szCs w:val="24"/>
        </w:rPr>
        <w:t>associating frailty index with other biomarkers and correlate them with transplant outcomes.</w:t>
      </w:r>
      <w:bookmarkEnd w:id="31"/>
      <w:r w:rsidR="00A964E0" w:rsidRPr="00B909F3">
        <w:rPr>
          <w:rFonts w:ascii="Book Antiqua" w:eastAsia="SimSun" w:hAnsi="Book Antiqua"/>
          <w:szCs w:val="24"/>
          <w:lang w:eastAsia="zh-CN"/>
        </w:rPr>
        <w:t xml:space="preserve"> </w:t>
      </w:r>
      <w:r w:rsidRPr="00B909F3">
        <w:rPr>
          <w:rFonts w:ascii="Book Antiqua" w:hAnsi="Book Antiqua"/>
          <w:szCs w:val="24"/>
        </w:rPr>
        <w:t>Associating frailty indexes with other biomarkers and correlate them with transplant outcomes. To measure the impact of interventions to improve frailty pre-transp</w:t>
      </w:r>
      <w:r w:rsidR="00DF39AB" w:rsidRPr="00B909F3">
        <w:rPr>
          <w:rFonts w:ascii="Book Antiqua" w:hAnsi="Book Antiqua"/>
          <w:szCs w:val="24"/>
        </w:rPr>
        <w:t>l</w:t>
      </w:r>
      <w:r w:rsidRPr="00B909F3">
        <w:rPr>
          <w:rFonts w:ascii="Book Antiqua" w:hAnsi="Book Antiqua"/>
          <w:szCs w:val="24"/>
        </w:rPr>
        <w:t>ant and correlate it with outcomes.</w:t>
      </w:r>
    </w:p>
    <w:p w14:paraId="3522F733" w14:textId="58060EE1" w:rsidR="0076762A" w:rsidRDefault="0076762A" w:rsidP="00197EDE">
      <w:pPr>
        <w:spacing w:after="0" w:line="360" w:lineRule="auto"/>
        <w:jc w:val="both"/>
        <w:rPr>
          <w:rFonts w:ascii="Book Antiqua" w:eastAsia="SimSun" w:hAnsi="Book Antiqua" w:cs="Arial"/>
          <w:szCs w:val="24"/>
          <w:lang w:eastAsia="zh-CN"/>
        </w:rPr>
      </w:pPr>
    </w:p>
    <w:p w14:paraId="7B75A82C" w14:textId="6BC1A967" w:rsidR="009F4640" w:rsidRDefault="009F4640">
      <w:pPr>
        <w:spacing w:after="0" w:line="240" w:lineRule="auto"/>
        <w:rPr>
          <w:rFonts w:ascii="Book Antiqua" w:eastAsia="SimSun" w:hAnsi="Book Antiqua" w:cs="Arial"/>
          <w:szCs w:val="24"/>
          <w:lang w:eastAsia="zh-CN"/>
        </w:rPr>
      </w:pPr>
      <w:r>
        <w:rPr>
          <w:rFonts w:ascii="Book Antiqua" w:eastAsia="SimSun" w:hAnsi="Book Antiqua" w:cs="Arial"/>
          <w:szCs w:val="24"/>
          <w:lang w:eastAsia="zh-CN"/>
        </w:rPr>
        <w:br w:type="page"/>
      </w:r>
    </w:p>
    <w:p w14:paraId="005CF6BA" w14:textId="4A611055" w:rsidR="00A0269B" w:rsidRPr="00B909F3" w:rsidRDefault="009E616F" w:rsidP="00197EDE">
      <w:pPr>
        <w:spacing w:after="0" w:line="360" w:lineRule="auto"/>
        <w:jc w:val="both"/>
        <w:rPr>
          <w:rFonts w:ascii="Book Antiqua" w:hAnsi="Book Antiqua" w:cs="Arial"/>
          <w:szCs w:val="24"/>
        </w:rPr>
      </w:pPr>
      <w:r w:rsidRPr="00B909F3">
        <w:rPr>
          <w:rFonts w:ascii="Book Antiqua" w:hAnsi="Book Antiqua" w:cs="Arial"/>
          <w:b/>
          <w:szCs w:val="24"/>
        </w:rPr>
        <w:lastRenderedPageBreak/>
        <w:t>REFERENCES</w:t>
      </w:r>
    </w:p>
    <w:p w14:paraId="50BDC172"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1 </w:t>
      </w:r>
      <w:proofErr w:type="spellStart"/>
      <w:r w:rsidRPr="00B909F3">
        <w:rPr>
          <w:rFonts w:ascii="Book Antiqua" w:hAnsi="Book Antiqua"/>
          <w:b/>
          <w:szCs w:val="24"/>
        </w:rPr>
        <w:t>Saidi</w:t>
      </w:r>
      <w:proofErr w:type="spellEnd"/>
      <w:r w:rsidRPr="00B909F3">
        <w:rPr>
          <w:rFonts w:ascii="Book Antiqua" w:hAnsi="Book Antiqua"/>
          <w:b/>
          <w:szCs w:val="24"/>
        </w:rPr>
        <w:t xml:space="preserve"> RF</w:t>
      </w:r>
      <w:r w:rsidRPr="00B909F3">
        <w:rPr>
          <w:rFonts w:ascii="Book Antiqua" w:hAnsi="Book Antiqua"/>
          <w:szCs w:val="24"/>
        </w:rPr>
        <w:t xml:space="preserve">, </w:t>
      </w:r>
      <w:proofErr w:type="spellStart"/>
      <w:r w:rsidRPr="00B909F3">
        <w:rPr>
          <w:rFonts w:ascii="Book Antiqua" w:hAnsi="Book Antiqua"/>
          <w:szCs w:val="24"/>
        </w:rPr>
        <w:t>Markmann</w:t>
      </w:r>
      <w:proofErr w:type="spellEnd"/>
      <w:r w:rsidRPr="00B909F3">
        <w:rPr>
          <w:rFonts w:ascii="Book Antiqua" w:hAnsi="Book Antiqua"/>
          <w:szCs w:val="24"/>
        </w:rPr>
        <w:t xml:space="preserve"> JF, </w:t>
      </w:r>
      <w:proofErr w:type="spellStart"/>
      <w:r w:rsidRPr="00B909F3">
        <w:rPr>
          <w:rFonts w:ascii="Book Antiqua" w:hAnsi="Book Antiqua"/>
          <w:szCs w:val="24"/>
        </w:rPr>
        <w:t>Jabbour</w:t>
      </w:r>
      <w:proofErr w:type="spellEnd"/>
      <w:r w:rsidRPr="00B909F3">
        <w:rPr>
          <w:rFonts w:ascii="Book Antiqua" w:hAnsi="Book Antiqua"/>
          <w:szCs w:val="24"/>
        </w:rPr>
        <w:t xml:space="preserve"> N, Li Y, Shah SA, </w:t>
      </w:r>
      <w:proofErr w:type="spellStart"/>
      <w:r w:rsidRPr="00B909F3">
        <w:rPr>
          <w:rFonts w:ascii="Book Antiqua" w:hAnsi="Book Antiqua"/>
          <w:szCs w:val="24"/>
        </w:rPr>
        <w:t>Cosimi</w:t>
      </w:r>
      <w:proofErr w:type="spellEnd"/>
      <w:r w:rsidRPr="00B909F3">
        <w:rPr>
          <w:rFonts w:ascii="Book Antiqua" w:hAnsi="Book Antiqua"/>
          <w:szCs w:val="24"/>
        </w:rPr>
        <w:t xml:space="preserve"> AB, </w:t>
      </w:r>
      <w:proofErr w:type="spellStart"/>
      <w:r w:rsidRPr="00B909F3">
        <w:rPr>
          <w:rFonts w:ascii="Book Antiqua" w:hAnsi="Book Antiqua"/>
          <w:szCs w:val="24"/>
        </w:rPr>
        <w:t>Bozorgzadeh</w:t>
      </w:r>
      <w:proofErr w:type="spellEnd"/>
      <w:r w:rsidRPr="00B909F3">
        <w:rPr>
          <w:rFonts w:ascii="Book Antiqua" w:hAnsi="Book Antiqua"/>
          <w:szCs w:val="24"/>
        </w:rPr>
        <w:t xml:space="preserve"> A. The faltering solid organ donor pool in the United States (2001-2010). </w:t>
      </w:r>
      <w:r w:rsidRPr="00B909F3">
        <w:rPr>
          <w:rFonts w:ascii="Book Antiqua" w:hAnsi="Book Antiqua"/>
          <w:i/>
          <w:szCs w:val="24"/>
        </w:rPr>
        <w:t>World J Surg</w:t>
      </w:r>
      <w:r w:rsidRPr="00B909F3">
        <w:rPr>
          <w:rFonts w:ascii="Book Antiqua" w:hAnsi="Book Antiqua"/>
          <w:szCs w:val="24"/>
        </w:rPr>
        <w:t xml:space="preserve"> 2012; </w:t>
      </w:r>
      <w:r w:rsidRPr="00B909F3">
        <w:rPr>
          <w:rFonts w:ascii="Book Antiqua" w:hAnsi="Book Antiqua"/>
          <w:b/>
          <w:szCs w:val="24"/>
        </w:rPr>
        <w:t>36</w:t>
      </w:r>
      <w:r w:rsidRPr="00B909F3">
        <w:rPr>
          <w:rFonts w:ascii="Book Antiqua" w:hAnsi="Book Antiqua"/>
          <w:szCs w:val="24"/>
        </w:rPr>
        <w:t>: 2909-2913 [PMID: 22933050 DOI: 10.1007/s00268-012-1748-0]</w:t>
      </w:r>
    </w:p>
    <w:p w14:paraId="1AB31B8B"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 </w:t>
      </w:r>
      <w:r w:rsidRPr="00B909F3">
        <w:rPr>
          <w:rFonts w:ascii="Book Antiqua" w:hAnsi="Book Antiqua"/>
          <w:b/>
          <w:szCs w:val="24"/>
        </w:rPr>
        <w:t>Kim WR</w:t>
      </w:r>
      <w:r w:rsidRPr="00B909F3">
        <w:rPr>
          <w:rFonts w:ascii="Book Antiqua" w:hAnsi="Book Antiqua"/>
          <w:szCs w:val="24"/>
        </w:rPr>
        <w:t xml:space="preserve">, Lake JR, Smith JM, </w:t>
      </w:r>
      <w:proofErr w:type="spellStart"/>
      <w:r w:rsidRPr="00B909F3">
        <w:rPr>
          <w:rFonts w:ascii="Book Antiqua" w:hAnsi="Book Antiqua"/>
          <w:szCs w:val="24"/>
        </w:rPr>
        <w:t>Skeans</w:t>
      </w:r>
      <w:proofErr w:type="spellEnd"/>
      <w:r w:rsidRPr="00B909F3">
        <w:rPr>
          <w:rFonts w:ascii="Book Antiqua" w:hAnsi="Book Antiqua"/>
          <w:szCs w:val="24"/>
        </w:rPr>
        <w:t xml:space="preserve"> MA, </w:t>
      </w:r>
      <w:proofErr w:type="spellStart"/>
      <w:r w:rsidRPr="00B909F3">
        <w:rPr>
          <w:rFonts w:ascii="Book Antiqua" w:hAnsi="Book Antiqua"/>
          <w:szCs w:val="24"/>
        </w:rPr>
        <w:t>Schladt</w:t>
      </w:r>
      <w:proofErr w:type="spellEnd"/>
      <w:r w:rsidRPr="00B909F3">
        <w:rPr>
          <w:rFonts w:ascii="Book Antiqua" w:hAnsi="Book Antiqua"/>
          <w:szCs w:val="24"/>
        </w:rPr>
        <w:t xml:space="preserve"> DP, Edwards EB, Harper AM, </w:t>
      </w:r>
      <w:proofErr w:type="spellStart"/>
      <w:r w:rsidRPr="00B909F3">
        <w:rPr>
          <w:rFonts w:ascii="Book Antiqua" w:hAnsi="Book Antiqua"/>
          <w:szCs w:val="24"/>
        </w:rPr>
        <w:t>Wainright</w:t>
      </w:r>
      <w:proofErr w:type="spellEnd"/>
      <w:r w:rsidRPr="00B909F3">
        <w:rPr>
          <w:rFonts w:ascii="Book Antiqua" w:hAnsi="Book Antiqua"/>
          <w:szCs w:val="24"/>
        </w:rPr>
        <w:t xml:space="preserve"> JL, Snyder JJ, </w:t>
      </w:r>
      <w:proofErr w:type="spellStart"/>
      <w:r w:rsidRPr="00B909F3">
        <w:rPr>
          <w:rFonts w:ascii="Book Antiqua" w:hAnsi="Book Antiqua"/>
          <w:szCs w:val="24"/>
        </w:rPr>
        <w:t>Israni</w:t>
      </w:r>
      <w:proofErr w:type="spellEnd"/>
      <w:r w:rsidRPr="00B909F3">
        <w:rPr>
          <w:rFonts w:ascii="Book Antiqua" w:hAnsi="Book Antiqua"/>
          <w:szCs w:val="24"/>
        </w:rPr>
        <w:t xml:space="preserve"> AK, </w:t>
      </w:r>
      <w:proofErr w:type="spellStart"/>
      <w:r w:rsidRPr="00B909F3">
        <w:rPr>
          <w:rFonts w:ascii="Book Antiqua" w:hAnsi="Book Antiqua"/>
          <w:szCs w:val="24"/>
        </w:rPr>
        <w:t>Kasiske</w:t>
      </w:r>
      <w:proofErr w:type="spellEnd"/>
      <w:r w:rsidRPr="00B909F3">
        <w:rPr>
          <w:rFonts w:ascii="Book Antiqua" w:hAnsi="Book Antiqua"/>
          <w:szCs w:val="24"/>
        </w:rPr>
        <w:t xml:space="preserve"> BL. OPTN/SRTR 2013 Annual Data Report: liver. </w:t>
      </w:r>
      <w:r w:rsidRPr="00B909F3">
        <w:rPr>
          <w:rFonts w:ascii="Book Antiqua" w:hAnsi="Book Antiqua"/>
          <w:i/>
          <w:szCs w:val="24"/>
        </w:rPr>
        <w:t>Am J Transplant</w:t>
      </w:r>
      <w:r w:rsidRPr="00B909F3">
        <w:rPr>
          <w:rFonts w:ascii="Book Antiqua" w:hAnsi="Book Antiqua"/>
          <w:szCs w:val="24"/>
        </w:rPr>
        <w:t xml:space="preserve"> 2015; </w:t>
      </w:r>
      <w:r w:rsidRPr="00B909F3">
        <w:rPr>
          <w:rFonts w:ascii="Book Antiqua" w:hAnsi="Book Antiqua"/>
          <w:b/>
          <w:szCs w:val="24"/>
        </w:rPr>
        <w:t>15 Suppl 2</w:t>
      </w:r>
      <w:r w:rsidRPr="00B909F3">
        <w:rPr>
          <w:rFonts w:ascii="Book Antiqua" w:hAnsi="Book Antiqua"/>
          <w:szCs w:val="24"/>
        </w:rPr>
        <w:t>: 1-28 [PMID: 25626341 DOI: 10.1111/ajt.13197]</w:t>
      </w:r>
    </w:p>
    <w:p w14:paraId="643450E7"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 </w:t>
      </w:r>
      <w:proofErr w:type="spellStart"/>
      <w:r w:rsidRPr="00B909F3">
        <w:rPr>
          <w:rFonts w:ascii="Book Antiqua" w:hAnsi="Book Antiqua"/>
          <w:b/>
          <w:szCs w:val="24"/>
        </w:rPr>
        <w:t>Dolgin</w:t>
      </w:r>
      <w:proofErr w:type="spellEnd"/>
      <w:r w:rsidRPr="00B909F3">
        <w:rPr>
          <w:rFonts w:ascii="Book Antiqua" w:hAnsi="Book Antiqua"/>
          <w:b/>
          <w:szCs w:val="24"/>
        </w:rPr>
        <w:t xml:space="preserve"> NH</w:t>
      </w:r>
      <w:r w:rsidRPr="00B909F3">
        <w:rPr>
          <w:rFonts w:ascii="Book Antiqua" w:hAnsi="Book Antiqua"/>
          <w:szCs w:val="24"/>
        </w:rPr>
        <w:t xml:space="preserve">, </w:t>
      </w:r>
      <w:proofErr w:type="spellStart"/>
      <w:r w:rsidRPr="00B909F3">
        <w:rPr>
          <w:rFonts w:ascii="Book Antiqua" w:hAnsi="Book Antiqua"/>
          <w:szCs w:val="24"/>
        </w:rPr>
        <w:t>Movahedi</w:t>
      </w:r>
      <w:proofErr w:type="spellEnd"/>
      <w:r w:rsidRPr="00B909F3">
        <w:rPr>
          <w:rFonts w:ascii="Book Antiqua" w:hAnsi="Book Antiqua"/>
          <w:szCs w:val="24"/>
        </w:rPr>
        <w:t xml:space="preserve"> B, Martins PN, Goldberg R, </w:t>
      </w:r>
      <w:proofErr w:type="spellStart"/>
      <w:r w:rsidRPr="00B909F3">
        <w:rPr>
          <w:rFonts w:ascii="Book Antiqua" w:hAnsi="Book Antiqua"/>
          <w:szCs w:val="24"/>
        </w:rPr>
        <w:t>Lapane</w:t>
      </w:r>
      <w:proofErr w:type="spellEnd"/>
      <w:r w:rsidRPr="00B909F3">
        <w:rPr>
          <w:rFonts w:ascii="Book Antiqua" w:hAnsi="Book Antiqua"/>
          <w:szCs w:val="24"/>
        </w:rPr>
        <w:t xml:space="preserve"> KL, Anderson FA, </w:t>
      </w:r>
      <w:proofErr w:type="spellStart"/>
      <w:r w:rsidRPr="00B909F3">
        <w:rPr>
          <w:rFonts w:ascii="Book Antiqua" w:hAnsi="Book Antiqua"/>
          <w:szCs w:val="24"/>
        </w:rPr>
        <w:t>Bozorgzadeh</w:t>
      </w:r>
      <w:proofErr w:type="spellEnd"/>
      <w:r w:rsidRPr="00B909F3">
        <w:rPr>
          <w:rFonts w:ascii="Book Antiqua" w:hAnsi="Book Antiqua"/>
          <w:szCs w:val="24"/>
        </w:rPr>
        <w:t xml:space="preserve"> A. Decade-Long Trends in Liver Transplant Waitlist Removal Due to Illness Severity: The Impact of Centers for Medicare and Medicaid Services Policy. </w:t>
      </w:r>
      <w:r w:rsidRPr="00B909F3">
        <w:rPr>
          <w:rFonts w:ascii="Book Antiqua" w:hAnsi="Book Antiqua"/>
          <w:i/>
          <w:szCs w:val="24"/>
        </w:rPr>
        <w:t>J Am Coll Surg</w:t>
      </w:r>
      <w:r w:rsidRPr="00B909F3">
        <w:rPr>
          <w:rFonts w:ascii="Book Antiqua" w:hAnsi="Book Antiqua"/>
          <w:szCs w:val="24"/>
        </w:rPr>
        <w:t xml:space="preserve"> 2016; </w:t>
      </w:r>
      <w:r w:rsidRPr="00B909F3">
        <w:rPr>
          <w:rFonts w:ascii="Book Antiqua" w:hAnsi="Book Antiqua"/>
          <w:b/>
          <w:szCs w:val="24"/>
        </w:rPr>
        <w:t>222</w:t>
      </w:r>
      <w:r w:rsidRPr="00B909F3">
        <w:rPr>
          <w:rFonts w:ascii="Book Antiqua" w:hAnsi="Book Antiqua"/>
          <w:szCs w:val="24"/>
        </w:rPr>
        <w:t>: 1054-1065 [PMID: 27178368 DOI: 10.1016/j.jamcollsurg.2016.03.021]</w:t>
      </w:r>
    </w:p>
    <w:p w14:paraId="46108A9B"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4 </w:t>
      </w:r>
      <w:r w:rsidRPr="00B909F3">
        <w:rPr>
          <w:rFonts w:ascii="Book Antiqua" w:hAnsi="Book Antiqua"/>
          <w:b/>
          <w:szCs w:val="24"/>
        </w:rPr>
        <w:t>Austin MT</w:t>
      </w:r>
      <w:r w:rsidRPr="00B909F3">
        <w:rPr>
          <w:rFonts w:ascii="Book Antiqua" w:hAnsi="Book Antiqua"/>
          <w:szCs w:val="24"/>
        </w:rPr>
        <w:t xml:space="preserve">, </w:t>
      </w:r>
      <w:proofErr w:type="spellStart"/>
      <w:r w:rsidRPr="00B909F3">
        <w:rPr>
          <w:rFonts w:ascii="Book Antiqua" w:hAnsi="Book Antiqua"/>
          <w:szCs w:val="24"/>
        </w:rPr>
        <w:t>Poulose</w:t>
      </w:r>
      <w:proofErr w:type="spellEnd"/>
      <w:r w:rsidRPr="00B909F3">
        <w:rPr>
          <w:rFonts w:ascii="Book Antiqua" w:hAnsi="Book Antiqua"/>
          <w:szCs w:val="24"/>
        </w:rPr>
        <w:t xml:space="preserve"> BK, Ray WA, Arbogast PG, </w:t>
      </w:r>
      <w:proofErr w:type="spellStart"/>
      <w:r w:rsidRPr="00B909F3">
        <w:rPr>
          <w:rFonts w:ascii="Book Antiqua" w:hAnsi="Book Antiqua"/>
          <w:szCs w:val="24"/>
        </w:rPr>
        <w:t>Feurer</w:t>
      </w:r>
      <w:proofErr w:type="spellEnd"/>
      <w:r w:rsidRPr="00B909F3">
        <w:rPr>
          <w:rFonts w:ascii="Book Antiqua" w:hAnsi="Book Antiqua"/>
          <w:szCs w:val="24"/>
        </w:rPr>
        <w:t xml:space="preserve"> ID, Pinson CW. Model for end-stage liver disease: did the new liver allocation policy affect waiting list mortality? </w:t>
      </w:r>
      <w:r w:rsidRPr="00B909F3">
        <w:rPr>
          <w:rFonts w:ascii="Book Antiqua" w:hAnsi="Book Antiqua"/>
          <w:i/>
          <w:szCs w:val="24"/>
        </w:rPr>
        <w:t>Arch Surg</w:t>
      </w:r>
      <w:r w:rsidRPr="00B909F3">
        <w:rPr>
          <w:rFonts w:ascii="Book Antiqua" w:hAnsi="Book Antiqua"/>
          <w:szCs w:val="24"/>
        </w:rPr>
        <w:t xml:space="preserve"> 2007; </w:t>
      </w:r>
      <w:r w:rsidRPr="00B909F3">
        <w:rPr>
          <w:rFonts w:ascii="Book Antiqua" w:hAnsi="Book Antiqua"/>
          <w:b/>
          <w:szCs w:val="24"/>
        </w:rPr>
        <w:t>142</w:t>
      </w:r>
      <w:r w:rsidRPr="00B909F3">
        <w:rPr>
          <w:rFonts w:ascii="Book Antiqua" w:hAnsi="Book Antiqua"/>
          <w:szCs w:val="24"/>
        </w:rPr>
        <w:t>: 1079-1085 [PMID: 18025337 DOI: 10.1001/archsurg.142.11.1079]</w:t>
      </w:r>
    </w:p>
    <w:p w14:paraId="03A22A3D"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5 </w:t>
      </w:r>
      <w:proofErr w:type="spellStart"/>
      <w:r w:rsidRPr="00B909F3">
        <w:rPr>
          <w:rFonts w:ascii="Book Antiqua" w:hAnsi="Book Antiqua"/>
          <w:b/>
          <w:szCs w:val="24"/>
        </w:rPr>
        <w:t>Cholongitas</w:t>
      </w:r>
      <w:proofErr w:type="spellEnd"/>
      <w:r w:rsidRPr="00B909F3">
        <w:rPr>
          <w:rFonts w:ascii="Book Antiqua" w:hAnsi="Book Antiqua"/>
          <w:b/>
          <w:szCs w:val="24"/>
        </w:rPr>
        <w:t xml:space="preserve"> E</w:t>
      </w:r>
      <w:r w:rsidRPr="00B909F3">
        <w:rPr>
          <w:rFonts w:ascii="Book Antiqua" w:hAnsi="Book Antiqua"/>
          <w:szCs w:val="24"/>
        </w:rPr>
        <w:t xml:space="preserve">, Burroughs AK. The evolution in the prioritization for liver transplantation. </w:t>
      </w:r>
      <w:r w:rsidRPr="00B909F3">
        <w:rPr>
          <w:rFonts w:ascii="Book Antiqua" w:hAnsi="Book Antiqua"/>
          <w:i/>
          <w:szCs w:val="24"/>
        </w:rPr>
        <w:t>Ann Gastroenterol</w:t>
      </w:r>
      <w:r w:rsidRPr="00B909F3">
        <w:rPr>
          <w:rFonts w:ascii="Book Antiqua" w:hAnsi="Book Antiqua"/>
          <w:szCs w:val="24"/>
        </w:rPr>
        <w:t xml:space="preserve"> 2012; </w:t>
      </w:r>
      <w:r w:rsidRPr="00B909F3">
        <w:rPr>
          <w:rFonts w:ascii="Book Antiqua" w:hAnsi="Book Antiqua"/>
          <w:b/>
          <w:szCs w:val="24"/>
        </w:rPr>
        <w:t>25</w:t>
      </w:r>
      <w:r w:rsidRPr="00B909F3">
        <w:rPr>
          <w:rFonts w:ascii="Book Antiqua" w:hAnsi="Book Antiqua"/>
          <w:szCs w:val="24"/>
        </w:rPr>
        <w:t>: 6-13 [PMID: 24713804]</w:t>
      </w:r>
    </w:p>
    <w:p w14:paraId="7F3B1609"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6 </w:t>
      </w:r>
      <w:proofErr w:type="spellStart"/>
      <w:r w:rsidRPr="00B909F3">
        <w:rPr>
          <w:rFonts w:ascii="Book Antiqua" w:hAnsi="Book Antiqua"/>
          <w:b/>
          <w:szCs w:val="24"/>
        </w:rPr>
        <w:t>Gotthardt</w:t>
      </w:r>
      <w:proofErr w:type="spellEnd"/>
      <w:r w:rsidRPr="00B909F3">
        <w:rPr>
          <w:rFonts w:ascii="Book Antiqua" w:hAnsi="Book Antiqua"/>
          <w:b/>
          <w:szCs w:val="24"/>
        </w:rPr>
        <w:t xml:space="preserve"> D</w:t>
      </w:r>
      <w:r w:rsidRPr="00B909F3">
        <w:rPr>
          <w:rFonts w:ascii="Book Antiqua" w:hAnsi="Book Antiqua"/>
          <w:szCs w:val="24"/>
        </w:rPr>
        <w:t xml:space="preserve">, Weiss KH, </w:t>
      </w:r>
      <w:proofErr w:type="spellStart"/>
      <w:r w:rsidRPr="00B909F3">
        <w:rPr>
          <w:rFonts w:ascii="Book Antiqua" w:hAnsi="Book Antiqua"/>
          <w:szCs w:val="24"/>
        </w:rPr>
        <w:t>Baumgärtner</w:t>
      </w:r>
      <w:proofErr w:type="spellEnd"/>
      <w:r w:rsidRPr="00B909F3">
        <w:rPr>
          <w:rFonts w:ascii="Book Antiqua" w:hAnsi="Book Antiqua"/>
          <w:szCs w:val="24"/>
        </w:rPr>
        <w:t xml:space="preserve"> M, Zahn A, </w:t>
      </w:r>
      <w:proofErr w:type="spellStart"/>
      <w:r w:rsidRPr="00B909F3">
        <w:rPr>
          <w:rFonts w:ascii="Book Antiqua" w:hAnsi="Book Antiqua"/>
          <w:szCs w:val="24"/>
        </w:rPr>
        <w:t>Stremmel</w:t>
      </w:r>
      <w:proofErr w:type="spellEnd"/>
      <w:r w:rsidRPr="00B909F3">
        <w:rPr>
          <w:rFonts w:ascii="Book Antiqua" w:hAnsi="Book Antiqua"/>
          <w:szCs w:val="24"/>
        </w:rPr>
        <w:t xml:space="preserve"> W, Schmidt J, Bruckner T, Sauer P. Limitations of the MELD score in predicting mortality or need for removal from waiting list in patients awaiting liver transplantation. </w:t>
      </w:r>
      <w:r w:rsidRPr="00B909F3">
        <w:rPr>
          <w:rFonts w:ascii="Book Antiqua" w:hAnsi="Book Antiqua"/>
          <w:i/>
          <w:szCs w:val="24"/>
        </w:rPr>
        <w:t>BMC Gastroenterol</w:t>
      </w:r>
      <w:r w:rsidRPr="00B909F3">
        <w:rPr>
          <w:rFonts w:ascii="Book Antiqua" w:hAnsi="Book Antiqua"/>
          <w:szCs w:val="24"/>
        </w:rPr>
        <w:t xml:space="preserve"> 2009; </w:t>
      </w:r>
      <w:r w:rsidRPr="00B909F3">
        <w:rPr>
          <w:rFonts w:ascii="Book Antiqua" w:hAnsi="Book Antiqua"/>
          <w:b/>
          <w:szCs w:val="24"/>
        </w:rPr>
        <w:t>9</w:t>
      </w:r>
      <w:r w:rsidRPr="00B909F3">
        <w:rPr>
          <w:rFonts w:ascii="Book Antiqua" w:hAnsi="Book Antiqua"/>
          <w:szCs w:val="24"/>
        </w:rPr>
        <w:t>: 72 [PMID: 19778459 DOI: 10.1186/1471-230X-9-72]</w:t>
      </w:r>
    </w:p>
    <w:p w14:paraId="18C95A19"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7 </w:t>
      </w:r>
      <w:r w:rsidRPr="00B909F3">
        <w:rPr>
          <w:rFonts w:ascii="Book Antiqua" w:hAnsi="Book Antiqua"/>
          <w:b/>
          <w:szCs w:val="24"/>
        </w:rPr>
        <w:t>Lai JC</w:t>
      </w:r>
      <w:r w:rsidRPr="00B909F3">
        <w:rPr>
          <w:rFonts w:ascii="Book Antiqua" w:hAnsi="Book Antiqua"/>
          <w:szCs w:val="24"/>
        </w:rPr>
        <w:t xml:space="preserve">, Feng S, </w:t>
      </w:r>
      <w:proofErr w:type="spellStart"/>
      <w:r w:rsidRPr="00B909F3">
        <w:rPr>
          <w:rFonts w:ascii="Book Antiqua" w:hAnsi="Book Antiqua"/>
          <w:szCs w:val="24"/>
        </w:rPr>
        <w:t>Terrault</w:t>
      </w:r>
      <w:proofErr w:type="spellEnd"/>
      <w:r w:rsidRPr="00B909F3">
        <w:rPr>
          <w:rFonts w:ascii="Book Antiqua" w:hAnsi="Book Antiqua"/>
          <w:szCs w:val="24"/>
        </w:rPr>
        <w:t xml:space="preserve"> NA, </w:t>
      </w:r>
      <w:proofErr w:type="spellStart"/>
      <w:r w:rsidRPr="00B909F3">
        <w:rPr>
          <w:rFonts w:ascii="Book Antiqua" w:hAnsi="Book Antiqua"/>
          <w:szCs w:val="24"/>
        </w:rPr>
        <w:t>Lizaola</w:t>
      </w:r>
      <w:proofErr w:type="spellEnd"/>
      <w:r w:rsidRPr="00B909F3">
        <w:rPr>
          <w:rFonts w:ascii="Book Antiqua" w:hAnsi="Book Antiqua"/>
          <w:szCs w:val="24"/>
        </w:rPr>
        <w:t xml:space="preserve"> B, </w:t>
      </w:r>
      <w:proofErr w:type="spellStart"/>
      <w:r w:rsidRPr="00B909F3">
        <w:rPr>
          <w:rFonts w:ascii="Book Antiqua" w:hAnsi="Book Antiqua"/>
          <w:szCs w:val="24"/>
        </w:rPr>
        <w:t>Hayssen</w:t>
      </w:r>
      <w:proofErr w:type="spellEnd"/>
      <w:r w:rsidRPr="00B909F3">
        <w:rPr>
          <w:rFonts w:ascii="Book Antiqua" w:hAnsi="Book Antiqua"/>
          <w:szCs w:val="24"/>
        </w:rPr>
        <w:t xml:space="preserve"> H, </w:t>
      </w:r>
      <w:proofErr w:type="spellStart"/>
      <w:r w:rsidRPr="00B909F3">
        <w:rPr>
          <w:rFonts w:ascii="Book Antiqua" w:hAnsi="Book Antiqua"/>
          <w:szCs w:val="24"/>
        </w:rPr>
        <w:t>Covinsky</w:t>
      </w:r>
      <w:proofErr w:type="spellEnd"/>
      <w:r w:rsidRPr="00B909F3">
        <w:rPr>
          <w:rFonts w:ascii="Book Antiqua" w:hAnsi="Book Antiqua"/>
          <w:szCs w:val="24"/>
        </w:rPr>
        <w:t xml:space="preserve"> K. Frailty predicts waitlist mortality in liver transplant candidates. </w:t>
      </w:r>
      <w:r w:rsidRPr="00B909F3">
        <w:rPr>
          <w:rFonts w:ascii="Book Antiqua" w:hAnsi="Book Antiqua"/>
          <w:i/>
          <w:szCs w:val="24"/>
        </w:rPr>
        <w:t>Am J Transplant</w:t>
      </w:r>
      <w:r w:rsidRPr="00B909F3">
        <w:rPr>
          <w:rFonts w:ascii="Book Antiqua" w:hAnsi="Book Antiqua"/>
          <w:szCs w:val="24"/>
        </w:rPr>
        <w:t xml:space="preserve"> 2014; </w:t>
      </w:r>
      <w:r w:rsidRPr="00B909F3">
        <w:rPr>
          <w:rFonts w:ascii="Book Antiqua" w:hAnsi="Book Antiqua"/>
          <w:b/>
          <w:szCs w:val="24"/>
        </w:rPr>
        <w:t>14</w:t>
      </w:r>
      <w:r w:rsidRPr="00B909F3">
        <w:rPr>
          <w:rFonts w:ascii="Book Antiqua" w:hAnsi="Book Antiqua"/>
          <w:szCs w:val="24"/>
        </w:rPr>
        <w:t>: 1870-1879 [PMID: 24935609 DOI: 10.1111/ajt.12762]</w:t>
      </w:r>
    </w:p>
    <w:p w14:paraId="7F922A40"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8 </w:t>
      </w:r>
      <w:r w:rsidRPr="00B909F3">
        <w:rPr>
          <w:rFonts w:ascii="Book Antiqua" w:hAnsi="Book Antiqua"/>
          <w:b/>
          <w:szCs w:val="24"/>
        </w:rPr>
        <w:t>Lai JC</w:t>
      </w:r>
      <w:r w:rsidRPr="00B909F3">
        <w:rPr>
          <w:rFonts w:ascii="Book Antiqua" w:hAnsi="Book Antiqua"/>
          <w:szCs w:val="24"/>
        </w:rPr>
        <w:t xml:space="preserve">, </w:t>
      </w:r>
      <w:proofErr w:type="spellStart"/>
      <w:r w:rsidRPr="00B909F3">
        <w:rPr>
          <w:rFonts w:ascii="Book Antiqua" w:hAnsi="Book Antiqua"/>
          <w:szCs w:val="24"/>
        </w:rPr>
        <w:t>Covinsky</w:t>
      </w:r>
      <w:proofErr w:type="spellEnd"/>
      <w:r w:rsidRPr="00B909F3">
        <w:rPr>
          <w:rFonts w:ascii="Book Antiqua" w:hAnsi="Book Antiqua"/>
          <w:szCs w:val="24"/>
        </w:rPr>
        <w:t xml:space="preserve"> KE, </w:t>
      </w:r>
      <w:proofErr w:type="spellStart"/>
      <w:r w:rsidRPr="00B909F3">
        <w:rPr>
          <w:rFonts w:ascii="Book Antiqua" w:hAnsi="Book Antiqua"/>
          <w:szCs w:val="24"/>
        </w:rPr>
        <w:t>Hayssen</w:t>
      </w:r>
      <w:proofErr w:type="spellEnd"/>
      <w:r w:rsidRPr="00B909F3">
        <w:rPr>
          <w:rFonts w:ascii="Book Antiqua" w:hAnsi="Book Antiqua"/>
          <w:szCs w:val="24"/>
        </w:rPr>
        <w:t xml:space="preserve"> H, </w:t>
      </w:r>
      <w:proofErr w:type="spellStart"/>
      <w:r w:rsidRPr="00B909F3">
        <w:rPr>
          <w:rFonts w:ascii="Book Antiqua" w:hAnsi="Book Antiqua"/>
          <w:szCs w:val="24"/>
        </w:rPr>
        <w:t>Lizaola</w:t>
      </w:r>
      <w:proofErr w:type="spellEnd"/>
      <w:r w:rsidRPr="00B909F3">
        <w:rPr>
          <w:rFonts w:ascii="Book Antiqua" w:hAnsi="Book Antiqua"/>
          <w:szCs w:val="24"/>
        </w:rPr>
        <w:t xml:space="preserve"> B, Dodge JL, Roberts JP, </w:t>
      </w:r>
      <w:proofErr w:type="spellStart"/>
      <w:r w:rsidRPr="00B909F3">
        <w:rPr>
          <w:rFonts w:ascii="Book Antiqua" w:hAnsi="Book Antiqua"/>
          <w:szCs w:val="24"/>
        </w:rPr>
        <w:t>Terrault</w:t>
      </w:r>
      <w:proofErr w:type="spellEnd"/>
      <w:r w:rsidRPr="00B909F3">
        <w:rPr>
          <w:rFonts w:ascii="Book Antiqua" w:hAnsi="Book Antiqua"/>
          <w:szCs w:val="24"/>
        </w:rPr>
        <w:t xml:space="preserve"> NA, Feng S. Clinician assessments of health status predict mortality in patients with end-stage liver disease awaiting liver transplantation. </w:t>
      </w:r>
      <w:r w:rsidRPr="00B909F3">
        <w:rPr>
          <w:rFonts w:ascii="Book Antiqua" w:hAnsi="Book Antiqua"/>
          <w:i/>
          <w:szCs w:val="24"/>
        </w:rPr>
        <w:t>Liver Int</w:t>
      </w:r>
      <w:r w:rsidRPr="00B909F3">
        <w:rPr>
          <w:rFonts w:ascii="Book Antiqua" w:hAnsi="Book Antiqua"/>
          <w:szCs w:val="24"/>
        </w:rPr>
        <w:t xml:space="preserve"> 2015; </w:t>
      </w:r>
      <w:r w:rsidRPr="00B909F3">
        <w:rPr>
          <w:rFonts w:ascii="Book Antiqua" w:hAnsi="Book Antiqua"/>
          <w:b/>
          <w:szCs w:val="24"/>
        </w:rPr>
        <w:t>35</w:t>
      </w:r>
      <w:r w:rsidRPr="00B909F3">
        <w:rPr>
          <w:rFonts w:ascii="Book Antiqua" w:hAnsi="Book Antiqua"/>
          <w:szCs w:val="24"/>
        </w:rPr>
        <w:t>: 2167-2173 [PMID: 25644788 DOI: 10.1111/liv.12792]</w:t>
      </w:r>
    </w:p>
    <w:p w14:paraId="256BC9CB"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9 </w:t>
      </w:r>
      <w:r w:rsidRPr="00B909F3">
        <w:rPr>
          <w:rFonts w:ascii="Book Antiqua" w:hAnsi="Book Antiqua"/>
          <w:b/>
          <w:szCs w:val="24"/>
        </w:rPr>
        <w:t>Hubbard RE</w:t>
      </w:r>
      <w:r w:rsidRPr="00B909F3">
        <w:rPr>
          <w:rFonts w:ascii="Book Antiqua" w:hAnsi="Book Antiqua"/>
          <w:szCs w:val="24"/>
        </w:rPr>
        <w:t xml:space="preserve">, Story DA. Patient frailty: the elephant in the operating room. </w:t>
      </w:r>
      <w:proofErr w:type="spellStart"/>
      <w:r w:rsidRPr="00B909F3">
        <w:rPr>
          <w:rFonts w:ascii="Book Antiqua" w:hAnsi="Book Antiqua"/>
          <w:i/>
          <w:szCs w:val="24"/>
        </w:rPr>
        <w:t>Anaesthesia</w:t>
      </w:r>
      <w:proofErr w:type="spellEnd"/>
      <w:r w:rsidRPr="00B909F3">
        <w:rPr>
          <w:rFonts w:ascii="Book Antiqua" w:hAnsi="Book Antiqua"/>
          <w:szCs w:val="24"/>
        </w:rPr>
        <w:t xml:space="preserve"> 2014; </w:t>
      </w:r>
      <w:r w:rsidRPr="00B909F3">
        <w:rPr>
          <w:rFonts w:ascii="Book Antiqua" w:hAnsi="Book Antiqua"/>
          <w:b/>
          <w:szCs w:val="24"/>
        </w:rPr>
        <w:t>69 Suppl 1</w:t>
      </w:r>
      <w:r w:rsidRPr="00B909F3">
        <w:rPr>
          <w:rFonts w:ascii="Book Antiqua" w:hAnsi="Book Antiqua"/>
          <w:szCs w:val="24"/>
        </w:rPr>
        <w:t>: 26-34 [PMID: 24303858 DOI: 10.1111/anae.12490]</w:t>
      </w:r>
    </w:p>
    <w:p w14:paraId="332943FE"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lastRenderedPageBreak/>
        <w:t xml:space="preserve">10 </w:t>
      </w:r>
      <w:r w:rsidRPr="00B909F3">
        <w:rPr>
          <w:rFonts w:ascii="Book Antiqua" w:hAnsi="Book Antiqua"/>
          <w:b/>
          <w:szCs w:val="24"/>
        </w:rPr>
        <w:t>McIsaac DI</w:t>
      </w:r>
      <w:r w:rsidRPr="00B909F3">
        <w:rPr>
          <w:rFonts w:ascii="Book Antiqua" w:hAnsi="Book Antiqua"/>
          <w:szCs w:val="24"/>
        </w:rPr>
        <w:t xml:space="preserve">, Bryson GL, van </w:t>
      </w:r>
      <w:proofErr w:type="spellStart"/>
      <w:r w:rsidRPr="00B909F3">
        <w:rPr>
          <w:rFonts w:ascii="Book Antiqua" w:hAnsi="Book Antiqua"/>
          <w:szCs w:val="24"/>
        </w:rPr>
        <w:t>Walraven</w:t>
      </w:r>
      <w:proofErr w:type="spellEnd"/>
      <w:r w:rsidRPr="00B909F3">
        <w:rPr>
          <w:rFonts w:ascii="Book Antiqua" w:hAnsi="Book Antiqua"/>
          <w:szCs w:val="24"/>
        </w:rPr>
        <w:t xml:space="preserve"> C. Association of Frailty and 1-Year Postoperative Mortality Following Major Elective Noncardiac Surgery: A Population-Based Cohort Study. </w:t>
      </w:r>
      <w:r w:rsidRPr="00B909F3">
        <w:rPr>
          <w:rFonts w:ascii="Book Antiqua" w:hAnsi="Book Antiqua"/>
          <w:i/>
          <w:szCs w:val="24"/>
        </w:rPr>
        <w:t>JAMA Surg</w:t>
      </w:r>
      <w:r w:rsidRPr="00B909F3">
        <w:rPr>
          <w:rFonts w:ascii="Book Antiqua" w:hAnsi="Book Antiqua"/>
          <w:szCs w:val="24"/>
        </w:rPr>
        <w:t xml:space="preserve"> 2016; </w:t>
      </w:r>
      <w:r w:rsidRPr="00B909F3">
        <w:rPr>
          <w:rFonts w:ascii="Book Antiqua" w:hAnsi="Book Antiqua"/>
          <w:b/>
          <w:szCs w:val="24"/>
        </w:rPr>
        <w:t>151</w:t>
      </w:r>
      <w:r w:rsidRPr="00B909F3">
        <w:rPr>
          <w:rFonts w:ascii="Book Antiqua" w:hAnsi="Book Antiqua"/>
          <w:szCs w:val="24"/>
        </w:rPr>
        <w:t>: 538-545 [PMID: 26791334 DOI: 10.1001/jamasurg.2015.5085]</w:t>
      </w:r>
    </w:p>
    <w:p w14:paraId="5122398B"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11 </w:t>
      </w:r>
      <w:r w:rsidRPr="00B909F3">
        <w:rPr>
          <w:rFonts w:ascii="Book Antiqua" w:hAnsi="Book Antiqua"/>
          <w:b/>
          <w:szCs w:val="24"/>
        </w:rPr>
        <w:t>Lewsey JD</w:t>
      </w:r>
      <w:r w:rsidRPr="00B909F3">
        <w:rPr>
          <w:rFonts w:ascii="Book Antiqua" w:hAnsi="Book Antiqua"/>
          <w:szCs w:val="24"/>
        </w:rPr>
        <w:t xml:space="preserve">, </w:t>
      </w:r>
      <w:proofErr w:type="spellStart"/>
      <w:r w:rsidRPr="00B909F3">
        <w:rPr>
          <w:rFonts w:ascii="Book Antiqua" w:hAnsi="Book Antiqua"/>
          <w:szCs w:val="24"/>
        </w:rPr>
        <w:t>Dawwas</w:t>
      </w:r>
      <w:proofErr w:type="spellEnd"/>
      <w:r w:rsidRPr="00B909F3">
        <w:rPr>
          <w:rFonts w:ascii="Book Antiqua" w:hAnsi="Book Antiqua"/>
          <w:szCs w:val="24"/>
        </w:rPr>
        <w:t xml:space="preserve"> M, Copley LP, </w:t>
      </w:r>
      <w:proofErr w:type="spellStart"/>
      <w:r w:rsidRPr="00B909F3">
        <w:rPr>
          <w:rFonts w:ascii="Book Antiqua" w:hAnsi="Book Antiqua"/>
          <w:szCs w:val="24"/>
        </w:rPr>
        <w:t>Gimson</w:t>
      </w:r>
      <w:proofErr w:type="spellEnd"/>
      <w:r w:rsidRPr="00B909F3">
        <w:rPr>
          <w:rFonts w:ascii="Book Antiqua" w:hAnsi="Book Antiqua"/>
          <w:szCs w:val="24"/>
        </w:rPr>
        <w:t xml:space="preserve"> A, Van der </w:t>
      </w:r>
      <w:proofErr w:type="spellStart"/>
      <w:r w:rsidRPr="00B909F3">
        <w:rPr>
          <w:rFonts w:ascii="Book Antiqua" w:hAnsi="Book Antiqua"/>
          <w:szCs w:val="24"/>
        </w:rPr>
        <w:t>Meulen</w:t>
      </w:r>
      <w:proofErr w:type="spellEnd"/>
      <w:r w:rsidRPr="00B909F3">
        <w:rPr>
          <w:rFonts w:ascii="Book Antiqua" w:hAnsi="Book Antiqua"/>
          <w:szCs w:val="24"/>
        </w:rPr>
        <w:t xml:space="preserve"> JH. Developing a prognostic model for 90-day mortality after liver transplantation based on pretransplant recipient factors. </w:t>
      </w:r>
      <w:r w:rsidRPr="00B909F3">
        <w:rPr>
          <w:rFonts w:ascii="Book Antiqua" w:hAnsi="Book Antiqua"/>
          <w:i/>
          <w:szCs w:val="24"/>
        </w:rPr>
        <w:t>Transplantation</w:t>
      </w:r>
      <w:r w:rsidRPr="00B909F3">
        <w:rPr>
          <w:rFonts w:ascii="Book Antiqua" w:hAnsi="Book Antiqua"/>
          <w:szCs w:val="24"/>
        </w:rPr>
        <w:t xml:space="preserve"> 2006; </w:t>
      </w:r>
      <w:r w:rsidRPr="00B909F3">
        <w:rPr>
          <w:rFonts w:ascii="Book Antiqua" w:hAnsi="Book Antiqua"/>
          <w:b/>
          <w:szCs w:val="24"/>
        </w:rPr>
        <w:t>82</w:t>
      </w:r>
      <w:r w:rsidRPr="00B909F3">
        <w:rPr>
          <w:rFonts w:ascii="Book Antiqua" w:hAnsi="Book Antiqua"/>
          <w:szCs w:val="24"/>
        </w:rPr>
        <w:t>: 898-907 [PMID: 17038904 DOI: 10.1097/</w:t>
      </w:r>
      <w:proofErr w:type="gramStart"/>
      <w:r w:rsidRPr="00B909F3">
        <w:rPr>
          <w:rFonts w:ascii="Book Antiqua" w:hAnsi="Book Antiqua"/>
          <w:szCs w:val="24"/>
        </w:rPr>
        <w:t>01.tp.</w:t>
      </w:r>
      <w:proofErr w:type="gramEnd"/>
      <w:r w:rsidRPr="00B909F3">
        <w:rPr>
          <w:rFonts w:ascii="Book Antiqua" w:hAnsi="Book Antiqua"/>
          <w:szCs w:val="24"/>
        </w:rPr>
        <w:t>0000235516.99977.95]</w:t>
      </w:r>
    </w:p>
    <w:p w14:paraId="29067445" w14:textId="22DB76AC"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12 </w:t>
      </w:r>
      <w:r w:rsidRPr="00B909F3">
        <w:rPr>
          <w:rFonts w:ascii="Book Antiqua" w:hAnsi="Book Antiqua"/>
          <w:b/>
          <w:bCs/>
          <w:szCs w:val="24"/>
        </w:rPr>
        <w:t xml:space="preserve">van de </w:t>
      </w:r>
      <w:proofErr w:type="spellStart"/>
      <w:r w:rsidRPr="00B909F3">
        <w:rPr>
          <w:rFonts w:ascii="Book Antiqua" w:hAnsi="Book Antiqua"/>
          <w:b/>
          <w:bCs/>
          <w:szCs w:val="24"/>
        </w:rPr>
        <w:t>Mortel</w:t>
      </w:r>
      <w:proofErr w:type="spellEnd"/>
      <w:r w:rsidRPr="00B909F3">
        <w:rPr>
          <w:rFonts w:ascii="Book Antiqua" w:hAnsi="Book Antiqua"/>
          <w:b/>
          <w:bCs/>
          <w:szCs w:val="24"/>
        </w:rPr>
        <w:t xml:space="preserve"> TF</w:t>
      </w:r>
      <w:r w:rsidRPr="00B909F3">
        <w:rPr>
          <w:rFonts w:ascii="Book Antiqua" w:hAnsi="Book Antiqua"/>
          <w:szCs w:val="24"/>
        </w:rPr>
        <w:t xml:space="preserve">. Faking it: Social desirability response bias in </w:t>
      </w:r>
      <w:proofErr w:type="spellStart"/>
      <w:r w:rsidRPr="00B909F3">
        <w:rPr>
          <w:rFonts w:ascii="Book Antiqua" w:hAnsi="Book Antiqua"/>
          <w:szCs w:val="24"/>
        </w:rPr>
        <w:t>selfreport</w:t>
      </w:r>
      <w:proofErr w:type="spellEnd"/>
      <w:r w:rsidRPr="00B909F3">
        <w:rPr>
          <w:rFonts w:ascii="Book Antiqua" w:hAnsi="Book Antiqua"/>
          <w:szCs w:val="24"/>
        </w:rPr>
        <w:t xml:space="preserve"> research. </w:t>
      </w:r>
      <w:r w:rsidRPr="00B909F3">
        <w:rPr>
          <w:rFonts w:ascii="Book Antiqua" w:hAnsi="Book Antiqua"/>
          <w:i/>
          <w:iCs/>
          <w:szCs w:val="24"/>
        </w:rPr>
        <w:t xml:space="preserve">Aust J Adv </w:t>
      </w:r>
      <w:proofErr w:type="spellStart"/>
      <w:r w:rsidRPr="00B909F3">
        <w:rPr>
          <w:rFonts w:ascii="Book Antiqua" w:hAnsi="Book Antiqua"/>
          <w:i/>
          <w:iCs/>
          <w:szCs w:val="24"/>
        </w:rPr>
        <w:t>Nurs</w:t>
      </w:r>
      <w:proofErr w:type="spellEnd"/>
      <w:r w:rsidRPr="00B909F3">
        <w:rPr>
          <w:rFonts w:ascii="Book Antiqua" w:hAnsi="Book Antiqua"/>
          <w:szCs w:val="24"/>
        </w:rPr>
        <w:t xml:space="preserve"> 2008;</w:t>
      </w:r>
      <w:r w:rsidR="00197EDE" w:rsidRPr="00B909F3">
        <w:rPr>
          <w:rFonts w:ascii="Book Antiqua" w:hAnsi="Book Antiqua"/>
          <w:szCs w:val="24"/>
        </w:rPr>
        <w:t xml:space="preserve"> </w:t>
      </w:r>
      <w:r w:rsidRPr="00B909F3">
        <w:rPr>
          <w:rFonts w:ascii="Book Antiqua" w:hAnsi="Book Antiqua"/>
          <w:b/>
          <w:bCs/>
          <w:szCs w:val="24"/>
        </w:rPr>
        <w:t>25</w:t>
      </w:r>
      <w:r w:rsidRPr="00B909F3">
        <w:rPr>
          <w:rFonts w:ascii="Book Antiqua" w:hAnsi="Book Antiqua"/>
          <w:szCs w:val="24"/>
        </w:rPr>
        <w:t>:</w:t>
      </w:r>
      <w:r w:rsidR="00197EDE" w:rsidRPr="00B909F3">
        <w:rPr>
          <w:rFonts w:ascii="Book Antiqua" w:hAnsi="Book Antiqua"/>
          <w:szCs w:val="24"/>
        </w:rPr>
        <w:t xml:space="preserve"> </w:t>
      </w:r>
      <w:r w:rsidRPr="00B909F3">
        <w:rPr>
          <w:rFonts w:ascii="Book Antiqua" w:hAnsi="Book Antiqua"/>
          <w:szCs w:val="24"/>
        </w:rPr>
        <w:t>40</w:t>
      </w:r>
      <w:r w:rsidR="00197EDE" w:rsidRPr="00B909F3">
        <w:rPr>
          <w:rFonts w:ascii="Book Antiqua" w:hAnsi="Book Antiqua"/>
          <w:szCs w:val="24"/>
        </w:rPr>
        <w:t>-48</w:t>
      </w:r>
    </w:p>
    <w:p w14:paraId="77A74EAF"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13 </w:t>
      </w:r>
      <w:proofErr w:type="spellStart"/>
      <w:r w:rsidRPr="00B909F3">
        <w:rPr>
          <w:rFonts w:ascii="Book Antiqua" w:hAnsi="Book Antiqua"/>
          <w:b/>
          <w:szCs w:val="24"/>
        </w:rPr>
        <w:t>Theou</w:t>
      </w:r>
      <w:proofErr w:type="spellEnd"/>
      <w:r w:rsidRPr="00B909F3">
        <w:rPr>
          <w:rFonts w:ascii="Book Antiqua" w:hAnsi="Book Antiqua"/>
          <w:b/>
          <w:szCs w:val="24"/>
        </w:rPr>
        <w:t xml:space="preserve"> O</w:t>
      </w:r>
      <w:r w:rsidRPr="00B909F3">
        <w:rPr>
          <w:rFonts w:ascii="Book Antiqua" w:hAnsi="Book Antiqua"/>
          <w:szCs w:val="24"/>
        </w:rPr>
        <w:t xml:space="preserve">, Brothers TD, </w:t>
      </w:r>
      <w:proofErr w:type="spellStart"/>
      <w:r w:rsidRPr="00B909F3">
        <w:rPr>
          <w:rFonts w:ascii="Book Antiqua" w:hAnsi="Book Antiqua"/>
          <w:szCs w:val="24"/>
        </w:rPr>
        <w:t>Mitnitski</w:t>
      </w:r>
      <w:proofErr w:type="spellEnd"/>
      <w:r w:rsidRPr="00B909F3">
        <w:rPr>
          <w:rFonts w:ascii="Book Antiqua" w:hAnsi="Book Antiqua"/>
          <w:szCs w:val="24"/>
        </w:rPr>
        <w:t xml:space="preserve"> A, Rockwood K. Operationalization of frailty using eight commonly used scales and comparison of their ability to predict all-cause mortality. </w:t>
      </w:r>
      <w:r w:rsidRPr="00B909F3">
        <w:rPr>
          <w:rFonts w:ascii="Book Antiqua" w:hAnsi="Book Antiqua"/>
          <w:i/>
          <w:szCs w:val="24"/>
        </w:rPr>
        <w:t xml:space="preserve">J Am </w:t>
      </w:r>
      <w:proofErr w:type="spellStart"/>
      <w:r w:rsidRPr="00B909F3">
        <w:rPr>
          <w:rFonts w:ascii="Book Antiqua" w:hAnsi="Book Antiqua"/>
          <w:i/>
          <w:szCs w:val="24"/>
        </w:rPr>
        <w:t>Geriatr</w:t>
      </w:r>
      <w:proofErr w:type="spellEnd"/>
      <w:r w:rsidRPr="00B909F3">
        <w:rPr>
          <w:rFonts w:ascii="Book Antiqua" w:hAnsi="Book Antiqua"/>
          <w:i/>
          <w:szCs w:val="24"/>
        </w:rPr>
        <w:t xml:space="preserve"> Soc</w:t>
      </w:r>
      <w:r w:rsidRPr="00B909F3">
        <w:rPr>
          <w:rFonts w:ascii="Book Antiqua" w:hAnsi="Book Antiqua"/>
          <w:szCs w:val="24"/>
        </w:rPr>
        <w:t xml:space="preserve"> 2013; </w:t>
      </w:r>
      <w:r w:rsidRPr="00B909F3">
        <w:rPr>
          <w:rFonts w:ascii="Book Antiqua" w:hAnsi="Book Antiqua"/>
          <w:b/>
          <w:szCs w:val="24"/>
        </w:rPr>
        <w:t>61</w:t>
      </w:r>
      <w:r w:rsidRPr="00B909F3">
        <w:rPr>
          <w:rFonts w:ascii="Book Antiqua" w:hAnsi="Book Antiqua"/>
          <w:szCs w:val="24"/>
        </w:rPr>
        <w:t>: 1537-1551 [PMID: 24028357 DOI: 10.1111/jgs.12420]</w:t>
      </w:r>
    </w:p>
    <w:p w14:paraId="688284AF"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14 </w:t>
      </w:r>
      <w:proofErr w:type="spellStart"/>
      <w:r w:rsidRPr="00B909F3">
        <w:rPr>
          <w:rFonts w:ascii="Book Antiqua" w:hAnsi="Book Antiqua"/>
          <w:b/>
          <w:szCs w:val="24"/>
        </w:rPr>
        <w:t>Arogundade</w:t>
      </w:r>
      <w:proofErr w:type="spellEnd"/>
      <w:r w:rsidRPr="00B909F3">
        <w:rPr>
          <w:rFonts w:ascii="Book Antiqua" w:hAnsi="Book Antiqua"/>
          <w:b/>
          <w:szCs w:val="24"/>
        </w:rPr>
        <w:t xml:space="preserve"> FA</w:t>
      </w:r>
      <w:r w:rsidRPr="00B909F3">
        <w:rPr>
          <w:rFonts w:ascii="Book Antiqua" w:hAnsi="Book Antiqua"/>
          <w:szCs w:val="24"/>
        </w:rPr>
        <w:t xml:space="preserve">, Zayed B, </w:t>
      </w:r>
      <w:proofErr w:type="spellStart"/>
      <w:r w:rsidRPr="00B909F3">
        <w:rPr>
          <w:rFonts w:ascii="Book Antiqua" w:hAnsi="Book Antiqua"/>
          <w:szCs w:val="24"/>
        </w:rPr>
        <w:t>Daba</w:t>
      </w:r>
      <w:proofErr w:type="spellEnd"/>
      <w:r w:rsidRPr="00B909F3">
        <w:rPr>
          <w:rFonts w:ascii="Book Antiqua" w:hAnsi="Book Antiqua"/>
          <w:szCs w:val="24"/>
        </w:rPr>
        <w:t xml:space="preserve"> M, </w:t>
      </w:r>
      <w:proofErr w:type="spellStart"/>
      <w:r w:rsidRPr="00B909F3">
        <w:rPr>
          <w:rFonts w:ascii="Book Antiqua" w:hAnsi="Book Antiqua"/>
          <w:szCs w:val="24"/>
        </w:rPr>
        <w:t>Barsoum</w:t>
      </w:r>
      <w:proofErr w:type="spellEnd"/>
      <w:r w:rsidRPr="00B909F3">
        <w:rPr>
          <w:rFonts w:ascii="Book Antiqua" w:hAnsi="Book Antiqua"/>
          <w:szCs w:val="24"/>
        </w:rPr>
        <w:t xml:space="preserve"> RS. Correlation between </w:t>
      </w:r>
      <w:proofErr w:type="spellStart"/>
      <w:r w:rsidRPr="00B909F3">
        <w:rPr>
          <w:rFonts w:ascii="Book Antiqua" w:hAnsi="Book Antiqua"/>
          <w:szCs w:val="24"/>
        </w:rPr>
        <w:t>Karnofsky</w:t>
      </w:r>
      <w:proofErr w:type="spellEnd"/>
      <w:r w:rsidRPr="00B909F3">
        <w:rPr>
          <w:rFonts w:ascii="Book Antiqua" w:hAnsi="Book Antiqua"/>
          <w:szCs w:val="24"/>
        </w:rPr>
        <w:t xml:space="preserve"> Performance Status Scale and Short-Form Health Survey in patients on maintenance hemodialysis. </w:t>
      </w:r>
      <w:r w:rsidRPr="00B909F3">
        <w:rPr>
          <w:rFonts w:ascii="Book Antiqua" w:hAnsi="Book Antiqua"/>
          <w:i/>
          <w:szCs w:val="24"/>
        </w:rPr>
        <w:t>J Natl Med Assoc</w:t>
      </w:r>
      <w:r w:rsidRPr="00B909F3">
        <w:rPr>
          <w:rFonts w:ascii="Book Antiqua" w:hAnsi="Book Antiqua"/>
          <w:szCs w:val="24"/>
        </w:rPr>
        <w:t xml:space="preserve"> 2004; </w:t>
      </w:r>
      <w:r w:rsidRPr="00B909F3">
        <w:rPr>
          <w:rFonts w:ascii="Book Antiqua" w:hAnsi="Book Antiqua"/>
          <w:b/>
          <w:szCs w:val="24"/>
        </w:rPr>
        <w:t>96</w:t>
      </w:r>
      <w:r w:rsidRPr="00B909F3">
        <w:rPr>
          <w:rFonts w:ascii="Book Antiqua" w:hAnsi="Book Antiqua"/>
          <w:szCs w:val="24"/>
        </w:rPr>
        <w:t>: 1661-1667 [PMID: 15622699]</w:t>
      </w:r>
    </w:p>
    <w:p w14:paraId="72292A2D"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15 </w:t>
      </w:r>
      <w:r w:rsidRPr="00B909F3">
        <w:rPr>
          <w:rFonts w:ascii="Book Antiqua" w:hAnsi="Book Antiqua"/>
          <w:b/>
          <w:szCs w:val="24"/>
        </w:rPr>
        <w:t>Kelly DM</w:t>
      </w:r>
      <w:r w:rsidRPr="00B909F3">
        <w:rPr>
          <w:rFonts w:ascii="Book Antiqua" w:hAnsi="Book Antiqua"/>
          <w:szCs w:val="24"/>
        </w:rPr>
        <w:t xml:space="preserve">, Bennett R, Brown N, McCoy J, Boerner D, Yu C, </w:t>
      </w:r>
      <w:proofErr w:type="spellStart"/>
      <w:r w:rsidRPr="00B909F3">
        <w:rPr>
          <w:rFonts w:ascii="Book Antiqua" w:hAnsi="Book Antiqua"/>
          <w:szCs w:val="24"/>
        </w:rPr>
        <w:t>Eghtesad</w:t>
      </w:r>
      <w:proofErr w:type="spellEnd"/>
      <w:r w:rsidRPr="00B909F3">
        <w:rPr>
          <w:rFonts w:ascii="Book Antiqua" w:hAnsi="Book Antiqua"/>
          <w:szCs w:val="24"/>
        </w:rPr>
        <w:t xml:space="preserve"> B, </w:t>
      </w:r>
      <w:proofErr w:type="spellStart"/>
      <w:r w:rsidRPr="00B909F3">
        <w:rPr>
          <w:rFonts w:ascii="Book Antiqua" w:hAnsi="Book Antiqua"/>
          <w:szCs w:val="24"/>
        </w:rPr>
        <w:t>Barsoum</w:t>
      </w:r>
      <w:proofErr w:type="spellEnd"/>
      <w:r w:rsidRPr="00B909F3">
        <w:rPr>
          <w:rFonts w:ascii="Book Antiqua" w:hAnsi="Book Antiqua"/>
          <w:szCs w:val="24"/>
        </w:rPr>
        <w:t xml:space="preserve"> W, Fung JJ, </w:t>
      </w:r>
      <w:proofErr w:type="spellStart"/>
      <w:r w:rsidRPr="00B909F3">
        <w:rPr>
          <w:rFonts w:ascii="Book Antiqua" w:hAnsi="Book Antiqua"/>
          <w:szCs w:val="24"/>
        </w:rPr>
        <w:t>Kattan</w:t>
      </w:r>
      <w:proofErr w:type="spellEnd"/>
      <w:r w:rsidRPr="00B909F3">
        <w:rPr>
          <w:rFonts w:ascii="Book Antiqua" w:hAnsi="Book Antiqua"/>
          <w:szCs w:val="24"/>
        </w:rPr>
        <w:t xml:space="preserve"> MW. Predicting the discharge status after liver transplantation at a single center: a new approach for a new era. </w:t>
      </w:r>
      <w:r w:rsidRPr="00B909F3">
        <w:rPr>
          <w:rFonts w:ascii="Book Antiqua" w:hAnsi="Book Antiqua"/>
          <w:i/>
          <w:szCs w:val="24"/>
        </w:rPr>
        <w:t xml:space="preserve">Liver </w:t>
      </w:r>
      <w:proofErr w:type="spellStart"/>
      <w:r w:rsidRPr="00B909F3">
        <w:rPr>
          <w:rFonts w:ascii="Book Antiqua" w:hAnsi="Book Antiqua"/>
          <w:i/>
          <w:szCs w:val="24"/>
        </w:rPr>
        <w:t>Transpl</w:t>
      </w:r>
      <w:proofErr w:type="spellEnd"/>
      <w:r w:rsidRPr="00B909F3">
        <w:rPr>
          <w:rFonts w:ascii="Book Antiqua" w:hAnsi="Book Antiqua"/>
          <w:szCs w:val="24"/>
        </w:rPr>
        <w:t xml:space="preserve"> 2012; </w:t>
      </w:r>
      <w:r w:rsidRPr="00B909F3">
        <w:rPr>
          <w:rFonts w:ascii="Book Antiqua" w:hAnsi="Book Antiqua"/>
          <w:b/>
          <w:szCs w:val="24"/>
        </w:rPr>
        <w:t>18</w:t>
      </w:r>
      <w:r w:rsidRPr="00B909F3">
        <w:rPr>
          <w:rFonts w:ascii="Book Antiqua" w:hAnsi="Book Antiqua"/>
          <w:szCs w:val="24"/>
        </w:rPr>
        <w:t>: 796-802 [PMID: 22454258 DOI: 10.1002/lt.23434]</w:t>
      </w:r>
    </w:p>
    <w:p w14:paraId="3044032C"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16 </w:t>
      </w:r>
      <w:r w:rsidRPr="00B909F3">
        <w:rPr>
          <w:rFonts w:ascii="Book Antiqua" w:hAnsi="Book Antiqua"/>
          <w:b/>
          <w:szCs w:val="24"/>
        </w:rPr>
        <w:t xml:space="preserve">van </w:t>
      </w:r>
      <w:proofErr w:type="spellStart"/>
      <w:r w:rsidRPr="00B909F3">
        <w:rPr>
          <w:rFonts w:ascii="Book Antiqua" w:hAnsi="Book Antiqua"/>
          <w:b/>
          <w:szCs w:val="24"/>
        </w:rPr>
        <w:t>Diepen</w:t>
      </w:r>
      <w:proofErr w:type="spellEnd"/>
      <w:r w:rsidRPr="00B909F3">
        <w:rPr>
          <w:rFonts w:ascii="Book Antiqua" w:hAnsi="Book Antiqua"/>
          <w:b/>
          <w:szCs w:val="24"/>
        </w:rPr>
        <w:t xml:space="preserve"> M</w:t>
      </w:r>
      <w:r w:rsidRPr="00B909F3">
        <w:rPr>
          <w:rFonts w:ascii="Book Antiqua" w:hAnsi="Book Antiqua"/>
          <w:szCs w:val="24"/>
        </w:rPr>
        <w:t xml:space="preserve">, </w:t>
      </w:r>
      <w:proofErr w:type="spellStart"/>
      <w:r w:rsidRPr="00B909F3">
        <w:rPr>
          <w:rFonts w:ascii="Book Antiqua" w:hAnsi="Book Antiqua"/>
          <w:szCs w:val="24"/>
        </w:rPr>
        <w:t>Schroijen</w:t>
      </w:r>
      <w:proofErr w:type="spellEnd"/>
      <w:r w:rsidRPr="00B909F3">
        <w:rPr>
          <w:rFonts w:ascii="Book Antiqua" w:hAnsi="Book Antiqua"/>
          <w:szCs w:val="24"/>
        </w:rPr>
        <w:t xml:space="preserve"> MA, </w:t>
      </w:r>
      <w:proofErr w:type="spellStart"/>
      <w:r w:rsidRPr="00B909F3">
        <w:rPr>
          <w:rFonts w:ascii="Book Antiqua" w:hAnsi="Book Antiqua"/>
          <w:szCs w:val="24"/>
        </w:rPr>
        <w:t>Dekkers</w:t>
      </w:r>
      <w:proofErr w:type="spellEnd"/>
      <w:r w:rsidRPr="00B909F3">
        <w:rPr>
          <w:rFonts w:ascii="Book Antiqua" w:hAnsi="Book Antiqua"/>
          <w:szCs w:val="24"/>
        </w:rPr>
        <w:t xml:space="preserve"> OM, </w:t>
      </w:r>
      <w:proofErr w:type="spellStart"/>
      <w:r w:rsidRPr="00B909F3">
        <w:rPr>
          <w:rFonts w:ascii="Book Antiqua" w:hAnsi="Book Antiqua"/>
          <w:szCs w:val="24"/>
        </w:rPr>
        <w:t>Rotmans</w:t>
      </w:r>
      <w:proofErr w:type="spellEnd"/>
      <w:r w:rsidRPr="00B909F3">
        <w:rPr>
          <w:rFonts w:ascii="Book Antiqua" w:hAnsi="Book Antiqua"/>
          <w:szCs w:val="24"/>
        </w:rPr>
        <w:t xml:space="preserve"> JI, </w:t>
      </w:r>
      <w:proofErr w:type="spellStart"/>
      <w:r w:rsidRPr="00B909F3">
        <w:rPr>
          <w:rFonts w:ascii="Book Antiqua" w:hAnsi="Book Antiqua"/>
          <w:szCs w:val="24"/>
        </w:rPr>
        <w:t>Krediet</w:t>
      </w:r>
      <w:proofErr w:type="spellEnd"/>
      <w:r w:rsidRPr="00B909F3">
        <w:rPr>
          <w:rFonts w:ascii="Book Antiqua" w:hAnsi="Book Antiqua"/>
          <w:szCs w:val="24"/>
        </w:rPr>
        <w:t xml:space="preserve"> RT, </w:t>
      </w:r>
      <w:proofErr w:type="spellStart"/>
      <w:r w:rsidRPr="00B909F3">
        <w:rPr>
          <w:rFonts w:ascii="Book Antiqua" w:hAnsi="Book Antiqua"/>
          <w:szCs w:val="24"/>
        </w:rPr>
        <w:t>Boeschoten</w:t>
      </w:r>
      <w:proofErr w:type="spellEnd"/>
      <w:r w:rsidRPr="00B909F3">
        <w:rPr>
          <w:rFonts w:ascii="Book Antiqua" w:hAnsi="Book Antiqua"/>
          <w:szCs w:val="24"/>
        </w:rPr>
        <w:t xml:space="preserve"> EW, Dekker FW. Predicting mortality in patients with diabetes starting dialysis. </w:t>
      </w:r>
      <w:proofErr w:type="spellStart"/>
      <w:r w:rsidRPr="00B909F3">
        <w:rPr>
          <w:rFonts w:ascii="Book Antiqua" w:hAnsi="Book Antiqua"/>
          <w:i/>
          <w:szCs w:val="24"/>
        </w:rPr>
        <w:t>PLoS</w:t>
      </w:r>
      <w:proofErr w:type="spellEnd"/>
      <w:r w:rsidRPr="00B909F3">
        <w:rPr>
          <w:rFonts w:ascii="Book Antiqua" w:hAnsi="Book Antiqua"/>
          <w:i/>
          <w:szCs w:val="24"/>
        </w:rPr>
        <w:t xml:space="preserve"> One</w:t>
      </w:r>
      <w:r w:rsidRPr="00B909F3">
        <w:rPr>
          <w:rFonts w:ascii="Book Antiqua" w:hAnsi="Book Antiqua"/>
          <w:szCs w:val="24"/>
        </w:rPr>
        <w:t xml:space="preserve"> 2014; </w:t>
      </w:r>
      <w:r w:rsidRPr="00B909F3">
        <w:rPr>
          <w:rFonts w:ascii="Book Antiqua" w:hAnsi="Book Antiqua"/>
          <w:b/>
          <w:szCs w:val="24"/>
        </w:rPr>
        <w:t>9</w:t>
      </w:r>
      <w:r w:rsidRPr="00B909F3">
        <w:rPr>
          <w:rFonts w:ascii="Book Antiqua" w:hAnsi="Book Antiqua"/>
          <w:szCs w:val="24"/>
        </w:rPr>
        <w:t>: e89744 [PMID: 24594735 DOI: 10.1371/journal.pone.0089744]</w:t>
      </w:r>
    </w:p>
    <w:p w14:paraId="3C3A8E85"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17 </w:t>
      </w:r>
      <w:r w:rsidRPr="00B909F3">
        <w:rPr>
          <w:rFonts w:ascii="Book Antiqua" w:hAnsi="Book Antiqua"/>
          <w:b/>
          <w:szCs w:val="24"/>
        </w:rPr>
        <w:t>Yates JW</w:t>
      </w:r>
      <w:r w:rsidRPr="00B909F3">
        <w:rPr>
          <w:rFonts w:ascii="Book Antiqua" w:hAnsi="Book Antiqua"/>
          <w:szCs w:val="24"/>
        </w:rPr>
        <w:t xml:space="preserve">, </w:t>
      </w:r>
      <w:proofErr w:type="spellStart"/>
      <w:r w:rsidRPr="00B909F3">
        <w:rPr>
          <w:rFonts w:ascii="Book Antiqua" w:hAnsi="Book Antiqua"/>
          <w:szCs w:val="24"/>
        </w:rPr>
        <w:t>Chalmer</w:t>
      </w:r>
      <w:proofErr w:type="spellEnd"/>
      <w:r w:rsidRPr="00B909F3">
        <w:rPr>
          <w:rFonts w:ascii="Book Antiqua" w:hAnsi="Book Antiqua"/>
          <w:szCs w:val="24"/>
        </w:rPr>
        <w:t xml:space="preserve"> B, </w:t>
      </w:r>
      <w:proofErr w:type="spellStart"/>
      <w:r w:rsidRPr="00B909F3">
        <w:rPr>
          <w:rFonts w:ascii="Book Antiqua" w:hAnsi="Book Antiqua"/>
          <w:szCs w:val="24"/>
        </w:rPr>
        <w:t>McKegney</w:t>
      </w:r>
      <w:proofErr w:type="spellEnd"/>
      <w:r w:rsidRPr="00B909F3">
        <w:rPr>
          <w:rFonts w:ascii="Book Antiqua" w:hAnsi="Book Antiqua"/>
          <w:szCs w:val="24"/>
        </w:rPr>
        <w:t xml:space="preserve"> FP. Evaluation of patients with advanced cancer using the </w:t>
      </w:r>
      <w:proofErr w:type="spellStart"/>
      <w:r w:rsidRPr="00B909F3">
        <w:rPr>
          <w:rFonts w:ascii="Book Antiqua" w:hAnsi="Book Antiqua"/>
          <w:szCs w:val="24"/>
        </w:rPr>
        <w:t>Karnofsky</w:t>
      </w:r>
      <w:proofErr w:type="spellEnd"/>
      <w:r w:rsidRPr="00B909F3">
        <w:rPr>
          <w:rFonts w:ascii="Book Antiqua" w:hAnsi="Book Antiqua"/>
          <w:szCs w:val="24"/>
        </w:rPr>
        <w:t xml:space="preserve"> performance status. </w:t>
      </w:r>
      <w:r w:rsidRPr="00B909F3">
        <w:rPr>
          <w:rFonts w:ascii="Book Antiqua" w:hAnsi="Book Antiqua"/>
          <w:i/>
          <w:szCs w:val="24"/>
        </w:rPr>
        <w:t>Cancer</w:t>
      </w:r>
      <w:r w:rsidRPr="00B909F3">
        <w:rPr>
          <w:rFonts w:ascii="Book Antiqua" w:hAnsi="Book Antiqua"/>
          <w:szCs w:val="24"/>
        </w:rPr>
        <w:t xml:space="preserve"> 1980; </w:t>
      </w:r>
      <w:r w:rsidRPr="00B909F3">
        <w:rPr>
          <w:rFonts w:ascii="Book Antiqua" w:hAnsi="Book Antiqua"/>
          <w:b/>
          <w:szCs w:val="24"/>
        </w:rPr>
        <w:t>45</w:t>
      </w:r>
      <w:r w:rsidRPr="00B909F3">
        <w:rPr>
          <w:rFonts w:ascii="Book Antiqua" w:hAnsi="Book Antiqua"/>
          <w:szCs w:val="24"/>
        </w:rPr>
        <w:t>: 2220-2224 [PMID: 7370963 DOI: 10.1002/1097-0142(19800415)45:8&lt;</w:t>
      </w:r>
      <w:proofErr w:type="gramStart"/>
      <w:r w:rsidRPr="00B909F3">
        <w:rPr>
          <w:rFonts w:ascii="Book Antiqua" w:hAnsi="Book Antiqua"/>
          <w:szCs w:val="24"/>
        </w:rPr>
        <w:t>2220::</w:t>
      </w:r>
      <w:proofErr w:type="gramEnd"/>
      <w:r w:rsidRPr="00B909F3">
        <w:rPr>
          <w:rFonts w:ascii="Book Antiqua" w:hAnsi="Book Antiqua"/>
          <w:szCs w:val="24"/>
        </w:rPr>
        <w:t>AID-CNCR2820450835&gt;3.0.CO;2-Q]</w:t>
      </w:r>
    </w:p>
    <w:p w14:paraId="2D7A4E7F" w14:textId="676EB798"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highlight w:val="yellow"/>
        </w:rPr>
        <w:t xml:space="preserve">18 </w:t>
      </w:r>
      <w:bookmarkStart w:id="32" w:name="OLE_LINK1107"/>
      <w:bookmarkStart w:id="33" w:name="OLE_LINK9"/>
      <w:bookmarkStart w:id="34" w:name="OLE_LINK10"/>
      <w:r w:rsidRPr="00B909F3">
        <w:rPr>
          <w:rFonts w:ascii="Book Antiqua" w:hAnsi="Book Antiqua"/>
          <w:bCs/>
          <w:szCs w:val="24"/>
          <w:highlight w:val="yellow"/>
        </w:rPr>
        <w:t>OPTN/UNOS</w:t>
      </w:r>
      <w:r w:rsidR="00725DB8">
        <w:rPr>
          <w:rFonts w:ascii="Book Antiqua" w:hAnsi="Book Antiqua"/>
          <w:bCs/>
          <w:szCs w:val="24"/>
          <w:highlight w:val="yellow"/>
        </w:rPr>
        <w:t>.</w:t>
      </w:r>
      <w:r w:rsidRPr="00B909F3">
        <w:rPr>
          <w:rFonts w:ascii="Book Antiqua" w:hAnsi="Book Antiqua"/>
          <w:bCs/>
          <w:szCs w:val="24"/>
          <w:highlight w:val="yellow"/>
        </w:rPr>
        <w:t xml:space="preserve"> Liver and Intestinal Organ Transplantation Committee: </w:t>
      </w:r>
      <w:bookmarkEnd w:id="32"/>
      <w:r w:rsidR="00725DB8">
        <w:rPr>
          <w:rFonts w:ascii="Book Antiqua" w:hAnsi="Book Antiqua"/>
          <w:bCs/>
          <w:szCs w:val="24"/>
          <w:highlight w:val="yellow"/>
        </w:rPr>
        <w:t xml:space="preserve">Item for Board Consideration </w:t>
      </w:r>
      <w:r w:rsidRPr="00725DB8">
        <w:rPr>
          <w:rFonts w:ascii="Book Antiqua" w:hAnsi="Book Antiqua"/>
          <w:bCs/>
          <w:szCs w:val="24"/>
          <w:highlight w:val="yellow"/>
        </w:rPr>
        <w:t>[Internet]. Atlanta, GA</w:t>
      </w:r>
      <w:r w:rsidR="00725DB8" w:rsidRPr="00725DB8">
        <w:rPr>
          <w:rFonts w:ascii="Book Antiqua" w:hAnsi="Book Antiqua"/>
          <w:bCs/>
          <w:szCs w:val="24"/>
          <w:highlight w:val="yellow"/>
        </w:rPr>
        <w:t xml:space="preserve">; November 11, </w:t>
      </w:r>
      <w:r w:rsidRPr="00725DB8">
        <w:rPr>
          <w:rFonts w:ascii="Book Antiqua" w:hAnsi="Book Antiqua"/>
          <w:bCs/>
          <w:szCs w:val="24"/>
          <w:highlight w:val="yellow"/>
        </w:rPr>
        <w:t>2013</w:t>
      </w:r>
      <w:bookmarkEnd w:id="33"/>
      <w:bookmarkEnd w:id="34"/>
      <w:r w:rsidR="00725DB8" w:rsidRPr="00725DB8">
        <w:rPr>
          <w:rFonts w:ascii="Book Antiqua" w:hAnsi="Book Antiqua"/>
          <w:bCs/>
          <w:szCs w:val="24"/>
          <w:highlight w:val="yellow"/>
        </w:rPr>
        <w:t xml:space="preserve">. </w:t>
      </w:r>
      <w:bookmarkStart w:id="35" w:name="OLE_LINK6"/>
      <w:r w:rsidR="00725DB8" w:rsidRPr="00725DB8">
        <w:rPr>
          <w:rFonts w:ascii="Book Antiqua" w:hAnsi="Book Antiqua"/>
          <w:bCs/>
          <w:szCs w:val="24"/>
          <w:highlight w:val="yellow"/>
        </w:rPr>
        <w:t>Available from:</w:t>
      </w:r>
      <w:bookmarkEnd w:id="35"/>
      <w:r w:rsidR="00725DB8" w:rsidRPr="00725DB8">
        <w:rPr>
          <w:rFonts w:ascii="Book Antiqua" w:hAnsi="Book Antiqua"/>
          <w:bCs/>
          <w:szCs w:val="24"/>
          <w:highlight w:val="yellow"/>
        </w:rPr>
        <w:t xml:space="preserve"> https://unos.org/wp-content/uploads/unos/Board_11-2013_Liver_Committee_Action.pdf</w:t>
      </w:r>
    </w:p>
    <w:p w14:paraId="4822313B"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lastRenderedPageBreak/>
        <w:t xml:space="preserve">19 </w:t>
      </w:r>
      <w:r w:rsidRPr="00B909F3">
        <w:rPr>
          <w:rFonts w:ascii="Book Antiqua" w:hAnsi="Book Antiqua"/>
          <w:b/>
          <w:szCs w:val="24"/>
        </w:rPr>
        <w:t>Edgell ET</w:t>
      </w:r>
      <w:r w:rsidRPr="00B909F3">
        <w:rPr>
          <w:rFonts w:ascii="Book Antiqua" w:hAnsi="Book Antiqua"/>
          <w:szCs w:val="24"/>
        </w:rPr>
        <w:t xml:space="preserve">, Coons SJ, Carter WB, </w:t>
      </w:r>
      <w:proofErr w:type="spellStart"/>
      <w:r w:rsidRPr="00B909F3">
        <w:rPr>
          <w:rFonts w:ascii="Book Antiqua" w:hAnsi="Book Antiqua"/>
          <w:szCs w:val="24"/>
        </w:rPr>
        <w:t>Kallich</w:t>
      </w:r>
      <w:proofErr w:type="spellEnd"/>
      <w:r w:rsidRPr="00B909F3">
        <w:rPr>
          <w:rFonts w:ascii="Book Antiqua" w:hAnsi="Book Antiqua"/>
          <w:szCs w:val="24"/>
        </w:rPr>
        <w:t xml:space="preserve"> JD, Mapes D, </w:t>
      </w:r>
      <w:proofErr w:type="spellStart"/>
      <w:r w:rsidRPr="00B909F3">
        <w:rPr>
          <w:rFonts w:ascii="Book Antiqua" w:hAnsi="Book Antiqua"/>
          <w:szCs w:val="24"/>
        </w:rPr>
        <w:t>Damush</w:t>
      </w:r>
      <w:proofErr w:type="spellEnd"/>
      <w:r w:rsidRPr="00B909F3">
        <w:rPr>
          <w:rFonts w:ascii="Book Antiqua" w:hAnsi="Book Antiqua"/>
          <w:szCs w:val="24"/>
        </w:rPr>
        <w:t xml:space="preserve"> TM, Hays RD. A review of health-related quality-of-life measures used in end-stage renal disease. </w:t>
      </w:r>
      <w:r w:rsidRPr="00B909F3">
        <w:rPr>
          <w:rFonts w:ascii="Book Antiqua" w:hAnsi="Book Antiqua"/>
          <w:i/>
          <w:szCs w:val="24"/>
        </w:rPr>
        <w:t xml:space="preserve">Clin </w:t>
      </w:r>
      <w:proofErr w:type="spellStart"/>
      <w:r w:rsidRPr="00B909F3">
        <w:rPr>
          <w:rFonts w:ascii="Book Antiqua" w:hAnsi="Book Antiqua"/>
          <w:i/>
          <w:szCs w:val="24"/>
        </w:rPr>
        <w:t>Ther</w:t>
      </w:r>
      <w:proofErr w:type="spellEnd"/>
      <w:r w:rsidRPr="00B909F3">
        <w:rPr>
          <w:rFonts w:ascii="Book Antiqua" w:hAnsi="Book Antiqua"/>
          <w:szCs w:val="24"/>
        </w:rPr>
        <w:t xml:space="preserve"> 1996; </w:t>
      </w:r>
      <w:r w:rsidRPr="00B909F3">
        <w:rPr>
          <w:rFonts w:ascii="Book Antiqua" w:hAnsi="Book Antiqua"/>
          <w:b/>
          <w:szCs w:val="24"/>
        </w:rPr>
        <w:t>18</w:t>
      </w:r>
      <w:r w:rsidRPr="00B909F3">
        <w:rPr>
          <w:rFonts w:ascii="Book Antiqua" w:hAnsi="Book Antiqua"/>
          <w:szCs w:val="24"/>
        </w:rPr>
        <w:t>: 887-938 [PMID: 8930432 DOI: 10.1016/S0149-2918(96)80049-X]</w:t>
      </w:r>
    </w:p>
    <w:p w14:paraId="62C78F21"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20 </w:t>
      </w:r>
      <w:r w:rsidRPr="00B909F3">
        <w:rPr>
          <w:rFonts w:ascii="Book Antiqua" w:hAnsi="Book Antiqua"/>
          <w:b/>
          <w:szCs w:val="24"/>
        </w:rPr>
        <w:t>Moore D</w:t>
      </w:r>
      <w:r w:rsidRPr="00B909F3">
        <w:rPr>
          <w:rFonts w:ascii="Book Antiqua" w:hAnsi="Book Antiqua"/>
          <w:szCs w:val="24"/>
        </w:rPr>
        <w:t xml:space="preserve">, </w:t>
      </w:r>
      <w:proofErr w:type="spellStart"/>
      <w:r w:rsidRPr="00B909F3">
        <w:rPr>
          <w:rFonts w:ascii="Book Antiqua" w:hAnsi="Book Antiqua"/>
          <w:szCs w:val="24"/>
        </w:rPr>
        <w:t>Feurer</w:t>
      </w:r>
      <w:proofErr w:type="spellEnd"/>
      <w:r w:rsidRPr="00B909F3">
        <w:rPr>
          <w:rFonts w:ascii="Book Antiqua" w:hAnsi="Book Antiqua"/>
          <w:szCs w:val="24"/>
        </w:rPr>
        <w:t xml:space="preserve"> I, </w:t>
      </w:r>
      <w:proofErr w:type="spellStart"/>
      <w:r w:rsidRPr="00B909F3">
        <w:rPr>
          <w:rFonts w:ascii="Book Antiqua" w:hAnsi="Book Antiqua"/>
          <w:szCs w:val="24"/>
        </w:rPr>
        <w:t>Speroff</w:t>
      </w:r>
      <w:proofErr w:type="spellEnd"/>
      <w:r w:rsidRPr="00B909F3">
        <w:rPr>
          <w:rFonts w:ascii="Book Antiqua" w:hAnsi="Book Antiqua"/>
          <w:szCs w:val="24"/>
        </w:rPr>
        <w:t xml:space="preserve"> T, Shaffer D, Nylander W, </w:t>
      </w:r>
      <w:proofErr w:type="spellStart"/>
      <w:r w:rsidRPr="00B909F3">
        <w:rPr>
          <w:rFonts w:ascii="Book Antiqua" w:hAnsi="Book Antiqua"/>
          <w:szCs w:val="24"/>
        </w:rPr>
        <w:t>Kizilisik</w:t>
      </w:r>
      <w:proofErr w:type="spellEnd"/>
      <w:r w:rsidRPr="00B909F3">
        <w:rPr>
          <w:rFonts w:ascii="Book Antiqua" w:hAnsi="Book Antiqua"/>
          <w:szCs w:val="24"/>
        </w:rPr>
        <w:t xml:space="preserve"> T, Butler J, </w:t>
      </w:r>
      <w:proofErr w:type="spellStart"/>
      <w:r w:rsidRPr="00B909F3">
        <w:rPr>
          <w:rFonts w:ascii="Book Antiqua" w:hAnsi="Book Antiqua"/>
          <w:szCs w:val="24"/>
        </w:rPr>
        <w:t>Awad</w:t>
      </w:r>
      <w:proofErr w:type="spellEnd"/>
      <w:r w:rsidRPr="00B909F3">
        <w:rPr>
          <w:rFonts w:ascii="Book Antiqua" w:hAnsi="Book Antiqua"/>
          <w:szCs w:val="24"/>
        </w:rPr>
        <w:t xml:space="preserve"> J, </w:t>
      </w:r>
      <w:proofErr w:type="spellStart"/>
      <w:r w:rsidRPr="00B909F3">
        <w:rPr>
          <w:rFonts w:ascii="Book Antiqua" w:hAnsi="Book Antiqua"/>
          <w:szCs w:val="24"/>
        </w:rPr>
        <w:t>Gorden</w:t>
      </w:r>
      <w:proofErr w:type="spellEnd"/>
      <w:r w:rsidRPr="00B909F3">
        <w:rPr>
          <w:rFonts w:ascii="Book Antiqua" w:hAnsi="Book Antiqua"/>
          <w:szCs w:val="24"/>
        </w:rPr>
        <w:t xml:space="preserve"> DL, Chari R, Wright JK, Pinson CW. Survival and quality of life after organ transplantation in veterans and nonveterans. </w:t>
      </w:r>
      <w:r w:rsidRPr="00B909F3">
        <w:rPr>
          <w:rFonts w:ascii="Book Antiqua" w:hAnsi="Book Antiqua"/>
          <w:i/>
          <w:szCs w:val="24"/>
        </w:rPr>
        <w:t>Am J Surg</w:t>
      </w:r>
      <w:r w:rsidRPr="00B909F3">
        <w:rPr>
          <w:rFonts w:ascii="Book Antiqua" w:hAnsi="Book Antiqua"/>
          <w:szCs w:val="24"/>
        </w:rPr>
        <w:t xml:space="preserve"> 2003; </w:t>
      </w:r>
      <w:r w:rsidRPr="00B909F3">
        <w:rPr>
          <w:rFonts w:ascii="Book Antiqua" w:hAnsi="Book Antiqua"/>
          <w:b/>
          <w:szCs w:val="24"/>
        </w:rPr>
        <w:t>186</w:t>
      </w:r>
      <w:r w:rsidRPr="00B909F3">
        <w:rPr>
          <w:rFonts w:ascii="Book Antiqua" w:hAnsi="Book Antiqua"/>
          <w:szCs w:val="24"/>
        </w:rPr>
        <w:t>: 476-480 [PMID: 14599610 DOI: 10.1016/j.amjsurg.2003.07.024]</w:t>
      </w:r>
    </w:p>
    <w:p w14:paraId="1CCAD801"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21 </w:t>
      </w:r>
      <w:r w:rsidRPr="00B909F3">
        <w:rPr>
          <w:rFonts w:ascii="Book Antiqua" w:hAnsi="Book Antiqua"/>
          <w:b/>
          <w:szCs w:val="24"/>
        </w:rPr>
        <w:t>Moore DE</w:t>
      </w:r>
      <w:r w:rsidRPr="00B909F3">
        <w:rPr>
          <w:rFonts w:ascii="Book Antiqua" w:hAnsi="Book Antiqua"/>
          <w:szCs w:val="24"/>
        </w:rPr>
        <w:t xml:space="preserve">, </w:t>
      </w:r>
      <w:proofErr w:type="spellStart"/>
      <w:r w:rsidRPr="00B909F3">
        <w:rPr>
          <w:rFonts w:ascii="Book Antiqua" w:hAnsi="Book Antiqua"/>
          <w:szCs w:val="24"/>
        </w:rPr>
        <w:t>Feurer</w:t>
      </w:r>
      <w:proofErr w:type="spellEnd"/>
      <w:r w:rsidRPr="00B909F3">
        <w:rPr>
          <w:rFonts w:ascii="Book Antiqua" w:hAnsi="Book Antiqua"/>
          <w:szCs w:val="24"/>
        </w:rPr>
        <w:t xml:space="preserve"> ID, </w:t>
      </w:r>
      <w:proofErr w:type="spellStart"/>
      <w:r w:rsidRPr="00B909F3">
        <w:rPr>
          <w:rFonts w:ascii="Book Antiqua" w:hAnsi="Book Antiqua"/>
          <w:szCs w:val="24"/>
        </w:rPr>
        <w:t>Speroff</w:t>
      </w:r>
      <w:proofErr w:type="spellEnd"/>
      <w:r w:rsidRPr="00B909F3">
        <w:rPr>
          <w:rFonts w:ascii="Book Antiqua" w:hAnsi="Book Antiqua"/>
          <w:szCs w:val="24"/>
        </w:rPr>
        <w:t xml:space="preserve"> T, </w:t>
      </w:r>
      <w:proofErr w:type="spellStart"/>
      <w:r w:rsidRPr="00B909F3">
        <w:rPr>
          <w:rFonts w:ascii="Book Antiqua" w:hAnsi="Book Antiqua"/>
          <w:szCs w:val="24"/>
        </w:rPr>
        <w:t>Gorden</w:t>
      </w:r>
      <w:proofErr w:type="spellEnd"/>
      <w:r w:rsidRPr="00B909F3">
        <w:rPr>
          <w:rFonts w:ascii="Book Antiqua" w:hAnsi="Book Antiqua"/>
          <w:szCs w:val="24"/>
        </w:rPr>
        <w:t xml:space="preserve"> DL, Wright JK, Chari RS, Pinson CW. Impact of donor, technical, and recipient risk factors on survival and quality of life after liver transplantation. </w:t>
      </w:r>
      <w:r w:rsidRPr="00B909F3">
        <w:rPr>
          <w:rFonts w:ascii="Book Antiqua" w:hAnsi="Book Antiqua"/>
          <w:i/>
          <w:szCs w:val="24"/>
        </w:rPr>
        <w:t>Arch Surg</w:t>
      </w:r>
      <w:r w:rsidRPr="00B909F3">
        <w:rPr>
          <w:rFonts w:ascii="Book Antiqua" w:hAnsi="Book Antiqua"/>
          <w:szCs w:val="24"/>
        </w:rPr>
        <w:t xml:space="preserve"> 2005; </w:t>
      </w:r>
      <w:r w:rsidRPr="00B909F3">
        <w:rPr>
          <w:rFonts w:ascii="Book Antiqua" w:hAnsi="Book Antiqua"/>
          <w:b/>
          <w:szCs w:val="24"/>
        </w:rPr>
        <w:t>140</w:t>
      </w:r>
      <w:r w:rsidRPr="00B909F3">
        <w:rPr>
          <w:rFonts w:ascii="Book Antiqua" w:hAnsi="Book Antiqua"/>
          <w:szCs w:val="24"/>
        </w:rPr>
        <w:t>: 273-277 [PMID: 15781792 DOI: 10.1001/archsurg.140.3.273]</w:t>
      </w:r>
    </w:p>
    <w:p w14:paraId="2CCD713C"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22 </w:t>
      </w:r>
      <w:proofErr w:type="spellStart"/>
      <w:r w:rsidRPr="00B909F3">
        <w:rPr>
          <w:rFonts w:ascii="Book Antiqua" w:hAnsi="Book Antiqua"/>
          <w:b/>
          <w:szCs w:val="24"/>
        </w:rPr>
        <w:t>Mor</w:t>
      </w:r>
      <w:proofErr w:type="spellEnd"/>
      <w:r w:rsidRPr="00B909F3">
        <w:rPr>
          <w:rFonts w:ascii="Book Antiqua" w:hAnsi="Book Antiqua"/>
          <w:b/>
          <w:szCs w:val="24"/>
        </w:rPr>
        <w:t xml:space="preserve"> V</w:t>
      </w:r>
      <w:r w:rsidRPr="00B909F3">
        <w:rPr>
          <w:rFonts w:ascii="Book Antiqua" w:hAnsi="Book Antiqua"/>
          <w:szCs w:val="24"/>
        </w:rPr>
        <w:t xml:space="preserve">, </w:t>
      </w:r>
      <w:proofErr w:type="spellStart"/>
      <w:r w:rsidRPr="00B909F3">
        <w:rPr>
          <w:rFonts w:ascii="Book Antiqua" w:hAnsi="Book Antiqua"/>
          <w:szCs w:val="24"/>
        </w:rPr>
        <w:t>Laliberte</w:t>
      </w:r>
      <w:proofErr w:type="spellEnd"/>
      <w:r w:rsidRPr="00B909F3">
        <w:rPr>
          <w:rFonts w:ascii="Book Antiqua" w:hAnsi="Book Antiqua"/>
          <w:szCs w:val="24"/>
        </w:rPr>
        <w:t xml:space="preserve"> L, Morris JN, </w:t>
      </w:r>
      <w:proofErr w:type="spellStart"/>
      <w:r w:rsidRPr="00B909F3">
        <w:rPr>
          <w:rFonts w:ascii="Book Antiqua" w:hAnsi="Book Antiqua"/>
          <w:szCs w:val="24"/>
        </w:rPr>
        <w:t>Wiemann</w:t>
      </w:r>
      <w:proofErr w:type="spellEnd"/>
      <w:r w:rsidRPr="00B909F3">
        <w:rPr>
          <w:rFonts w:ascii="Book Antiqua" w:hAnsi="Book Antiqua"/>
          <w:szCs w:val="24"/>
        </w:rPr>
        <w:t xml:space="preserve"> M. The </w:t>
      </w:r>
      <w:proofErr w:type="spellStart"/>
      <w:r w:rsidRPr="00B909F3">
        <w:rPr>
          <w:rFonts w:ascii="Book Antiqua" w:hAnsi="Book Antiqua"/>
          <w:szCs w:val="24"/>
        </w:rPr>
        <w:t>Karnofsky</w:t>
      </w:r>
      <w:proofErr w:type="spellEnd"/>
      <w:r w:rsidRPr="00B909F3">
        <w:rPr>
          <w:rFonts w:ascii="Book Antiqua" w:hAnsi="Book Antiqua"/>
          <w:szCs w:val="24"/>
        </w:rPr>
        <w:t xml:space="preserve"> Performance Status Scale. An examination of its reliability and validity in a research setting. </w:t>
      </w:r>
      <w:r w:rsidRPr="00B909F3">
        <w:rPr>
          <w:rFonts w:ascii="Book Antiqua" w:hAnsi="Book Antiqua"/>
          <w:i/>
          <w:szCs w:val="24"/>
        </w:rPr>
        <w:t>Cancer</w:t>
      </w:r>
      <w:r w:rsidRPr="00B909F3">
        <w:rPr>
          <w:rFonts w:ascii="Book Antiqua" w:hAnsi="Book Antiqua"/>
          <w:szCs w:val="24"/>
        </w:rPr>
        <w:t xml:space="preserve"> 1984; </w:t>
      </w:r>
      <w:r w:rsidRPr="00B909F3">
        <w:rPr>
          <w:rFonts w:ascii="Book Antiqua" w:hAnsi="Book Antiqua"/>
          <w:b/>
          <w:szCs w:val="24"/>
        </w:rPr>
        <w:t>53</w:t>
      </w:r>
      <w:r w:rsidRPr="00B909F3">
        <w:rPr>
          <w:rFonts w:ascii="Book Antiqua" w:hAnsi="Book Antiqua"/>
          <w:szCs w:val="24"/>
        </w:rPr>
        <w:t>: 2002-2007 [PMID: 6704925 DOI: 10.1002/1097-0142(19840501)53:9&lt;</w:t>
      </w:r>
      <w:proofErr w:type="gramStart"/>
      <w:r w:rsidRPr="00B909F3">
        <w:rPr>
          <w:rFonts w:ascii="Book Antiqua" w:hAnsi="Book Antiqua"/>
          <w:szCs w:val="24"/>
        </w:rPr>
        <w:t>2002::</w:t>
      </w:r>
      <w:proofErr w:type="gramEnd"/>
      <w:r w:rsidRPr="00B909F3">
        <w:rPr>
          <w:rFonts w:ascii="Book Antiqua" w:hAnsi="Book Antiqua"/>
          <w:szCs w:val="24"/>
        </w:rPr>
        <w:t>AID-CNCR2820530933&gt;3.0.CO;2-W]</w:t>
      </w:r>
    </w:p>
    <w:p w14:paraId="607DE097"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23 </w:t>
      </w:r>
      <w:r w:rsidRPr="00B909F3">
        <w:rPr>
          <w:rFonts w:ascii="Book Antiqua" w:hAnsi="Book Antiqua"/>
          <w:b/>
          <w:szCs w:val="24"/>
        </w:rPr>
        <w:t>Pinson CW</w:t>
      </w:r>
      <w:r w:rsidRPr="00B909F3">
        <w:rPr>
          <w:rFonts w:ascii="Book Antiqua" w:hAnsi="Book Antiqua"/>
          <w:szCs w:val="24"/>
        </w:rPr>
        <w:t xml:space="preserve">, </w:t>
      </w:r>
      <w:proofErr w:type="spellStart"/>
      <w:r w:rsidRPr="00B909F3">
        <w:rPr>
          <w:rFonts w:ascii="Book Antiqua" w:hAnsi="Book Antiqua"/>
          <w:szCs w:val="24"/>
        </w:rPr>
        <w:t>Feurer</w:t>
      </w:r>
      <w:proofErr w:type="spellEnd"/>
      <w:r w:rsidRPr="00B909F3">
        <w:rPr>
          <w:rFonts w:ascii="Book Antiqua" w:hAnsi="Book Antiqua"/>
          <w:szCs w:val="24"/>
        </w:rPr>
        <w:t xml:space="preserve"> ID, Payne JL, Wise PE, Shockley S, </w:t>
      </w:r>
      <w:proofErr w:type="spellStart"/>
      <w:r w:rsidRPr="00B909F3">
        <w:rPr>
          <w:rFonts w:ascii="Book Antiqua" w:hAnsi="Book Antiqua"/>
          <w:szCs w:val="24"/>
        </w:rPr>
        <w:t>Speroff</w:t>
      </w:r>
      <w:proofErr w:type="spellEnd"/>
      <w:r w:rsidRPr="00B909F3">
        <w:rPr>
          <w:rFonts w:ascii="Book Antiqua" w:hAnsi="Book Antiqua"/>
          <w:szCs w:val="24"/>
        </w:rPr>
        <w:t xml:space="preserve"> T. Health-related quality of life after different types of solid organ transplantation. </w:t>
      </w:r>
      <w:r w:rsidRPr="00B909F3">
        <w:rPr>
          <w:rFonts w:ascii="Book Antiqua" w:hAnsi="Book Antiqua"/>
          <w:i/>
          <w:szCs w:val="24"/>
        </w:rPr>
        <w:t>Ann Surg</w:t>
      </w:r>
      <w:r w:rsidRPr="00B909F3">
        <w:rPr>
          <w:rFonts w:ascii="Book Antiqua" w:hAnsi="Book Antiqua"/>
          <w:szCs w:val="24"/>
        </w:rPr>
        <w:t xml:space="preserve"> 2000; </w:t>
      </w:r>
      <w:r w:rsidRPr="00B909F3">
        <w:rPr>
          <w:rFonts w:ascii="Book Antiqua" w:hAnsi="Book Antiqua"/>
          <w:b/>
          <w:szCs w:val="24"/>
        </w:rPr>
        <w:t>232</w:t>
      </w:r>
      <w:r w:rsidRPr="00B909F3">
        <w:rPr>
          <w:rFonts w:ascii="Book Antiqua" w:hAnsi="Book Antiqua"/>
          <w:szCs w:val="24"/>
        </w:rPr>
        <w:t>: 597-607 [PMID: 10998658 DOI: 10.1097/00000658-200010000-00015]</w:t>
      </w:r>
    </w:p>
    <w:p w14:paraId="581DD9DE"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24 </w:t>
      </w:r>
      <w:proofErr w:type="spellStart"/>
      <w:r w:rsidRPr="00B909F3">
        <w:rPr>
          <w:rFonts w:ascii="Book Antiqua" w:hAnsi="Book Antiqua"/>
          <w:b/>
          <w:szCs w:val="24"/>
        </w:rPr>
        <w:t>Schaafsma</w:t>
      </w:r>
      <w:proofErr w:type="spellEnd"/>
      <w:r w:rsidRPr="00B909F3">
        <w:rPr>
          <w:rFonts w:ascii="Book Antiqua" w:hAnsi="Book Antiqua"/>
          <w:b/>
          <w:szCs w:val="24"/>
        </w:rPr>
        <w:t xml:space="preserve"> J</w:t>
      </w:r>
      <w:r w:rsidRPr="00B909F3">
        <w:rPr>
          <w:rFonts w:ascii="Book Antiqua" w:hAnsi="Book Antiqua"/>
          <w:szCs w:val="24"/>
        </w:rPr>
        <w:t xml:space="preserve">, </w:t>
      </w:r>
      <w:proofErr w:type="spellStart"/>
      <w:r w:rsidRPr="00B909F3">
        <w:rPr>
          <w:rFonts w:ascii="Book Antiqua" w:hAnsi="Book Antiqua"/>
          <w:szCs w:val="24"/>
        </w:rPr>
        <w:t>Osoba</w:t>
      </w:r>
      <w:proofErr w:type="spellEnd"/>
      <w:r w:rsidRPr="00B909F3">
        <w:rPr>
          <w:rFonts w:ascii="Book Antiqua" w:hAnsi="Book Antiqua"/>
          <w:szCs w:val="24"/>
        </w:rPr>
        <w:t xml:space="preserve"> D. The </w:t>
      </w:r>
      <w:proofErr w:type="spellStart"/>
      <w:r w:rsidRPr="00B909F3">
        <w:rPr>
          <w:rFonts w:ascii="Book Antiqua" w:hAnsi="Book Antiqua"/>
          <w:szCs w:val="24"/>
        </w:rPr>
        <w:t>Karnofsky</w:t>
      </w:r>
      <w:proofErr w:type="spellEnd"/>
      <w:r w:rsidRPr="00B909F3">
        <w:rPr>
          <w:rFonts w:ascii="Book Antiqua" w:hAnsi="Book Antiqua"/>
          <w:szCs w:val="24"/>
        </w:rPr>
        <w:t xml:space="preserve"> Performance Status Scale re-examined: a cross-validation with the EORTC-C30. </w:t>
      </w:r>
      <w:r w:rsidRPr="00B909F3">
        <w:rPr>
          <w:rFonts w:ascii="Book Antiqua" w:hAnsi="Book Antiqua"/>
          <w:i/>
          <w:szCs w:val="24"/>
        </w:rPr>
        <w:t>Qual Life Res</w:t>
      </w:r>
      <w:r w:rsidRPr="00B909F3">
        <w:rPr>
          <w:rFonts w:ascii="Book Antiqua" w:hAnsi="Book Antiqua"/>
          <w:szCs w:val="24"/>
        </w:rPr>
        <w:t xml:space="preserve"> 1994; </w:t>
      </w:r>
      <w:r w:rsidRPr="00B909F3">
        <w:rPr>
          <w:rFonts w:ascii="Book Antiqua" w:hAnsi="Book Antiqua"/>
          <w:b/>
          <w:szCs w:val="24"/>
        </w:rPr>
        <w:t>3</w:t>
      </w:r>
      <w:r w:rsidRPr="00B909F3">
        <w:rPr>
          <w:rFonts w:ascii="Book Antiqua" w:hAnsi="Book Antiqua"/>
          <w:szCs w:val="24"/>
        </w:rPr>
        <w:t>: 413-424 [PMID: 7866359 DOI: 10.1007/BF00435393]</w:t>
      </w:r>
    </w:p>
    <w:p w14:paraId="0C3C11C3"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25 </w:t>
      </w:r>
      <w:proofErr w:type="spellStart"/>
      <w:r w:rsidRPr="00B909F3">
        <w:rPr>
          <w:rFonts w:ascii="Book Antiqua" w:hAnsi="Book Antiqua"/>
          <w:b/>
          <w:szCs w:val="24"/>
        </w:rPr>
        <w:t>Schag</w:t>
      </w:r>
      <w:proofErr w:type="spellEnd"/>
      <w:r w:rsidRPr="00B909F3">
        <w:rPr>
          <w:rFonts w:ascii="Book Antiqua" w:hAnsi="Book Antiqua"/>
          <w:b/>
          <w:szCs w:val="24"/>
        </w:rPr>
        <w:t xml:space="preserve"> CC</w:t>
      </w:r>
      <w:r w:rsidRPr="00B909F3">
        <w:rPr>
          <w:rFonts w:ascii="Book Antiqua" w:hAnsi="Book Antiqua"/>
          <w:szCs w:val="24"/>
        </w:rPr>
        <w:t xml:space="preserve">, Heinrich RL, Ganz PA. </w:t>
      </w:r>
      <w:proofErr w:type="spellStart"/>
      <w:r w:rsidRPr="00B909F3">
        <w:rPr>
          <w:rFonts w:ascii="Book Antiqua" w:hAnsi="Book Antiqua"/>
          <w:szCs w:val="24"/>
        </w:rPr>
        <w:t>Karnofsky</w:t>
      </w:r>
      <w:proofErr w:type="spellEnd"/>
      <w:r w:rsidRPr="00B909F3">
        <w:rPr>
          <w:rFonts w:ascii="Book Antiqua" w:hAnsi="Book Antiqua"/>
          <w:szCs w:val="24"/>
        </w:rPr>
        <w:t xml:space="preserve"> performance status revisited: reliability, validity, and guidelines. </w:t>
      </w:r>
      <w:r w:rsidRPr="00B909F3">
        <w:rPr>
          <w:rFonts w:ascii="Book Antiqua" w:hAnsi="Book Antiqua"/>
          <w:i/>
          <w:szCs w:val="24"/>
        </w:rPr>
        <w:t>J Clin Oncol</w:t>
      </w:r>
      <w:r w:rsidRPr="00B909F3">
        <w:rPr>
          <w:rFonts w:ascii="Book Antiqua" w:hAnsi="Book Antiqua"/>
          <w:szCs w:val="24"/>
        </w:rPr>
        <w:t xml:space="preserve"> 1984; </w:t>
      </w:r>
      <w:r w:rsidRPr="00B909F3">
        <w:rPr>
          <w:rFonts w:ascii="Book Antiqua" w:hAnsi="Book Antiqua"/>
          <w:b/>
          <w:szCs w:val="24"/>
        </w:rPr>
        <w:t>2</w:t>
      </w:r>
      <w:r w:rsidRPr="00B909F3">
        <w:rPr>
          <w:rFonts w:ascii="Book Antiqua" w:hAnsi="Book Antiqua"/>
          <w:szCs w:val="24"/>
        </w:rPr>
        <w:t>: 187-193 [PMID: 6699671 DOI: 10.1200/JCO.1984.2.3.187]</w:t>
      </w:r>
    </w:p>
    <w:p w14:paraId="77821FD5"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26 </w:t>
      </w:r>
      <w:proofErr w:type="spellStart"/>
      <w:r w:rsidRPr="00B909F3">
        <w:rPr>
          <w:rFonts w:ascii="Book Antiqua" w:hAnsi="Book Antiqua"/>
          <w:b/>
          <w:szCs w:val="24"/>
        </w:rPr>
        <w:t>Terret</w:t>
      </w:r>
      <w:proofErr w:type="spellEnd"/>
      <w:r w:rsidRPr="00B909F3">
        <w:rPr>
          <w:rFonts w:ascii="Book Antiqua" w:hAnsi="Book Antiqua"/>
          <w:b/>
          <w:szCs w:val="24"/>
        </w:rPr>
        <w:t xml:space="preserve"> C</w:t>
      </w:r>
      <w:r w:rsidRPr="00B909F3">
        <w:rPr>
          <w:rFonts w:ascii="Book Antiqua" w:hAnsi="Book Antiqua"/>
          <w:szCs w:val="24"/>
        </w:rPr>
        <w:t xml:space="preserve">, </w:t>
      </w:r>
      <w:proofErr w:type="spellStart"/>
      <w:r w:rsidRPr="00B909F3">
        <w:rPr>
          <w:rFonts w:ascii="Book Antiqua" w:hAnsi="Book Antiqua"/>
          <w:szCs w:val="24"/>
        </w:rPr>
        <w:t>Albrand</w:t>
      </w:r>
      <w:proofErr w:type="spellEnd"/>
      <w:r w:rsidRPr="00B909F3">
        <w:rPr>
          <w:rFonts w:ascii="Book Antiqua" w:hAnsi="Book Antiqua"/>
          <w:szCs w:val="24"/>
        </w:rPr>
        <w:t xml:space="preserve"> G, </w:t>
      </w:r>
      <w:proofErr w:type="spellStart"/>
      <w:r w:rsidRPr="00B909F3">
        <w:rPr>
          <w:rFonts w:ascii="Book Antiqua" w:hAnsi="Book Antiqua"/>
          <w:szCs w:val="24"/>
        </w:rPr>
        <w:t>Moncenix</w:t>
      </w:r>
      <w:proofErr w:type="spellEnd"/>
      <w:r w:rsidRPr="00B909F3">
        <w:rPr>
          <w:rFonts w:ascii="Book Antiqua" w:hAnsi="Book Antiqua"/>
          <w:szCs w:val="24"/>
        </w:rPr>
        <w:t xml:space="preserve"> G, </w:t>
      </w:r>
      <w:proofErr w:type="spellStart"/>
      <w:r w:rsidRPr="00B909F3">
        <w:rPr>
          <w:rFonts w:ascii="Book Antiqua" w:hAnsi="Book Antiqua"/>
          <w:szCs w:val="24"/>
        </w:rPr>
        <w:t>Droz</w:t>
      </w:r>
      <w:proofErr w:type="spellEnd"/>
      <w:r w:rsidRPr="00B909F3">
        <w:rPr>
          <w:rFonts w:ascii="Book Antiqua" w:hAnsi="Book Antiqua"/>
          <w:szCs w:val="24"/>
        </w:rPr>
        <w:t xml:space="preserve"> JP. </w:t>
      </w:r>
      <w:proofErr w:type="spellStart"/>
      <w:r w:rsidRPr="00B909F3">
        <w:rPr>
          <w:rFonts w:ascii="Book Antiqua" w:hAnsi="Book Antiqua"/>
          <w:szCs w:val="24"/>
        </w:rPr>
        <w:t>Karnofsky</w:t>
      </w:r>
      <w:proofErr w:type="spellEnd"/>
      <w:r w:rsidRPr="00B909F3">
        <w:rPr>
          <w:rFonts w:ascii="Book Antiqua" w:hAnsi="Book Antiqua"/>
          <w:szCs w:val="24"/>
        </w:rPr>
        <w:t xml:space="preserve"> Performance Scale (KPS) or Physical Performance Test (PPT)? That is the question. </w:t>
      </w:r>
      <w:proofErr w:type="spellStart"/>
      <w:r w:rsidRPr="00B909F3">
        <w:rPr>
          <w:rFonts w:ascii="Book Antiqua" w:hAnsi="Book Antiqua"/>
          <w:i/>
          <w:szCs w:val="24"/>
        </w:rPr>
        <w:t>Crit</w:t>
      </w:r>
      <w:proofErr w:type="spellEnd"/>
      <w:r w:rsidRPr="00B909F3">
        <w:rPr>
          <w:rFonts w:ascii="Book Antiqua" w:hAnsi="Book Antiqua"/>
          <w:i/>
          <w:szCs w:val="24"/>
        </w:rPr>
        <w:t xml:space="preserve"> Rev Oncol </w:t>
      </w:r>
      <w:proofErr w:type="spellStart"/>
      <w:r w:rsidRPr="00B909F3">
        <w:rPr>
          <w:rFonts w:ascii="Book Antiqua" w:hAnsi="Book Antiqua"/>
          <w:i/>
          <w:szCs w:val="24"/>
        </w:rPr>
        <w:t>Hematol</w:t>
      </w:r>
      <w:proofErr w:type="spellEnd"/>
      <w:r w:rsidRPr="00B909F3">
        <w:rPr>
          <w:rFonts w:ascii="Book Antiqua" w:hAnsi="Book Antiqua"/>
          <w:szCs w:val="24"/>
        </w:rPr>
        <w:t xml:space="preserve"> 2011; </w:t>
      </w:r>
      <w:r w:rsidRPr="00B909F3">
        <w:rPr>
          <w:rFonts w:ascii="Book Antiqua" w:hAnsi="Book Antiqua"/>
          <w:b/>
          <w:szCs w:val="24"/>
        </w:rPr>
        <w:t>77</w:t>
      </w:r>
      <w:r w:rsidRPr="00B909F3">
        <w:rPr>
          <w:rFonts w:ascii="Book Antiqua" w:hAnsi="Book Antiqua"/>
          <w:szCs w:val="24"/>
        </w:rPr>
        <w:t>: 142-147 [PMID: 20185330 DOI: 10.1016/j.critrevonc.2010.01.015]</w:t>
      </w:r>
    </w:p>
    <w:p w14:paraId="560C1ED8"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27 </w:t>
      </w:r>
      <w:r w:rsidRPr="00B909F3">
        <w:rPr>
          <w:rFonts w:ascii="Book Antiqua" w:hAnsi="Book Antiqua"/>
          <w:b/>
          <w:szCs w:val="24"/>
        </w:rPr>
        <w:t>Terwey TH</w:t>
      </w:r>
      <w:r w:rsidRPr="00B909F3">
        <w:rPr>
          <w:rFonts w:ascii="Book Antiqua" w:hAnsi="Book Antiqua"/>
          <w:szCs w:val="24"/>
        </w:rPr>
        <w:t xml:space="preserve">, </w:t>
      </w:r>
      <w:proofErr w:type="spellStart"/>
      <w:r w:rsidRPr="00B909F3">
        <w:rPr>
          <w:rFonts w:ascii="Book Antiqua" w:hAnsi="Book Antiqua"/>
          <w:szCs w:val="24"/>
        </w:rPr>
        <w:t>Hemmati</w:t>
      </w:r>
      <w:proofErr w:type="spellEnd"/>
      <w:r w:rsidRPr="00B909F3">
        <w:rPr>
          <w:rFonts w:ascii="Book Antiqua" w:hAnsi="Book Antiqua"/>
          <w:szCs w:val="24"/>
        </w:rPr>
        <w:t xml:space="preserve"> PG, </w:t>
      </w:r>
      <w:proofErr w:type="spellStart"/>
      <w:r w:rsidRPr="00B909F3">
        <w:rPr>
          <w:rFonts w:ascii="Book Antiqua" w:hAnsi="Book Antiqua"/>
          <w:szCs w:val="24"/>
        </w:rPr>
        <w:t>Martus</w:t>
      </w:r>
      <w:proofErr w:type="spellEnd"/>
      <w:r w:rsidRPr="00B909F3">
        <w:rPr>
          <w:rFonts w:ascii="Book Antiqua" w:hAnsi="Book Antiqua"/>
          <w:szCs w:val="24"/>
        </w:rPr>
        <w:t xml:space="preserve"> P, Dietz E, </w:t>
      </w:r>
      <w:proofErr w:type="spellStart"/>
      <w:r w:rsidRPr="00B909F3">
        <w:rPr>
          <w:rFonts w:ascii="Book Antiqua" w:hAnsi="Book Antiqua"/>
          <w:szCs w:val="24"/>
        </w:rPr>
        <w:t>Vuong</w:t>
      </w:r>
      <w:proofErr w:type="spellEnd"/>
      <w:r w:rsidRPr="00B909F3">
        <w:rPr>
          <w:rFonts w:ascii="Book Antiqua" w:hAnsi="Book Antiqua"/>
          <w:szCs w:val="24"/>
        </w:rPr>
        <w:t xml:space="preserve"> LG, </w:t>
      </w:r>
      <w:proofErr w:type="spellStart"/>
      <w:r w:rsidRPr="00B909F3">
        <w:rPr>
          <w:rFonts w:ascii="Book Antiqua" w:hAnsi="Book Antiqua"/>
          <w:szCs w:val="24"/>
        </w:rPr>
        <w:t>Massenkeil</w:t>
      </w:r>
      <w:proofErr w:type="spellEnd"/>
      <w:r w:rsidRPr="00B909F3">
        <w:rPr>
          <w:rFonts w:ascii="Book Antiqua" w:hAnsi="Book Antiqua"/>
          <w:szCs w:val="24"/>
        </w:rPr>
        <w:t xml:space="preserve"> G, </w:t>
      </w:r>
      <w:proofErr w:type="spellStart"/>
      <w:r w:rsidRPr="00B909F3">
        <w:rPr>
          <w:rFonts w:ascii="Book Antiqua" w:hAnsi="Book Antiqua"/>
          <w:szCs w:val="24"/>
        </w:rPr>
        <w:t>Dörken</w:t>
      </w:r>
      <w:proofErr w:type="spellEnd"/>
      <w:r w:rsidRPr="00B909F3">
        <w:rPr>
          <w:rFonts w:ascii="Book Antiqua" w:hAnsi="Book Antiqua"/>
          <w:szCs w:val="24"/>
        </w:rPr>
        <w:t xml:space="preserve"> B, Arnold R. A modified EBMT risk score and the hematopoietic cell transplantation-specific comorbidity index for pre-transplant risk assessment in adult acute </w:t>
      </w:r>
      <w:r w:rsidRPr="00B909F3">
        <w:rPr>
          <w:rFonts w:ascii="Book Antiqua" w:hAnsi="Book Antiqua"/>
          <w:szCs w:val="24"/>
        </w:rPr>
        <w:lastRenderedPageBreak/>
        <w:t xml:space="preserve">lymphoblastic leukemia. </w:t>
      </w:r>
      <w:proofErr w:type="spellStart"/>
      <w:r w:rsidRPr="00B909F3">
        <w:rPr>
          <w:rFonts w:ascii="Book Antiqua" w:hAnsi="Book Antiqua"/>
          <w:i/>
          <w:szCs w:val="24"/>
        </w:rPr>
        <w:t>Haematologica</w:t>
      </w:r>
      <w:proofErr w:type="spellEnd"/>
      <w:r w:rsidRPr="00B909F3">
        <w:rPr>
          <w:rFonts w:ascii="Book Antiqua" w:hAnsi="Book Antiqua"/>
          <w:szCs w:val="24"/>
        </w:rPr>
        <w:t xml:space="preserve"> 2010; </w:t>
      </w:r>
      <w:r w:rsidRPr="00B909F3">
        <w:rPr>
          <w:rFonts w:ascii="Book Antiqua" w:hAnsi="Book Antiqua"/>
          <w:b/>
          <w:szCs w:val="24"/>
        </w:rPr>
        <w:t>95</w:t>
      </w:r>
      <w:r w:rsidRPr="00B909F3">
        <w:rPr>
          <w:rFonts w:ascii="Book Antiqua" w:hAnsi="Book Antiqua"/>
          <w:szCs w:val="24"/>
        </w:rPr>
        <w:t>: 810-818 [PMID: 20007143 DOI: 10.3324/haematol.2009.011809]</w:t>
      </w:r>
    </w:p>
    <w:p w14:paraId="2A083709"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28 </w:t>
      </w:r>
      <w:proofErr w:type="spellStart"/>
      <w:r w:rsidRPr="00B909F3">
        <w:rPr>
          <w:rFonts w:ascii="Book Antiqua" w:hAnsi="Book Antiqua"/>
          <w:b/>
          <w:szCs w:val="24"/>
        </w:rPr>
        <w:t>Geevarghese</w:t>
      </w:r>
      <w:proofErr w:type="spellEnd"/>
      <w:r w:rsidRPr="00B909F3">
        <w:rPr>
          <w:rFonts w:ascii="Book Antiqua" w:hAnsi="Book Antiqua"/>
          <w:b/>
          <w:szCs w:val="24"/>
        </w:rPr>
        <w:t xml:space="preserve"> SK</w:t>
      </w:r>
      <w:r w:rsidRPr="00B909F3">
        <w:rPr>
          <w:rFonts w:ascii="Book Antiqua" w:hAnsi="Book Antiqua"/>
          <w:szCs w:val="24"/>
        </w:rPr>
        <w:t xml:space="preserve">, Bradley AE, Wright JK, Chapman WC, </w:t>
      </w:r>
      <w:proofErr w:type="spellStart"/>
      <w:r w:rsidRPr="00B909F3">
        <w:rPr>
          <w:rFonts w:ascii="Book Antiqua" w:hAnsi="Book Antiqua"/>
          <w:szCs w:val="24"/>
        </w:rPr>
        <w:t>Feurer</w:t>
      </w:r>
      <w:proofErr w:type="spellEnd"/>
      <w:r w:rsidRPr="00B909F3">
        <w:rPr>
          <w:rFonts w:ascii="Book Antiqua" w:hAnsi="Book Antiqua"/>
          <w:szCs w:val="24"/>
        </w:rPr>
        <w:t xml:space="preserve"> I, Payne JL, Hunter EB, Pinson CW. Outcomes analysis in 100 liver transplantation patients. </w:t>
      </w:r>
      <w:r w:rsidRPr="00B909F3">
        <w:rPr>
          <w:rFonts w:ascii="Book Antiqua" w:hAnsi="Book Antiqua"/>
          <w:i/>
          <w:szCs w:val="24"/>
        </w:rPr>
        <w:t>Am J Surg</w:t>
      </w:r>
      <w:r w:rsidRPr="00B909F3">
        <w:rPr>
          <w:rFonts w:ascii="Book Antiqua" w:hAnsi="Book Antiqua"/>
          <w:szCs w:val="24"/>
        </w:rPr>
        <w:t xml:space="preserve"> 1998; </w:t>
      </w:r>
      <w:r w:rsidRPr="00B909F3">
        <w:rPr>
          <w:rFonts w:ascii="Book Antiqua" w:hAnsi="Book Antiqua"/>
          <w:b/>
          <w:szCs w:val="24"/>
        </w:rPr>
        <w:t>175</w:t>
      </w:r>
      <w:r w:rsidRPr="00B909F3">
        <w:rPr>
          <w:rFonts w:ascii="Book Antiqua" w:hAnsi="Book Antiqua"/>
          <w:szCs w:val="24"/>
        </w:rPr>
        <w:t>: 348-353 [PMID: 9600275 DOI: 10.1016/S0002-9610(98)00053-1]</w:t>
      </w:r>
    </w:p>
    <w:p w14:paraId="183423B2" w14:textId="038A22DB"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29 </w:t>
      </w:r>
      <w:bookmarkStart w:id="36" w:name="OLE_LINK11"/>
      <w:proofErr w:type="spellStart"/>
      <w:r w:rsidRPr="00B909F3">
        <w:rPr>
          <w:rFonts w:ascii="Book Antiqua" w:hAnsi="Book Antiqua"/>
          <w:b/>
          <w:szCs w:val="24"/>
        </w:rPr>
        <w:t>Sonnenday</w:t>
      </w:r>
      <w:proofErr w:type="spellEnd"/>
      <w:r w:rsidRPr="00B909F3">
        <w:rPr>
          <w:rFonts w:ascii="Book Antiqua" w:hAnsi="Book Antiqua"/>
          <w:b/>
          <w:szCs w:val="24"/>
        </w:rPr>
        <w:t xml:space="preserve"> CJ,</w:t>
      </w:r>
      <w:r w:rsidRPr="00B909F3">
        <w:rPr>
          <w:rFonts w:ascii="Book Antiqua" w:hAnsi="Book Antiqua"/>
          <w:szCs w:val="24"/>
        </w:rPr>
        <w:t xml:space="preserve"> Volk M, </w:t>
      </w:r>
      <w:proofErr w:type="spellStart"/>
      <w:r w:rsidRPr="00B909F3">
        <w:rPr>
          <w:rFonts w:ascii="Book Antiqua" w:hAnsi="Book Antiqua"/>
          <w:szCs w:val="24"/>
        </w:rPr>
        <w:t>Englesbe</w:t>
      </w:r>
      <w:proofErr w:type="spellEnd"/>
      <w:r w:rsidRPr="00B909F3">
        <w:rPr>
          <w:rFonts w:ascii="Book Antiqua" w:hAnsi="Book Antiqua"/>
          <w:szCs w:val="24"/>
        </w:rPr>
        <w:t xml:space="preserve"> MJ. PBC, PSC, and autoimmune disease. Hepatology 2013</w:t>
      </w:r>
      <w:bookmarkEnd w:id="36"/>
      <w:r w:rsidR="00197EDE" w:rsidRPr="00B909F3">
        <w:rPr>
          <w:rFonts w:ascii="Book Antiqua" w:hAnsi="Book Antiqua"/>
          <w:szCs w:val="24"/>
        </w:rPr>
        <w:t>;</w:t>
      </w:r>
      <w:r w:rsidRPr="00B909F3">
        <w:rPr>
          <w:rFonts w:ascii="Book Antiqua" w:hAnsi="Book Antiqua"/>
          <w:szCs w:val="24"/>
        </w:rPr>
        <w:t xml:space="preserve"> 249A</w:t>
      </w:r>
      <w:r w:rsidR="00197EDE" w:rsidRPr="00B909F3">
        <w:rPr>
          <w:rFonts w:ascii="Book Antiqua" w:hAnsi="Book Antiqua"/>
          <w:szCs w:val="24"/>
        </w:rPr>
        <w:t>-</w:t>
      </w:r>
      <w:r w:rsidRPr="00B909F3">
        <w:rPr>
          <w:rFonts w:ascii="Book Antiqua" w:hAnsi="Book Antiqua"/>
          <w:szCs w:val="24"/>
        </w:rPr>
        <w:t xml:space="preserve">253A </w:t>
      </w:r>
      <w:r w:rsidR="00197EDE" w:rsidRPr="00B909F3">
        <w:rPr>
          <w:rFonts w:ascii="Book Antiqua" w:hAnsi="Book Antiqua"/>
          <w:szCs w:val="24"/>
        </w:rPr>
        <w:t>[</w:t>
      </w:r>
      <w:bookmarkStart w:id="37" w:name="OLE_LINK12"/>
      <w:r w:rsidRPr="00B909F3">
        <w:rPr>
          <w:rFonts w:ascii="Book Antiqua" w:hAnsi="Book Antiqua"/>
          <w:szCs w:val="24"/>
        </w:rPr>
        <w:t>DOI: 10.1002/hep.26805</w:t>
      </w:r>
      <w:bookmarkEnd w:id="37"/>
      <w:r w:rsidR="00197EDE" w:rsidRPr="00B909F3">
        <w:rPr>
          <w:rFonts w:ascii="Book Antiqua" w:hAnsi="Book Antiqua"/>
          <w:szCs w:val="24"/>
        </w:rPr>
        <w:t>]</w:t>
      </w:r>
    </w:p>
    <w:p w14:paraId="234A2BD2"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30 </w:t>
      </w:r>
      <w:r w:rsidRPr="00B909F3">
        <w:rPr>
          <w:rFonts w:ascii="Book Antiqua" w:hAnsi="Book Antiqua"/>
          <w:b/>
          <w:szCs w:val="24"/>
        </w:rPr>
        <w:t>Jacob M</w:t>
      </w:r>
      <w:r w:rsidRPr="00B909F3">
        <w:rPr>
          <w:rFonts w:ascii="Book Antiqua" w:hAnsi="Book Antiqua"/>
          <w:szCs w:val="24"/>
        </w:rPr>
        <w:t xml:space="preserve">, Copley LP, Lewsey JD, </w:t>
      </w:r>
      <w:proofErr w:type="spellStart"/>
      <w:r w:rsidRPr="00B909F3">
        <w:rPr>
          <w:rFonts w:ascii="Book Antiqua" w:hAnsi="Book Antiqua"/>
          <w:szCs w:val="24"/>
        </w:rPr>
        <w:t>Gimson</w:t>
      </w:r>
      <w:proofErr w:type="spellEnd"/>
      <w:r w:rsidRPr="00B909F3">
        <w:rPr>
          <w:rFonts w:ascii="Book Antiqua" w:hAnsi="Book Antiqua"/>
          <w:szCs w:val="24"/>
        </w:rPr>
        <w:t xml:space="preserve"> A, </w:t>
      </w:r>
      <w:proofErr w:type="spellStart"/>
      <w:r w:rsidRPr="00B909F3">
        <w:rPr>
          <w:rFonts w:ascii="Book Antiqua" w:hAnsi="Book Antiqua"/>
          <w:szCs w:val="24"/>
        </w:rPr>
        <w:t>Rela</w:t>
      </w:r>
      <w:proofErr w:type="spellEnd"/>
      <w:r w:rsidRPr="00B909F3">
        <w:rPr>
          <w:rFonts w:ascii="Book Antiqua" w:hAnsi="Book Antiqua"/>
          <w:szCs w:val="24"/>
        </w:rPr>
        <w:t xml:space="preserve"> M, van der </w:t>
      </w:r>
      <w:proofErr w:type="spellStart"/>
      <w:r w:rsidRPr="00B909F3">
        <w:rPr>
          <w:rFonts w:ascii="Book Antiqua" w:hAnsi="Book Antiqua"/>
          <w:szCs w:val="24"/>
        </w:rPr>
        <w:t>Meulen</w:t>
      </w:r>
      <w:proofErr w:type="spellEnd"/>
      <w:r w:rsidRPr="00B909F3">
        <w:rPr>
          <w:rFonts w:ascii="Book Antiqua" w:hAnsi="Book Antiqua"/>
          <w:szCs w:val="24"/>
        </w:rPr>
        <w:t xml:space="preserve"> JH; UK and Ireland Liver Transplant Audit. Functional status of patients before liver transplantation as a predictor of posttransplant mortality. </w:t>
      </w:r>
      <w:r w:rsidRPr="00B909F3">
        <w:rPr>
          <w:rFonts w:ascii="Book Antiqua" w:hAnsi="Book Antiqua"/>
          <w:i/>
          <w:szCs w:val="24"/>
        </w:rPr>
        <w:t>Transplantation</w:t>
      </w:r>
      <w:r w:rsidRPr="00B909F3">
        <w:rPr>
          <w:rFonts w:ascii="Book Antiqua" w:hAnsi="Book Antiqua"/>
          <w:szCs w:val="24"/>
        </w:rPr>
        <w:t xml:space="preserve"> 2005; </w:t>
      </w:r>
      <w:r w:rsidRPr="00B909F3">
        <w:rPr>
          <w:rFonts w:ascii="Book Antiqua" w:hAnsi="Book Antiqua"/>
          <w:b/>
          <w:szCs w:val="24"/>
        </w:rPr>
        <w:t>80</w:t>
      </w:r>
      <w:r w:rsidRPr="00B909F3">
        <w:rPr>
          <w:rFonts w:ascii="Book Antiqua" w:hAnsi="Book Antiqua"/>
          <w:szCs w:val="24"/>
        </w:rPr>
        <w:t>: 52-57 [PMID: 16003233 DOI: 10.1097/</w:t>
      </w:r>
      <w:proofErr w:type="gramStart"/>
      <w:r w:rsidRPr="00B909F3">
        <w:rPr>
          <w:rFonts w:ascii="Book Antiqua" w:hAnsi="Book Antiqua"/>
          <w:szCs w:val="24"/>
        </w:rPr>
        <w:t>01.TP.</w:t>
      </w:r>
      <w:proofErr w:type="gramEnd"/>
      <w:r w:rsidRPr="00B909F3">
        <w:rPr>
          <w:rFonts w:ascii="Book Antiqua" w:hAnsi="Book Antiqua"/>
          <w:szCs w:val="24"/>
        </w:rPr>
        <w:t>0000163292.03640.5C]</w:t>
      </w:r>
    </w:p>
    <w:p w14:paraId="6F7FEE0E"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31 </w:t>
      </w:r>
      <w:proofErr w:type="spellStart"/>
      <w:r w:rsidRPr="00B909F3">
        <w:rPr>
          <w:rFonts w:ascii="Book Antiqua" w:hAnsi="Book Antiqua"/>
          <w:b/>
          <w:szCs w:val="24"/>
        </w:rPr>
        <w:t>Dolgin</w:t>
      </w:r>
      <w:proofErr w:type="spellEnd"/>
      <w:r w:rsidRPr="00B909F3">
        <w:rPr>
          <w:rFonts w:ascii="Book Antiqua" w:hAnsi="Book Antiqua"/>
          <w:b/>
          <w:szCs w:val="24"/>
        </w:rPr>
        <w:t xml:space="preserve"> NH</w:t>
      </w:r>
      <w:r w:rsidRPr="00B909F3">
        <w:rPr>
          <w:rFonts w:ascii="Book Antiqua" w:hAnsi="Book Antiqua"/>
          <w:szCs w:val="24"/>
        </w:rPr>
        <w:t xml:space="preserve">, Martins PN, </w:t>
      </w:r>
      <w:proofErr w:type="spellStart"/>
      <w:r w:rsidRPr="00B909F3">
        <w:rPr>
          <w:rFonts w:ascii="Book Antiqua" w:hAnsi="Book Antiqua"/>
          <w:szCs w:val="24"/>
        </w:rPr>
        <w:t>Movahedi</w:t>
      </w:r>
      <w:proofErr w:type="spellEnd"/>
      <w:r w:rsidRPr="00B909F3">
        <w:rPr>
          <w:rFonts w:ascii="Book Antiqua" w:hAnsi="Book Antiqua"/>
          <w:szCs w:val="24"/>
        </w:rPr>
        <w:t xml:space="preserve"> B, </w:t>
      </w:r>
      <w:proofErr w:type="spellStart"/>
      <w:r w:rsidRPr="00B909F3">
        <w:rPr>
          <w:rFonts w:ascii="Book Antiqua" w:hAnsi="Book Antiqua"/>
          <w:szCs w:val="24"/>
        </w:rPr>
        <w:t>Lapane</w:t>
      </w:r>
      <w:proofErr w:type="spellEnd"/>
      <w:r w:rsidRPr="00B909F3">
        <w:rPr>
          <w:rFonts w:ascii="Book Antiqua" w:hAnsi="Book Antiqua"/>
          <w:szCs w:val="24"/>
        </w:rPr>
        <w:t xml:space="preserve"> KL, Anderson FA, </w:t>
      </w:r>
      <w:proofErr w:type="spellStart"/>
      <w:r w:rsidRPr="00B909F3">
        <w:rPr>
          <w:rFonts w:ascii="Book Antiqua" w:hAnsi="Book Antiqua"/>
          <w:szCs w:val="24"/>
        </w:rPr>
        <w:t>Bozorgzadeh</w:t>
      </w:r>
      <w:proofErr w:type="spellEnd"/>
      <w:r w:rsidRPr="00B909F3">
        <w:rPr>
          <w:rFonts w:ascii="Book Antiqua" w:hAnsi="Book Antiqua"/>
          <w:szCs w:val="24"/>
        </w:rPr>
        <w:t xml:space="preserve"> A. Functional status predicts postoperative mortality after liver transplantation. </w:t>
      </w:r>
      <w:r w:rsidRPr="00B909F3">
        <w:rPr>
          <w:rFonts w:ascii="Book Antiqua" w:hAnsi="Book Antiqua"/>
          <w:i/>
          <w:szCs w:val="24"/>
        </w:rPr>
        <w:t>Clin Transplant</w:t>
      </w:r>
      <w:r w:rsidRPr="00B909F3">
        <w:rPr>
          <w:rFonts w:ascii="Book Antiqua" w:hAnsi="Book Antiqua"/>
          <w:szCs w:val="24"/>
        </w:rPr>
        <w:t xml:space="preserve"> 2016; </w:t>
      </w:r>
      <w:r w:rsidRPr="00B909F3">
        <w:rPr>
          <w:rFonts w:ascii="Book Antiqua" w:hAnsi="Book Antiqua"/>
          <w:b/>
          <w:szCs w:val="24"/>
        </w:rPr>
        <w:t>30</w:t>
      </w:r>
      <w:r w:rsidRPr="00B909F3">
        <w:rPr>
          <w:rFonts w:ascii="Book Antiqua" w:hAnsi="Book Antiqua"/>
          <w:szCs w:val="24"/>
        </w:rPr>
        <w:t>: 1403-1410 [PMID: 27439897 DOI: 10.1111/ctr.12808]</w:t>
      </w:r>
    </w:p>
    <w:p w14:paraId="19DC75F7"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32 </w:t>
      </w:r>
      <w:r w:rsidRPr="00B909F3">
        <w:rPr>
          <w:rFonts w:ascii="Book Antiqua" w:hAnsi="Book Antiqua"/>
          <w:b/>
          <w:szCs w:val="24"/>
        </w:rPr>
        <w:t>Ricci P</w:t>
      </w:r>
      <w:r w:rsidRPr="00B909F3">
        <w:rPr>
          <w:rFonts w:ascii="Book Antiqua" w:hAnsi="Book Antiqua"/>
          <w:szCs w:val="24"/>
        </w:rPr>
        <w:t xml:space="preserve">, </w:t>
      </w:r>
      <w:proofErr w:type="spellStart"/>
      <w:r w:rsidRPr="00B909F3">
        <w:rPr>
          <w:rFonts w:ascii="Book Antiqua" w:hAnsi="Book Antiqua"/>
          <w:szCs w:val="24"/>
        </w:rPr>
        <w:t>Therneau</w:t>
      </w:r>
      <w:proofErr w:type="spellEnd"/>
      <w:r w:rsidRPr="00B909F3">
        <w:rPr>
          <w:rFonts w:ascii="Book Antiqua" w:hAnsi="Book Antiqua"/>
          <w:szCs w:val="24"/>
        </w:rPr>
        <w:t xml:space="preserve"> TM, </w:t>
      </w:r>
      <w:proofErr w:type="spellStart"/>
      <w:r w:rsidRPr="00B909F3">
        <w:rPr>
          <w:rFonts w:ascii="Book Antiqua" w:hAnsi="Book Antiqua"/>
          <w:szCs w:val="24"/>
        </w:rPr>
        <w:t>Malinchoc</w:t>
      </w:r>
      <w:proofErr w:type="spellEnd"/>
      <w:r w:rsidRPr="00B909F3">
        <w:rPr>
          <w:rFonts w:ascii="Book Antiqua" w:hAnsi="Book Antiqua"/>
          <w:szCs w:val="24"/>
        </w:rPr>
        <w:t xml:space="preserve"> M, Benson JT, </w:t>
      </w:r>
      <w:proofErr w:type="spellStart"/>
      <w:r w:rsidRPr="00B909F3">
        <w:rPr>
          <w:rFonts w:ascii="Book Antiqua" w:hAnsi="Book Antiqua"/>
          <w:szCs w:val="24"/>
        </w:rPr>
        <w:t>Petz</w:t>
      </w:r>
      <w:proofErr w:type="spellEnd"/>
      <w:r w:rsidRPr="00B909F3">
        <w:rPr>
          <w:rFonts w:ascii="Book Antiqua" w:hAnsi="Book Antiqua"/>
          <w:szCs w:val="24"/>
        </w:rPr>
        <w:t xml:space="preserve"> JL, </w:t>
      </w:r>
      <w:proofErr w:type="spellStart"/>
      <w:r w:rsidRPr="00B909F3">
        <w:rPr>
          <w:rFonts w:ascii="Book Antiqua" w:hAnsi="Book Antiqua"/>
          <w:szCs w:val="24"/>
        </w:rPr>
        <w:t>Klintmalm</w:t>
      </w:r>
      <w:proofErr w:type="spellEnd"/>
      <w:r w:rsidRPr="00B909F3">
        <w:rPr>
          <w:rFonts w:ascii="Book Antiqua" w:hAnsi="Book Antiqua"/>
          <w:szCs w:val="24"/>
        </w:rPr>
        <w:t xml:space="preserve"> GB, </w:t>
      </w:r>
      <w:proofErr w:type="spellStart"/>
      <w:r w:rsidRPr="00B909F3">
        <w:rPr>
          <w:rFonts w:ascii="Book Antiqua" w:hAnsi="Book Antiqua"/>
          <w:szCs w:val="24"/>
        </w:rPr>
        <w:t>Crippin</w:t>
      </w:r>
      <w:proofErr w:type="spellEnd"/>
      <w:r w:rsidRPr="00B909F3">
        <w:rPr>
          <w:rFonts w:ascii="Book Antiqua" w:hAnsi="Book Antiqua"/>
          <w:szCs w:val="24"/>
        </w:rPr>
        <w:t xml:space="preserve"> JS, Wiesner RH, Steers JL, </w:t>
      </w:r>
      <w:proofErr w:type="spellStart"/>
      <w:r w:rsidRPr="00B909F3">
        <w:rPr>
          <w:rFonts w:ascii="Book Antiqua" w:hAnsi="Book Antiqua"/>
          <w:szCs w:val="24"/>
        </w:rPr>
        <w:t>Rakela</w:t>
      </w:r>
      <w:proofErr w:type="spellEnd"/>
      <w:r w:rsidRPr="00B909F3">
        <w:rPr>
          <w:rFonts w:ascii="Book Antiqua" w:hAnsi="Book Antiqua"/>
          <w:szCs w:val="24"/>
        </w:rPr>
        <w:t xml:space="preserve"> J, </w:t>
      </w:r>
      <w:proofErr w:type="spellStart"/>
      <w:r w:rsidRPr="00B909F3">
        <w:rPr>
          <w:rFonts w:ascii="Book Antiqua" w:hAnsi="Book Antiqua"/>
          <w:szCs w:val="24"/>
        </w:rPr>
        <w:t>Starzl</w:t>
      </w:r>
      <w:proofErr w:type="spellEnd"/>
      <w:r w:rsidRPr="00B909F3">
        <w:rPr>
          <w:rFonts w:ascii="Book Antiqua" w:hAnsi="Book Antiqua"/>
          <w:szCs w:val="24"/>
        </w:rPr>
        <w:t xml:space="preserve"> TE, Dickson ER. A prognostic model for the outcome of liver transplantation in patients with cholestatic liver disease. </w:t>
      </w:r>
      <w:r w:rsidRPr="00B909F3">
        <w:rPr>
          <w:rFonts w:ascii="Book Antiqua" w:hAnsi="Book Antiqua"/>
          <w:i/>
          <w:szCs w:val="24"/>
        </w:rPr>
        <w:t>Hepatology</w:t>
      </w:r>
      <w:r w:rsidRPr="00B909F3">
        <w:rPr>
          <w:rFonts w:ascii="Book Antiqua" w:hAnsi="Book Antiqua"/>
          <w:szCs w:val="24"/>
        </w:rPr>
        <w:t xml:space="preserve"> 1997; </w:t>
      </w:r>
      <w:r w:rsidRPr="00B909F3">
        <w:rPr>
          <w:rFonts w:ascii="Book Antiqua" w:hAnsi="Book Antiqua"/>
          <w:b/>
          <w:szCs w:val="24"/>
        </w:rPr>
        <w:t>25</w:t>
      </w:r>
      <w:r w:rsidRPr="00B909F3">
        <w:rPr>
          <w:rFonts w:ascii="Book Antiqua" w:hAnsi="Book Antiqua"/>
          <w:szCs w:val="24"/>
        </w:rPr>
        <w:t>: 672-677 [PMID: 9049217 DOI: 10.1002/hep.510250330]</w:t>
      </w:r>
    </w:p>
    <w:p w14:paraId="39A64758"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33 </w:t>
      </w:r>
      <w:proofErr w:type="spellStart"/>
      <w:r w:rsidRPr="00B909F3">
        <w:rPr>
          <w:rFonts w:ascii="Book Antiqua" w:hAnsi="Book Antiqua"/>
          <w:b/>
          <w:szCs w:val="24"/>
        </w:rPr>
        <w:t>Péus</w:t>
      </w:r>
      <w:proofErr w:type="spellEnd"/>
      <w:r w:rsidRPr="00B909F3">
        <w:rPr>
          <w:rFonts w:ascii="Book Antiqua" w:hAnsi="Book Antiqua"/>
          <w:b/>
          <w:szCs w:val="24"/>
        </w:rPr>
        <w:t xml:space="preserve"> D</w:t>
      </w:r>
      <w:r w:rsidRPr="00B909F3">
        <w:rPr>
          <w:rFonts w:ascii="Book Antiqua" w:hAnsi="Book Antiqua"/>
          <w:szCs w:val="24"/>
        </w:rPr>
        <w:t xml:space="preserve">, Newcomb N, Hofer S. Appraisal of the </w:t>
      </w:r>
      <w:proofErr w:type="spellStart"/>
      <w:r w:rsidRPr="00B909F3">
        <w:rPr>
          <w:rFonts w:ascii="Book Antiqua" w:hAnsi="Book Antiqua"/>
          <w:szCs w:val="24"/>
        </w:rPr>
        <w:t>Karnofsky</w:t>
      </w:r>
      <w:proofErr w:type="spellEnd"/>
      <w:r w:rsidRPr="00B909F3">
        <w:rPr>
          <w:rFonts w:ascii="Book Antiqua" w:hAnsi="Book Antiqua"/>
          <w:szCs w:val="24"/>
        </w:rPr>
        <w:t xml:space="preserve"> Performance Status and proposal of a simple algorithmic system for its evaluation. </w:t>
      </w:r>
      <w:r w:rsidRPr="00B909F3">
        <w:rPr>
          <w:rFonts w:ascii="Book Antiqua" w:hAnsi="Book Antiqua"/>
          <w:i/>
          <w:szCs w:val="24"/>
        </w:rPr>
        <w:t xml:space="preserve">BMC Med Inform </w:t>
      </w:r>
      <w:proofErr w:type="spellStart"/>
      <w:r w:rsidRPr="00B909F3">
        <w:rPr>
          <w:rFonts w:ascii="Book Antiqua" w:hAnsi="Book Antiqua"/>
          <w:i/>
          <w:szCs w:val="24"/>
        </w:rPr>
        <w:t>Decis</w:t>
      </w:r>
      <w:proofErr w:type="spellEnd"/>
      <w:r w:rsidRPr="00B909F3">
        <w:rPr>
          <w:rFonts w:ascii="Book Antiqua" w:hAnsi="Book Antiqua"/>
          <w:i/>
          <w:szCs w:val="24"/>
        </w:rPr>
        <w:t xml:space="preserve"> </w:t>
      </w:r>
      <w:proofErr w:type="spellStart"/>
      <w:r w:rsidRPr="00B909F3">
        <w:rPr>
          <w:rFonts w:ascii="Book Antiqua" w:hAnsi="Book Antiqua"/>
          <w:i/>
          <w:szCs w:val="24"/>
        </w:rPr>
        <w:t>Mak</w:t>
      </w:r>
      <w:proofErr w:type="spellEnd"/>
      <w:r w:rsidRPr="00B909F3">
        <w:rPr>
          <w:rFonts w:ascii="Book Antiqua" w:hAnsi="Book Antiqua"/>
          <w:szCs w:val="24"/>
        </w:rPr>
        <w:t xml:space="preserve"> 2013; </w:t>
      </w:r>
      <w:r w:rsidRPr="00B909F3">
        <w:rPr>
          <w:rFonts w:ascii="Book Antiqua" w:hAnsi="Book Antiqua"/>
          <w:b/>
          <w:szCs w:val="24"/>
        </w:rPr>
        <w:t>13</w:t>
      </w:r>
      <w:r w:rsidRPr="00B909F3">
        <w:rPr>
          <w:rFonts w:ascii="Book Antiqua" w:hAnsi="Book Antiqua"/>
          <w:szCs w:val="24"/>
        </w:rPr>
        <w:t>: 72 [PMID: 23870327 DOI: 10.1186/1472-6947-13-72]</w:t>
      </w:r>
    </w:p>
    <w:p w14:paraId="3B0BC0CD"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34 </w:t>
      </w:r>
      <w:r w:rsidRPr="00B909F3">
        <w:rPr>
          <w:rFonts w:ascii="Book Antiqua" w:hAnsi="Book Antiqua"/>
          <w:b/>
          <w:szCs w:val="24"/>
        </w:rPr>
        <w:t>Rana A</w:t>
      </w:r>
      <w:r w:rsidRPr="00B909F3">
        <w:rPr>
          <w:rFonts w:ascii="Book Antiqua" w:hAnsi="Book Antiqua"/>
          <w:szCs w:val="24"/>
        </w:rPr>
        <w:t xml:space="preserve">, Kaplan B, </w:t>
      </w:r>
      <w:proofErr w:type="spellStart"/>
      <w:r w:rsidRPr="00B909F3">
        <w:rPr>
          <w:rFonts w:ascii="Book Antiqua" w:hAnsi="Book Antiqua"/>
          <w:szCs w:val="24"/>
        </w:rPr>
        <w:t>Jie</w:t>
      </w:r>
      <w:proofErr w:type="spellEnd"/>
      <w:r w:rsidRPr="00B909F3">
        <w:rPr>
          <w:rFonts w:ascii="Book Antiqua" w:hAnsi="Book Antiqua"/>
          <w:szCs w:val="24"/>
        </w:rPr>
        <w:t xml:space="preserve"> T, </w:t>
      </w:r>
      <w:proofErr w:type="spellStart"/>
      <w:r w:rsidRPr="00B909F3">
        <w:rPr>
          <w:rFonts w:ascii="Book Antiqua" w:hAnsi="Book Antiqua"/>
          <w:szCs w:val="24"/>
        </w:rPr>
        <w:t>Porubsky</w:t>
      </w:r>
      <w:proofErr w:type="spellEnd"/>
      <w:r w:rsidRPr="00B909F3">
        <w:rPr>
          <w:rFonts w:ascii="Book Antiqua" w:hAnsi="Book Antiqua"/>
          <w:szCs w:val="24"/>
        </w:rPr>
        <w:t xml:space="preserve"> M, Habib S, </w:t>
      </w:r>
      <w:proofErr w:type="spellStart"/>
      <w:r w:rsidRPr="00B909F3">
        <w:rPr>
          <w:rFonts w:ascii="Book Antiqua" w:hAnsi="Book Antiqua"/>
          <w:szCs w:val="24"/>
        </w:rPr>
        <w:t>Rilo</w:t>
      </w:r>
      <w:proofErr w:type="spellEnd"/>
      <w:r w:rsidRPr="00B909F3">
        <w:rPr>
          <w:rFonts w:ascii="Book Antiqua" w:hAnsi="Book Antiqua"/>
          <w:szCs w:val="24"/>
        </w:rPr>
        <w:t xml:space="preserve"> H, </w:t>
      </w:r>
      <w:proofErr w:type="spellStart"/>
      <w:r w:rsidRPr="00B909F3">
        <w:rPr>
          <w:rFonts w:ascii="Book Antiqua" w:hAnsi="Book Antiqua"/>
          <w:szCs w:val="24"/>
        </w:rPr>
        <w:t>Gruessner</w:t>
      </w:r>
      <w:proofErr w:type="spellEnd"/>
      <w:r w:rsidRPr="00B909F3">
        <w:rPr>
          <w:rFonts w:ascii="Book Antiqua" w:hAnsi="Book Antiqua"/>
          <w:szCs w:val="24"/>
        </w:rPr>
        <w:t xml:space="preserve"> AC, </w:t>
      </w:r>
      <w:proofErr w:type="spellStart"/>
      <w:r w:rsidRPr="00B909F3">
        <w:rPr>
          <w:rFonts w:ascii="Book Antiqua" w:hAnsi="Book Antiqua"/>
          <w:szCs w:val="24"/>
        </w:rPr>
        <w:t>Gruessner</w:t>
      </w:r>
      <w:proofErr w:type="spellEnd"/>
      <w:r w:rsidRPr="00B909F3">
        <w:rPr>
          <w:rFonts w:ascii="Book Antiqua" w:hAnsi="Book Antiqua"/>
          <w:szCs w:val="24"/>
        </w:rPr>
        <w:t xml:space="preserve"> RW. A critical analysis of early death after adult liver transplants. </w:t>
      </w:r>
      <w:r w:rsidRPr="00B909F3">
        <w:rPr>
          <w:rFonts w:ascii="Book Antiqua" w:hAnsi="Book Antiqua"/>
          <w:i/>
          <w:szCs w:val="24"/>
        </w:rPr>
        <w:t>Clin Transplant</w:t>
      </w:r>
      <w:r w:rsidRPr="00B909F3">
        <w:rPr>
          <w:rFonts w:ascii="Book Antiqua" w:hAnsi="Book Antiqua"/>
          <w:szCs w:val="24"/>
        </w:rPr>
        <w:t xml:space="preserve"> 2013; </w:t>
      </w:r>
      <w:r w:rsidRPr="00B909F3">
        <w:rPr>
          <w:rFonts w:ascii="Book Antiqua" w:hAnsi="Book Antiqua"/>
          <w:b/>
          <w:szCs w:val="24"/>
        </w:rPr>
        <w:t>27</w:t>
      </w:r>
      <w:r w:rsidRPr="00B909F3">
        <w:rPr>
          <w:rFonts w:ascii="Book Antiqua" w:hAnsi="Book Antiqua"/>
          <w:szCs w:val="24"/>
        </w:rPr>
        <w:t>: E448-E453 [PMID: 23923973 DOI: 10.1111/ctr.12186]</w:t>
      </w:r>
    </w:p>
    <w:p w14:paraId="4CF05D67"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35 </w:t>
      </w:r>
      <w:r w:rsidRPr="00B909F3">
        <w:rPr>
          <w:rFonts w:ascii="Book Antiqua" w:hAnsi="Book Antiqua"/>
          <w:b/>
          <w:szCs w:val="24"/>
        </w:rPr>
        <w:t>Feng S</w:t>
      </w:r>
      <w:r w:rsidRPr="00B909F3">
        <w:rPr>
          <w:rFonts w:ascii="Book Antiqua" w:hAnsi="Book Antiqua"/>
          <w:szCs w:val="24"/>
        </w:rPr>
        <w:t xml:space="preserve">, Goodrich NP, Bragg-Gresham JL, Dykstra DM, Punch JD, </w:t>
      </w:r>
      <w:proofErr w:type="spellStart"/>
      <w:r w:rsidRPr="00B909F3">
        <w:rPr>
          <w:rFonts w:ascii="Book Antiqua" w:hAnsi="Book Antiqua"/>
          <w:szCs w:val="24"/>
        </w:rPr>
        <w:t>DebRoy</w:t>
      </w:r>
      <w:proofErr w:type="spellEnd"/>
      <w:r w:rsidRPr="00B909F3">
        <w:rPr>
          <w:rFonts w:ascii="Book Antiqua" w:hAnsi="Book Antiqua"/>
          <w:szCs w:val="24"/>
        </w:rPr>
        <w:t xml:space="preserve"> MA, Greenstein SM, Merion RM. Characteristics associated with liver graft failure: the concept of a donor risk index. </w:t>
      </w:r>
      <w:r w:rsidRPr="00B909F3">
        <w:rPr>
          <w:rFonts w:ascii="Book Antiqua" w:hAnsi="Book Antiqua"/>
          <w:i/>
          <w:szCs w:val="24"/>
        </w:rPr>
        <w:t>Am J Transplant</w:t>
      </w:r>
      <w:r w:rsidRPr="00B909F3">
        <w:rPr>
          <w:rFonts w:ascii="Book Antiqua" w:hAnsi="Book Antiqua"/>
          <w:szCs w:val="24"/>
        </w:rPr>
        <w:t xml:space="preserve"> 2006; </w:t>
      </w:r>
      <w:r w:rsidRPr="00B909F3">
        <w:rPr>
          <w:rFonts w:ascii="Book Antiqua" w:hAnsi="Book Antiqua"/>
          <w:b/>
          <w:szCs w:val="24"/>
        </w:rPr>
        <w:t>6</w:t>
      </w:r>
      <w:r w:rsidRPr="00B909F3">
        <w:rPr>
          <w:rFonts w:ascii="Book Antiqua" w:hAnsi="Book Antiqua"/>
          <w:szCs w:val="24"/>
        </w:rPr>
        <w:t>: 783-790 [PMID: 16539636 DOI: 10.1111/j.1600-6143.</w:t>
      </w:r>
      <w:proofErr w:type="gramStart"/>
      <w:r w:rsidRPr="00B909F3">
        <w:rPr>
          <w:rFonts w:ascii="Book Antiqua" w:hAnsi="Book Antiqua"/>
          <w:szCs w:val="24"/>
        </w:rPr>
        <w:t>2006.01242.x</w:t>
      </w:r>
      <w:proofErr w:type="gramEnd"/>
      <w:r w:rsidRPr="00B909F3">
        <w:rPr>
          <w:rFonts w:ascii="Book Antiqua" w:hAnsi="Book Antiqua"/>
          <w:szCs w:val="24"/>
        </w:rPr>
        <w:t>]</w:t>
      </w:r>
    </w:p>
    <w:p w14:paraId="3C3C0598"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36 </w:t>
      </w:r>
      <w:proofErr w:type="spellStart"/>
      <w:r w:rsidRPr="00B909F3">
        <w:rPr>
          <w:rFonts w:ascii="Book Antiqua" w:hAnsi="Book Antiqua"/>
          <w:b/>
          <w:szCs w:val="24"/>
        </w:rPr>
        <w:t>Grønnesby</w:t>
      </w:r>
      <w:proofErr w:type="spellEnd"/>
      <w:r w:rsidRPr="00B909F3">
        <w:rPr>
          <w:rFonts w:ascii="Book Antiqua" w:hAnsi="Book Antiqua"/>
          <w:b/>
          <w:szCs w:val="24"/>
        </w:rPr>
        <w:t xml:space="preserve"> JK</w:t>
      </w:r>
      <w:r w:rsidRPr="00B909F3">
        <w:rPr>
          <w:rFonts w:ascii="Book Antiqua" w:hAnsi="Book Antiqua"/>
          <w:szCs w:val="24"/>
        </w:rPr>
        <w:t xml:space="preserve">, </w:t>
      </w:r>
      <w:proofErr w:type="spellStart"/>
      <w:r w:rsidRPr="00B909F3">
        <w:rPr>
          <w:rFonts w:ascii="Book Antiqua" w:hAnsi="Book Antiqua"/>
          <w:szCs w:val="24"/>
        </w:rPr>
        <w:t>Borgan</w:t>
      </w:r>
      <w:proofErr w:type="spellEnd"/>
      <w:r w:rsidRPr="00B909F3">
        <w:rPr>
          <w:rFonts w:ascii="Book Antiqua" w:hAnsi="Book Antiqua"/>
          <w:szCs w:val="24"/>
        </w:rPr>
        <w:t xml:space="preserve"> O. A method for checking regression models in survival analysis based on the risk score. </w:t>
      </w:r>
      <w:r w:rsidRPr="00B909F3">
        <w:rPr>
          <w:rFonts w:ascii="Book Antiqua" w:hAnsi="Book Antiqua"/>
          <w:i/>
          <w:szCs w:val="24"/>
        </w:rPr>
        <w:t>Lifetime Data Anal</w:t>
      </w:r>
      <w:r w:rsidRPr="00B909F3">
        <w:rPr>
          <w:rFonts w:ascii="Book Antiqua" w:hAnsi="Book Antiqua"/>
          <w:szCs w:val="24"/>
        </w:rPr>
        <w:t xml:space="preserve"> 1996; </w:t>
      </w:r>
      <w:r w:rsidRPr="00B909F3">
        <w:rPr>
          <w:rFonts w:ascii="Book Antiqua" w:hAnsi="Book Antiqua"/>
          <w:b/>
          <w:szCs w:val="24"/>
        </w:rPr>
        <w:t>2</w:t>
      </w:r>
      <w:r w:rsidRPr="00B909F3">
        <w:rPr>
          <w:rFonts w:ascii="Book Antiqua" w:hAnsi="Book Antiqua"/>
          <w:szCs w:val="24"/>
        </w:rPr>
        <w:t>: 315-328 [PMID: 9384628]</w:t>
      </w:r>
    </w:p>
    <w:p w14:paraId="65AF7581"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lastRenderedPageBreak/>
        <w:t xml:space="preserve">37 </w:t>
      </w:r>
      <w:r w:rsidRPr="00B909F3">
        <w:rPr>
          <w:rFonts w:ascii="Book Antiqua" w:hAnsi="Book Antiqua"/>
          <w:b/>
          <w:szCs w:val="24"/>
        </w:rPr>
        <w:t>Scott PJ</w:t>
      </w:r>
      <w:r w:rsidRPr="00B909F3">
        <w:rPr>
          <w:rFonts w:ascii="Book Antiqua" w:hAnsi="Book Antiqua"/>
          <w:szCs w:val="24"/>
        </w:rPr>
        <w:t xml:space="preserve">. Occupational therapy services to enable liver patients to thrive following transplantation. </w:t>
      </w:r>
      <w:proofErr w:type="spellStart"/>
      <w:r w:rsidRPr="00B909F3">
        <w:rPr>
          <w:rFonts w:ascii="Book Antiqua" w:hAnsi="Book Antiqua"/>
          <w:i/>
          <w:szCs w:val="24"/>
        </w:rPr>
        <w:t>Occup</w:t>
      </w:r>
      <w:proofErr w:type="spellEnd"/>
      <w:r w:rsidRPr="00B909F3">
        <w:rPr>
          <w:rFonts w:ascii="Book Antiqua" w:hAnsi="Book Antiqua"/>
          <w:i/>
          <w:szCs w:val="24"/>
        </w:rPr>
        <w:t xml:space="preserve"> </w:t>
      </w:r>
      <w:proofErr w:type="spellStart"/>
      <w:r w:rsidRPr="00B909F3">
        <w:rPr>
          <w:rFonts w:ascii="Book Antiqua" w:hAnsi="Book Antiqua"/>
          <w:i/>
          <w:szCs w:val="24"/>
        </w:rPr>
        <w:t>Ther</w:t>
      </w:r>
      <w:proofErr w:type="spellEnd"/>
      <w:r w:rsidRPr="00B909F3">
        <w:rPr>
          <w:rFonts w:ascii="Book Antiqua" w:hAnsi="Book Antiqua"/>
          <w:i/>
          <w:szCs w:val="24"/>
        </w:rPr>
        <w:t xml:space="preserve"> Health Care</w:t>
      </w:r>
      <w:r w:rsidRPr="00B909F3">
        <w:rPr>
          <w:rFonts w:ascii="Book Antiqua" w:hAnsi="Book Antiqua"/>
          <w:szCs w:val="24"/>
        </w:rPr>
        <w:t xml:space="preserve"> 2011; </w:t>
      </w:r>
      <w:r w:rsidRPr="00B909F3">
        <w:rPr>
          <w:rFonts w:ascii="Book Antiqua" w:hAnsi="Book Antiqua"/>
          <w:b/>
          <w:szCs w:val="24"/>
        </w:rPr>
        <w:t>25</w:t>
      </w:r>
      <w:r w:rsidRPr="00B909F3">
        <w:rPr>
          <w:rFonts w:ascii="Book Antiqua" w:hAnsi="Book Antiqua"/>
          <w:szCs w:val="24"/>
        </w:rPr>
        <w:t>: 240-256 [PMID: 23899078 DOI: 10.3109/07380577.2011.600427]</w:t>
      </w:r>
    </w:p>
    <w:p w14:paraId="173BB52D"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38 </w:t>
      </w:r>
      <w:proofErr w:type="spellStart"/>
      <w:r w:rsidRPr="00B909F3">
        <w:rPr>
          <w:rFonts w:ascii="Book Antiqua" w:hAnsi="Book Antiqua"/>
          <w:b/>
          <w:szCs w:val="24"/>
        </w:rPr>
        <w:t>Topp</w:t>
      </w:r>
      <w:proofErr w:type="spellEnd"/>
      <w:r w:rsidRPr="00B909F3">
        <w:rPr>
          <w:rFonts w:ascii="Book Antiqua" w:hAnsi="Book Antiqua"/>
          <w:b/>
          <w:szCs w:val="24"/>
        </w:rPr>
        <w:t xml:space="preserve"> R</w:t>
      </w:r>
      <w:r w:rsidRPr="00B909F3">
        <w:rPr>
          <w:rFonts w:ascii="Book Antiqua" w:hAnsi="Book Antiqua"/>
          <w:szCs w:val="24"/>
        </w:rPr>
        <w:t xml:space="preserve">, </w:t>
      </w:r>
      <w:proofErr w:type="spellStart"/>
      <w:r w:rsidRPr="00B909F3">
        <w:rPr>
          <w:rFonts w:ascii="Book Antiqua" w:hAnsi="Book Antiqua"/>
          <w:szCs w:val="24"/>
        </w:rPr>
        <w:t>Ditmyer</w:t>
      </w:r>
      <w:proofErr w:type="spellEnd"/>
      <w:r w:rsidRPr="00B909F3">
        <w:rPr>
          <w:rFonts w:ascii="Book Antiqua" w:hAnsi="Book Antiqua"/>
          <w:szCs w:val="24"/>
        </w:rPr>
        <w:t xml:space="preserve"> M, King K, Doherty K, </w:t>
      </w:r>
      <w:proofErr w:type="spellStart"/>
      <w:r w:rsidRPr="00B909F3">
        <w:rPr>
          <w:rFonts w:ascii="Book Antiqua" w:hAnsi="Book Antiqua"/>
          <w:szCs w:val="24"/>
        </w:rPr>
        <w:t>Hornyak</w:t>
      </w:r>
      <w:proofErr w:type="spellEnd"/>
      <w:r w:rsidRPr="00B909F3">
        <w:rPr>
          <w:rFonts w:ascii="Book Antiqua" w:hAnsi="Book Antiqua"/>
          <w:szCs w:val="24"/>
        </w:rPr>
        <w:t xml:space="preserve"> J 3rd. The effect of bed rest and potential of </w:t>
      </w:r>
      <w:proofErr w:type="spellStart"/>
      <w:r w:rsidRPr="00B909F3">
        <w:rPr>
          <w:rFonts w:ascii="Book Antiqua" w:hAnsi="Book Antiqua"/>
          <w:szCs w:val="24"/>
        </w:rPr>
        <w:t>prehabilitation</w:t>
      </w:r>
      <w:proofErr w:type="spellEnd"/>
      <w:r w:rsidRPr="00B909F3">
        <w:rPr>
          <w:rFonts w:ascii="Book Antiqua" w:hAnsi="Book Antiqua"/>
          <w:szCs w:val="24"/>
        </w:rPr>
        <w:t xml:space="preserve"> on patients in the intensive care unit. </w:t>
      </w:r>
      <w:r w:rsidRPr="00B909F3">
        <w:rPr>
          <w:rFonts w:ascii="Book Antiqua" w:hAnsi="Book Antiqua"/>
          <w:i/>
          <w:szCs w:val="24"/>
        </w:rPr>
        <w:t>AACN Clin Issues</w:t>
      </w:r>
      <w:r w:rsidRPr="00B909F3">
        <w:rPr>
          <w:rFonts w:ascii="Book Antiqua" w:hAnsi="Book Antiqua"/>
          <w:szCs w:val="24"/>
        </w:rPr>
        <w:t xml:space="preserve"> 2002; </w:t>
      </w:r>
      <w:r w:rsidRPr="00B909F3">
        <w:rPr>
          <w:rFonts w:ascii="Book Antiqua" w:hAnsi="Book Antiqua"/>
          <w:b/>
          <w:szCs w:val="24"/>
        </w:rPr>
        <w:t>13</w:t>
      </w:r>
      <w:r w:rsidRPr="00B909F3">
        <w:rPr>
          <w:rFonts w:ascii="Book Antiqua" w:hAnsi="Book Antiqua"/>
          <w:szCs w:val="24"/>
        </w:rPr>
        <w:t>: 263-276 [PMID: 12011598 DOI: 10.1097/00044067-200205000-00011]</w:t>
      </w:r>
    </w:p>
    <w:p w14:paraId="68A2349F"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39 </w:t>
      </w:r>
      <w:proofErr w:type="spellStart"/>
      <w:r w:rsidRPr="00B909F3">
        <w:rPr>
          <w:rFonts w:ascii="Book Antiqua" w:hAnsi="Book Antiqua"/>
          <w:b/>
          <w:szCs w:val="24"/>
        </w:rPr>
        <w:t>Ditmyer</w:t>
      </w:r>
      <w:proofErr w:type="spellEnd"/>
      <w:r w:rsidRPr="00B909F3">
        <w:rPr>
          <w:rFonts w:ascii="Book Antiqua" w:hAnsi="Book Antiqua"/>
          <w:b/>
          <w:szCs w:val="24"/>
        </w:rPr>
        <w:t xml:space="preserve"> MM</w:t>
      </w:r>
      <w:r w:rsidRPr="00B909F3">
        <w:rPr>
          <w:rFonts w:ascii="Book Antiqua" w:hAnsi="Book Antiqua"/>
          <w:szCs w:val="24"/>
        </w:rPr>
        <w:t xml:space="preserve">, </w:t>
      </w:r>
      <w:proofErr w:type="spellStart"/>
      <w:r w:rsidRPr="00B909F3">
        <w:rPr>
          <w:rFonts w:ascii="Book Antiqua" w:hAnsi="Book Antiqua"/>
          <w:szCs w:val="24"/>
        </w:rPr>
        <w:t>Topp</w:t>
      </w:r>
      <w:proofErr w:type="spellEnd"/>
      <w:r w:rsidRPr="00B909F3">
        <w:rPr>
          <w:rFonts w:ascii="Book Antiqua" w:hAnsi="Book Antiqua"/>
          <w:szCs w:val="24"/>
        </w:rPr>
        <w:t xml:space="preserve"> R, </w:t>
      </w:r>
      <w:proofErr w:type="spellStart"/>
      <w:r w:rsidRPr="00B909F3">
        <w:rPr>
          <w:rFonts w:ascii="Book Antiqua" w:hAnsi="Book Antiqua"/>
          <w:szCs w:val="24"/>
        </w:rPr>
        <w:t>Pifer</w:t>
      </w:r>
      <w:proofErr w:type="spellEnd"/>
      <w:r w:rsidRPr="00B909F3">
        <w:rPr>
          <w:rFonts w:ascii="Book Antiqua" w:hAnsi="Book Antiqua"/>
          <w:szCs w:val="24"/>
        </w:rPr>
        <w:t xml:space="preserve"> M. </w:t>
      </w:r>
      <w:proofErr w:type="spellStart"/>
      <w:r w:rsidRPr="00B909F3">
        <w:rPr>
          <w:rFonts w:ascii="Book Antiqua" w:hAnsi="Book Antiqua"/>
          <w:szCs w:val="24"/>
        </w:rPr>
        <w:t>Prehabilitation</w:t>
      </w:r>
      <w:proofErr w:type="spellEnd"/>
      <w:r w:rsidRPr="00B909F3">
        <w:rPr>
          <w:rFonts w:ascii="Book Antiqua" w:hAnsi="Book Antiqua"/>
          <w:szCs w:val="24"/>
        </w:rPr>
        <w:t xml:space="preserve"> in preparation for </w:t>
      </w:r>
      <w:proofErr w:type="spellStart"/>
      <w:r w:rsidRPr="00B909F3">
        <w:rPr>
          <w:rFonts w:ascii="Book Antiqua" w:hAnsi="Book Antiqua"/>
          <w:szCs w:val="24"/>
        </w:rPr>
        <w:t>orthopaedic</w:t>
      </w:r>
      <w:proofErr w:type="spellEnd"/>
      <w:r w:rsidRPr="00B909F3">
        <w:rPr>
          <w:rFonts w:ascii="Book Antiqua" w:hAnsi="Book Antiqua"/>
          <w:szCs w:val="24"/>
        </w:rPr>
        <w:t xml:space="preserve"> surgery. </w:t>
      </w:r>
      <w:proofErr w:type="spellStart"/>
      <w:r w:rsidRPr="00B909F3">
        <w:rPr>
          <w:rFonts w:ascii="Book Antiqua" w:hAnsi="Book Antiqua"/>
          <w:i/>
          <w:szCs w:val="24"/>
        </w:rPr>
        <w:t>Orthop</w:t>
      </w:r>
      <w:proofErr w:type="spellEnd"/>
      <w:r w:rsidRPr="00B909F3">
        <w:rPr>
          <w:rFonts w:ascii="Book Antiqua" w:hAnsi="Book Antiqua"/>
          <w:i/>
          <w:szCs w:val="24"/>
        </w:rPr>
        <w:t xml:space="preserve"> </w:t>
      </w:r>
      <w:proofErr w:type="spellStart"/>
      <w:r w:rsidRPr="00B909F3">
        <w:rPr>
          <w:rFonts w:ascii="Book Antiqua" w:hAnsi="Book Antiqua"/>
          <w:i/>
          <w:szCs w:val="24"/>
        </w:rPr>
        <w:t>Nurs</w:t>
      </w:r>
      <w:proofErr w:type="spellEnd"/>
      <w:r w:rsidRPr="00B909F3">
        <w:rPr>
          <w:rFonts w:ascii="Book Antiqua" w:hAnsi="Book Antiqua"/>
          <w:szCs w:val="24"/>
        </w:rPr>
        <w:t xml:space="preserve"> 2002; </w:t>
      </w:r>
      <w:r w:rsidRPr="00B909F3">
        <w:rPr>
          <w:rFonts w:ascii="Book Antiqua" w:hAnsi="Book Antiqua"/>
          <w:b/>
          <w:szCs w:val="24"/>
        </w:rPr>
        <w:t>21</w:t>
      </w:r>
      <w:r w:rsidRPr="00B909F3">
        <w:rPr>
          <w:rFonts w:ascii="Book Antiqua" w:hAnsi="Book Antiqua"/>
          <w:szCs w:val="24"/>
        </w:rPr>
        <w:t>: 43-51; quiz 52-4 [PMID: 12432699]</w:t>
      </w:r>
    </w:p>
    <w:p w14:paraId="31C99739"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40 </w:t>
      </w:r>
      <w:r w:rsidRPr="00B909F3">
        <w:rPr>
          <w:rFonts w:ascii="Book Antiqua" w:hAnsi="Book Antiqua"/>
          <w:b/>
          <w:szCs w:val="24"/>
        </w:rPr>
        <w:t>Santa Mina D</w:t>
      </w:r>
      <w:r w:rsidRPr="00B909F3">
        <w:rPr>
          <w:rFonts w:ascii="Book Antiqua" w:hAnsi="Book Antiqua"/>
          <w:szCs w:val="24"/>
        </w:rPr>
        <w:t xml:space="preserve">, Clarke H, </w:t>
      </w:r>
      <w:proofErr w:type="spellStart"/>
      <w:r w:rsidRPr="00B909F3">
        <w:rPr>
          <w:rFonts w:ascii="Book Antiqua" w:hAnsi="Book Antiqua"/>
          <w:szCs w:val="24"/>
        </w:rPr>
        <w:t>Ritvo</w:t>
      </w:r>
      <w:proofErr w:type="spellEnd"/>
      <w:r w:rsidRPr="00B909F3">
        <w:rPr>
          <w:rFonts w:ascii="Book Antiqua" w:hAnsi="Book Antiqua"/>
          <w:szCs w:val="24"/>
        </w:rPr>
        <w:t xml:space="preserve"> P, Leung YW, Matthew AG, Katz J, Trachtenberg J, Alibhai SM. Effect of total-body </w:t>
      </w:r>
      <w:proofErr w:type="spellStart"/>
      <w:r w:rsidRPr="00B909F3">
        <w:rPr>
          <w:rFonts w:ascii="Book Antiqua" w:hAnsi="Book Antiqua"/>
          <w:szCs w:val="24"/>
        </w:rPr>
        <w:t>prehabilitation</w:t>
      </w:r>
      <w:proofErr w:type="spellEnd"/>
      <w:r w:rsidRPr="00B909F3">
        <w:rPr>
          <w:rFonts w:ascii="Book Antiqua" w:hAnsi="Book Antiqua"/>
          <w:szCs w:val="24"/>
        </w:rPr>
        <w:t xml:space="preserve"> on postoperative outcomes: a systematic review and meta-analysis. </w:t>
      </w:r>
      <w:r w:rsidRPr="00B909F3">
        <w:rPr>
          <w:rFonts w:ascii="Book Antiqua" w:hAnsi="Book Antiqua"/>
          <w:i/>
          <w:szCs w:val="24"/>
        </w:rPr>
        <w:t>Physiotherapy</w:t>
      </w:r>
      <w:r w:rsidRPr="00B909F3">
        <w:rPr>
          <w:rFonts w:ascii="Book Antiqua" w:hAnsi="Book Antiqua"/>
          <w:szCs w:val="24"/>
        </w:rPr>
        <w:t xml:space="preserve"> 2014; </w:t>
      </w:r>
      <w:r w:rsidRPr="00B909F3">
        <w:rPr>
          <w:rFonts w:ascii="Book Antiqua" w:hAnsi="Book Antiqua"/>
          <w:b/>
          <w:szCs w:val="24"/>
        </w:rPr>
        <w:t>100</w:t>
      </w:r>
      <w:r w:rsidRPr="00B909F3">
        <w:rPr>
          <w:rFonts w:ascii="Book Antiqua" w:hAnsi="Book Antiqua"/>
          <w:szCs w:val="24"/>
        </w:rPr>
        <w:t>: 196-207 [PMID: 24439570 DOI: 10.1016/j.physio.2013.08.008]</w:t>
      </w:r>
    </w:p>
    <w:p w14:paraId="1DBB28EC"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41 </w:t>
      </w:r>
      <w:r w:rsidRPr="00B909F3">
        <w:rPr>
          <w:rFonts w:ascii="Book Antiqua" w:hAnsi="Book Antiqua"/>
          <w:b/>
          <w:szCs w:val="24"/>
        </w:rPr>
        <w:t>Gillis C</w:t>
      </w:r>
      <w:r w:rsidRPr="00B909F3">
        <w:rPr>
          <w:rFonts w:ascii="Book Antiqua" w:hAnsi="Book Antiqua"/>
          <w:szCs w:val="24"/>
        </w:rPr>
        <w:t xml:space="preserve">, Li C, Lee L, Awasthi R, Augustin B, </w:t>
      </w:r>
      <w:proofErr w:type="spellStart"/>
      <w:r w:rsidRPr="00B909F3">
        <w:rPr>
          <w:rFonts w:ascii="Book Antiqua" w:hAnsi="Book Antiqua"/>
          <w:szCs w:val="24"/>
        </w:rPr>
        <w:t>Gamsa</w:t>
      </w:r>
      <w:proofErr w:type="spellEnd"/>
      <w:r w:rsidRPr="00B909F3">
        <w:rPr>
          <w:rFonts w:ascii="Book Antiqua" w:hAnsi="Book Antiqua"/>
          <w:szCs w:val="24"/>
        </w:rPr>
        <w:t xml:space="preserve"> A, Liberman AS, Stein B, Charlebois P, Feldman LS, Carli F. </w:t>
      </w:r>
      <w:proofErr w:type="spellStart"/>
      <w:r w:rsidRPr="00B909F3">
        <w:rPr>
          <w:rFonts w:ascii="Book Antiqua" w:hAnsi="Book Antiqua"/>
          <w:szCs w:val="24"/>
        </w:rPr>
        <w:t>Prehabilitation</w:t>
      </w:r>
      <w:proofErr w:type="spellEnd"/>
      <w:r w:rsidRPr="00B909F3">
        <w:rPr>
          <w:rFonts w:ascii="Book Antiqua" w:hAnsi="Book Antiqua"/>
          <w:szCs w:val="24"/>
        </w:rPr>
        <w:t xml:space="preserve"> versus rehabilitation: a randomized control trial in patients undergoing colorectal resection for cancer. </w:t>
      </w:r>
      <w:r w:rsidRPr="00B909F3">
        <w:rPr>
          <w:rFonts w:ascii="Book Antiqua" w:hAnsi="Book Antiqua"/>
          <w:i/>
          <w:szCs w:val="24"/>
        </w:rPr>
        <w:t>Anesthesiology</w:t>
      </w:r>
      <w:r w:rsidRPr="00B909F3">
        <w:rPr>
          <w:rFonts w:ascii="Book Antiqua" w:hAnsi="Book Antiqua"/>
          <w:szCs w:val="24"/>
        </w:rPr>
        <w:t xml:space="preserve"> 2014; </w:t>
      </w:r>
      <w:r w:rsidRPr="00B909F3">
        <w:rPr>
          <w:rFonts w:ascii="Book Antiqua" w:hAnsi="Book Antiqua"/>
          <w:b/>
          <w:szCs w:val="24"/>
        </w:rPr>
        <w:t>121</w:t>
      </w:r>
      <w:r w:rsidRPr="00B909F3">
        <w:rPr>
          <w:rFonts w:ascii="Book Antiqua" w:hAnsi="Book Antiqua"/>
          <w:szCs w:val="24"/>
        </w:rPr>
        <w:t>: 937-947 [PMID: 25076007 DOI: 10.1097/ALN.0000000000000393]</w:t>
      </w:r>
    </w:p>
    <w:p w14:paraId="301D9697"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42 </w:t>
      </w:r>
      <w:r w:rsidRPr="00B909F3">
        <w:rPr>
          <w:rFonts w:ascii="Book Antiqua" w:hAnsi="Book Antiqua"/>
          <w:b/>
          <w:szCs w:val="24"/>
        </w:rPr>
        <w:t>Li C</w:t>
      </w:r>
      <w:r w:rsidRPr="00B909F3">
        <w:rPr>
          <w:rFonts w:ascii="Book Antiqua" w:hAnsi="Book Antiqua"/>
          <w:szCs w:val="24"/>
        </w:rPr>
        <w:t xml:space="preserve">, Carli F, Lee L, Charlebois P, Stein B, Liberman AS, </w:t>
      </w:r>
      <w:proofErr w:type="spellStart"/>
      <w:r w:rsidRPr="00B909F3">
        <w:rPr>
          <w:rFonts w:ascii="Book Antiqua" w:hAnsi="Book Antiqua"/>
          <w:szCs w:val="24"/>
        </w:rPr>
        <w:t>Kaneva</w:t>
      </w:r>
      <w:proofErr w:type="spellEnd"/>
      <w:r w:rsidRPr="00B909F3">
        <w:rPr>
          <w:rFonts w:ascii="Book Antiqua" w:hAnsi="Book Antiqua"/>
          <w:szCs w:val="24"/>
        </w:rPr>
        <w:t xml:space="preserve"> P, Augustin B, </w:t>
      </w:r>
      <w:proofErr w:type="spellStart"/>
      <w:r w:rsidRPr="00B909F3">
        <w:rPr>
          <w:rFonts w:ascii="Book Antiqua" w:hAnsi="Book Antiqua"/>
          <w:szCs w:val="24"/>
        </w:rPr>
        <w:t>Wongyingsinn</w:t>
      </w:r>
      <w:proofErr w:type="spellEnd"/>
      <w:r w:rsidRPr="00B909F3">
        <w:rPr>
          <w:rFonts w:ascii="Book Antiqua" w:hAnsi="Book Antiqua"/>
          <w:szCs w:val="24"/>
        </w:rPr>
        <w:t xml:space="preserve"> M, </w:t>
      </w:r>
      <w:proofErr w:type="spellStart"/>
      <w:r w:rsidRPr="00B909F3">
        <w:rPr>
          <w:rFonts w:ascii="Book Antiqua" w:hAnsi="Book Antiqua"/>
          <w:szCs w:val="24"/>
        </w:rPr>
        <w:t>Gamsa</w:t>
      </w:r>
      <w:proofErr w:type="spellEnd"/>
      <w:r w:rsidRPr="00B909F3">
        <w:rPr>
          <w:rFonts w:ascii="Book Antiqua" w:hAnsi="Book Antiqua"/>
          <w:szCs w:val="24"/>
        </w:rPr>
        <w:t xml:space="preserve"> A, Kim DJ, </w:t>
      </w:r>
      <w:proofErr w:type="spellStart"/>
      <w:r w:rsidRPr="00B909F3">
        <w:rPr>
          <w:rFonts w:ascii="Book Antiqua" w:hAnsi="Book Antiqua"/>
          <w:szCs w:val="24"/>
        </w:rPr>
        <w:t>Vassiliou</w:t>
      </w:r>
      <w:proofErr w:type="spellEnd"/>
      <w:r w:rsidRPr="00B909F3">
        <w:rPr>
          <w:rFonts w:ascii="Book Antiqua" w:hAnsi="Book Antiqua"/>
          <w:szCs w:val="24"/>
        </w:rPr>
        <w:t xml:space="preserve"> MC, Feldman LS. Impact of a trimodal </w:t>
      </w:r>
      <w:proofErr w:type="spellStart"/>
      <w:r w:rsidRPr="00B909F3">
        <w:rPr>
          <w:rFonts w:ascii="Book Antiqua" w:hAnsi="Book Antiqua"/>
          <w:szCs w:val="24"/>
        </w:rPr>
        <w:t>prehabilitation</w:t>
      </w:r>
      <w:proofErr w:type="spellEnd"/>
      <w:r w:rsidRPr="00B909F3">
        <w:rPr>
          <w:rFonts w:ascii="Book Antiqua" w:hAnsi="Book Antiqua"/>
          <w:szCs w:val="24"/>
        </w:rPr>
        <w:t xml:space="preserve"> program on functional recovery after colorectal cancer surgery: a pilot study. </w:t>
      </w:r>
      <w:r w:rsidRPr="00B909F3">
        <w:rPr>
          <w:rFonts w:ascii="Book Antiqua" w:hAnsi="Book Antiqua"/>
          <w:i/>
          <w:szCs w:val="24"/>
        </w:rPr>
        <w:t xml:space="preserve">Surg </w:t>
      </w:r>
      <w:proofErr w:type="spellStart"/>
      <w:r w:rsidRPr="00B909F3">
        <w:rPr>
          <w:rFonts w:ascii="Book Antiqua" w:hAnsi="Book Antiqua"/>
          <w:i/>
          <w:szCs w:val="24"/>
        </w:rPr>
        <w:t>Endosc</w:t>
      </w:r>
      <w:proofErr w:type="spellEnd"/>
      <w:r w:rsidRPr="00B909F3">
        <w:rPr>
          <w:rFonts w:ascii="Book Antiqua" w:hAnsi="Book Antiqua"/>
          <w:szCs w:val="24"/>
        </w:rPr>
        <w:t xml:space="preserve"> 2013; </w:t>
      </w:r>
      <w:r w:rsidRPr="00B909F3">
        <w:rPr>
          <w:rFonts w:ascii="Book Antiqua" w:hAnsi="Book Antiqua"/>
          <w:b/>
          <w:szCs w:val="24"/>
        </w:rPr>
        <w:t>27</w:t>
      </w:r>
      <w:r w:rsidRPr="00B909F3">
        <w:rPr>
          <w:rFonts w:ascii="Book Antiqua" w:hAnsi="Book Antiqua"/>
          <w:szCs w:val="24"/>
        </w:rPr>
        <w:t>: 1072-1082 [PMID: 23052535 DOI: 10.1007/s00464-012-2560-5]</w:t>
      </w:r>
    </w:p>
    <w:p w14:paraId="7A26E2D0"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43 </w:t>
      </w:r>
      <w:r w:rsidRPr="00B909F3">
        <w:rPr>
          <w:rFonts w:ascii="Book Antiqua" w:hAnsi="Book Antiqua"/>
          <w:b/>
          <w:szCs w:val="24"/>
        </w:rPr>
        <w:t>Mayo NE</w:t>
      </w:r>
      <w:r w:rsidRPr="00B909F3">
        <w:rPr>
          <w:rFonts w:ascii="Book Antiqua" w:hAnsi="Book Antiqua"/>
          <w:szCs w:val="24"/>
        </w:rPr>
        <w:t xml:space="preserve">, Feldman L, Scott S, </w:t>
      </w:r>
      <w:proofErr w:type="spellStart"/>
      <w:r w:rsidRPr="00B909F3">
        <w:rPr>
          <w:rFonts w:ascii="Book Antiqua" w:hAnsi="Book Antiqua"/>
          <w:szCs w:val="24"/>
        </w:rPr>
        <w:t>Zavorsky</w:t>
      </w:r>
      <w:proofErr w:type="spellEnd"/>
      <w:r w:rsidRPr="00B909F3">
        <w:rPr>
          <w:rFonts w:ascii="Book Antiqua" w:hAnsi="Book Antiqua"/>
          <w:szCs w:val="24"/>
        </w:rPr>
        <w:t xml:space="preserve"> G, Kim DJ, Charlebois P, Stein B, Carli F. Impact of preoperative change in physical function on postoperative recovery: argument supporting </w:t>
      </w:r>
      <w:proofErr w:type="spellStart"/>
      <w:r w:rsidRPr="00B909F3">
        <w:rPr>
          <w:rFonts w:ascii="Book Antiqua" w:hAnsi="Book Antiqua"/>
          <w:szCs w:val="24"/>
        </w:rPr>
        <w:t>prehabilitation</w:t>
      </w:r>
      <w:proofErr w:type="spellEnd"/>
      <w:r w:rsidRPr="00B909F3">
        <w:rPr>
          <w:rFonts w:ascii="Book Antiqua" w:hAnsi="Book Antiqua"/>
          <w:szCs w:val="24"/>
        </w:rPr>
        <w:t xml:space="preserve"> for colorectal surgery. </w:t>
      </w:r>
      <w:r w:rsidRPr="00B909F3">
        <w:rPr>
          <w:rFonts w:ascii="Book Antiqua" w:hAnsi="Book Antiqua"/>
          <w:i/>
          <w:szCs w:val="24"/>
        </w:rPr>
        <w:t>Surgery</w:t>
      </w:r>
      <w:r w:rsidRPr="00B909F3">
        <w:rPr>
          <w:rFonts w:ascii="Book Antiqua" w:hAnsi="Book Antiqua"/>
          <w:szCs w:val="24"/>
        </w:rPr>
        <w:t xml:space="preserve"> 2011; </w:t>
      </w:r>
      <w:r w:rsidRPr="00B909F3">
        <w:rPr>
          <w:rFonts w:ascii="Book Antiqua" w:hAnsi="Book Antiqua"/>
          <w:b/>
          <w:szCs w:val="24"/>
        </w:rPr>
        <w:t>150</w:t>
      </w:r>
      <w:r w:rsidRPr="00B909F3">
        <w:rPr>
          <w:rFonts w:ascii="Book Antiqua" w:hAnsi="Book Antiqua"/>
          <w:szCs w:val="24"/>
        </w:rPr>
        <w:t>: 505-514 [PMID: 21878237 DOI: 10.1016/j.surg.2011.07.045]</w:t>
      </w:r>
    </w:p>
    <w:p w14:paraId="40D83C19"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44 </w:t>
      </w:r>
      <w:r w:rsidRPr="00B909F3">
        <w:rPr>
          <w:rFonts w:ascii="Book Antiqua" w:hAnsi="Book Antiqua"/>
          <w:b/>
          <w:szCs w:val="24"/>
        </w:rPr>
        <w:t>Carli F</w:t>
      </w:r>
      <w:r w:rsidRPr="00B909F3">
        <w:rPr>
          <w:rFonts w:ascii="Book Antiqua" w:hAnsi="Book Antiqua"/>
          <w:szCs w:val="24"/>
        </w:rPr>
        <w:t xml:space="preserve">, </w:t>
      </w:r>
      <w:proofErr w:type="spellStart"/>
      <w:r w:rsidRPr="00B909F3">
        <w:rPr>
          <w:rFonts w:ascii="Book Antiqua" w:hAnsi="Book Antiqua"/>
          <w:szCs w:val="24"/>
        </w:rPr>
        <w:t>Zavorsky</w:t>
      </w:r>
      <w:proofErr w:type="spellEnd"/>
      <w:r w:rsidRPr="00B909F3">
        <w:rPr>
          <w:rFonts w:ascii="Book Antiqua" w:hAnsi="Book Antiqua"/>
          <w:szCs w:val="24"/>
        </w:rPr>
        <w:t xml:space="preserve"> GS. Optimizing functional exercise capacity in the elderly surgical population. </w:t>
      </w:r>
      <w:proofErr w:type="spellStart"/>
      <w:r w:rsidRPr="00B909F3">
        <w:rPr>
          <w:rFonts w:ascii="Book Antiqua" w:hAnsi="Book Antiqua"/>
          <w:i/>
          <w:szCs w:val="24"/>
        </w:rPr>
        <w:t>Curr</w:t>
      </w:r>
      <w:proofErr w:type="spellEnd"/>
      <w:r w:rsidRPr="00B909F3">
        <w:rPr>
          <w:rFonts w:ascii="Book Antiqua" w:hAnsi="Book Antiqua"/>
          <w:i/>
          <w:szCs w:val="24"/>
        </w:rPr>
        <w:t xml:space="preserve"> </w:t>
      </w:r>
      <w:proofErr w:type="spellStart"/>
      <w:r w:rsidRPr="00B909F3">
        <w:rPr>
          <w:rFonts w:ascii="Book Antiqua" w:hAnsi="Book Antiqua"/>
          <w:i/>
          <w:szCs w:val="24"/>
        </w:rPr>
        <w:t>Opin</w:t>
      </w:r>
      <w:proofErr w:type="spellEnd"/>
      <w:r w:rsidRPr="00B909F3">
        <w:rPr>
          <w:rFonts w:ascii="Book Antiqua" w:hAnsi="Book Antiqua"/>
          <w:i/>
          <w:szCs w:val="24"/>
        </w:rPr>
        <w:t xml:space="preserve"> Clin </w:t>
      </w:r>
      <w:proofErr w:type="spellStart"/>
      <w:r w:rsidRPr="00B909F3">
        <w:rPr>
          <w:rFonts w:ascii="Book Antiqua" w:hAnsi="Book Antiqua"/>
          <w:i/>
          <w:szCs w:val="24"/>
        </w:rPr>
        <w:t>Nutr</w:t>
      </w:r>
      <w:proofErr w:type="spellEnd"/>
      <w:r w:rsidRPr="00B909F3">
        <w:rPr>
          <w:rFonts w:ascii="Book Antiqua" w:hAnsi="Book Antiqua"/>
          <w:i/>
          <w:szCs w:val="24"/>
        </w:rPr>
        <w:t xml:space="preserve"> </w:t>
      </w:r>
      <w:proofErr w:type="spellStart"/>
      <w:r w:rsidRPr="00B909F3">
        <w:rPr>
          <w:rFonts w:ascii="Book Antiqua" w:hAnsi="Book Antiqua"/>
          <w:i/>
          <w:szCs w:val="24"/>
        </w:rPr>
        <w:t>Metab</w:t>
      </w:r>
      <w:proofErr w:type="spellEnd"/>
      <w:r w:rsidRPr="00B909F3">
        <w:rPr>
          <w:rFonts w:ascii="Book Antiqua" w:hAnsi="Book Antiqua"/>
          <w:i/>
          <w:szCs w:val="24"/>
        </w:rPr>
        <w:t xml:space="preserve"> Care</w:t>
      </w:r>
      <w:r w:rsidRPr="00B909F3">
        <w:rPr>
          <w:rFonts w:ascii="Book Antiqua" w:hAnsi="Book Antiqua"/>
          <w:szCs w:val="24"/>
        </w:rPr>
        <w:t xml:space="preserve"> 2005; </w:t>
      </w:r>
      <w:r w:rsidRPr="00B909F3">
        <w:rPr>
          <w:rFonts w:ascii="Book Antiqua" w:hAnsi="Book Antiqua"/>
          <w:b/>
          <w:szCs w:val="24"/>
        </w:rPr>
        <w:t>8</w:t>
      </w:r>
      <w:r w:rsidRPr="00B909F3">
        <w:rPr>
          <w:rFonts w:ascii="Book Antiqua" w:hAnsi="Book Antiqua"/>
          <w:szCs w:val="24"/>
        </w:rPr>
        <w:t>: 23-32 [PMID: 15585997 DOI: 10.1097/00075197-200501000-00005]</w:t>
      </w:r>
    </w:p>
    <w:p w14:paraId="428672B5"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t xml:space="preserve">45 </w:t>
      </w:r>
      <w:proofErr w:type="spellStart"/>
      <w:r w:rsidRPr="00B909F3">
        <w:rPr>
          <w:rFonts w:ascii="Book Antiqua" w:hAnsi="Book Antiqua"/>
          <w:b/>
          <w:szCs w:val="24"/>
        </w:rPr>
        <w:t>Tessari</w:t>
      </w:r>
      <w:proofErr w:type="spellEnd"/>
      <w:r w:rsidRPr="00B909F3">
        <w:rPr>
          <w:rFonts w:ascii="Book Antiqua" w:hAnsi="Book Antiqua"/>
          <w:b/>
          <w:szCs w:val="24"/>
        </w:rPr>
        <w:t xml:space="preserve"> P</w:t>
      </w:r>
      <w:r w:rsidRPr="00B909F3">
        <w:rPr>
          <w:rFonts w:ascii="Book Antiqua" w:hAnsi="Book Antiqua"/>
          <w:szCs w:val="24"/>
        </w:rPr>
        <w:t xml:space="preserve">. Protein metabolism in liver cirrhosis: from albumin to muscle myofibrils. </w:t>
      </w:r>
      <w:proofErr w:type="spellStart"/>
      <w:r w:rsidRPr="00B909F3">
        <w:rPr>
          <w:rFonts w:ascii="Book Antiqua" w:hAnsi="Book Antiqua"/>
          <w:i/>
          <w:szCs w:val="24"/>
        </w:rPr>
        <w:t>Curr</w:t>
      </w:r>
      <w:proofErr w:type="spellEnd"/>
      <w:r w:rsidRPr="00B909F3">
        <w:rPr>
          <w:rFonts w:ascii="Book Antiqua" w:hAnsi="Book Antiqua"/>
          <w:i/>
          <w:szCs w:val="24"/>
        </w:rPr>
        <w:t xml:space="preserve"> </w:t>
      </w:r>
      <w:proofErr w:type="spellStart"/>
      <w:r w:rsidRPr="00B909F3">
        <w:rPr>
          <w:rFonts w:ascii="Book Antiqua" w:hAnsi="Book Antiqua"/>
          <w:i/>
          <w:szCs w:val="24"/>
        </w:rPr>
        <w:t>Opin</w:t>
      </w:r>
      <w:proofErr w:type="spellEnd"/>
      <w:r w:rsidRPr="00B909F3">
        <w:rPr>
          <w:rFonts w:ascii="Book Antiqua" w:hAnsi="Book Antiqua"/>
          <w:i/>
          <w:szCs w:val="24"/>
        </w:rPr>
        <w:t xml:space="preserve"> Clin </w:t>
      </w:r>
      <w:proofErr w:type="spellStart"/>
      <w:r w:rsidRPr="00B909F3">
        <w:rPr>
          <w:rFonts w:ascii="Book Antiqua" w:hAnsi="Book Antiqua"/>
          <w:i/>
          <w:szCs w:val="24"/>
        </w:rPr>
        <w:t>Nutr</w:t>
      </w:r>
      <w:proofErr w:type="spellEnd"/>
      <w:r w:rsidRPr="00B909F3">
        <w:rPr>
          <w:rFonts w:ascii="Book Antiqua" w:hAnsi="Book Antiqua"/>
          <w:i/>
          <w:szCs w:val="24"/>
        </w:rPr>
        <w:t xml:space="preserve"> </w:t>
      </w:r>
      <w:proofErr w:type="spellStart"/>
      <w:r w:rsidRPr="00B909F3">
        <w:rPr>
          <w:rFonts w:ascii="Book Antiqua" w:hAnsi="Book Antiqua"/>
          <w:i/>
          <w:szCs w:val="24"/>
        </w:rPr>
        <w:t>Metab</w:t>
      </w:r>
      <w:proofErr w:type="spellEnd"/>
      <w:r w:rsidRPr="00B909F3">
        <w:rPr>
          <w:rFonts w:ascii="Book Antiqua" w:hAnsi="Book Antiqua"/>
          <w:i/>
          <w:szCs w:val="24"/>
        </w:rPr>
        <w:t xml:space="preserve"> Care</w:t>
      </w:r>
      <w:r w:rsidRPr="00B909F3">
        <w:rPr>
          <w:rFonts w:ascii="Book Antiqua" w:hAnsi="Book Antiqua"/>
          <w:szCs w:val="24"/>
        </w:rPr>
        <w:t xml:space="preserve"> 2003; </w:t>
      </w:r>
      <w:r w:rsidRPr="00B909F3">
        <w:rPr>
          <w:rFonts w:ascii="Book Antiqua" w:hAnsi="Book Antiqua"/>
          <w:b/>
          <w:szCs w:val="24"/>
        </w:rPr>
        <w:t>6</w:t>
      </w:r>
      <w:r w:rsidRPr="00B909F3">
        <w:rPr>
          <w:rFonts w:ascii="Book Antiqua" w:hAnsi="Book Antiqua"/>
          <w:szCs w:val="24"/>
        </w:rPr>
        <w:t>: 79-85 [PMID: 12496684 DOI: 10.1097/01.mco.0000049044.06038.30]</w:t>
      </w:r>
    </w:p>
    <w:p w14:paraId="3AEB6B9C" w14:textId="77777777" w:rsidR="00A0269B" w:rsidRPr="00B909F3" w:rsidRDefault="00A0269B" w:rsidP="00197EDE">
      <w:pPr>
        <w:spacing w:after="0" w:line="360" w:lineRule="auto"/>
        <w:jc w:val="both"/>
        <w:rPr>
          <w:rFonts w:ascii="Book Antiqua" w:hAnsi="Book Antiqua"/>
          <w:szCs w:val="24"/>
        </w:rPr>
      </w:pPr>
      <w:r w:rsidRPr="00B909F3">
        <w:rPr>
          <w:rFonts w:ascii="Book Antiqua" w:hAnsi="Book Antiqua"/>
          <w:szCs w:val="24"/>
        </w:rPr>
        <w:lastRenderedPageBreak/>
        <w:t xml:space="preserve">46 </w:t>
      </w:r>
      <w:proofErr w:type="spellStart"/>
      <w:r w:rsidRPr="00B909F3">
        <w:rPr>
          <w:rFonts w:ascii="Book Antiqua" w:hAnsi="Book Antiqua"/>
          <w:b/>
          <w:szCs w:val="24"/>
        </w:rPr>
        <w:t>Feurer</w:t>
      </w:r>
      <w:proofErr w:type="spellEnd"/>
      <w:r w:rsidRPr="00B909F3">
        <w:rPr>
          <w:rFonts w:ascii="Book Antiqua" w:hAnsi="Book Antiqua"/>
          <w:b/>
          <w:szCs w:val="24"/>
        </w:rPr>
        <w:t xml:space="preserve"> ID</w:t>
      </w:r>
      <w:r w:rsidRPr="00B909F3">
        <w:rPr>
          <w:rFonts w:ascii="Book Antiqua" w:hAnsi="Book Antiqua"/>
          <w:szCs w:val="24"/>
        </w:rPr>
        <w:t xml:space="preserve">, Moore DE, </w:t>
      </w:r>
      <w:proofErr w:type="spellStart"/>
      <w:r w:rsidRPr="00B909F3">
        <w:rPr>
          <w:rFonts w:ascii="Book Antiqua" w:hAnsi="Book Antiqua"/>
          <w:szCs w:val="24"/>
        </w:rPr>
        <w:t>Speroff</w:t>
      </w:r>
      <w:proofErr w:type="spellEnd"/>
      <w:r w:rsidRPr="00B909F3">
        <w:rPr>
          <w:rFonts w:ascii="Book Antiqua" w:hAnsi="Book Antiqua"/>
          <w:szCs w:val="24"/>
        </w:rPr>
        <w:t xml:space="preserve"> T, Liu H, Payne J, Harrison C, Pinson CW. Refining a health-related quality of life assessment strategy for solid organ transplant patients. </w:t>
      </w:r>
      <w:r w:rsidRPr="00B909F3">
        <w:rPr>
          <w:rFonts w:ascii="Book Antiqua" w:hAnsi="Book Antiqua"/>
          <w:i/>
          <w:szCs w:val="24"/>
        </w:rPr>
        <w:t>Clin Transplant</w:t>
      </w:r>
      <w:r w:rsidRPr="00B909F3">
        <w:rPr>
          <w:rFonts w:ascii="Book Antiqua" w:hAnsi="Book Antiqua"/>
          <w:szCs w:val="24"/>
        </w:rPr>
        <w:t xml:space="preserve"> 2004; </w:t>
      </w:r>
      <w:r w:rsidRPr="00B909F3">
        <w:rPr>
          <w:rFonts w:ascii="Book Antiqua" w:hAnsi="Book Antiqua"/>
          <w:b/>
          <w:szCs w:val="24"/>
        </w:rPr>
        <w:t xml:space="preserve">18 </w:t>
      </w:r>
      <w:r w:rsidRPr="00B37948">
        <w:rPr>
          <w:rFonts w:ascii="Book Antiqua" w:hAnsi="Book Antiqua"/>
          <w:bCs/>
          <w:szCs w:val="24"/>
        </w:rPr>
        <w:t>Suppl 12</w:t>
      </w:r>
      <w:r w:rsidRPr="00B909F3">
        <w:rPr>
          <w:rFonts w:ascii="Book Antiqua" w:hAnsi="Book Antiqua"/>
          <w:szCs w:val="24"/>
        </w:rPr>
        <w:t>: 39-45 [PMID: 15217406 DOI: 10.1111/j.1399-0012.</w:t>
      </w:r>
      <w:proofErr w:type="gramStart"/>
      <w:r w:rsidRPr="00B909F3">
        <w:rPr>
          <w:rFonts w:ascii="Book Antiqua" w:hAnsi="Book Antiqua"/>
          <w:szCs w:val="24"/>
        </w:rPr>
        <w:t>2004.00216.x</w:t>
      </w:r>
      <w:proofErr w:type="gramEnd"/>
      <w:r w:rsidRPr="00B909F3">
        <w:rPr>
          <w:rFonts w:ascii="Book Antiqua" w:hAnsi="Book Antiqua"/>
          <w:szCs w:val="24"/>
        </w:rPr>
        <w:t>]</w:t>
      </w:r>
    </w:p>
    <w:p w14:paraId="6A086E5F" w14:textId="05E9E049" w:rsidR="00A0269B" w:rsidRPr="00B909F3" w:rsidRDefault="00A0269B" w:rsidP="00197EDE">
      <w:pPr>
        <w:spacing w:after="0" w:line="360" w:lineRule="auto"/>
        <w:jc w:val="both"/>
        <w:rPr>
          <w:rFonts w:ascii="Book Antiqua" w:hAnsi="Book Antiqua" w:cs="Arial"/>
          <w:szCs w:val="24"/>
        </w:rPr>
      </w:pPr>
    </w:p>
    <w:p w14:paraId="5A3E5F90" w14:textId="1C96C1BA" w:rsidR="00197EDE" w:rsidRPr="00B909F3" w:rsidRDefault="00197EDE" w:rsidP="003E5A8C">
      <w:pPr>
        <w:suppressAutoHyphens/>
        <w:spacing w:after="0" w:line="360" w:lineRule="auto"/>
        <w:ind w:right="120"/>
        <w:jc w:val="right"/>
        <w:rPr>
          <w:rFonts w:ascii="Book Antiqua" w:hAnsi="Book Antiqua" w:cs="Mangal"/>
          <w:b/>
          <w:bCs/>
          <w:kern w:val="2"/>
          <w:szCs w:val="24"/>
          <w:lang w:val="it-IT" w:bidi="hi-IN"/>
        </w:rPr>
      </w:pPr>
      <w:bookmarkStart w:id="38" w:name="OLE_LINK502"/>
      <w:bookmarkStart w:id="39" w:name="OLE_LINK480"/>
      <w:bookmarkStart w:id="40" w:name="OLE_LINK2090"/>
      <w:bookmarkStart w:id="41" w:name="OLE_LINK2200"/>
      <w:bookmarkStart w:id="42" w:name="OLE_LINK2199"/>
      <w:bookmarkStart w:id="43" w:name="OLE_LINK2198"/>
      <w:bookmarkStart w:id="44" w:name="OLE_LINK2162"/>
      <w:bookmarkStart w:id="45" w:name="OLE_LINK1964"/>
      <w:bookmarkStart w:id="46" w:name="OLE_LINK1963"/>
      <w:bookmarkStart w:id="47" w:name="OLE_LINK1962"/>
      <w:bookmarkStart w:id="48" w:name="OLE_LINK1813"/>
      <w:bookmarkStart w:id="49" w:name="OLE_LINK1812"/>
      <w:bookmarkStart w:id="50" w:name="OLE_LINK1811"/>
      <w:bookmarkStart w:id="51" w:name="OLE_LINK1807"/>
      <w:bookmarkStart w:id="52" w:name="OLE_LINK1806"/>
      <w:bookmarkStart w:id="53" w:name="OLE_LINK1755"/>
      <w:bookmarkStart w:id="54" w:name="OLE_LINK1636"/>
      <w:bookmarkStart w:id="55" w:name="OLE_LINK1845"/>
      <w:bookmarkStart w:id="56" w:name="OLE_LINK1844"/>
      <w:bookmarkStart w:id="57" w:name="OLE_LINK1843"/>
      <w:bookmarkStart w:id="58" w:name="OLE_LINK1803"/>
      <w:bookmarkStart w:id="59" w:name="OLE_LINK1802"/>
      <w:bookmarkStart w:id="60" w:name="OLE_LINK1801"/>
      <w:bookmarkStart w:id="61" w:name="OLE_LINK1800"/>
      <w:bookmarkStart w:id="62" w:name="OLE_LINK1282"/>
      <w:bookmarkStart w:id="63" w:name="OLE_LINK1266"/>
      <w:bookmarkStart w:id="64" w:name="OLE_LINK1265"/>
      <w:bookmarkStart w:id="65" w:name="OLE_LINK1264"/>
      <w:bookmarkStart w:id="66" w:name="OLE_LINK1261"/>
      <w:bookmarkStart w:id="67" w:name="OLE_LINK1260"/>
      <w:bookmarkStart w:id="68" w:name="OLE_LINK968"/>
      <w:bookmarkStart w:id="69" w:name="OLE_LINK1072"/>
      <w:bookmarkStart w:id="70" w:name="OLE_LINK1071"/>
      <w:bookmarkStart w:id="71" w:name="OLE_LINK1044"/>
      <w:bookmarkStart w:id="72" w:name="OLE_LINK1043"/>
      <w:bookmarkStart w:id="73" w:name="OLE_LINK1042"/>
      <w:bookmarkStart w:id="74" w:name="OLE_LINK1041"/>
      <w:bookmarkStart w:id="75" w:name="OLE_LINK1040"/>
      <w:bookmarkStart w:id="76" w:name="OLE_LINK1039"/>
      <w:bookmarkStart w:id="77" w:name="OLE_LINK1038"/>
      <w:bookmarkStart w:id="78" w:name="OLE_LINK1037"/>
      <w:bookmarkStart w:id="79" w:name="OLE_LINK1036"/>
      <w:bookmarkStart w:id="80" w:name="OLE_LINK1035"/>
      <w:bookmarkStart w:id="81" w:name="OLE_LINK987"/>
      <w:bookmarkStart w:id="82" w:name="OLE_LINK947"/>
      <w:bookmarkStart w:id="83" w:name="OLE_LINK946"/>
      <w:bookmarkStart w:id="84" w:name="OLE_LINK945"/>
      <w:bookmarkStart w:id="85" w:name="OLE_LINK1127"/>
      <w:bookmarkStart w:id="86" w:name="OLE_LINK962"/>
      <w:bookmarkStart w:id="87" w:name="OLE_LINK959"/>
      <w:bookmarkStart w:id="88" w:name="OLE_LINK958"/>
      <w:bookmarkStart w:id="89" w:name="OLE_LINK1185"/>
      <w:bookmarkStart w:id="90" w:name="OLE_LINK1159"/>
      <w:bookmarkStart w:id="91" w:name="OLE_LINK1158"/>
      <w:bookmarkStart w:id="92" w:name="OLE_LINK1157"/>
      <w:bookmarkStart w:id="93" w:name="OLE_LINK1156"/>
      <w:bookmarkStart w:id="94" w:name="OLE_LINK1065"/>
      <w:bookmarkStart w:id="95" w:name="OLE_LINK1064"/>
      <w:bookmarkStart w:id="96" w:name="OLE_LINK1023"/>
      <w:bookmarkStart w:id="97" w:name="OLE_LINK1022"/>
      <w:bookmarkStart w:id="98" w:name="OLE_LINK1021"/>
      <w:bookmarkStart w:id="99" w:name="OLE_LINK2183"/>
      <w:bookmarkStart w:id="100" w:name="OLE_LINK2182"/>
      <w:bookmarkStart w:id="101" w:name="OLE_LINK2181"/>
      <w:r w:rsidRPr="00B909F3">
        <w:rPr>
          <w:rFonts w:ascii="Book Antiqua" w:eastAsia="Lucida Sans Unicode" w:hAnsi="Book Antiqua" w:cs="Arial"/>
          <w:b/>
          <w:noProof/>
          <w:kern w:val="2"/>
          <w:szCs w:val="24"/>
          <w:lang w:val="it-IT" w:eastAsia="hi-IN" w:bidi="hi-IN"/>
        </w:rPr>
        <w:t>P-Reviewer</w:t>
      </w:r>
      <w:r w:rsidRPr="00B909F3">
        <w:rPr>
          <w:rFonts w:ascii="Book Antiqua" w:hAnsi="Book Antiqua" w:cs="Arial"/>
          <w:b/>
          <w:noProof/>
          <w:kern w:val="2"/>
          <w:szCs w:val="24"/>
          <w:lang w:val="it-IT" w:bidi="hi-IN"/>
        </w:rPr>
        <w:t>:</w:t>
      </w:r>
      <w:r w:rsidRPr="00B909F3">
        <w:rPr>
          <w:rFonts w:ascii="Book Antiqua" w:eastAsia="Lucida Sans Unicode" w:hAnsi="Book Antiqua" w:cs="Mangal"/>
          <w:bCs/>
          <w:kern w:val="2"/>
          <w:szCs w:val="24"/>
          <w:lang w:val="it-IT" w:eastAsia="hi-IN" w:bidi="hi-IN"/>
        </w:rPr>
        <w:t xml:space="preserve"> </w:t>
      </w:r>
      <w:r w:rsidRPr="00B909F3">
        <w:rPr>
          <w:rFonts w:ascii="Book Antiqua" w:hAnsi="Book Antiqua"/>
          <w:szCs w:val="24"/>
        </w:rPr>
        <w:t xml:space="preserve">Hanna RM, </w:t>
      </w:r>
      <w:proofErr w:type="spellStart"/>
      <w:r w:rsidRPr="00B909F3">
        <w:rPr>
          <w:rFonts w:ascii="Book Antiqua" w:hAnsi="Book Antiqua"/>
          <w:szCs w:val="24"/>
        </w:rPr>
        <w:t>Nacif</w:t>
      </w:r>
      <w:proofErr w:type="spellEnd"/>
      <w:r w:rsidRPr="00B909F3">
        <w:rPr>
          <w:rFonts w:ascii="Book Antiqua" w:hAnsi="Book Antiqua"/>
          <w:szCs w:val="24"/>
        </w:rPr>
        <w:t xml:space="preserve"> L</w:t>
      </w:r>
      <w:r w:rsidRPr="00B909F3">
        <w:rPr>
          <w:rFonts w:ascii="Book Antiqua" w:eastAsia="Lucida Sans Unicode" w:hAnsi="Book Antiqua" w:cs="Mangal"/>
          <w:bCs/>
          <w:kern w:val="2"/>
          <w:szCs w:val="24"/>
          <w:lang w:val="it-IT" w:eastAsia="hi-IN" w:bidi="hi-IN"/>
        </w:rPr>
        <w:t xml:space="preserve"> </w:t>
      </w:r>
      <w:r w:rsidRPr="00B909F3">
        <w:rPr>
          <w:rFonts w:ascii="Book Antiqua" w:eastAsia="Lucida Sans Unicode" w:hAnsi="Book Antiqua" w:cs="Mangal"/>
          <w:b/>
          <w:bCs/>
          <w:kern w:val="2"/>
          <w:szCs w:val="24"/>
          <w:lang w:val="it-IT" w:eastAsia="hi-IN" w:bidi="hi-IN"/>
        </w:rPr>
        <w:t>S-Editor</w:t>
      </w:r>
      <w:r w:rsidRPr="00B909F3">
        <w:rPr>
          <w:rFonts w:ascii="Book Antiqua" w:hAnsi="Book Antiqua" w:cs="Mangal"/>
          <w:b/>
          <w:bCs/>
          <w:kern w:val="2"/>
          <w:szCs w:val="24"/>
          <w:lang w:val="it-IT" w:bidi="hi-IN"/>
        </w:rPr>
        <w:t>:</w:t>
      </w:r>
      <w:r w:rsidRPr="00B909F3">
        <w:rPr>
          <w:rFonts w:ascii="Book Antiqua" w:eastAsia="Lucida Sans Unicode" w:hAnsi="Book Antiqua" w:cs="Mangal"/>
          <w:bCs/>
          <w:kern w:val="2"/>
          <w:szCs w:val="24"/>
          <w:lang w:val="it-IT" w:eastAsia="hi-IN" w:bidi="hi-IN"/>
        </w:rPr>
        <w:t xml:space="preserve"> </w:t>
      </w:r>
      <w:r w:rsidRPr="00B909F3">
        <w:rPr>
          <w:rFonts w:ascii="Book Antiqua" w:hAnsi="Book Antiqua" w:cs="Mangal"/>
          <w:bCs/>
          <w:kern w:val="2"/>
          <w:szCs w:val="24"/>
          <w:lang w:val="it-IT" w:bidi="hi-IN"/>
        </w:rPr>
        <w:t>Dou Y</w:t>
      </w:r>
      <w:r w:rsidRPr="00B909F3">
        <w:rPr>
          <w:rFonts w:ascii="Book Antiqua" w:eastAsia="Lucida Sans Unicode" w:hAnsi="Book Antiqua" w:cs="Mangal"/>
          <w:b/>
          <w:bCs/>
          <w:kern w:val="2"/>
          <w:szCs w:val="24"/>
          <w:lang w:val="it-IT" w:eastAsia="hi-IN" w:bidi="hi-IN"/>
        </w:rPr>
        <w:t xml:space="preserve"> L-Editor</w:t>
      </w:r>
      <w:r w:rsidRPr="00B909F3">
        <w:rPr>
          <w:rFonts w:ascii="Book Antiqua" w:hAnsi="Book Antiqua" w:cs="Mangal"/>
          <w:b/>
          <w:bCs/>
          <w:kern w:val="2"/>
          <w:szCs w:val="24"/>
          <w:lang w:val="it-IT" w:bidi="hi-IN"/>
        </w:rPr>
        <w:t>:</w:t>
      </w:r>
      <w:r w:rsidRPr="00B909F3">
        <w:rPr>
          <w:rFonts w:ascii="Book Antiqua" w:eastAsia="Lucida Sans Unicode" w:hAnsi="Book Antiqua" w:cs="Mangal"/>
          <w:b/>
          <w:bCs/>
          <w:kern w:val="2"/>
          <w:szCs w:val="24"/>
          <w:lang w:val="it-IT" w:eastAsia="hi-IN" w:bidi="hi-IN"/>
        </w:rPr>
        <w:t xml:space="preserve"> E-Editor</w:t>
      </w:r>
      <w:r w:rsidRPr="00B909F3">
        <w:rPr>
          <w:rFonts w:ascii="Book Antiqua" w:hAnsi="Book Antiqua" w:cs="Mangal"/>
          <w:b/>
          <w:bCs/>
          <w:kern w:val="2"/>
          <w:szCs w:val="24"/>
          <w:lang w:val="it-IT" w:bidi="hi-IN"/>
        </w:rPr>
        <w:t>:</w:t>
      </w:r>
    </w:p>
    <w:p w14:paraId="4E2822F1" w14:textId="77777777" w:rsidR="003E5A8C" w:rsidRDefault="003E5A8C" w:rsidP="003E5A8C">
      <w:pPr>
        <w:widowControl w:val="0"/>
        <w:shd w:val="clear" w:color="auto" w:fill="FFFFFF"/>
        <w:spacing w:after="0" w:line="360" w:lineRule="auto"/>
        <w:jc w:val="both"/>
        <w:rPr>
          <w:rFonts w:ascii="Book Antiqua" w:hAnsi="Book Antiqua" w:cs="Helvetica"/>
          <w:b/>
          <w:kern w:val="2"/>
          <w:szCs w:val="24"/>
        </w:rPr>
      </w:pPr>
    </w:p>
    <w:p w14:paraId="25E4F4AD" w14:textId="79690D17" w:rsidR="00197EDE" w:rsidRPr="00B909F3" w:rsidRDefault="00197EDE" w:rsidP="003E5A8C">
      <w:pPr>
        <w:widowControl w:val="0"/>
        <w:shd w:val="clear" w:color="auto" w:fill="FFFFFF"/>
        <w:spacing w:after="0" w:line="360" w:lineRule="auto"/>
        <w:jc w:val="both"/>
        <w:rPr>
          <w:rFonts w:ascii="Book Antiqua" w:hAnsi="Book Antiqua" w:cs="Helvetica"/>
          <w:b/>
          <w:kern w:val="2"/>
          <w:szCs w:val="24"/>
        </w:rPr>
      </w:pPr>
      <w:r w:rsidRPr="00B909F3">
        <w:rPr>
          <w:rFonts w:ascii="Book Antiqua" w:hAnsi="Book Antiqua" w:cs="Helvetica"/>
          <w:b/>
          <w:kern w:val="2"/>
          <w:szCs w:val="24"/>
        </w:rPr>
        <w:t xml:space="preserve">Specialty type: </w:t>
      </w:r>
      <w:r w:rsidRPr="00B909F3">
        <w:rPr>
          <w:rFonts w:ascii="Book Antiqua" w:eastAsia="Microsoft YaHei" w:hAnsi="Book Antiqua" w:cs="SimSun"/>
          <w:szCs w:val="24"/>
        </w:rPr>
        <w:t>Transplantation</w:t>
      </w:r>
    </w:p>
    <w:p w14:paraId="5B8B50C3" w14:textId="407A2C70" w:rsidR="00197EDE" w:rsidRPr="00B909F3" w:rsidRDefault="00197EDE" w:rsidP="003E5A8C">
      <w:pPr>
        <w:widowControl w:val="0"/>
        <w:shd w:val="clear" w:color="auto" w:fill="FFFFFF"/>
        <w:spacing w:after="0" w:line="360" w:lineRule="auto"/>
        <w:jc w:val="both"/>
        <w:rPr>
          <w:rFonts w:ascii="Book Antiqua" w:hAnsi="Book Antiqua" w:cs="Helvetica"/>
          <w:b/>
          <w:kern w:val="2"/>
          <w:szCs w:val="24"/>
        </w:rPr>
      </w:pPr>
      <w:r w:rsidRPr="00B909F3">
        <w:rPr>
          <w:rFonts w:ascii="Book Antiqua" w:hAnsi="Book Antiqua" w:cs="Helvetica"/>
          <w:b/>
          <w:kern w:val="2"/>
          <w:szCs w:val="24"/>
        </w:rPr>
        <w:t xml:space="preserve">Country of origin: </w:t>
      </w:r>
      <w:r w:rsidRPr="00B909F3">
        <w:rPr>
          <w:rFonts w:ascii="Book Antiqua" w:hAnsi="Book Antiqua" w:cs="Helvetica"/>
          <w:kern w:val="2"/>
          <w:szCs w:val="24"/>
        </w:rPr>
        <w:t>United States</w:t>
      </w:r>
    </w:p>
    <w:p w14:paraId="0AA6205C" w14:textId="77777777" w:rsidR="00197EDE" w:rsidRPr="00B909F3" w:rsidRDefault="00197EDE" w:rsidP="003E5A8C">
      <w:pPr>
        <w:widowControl w:val="0"/>
        <w:shd w:val="clear" w:color="auto" w:fill="FFFFFF"/>
        <w:spacing w:after="0" w:line="360" w:lineRule="auto"/>
        <w:jc w:val="both"/>
        <w:rPr>
          <w:rFonts w:ascii="Book Antiqua" w:hAnsi="Book Antiqua" w:cs="Helvetica"/>
          <w:b/>
          <w:kern w:val="2"/>
          <w:szCs w:val="24"/>
        </w:rPr>
      </w:pPr>
      <w:r w:rsidRPr="00B909F3">
        <w:rPr>
          <w:rFonts w:ascii="Book Antiqua" w:hAnsi="Book Antiqua" w:cs="Helvetica"/>
          <w:b/>
          <w:kern w:val="2"/>
          <w:szCs w:val="24"/>
        </w:rPr>
        <w:t>Peer-review report classification</w:t>
      </w:r>
    </w:p>
    <w:p w14:paraId="223422E5" w14:textId="04F1D32E" w:rsidR="00197EDE" w:rsidRPr="00B909F3" w:rsidRDefault="00197EDE" w:rsidP="003E5A8C">
      <w:pPr>
        <w:widowControl w:val="0"/>
        <w:shd w:val="clear" w:color="auto" w:fill="FFFFFF"/>
        <w:spacing w:after="0" w:line="360" w:lineRule="auto"/>
        <w:jc w:val="both"/>
        <w:rPr>
          <w:rFonts w:ascii="Book Antiqua" w:hAnsi="Book Antiqua" w:cs="Helvetica"/>
          <w:kern w:val="2"/>
          <w:szCs w:val="24"/>
        </w:rPr>
      </w:pPr>
      <w:r w:rsidRPr="00B909F3">
        <w:rPr>
          <w:rFonts w:ascii="Book Antiqua" w:hAnsi="Book Antiqua" w:cs="Helvetica"/>
          <w:kern w:val="2"/>
          <w:szCs w:val="24"/>
        </w:rPr>
        <w:t>Grade A (Excellent): A, A</w:t>
      </w:r>
    </w:p>
    <w:p w14:paraId="452B6AE1" w14:textId="2EA4C5ED" w:rsidR="00197EDE" w:rsidRPr="00B909F3" w:rsidRDefault="00197EDE" w:rsidP="003E5A8C">
      <w:pPr>
        <w:widowControl w:val="0"/>
        <w:shd w:val="clear" w:color="auto" w:fill="FFFFFF"/>
        <w:spacing w:after="0" w:line="360" w:lineRule="auto"/>
        <w:jc w:val="both"/>
        <w:rPr>
          <w:rFonts w:ascii="Book Antiqua" w:hAnsi="Book Antiqua" w:cs="Helvetica"/>
          <w:kern w:val="2"/>
          <w:szCs w:val="24"/>
        </w:rPr>
      </w:pPr>
      <w:r w:rsidRPr="00B909F3">
        <w:rPr>
          <w:rFonts w:ascii="Book Antiqua" w:hAnsi="Book Antiqua" w:cs="Helvetica"/>
          <w:kern w:val="2"/>
          <w:szCs w:val="24"/>
        </w:rPr>
        <w:t>Grade B (Very good): 0</w:t>
      </w:r>
    </w:p>
    <w:p w14:paraId="2DB022B7" w14:textId="77777777" w:rsidR="00197EDE" w:rsidRPr="00B909F3" w:rsidRDefault="00197EDE" w:rsidP="003E5A8C">
      <w:pPr>
        <w:widowControl w:val="0"/>
        <w:shd w:val="clear" w:color="auto" w:fill="FFFFFF"/>
        <w:spacing w:after="0" w:line="360" w:lineRule="auto"/>
        <w:jc w:val="both"/>
        <w:rPr>
          <w:rFonts w:ascii="Book Antiqua" w:hAnsi="Book Antiqua" w:cs="Helvetica"/>
          <w:kern w:val="2"/>
          <w:szCs w:val="24"/>
        </w:rPr>
      </w:pPr>
      <w:r w:rsidRPr="00B909F3">
        <w:rPr>
          <w:rFonts w:ascii="Book Antiqua" w:hAnsi="Book Antiqua" w:cs="Helvetica"/>
          <w:kern w:val="2"/>
          <w:szCs w:val="24"/>
        </w:rPr>
        <w:t>Grade C (Good): 0</w:t>
      </w:r>
    </w:p>
    <w:p w14:paraId="59308C50" w14:textId="77777777" w:rsidR="00197EDE" w:rsidRPr="00B909F3" w:rsidRDefault="00197EDE" w:rsidP="003E5A8C">
      <w:pPr>
        <w:widowControl w:val="0"/>
        <w:shd w:val="clear" w:color="auto" w:fill="FFFFFF"/>
        <w:spacing w:after="0" w:line="360" w:lineRule="auto"/>
        <w:jc w:val="both"/>
        <w:rPr>
          <w:rFonts w:ascii="Book Antiqua" w:hAnsi="Book Antiqua" w:cs="Helvetica"/>
          <w:kern w:val="2"/>
          <w:szCs w:val="24"/>
        </w:rPr>
      </w:pPr>
      <w:r w:rsidRPr="00B909F3">
        <w:rPr>
          <w:rFonts w:ascii="Book Antiqua" w:hAnsi="Book Antiqua" w:cs="Helvetica"/>
          <w:kern w:val="2"/>
          <w:szCs w:val="24"/>
        </w:rPr>
        <w:t xml:space="preserve">Grade D (Fair): </w:t>
      </w:r>
      <w:bookmarkEnd w:id="38"/>
      <w:bookmarkEnd w:id="39"/>
      <w:r w:rsidRPr="00B909F3">
        <w:rPr>
          <w:rFonts w:ascii="Book Antiqua" w:hAnsi="Book Antiqua" w:cs="Helvetica"/>
          <w:kern w:val="2"/>
          <w:szCs w:val="24"/>
        </w:rPr>
        <w:t>0</w:t>
      </w:r>
    </w:p>
    <w:p w14:paraId="784DF502" w14:textId="7B079031" w:rsidR="00A0269B" w:rsidRPr="00B909F3" w:rsidRDefault="00197EDE" w:rsidP="003E5A8C">
      <w:pPr>
        <w:widowControl w:val="0"/>
        <w:shd w:val="clear" w:color="auto" w:fill="FFFFFF"/>
        <w:spacing w:after="0" w:line="360" w:lineRule="auto"/>
        <w:jc w:val="both"/>
        <w:rPr>
          <w:rFonts w:ascii="Book Antiqua" w:hAnsi="Book Antiqua" w:cs="Helvetica"/>
          <w:kern w:val="2"/>
          <w:szCs w:val="24"/>
          <w:lang w:val="de-DE"/>
        </w:rPr>
      </w:pPr>
      <w:r w:rsidRPr="00B909F3">
        <w:rPr>
          <w:rFonts w:ascii="Book Antiqua" w:hAnsi="Book Antiqua" w:cs="Helvetica"/>
          <w:kern w:val="2"/>
          <w:szCs w:val="24"/>
        </w:rPr>
        <w:t>Grade E (Poor): 0</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3CFFB71" w14:textId="321A0D96" w:rsidR="00DB73D6" w:rsidRPr="00B909F3" w:rsidRDefault="003C306E" w:rsidP="00197EDE">
      <w:pPr>
        <w:widowControl w:val="0"/>
        <w:autoSpaceDE w:val="0"/>
        <w:autoSpaceDN w:val="0"/>
        <w:adjustRightInd w:val="0"/>
        <w:spacing w:after="0" w:line="360" w:lineRule="auto"/>
        <w:ind w:left="640" w:hanging="640"/>
        <w:jc w:val="both"/>
        <w:rPr>
          <w:rFonts w:ascii="Book Antiqua" w:hAnsi="Book Antiqua" w:cs="Arial"/>
          <w:szCs w:val="24"/>
        </w:rPr>
      </w:pPr>
      <w:r w:rsidRPr="00B909F3">
        <w:rPr>
          <w:rFonts w:ascii="Book Antiqua" w:hAnsi="Book Antiqua" w:cs="Arial"/>
          <w:noProof/>
          <w:szCs w:val="24"/>
        </w:rPr>
        <w:lastRenderedPageBreak/>
        <w:drawing>
          <wp:inline distT="0" distB="0" distL="0" distR="0" wp14:anchorId="4BB33962" wp14:editId="366D5D2E">
            <wp:extent cx="4800600" cy="56939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 stat 1 year - Fig 1.jpg"/>
                    <pic:cNvPicPr/>
                  </pic:nvPicPr>
                  <pic:blipFill rotWithShape="1">
                    <a:blip r:embed="rId8">
                      <a:extLst>
                        <a:ext uri="{28A0092B-C50C-407E-A947-70E740481C1C}">
                          <a14:useLocalDpi xmlns:a14="http://schemas.microsoft.com/office/drawing/2010/main" val="0"/>
                        </a:ext>
                      </a:extLst>
                    </a:blip>
                    <a:srcRect t="11043"/>
                    <a:stretch/>
                  </pic:blipFill>
                  <pic:spPr bwMode="auto">
                    <a:xfrm>
                      <a:off x="0" y="0"/>
                      <a:ext cx="4809359" cy="5704352"/>
                    </a:xfrm>
                    <a:prstGeom prst="rect">
                      <a:avLst/>
                    </a:prstGeom>
                    <a:ln>
                      <a:noFill/>
                    </a:ln>
                    <a:extLst>
                      <a:ext uri="{53640926-AAD7-44D8-BBD7-CCE9431645EC}">
                        <a14:shadowObscured xmlns:a14="http://schemas.microsoft.com/office/drawing/2010/main"/>
                      </a:ext>
                    </a:extLst>
                  </pic:spPr>
                </pic:pic>
              </a:graphicData>
            </a:graphic>
          </wp:inline>
        </w:drawing>
      </w:r>
    </w:p>
    <w:p w14:paraId="75E53CCC" w14:textId="39543D10" w:rsidR="00A964E0" w:rsidRPr="00B909F3" w:rsidRDefault="00A964E0" w:rsidP="00197EDE">
      <w:pPr>
        <w:widowControl w:val="0"/>
        <w:autoSpaceDE w:val="0"/>
        <w:autoSpaceDN w:val="0"/>
        <w:adjustRightInd w:val="0"/>
        <w:spacing w:after="0" w:line="360" w:lineRule="auto"/>
        <w:jc w:val="both"/>
        <w:rPr>
          <w:rFonts w:ascii="Book Antiqua" w:hAnsi="Book Antiqua" w:cs="Arial"/>
          <w:szCs w:val="24"/>
        </w:rPr>
      </w:pPr>
      <w:r w:rsidRPr="00A964E0">
        <w:rPr>
          <w:rFonts w:ascii="Book Antiqua" w:hAnsi="Book Antiqua" w:cs="Arial"/>
          <w:b/>
          <w:bCs/>
          <w:szCs w:val="24"/>
        </w:rPr>
        <w:t>Figure 1 Study inclusion/exclusion criteria flow chart.</w:t>
      </w:r>
      <w:r w:rsidRPr="00A964E0">
        <w:rPr>
          <w:rFonts w:ascii="Book Antiqua" w:hAnsi="Book Antiqua" w:cs="Arial"/>
          <w:szCs w:val="24"/>
        </w:rPr>
        <w:t xml:space="preserve"> Scientific Registry of Transplant Recipients</w:t>
      </w:r>
      <w:r w:rsidR="003E5A8C">
        <w:rPr>
          <w:rFonts w:ascii="Book Antiqua" w:hAnsi="Book Antiqua" w:cs="Arial"/>
          <w:szCs w:val="24"/>
        </w:rPr>
        <w:t>.</w:t>
      </w:r>
    </w:p>
    <w:p w14:paraId="4BD67D36"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br w:type="page"/>
      </w:r>
    </w:p>
    <w:p w14:paraId="058A3F5F" w14:textId="1F6BF93F" w:rsidR="00DB73D6" w:rsidRPr="00B909F3" w:rsidRDefault="00DB73D6" w:rsidP="00197EDE">
      <w:pPr>
        <w:spacing w:after="0" w:line="360" w:lineRule="auto"/>
        <w:contextualSpacing/>
        <w:jc w:val="both"/>
        <w:rPr>
          <w:rFonts w:ascii="Book Antiqua" w:hAnsi="Book Antiqua" w:cs="Arial"/>
          <w:b/>
          <w:szCs w:val="24"/>
        </w:rPr>
      </w:pPr>
      <w:r w:rsidRPr="00B909F3">
        <w:rPr>
          <w:rFonts w:ascii="Book Antiqua" w:hAnsi="Book Antiqua" w:cs="Arial"/>
          <w:b/>
          <w:szCs w:val="24"/>
        </w:rPr>
        <w:lastRenderedPageBreak/>
        <w:t xml:space="preserve">Table 1 </w:t>
      </w:r>
      <w:proofErr w:type="spellStart"/>
      <w:r w:rsidRPr="00B909F3">
        <w:rPr>
          <w:rFonts w:ascii="Book Antiqua" w:hAnsi="Book Antiqua" w:cs="Arial"/>
          <w:b/>
          <w:szCs w:val="24"/>
        </w:rPr>
        <w:t>Karnofsky</w:t>
      </w:r>
      <w:proofErr w:type="spellEnd"/>
      <w:r w:rsidRPr="00B909F3">
        <w:rPr>
          <w:rFonts w:ascii="Book Antiqua" w:hAnsi="Book Antiqua" w:cs="Arial"/>
          <w:b/>
          <w:szCs w:val="24"/>
        </w:rPr>
        <w:t xml:space="preserve"> Performance Status scale and variable handling</w:t>
      </w:r>
    </w:p>
    <w:tbl>
      <w:tblPr>
        <w:tblW w:w="9275" w:type="dxa"/>
        <w:tblInd w:w="198"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3703"/>
        <w:gridCol w:w="523"/>
        <w:gridCol w:w="5049"/>
      </w:tblGrid>
      <w:tr w:rsidR="00DB73D6" w:rsidRPr="00B909F3" w14:paraId="75D9F1A6" w14:textId="77777777" w:rsidTr="00DB73D6">
        <w:trPr>
          <w:trHeight w:val="298"/>
        </w:trPr>
        <w:tc>
          <w:tcPr>
            <w:tcW w:w="3703" w:type="dxa"/>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17273AF8" w14:textId="77777777" w:rsidR="00DB73D6" w:rsidRPr="00B909F3" w:rsidRDefault="00DB73D6" w:rsidP="00197EDE">
            <w:pPr>
              <w:spacing w:after="0" w:line="360" w:lineRule="auto"/>
              <w:contextualSpacing/>
              <w:jc w:val="both"/>
              <w:rPr>
                <w:rFonts w:ascii="Book Antiqua" w:hAnsi="Book Antiqua" w:cs="Arial"/>
                <w:szCs w:val="24"/>
              </w:rPr>
            </w:pPr>
            <w:proofErr w:type="spellStart"/>
            <w:r w:rsidRPr="00B909F3">
              <w:rPr>
                <w:rFonts w:ascii="Book Antiqua" w:hAnsi="Book Antiqua" w:cs="Arial"/>
                <w:b/>
                <w:bCs/>
                <w:szCs w:val="24"/>
              </w:rPr>
              <w:t>Condition</w:t>
            </w:r>
            <w:r w:rsidRPr="00B909F3">
              <w:rPr>
                <w:rFonts w:ascii="Book Antiqua" w:hAnsi="Book Antiqua" w:cs="Arial"/>
                <w:b/>
                <w:bCs/>
                <w:szCs w:val="24"/>
                <w:vertAlign w:val="superscript"/>
              </w:rPr>
              <w:t>a</w:t>
            </w:r>
            <w:proofErr w:type="spellEnd"/>
          </w:p>
        </w:tc>
        <w:tc>
          <w:tcPr>
            <w:tcW w:w="523" w:type="dxa"/>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570DF5A3" w14:textId="77777777" w:rsidR="00DB73D6" w:rsidRPr="00B909F3" w:rsidRDefault="00DB73D6" w:rsidP="00197EDE">
            <w:pPr>
              <w:spacing w:after="0" w:line="360" w:lineRule="auto"/>
              <w:ind w:right="-108"/>
              <w:contextualSpacing/>
              <w:jc w:val="both"/>
              <w:rPr>
                <w:rFonts w:ascii="Book Antiqua" w:hAnsi="Book Antiqua" w:cs="Arial"/>
                <w:szCs w:val="24"/>
              </w:rPr>
            </w:pPr>
            <w:r w:rsidRPr="00B909F3">
              <w:rPr>
                <w:rFonts w:ascii="Book Antiqua" w:hAnsi="Book Antiqua" w:cs="Arial"/>
                <w:b/>
                <w:bCs/>
                <w:szCs w:val="24"/>
              </w:rPr>
              <w:t>%</w:t>
            </w:r>
          </w:p>
        </w:tc>
        <w:tc>
          <w:tcPr>
            <w:tcW w:w="5049" w:type="dxa"/>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4D955B3C" w14:textId="7AF5E03F"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b/>
                <w:bCs/>
                <w:szCs w:val="24"/>
              </w:rPr>
              <w:t>Rating criteria</w:t>
            </w:r>
          </w:p>
        </w:tc>
      </w:tr>
      <w:tr w:rsidR="00DB73D6" w:rsidRPr="00B909F3" w14:paraId="48BAD9D9" w14:textId="77777777" w:rsidTr="00DB73D6">
        <w:trPr>
          <w:trHeight w:val="362"/>
        </w:trPr>
        <w:tc>
          <w:tcPr>
            <w:tcW w:w="3703" w:type="dxa"/>
            <w:vMerge w:val="restart"/>
            <w:tcBorders>
              <w:top w:val="single" w:sz="4" w:space="0" w:color="auto"/>
            </w:tcBorders>
            <w:shd w:val="clear" w:color="auto" w:fill="auto"/>
            <w:tcMar>
              <w:top w:w="15" w:type="dxa"/>
              <w:left w:w="108" w:type="dxa"/>
              <w:bottom w:w="0" w:type="dxa"/>
              <w:right w:w="108" w:type="dxa"/>
            </w:tcMar>
            <w:vAlign w:val="center"/>
            <w:hideMark/>
          </w:tcPr>
          <w:p w14:paraId="69FFFB85" w14:textId="782DADBB" w:rsidR="00DB73D6" w:rsidRPr="00B909F3" w:rsidRDefault="00DB73D6" w:rsidP="00197EDE">
            <w:pPr>
              <w:spacing w:after="0" w:line="360" w:lineRule="auto"/>
              <w:ind w:right="-115"/>
              <w:contextualSpacing/>
              <w:jc w:val="both"/>
              <w:rPr>
                <w:rFonts w:ascii="Book Antiqua" w:hAnsi="Book Antiqua" w:cs="Arial"/>
                <w:bCs/>
                <w:szCs w:val="24"/>
              </w:rPr>
            </w:pPr>
            <w:r w:rsidRPr="00B909F3">
              <w:rPr>
                <w:rFonts w:ascii="Book Antiqua" w:hAnsi="Book Antiqua" w:cs="Arial"/>
                <w:bCs/>
                <w:szCs w:val="24"/>
              </w:rPr>
              <w:t>A (“None/Normal”)</w:t>
            </w:r>
            <w:r w:rsidRPr="00B909F3">
              <w:rPr>
                <w:rFonts w:ascii="Book Antiqua" w:eastAsia="SimSun" w:hAnsi="Book Antiqua" w:cs="Arial"/>
                <w:bCs/>
                <w:szCs w:val="24"/>
                <w:lang w:eastAsia="zh-CN"/>
              </w:rPr>
              <w:t xml:space="preserve"> </w:t>
            </w:r>
            <w:r w:rsidRPr="00B909F3">
              <w:rPr>
                <w:rFonts w:ascii="Book Antiqua" w:hAnsi="Book Antiqua" w:cs="Arial"/>
                <w:bCs/>
                <w:szCs w:val="24"/>
              </w:rPr>
              <w:t>Able to carry on normal activity and to work; no special care needed</w:t>
            </w:r>
          </w:p>
        </w:tc>
        <w:tc>
          <w:tcPr>
            <w:tcW w:w="523" w:type="dxa"/>
            <w:tcBorders>
              <w:top w:val="single" w:sz="4" w:space="0" w:color="auto"/>
            </w:tcBorders>
            <w:shd w:val="clear" w:color="auto" w:fill="auto"/>
            <w:tcMar>
              <w:top w:w="15" w:type="dxa"/>
              <w:left w:w="108" w:type="dxa"/>
              <w:bottom w:w="0" w:type="dxa"/>
              <w:right w:w="108" w:type="dxa"/>
            </w:tcMar>
            <w:hideMark/>
          </w:tcPr>
          <w:p w14:paraId="1C611D26"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100</w:t>
            </w:r>
          </w:p>
        </w:tc>
        <w:tc>
          <w:tcPr>
            <w:tcW w:w="5049" w:type="dxa"/>
            <w:tcBorders>
              <w:top w:val="single" w:sz="4" w:space="0" w:color="auto"/>
            </w:tcBorders>
            <w:shd w:val="clear" w:color="auto" w:fill="auto"/>
            <w:tcMar>
              <w:top w:w="15" w:type="dxa"/>
              <w:left w:w="108" w:type="dxa"/>
              <w:bottom w:w="0" w:type="dxa"/>
              <w:right w:w="108" w:type="dxa"/>
            </w:tcMar>
            <w:hideMark/>
          </w:tcPr>
          <w:p w14:paraId="54A7E9A2" w14:textId="0B6EE31C"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Normal, no complaints; no evidence of disease</w:t>
            </w:r>
          </w:p>
        </w:tc>
      </w:tr>
      <w:tr w:rsidR="00DB73D6" w:rsidRPr="00B909F3" w14:paraId="43FC3976" w14:textId="77777777" w:rsidTr="00DB73D6">
        <w:trPr>
          <w:trHeight w:val="688"/>
        </w:trPr>
        <w:tc>
          <w:tcPr>
            <w:tcW w:w="3703" w:type="dxa"/>
            <w:vMerge/>
            <w:vAlign w:val="center"/>
            <w:hideMark/>
          </w:tcPr>
          <w:p w14:paraId="4344262F" w14:textId="77777777" w:rsidR="00DB73D6" w:rsidRPr="00B909F3" w:rsidRDefault="00DB73D6" w:rsidP="00197EDE">
            <w:pPr>
              <w:spacing w:after="0" w:line="360" w:lineRule="auto"/>
              <w:ind w:right="-108"/>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2879B670"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90</w:t>
            </w:r>
          </w:p>
        </w:tc>
        <w:tc>
          <w:tcPr>
            <w:tcW w:w="5049" w:type="dxa"/>
            <w:shd w:val="clear" w:color="auto" w:fill="auto"/>
            <w:tcMar>
              <w:top w:w="15" w:type="dxa"/>
              <w:left w:w="108" w:type="dxa"/>
              <w:bottom w:w="0" w:type="dxa"/>
              <w:right w:w="108" w:type="dxa"/>
            </w:tcMar>
            <w:hideMark/>
          </w:tcPr>
          <w:p w14:paraId="6058A69A" w14:textId="380B6C89"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 xml:space="preserve">Able to carry on normal activity; minor signs or symptoms of </w:t>
            </w:r>
            <w:r w:rsidRPr="00B909F3">
              <w:rPr>
                <w:rFonts w:ascii="Book Antiqua" w:hAnsi="Book Antiqua" w:cs="Arial"/>
                <w:bCs/>
                <w:noProof/>
                <w:szCs w:val="24"/>
              </w:rPr>
              <w:t>disease</w:t>
            </w:r>
          </w:p>
        </w:tc>
      </w:tr>
      <w:tr w:rsidR="00DB73D6" w:rsidRPr="00B909F3" w14:paraId="0574E85C" w14:textId="77777777" w:rsidTr="00DB73D6">
        <w:trPr>
          <w:trHeight w:val="70"/>
        </w:trPr>
        <w:tc>
          <w:tcPr>
            <w:tcW w:w="3703" w:type="dxa"/>
            <w:vMerge/>
            <w:vAlign w:val="center"/>
            <w:hideMark/>
          </w:tcPr>
          <w:p w14:paraId="3E3543B3" w14:textId="77777777" w:rsidR="00DB73D6" w:rsidRPr="00B909F3" w:rsidRDefault="00DB73D6" w:rsidP="00197EDE">
            <w:pPr>
              <w:spacing w:after="0" w:line="360" w:lineRule="auto"/>
              <w:ind w:right="-108"/>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1C731015"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80</w:t>
            </w:r>
          </w:p>
        </w:tc>
        <w:tc>
          <w:tcPr>
            <w:tcW w:w="5049" w:type="dxa"/>
            <w:shd w:val="clear" w:color="auto" w:fill="auto"/>
            <w:tcMar>
              <w:top w:w="15" w:type="dxa"/>
              <w:left w:w="108" w:type="dxa"/>
              <w:bottom w:w="0" w:type="dxa"/>
              <w:right w:w="108" w:type="dxa"/>
            </w:tcMar>
            <w:hideMark/>
          </w:tcPr>
          <w:p w14:paraId="053CB83E" w14:textId="6A508A07"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 xml:space="preserve">Normal activity with effort; some signs or symptoms of </w:t>
            </w:r>
            <w:r w:rsidRPr="00B909F3">
              <w:rPr>
                <w:rFonts w:ascii="Book Antiqua" w:hAnsi="Book Antiqua" w:cs="Arial"/>
                <w:bCs/>
                <w:noProof/>
                <w:szCs w:val="24"/>
              </w:rPr>
              <w:t>disease</w:t>
            </w:r>
          </w:p>
        </w:tc>
      </w:tr>
      <w:tr w:rsidR="00DB73D6" w:rsidRPr="00B909F3" w14:paraId="04A59FAE" w14:textId="77777777" w:rsidTr="00DB73D6">
        <w:trPr>
          <w:trHeight w:val="663"/>
        </w:trPr>
        <w:tc>
          <w:tcPr>
            <w:tcW w:w="3703" w:type="dxa"/>
            <w:vMerge w:val="restart"/>
            <w:shd w:val="clear" w:color="auto" w:fill="auto"/>
            <w:tcMar>
              <w:top w:w="15" w:type="dxa"/>
              <w:left w:w="108" w:type="dxa"/>
              <w:bottom w:w="0" w:type="dxa"/>
              <w:right w:w="108" w:type="dxa"/>
            </w:tcMar>
            <w:vAlign w:val="center"/>
            <w:hideMark/>
          </w:tcPr>
          <w:p w14:paraId="38C9CCB5" w14:textId="3326F264" w:rsidR="00DB73D6" w:rsidRPr="00B909F3" w:rsidRDefault="00DB73D6" w:rsidP="00197EDE">
            <w:pPr>
              <w:spacing w:after="0" w:line="360" w:lineRule="auto"/>
              <w:ind w:right="-115"/>
              <w:contextualSpacing/>
              <w:jc w:val="both"/>
              <w:rPr>
                <w:rFonts w:ascii="Book Antiqua" w:hAnsi="Book Antiqua" w:cs="Arial"/>
                <w:bCs/>
                <w:szCs w:val="24"/>
              </w:rPr>
            </w:pPr>
            <w:r w:rsidRPr="00B909F3">
              <w:rPr>
                <w:rFonts w:ascii="Book Antiqua" w:hAnsi="Book Antiqua" w:cs="Arial"/>
                <w:bCs/>
                <w:szCs w:val="24"/>
              </w:rPr>
              <w:t>B (“Moderate”)</w:t>
            </w:r>
            <w:r w:rsidRPr="00B909F3">
              <w:rPr>
                <w:rFonts w:ascii="Book Antiqua" w:eastAsia="SimSun" w:hAnsi="Book Antiqua" w:cs="Arial"/>
                <w:bCs/>
                <w:szCs w:val="24"/>
                <w:lang w:eastAsia="zh-CN"/>
              </w:rPr>
              <w:t xml:space="preserve"> </w:t>
            </w:r>
            <w:r w:rsidRPr="00B909F3">
              <w:rPr>
                <w:rFonts w:ascii="Book Antiqua" w:hAnsi="Book Antiqua" w:cs="Arial"/>
                <w:bCs/>
                <w:szCs w:val="24"/>
              </w:rPr>
              <w:t>Unable to work; able to live at home and care for most personal needs; varying amount of assistance needed</w:t>
            </w:r>
          </w:p>
        </w:tc>
        <w:tc>
          <w:tcPr>
            <w:tcW w:w="523" w:type="dxa"/>
            <w:shd w:val="clear" w:color="auto" w:fill="auto"/>
            <w:tcMar>
              <w:top w:w="15" w:type="dxa"/>
              <w:left w:w="108" w:type="dxa"/>
              <w:bottom w:w="0" w:type="dxa"/>
              <w:right w:w="108" w:type="dxa"/>
            </w:tcMar>
            <w:hideMark/>
          </w:tcPr>
          <w:p w14:paraId="30BF0376"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70</w:t>
            </w:r>
          </w:p>
        </w:tc>
        <w:tc>
          <w:tcPr>
            <w:tcW w:w="5049" w:type="dxa"/>
            <w:shd w:val="clear" w:color="auto" w:fill="auto"/>
            <w:tcMar>
              <w:top w:w="15" w:type="dxa"/>
              <w:left w:w="108" w:type="dxa"/>
              <w:bottom w:w="0" w:type="dxa"/>
              <w:right w:w="108" w:type="dxa"/>
            </w:tcMar>
            <w:hideMark/>
          </w:tcPr>
          <w:p w14:paraId="2AF49930" w14:textId="2ECC25D5"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Cares for self; unable to carry on normal activity or to do active work</w:t>
            </w:r>
          </w:p>
        </w:tc>
      </w:tr>
      <w:tr w:rsidR="00DB73D6" w:rsidRPr="00B909F3" w14:paraId="2E61FEB6" w14:textId="77777777" w:rsidTr="00DB73D6">
        <w:trPr>
          <w:trHeight w:val="662"/>
        </w:trPr>
        <w:tc>
          <w:tcPr>
            <w:tcW w:w="3703" w:type="dxa"/>
            <w:vMerge/>
            <w:vAlign w:val="center"/>
            <w:hideMark/>
          </w:tcPr>
          <w:p w14:paraId="60EB967F" w14:textId="77777777" w:rsidR="00DB73D6" w:rsidRPr="00B909F3" w:rsidRDefault="00DB73D6" w:rsidP="00197EDE">
            <w:pPr>
              <w:spacing w:after="0" w:line="360" w:lineRule="auto"/>
              <w:ind w:right="-108"/>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48F9807F"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60</w:t>
            </w:r>
          </w:p>
        </w:tc>
        <w:tc>
          <w:tcPr>
            <w:tcW w:w="5049" w:type="dxa"/>
            <w:shd w:val="clear" w:color="auto" w:fill="auto"/>
            <w:tcMar>
              <w:top w:w="15" w:type="dxa"/>
              <w:left w:w="108" w:type="dxa"/>
              <w:bottom w:w="0" w:type="dxa"/>
              <w:right w:w="108" w:type="dxa"/>
            </w:tcMar>
            <w:hideMark/>
          </w:tcPr>
          <w:p w14:paraId="26C3535E" w14:textId="68D41672"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Requires occasional assistance, but is able to care for most of his personal needs</w:t>
            </w:r>
          </w:p>
        </w:tc>
      </w:tr>
      <w:tr w:rsidR="00DB73D6" w:rsidRPr="00B909F3" w14:paraId="28385633" w14:textId="77777777" w:rsidTr="00DB73D6">
        <w:trPr>
          <w:trHeight w:val="506"/>
        </w:trPr>
        <w:tc>
          <w:tcPr>
            <w:tcW w:w="3703" w:type="dxa"/>
            <w:vMerge/>
            <w:vAlign w:val="center"/>
            <w:hideMark/>
          </w:tcPr>
          <w:p w14:paraId="0075637D" w14:textId="77777777" w:rsidR="00DB73D6" w:rsidRPr="00B909F3" w:rsidRDefault="00DB73D6" w:rsidP="00197EDE">
            <w:pPr>
              <w:spacing w:after="0" w:line="360" w:lineRule="auto"/>
              <w:ind w:right="-108"/>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32765DF2"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50</w:t>
            </w:r>
          </w:p>
        </w:tc>
        <w:tc>
          <w:tcPr>
            <w:tcW w:w="5049" w:type="dxa"/>
            <w:shd w:val="clear" w:color="auto" w:fill="auto"/>
            <w:tcMar>
              <w:top w:w="15" w:type="dxa"/>
              <w:left w:w="108" w:type="dxa"/>
              <w:bottom w:w="0" w:type="dxa"/>
              <w:right w:w="108" w:type="dxa"/>
            </w:tcMar>
            <w:hideMark/>
          </w:tcPr>
          <w:p w14:paraId="01FED4DA" w14:textId="37A31534"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Requires considerable assistance and frequent medical care</w:t>
            </w:r>
          </w:p>
        </w:tc>
      </w:tr>
      <w:tr w:rsidR="00DB73D6" w:rsidRPr="00B909F3" w14:paraId="5C642372" w14:textId="77777777" w:rsidTr="00DB73D6">
        <w:trPr>
          <w:trHeight w:val="308"/>
        </w:trPr>
        <w:tc>
          <w:tcPr>
            <w:tcW w:w="3703" w:type="dxa"/>
            <w:vMerge w:val="restart"/>
            <w:shd w:val="clear" w:color="auto" w:fill="auto"/>
            <w:tcMar>
              <w:top w:w="15" w:type="dxa"/>
              <w:left w:w="108" w:type="dxa"/>
              <w:bottom w:w="0" w:type="dxa"/>
              <w:right w:w="108" w:type="dxa"/>
            </w:tcMar>
            <w:vAlign w:val="center"/>
            <w:hideMark/>
          </w:tcPr>
          <w:p w14:paraId="3355585D" w14:textId="11A6480E" w:rsidR="00DB73D6" w:rsidRPr="00B909F3" w:rsidRDefault="00DB73D6" w:rsidP="00197EDE">
            <w:pPr>
              <w:spacing w:after="0" w:line="360" w:lineRule="auto"/>
              <w:ind w:right="-115"/>
              <w:contextualSpacing/>
              <w:jc w:val="both"/>
              <w:rPr>
                <w:rFonts w:ascii="Book Antiqua" w:hAnsi="Book Antiqua" w:cs="Arial"/>
                <w:bCs/>
                <w:szCs w:val="24"/>
              </w:rPr>
            </w:pPr>
            <w:r w:rsidRPr="00B909F3">
              <w:rPr>
                <w:rFonts w:ascii="Book Antiqua" w:hAnsi="Book Antiqua" w:cs="Arial"/>
                <w:bCs/>
                <w:szCs w:val="24"/>
              </w:rPr>
              <w:t>C</w:t>
            </w:r>
            <w:r w:rsidRPr="00B909F3">
              <w:rPr>
                <w:rFonts w:ascii="Book Antiqua" w:eastAsia="SimSun" w:hAnsi="Book Antiqua" w:cs="Arial"/>
                <w:bCs/>
                <w:szCs w:val="24"/>
                <w:lang w:eastAsia="zh-CN"/>
              </w:rPr>
              <w:t xml:space="preserve"> </w:t>
            </w:r>
            <w:r w:rsidRPr="00B909F3">
              <w:rPr>
                <w:rFonts w:ascii="Book Antiqua" w:hAnsi="Book Antiqua" w:cs="Arial"/>
                <w:bCs/>
                <w:szCs w:val="24"/>
              </w:rPr>
              <w:t>(“Severe”)</w:t>
            </w:r>
            <w:r w:rsidRPr="00B909F3">
              <w:rPr>
                <w:rFonts w:ascii="Book Antiqua" w:eastAsia="SimSun" w:hAnsi="Book Antiqua" w:cs="Arial"/>
                <w:bCs/>
                <w:szCs w:val="24"/>
                <w:lang w:eastAsia="zh-CN"/>
              </w:rPr>
              <w:t xml:space="preserve"> </w:t>
            </w:r>
            <w:r w:rsidRPr="00B909F3">
              <w:rPr>
                <w:rFonts w:ascii="Book Antiqua" w:hAnsi="Book Antiqua" w:cs="Arial"/>
                <w:bCs/>
                <w:szCs w:val="24"/>
              </w:rPr>
              <w:t xml:space="preserve">Unable to care for self; requires </w:t>
            </w:r>
            <w:r w:rsidRPr="00B909F3">
              <w:rPr>
                <w:rFonts w:ascii="Book Antiqua" w:hAnsi="Book Antiqua" w:cs="Arial"/>
                <w:bCs/>
                <w:noProof/>
                <w:szCs w:val="24"/>
              </w:rPr>
              <w:t>equivalent</w:t>
            </w:r>
            <w:r w:rsidRPr="00B909F3">
              <w:rPr>
                <w:rFonts w:ascii="Book Antiqua" w:hAnsi="Book Antiqua" w:cs="Arial"/>
                <w:bCs/>
                <w:szCs w:val="24"/>
              </w:rPr>
              <w:t xml:space="preserve"> of institutional or hospital care; disease may be progressing rapidly</w:t>
            </w:r>
          </w:p>
        </w:tc>
        <w:tc>
          <w:tcPr>
            <w:tcW w:w="523" w:type="dxa"/>
            <w:shd w:val="clear" w:color="auto" w:fill="auto"/>
            <w:tcMar>
              <w:top w:w="15" w:type="dxa"/>
              <w:left w:w="108" w:type="dxa"/>
              <w:bottom w:w="0" w:type="dxa"/>
              <w:right w:w="108" w:type="dxa"/>
            </w:tcMar>
            <w:hideMark/>
          </w:tcPr>
          <w:p w14:paraId="6C2BA659"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40</w:t>
            </w:r>
          </w:p>
        </w:tc>
        <w:tc>
          <w:tcPr>
            <w:tcW w:w="5049" w:type="dxa"/>
            <w:shd w:val="clear" w:color="auto" w:fill="auto"/>
            <w:tcMar>
              <w:top w:w="15" w:type="dxa"/>
              <w:left w:w="108" w:type="dxa"/>
              <w:bottom w:w="0" w:type="dxa"/>
              <w:right w:w="108" w:type="dxa"/>
            </w:tcMar>
            <w:hideMark/>
          </w:tcPr>
          <w:p w14:paraId="619997DF" w14:textId="067134BA"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Disabled; requires special care and assistance</w:t>
            </w:r>
          </w:p>
        </w:tc>
      </w:tr>
      <w:tr w:rsidR="00DB73D6" w:rsidRPr="00B909F3" w14:paraId="6D4B6762" w14:textId="77777777" w:rsidTr="00DB73D6">
        <w:trPr>
          <w:trHeight w:val="637"/>
        </w:trPr>
        <w:tc>
          <w:tcPr>
            <w:tcW w:w="3703" w:type="dxa"/>
            <w:vMerge/>
            <w:vAlign w:val="center"/>
            <w:hideMark/>
          </w:tcPr>
          <w:p w14:paraId="08B0B9AA" w14:textId="77777777" w:rsidR="00DB73D6" w:rsidRPr="00B909F3" w:rsidRDefault="00DB73D6" w:rsidP="00197EDE">
            <w:pPr>
              <w:spacing w:after="0" w:line="360" w:lineRule="auto"/>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7ECF5BC9"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30</w:t>
            </w:r>
          </w:p>
        </w:tc>
        <w:tc>
          <w:tcPr>
            <w:tcW w:w="5049" w:type="dxa"/>
            <w:shd w:val="clear" w:color="auto" w:fill="auto"/>
            <w:tcMar>
              <w:top w:w="15" w:type="dxa"/>
              <w:left w:w="108" w:type="dxa"/>
              <w:bottom w:w="0" w:type="dxa"/>
              <w:right w:w="108" w:type="dxa"/>
            </w:tcMar>
            <w:hideMark/>
          </w:tcPr>
          <w:p w14:paraId="74013496" w14:textId="400065F6"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Severely disabled; hospital admission is indicated although death not imminent</w:t>
            </w:r>
          </w:p>
        </w:tc>
      </w:tr>
      <w:tr w:rsidR="00DB73D6" w:rsidRPr="00B909F3" w14:paraId="7FAA9860" w14:textId="77777777" w:rsidTr="00DB73D6">
        <w:trPr>
          <w:trHeight w:val="637"/>
        </w:trPr>
        <w:tc>
          <w:tcPr>
            <w:tcW w:w="3703" w:type="dxa"/>
            <w:vMerge/>
            <w:vAlign w:val="center"/>
            <w:hideMark/>
          </w:tcPr>
          <w:p w14:paraId="00CA156A" w14:textId="77777777" w:rsidR="00DB73D6" w:rsidRPr="00B909F3" w:rsidRDefault="00DB73D6" w:rsidP="00197EDE">
            <w:pPr>
              <w:spacing w:after="0" w:line="360" w:lineRule="auto"/>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63A42BE4"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20</w:t>
            </w:r>
          </w:p>
        </w:tc>
        <w:tc>
          <w:tcPr>
            <w:tcW w:w="5049" w:type="dxa"/>
            <w:shd w:val="clear" w:color="auto" w:fill="auto"/>
            <w:tcMar>
              <w:top w:w="15" w:type="dxa"/>
              <w:left w:w="108" w:type="dxa"/>
              <w:bottom w:w="0" w:type="dxa"/>
              <w:right w:w="108" w:type="dxa"/>
            </w:tcMar>
            <w:hideMark/>
          </w:tcPr>
          <w:p w14:paraId="2C34C65D" w14:textId="6A547684"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Very sick; hospital admission necessary; active supportive treatment necessary</w:t>
            </w:r>
          </w:p>
        </w:tc>
      </w:tr>
      <w:tr w:rsidR="00DB73D6" w:rsidRPr="00B909F3" w14:paraId="70DD3157" w14:textId="77777777" w:rsidTr="00DB73D6">
        <w:trPr>
          <w:trHeight w:val="386"/>
        </w:trPr>
        <w:tc>
          <w:tcPr>
            <w:tcW w:w="3703" w:type="dxa"/>
            <w:vMerge/>
            <w:vAlign w:val="center"/>
            <w:hideMark/>
          </w:tcPr>
          <w:p w14:paraId="4EA49CBA" w14:textId="77777777" w:rsidR="00DB73D6" w:rsidRPr="00B909F3" w:rsidRDefault="00DB73D6" w:rsidP="00197EDE">
            <w:pPr>
              <w:spacing w:after="0" w:line="360" w:lineRule="auto"/>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1C1D5D2B"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10</w:t>
            </w:r>
          </w:p>
        </w:tc>
        <w:tc>
          <w:tcPr>
            <w:tcW w:w="5049" w:type="dxa"/>
            <w:shd w:val="clear" w:color="auto" w:fill="auto"/>
            <w:tcMar>
              <w:top w:w="15" w:type="dxa"/>
              <w:left w:w="108" w:type="dxa"/>
              <w:bottom w:w="0" w:type="dxa"/>
              <w:right w:w="108" w:type="dxa"/>
            </w:tcMar>
            <w:hideMark/>
          </w:tcPr>
          <w:p w14:paraId="2D8C0D0B" w14:textId="45539239"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Moribund; fatal processes progressing rapidly</w:t>
            </w:r>
          </w:p>
        </w:tc>
      </w:tr>
      <w:tr w:rsidR="00DB73D6" w:rsidRPr="00B909F3" w14:paraId="2249622A" w14:textId="77777777" w:rsidTr="00DB73D6">
        <w:trPr>
          <w:trHeight w:val="307"/>
        </w:trPr>
        <w:tc>
          <w:tcPr>
            <w:tcW w:w="3703" w:type="dxa"/>
            <w:vMerge/>
            <w:vAlign w:val="center"/>
            <w:hideMark/>
          </w:tcPr>
          <w:p w14:paraId="70BAC858" w14:textId="77777777" w:rsidR="00DB73D6" w:rsidRPr="00B909F3" w:rsidRDefault="00DB73D6" w:rsidP="00197EDE">
            <w:pPr>
              <w:spacing w:after="0" w:line="360" w:lineRule="auto"/>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48A4CDFB" w14:textId="77777777" w:rsidR="00DB73D6" w:rsidRPr="00B909F3" w:rsidRDefault="00DB73D6" w:rsidP="00197EDE">
            <w:pPr>
              <w:spacing w:after="0" w:line="360" w:lineRule="auto"/>
              <w:ind w:left="-108" w:right="-108"/>
              <w:contextualSpacing/>
              <w:jc w:val="both"/>
              <w:rPr>
                <w:rFonts w:ascii="Book Antiqua" w:hAnsi="Book Antiqua" w:cs="Arial"/>
                <w:bCs/>
                <w:szCs w:val="24"/>
              </w:rPr>
            </w:pPr>
            <w:r w:rsidRPr="00B909F3">
              <w:rPr>
                <w:rFonts w:ascii="Book Antiqua" w:hAnsi="Book Antiqua" w:cs="Arial"/>
                <w:bCs/>
                <w:szCs w:val="24"/>
              </w:rPr>
              <w:t>0</w:t>
            </w:r>
          </w:p>
        </w:tc>
        <w:tc>
          <w:tcPr>
            <w:tcW w:w="5049" w:type="dxa"/>
            <w:shd w:val="clear" w:color="auto" w:fill="auto"/>
            <w:tcMar>
              <w:top w:w="15" w:type="dxa"/>
              <w:left w:w="108" w:type="dxa"/>
              <w:bottom w:w="0" w:type="dxa"/>
              <w:right w:w="108" w:type="dxa"/>
            </w:tcMar>
            <w:hideMark/>
          </w:tcPr>
          <w:p w14:paraId="757EF351" w14:textId="77777777" w:rsidR="00DB73D6" w:rsidRPr="00B909F3" w:rsidRDefault="00DB73D6" w:rsidP="00197EDE">
            <w:pPr>
              <w:spacing w:after="0" w:line="360" w:lineRule="auto"/>
              <w:ind w:right="72"/>
              <w:contextualSpacing/>
              <w:jc w:val="both"/>
              <w:rPr>
                <w:rFonts w:ascii="Book Antiqua" w:hAnsi="Book Antiqua" w:cs="Arial"/>
                <w:bCs/>
                <w:szCs w:val="24"/>
              </w:rPr>
            </w:pPr>
            <w:r w:rsidRPr="00B909F3">
              <w:rPr>
                <w:rFonts w:ascii="Book Antiqua" w:hAnsi="Book Antiqua" w:cs="Arial"/>
                <w:bCs/>
                <w:szCs w:val="24"/>
              </w:rPr>
              <w:t>Dead</w:t>
            </w:r>
          </w:p>
        </w:tc>
      </w:tr>
    </w:tbl>
    <w:p w14:paraId="7447A2EC" w14:textId="53B7D637" w:rsidR="00DB73D6" w:rsidRPr="00B909F3" w:rsidRDefault="00DB73D6" w:rsidP="00197EDE">
      <w:pPr>
        <w:spacing w:after="0" w:line="360" w:lineRule="auto"/>
        <w:jc w:val="both"/>
        <w:rPr>
          <w:rFonts w:ascii="Book Antiqua" w:hAnsi="Book Antiqua" w:cs="Arial"/>
          <w:szCs w:val="24"/>
        </w:rPr>
      </w:pPr>
      <w:proofErr w:type="spellStart"/>
      <w:r w:rsidRPr="00B909F3">
        <w:rPr>
          <w:rFonts w:ascii="Book Antiqua" w:hAnsi="Book Antiqua" w:cs="Arial"/>
          <w:szCs w:val="24"/>
          <w:vertAlign w:val="superscript"/>
        </w:rPr>
        <w:t>a</w:t>
      </w:r>
      <w:r w:rsidRPr="00B909F3">
        <w:rPr>
          <w:rFonts w:ascii="Book Antiqua" w:hAnsi="Book Antiqua" w:cs="Arial"/>
          <w:szCs w:val="24"/>
        </w:rPr>
        <w:t>Author</w:t>
      </w:r>
      <w:proofErr w:type="spellEnd"/>
      <w:r w:rsidRPr="00B909F3">
        <w:rPr>
          <w:rFonts w:ascii="Book Antiqua" w:hAnsi="Book Antiqua" w:cs="Arial"/>
          <w:szCs w:val="24"/>
        </w:rPr>
        <w:t>-assigned variable labels in parentheses</w:t>
      </w:r>
      <w:r w:rsidR="00A964E0" w:rsidRPr="00B909F3">
        <w:rPr>
          <w:rFonts w:ascii="Book Antiqua" w:hAnsi="Book Antiqua" w:cs="Arial"/>
          <w:szCs w:val="24"/>
        </w:rPr>
        <w:t>.</w:t>
      </w:r>
    </w:p>
    <w:p w14:paraId="7B422461" w14:textId="77777777" w:rsidR="00DB73D6" w:rsidRPr="00B909F3" w:rsidRDefault="00DB73D6" w:rsidP="00197EDE">
      <w:pPr>
        <w:spacing w:after="0" w:line="360" w:lineRule="auto"/>
        <w:jc w:val="both"/>
        <w:rPr>
          <w:rFonts w:ascii="Book Antiqua" w:hAnsi="Book Antiqua" w:cs="Arial"/>
          <w:b/>
          <w:szCs w:val="24"/>
        </w:rPr>
      </w:pPr>
      <w:r w:rsidRPr="00B909F3">
        <w:rPr>
          <w:rFonts w:ascii="Book Antiqua" w:hAnsi="Book Antiqua" w:cs="Arial"/>
          <w:b/>
          <w:szCs w:val="24"/>
        </w:rPr>
        <w:br w:type="page"/>
      </w:r>
    </w:p>
    <w:p w14:paraId="337A85C4" w14:textId="17594534" w:rsidR="00DB73D6" w:rsidRPr="00B909F3" w:rsidRDefault="00DB73D6" w:rsidP="00197EDE">
      <w:pPr>
        <w:spacing w:after="0" w:line="360" w:lineRule="auto"/>
        <w:contextualSpacing/>
        <w:jc w:val="both"/>
        <w:rPr>
          <w:rFonts w:ascii="Book Antiqua" w:hAnsi="Book Antiqua" w:cs="Arial"/>
          <w:b/>
          <w:szCs w:val="24"/>
        </w:rPr>
      </w:pPr>
      <w:r w:rsidRPr="00B909F3">
        <w:rPr>
          <w:rFonts w:ascii="Book Antiqua" w:hAnsi="Book Antiqua" w:cs="Arial"/>
          <w:b/>
          <w:szCs w:val="24"/>
        </w:rPr>
        <w:lastRenderedPageBreak/>
        <w:t xml:space="preserve">Table 2 Baseline </w:t>
      </w:r>
      <w:proofErr w:type="spellStart"/>
      <w:r w:rsidRPr="00B909F3">
        <w:rPr>
          <w:rFonts w:ascii="Book Antiqua" w:hAnsi="Book Antiqua" w:cs="Arial"/>
          <w:b/>
          <w:szCs w:val="24"/>
        </w:rPr>
        <w:t>characteristics</w:t>
      </w:r>
      <w:r w:rsidRPr="00B909F3">
        <w:rPr>
          <w:rFonts w:ascii="Book Antiqua" w:hAnsi="Book Antiqua" w:cs="Arial"/>
          <w:b/>
          <w:szCs w:val="24"/>
          <w:vertAlign w:val="superscript"/>
        </w:rPr>
        <w:t>a</w:t>
      </w:r>
      <w:proofErr w:type="spellEnd"/>
      <w:r w:rsidRPr="00B909F3">
        <w:rPr>
          <w:rFonts w:ascii="Book Antiqua" w:hAnsi="Book Antiqua" w:cs="Arial"/>
          <w:b/>
          <w:szCs w:val="24"/>
        </w:rPr>
        <w:t xml:space="preserve"> by pre-transplant functional status, Scientific Registry of Transplant Recipients 2005-2014 (</w:t>
      </w:r>
      <w:r w:rsidRPr="00B909F3">
        <w:rPr>
          <w:rFonts w:ascii="Book Antiqua" w:hAnsi="Book Antiqua" w:cs="Arial"/>
          <w:b/>
          <w:i/>
          <w:iCs/>
          <w:szCs w:val="24"/>
        </w:rPr>
        <w:t>n</w:t>
      </w:r>
      <w:r w:rsidRPr="00B909F3">
        <w:rPr>
          <w:rFonts w:ascii="Book Antiqua" w:hAnsi="Book Antiqua" w:cs="Arial"/>
          <w:b/>
          <w:szCs w:val="24"/>
        </w:rPr>
        <w:t xml:space="preserve"> = 38278)</w:t>
      </w:r>
    </w:p>
    <w:tbl>
      <w:tblPr>
        <w:tblW w:w="8860" w:type="dxa"/>
        <w:tblInd w:w="108" w:type="dxa"/>
        <w:tblBorders>
          <w:top w:val="single" w:sz="4" w:space="0" w:color="auto"/>
          <w:bottom w:val="single" w:sz="4" w:space="0" w:color="auto"/>
        </w:tblBorders>
        <w:tblLayout w:type="fixed"/>
        <w:tblLook w:val="04A0" w:firstRow="1" w:lastRow="0" w:firstColumn="1" w:lastColumn="0" w:noHBand="0" w:noVBand="1"/>
      </w:tblPr>
      <w:tblGrid>
        <w:gridCol w:w="4033"/>
        <w:gridCol w:w="1676"/>
        <w:gridCol w:w="1676"/>
        <w:gridCol w:w="1475"/>
      </w:tblGrid>
      <w:tr w:rsidR="00B909F3" w:rsidRPr="00B909F3" w14:paraId="0EC900C7" w14:textId="77777777" w:rsidTr="00611455">
        <w:trPr>
          <w:trHeight w:val="290"/>
        </w:trPr>
        <w:tc>
          <w:tcPr>
            <w:tcW w:w="4033" w:type="dxa"/>
            <w:vMerge w:val="restart"/>
            <w:tcBorders>
              <w:top w:val="single" w:sz="4" w:space="0" w:color="auto"/>
            </w:tcBorders>
            <w:shd w:val="clear" w:color="auto" w:fill="auto"/>
            <w:hideMark/>
          </w:tcPr>
          <w:p w14:paraId="7E6A72A9" w14:textId="478F2FB2" w:rsidR="00A964E0" w:rsidRPr="00B909F3" w:rsidRDefault="00A964E0" w:rsidP="00197EDE">
            <w:pPr>
              <w:spacing w:after="0" w:line="360" w:lineRule="auto"/>
              <w:ind w:left="-93"/>
              <w:jc w:val="both"/>
              <w:rPr>
                <w:rFonts w:ascii="Book Antiqua" w:hAnsi="Book Antiqua" w:cs="Arial"/>
                <w:b/>
                <w:bCs/>
                <w:szCs w:val="24"/>
              </w:rPr>
            </w:pPr>
            <w:proofErr w:type="spellStart"/>
            <w:r w:rsidRPr="00B909F3">
              <w:rPr>
                <w:rFonts w:ascii="Book Antiqua" w:hAnsi="Book Antiqua" w:cs="Arial"/>
                <w:b/>
                <w:bCs/>
                <w:szCs w:val="24"/>
              </w:rPr>
              <w:t>Characteristic</w:t>
            </w:r>
            <w:r w:rsidRPr="00B909F3">
              <w:rPr>
                <w:rFonts w:ascii="Book Antiqua" w:hAnsi="Book Antiqua" w:cs="Arial"/>
                <w:b/>
                <w:bCs/>
                <w:szCs w:val="24"/>
                <w:vertAlign w:val="superscript"/>
              </w:rPr>
              <w:t>b</w:t>
            </w:r>
            <w:proofErr w:type="spellEnd"/>
          </w:p>
        </w:tc>
        <w:tc>
          <w:tcPr>
            <w:tcW w:w="4827" w:type="dxa"/>
            <w:gridSpan w:val="3"/>
            <w:tcBorders>
              <w:top w:val="single" w:sz="4" w:space="0" w:color="auto"/>
              <w:bottom w:val="single" w:sz="4" w:space="0" w:color="auto"/>
            </w:tcBorders>
            <w:shd w:val="clear" w:color="auto" w:fill="auto"/>
            <w:vAlign w:val="center"/>
            <w:hideMark/>
          </w:tcPr>
          <w:p w14:paraId="54BDC204" w14:textId="77777777" w:rsidR="00A964E0" w:rsidRPr="00B909F3" w:rsidRDefault="00A964E0" w:rsidP="00197EDE">
            <w:pPr>
              <w:spacing w:after="0" w:line="360" w:lineRule="auto"/>
              <w:jc w:val="both"/>
              <w:rPr>
                <w:rFonts w:ascii="Book Antiqua" w:hAnsi="Book Antiqua" w:cs="Arial"/>
                <w:b/>
                <w:bCs/>
                <w:szCs w:val="24"/>
              </w:rPr>
            </w:pPr>
            <w:r w:rsidRPr="00B909F3">
              <w:rPr>
                <w:rFonts w:ascii="Book Antiqua" w:hAnsi="Book Antiqua" w:cs="Arial"/>
                <w:b/>
                <w:bCs/>
                <w:szCs w:val="24"/>
              </w:rPr>
              <w:t>Functional impairment/disability</w:t>
            </w:r>
          </w:p>
        </w:tc>
      </w:tr>
      <w:tr w:rsidR="00B909F3" w:rsidRPr="00B909F3" w14:paraId="7778AB1C" w14:textId="77777777" w:rsidTr="00A964E0">
        <w:trPr>
          <w:trHeight w:val="885"/>
        </w:trPr>
        <w:tc>
          <w:tcPr>
            <w:tcW w:w="4033" w:type="dxa"/>
            <w:vMerge/>
            <w:tcBorders>
              <w:bottom w:val="single" w:sz="4" w:space="0" w:color="auto"/>
            </w:tcBorders>
            <w:shd w:val="clear" w:color="auto" w:fill="auto"/>
            <w:vAlign w:val="bottom"/>
            <w:hideMark/>
          </w:tcPr>
          <w:p w14:paraId="502F864B" w14:textId="065009A8" w:rsidR="00A964E0" w:rsidRPr="00B909F3" w:rsidRDefault="00A964E0" w:rsidP="00197EDE">
            <w:pPr>
              <w:spacing w:after="0" w:line="360" w:lineRule="auto"/>
              <w:ind w:left="-93"/>
              <w:jc w:val="both"/>
              <w:rPr>
                <w:rFonts w:ascii="Book Antiqua" w:hAnsi="Book Antiqua" w:cs="Arial"/>
                <w:b/>
                <w:bCs/>
                <w:szCs w:val="24"/>
              </w:rPr>
            </w:pPr>
          </w:p>
        </w:tc>
        <w:tc>
          <w:tcPr>
            <w:tcW w:w="1676" w:type="dxa"/>
            <w:tcBorders>
              <w:top w:val="single" w:sz="4" w:space="0" w:color="auto"/>
              <w:bottom w:val="single" w:sz="4" w:space="0" w:color="auto"/>
            </w:tcBorders>
            <w:shd w:val="clear" w:color="auto" w:fill="auto"/>
            <w:hideMark/>
          </w:tcPr>
          <w:p w14:paraId="4A3FC755" w14:textId="09D7F5F1" w:rsidR="00A964E0" w:rsidRPr="00B909F3" w:rsidRDefault="00A964E0" w:rsidP="00197EDE">
            <w:pPr>
              <w:spacing w:after="0" w:line="360" w:lineRule="auto"/>
              <w:jc w:val="both"/>
              <w:rPr>
                <w:rFonts w:ascii="Book Antiqua" w:hAnsi="Book Antiqua" w:cs="Arial"/>
                <w:b/>
                <w:bCs/>
                <w:szCs w:val="24"/>
              </w:rPr>
            </w:pPr>
            <w:r w:rsidRPr="00B909F3">
              <w:rPr>
                <w:rFonts w:ascii="Book Antiqua" w:hAnsi="Book Antiqua" w:cs="Arial"/>
                <w:b/>
                <w:bCs/>
                <w:szCs w:val="24"/>
              </w:rPr>
              <w:t>A: None</w:t>
            </w:r>
            <w:r w:rsidRPr="00B909F3">
              <w:rPr>
                <w:rFonts w:ascii="Book Antiqua" w:eastAsia="SimSun" w:hAnsi="Book Antiqua" w:cs="Arial"/>
                <w:b/>
                <w:bCs/>
                <w:szCs w:val="24"/>
                <w:lang w:eastAsia="zh-CN"/>
              </w:rPr>
              <w:t xml:space="preserve"> </w:t>
            </w:r>
            <w:r w:rsidRPr="00B909F3">
              <w:rPr>
                <w:rFonts w:ascii="Book Antiqua" w:hAnsi="Book Antiqua" w:cs="Arial"/>
                <w:b/>
                <w:bCs/>
                <w:szCs w:val="24"/>
              </w:rPr>
              <w:t>(</w:t>
            </w:r>
            <w:r w:rsidRPr="00B909F3">
              <w:rPr>
                <w:rFonts w:ascii="Book Antiqua" w:hAnsi="Book Antiqua" w:cs="Arial"/>
                <w:b/>
                <w:bCs/>
                <w:i/>
                <w:iCs/>
                <w:szCs w:val="24"/>
              </w:rPr>
              <w:t>n</w:t>
            </w:r>
            <w:r w:rsidRPr="00B909F3">
              <w:rPr>
                <w:rFonts w:ascii="Book Antiqua" w:hAnsi="Book Antiqua" w:cs="Arial"/>
                <w:b/>
                <w:bCs/>
                <w:szCs w:val="24"/>
              </w:rPr>
              <w:t xml:space="preserve"> = 11674)</w:t>
            </w:r>
          </w:p>
        </w:tc>
        <w:tc>
          <w:tcPr>
            <w:tcW w:w="1676" w:type="dxa"/>
            <w:tcBorders>
              <w:top w:val="single" w:sz="4" w:space="0" w:color="auto"/>
              <w:bottom w:val="single" w:sz="4" w:space="0" w:color="auto"/>
            </w:tcBorders>
            <w:shd w:val="clear" w:color="auto" w:fill="auto"/>
            <w:hideMark/>
          </w:tcPr>
          <w:p w14:paraId="0BCEEACA" w14:textId="2F239505" w:rsidR="00A964E0" w:rsidRPr="00B909F3" w:rsidRDefault="00A964E0" w:rsidP="00197EDE">
            <w:pPr>
              <w:spacing w:after="0" w:line="360" w:lineRule="auto"/>
              <w:jc w:val="both"/>
              <w:rPr>
                <w:rFonts w:ascii="Book Antiqua" w:hAnsi="Book Antiqua" w:cs="Arial"/>
                <w:b/>
                <w:bCs/>
                <w:szCs w:val="24"/>
              </w:rPr>
            </w:pPr>
            <w:r w:rsidRPr="00B909F3">
              <w:rPr>
                <w:rFonts w:ascii="Book Antiqua" w:hAnsi="Book Antiqua" w:cs="Arial"/>
                <w:b/>
                <w:bCs/>
                <w:szCs w:val="24"/>
              </w:rPr>
              <w:t>B: Moderate</w:t>
            </w:r>
            <w:r w:rsidRPr="00B909F3">
              <w:rPr>
                <w:rFonts w:ascii="Book Antiqua" w:eastAsia="SimSun" w:hAnsi="Book Antiqua" w:cs="Arial"/>
                <w:b/>
                <w:bCs/>
                <w:szCs w:val="24"/>
                <w:lang w:eastAsia="zh-CN"/>
              </w:rPr>
              <w:t xml:space="preserve"> </w:t>
            </w:r>
            <w:r w:rsidRPr="00B909F3">
              <w:rPr>
                <w:rFonts w:ascii="Book Antiqua" w:hAnsi="Book Antiqua" w:cs="Arial"/>
                <w:b/>
                <w:bCs/>
                <w:szCs w:val="24"/>
              </w:rPr>
              <w:t>(</w:t>
            </w:r>
            <w:r w:rsidRPr="00B909F3">
              <w:rPr>
                <w:rFonts w:ascii="Book Antiqua" w:hAnsi="Book Antiqua" w:cs="Arial"/>
                <w:b/>
                <w:bCs/>
                <w:i/>
                <w:iCs/>
                <w:szCs w:val="24"/>
              </w:rPr>
              <w:t>n</w:t>
            </w:r>
            <w:r w:rsidRPr="00B909F3">
              <w:rPr>
                <w:rFonts w:ascii="Book Antiqua" w:hAnsi="Book Antiqua" w:cs="Arial"/>
                <w:b/>
                <w:bCs/>
                <w:szCs w:val="24"/>
              </w:rPr>
              <w:t xml:space="preserve"> = 17530)</w:t>
            </w:r>
          </w:p>
        </w:tc>
        <w:tc>
          <w:tcPr>
            <w:tcW w:w="1475" w:type="dxa"/>
            <w:tcBorders>
              <w:top w:val="single" w:sz="4" w:space="0" w:color="auto"/>
              <w:bottom w:val="single" w:sz="4" w:space="0" w:color="auto"/>
            </w:tcBorders>
            <w:shd w:val="clear" w:color="auto" w:fill="auto"/>
            <w:hideMark/>
          </w:tcPr>
          <w:p w14:paraId="1C11F1DF" w14:textId="6492C9A9" w:rsidR="00A964E0" w:rsidRPr="00B909F3" w:rsidRDefault="00A964E0" w:rsidP="00197EDE">
            <w:pPr>
              <w:spacing w:after="0" w:line="360" w:lineRule="auto"/>
              <w:jc w:val="both"/>
              <w:rPr>
                <w:rFonts w:ascii="Book Antiqua" w:hAnsi="Book Antiqua" w:cs="Arial"/>
                <w:b/>
                <w:bCs/>
                <w:szCs w:val="24"/>
              </w:rPr>
            </w:pPr>
            <w:r w:rsidRPr="00B909F3">
              <w:rPr>
                <w:rFonts w:ascii="Book Antiqua" w:hAnsi="Book Antiqua" w:cs="Arial"/>
                <w:b/>
                <w:bCs/>
                <w:szCs w:val="24"/>
              </w:rPr>
              <w:t>C: Severe</w:t>
            </w:r>
            <w:r w:rsidRPr="00B909F3">
              <w:rPr>
                <w:rFonts w:ascii="Book Antiqua" w:eastAsia="SimSun" w:hAnsi="Book Antiqua" w:cs="Arial"/>
                <w:b/>
                <w:bCs/>
                <w:szCs w:val="24"/>
                <w:lang w:eastAsia="zh-CN"/>
              </w:rPr>
              <w:t xml:space="preserve"> </w:t>
            </w:r>
            <w:r w:rsidRPr="00B909F3">
              <w:rPr>
                <w:rFonts w:ascii="Book Antiqua" w:hAnsi="Book Antiqua" w:cs="Arial"/>
                <w:b/>
                <w:bCs/>
                <w:szCs w:val="24"/>
              </w:rPr>
              <w:t>(</w:t>
            </w:r>
            <w:r w:rsidRPr="00B909F3">
              <w:rPr>
                <w:rFonts w:ascii="Book Antiqua" w:hAnsi="Book Antiqua" w:cs="Arial"/>
                <w:b/>
                <w:bCs/>
                <w:i/>
                <w:iCs/>
                <w:szCs w:val="24"/>
              </w:rPr>
              <w:t>n</w:t>
            </w:r>
            <w:r w:rsidRPr="00B909F3">
              <w:rPr>
                <w:rFonts w:ascii="Book Antiqua" w:hAnsi="Book Antiqua" w:cs="Arial"/>
                <w:b/>
                <w:bCs/>
                <w:szCs w:val="24"/>
              </w:rPr>
              <w:t xml:space="preserve"> = 9074)</w:t>
            </w:r>
          </w:p>
        </w:tc>
      </w:tr>
      <w:tr w:rsidR="00B909F3" w:rsidRPr="00B909F3" w14:paraId="6630E9B1" w14:textId="77777777" w:rsidTr="00A964E0">
        <w:trPr>
          <w:trHeight w:val="272"/>
        </w:trPr>
        <w:tc>
          <w:tcPr>
            <w:tcW w:w="8860" w:type="dxa"/>
            <w:gridSpan w:val="4"/>
            <w:tcBorders>
              <w:top w:val="single" w:sz="4" w:space="0" w:color="auto"/>
            </w:tcBorders>
            <w:shd w:val="clear" w:color="auto" w:fill="auto"/>
          </w:tcPr>
          <w:p w14:paraId="14FDC310" w14:textId="23D3698B" w:rsidR="00DB73D6" w:rsidRPr="00B909F3" w:rsidRDefault="00DB73D6" w:rsidP="00197EDE">
            <w:pPr>
              <w:spacing w:after="0" w:line="360" w:lineRule="auto"/>
              <w:jc w:val="both"/>
              <w:rPr>
                <w:rFonts w:ascii="Book Antiqua" w:hAnsi="Book Antiqua" w:cs="Arial"/>
                <w:szCs w:val="24"/>
              </w:rPr>
            </w:pPr>
            <w:proofErr w:type="spellStart"/>
            <w:r w:rsidRPr="00B909F3">
              <w:rPr>
                <w:rFonts w:ascii="Book Antiqua" w:hAnsi="Book Antiqua" w:cs="Arial"/>
                <w:szCs w:val="24"/>
              </w:rPr>
              <w:t>Sociodemographics</w:t>
            </w:r>
            <w:proofErr w:type="spellEnd"/>
          </w:p>
        </w:tc>
      </w:tr>
      <w:tr w:rsidR="00DB73D6" w:rsidRPr="00B909F3" w14:paraId="108C2BA4" w14:textId="77777777" w:rsidTr="00DB73D6">
        <w:trPr>
          <w:trHeight w:val="272"/>
        </w:trPr>
        <w:tc>
          <w:tcPr>
            <w:tcW w:w="8860" w:type="dxa"/>
            <w:gridSpan w:val="4"/>
            <w:shd w:val="clear" w:color="auto" w:fill="auto"/>
            <w:hideMark/>
          </w:tcPr>
          <w:p w14:paraId="15EF1884" w14:textId="00D8A142" w:rsidR="00DB73D6" w:rsidRPr="00B909F3" w:rsidRDefault="00DB73D6" w:rsidP="00197EDE">
            <w:pPr>
              <w:spacing w:after="0" w:line="360" w:lineRule="auto"/>
              <w:ind w:firstLineChars="50" w:firstLine="120"/>
              <w:jc w:val="both"/>
              <w:rPr>
                <w:rFonts w:ascii="Book Antiqua" w:hAnsi="Book Antiqua" w:cs="Arial"/>
                <w:szCs w:val="24"/>
              </w:rPr>
            </w:pPr>
            <w:r w:rsidRPr="00B909F3">
              <w:rPr>
                <w:rFonts w:ascii="Book Antiqua" w:hAnsi="Book Antiqua" w:cs="Arial"/>
                <w:szCs w:val="24"/>
              </w:rPr>
              <w:t>Age in years</w:t>
            </w:r>
          </w:p>
        </w:tc>
      </w:tr>
      <w:tr w:rsidR="00DB73D6" w:rsidRPr="00B909F3" w14:paraId="0C6B9577" w14:textId="77777777" w:rsidTr="00DB73D6">
        <w:trPr>
          <w:trHeight w:val="272"/>
        </w:trPr>
        <w:tc>
          <w:tcPr>
            <w:tcW w:w="4033" w:type="dxa"/>
            <w:shd w:val="clear" w:color="auto" w:fill="auto"/>
            <w:hideMark/>
          </w:tcPr>
          <w:p w14:paraId="6C72E215" w14:textId="5CC84E4B"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18-44</w:t>
            </w:r>
          </w:p>
        </w:tc>
        <w:tc>
          <w:tcPr>
            <w:tcW w:w="1676" w:type="dxa"/>
            <w:shd w:val="clear" w:color="auto" w:fill="auto"/>
            <w:noWrap/>
            <w:hideMark/>
          </w:tcPr>
          <w:p w14:paraId="0E581F9E"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11.6</w:t>
            </w:r>
          </w:p>
        </w:tc>
        <w:tc>
          <w:tcPr>
            <w:tcW w:w="1676" w:type="dxa"/>
            <w:shd w:val="clear" w:color="auto" w:fill="auto"/>
            <w:noWrap/>
            <w:hideMark/>
          </w:tcPr>
          <w:p w14:paraId="65C197BC"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10.3</w:t>
            </w:r>
          </w:p>
        </w:tc>
        <w:tc>
          <w:tcPr>
            <w:tcW w:w="1475" w:type="dxa"/>
            <w:shd w:val="clear" w:color="auto" w:fill="auto"/>
            <w:noWrap/>
            <w:hideMark/>
          </w:tcPr>
          <w:p w14:paraId="4EE6EEF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12.7</w:t>
            </w:r>
          </w:p>
        </w:tc>
      </w:tr>
      <w:tr w:rsidR="00DB73D6" w:rsidRPr="00B909F3" w14:paraId="4479513D" w14:textId="77777777" w:rsidTr="00DB73D6">
        <w:trPr>
          <w:trHeight w:val="272"/>
        </w:trPr>
        <w:tc>
          <w:tcPr>
            <w:tcW w:w="4033" w:type="dxa"/>
            <w:shd w:val="clear" w:color="auto" w:fill="auto"/>
            <w:hideMark/>
          </w:tcPr>
          <w:p w14:paraId="1651AE21" w14:textId="72AE3B51"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45-54</w:t>
            </w:r>
          </w:p>
        </w:tc>
        <w:tc>
          <w:tcPr>
            <w:tcW w:w="1676" w:type="dxa"/>
            <w:shd w:val="clear" w:color="auto" w:fill="auto"/>
            <w:noWrap/>
            <w:hideMark/>
          </w:tcPr>
          <w:p w14:paraId="5691EECB"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28.9</w:t>
            </w:r>
          </w:p>
        </w:tc>
        <w:tc>
          <w:tcPr>
            <w:tcW w:w="1676" w:type="dxa"/>
            <w:shd w:val="clear" w:color="auto" w:fill="auto"/>
            <w:noWrap/>
            <w:hideMark/>
          </w:tcPr>
          <w:p w14:paraId="3782D48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30.2</w:t>
            </w:r>
          </w:p>
        </w:tc>
        <w:tc>
          <w:tcPr>
            <w:tcW w:w="1475" w:type="dxa"/>
            <w:shd w:val="clear" w:color="auto" w:fill="auto"/>
            <w:noWrap/>
            <w:hideMark/>
          </w:tcPr>
          <w:p w14:paraId="3120701A"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32.1</w:t>
            </w:r>
          </w:p>
        </w:tc>
      </w:tr>
      <w:tr w:rsidR="00DB73D6" w:rsidRPr="00B909F3" w14:paraId="33F3A9FA" w14:textId="77777777" w:rsidTr="00DB73D6">
        <w:trPr>
          <w:trHeight w:val="272"/>
        </w:trPr>
        <w:tc>
          <w:tcPr>
            <w:tcW w:w="4033" w:type="dxa"/>
            <w:shd w:val="clear" w:color="auto" w:fill="auto"/>
            <w:hideMark/>
          </w:tcPr>
          <w:p w14:paraId="7D2E690C" w14:textId="5EFF45CE"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55-64</w:t>
            </w:r>
          </w:p>
        </w:tc>
        <w:tc>
          <w:tcPr>
            <w:tcW w:w="1676" w:type="dxa"/>
            <w:shd w:val="clear" w:color="auto" w:fill="auto"/>
            <w:noWrap/>
            <w:hideMark/>
          </w:tcPr>
          <w:p w14:paraId="7880F40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44.9</w:t>
            </w:r>
          </w:p>
        </w:tc>
        <w:tc>
          <w:tcPr>
            <w:tcW w:w="1676" w:type="dxa"/>
            <w:shd w:val="clear" w:color="auto" w:fill="auto"/>
            <w:noWrap/>
            <w:hideMark/>
          </w:tcPr>
          <w:p w14:paraId="061ECEB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45.3</w:t>
            </w:r>
          </w:p>
        </w:tc>
        <w:tc>
          <w:tcPr>
            <w:tcW w:w="1475" w:type="dxa"/>
            <w:shd w:val="clear" w:color="auto" w:fill="auto"/>
            <w:noWrap/>
            <w:hideMark/>
          </w:tcPr>
          <w:p w14:paraId="66ED2D67"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43.2</w:t>
            </w:r>
          </w:p>
        </w:tc>
      </w:tr>
      <w:tr w:rsidR="00DB73D6" w:rsidRPr="00B909F3" w14:paraId="0D128F79" w14:textId="77777777" w:rsidTr="00DB73D6">
        <w:trPr>
          <w:trHeight w:val="272"/>
        </w:trPr>
        <w:tc>
          <w:tcPr>
            <w:tcW w:w="4033" w:type="dxa"/>
            <w:shd w:val="clear" w:color="auto" w:fill="auto"/>
            <w:hideMark/>
          </w:tcPr>
          <w:p w14:paraId="25CCA254"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 65</w:t>
            </w:r>
          </w:p>
        </w:tc>
        <w:tc>
          <w:tcPr>
            <w:tcW w:w="1676" w:type="dxa"/>
            <w:shd w:val="clear" w:color="auto" w:fill="auto"/>
            <w:noWrap/>
            <w:hideMark/>
          </w:tcPr>
          <w:p w14:paraId="367C476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14.5</w:t>
            </w:r>
          </w:p>
        </w:tc>
        <w:tc>
          <w:tcPr>
            <w:tcW w:w="1676" w:type="dxa"/>
            <w:shd w:val="clear" w:color="auto" w:fill="auto"/>
            <w:noWrap/>
            <w:hideMark/>
          </w:tcPr>
          <w:p w14:paraId="58CD3BC6"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14.3</w:t>
            </w:r>
          </w:p>
        </w:tc>
        <w:tc>
          <w:tcPr>
            <w:tcW w:w="1475" w:type="dxa"/>
            <w:shd w:val="clear" w:color="auto" w:fill="auto"/>
            <w:noWrap/>
            <w:hideMark/>
          </w:tcPr>
          <w:p w14:paraId="547AFB96"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12.0</w:t>
            </w:r>
          </w:p>
        </w:tc>
      </w:tr>
      <w:tr w:rsidR="00DB73D6" w:rsidRPr="00B909F3" w14:paraId="396E4D8A" w14:textId="77777777" w:rsidTr="00DB73D6">
        <w:trPr>
          <w:trHeight w:val="103"/>
        </w:trPr>
        <w:tc>
          <w:tcPr>
            <w:tcW w:w="4033" w:type="dxa"/>
            <w:shd w:val="clear" w:color="auto" w:fill="auto"/>
            <w:hideMark/>
          </w:tcPr>
          <w:p w14:paraId="1C16D09A" w14:textId="77777777" w:rsidR="00DB73D6" w:rsidRPr="00B909F3" w:rsidRDefault="00DB73D6" w:rsidP="00197EDE">
            <w:pPr>
              <w:spacing w:after="0" w:line="360" w:lineRule="auto"/>
              <w:ind w:firstLineChars="50" w:firstLine="120"/>
              <w:jc w:val="both"/>
              <w:rPr>
                <w:rFonts w:ascii="Book Antiqua" w:hAnsi="Book Antiqua" w:cs="Arial"/>
                <w:szCs w:val="24"/>
              </w:rPr>
            </w:pPr>
            <w:r w:rsidRPr="00B909F3">
              <w:rPr>
                <w:rFonts w:ascii="Book Antiqua" w:hAnsi="Book Antiqua" w:cs="Arial"/>
                <w:szCs w:val="24"/>
              </w:rPr>
              <w:t>Women</w:t>
            </w:r>
          </w:p>
        </w:tc>
        <w:tc>
          <w:tcPr>
            <w:tcW w:w="1676" w:type="dxa"/>
            <w:shd w:val="clear" w:color="auto" w:fill="auto"/>
            <w:noWrap/>
            <w:hideMark/>
          </w:tcPr>
          <w:p w14:paraId="324D6DE7"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26.8</w:t>
            </w:r>
          </w:p>
        </w:tc>
        <w:tc>
          <w:tcPr>
            <w:tcW w:w="1676" w:type="dxa"/>
            <w:shd w:val="clear" w:color="auto" w:fill="auto"/>
            <w:noWrap/>
            <w:hideMark/>
          </w:tcPr>
          <w:p w14:paraId="5F7DF51B"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32.1</w:t>
            </w:r>
          </w:p>
        </w:tc>
        <w:tc>
          <w:tcPr>
            <w:tcW w:w="1475" w:type="dxa"/>
            <w:shd w:val="clear" w:color="auto" w:fill="auto"/>
            <w:noWrap/>
            <w:hideMark/>
          </w:tcPr>
          <w:p w14:paraId="7E3103DE"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33.4</w:t>
            </w:r>
          </w:p>
        </w:tc>
      </w:tr>
      <w:tr w:rsidR="00DB73D6" w:rsidRPr="00B909F3" w14:paraId="57DB2AB2" w14:textId="77777777" w:rsidTr="00DB73D6">
        <w:trPr>
          <w:trHeight w:val="272"/>
        </w:trPr>
        <w:tc>
          <w:tcPr>
            <w:tcW w:w="8860" w:type="dxa"/>
            <w:gridSpan w:val="4"/>
            <w:shd w:val="clear" w:color="auto" w:fill="auto"/>
            <w:hideMark/>
          </w:tcPr>
          <w:p w14:paraId="50A15232" w14:textId="4797F308" w:rsidR="00DB73D6" w:rsidRPr="00B909F3" w:rsidRDefault="00DB73D6" w:rsidP="00197EDE">
            <w:pPr>
              <w:spacing w:after="0" w:line="360" w:lineRule="auto"/>
              <w:ind w:firstLineChars="50" w:firstLine="120"/>
              <w:jc w:val="both"/>
              <w:rPr>
                <w:rFonts w:ascii="Book Antiqua" w:hAnsi="Book Antiqua" w:cs="Arial"/>
                <w:szCs w:val="24"/>
              </w:rPr>
            </w:pPr>
            <w:r w:rsidRPr="00B909F3">
              <w:rPr>
                <w:rFonts w:ascii="Book Antiqua" w:hAnsi="Book Antiqua" w:cs="Arial"/>
                <w:szCs w:val="24"/>
              </w:rPr>
              <w:t>Race/ethnicity</w:t>
            </w:r>
          </w:p>
        </w:tc>
      </w:tr>
      <w:tr w:rsidR="00DB73D6" w:rsidRPr="00B909F3" w14:paraId="4C377D14" w14:textId="77777777" w:rsidTr="00DB73D6">
        <w:trPr>
          <w:trHeight w:val="272"/>
        </w:trPr>
        <w:tc>
          <w:tcPr>
            <w:tcW w:w="4033" w:type="dxa"/>
            <w:shd w:val="clear" w:color="auto" w:fill="auto"/>
            <w:hideMark/>
          </w:tcPr>
          <w:p w14:paraId="0E01C309"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White</w:t>
            </w:r>
          </w:p>
        </w:tc>
        <w:tc>
          <w:tcPr>
            <w:tcW w:w="1676" w:type="dxa"/>
            <w:shd w:val="clear" w:color="auto" w:fill="auto"/>
            <w:hideMark/>
          </w:tcPr>
          <w:p w14:paraId="74A3F7F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73.1</w:t>
            </w:r>
          </w:p>
        </w:tc>
        <w:tc>
          <w:tcPr>
            <w:tcW w:w="1676" w:type="dxa"/>
            <w:shd w:val="clear" w:color="auto" w:fill="auto"/>
            <w:hideMark/>
          </w:tcPr>
          <w:p w14:paraId="516D0524"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74.3</w:t>
            </w:r>
          </w:p>
        </w:tc>
        <w:tc>
          <w:tcPr>
            <w:tcW w:w="1475" w:type="dxa"/>
            <w:shd w:val="clear" w:color="auto" w:fill="auto"/>
            <w:hideMark/>
          </w:tcPr>
          <w:p w14:paraId="5E6B0F51"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70.4</w:t>
            </w:r>
          </w:p>
        </w:tc>
      </w:tr>
      <w:tr w:rsidR="00DB73D6" w:rsidRPr="00B909F3" w14:paraId="11A784F6" w14:textId="77777777" w:rsidTr="00DB73D6">
        <w:trPr>
          <w:trHeight w:val="272"/>
        </w:trPr>
        <w:tc>
          <w:tcPr>
            <w:tcW w:w="4033" w:type="dxa"/>
            <w:shd w:val="clear" w:color="auto" w:fill="auto"/>
            <w:hideMark/>
          </w:tcPr>
          <w:p w14:paraId="07C63C44"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Hispanic/Latino</w:t>
            </w:r>
          </w:p>
        </w:tc>
        <w:tc>
          <w:tcPr>
            <w:tcW w:w="1676" w:type="dxa"/>
            <w:shd w:val="clear" w:color="auto" w:fill="auto"/>
            <w:hideMark/>
          </w:tcPr>
          <w:p w14:paraId="5B02A191"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10.6</w:t>
            </w:r>
          </w:p>
        </w:tc>
        <w:tc>
          <w:tcPr>
            <w:tcW w:w="1676" w:type="dxa"/>
            <w:shd w:val="clear" w:color="auto" w:fill="auto"/>
            <w:hideMark/>
          </w:tcPr>
          <w:p w14:paraId="0EFD1F9B"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12.5</w:t>
            </w:r>
          </w:p>
        </w:tc>
        <w:tc>
          <w:tcPr>
            <w:tcW w:w="1475" w:type="dxa"/>
            <w:shd w:val="clear" w:color="auto" w:fill="auto"/>
            <w:hideMark/>
          </w:tcPr>
          <w:p w14:paraId="1FB22E50"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15.9</w:t>
            </w:r>
          </w:p>
        </w:tc>
      </w:tr>
      <w:tr w:rsidR="00DB73D6" w:rsidRPr="00B909F3" w14:paraId="329D56C7" w14:textId="77777777" w:rsidTr="00DB73D6">
        <w:trPr>
          <w:trHeight w:val="272"/>
        </w:trPr>
        <w:tc>
          <w:tcPr>
            <w:tcW w:w="4033" w:type="dxa"/>
            <w:shd w:val="clear" w:color="auto" w:fill="auto"/>
            <w:hideMark/>
          </w:tcPr>
          <w:p w14:paraId="62A4994C"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Black</w:t>
            </w:r>
          </w:p>
        </w:tc>
        <w:tc>
          <w:tcPr>
            <w:tcW w:w="1676" w:type="dxa"/>
            <w:shd w:val="clear" w:color="auto" w:fill="auto"/>
            <w:hideMark/>
          </w:tcPr>
          <w:p w14:paraId="5F99E0D5"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8.9</w:t>
            </w:r>
          </w:p>
        </w:tc>
        <w:tc>
          <w:tcPr>
            <w:tcW w:w="1676" w:type="dxa"/>
            <w:shd w:val="clear" w:color="auto" w:fill="auto"/>
            <w:hideMark/>
          </w:tcPr>
          <w:p w14:paraId="2D533E9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8.4</w:t>
            </w:r>
          </w:p>
        </w:tc>
        <w:tc>
          <w:tcPr>
            <w:tcW w:w="1475" w:type="dxa"/>
            <w:shd w:val="clear" w:color="auto" w:fill="auto"/>
            <w:hideMark/>
          </w:tcPr>
          <w:p w14:paraId="6D961B2C"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9.1</w:t>
            </w:r>
          </w:p>
        </w:tc>
      </w:tr>
      <w:tr w:rsidR="00DB73D6" w:rsidRPr="00B909F3" w14:paraId="34007FEF" w14:textId="77777777" w:rsidTr="00DB73D6">
        <w:trPr>
          <w:trHeight w:val="272"/>
        </w:trPr>
        <w:tc>
          <w:tcPr>
            <w:tcW w:w="8860" w:type="dxa"/>
            <w:gridSpan w:val="4"/>
            <w:shd w:val="clear" w:color="auto" w:fill="auto"/>
            <w:hideMark/>
          </w:tcPr>
          <w:p w14:paraId="19C19F14" w14:textId="586E75EF" w:rsidR="00DB73D6" w:rsidRPr="00B909F3" w:rsidRDefault="00DB73D6" w:rsidP="00197EDE">
            <w:pPr>
              <w:spacing w:after="0" w:line="360" w:lineRule="auto"/>
              <w:ind w:firstLineChars="50" w:firstLine="120"/>
              <w:jc w:val="both"/>
              <w:rPr>
                <w:rFonts w:ascii="Book Antiqua" w:hAnsi="Book Antiqua" w:cs="Arial"/>
                <w:szCs w:val="24"/>
              </w:rPr>
            </w:pPr>
            <w:r w:rsidRPr="00B909F3">
              <w:rPr>
                <w:rFonts w:ascii="Book Antiqua" w:hAnsi="Book Antiqua" w:cs="Arial"/>
                <w:szCs w:val="24"/>
              </w:rPr>
              <w:t>Health insurance</w:t>
            </w:r>
          </w:p>
        </w:tc>
      </w:tr>
      <w:tr w:rsidR="00DB73D6" w:rsidRPr="00B909F3" w14:paraId="13B8092F" w14:textId="77777777" w:rsidTr="00DB73D6">
        <w:trPr>
          <w:trHeight w:val="272"/>
        </w:trPr>
        <w:tc>
          <w:tcPr>
            <w:tcW w:w="4033" w:type="dxa"/>
            <w:shd w:val="clear" w:color="auto" w:fill="auto"/>
            <w:hideMark/>
          </w:tcPr>
          <w:p w14:paraId="1238BA1C"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Private</w:t>
            </w:r>
          </w:p>
        </w:tc>
        <w:tc>
          <w:tcPr>
            <w:tcW w:w="1676" w:type="dxa"/>
            <w:shd w:val="clear" w:color="auto" w:fill="auto"/>
            <w:hideMark/>
          </w:tcPr>
          <w:p w14:paraId="25488630"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68.1</w:t>
            </w:r>
          </w:p>
        </w:tc>
        <w:tc>
          <w:tcPr>
            <w:tcW w:w="1676" w:type="dxa"/>
            <w:shd w:val="clear" w:color="auto" w:fill="auto"/>
            <w:hideMark/>
          </w:tcPr>
          <w:p w14:paraId="6A5093E3"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55.3</w:t>
            </w:r>
          </w:p>
        </w:tc>
        <w:tc>
          <w:tcPr>
            <w:tcW w:w="1475" w:type="dxa"/>
            <w:shd w:val="clear" w:color="auto" w:fill="auto"/>
            <w:hideMark/>
          </w:tcPr>
          <w:p w14:paraId="30464B00"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54.2</w:t>
            </w:r>
          </w:p>
        </w:tc>
      </w:tr>
      <w:tr w:rsidR="00DB73D6" w:rsidRPr="00B909F3" w14:paraId="2EB11879" w14:textId="77777777" w:rsidTr="00DB73D6">
        <w:trPr>
          <w:trHeight w:val="272"/>
        </w:trPr>
        <w:tc>
          <w:tcPr>
            <w:tcW w:w="4033" w:type="dxa"/>
            <w:shd w:val="clear" w:color="auto" w:fill="auto"/>
            <w:hideMark/>
          </w:tcPr>
          <w:p w14:paraId="1644FCCF"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Medicare</w:t>
            </w:r>
          </w:p>
        </w:tc>
        <w:tc>
          <w:tcPr>
            <w:tcW w:w="1676" w:type="dxa"/>
            <w:shd w:val="clear" w:color="auto" w:fill="auto"/>
            <w:hideMark/>
          </w:tcPr>
          <w:p w14:paraId="6FA3558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18.5</w:t>
            </w:r>
          </w:p>
        </w:tc>
        <w:tc>
          <w:tcPr>
            <w:tcW w:w="1676" w:type="dxa"/>
            <w:shd w:val="clear" w:color="auto" w:fill="auto"/>
            <w:hideMark/>
          </w:tcPr>
          <w:p w14:paraId="6815356B"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26.5</w:t>
            </w:r>
          </w:p>
        </w:tc>
        <w:tc>
          <w:tcPr>
            <w:tcW w:w="1475" w:type="dxa"/>
            <w:shd w:val="clear" w:color="auto" w:fill="auto"/>
            <w:hideMark/>
          </w:tcPr>
          <w:p w14:paraId="10AF432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24.6</w:t>
            </w:r>
          </w:p>
        </w:tc>
      </w:tr>
      <w:tr w:rsidR="00DB73D6" w:rsidRPr="00B909F3" w14:paraId="1D8AA60B" w14:textId="77777777" w:rsidTr="00DB73D6">
        <w:trPr>
          <w:trHeight w:val="272"/>
        </w:trPr>
        <w:tc>
          <w:tcPr>
            <w:tcW w:w="4033" w:type="dxa"/>
            <w:shd w:val="clear" w:color="auto" w:fill="auto"/>
            <w:hideMark/>
          </w:tcPr>
          <w:p w14:paraId="5B04AED9"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Medicaid</w:t>
            </w:r>
          </w:p>
        </w:tc>
        <w:tc>
          <w:tcPr>
            <w:tcW w:w="1676" w:type="dxa"/>
            <w:shd w:val="clear" w:color="auto" w:fill="auto"/>
            <w:hideMark/>
          </w:tcPr>
          <w:p w14:paraId="5DB4B351"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8.8</w:t>
            </w:r>
          </w:p>
        </w:tc>
        <w:tc>
          <w:tcPr>
            <w:tcW w:w="1676" w:type="dxa"/>
            <w:shd w:val="clear" w:color="auto" w:fill="auto"/>
            <w:hideMark/>
          </w:tcPr>
          <w:p w14:paraId="78500742"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14.0</w:t>
            </w:r>
          </w:p>
        </w:tc>
        <w:tc>
          <w:tcPr>
            <w:tcW w:w="1475" w:type="dxa"/>
            <w:shd w:val="clear" w:color="auto" w:fill="auto"/>
            <w:hideMark/>
          </w:tcPr>
          <w:p w14:paraId="31337134"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17.0</w:t>
            </w:r>
          </w:p>
        </w:tc>
      </w:tr>
      <w:tr w:rsidR="00DB73D6" w:rsidRPr="00B909F3" w14:paraId="295A577C" w14:textId="77777777" w:rsidTr="00DB73D6">
        <w:trPr>
          <w:trHeight w:val="272"/>
        </w:trPr>
        <w:tc>
          <w:tcPr>
            <w:tcW w:w="8860" w:type="dxa"/>
            <w:gridSpan w:val="4"/>
            <w:shd w:val="clear" w:color="auto" w:fill="auto"/>
            <w:vAlign w:val="bottom"/>
            <w:hideMark/>
          </w:tcPr>
          <w:p w14:paraId="1EF147C0" w14:textId="02CF0002"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Medical/Surgical History</w:t>
            </w:r>
          </w:p>
        </w:tc>
      </w:tr>
      <w:tr w:rsidR="00DB73D6" w:rsidRPr="00B909F3" w14:paraId="381CE1A8" w14:textId="77777777" w:rsidTr="00DB73D6">
        <w:trPr>
          <w:trHeight w:val="272"/>
        </w:trPr>
        <w:tc>
          <w:tcPr>
            <w:tcW w:w="8860" w:type="dxa"/>
            <w:gridSpan w:val="4"/>
            <w:shd w:val="clear" w:color="auto" w:fill="auto"/>
            <w:vAlign w:val="bottom"/>
            <w:hideMark/>
          </w:tcPr>
          <w:p w14:paraId="70318DE1" w14:textId="6AFA3F29" w:rsidR="00DB73D6" w:rsidRPr="00B909F3" w:rsidRDefault="00DB73D6" w:rsidP="00197EDE">
            <w:pPr>
              <w:spacing w:after="0" w:line="360" w:lineRule="auto"/>
              <w:ind w:firstLineChars="50" w:firstLine="120"/>
              <w:jc w:val="both"/>
              <w:rPr>
                <w:rFonts w:ascii="Book Antiqua" w:hAnsi="Book Antiqua" w:cs="Arial"/>
                <w:szCs w:val="24"/>
              </w:rPr>
            </w:pPr>
            <w:r w:rsidRPr="00B909F3">
              <w:rPr>
                <w:rFonts w:ascii="Book Antiqua" w:hAnsi="Book Antiqua" w:cs="Arial"/>
                <w:szCs w:val="24"/>
              </w:rPr>
              <w:t>Functional impairment at registration</w:t>
            </w:r>
          </w:p>
        </w:tc>
      </w:tr>
      <w:tr w:rsidR="00DB73D6" w:rsidRPr="00B909F3" w14:paraId="5B098692" w14:textId="77777777" w:rsidTr="00DB73D6">
        <w:trPr>
          <w:trHeight w:val="272"/>
        </w:trPr>
        <w:tc>
          <w:tcPr>
            <w:tcW w:w="4033" w:type="dxa"/>
            <w:shd w:val="clear" w:color="auto" w:fill="auto"/>
            <w:hideMark/>
          </w:tcPr>
          <w:p w14:paraId="4709B9AE" w14:textId="758FA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None</w:t>
            </w:r>
          </w:p>
        </w:tc>
        <w:tc>
          <w:tcPr>
            <w:tcW w:w="1676" w:type="dxa"/>
            <w:shd w:val="clear" w:color="auto" w:fill="auto"/>
            <w:vAlign w:val="center"/>
            <w:hideMark/>
          </w:tcPr>
          <w:p w14:paraId="5B252545"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74.6</w:t>
            </w:r>
          </w:p>
        </w:tc>
        <w:tc>
          <w:tcPr>
            <w:tcW w:w="1676" w:type="dxa"/>
            <w:shd w:val="clear" w:color="auto" w:fill="auto"/>
            <w:vAlign w:val="center"/>
            <w:hideMark/>
          </w:tcPr>
          <w:p w14:paraId="3B13B8D6"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33.4</w:t>
            </w:r>
          </w:p>
        </w:tc>
        <w:tc>
          <w:tcPr>
            <w:tcW w:w="1475" w:type="dxa"/>
            <w:shd w:val="clear" w:color="auto" w:fill="auto"/>
            <w:vAlign w:val="center"/>
            <w:hideMark/>
          </w:tcPr>
          <w:p w14:paraId="7EA6AB60"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22.4</w:t>
            </w:r>
          </w:p>
        </w:tc>
      </w:tr>
      <w:tr w:rsidR="00DB73D6" w:rsidRPr="00B909F3" w14:paraId="1CE09747" w14:textId="77777777" w:rsidTr="00DB73D6">
        <w:trPr>
          <w:trHeight w:val="272"/>
        </w:trPr>
        <w:tc>
          <w:tcPr>
            <w:tcW w:w="4033" w:type="dxa"/>
            <w:shd w:val="clear" w:color="auto" w:fill="auto"/>
            <w:hideMark/>
          </w:tcPr>
          <w:p w14:paraId="177C8341"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Moderate</w:t>
            </w:r>
          </w:p>
        </w:tc>
        <w:tc>
          <w:tcPr>
            <w:tcW w:w="1676" w:type="dxa"/>
            <w:shd w:val="clear" w:color="auto" w:fill="auto"/>
            <w:vAlign w:val="center"/>
            <w:hideMark/>
          </w:tcPr>
          <w:p w14:paraId="1EC423E4"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19.9</w:t>
            </w:r>
          </w:p>
        </w:tc>
        <w:tc>
          <w:tcPr>
            <w:tcW w:w="1676" w:type="dxa"/>
            <w:shd w:val="clear" w:color="auto" w:fill="auto"/>
            <w:vAlign w:val="center"/>
            <w:hideMark/>
          </w:tcPr>
          <w:p w14:paraId="65A19C0C"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57.0</w:t>
            </w:r>
          </w:p>
        </w:tc>
        <w:tc>
          <w:tcPr>
            <w:tcW w:w="1475" w:type="dxa"/>
            <w:shd w:val="clear" w:color="auto" w:fill="auto"/>
            <w:vAlign w:val="center"/>
            <w:hideMark/>
          </w:tcPr>
          <w:p w14:paraId="03EC575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35.4</w:t>
            </w:r>
          </w:p>
        </w:tc>
      </w:tr>
      <w:tr w:rsidR="00DB73D6" w:rsidRPr="00B909F3" w14:paraId="040DB3C7" w14:textId="77777777" w:rsidTr="00DB73D6">
        <w:trPr>
          <w:trHeight w:val="272"/>
        </w:trPr>
        <w:tc>
          <w:tcPr>
            <w:tcW w:w="4033" w:type="dxa"/>
            <w:shd w:val="clear" w:color="auto" w:fill="auto"/>
            <w:hideMark/>
          </w:tcPr>
          <w:p w14:paraId="6F18485F"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Severe</w:t>
            </w:r>
          </w:p>
        </w:tc>
        <w:tc>
          <w:tcPr>
            <w:tcW w:w="1676" w:type="dxa"/>
            <w:shd w:val="clear" w:color="auto" w:fill="auto"/>
            <w:vAlign w:val="center"/>
            <w:hideMark/>
          </w:tcPr>
          <w:p w14:paraId="119D4C97"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2.5</w:t>
            </w:r>
          </w:p>
        </w:tc>
        <w:tc>
          <w:tcPr>
            <w:tcW w:w="1676" w:type="dxa"/>
            <w:shd w:val="clear" w:color="auto" w:fill="auto"/>
            <w:vAlign w:val="center"/>
            <w:hideMark/>
          </w:tcPr>
          <w:p w14:paraId="5A8FFBDE"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6.6</w:t>
            </w:r>
          </w:p>
        </w:tc>
        <w:tc>
          <w:tcPr>
            <w:tcW w:w="1475" w:type="dxa"/>
            <w:shd w:val="clear" w:color="auto" w:fill="auto"/>
            <w:vAlign w:val="center"/>
            <w:hideMark/>
          </w:tcPr>
          <w:p w14:paraId="60BE6AA2"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37.0</w:t>
            </w:r>
          </w:p>
        </w:tc>
      </w:tr>
      <w:tr w:rsidR="00DB73D6" w:rsidRPr="00B909F3" w14:paraId="21D7258A" w14:textId="77777777" w:rsidTr="00DB73D6">
        <w:trPr>
          <w:trHeight w:val="272"/>
        </w:trPr>
        <w:tc>
          <w:tcPr>
            <w:tcW w:w="8860" w:type="dxa"/>
            <w:gridSpan w:val="4"/>
            <w:shd w:val="clear" w:color="auto" w:fill="auto"/>
            <w:vAlign w:val="center"/>
            <w:hideMark/>
          </w:tcPr>
          <w:p w14:paraId="19CB2856" w14:textId="3CBF8A36" w:rsidR="00DB73D6" w:rsidRPr="00B909F3" w:rsidRDefault="00DB73D6" w:rsidP="00197EDE">
            <w:pPr>
              <w:spacing w:after="0" w:line="360" w:lineRule="auto"/>
              <w:ind w:firstLineChars="50" w:firstLine="120"/>
              <w:jc w:val="both"/>
              <w:rPr>
                <w:rFonts w:ascii="Book Antiqua" w:hAnsi="Book Antiqua" w:cs="Arial"/>
                <w:szCs w:val="24"/>
              </w:rPr>
            </w:pPr>
            <w:r w:rsidRPr="00B909F3">
              <w:rPr>
                <w:rFonts w:ascii="Book Antiqua" w:hAnsi="Book Antiqua" w:cs="Arial"/>
                <w:szCs w:val="24"/>
              </w:rPr>
              <w:t>Primary cause of liver disease</w:t>
            </w:r>
          </w:p>
        </w:tc>
      </w:tr>
      <w:tr w:rsidR="00DB73D6" w:rsidRPr="00B909F3" w14:paraId="017F2DB6" w14:textId="77777777" w:rsidTr="00DB73D6">
        <w:trPr>
          <w:trHeight w:val="272"/>
        </w:trPr>
        <w:tc>
          <w:tcPr>
            <w:tcW w:w="4033" w:type="dxa"/>
            <w:shd w:val="clear" w:color="auto" w:fill="auto"/>
            <w:vAlign w:val="center"/>
            <w:hideMark/>
          </w:tcPr>
          <w:p w14:paraId="55C7DEBF"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Non-Cholestatic</w:t>
            </w:r>
          </w:p>
        </w:tc>
        <w:tc>
          <w:tcPr>
            <w:tcW w:w="1676" w:type="dxa"/>
            <w:shd w:val="clear" w:color="auto" w:fill="auto"/>
            <w:vAlign w:val="center"/>
            <w:hideMark/>
          </w:tcPr>
          <w:p w14:paraId="6FB92764"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56.2</w:t>
            </w:r>
          </w:p>
        </w:tc>
        <w:tc>
          <w:tcPr>
            <w:tcW w:w="1676" w:type="dxa"/>
            <w:shd w:val="clear" w:color="auto" w:fill="auto"/>
            <w:vAlign w:val="center"/>
            <w:hideMark/>
          </w:tcPr>
          <w:p w14:paraId="2D2917A6"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64.7</w:t>
            </w:r>
          </w:p>
        </w:tc>
        <w:tc>
          <w:tcPr>
            <w:tcW w:w="1475" w:type="dxa"/>
            <w:shd w:val="clear" w:color="auto" w:fill="auto"/>
            <w:vAlign w:val="center"/>
            <w:hideMark/>
          </w:tcPr>
          <w:p w14:paraId="1C7CF993"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75.8</w:t>
            </w:r>
          </w:p>
        </w:tc>
      </w:tr>
      <w:tr w:rsidR="00DB73D6" w:rsidRPr="00B909F3" w14:paraId="3ED56E33" w14:textId="77777777" w:rsidTr="00DB73D6">
        <w:trPr>
          <w:trHeight w:val="272"/>
        </w:trPr>
        <w:tc>
          <w:tcPr>
            <w:tcW w:w="4033" w:type="dxa"/>
            <w:shd w:val="clear" w:color="auto" w:fill="auto"/>
            <w:vAlign w:val="center"/>
            <w:hideMark/>
          </w:tcPr>
          <w:p w14:paraId="0709402A"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Cholestatic</w:t>
            </w:r>
          </w:p>
        </w:tc>
        <w:tc>
          <w:tcPr>
            <w:tcW w:w="1676" w:type="dxa"/>
            <w:shd w:val="clear" w:color="auto" w:fill="auto"/>
            <w:vAlign w:val="center"/>
            <w:hideMark/>
          </w:tcPr>
          <w:p w14:paraId="08EF42B6"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9.5</w:t>
            </w:r>
          </w:p>
        </w:tc>
        <w:tc>
          <w:tcPr>
            <w:tcW w:w="1676" w:type="dxa"/>
            <w:shd w:val="clear" w:color="auto" w:fill="auto"/>
            <w:vAlign w:val="center"/>
            <w:hideMark/>
          </w:tcPr>
          <w:p w14:paraId="5DDEE89D"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8.1</w:t>
            </w:r>
          </w:p>
        </w:tc>
        <w:tc>
          <w:tcPr>
            <w:tcW w:w="1475" w:type="dxa"/>
            <w:shd w:val="clear" w:color="auto" w:fill="auto"/>
            <w:vAlign w:val="center"/>
            <w:hideMark/>
          </w:tcPr>
          <w:p w14:paraId="4B8EC2D6"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7.8</w:t>
            </w:r>
          </w:p>
        </w:tc>
      </w:tr>
      <w:tr w:rsidR="00DB73D6" w:rsidRPr="00B909F3" w14:paraId="25BD5A22" w14:textId="77777777" w:rsidTr="00DB73D6">
        <w:trPr>
          <w:trHeight w:val="272"/>
        </w:trPr>
        <w:tc>
          <w:tcPr>
            <w:tcW w:w="4033" w:type="dxa"/>
            <w:shd w:val="clear" w:color="auto" w:fill="auto"/>
            <w:vAlign w:val="center"/>
            <w:hideMark/>
          </w:tcPr>
          <w:p w14:paraId="1CF167EE"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Malignancy</w:t>
            </w:r>
          </w:p>
        </w:tc>
        <w:tc>
          <w:tcPr>
            <w:tcW w:w="1676" w:type="dxa"/>
            <w:shd w:val="clear" w:color="auto" w:fill="auto"/>
            <w:vAlign w:val="center"/>
            <w:hideMark/>
          </w:tcPr>
          <w:p w14:paraId="742CE14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30.1</w:t>
            </w:r>
          </w:p>
        </w:tc>
        <w:tc>
          <w:tcPr>
            <w:tcW w:w="1676" w:type="dxa"/>
            <w:shd w:val="clear" w:color="auto" w:fill="auto"/>
            <w:vAlign w:val="center"/>
            <w:hideMark/>
          </w:tcPr>
          <w:p w14:paraId="78CBA6D3"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23.0</w:t>
            </w:r>
          </w:p>
        </w:tc>
        <w:tc>
          <w:tcPr>
            <w:tcW w:w="1475" w:type="dxa"/>
            <w:shd w:val="clear" w:color="auto" w:fill="auto"/>
            <w:vAlign w:val="center"/>
            <w:hideMark/>
          </w:tcPr>
          <w:p w14:paraId="37CBEFDA"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12.5</w:t>
            </w:r>
          </w:p>
        </w:tc>
      </w:tr>
      <w:tr w:rsidR="00DB73D6" w:rsidRPr="00B909F3" w14:paraId="52E0CC9B" w14:textId="77777777" w:rsidTr="00DB73D6">
        <w:trPr>
          <w:trHeight w:val="272"/>
        </w:trPr>
        <w:tc>
          <w:tcPr>
            <w:tcW w:w="4033" w:type="dxa"/>
            <w:shd w:val="clear" w:color="auto" w:fill="auto"/>
            <w:vAlign w:val="center"/>
            <w:hideMark/>
          </w:tcPr>
          <w:p w14:paraId="6C379F51" w14:textId="77777777" w:rsidR="00DB73D6" w:rsidRPr="00B909F3" w:rsidRDefault="00DB73D6" w:rsidP="00197EDE">
            <w:pPr>
              <w:spacing w:after="0" w:line="360" w:lineRule="auto"/>
              <w:ind w:firstLineChars="50" w:firstLine="120"/>
              <w:jc w:val="both"/>
              <w:rPr>
                <w:rFonts w:ascii="Book Antiqua" w:hAnsi="Book Antiqua" w:cs="Arial"/>
                <w:szCs w:val="24"/>
              </w:rPr>
            </w:pPr>
            <w:r w:rsidRPr="00B909F3">
              <w:rPr>
                <w:rFonts w:ascii="Book Antiqua" w:hAnsi="Book Antiqua" w:cs="Arial"/>
                <w:szCs w:val="24"/>
              </w:rPr>
              <w:lastRenderedPageBreak/>
              <w:t>Hepatitis C</w:t>
            </w:r>
          </w:p>
        </w:tc>
        <w:tc>
          <w:tcPr>
            <w:tcW w:w="1676" w:type="dxa"/>
            <w:shd w:val="clear" w:color="auto" w:fill="auto"/>
            <w:vAlign w:val="center"/>
            <w:hideMark/>
          </w:tcPr>
          <w:p w14:paraId="2CE7E5E1"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44.4</w:t>
            </w:r>
          </w:p>
        </w:tc>
        <w:tc>
          <w:tcPr>
            <w:tcW w:w="1676" w:type="dxa"/>
            <w:shd w:val="clear" w:color="auto" w:fill="auto"/>
            <w:vAlign w:val="center"/>
            <w:hideMark/>
          </w:tcPr>
          <w:p w14:paraId="576AC187"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45.5</w:t>
            </w:r>
          </w:p>
        </w:tc>
        <w:tc>
          <w:tcPr>
            <w:tcW w:w="1475" w:type="dxa"/>
            <w:shd w:val="clear" w:color="auto" w:fill="auto"/>
            <w:vAlign w:val="center"/>
            <w:hideMark/>
          </w:tcPr>
          <w:p w14:paraId="358F3B40"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42.1</w:t>
            </w:r>
          </w:p>
        </w:tc>
      </w:tr>
      <w:tr w:rsidR="00DB73D6" w:rsidRPr="00B909F3" w14:paraId="5AE25A9F" w14:textId="77777777" w:rsidTr="00DB73D6">
        <w:trPr>
          <w:trHeight w:val="272"/>
        </w:trPr>
        <w:tc>
          <w:tcPr>
            <w:tcW w:w="4033" w:type="dxa"/>
            <w:shd w:val="clear" w:color="auto" w:fill="auto"/>
            <w:vAlign w:val="center"/>
          </w:tcPr>
          <w:p w14:paraId="151645A8" w14:textId="77777777" w:rsidR="00DB73D6" w:rsidRPr="00B909F3" w:rsidRDefault="00DB73D6" w:rsidP="00197EDE">
            <w:pPr>
              <w:spacing w:after="0" w:line="360" w:lineRule="auto"/>
              <w:ind w:firstLineChars="50" w:firstLine="120"/>
              <w:jc w:val="both"/>
              <w:rPr>
                <w:rFonts w:ascii="Book Antiqua" w:hAnsi="Book Antiqua" w:cs="Arial"/>
                <w:szCs w:val="24"/>
              </w:rPr>
            </w:pPr>
            <w:proofErr w:type="spellStart"/>
            <w:r w:rsidRPr="00B909F3">
              <w:rPr>
                <w:rFonts w:ascii="Book Antiqua" w:hAnsi="Book Antiqua" w:cs="Arial"/>
                <w:szCs w:val="24"/>
              </w:rPr>
              <w:t>Diabetes</w:t>
            </w:r>
            <w:r w:rsidRPr="00B909F3">
              <w:rPr>
                <w:rFonts w:ascii="Book Antiqua" w:hAnsi="Book Antiqua" w:cs="Arial"/>
                <w:szCs w:val="24"/>
                <w:vertAlign w:val="superscript"/>
              </w:rPr>
              <w:t>c</w:t>
            </w:r>
            <w:proofErr w:type="spellEnd"/>
          </w:p>
        </w:tc>
        <w:tc>
          <w:tcPr>
            <w:tcW w:w="1676" w:type="dxa"/>
            <w:shd w:val="clear" w:color="auto" w:fill="auto"/>
            <w:vAlign w:val="center"/>
          </w:tcPr>
          <w:p w14:paraId="127AEE5D"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23.2</w:t>
            </w:r>
          </w:p>
        </w:tc>
        <w:tc>
          <w:tcPr>
            <w:tcW w:w="1676" w:type="dxa"/>
            <w:shd w:val="clear" w:color="auto" w:fill="auto"/>
            <w:vAlign w:val="center"/>
          </w:tcPr>
          <w:p w14:paraId="11171F55"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25.8</w:t>
            </w:r>
          </w:p>
        </w:tc>
        <w:tc>
          <w:tcPr>
            <w:tcW w:w="1475" w:type="dxa"/>
            <w:shd w:val="clear" w:color="auto" w:fill="auto"/>
            <w:vAlign w:val="center"/>
          </w:tcPr>
          <w:p w14:paraId="3F19C68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25.3</w:t>
            </w:r>
          </w:p>
        </w:tc>
      </w:tr>
      <w:tr w:rsidR="00DB73D6" w:rsidRPr="00B909F3" w14:paraId="7E16A3AB" w14:textId="77777777" w:rsidTr="00DB73D6">
        <w:trPr>
          <w:trHeight w:val="272"/>
        </w:trPr>
        <w:tc>
          <w:tcPr>
            <w:tcW w:w="4033" w:type="dxa"/>
            <w:shd w:val="clear" w:color="auto" w:fill="auto"/>
            <w:vAlign w:val="center"/>
            <w:hideMark/>
          </w:tcPr>
          <w:p w14:paraId="38BB7255" w14:textId="77777777" w:rsidR="00DB73D6" w:rsidRPr="00B909F3" w:rsidRDefault="00DB73D6" w:rsidP="00197EDE">
            <w:pPr>
              <w:spacing w:after="0" w:line="360" w:lineRule="auto"/>
              <w:ind w:firstLineChars="50" w:firstLine="120"/>
              <w:jc w:val="both"/>
              <w:rPr>
                <w:rFonts w:ascii="Book Antiqua" w:hAnsi="Book Antiqua" w:cs="Arial"/>
                <w:szCs w:val="24"/>
              </w:rPr>
            </w:pPr>
            <w:r w:rsidRPr="00B909F3">
              <w:rPr>
                <w:rFonts w:ascii="Book Antiqua" w:hAnsi="Book Antiqua" w:cs="Arial"/>
                <w:szCs w:val="24"/>
              </w:rPr>
              <w:t>Previous Abdominal Surgery</w:t>
            </w:r>
          </w:p>
        </w:tc>
        <w:tc>
          <w:tcPr>
            <w:tcW w:w="1676" w:type="dxa"/>
            <w:shd w:val="clear" w:color="auto" w:fill="auto"/>
            <w:vAlign w:val="center"/>
            <w:hideMark/>
          </w:tcPr>
          <w:p w14:paraId="0A1E084A"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46.2</w:t>
            </w:r>
          </w:p>
        </w:tc>
        <w:tc>
          <w:tcPr>
            <w:tcW w:w="1676" w:type="dxa"/>
            <w:shd w:val="clear" w:color="auto" w:fill="auto"/>
            <w:vAlign w:val="center"/>
            <w:hideMark/>
          </w:tcPr>
          <w:p w14:paraId="3D30B774"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51.6</w:t>
            </w:r>
          </w:p>
        </w:tc>
        <w:tc>
          <w:tcPr>
            <w:tcW w:w="1475" w:type="dxa"/>
            <w:shd w:val="clear" w:color="auto" w:fill="auto"/>
            <w:vAlign w:val="center"/>
            <w:hideMark/>
          </w:tcPr>
          <w:p w14:paraId="10FABC4E"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50.3</w:t>
            </w:r>
          </w:p>
        </w:tc>
      </w:tr>
    </w:tbl>
    <w:p w14:paraId="1ED19A8A" w14:textId="3E189A9D" w:rsidR="00DB73D6" w:rsidRPr="00B909F3" w:rsidRDefault="003E5A8C" w:rsidP="00197EDE">
      <w:pPr>
        <w:spacing w:after="0" w:line="360" w:lineRule="auto"/>
        <w:jc w:val="both"/>
        <w:rPr>
          <w:rFonts w:ascii="Book Antiqua" w:hAnsi="Book Antiqua" w:cs="Arial"/>
          <w:szCs w:val="24"/>
        </w:rPr>
      </w:pPr>
      <w:proofErr w:type="spellStart"/>
      <w:r w:rsidRPr="00B909F3">
        <w:rPr>
          <w:rFonts w:ascii="Book Antiqua" w:hAnsi="Book Antiqua" w:cs="Arial"/>
          <w:szCs w:val="24"/>
          <w:vertAlign w:val="superscript"/>
        </w:rPr>
        <w:t>a</w:t>
      </w:r>
      <w:r w:rsidRPr="00B909F3">
        <w:rPr>
          <w:rFonts w:ascii="Book Antiqua" w:hAnsi="Book Antiqua" w:cs="Arial"/>
          <w:szCs w:val="24"/>
        </w:rPr>
        <w:t>Characteristics</w:t>
      </w:r>
      <w:proofErr w:type="spellEnd"/>
      <w:r w:rsidRPr="00B909F3">
        <w:rPr>
          <w:rFonts w:ascii="Book Antiqua" w:hAnsi="Book Antiqua" w:cs="Arial"/>
          <w:szCs w:val="24"/>
        </w:rPr>
        <w:t xml:space="preserve"> </w:t>
      </w:r>
      <w:r w:rsidRPr="00B909F3">
        <w:rPr>
          <w:rFonts w:ascii="Book Antiqua" w:hAnsi="Book Antiqua" w:cs="Arial"/>
          <w:noProof/>
          <w:szCs w:val="24"/>
        </w:rPr>
        <w:t>known</w:t>
      </w:r>
      <w:r w:rsidRPr="00B909F3">
        <w:rPr>
          <w:rFonts w:ascii="Book Antiqua" w:hAnsi="Book Antiqua" w:cs="Arial"/>
          <w:szCs w:val="24"/>
        </w:rPr>
        <w:t xml:space="preserve"> at least 2 </w:t>
      </w:r>
      <w:proofErr w:type="spellStart"/>
      <w:r w:rsidRPr="00B909F3">
        <w:rPr>
          <w:rFonts w:ascii="Book Antiqua" w:hAnsi="Book Antiqua" w:cs="Arial"/>
          <w:szCs w:val="24"/>
        </w:rPr>
        <w:t>wk</w:t>
      </w:r>
      <w:proofErr w:type="spellEnd"/>
      <w:r w:rsidRPr="00B909F3">
        <w:rPr>
          <w:rFonts w:ascii="Book Antiqua" w:hAnsi="Book Antiqua" w:cs="Arial"/>
          <w:szCs w:val="24"/>
        </w:rPr>
        <w:t xml:space="preserve"> prior to transplant</w:t>
      </w:r>
      <w:r>
        <w:rPr>
          <w:rFonts w:ascii="Book Antiqua" w:hAnsi="Book Antiqua" w:cs="Arial"/>
          <w:szCs w:val="24"/>
        </w:rPr>
        <w:t>;</w:t>
      </w:r>
      <w:r w:rsidRPr="00B909F3">
        <w:rPr>
          <w:rFonts w:ascii="Book Antiqua" w:hAnsi="Book Antiqua" w:cs="Arial"/>
          <w:szCs w:val="24"/>
        </w:rPr>
        <w:t xml:space="preserve"> </w:t>
      </w:r>
      <w:proofErr w:type="spellStart"/>
      <w:r w:rsidRPr="00B909F3">
        <w:rPr>
          <w:rFonts w:ascii="Book Antiqua" w:hAnsi="Book Antiqua" w:cs="Arial"/>
          <w:szCs w:val="24"/>
          <w:vertAlign w:val="superscript"/>
        </w:rPr>
        <w:t>b</w:t>
      </w:r>
      <w:r w:rsidRPr="00B909F3">
        <w:rPr>
          <w:rFonts w:ascii="Book Antiqua" w:hAnsi="Book Antiqua" w:cs="Arial"/>
          <w:szCs w:val="24"/>
        </w:rPr>
        <w:t>Column</w:t>
      </w:r>
      <w:proofErr w:type="spellEnd"/>
      <w:r w:rsidRPr="00B909F3">
        <w:rPr>
          <w:rFonts w:ascii="Book Antiqua" w:hAnsi="Book Antiqua" w:cs="Arial"/>
          <w:szCs w:val="24"/>
        </w:rPr>
        <w:t xml:space="preserve"> percentage</w:t>
      </w:r>
      <w:r>
        <w:rPr>
          <w:rFonts w:ascii="Book Antiqua" w:hAnsi="Book Antiqua" w:cs="Arial"/>
          <w:szCs w:val="24"/>
        </w:rPr>
        <w:t>;</w:t>
      </w:r>
      <w:r w:rsidRPr="00B909F3">
        <w:rPr>
          <w:rFonts w:ascii="Book Antiqua" w:hAnsi="Book Antiqua" w:cs="Arial"/>
          <w:szCs w:val="24"/>
        </w:rPr>
        <w:t xml:space="preserve"> </w:t>
      </w:r>
      <w:proofErr w:type="spellStart"/>
      <w:r w:rsidRPr="00B909F3">
        <w:rPr>
          <w:rFonts w:ascii="Book Antiqua" w:hAnsi="Book Antiqua" w:cs="Arial"/>
          <w:szCs w:val="24"/>
          <w:vertAlign w:val="superscript"/>
        </w:rPr>
        <w:t>c</w:t>
      </w:r>
      <w:r w:rsidRPr="00B909F3">
        <w:rPr>
          <w:rFonts w:ascii="Book Antiqua" w:hAnsi="Book Antiqua" w:cs="Arial"/>
          <w:szCs w:val="24"/>
        </w:rPr>
        <w:t>Diabetes</w:t>
      </w:r>
      <w:proofErr w:type="spellEnd"/>
      <w:r w:rsidRPr="00B909F3">
        <w:rPr>
          <w:rFonts w:ascii="Book Antiqua" w:hAnsi="Book Antiqua" w:cs="Arial"/>
          <w:szCs w:val="24"/>
        </w:rPr>
        <w:t xml:space="preserve"> types 1, 2, or unspecified.</w:t>
      </w:r>
      <w:r>
        <w:rPr>
          <w:rFonts w:ascii="Book Antiqua" w:eastAsia="SimSun" w:hAnsi="Book Antiqua" w:cs="Arial" w:hint="eastAsia"/>
          <w:szCs w:val="24"/>
          <w:lang w:eastAsia="zh-CN"/>
        </w:rPr>
        <w:t xml:space="preserve"> </w:t>
      </w:r>
      <w:r w:rsidR="00DB73D6" w:rsidRPr="00B909F3">
        <w:rPr>
          <w:rFonts w:ascii="Book Antiqua" w:hAnsi="Book Antiqua" w:cs="Arial"/>
          <w:szCs w:val="24"/>
        </w:rPr>
        <w:t>All distributions varied significantly across categories of functional status (</w:t>
      </w:r>
      <w:r w:rsidR="00DB73D6" w:rsidRPr="00B909F3">
        <w:rPr>
          <w:rFonts w:ascii="Book Antiqua" w:hAnsi="Book Antiqua" w:cs="Arial"/>
          <w:i/>
          <w:iCs/>
          <w:szCs w:val="24"/>
        </w:rPr>
        <w:t>P</w:t>
      </w:r>
      <w:r w:rsidR="00DB73D6" w:rsidRPr="00B909F3">
        <w:rPr>
          <w:rFonts w:ascii="Book Antiqua" w:hAnsi="Book Antiqua" w:cs="Arial"/>
          <w:szCs w:val="24"/>
        </w:rPr>
        <w:t xml:space="preserve"> &lt; 0.001)</w:t>
      </w:r>
      <w:r w:rsidR="005402FD" w:rsidRPr="00B909F3">
        <w:rPr>
          <w:rFonts w:ascii="Book Antiqua" w:hAnsi="Book Antiqua" w:cs="Arial"/>
          <w:szCs w:val="24"/>
        </w:rPr>
        <w:t>.</w:t>
      </w:r>
    </w:p>
    <w:p w14:paraId="61D58427" w14:textId="77777777" w:rsidR="00DB73D6" w:rsidRPr="00B909F3" w:rsidRDefault="00DB73D6" w:rsidP="00197EDE">
      <w:pPr>
        <w:spacing w:after="0" w:line="360" w:lineRule="auto"/>
        <w:jc w:val="both"/>
        <w:rPr>
          <w:rFonts w:ascii="Book Antiqua" w:eastAsia="Arial Unicode MS" w:hAnsi="Book Antiqua" w:cs="Arial"/>
          <w:szCs w:val="24"/>
        </w:rPr>
      </w:pPr>
      <w:r w:rsidRPr="00B909F3">
        <w:rPr>
          <w:rFonts w:ascii="Book Antiqua" w:eastAsia="Arial Unicode MS" w:hAnsi="Book Antiqua" w:cs="Arial"/>
          <w:szCs w:val="24"/>
        </w:rPr>
        <w:br w:type="page"/>
      </w:r>
    </w:p>
    <w:p w14:paraId="573BB704" w14:textId="0B04BC1F" w:rsidR="00DB73D6" w:rsidRPr="00B909F3" w:rsidRDefault="00DB73D6" w:rsidP="00197EDE">
      <w:pPr>
        <w:spacing w:after="0" w:line="360" w:lineRule="auto"/>
        <w:contextualSpacing/>
        <w:jc w:val="both"/>
        <w:rPr>
          <w:rFonts w:ascii="Book Antiqua" w:hAnsi="Book Antiqua" w:cs="Arial"/>
          <w:b/>
          <w:szCs w:val="24"/>
        </w:rPr>
      </w:pPr>
      <w:r w:rsidRPr="00B909F3">
        <w:rPr>
          <w:rFonts w:ascii="Book Antiqua" w:hAnsi="Book Antiqua" w:cs="Arial"/>
          <w:b/>
          <w:szCs w:val="24"/>
        </w:rPr>
        <w:lastRenderedPageBreak/>
        <w:t>Table 3 Pre-transplant clinical characteristics by pre-transplant functional status, Scientific Registry of Transplant Recipients 2005-2014 (</w:t>
      </w:r>
      <w:r w:rsidRPr="00B909F3">
        <w:rPr>
          <w:rFonts w:ascii="Book Antiqua" w:hAnsi="Book Antiqua" w:cs="Arial"/>
          <w:b/>
          <w:i/>
          <w:iCs/>
          <w:szCs w:val="24"/>
        </w:rPr>
        <w:t>n</w:t>
      </w:r>
      <w:r w:rsidRPr="00B909F3">
        <w:rPr>
          <w:rFonts w:ascii="Book Antiqua" w:hAnsi="Book Antiqua" w:cs="Arial"/>
          <w:b/>
          <w:szCs w:val="24"/>
        </w:rPr>
        <w:t xml:space="preserve"> = 38278)</w:t>
      </w:r>
    </w:p>
    <w:tbl>
      <w:tblPr>
        <w:tblW w:w="8648" w:type="dxa"/>
        <w:tblInd w:w="108" w:type="dxa"/>
        <w:tblBorders>
          <w:top w:val="single" w:sz="4" w:space="0" w:color="auto"/>
          <w:bottom w:val="single" w:sz="4" w:space="0" w:color="auto"/>
        </w:tblBorders>
        <w:tblLayout w:type="fixed"/>
        <w:tblLook w:val="04A0" w:firstRow="1" w:lastRow="0" w:firstColumn="1" w:lastColumn="0" w:noHBand="0" w:noVBand="1"/>
      </w:tblPr>
      <w:tblGrid>
        <w:gridCol w:w="3477"/>
        <w:gridCol w:w="1750"/>
        <w:gridCol w:w="1750"/>
        <w:gridCol w:w="1671"/>
      </w:tblGrid>
      <w:tr w:rsidR="00B909F3" w:rsidRPr="00B909F3" w14:paraId="7C5A27AA" w14:textId="77777777" w:rsidTr="00611455">
        <w:trPr>
          <w:trHeight w:val="370"/>
        </w:trPr>
        <w:tc>
          <w:tcPr>
            <w:tcW w:w="3477" w:type="dxa"/>
            <w:vMerge w:val="restart"/>
            <w:tcBorders>
              <w:top w:val="single" w:sz="4" w:space="0" w:color="auto"/>
            </w:tcBorders>
            <w:shd w:val="clear" w:color="auto" w:fill="auto"/>
            <w:hideMark/>
          </w:tcPr>
          <w:p w14:paraId="28E8EF0B" w14:textId="03748A6D" w:rsidR="00A964E0" w:rsidRPr="00B909F3" w:rsidRDefault="00A964E0" w:rsidP="00197EDE">
            <w:pPr>
              <w:spacing w:after="0" w:line="360" w:lineRule="auto"/>
              <w:ind w:left="-93"/>
              <w:jc w:val="both"/>
              <w:rPr>
                <w:rFonts w:ascii="Book Antiqua" w:hAnsi="Book Antiqua" w:cs="Arial"/>
                <w:b/>
                <w:bCs/>
                <w:szCs w:val="24"/>
              </w:rPr>
            </w:pPr>
            <w:proofErr w:type="spellStart"/>
            <w:r w:rsidRPr="00B909F3">
              <w:rPr>
                <w:rFonts w:ascii="Book Antiqua" w:hAnsi="Book Antiqua" w:cs="Arial"/>
                <w:b/>
                <w:bCs/>
                <w:szCs w:val="24"/>
              </w:rPr>
              <w:t>Characteristic</w:t>
            </w:r>
            <w:r w:rsidRPr="00B909F3">
              <w:rPr>
                <w:rFonts w:ascii="Book Antiqua" w:hAnsi="Book Antiqua" w:cs="Arial"/>
                <w:b/>
                <w:bCs/>
                <w:szCs w:val="24"/>
                <w:vertAlign w:val="superscript"/>
              </w:rPr>
              <w:t>a</w:t>
            </w:r>
            <w:proofErr w:type="spellEnd"/>
          </w:p>
        </w:tc>
        <w:tc>
          <w:tcPr>
            <w:tcW w:w="5171" w:type="dxa"/>
            <w:gridSpan w:val="3"/>
            <w:tcBorders>
              <w:top w:val="single" w:sz="4" w:space="0" w:color="auto"/>
              <w:bottom w:val="single" w:sz="4" w:space="0" w:color="auto"/>
            </w:tcBorders>
            <w:shd w:val="clear" w:color="auto" w:fill="auto"/>
            <w:vAlign w:val="center"/>
            <w:hideMark/>
          </w:tcPr>
          <w:p w14:paraId="0B2743A1" w14:textId="77777777" w:rsidR="00A964E0" w:rsidRPr="00B909F3" w:rsidRDefault="00A964E0" w:rsidP="00197EDE">
            <w:pPr>
              <w:spacing w:after="0" w:line="360" w:lineRule="auto"/>
              <w:jc w:val="both"/>
              <w:rPr>
                <w:rFonts w:ascii="Book Antiqua" w:hAnsi="Book Antiqua" w:cs="Arial"/>
                <w:b/>
                <w:bCs/>
                <w:szCs w:val="24"/>
              </w:rPr>
            </w:pPr>
            <w:r w:rsidRPr="00B909F3">
              <w:rPr>
                <w:rFonts w:ascii="Book Antiqua" w:hAnsi="Book Antiqua" w:cs="Arial"/>
                <w:b/>
                <w:bCs/>
                <w:szCs w:val="24"/>
              </w:rPr>
              <w:t>Functional impairment/disability</w:t>
            </w:r>
          </w:p>
        </w:tc>
      </w:tr>
      <w:tr w:rsidR="00B909F3" w:rsidRPr="00B909F3" w14:paraId="344FFFF0" w14:textId="77777777" w:rsidTr="00A964E0">
        <w:trPr>
          <w:trHeight w:val="885"/>
        </w:trPr>
        <w:tc>
          <w:tcPr>
            <w:tcW w:w="3477" w:type="dxa"/>
            <w:vMerge/>
            <w:tcBorders>
              <w:bottom w:val="single" w:sz="4" w:space="0" w:color="auto"/>
            </w:tcBorders>
            <w:shd w:val="clear" w:color="auto" w:fill="auto"/>
            <w:vAlign w:val="bottom"/>
            <w:hideMark/>
          </w:tcPr>
          <w:p w14:paraId="29B09D18" w14:textId="3DEB359D" w:rsidR="00A964E0" w:rsidRPr="00B909F3" w:rsidRDefault="00A964E0" w:rsidP="00197EDE">
            <w:pPr>
              <w:spacing w:after="0" w:line="360" w:lineRule="auto"/>
              <w:ind w:left="-93"/>
              <w:jc w:val="both"/>
              <w:rPr>
                <w:rFonts w:ascii="Book Antiqua" w:hAnsi="Book Antiqua" w:cs="Arial"/>
                <w:b/>
                <w:bCs/>
                <w:szCs w:val="24"/>
              </w:rPr>
            </w:pPr>
          </w:p>
        </w:tc>
        <w:tc>
          <w:tcPr>
            <w:tcW w:w="1750" w:type="dxa"/>
            <w:tcBorders>
              <w:top w:val="single" w:sz="4" w:space="0" w:color="auto"/>
              <w:bottom w:val="single" w:sz="4" w:space="0" w:color="auto"/>
            </w:tcBorders>
            <w:shd w:val="clear" w:color="auto" w:fill="auto"/>
            <w:hideMark/>
          </w:tcPr>
          <w:p w14:paraId="778770C4" w14:textId="6EFF8767" w:rsidR="00A964E0" w:rsidRPr="00B909F3" w:rsidRDefault="00A964E0" w:rsidP="00197EDE">
            <w:pPr>
              <w:spacing w:after="0" w:line="360" w:lineRule="auto"/>
              <w:jc w:val="both"/>
              <w:rPr>
                <w:rFonts w:ascii="Book Antiqua" w:hAnsi="Book Antiqua" w:cs="Arial"/>
                <w:b/>
                <w:bCs/>
                <w:szCs w:val="24"/>
              </w:rPr>
            </w:pPr>
            <w:r w:rsidRPr="00B909F3">
              <w:rPr>
                <w:rFonts w:ascii="Book Antiqua" w:hAnsi="Book Antiqua" w:cs="Arial"/>
                <w:b/>
                <w:bCs/>
                <w:szCs w:val="24"/>
              </w:rPr>
              <w:t>A: None</w:t>
            </w:r>
            <w:r w:rsidRPr="00B909F3">
              <w:rPr>
                <w:rFonts w:ascii="Book Antiqua" w:eastAsia="SimSun" w:hAnsi="Book Antiqua" w:cs="Arial"/>
                <w:b/>
                <w:bCs/>
                <w:szCs w:val="24"/>
                <w:lang w:eastAsia="zh-CN"/>
              </w:rPr>
              <w:t xml:space="preserve"> </w:t>
            </w:r>
            <w:r w:rsidRPr="00B909F3">
              <w:rPr>
                <w:rFonts w:ascii="Book Antiqua" w:hAnsi="Book Antiqua" w:cs="Arial"/>
                <w:b/>
                <w:bCs/>
                <w:szCs w:val="24"/>
              </w:rPr>
              <w:t>(</w:t>
            </w:r>
            <w:r w:rsidRPr="00B909F3">
              <w:rPr>
                <w:rFonts w:ascii="Book Antiqua" w:hAnsi="Book Antiqua" w:cs="Arial"/>
                <w:b/>
                <w:bCs/>
                <w:i/>
                <w:iCs/>
                <w:szCs w:val="24"/>
              </w:rPr>
              <w:t>n</w:t>
            </w:r>
            <w:r w:rsidRPr="00B909F3">
              <w:rPr>
                <w:rFonts w:ascii="Book Antiqua" w:hAnsi="Book Antiqua" w:cs="Arial"/>
                <w:b/>
                <w:bCs/>
                <w:szCs w:val="24"/>
              </w:rPr>
              <w:t xml:space="preserve"> = 11674)</w:t>
            </w:r>
          </w:p>
        </w:tc>
        <w:tc>
          <w:tcPr>
            <w:tcW w:w="1750" w:type="dxa"/>
            <w:tcBorders>
              <w:top w:val="single" w:sz="4" w:space="0" w:color="auto"/>
              <w:bottom w:val="single" w:sz="4" w:space="0" w:color="auto"/>
            </w:tcBorders>
            <w:shd w:val="clear" w:color="auto" w:fill="auto"/>
            <w:hideMark/>
          </w:tcPr>
          <w:p w14:paraId="21FE013F" w14:textId="53EAA6B7" w:rsidR="00A964E0" w:rsidRPr="00B909F3" w:rsidRDefault="00A964E0" w:rsidP="00197EDE">
            <w:pPr>
              <w:spacing w:after="0" w:line="360" w:lineRule="auto"/>
              <w:jc w:val="both"/>
              <w:rPr>
                <w:rFonts w:ascii="Book Antiqua" w:hAnsi="Book Antiqua" w:cs="Arial"/>
                <w:b/>
                <w:bCs/>
                <w:szCs w:val="24"/>
              </w:rPr>
            </w:pPr>
            <w:r w:rsidRPr="00B909F3">
              <w:rPr>
                <w:rFonts w:ascii="Book Antiqua" w:hAnsi="Book Antiqua" w:cs="Arial"/>
                <w:b/>
                <w:bCs/>
                <w:szCs w:val="24"/>
              </w:rPr>
              <w:t>B: Moderate</w:t>
            </w:r>
            <w:r w:rsidRPr="00B909F3">
              <w:rPr>
                <w:rFonts w:ascii="Book Antiqua" w:eastAsia="SimSun" w:hAnsi="Book Antiqua" w:cs="Arial"/>
                <w:b/>
                <w:bCs/>
                <w:szCs w:val="24"/>
                <w:lang w:eastAsia="zh-CN"/>
              </w:rPr>
              <w:t xml:space="preserve"> </w:t>
            </w:r>
            <w:r w:rsidRPr="00B909F3">
              <w:rPr>
                <w:rFonts w:ascii="Book Antiqua" w:hAnsi="Book Antiqua" w:cs="Arial"/>
                <w:b/>
                <w:bCs/>
                <w:szCs w:val="24"/>
              </w:rPr>
              <w:t>(</w:t>
            </w:r>
            <w:r w:rsidRPr="00B909F3">
              <w:rPr>
                <w:rFonts w:ascii="Book Antiqua" w:hAnsi="Book Antiqua" w:cs="Arial"/>
                <w:b/>
                <w:bCs/>
                <w:i/>
                <w:iCs/>
                <w:szCs w:val="24"/>
              </w:rPr>
              <w:t>n</w:t>
            </w:r>
            <w:r w:rsidRPr="00B909F3">
              <w:rPr>
                <w:rFonts w:ascii="Book Antiqua" w:hAnsi="Book Antiqua" w:cs="Arial"/>
                <w:b/>
                <w:bCs/>
                <w:szCs w:val="24"/>
              </w:rPr>
              <w:t xml:space="preserve"> = 17530)</w:t>
            </w:r>
          </w:p>
        </w:tc>
        <w:tc>
          <w:tcPr>
            <w:tcW w:w="1671" w:type="dxa"/>
            <w:tcBorders>
              <w:top w:val="single" w:sz="4" w:space="0" w:color="auto"/>
              <w:bottom w:val="single" w:sz="4" w:space="0" w:color="auto"/>
            </w:tcBorders>
            <w:shd w:val="clear" w:color="auto" w:fill="auto"/>
            <w:hideMark/>
          </w:tcPr>
          <w:p w14:paraId="2882930C" w14:textId="334A76FE" w:rsidR="00A964E0" w:rsidRPr="00B909F3" w:rsidRDefault="00A964E0" w:rsidP="00197EDE">
            <w:pPr>
              <w:spacing w:after="0" w:line="360" w:lineRule="auto"/>
              <w:jc w:val="both"/>
              <w:rPr>
                <w:rFonts w:ascii="Book Antiqua" w:hAnsi="Book Antiqua" w:cs="Arial"/>
                <w:b/>
                <w:bCs/>
                <w:szCs w:val="24"/>
              </w:rPr>
            </w:pPr>
            <w:r w:rsidRPr="00B909F3">
              <w:rPr>
                <w:rFonts w:ascii="Book Antiqua" w:hAnsi="Book Antiqua" w:cs="Arial"/>
                <w:b/>
                <w:bCs/>
                <w:szCs w:val="24"/>
              </w:rPr>
              <w:t>C: Severe</w:t>
            </w:r>
            <w:r w:rsidRPr="00B909F3">
              <w:rPr>
                <w:rFonts w:ascii="Book Antiqua" w:eastAsia="SimSun" w:hAnsi="Book Antiqua" w:cs="Arial"/>
                <w:b/>
                <w:bCs/>
                <w:szCs w:val="24"/>
                <w:lang w:eastAsia="zh-CN"/>
              </w:rPr>
              <w:t xml:space="preserve"> </w:t>
            </w:r>
            <w:r w:rsidRPr="00B909F3">
              <w:rPr>
                <w:rFonts w:ascii="Book Antiqua" w:hAnsi="Book Antiqua" w:cs="Arial"/>
                <w:b/>
                <w:bCs/>
                <w:szCs w:val="24"/>
              </w:rPr>
              <w:t>(</w:t>
            </w:r>
            <w:r w:rsidRPr="00B909F3">
              <w:rPr>
                <w:rFonts w:ascii="Book Antiqua" w:hAnsi="Book Antiqua" w:cs="Arial"/>
                <w:b/>
                <w:bCs/>
                <w:i/>
                <w:iCs/>
                <w:szCs w:val="24"/>
              </w:rPr>
              <w:t>n</w:t>
            </w:r>
            <w:r w:rsidRPr="00B909F3">
              <w:rPr>
                <w:rFonts w:ascii="Book Antiqua" w:hAnsi="Book Antiqua" w:cs="Arial"/>
                <w:b/>
                <w:bCs/>
                <w:szCs w:val="24"/>
              </w:rPr>
              <w:t xml:space="preserve"> = 9074)</w:t>
            </w:r>
          </w:p>
        </w:tc>
      </w:tr>
      <w:tr w:rsidR="00B909F3" w:rsidRPr="00B909F3" w14:paraId="08B4BB3E" w14:textId="77777777" w:rsidTr="00A964E0">
        <w:trPr>
          <w:trHeight w:val="80"/>
        </w:trPr>
        <w:tc>
          <w:tcPr>
            <w:tcW w:w="3477" w:type="dxa"/>
            <w:tcBorders>
              <w:top w:val="single" w:sz="4" w:space="0" w:color="auto"/>
            </w:tcBorders>
            <w:shd w:val="clear" w:color="auto" w:fill="auto"/>
            <w:vAlign w:val="center"/>
            <w:hideMark/>
          </w:tcPr>
          <w:p w14:paraId="3883E6F6" w14:textId="53E64931"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 xml:space="preserve">Waitlist time, </w:t>
            </w:r>
            <w:proofErr w:type="spellStart"/>
            <w:r w:rsidRPr="00B909F3">
              <w:rPr>
                <w:rFonts w:ascii="Book Antiqua" w:hAnsi="Book Antiqua" w:cs="Arial"/>
                <w:szCs w:val="24"/>
              </w:rPr>
              <w:t>mo</w:t>
            </w:r>
            <w:proofErr w:type="spellEnd"/>
          </w:p>
        </w:tc>
        <w:tc>
          <w:tcPr>
            <w:tcW w:w="1750" w:type="dxa"/>
            <w:tcBorders>
              <w:top w:val="single" w:sz="4" w:space="0" w:color="auto"/>
            </w:tcBorders>
            <w:shd w:val="clear" w:color="auto" w:fill="auto"/>
            <w:vAlign w:val="center"/>
            <w:hideMark/>
          </w:tcPr>
          <w:p w14:paraId="37405026" w14:textId="20DFA3B6"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4.0 (1.3</w:t>
            </w:r>
            <w:r w:rsidR="005402FD" w:rsidRPr="00B909F3">
              <w:rPr>
                <w:rFonts w:ascii="Book Antiqua" w:hAnsi="Book Antiqua" w:cs="Arial"/>
                <w:szCs w:val="24"/>
              </w:rPr>
              <w:t>-</w:t>
            </w:r>
            <w:r w:rsidRPr="00B909F3">
              <w:rPr>
                <w:rFonts w:ascii="Book Antiqua" w:hAnsi="Book Antiqua" w:cs="Arial"/>
                <w:szCs w:val="24"/>
              </w:rPr>
              <w:t>10.2)</w:t>
            </w:r>
          </w:p>
        </w:tc>
        <w:tc>
          <w:tcPr>
            <w:tcW w:w="1750" w:type="dxa"/>
            <w:tcBorders>
              <w:top w:val="single" w:sz="4" w:space="0" w:color="auto"/>
            </w:tcBorders>
            <w:shd w:val="clear" w:color="auto" w:fill="auto"/>
            <w:vAlign w:val="center"/>
            <w:hideMark/>
          </w:tcPr>
          <w:p w14:paraId="394F810B" w14:textId="73FC75CE"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3.7 (1.1</w:t>
            </w:r>
            <w:r w:rsidR="005402FD" w:rsidRPr="00B909F3">
              <w:rPr>
                <w:rFonts w:ascii="Book Antiqua" w:hAnsi="Book Antiqua" w:cs="Arial"/>
                <w:szCs w:val="24"/>
              </w:rPr>
              <w:t>-</w:t>
            </w:r>
            <w:r w:rsidRPr="00B909F3">
              <w:rPr>
                <w:rFonts w:ascii="Book Antiqua" w:hAnsi="Book Antiqua" w:cs="Arial"/>
                <w:szCs w:val="24"/>
              </w:rPr>
              <w:t>10.3)</w:t>
            </w:r>
          </w:p>
        </w:tc>
        <w:tc>
          <w:tcPr>
            <w:tcW w:w="1671" w:type="dxa"/>
            <w:tcBorders>
              <w:top w:val="single" w:sz="4" w:space="0" w:color="auto"/>
            </w:tcBorders>
            <w:shd w:val="clear" w:color="auto" w:fill="auto"/>
            <w:vAlign w:val="center"/>
            <w:hideMark/>
          </w:tcPr>
          <w:p w14:paraId="3A166886" w14:textId="3924AEAA"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2.1 (0.4</w:t>
            </w:r>
            <w:r w:rsidR="005402FD" w:rsidRPr="00B909F3">
              <w:rPr>
                <w:rFonts w:ascii="Book Antiqua" w:hAnsi="Book Antiqua" w:cs="Arial"/>
                <w:szCs w:val="24"/>
              </w:rPr>
              <w:t>-</w:t>
            </w:r>
            <w:r w:rsidRPr="00B909F3">
              <w:rPr>
                <w:rFonts w:ascii="Book Antiqua" w:hAnsi="Book Antiqua" w:cs="Arial"/>
                <w:szCs w:val="24"/>
              </w:rPr>
              <w:t>8.4)</w:t>
            </w:r>
          </w:p>
        </w:tc>
      </w:tr>
      <w:tr w:rsidR="00DB73D6" w:rsidRPr="00B909F3" w14:paraId="47431EE0" w14:textId="77777777" w:rsidTr="005402FD">
        <w:trPr>
          <w:trHeight w:val="247"/>
        </w:trPr>
        <w:tc>
          <w:tcPr>
            <w:tcW w:w="3477" w:type="dxa"/>
            <w:shd w:val="clear" w:color="auto" w:fill="auto"/>
            <w:vAlign w:val="center"/>
            <w:hideMark/>
          </w:tcPr>
          <w:p w14:paraId="187FF5D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Weight loss ≥ 5%</w:t>
            </w:r>
            <w:r w:rsidRPr="00B909F3">
              <w:rPr>
                <w:rFonts w:ascii="Book Antiqua" w:hAnsi="Book Antiqua" w:cs="Arial"/>
                <w:szCs w:val="24"/>
                <w:vertAlign w:val="superscript"/>
              </w:rPr>
              <w:t>b</w:t>
            </w:r>
          </w:p>
        </w:tc>
        <w:tc>
          <w:tcPr>
            <w:tcW w:w="1750" w:type="dxa"/>
            <w:shd w:val="clear" w:color="auto" w:fill="auto"/>
            <w:vAlign w:val="center"/>
            <w:hideMark/>
          </w:tcPr>
          <w:p w14:paraId="00071B6A"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19.7</w:t>
            </w:r>
          </w:p>
        </w:tc>
        <w:tc>
          <w:tcPr>
            <w:tcW w:w="1750" w:type="dxa"/>
            <w:shd w:val="clear" w:color="auto" w:fill="auto"/>
            <w:vAlign w:val="center"/>
            <w:hideMark/>
          </w:tcPr>
          <w:p w14:paraId="2BB370F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24.2</w:t>
            </w:r>
          </w:p>
        </w:tc>
        <w:tc>
          <w:tcPr>
            <w:tcW w:w="1671" w:type="dxa"/>
            <w:shd w:val="clear" w:color="auto" w:fill="auto"/>
            <w:vAlign w:val="center"/>
            <w:hideMark/>
          </w:tcPr>
          <w:p w14:paraId="1E01D48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27.0</w:t>
            </w:r>
          </w:p>
        </w:tc>
      </w:tr>
      <w:tr w:rsidR="005402FD" w:rsidRPr="00B909F3" w14:paraId="769748A2" w14:textId="77777777" w:rsidTr="005402FD">
        <w:trPr>
          <w:trHeight w:val="235"/>
        </w:trPr>
        <w:tc>
          <w:tcPr>
            <w:tcW w:w="8648" w:type="dxa"/>
            <w:gridSpan w:val="4"/>
            <w:shd w:val="clear" w:color="auto" w:fill="auto"/>
            <w:vAlign w:val="center"/>
            <w:hideMark/>
          </w:tcPr>
          <w:p w14:paraId="1CA4BA99" w14:textId="2DA59066" w:rsidR="005402FD" w:rsidRPr="00B909F3" w:rsidRDefault="005402FD" w:rsidP="00197EDE">
            <w:pPr>
              <w:spacing w:after="0" w:line="360" w:lineRule="auto"/>
              <w:jc w:val="both"/>
              <w:rPr>
                <w:rFonts w:ascii="Book Antiqua" w:hAnsi="Book Antiqua" w:cs="Arial"/>
                <w:szCs w:val="24"/>
              </w:rPr>
            </w:pPr>
            <w:r w:rsidRPr="00B909F3">
              <w:rPr>
                <w:rFonts w:ascii="Book Antiqua" w:hAnsi="Book Antiqua" w:cs="Arial"/>
                <w:szCs w:val="24"/>
              </w:rPr>
              <w:t>BMI, kg/m</w:t>
            </w:r>
            <w:r w:rsidRPr="00B909F3">
              <w:rPr>
                <w:rFonts w:ascii="Book Antiqua" w:hAnsi="Book Antiqua" w:cs="Arial"/>
                <w:szCs w:val="24"/>
                <w:vertAlign w:val="superscript"/>
              </w:rPr>
              <w:t>2</w:t>
            </w:r>
          </w:p>
        </w:tc>
      </w:tr>
      <w:tr w:rsidR="00DB73D6" w:rsidRPr="00B909F3" w14:paraId="2DAB235A" w14:textId="77777777" w:rsidTr="005402FD">
        <w:trPr>
          <w:trHeight w:val="219"/>
        </w:trPr>
        <w:tc>
          <w:tcPr>
            <w:tcW w:w="3477" w:type="dxa"/>
            <w:shd w:val="clear" w:color="auto" w:fill="auto"/>
            <w:vAlign w:val="center"/>
            <w:hideMark/>
          </w:tcPr>
          <w:p w14:paraId="24CA72E1" w14:textId="01A6A965"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Underweight (&lt;</w:t>
            </w:r>
            <w:r w:rsidR="005402FD" w:rsidRPr="00B909F3">
              <w:rPr>
                <w:rFonts w:ascii="Book Antiqua" w:hAnsi="Book Antiqua" w:cs="Arial"/>
                <w:szCs w:val="24"/>
              </w:rPr>
              <w:t xml:space="preserve"> </w:t>
            </w:r>
            <w:r w:rsidRPr="00B909F3">
              <w:rPr>
                <w:rFonts w:ascii="Book Antiqua" w:hAnsi="Book Antiqua" w:cs="Arial"/>
                <w:szCs w:val="24"/>
              </w:rPr>
              <w:t>18.5)</w:t>
            </w:r>
          </w:p>
        </w:tc>
        <w:tc>
          <w:tcPr>
            <w:tcW w:w="1750" w:type="dxa"/>
            <w:shd w:val="clear" w:color="auto" w:fill="auto"/>
            <w:vAlign w:val="center"/>
            <w:hideMark/>
          </w:tcPr>
          <w:p w14:paraId="05A5D751"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1.6</w:t>
            </w:r>
          </w:p>
        </w:tc>
        <w:tc>
          <w:tcPr>
            <w:tcW w:w="1750" w:type="dxa"/>
            <w:shd w:val="clear" w:color="auto" w:fill="auto"/>
            <w:vAlign w:val="center"/>
            <w:hideMark/>
          </w:tcPr>
          <w:p w14:paraId="4641ED0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1.6</w:t>
            </w:r>
          </w:p>
        </w:tc>
        <w:tc>
          <w:tcPr>
            <w:tcW w:w="1671" w:type="dxa"/>
            <w:shd w:val="clear" w:color="auto" w:fill="auto"/>
            <w:vAlign w:val="center"/>
            <w:hideMark/>
          </w:tcPr>
          <w:p w14:paraId="6A2F24FE"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2.4</w:t>
            </w:r>
          </w:p>
        </w:tc>
      </w:tr>
      <w:tr w:rsidR="00DB73D6" w:rsidRPr="00B909F3" w14:paraId="5A84665A" w14:textId="77777777" w:rsidTr="005402FD">
        <w:trPr>
          <w:trHeight w:val="219"/>
        </w:trPr>
        <w:tc>
          <w:tcPr>
            <w:tcW w:w="3477" w:type="dxa"/>
            <w:shd w:val="clear" w:color="auto" w:fill="auto"/>
            <w:vAlign w:val="center"/>
            <w:hideMark/>
          </w:tcPr>
          <w:p w14:paraId="19780FEF" w14:textId="66C5CD9F"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Normal (18.5</w:t>
            </w:r>
            <w:r w:rsidR="005402FD" w:rsidRPr="00B909F3">
              <w:rPr>
                <w:rFonts w:ascii="Book Antiqua" w:hAnsi="Book Antiqua" w:cs="Arial"/>
                <w:szCs w:val="24"/>
              </w:rPr>
              <w:t>-</w:t>
            </w:r>
            <w:r w:rsidRPr="00B909F3">
              <w:rPr>
                <w:rFonts w:ascii="Book Antiqua" w:hAnsi="Book Antiqua" w:cs="Arial"/>
                <w:szCs w:val="24"/>
              </w:rPr>
              <w:t>25)</w:t>
            </w:r>
          </w:p>
        </w:tc>
        <w:tc>
          <w:tcPr>
            <w:tcW w:w="1750" w:type="dxa"/>
            <w:shd w:val="clear" w:color="auto" w:fill="auto"/>
            <w:vAlign w:val="center"/>
            <w:hideMark/>
          </w:tcPr>
          <w:p w14:paraId="2E080E4E"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28.3</w:t>
            </w:r>
          </w:p>
        </w:tc>
        <w:tc>
          <w:tcPr>
            <w:tcW w:w="1750" w:type="dxa"/>
            <w:shd w:val="clear" w:color="auto" w:fill="auto"/>
            <w:vAlign w:val="center"/>
            <w:hideMark/>
          </w:tcPr>
          <w:p w14:paraId="06198EF2"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27.5</w:t>
            </w:r>
          </w:p>
        </w:tc>
        <w:tc>
          <w:tcPr>
            <w:tcW w:w="1671" w:type="dxa"/>
            <w:shd w:val="clear" w:color="auto" w:fill="auto"/>
            <w:vAlign w:val="center"/>
            <w:hideMark/>
          </w:tcPr>
          <w:p w14:paraId="1D8D8DC4"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27.1</w:t>
            </w:r>
          </w:p>
        </w:tc>
      </w:tr>
      <w:tr w:rsidR="00DB73D6" w:rsidRPr="00B909F3" w14:paraId="1DE2D7C9" w14:textId="77777777" w:rsidTr="005402FD">
        <w:trPr>
          <w:trHeight w:val="219"/>
        </w:trPr>
        <w:tc>
          <w:tcPr>
            <w:tcW w:w="3477" w:type="dxa"/>
            <w:shd w:val="clear" w:color="auto" w:fill="auto"/>
            <w:vAlign w:val="center"/>
            <w:hideMark/>
          </w:tcPr>
          <w:p w14:paraId="245775D8" w14:textId="1AF03863"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Overweight (25</w:t>
            </w:r>
            <w:r w:rsidR="005402FD" w:rsidRPr="00B909F3">
              <w:rPr>
                <w:rFonts w:ascii="Book Antiqua" w:hAnsi="Book Antiqua" w:cs="Arial"/>
                <w:szCs w:val="24"/>
              </w:rPr>
              <w:t>-</w:t>
            </w:r>
            <w:r w:rsidRPr="00B909F3">
              <w:rPr>
                <w:rFonts w:ascii="Book Antiqua" w:hAnsi="Book Antiqua" w:cs="Arial"/>
                <w:szCs w:val="24"/>
              </w:rPr>
              <w:t>30)</w:t>
            </w:r>
          </w:p>
        </w:tc>
        <w:tc>
          <w:tcPr>
            <w:tcW w:w="1750" w:type="dxa"/>
            <w:shd w:val="clear" w:color="auto" w:fill="auto"/>
            <w:vAlign w:val="center"/>
            <w:hideMark/>
          </w:tcPr>
          <w:p w14:paraId="4A50AF91"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37.0</w:t>
            </w:r>
          </w:p>
        </w:tc>
        <w:tc>
          <w:tcPr>
            <w:tcW w:w="1750" w:type="dxa"/>
            <w:shd w:val="clear" w:color="auto" w:fill="auto"/>
            <w:vAlign w:val="center"/>
            <w:hideMark/>
          </w:tcPr>
          <w:p w14:paraId="146C2E30"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36.0</w:t>
            </w:r>
          </w:p>
        </w:tc>
        <w:tc>
          <w:tcPr>
            <w:tcW w:w="1671" w:type="dxa"/>
            <w:shd w:val="clear" w:color="auto" w:fill="auto"/>
            <w:vAlign w:val="center"/>
            <w:hideMark/>
          </w:tcPr>
          <w:p w14:paraId="1534991E"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34.0</w:t>
            </w:r>
          </w:p>
        </w:tc>
      </w:tr>
      <w:tr w:rsidR="00DB73D6" w:rsidRPr="00B909F3" w14:paraId="65744563" w14:textId="77777777" w:rsidTr="005402FD">
        <w:trPr>
          <w:trHeight w:val="153"/>
        </w:trPr>
        <w:tc>
          <w:tcPr>
            <w:tcW w:w="3477" w:type="dxa"/>
            <w:shd w:val="clear" w:color="auto" w:fill="auto"/>
            <w:vAlign w:val="center"/>
            <w:hideMark/>
          </w:tcPr>
          <w:p w14:paraId="227D033A" w14:textId="77777777" w:rsidR="00DB73D6" w:rsidRPr="00B909F3" w:rsidRDefault="00DB73D6" w:rsidP="00197EDE">
            <w:pPr>
              <w:spacing w:after="0" w:line="360" w:lineRule="auto"/>
              <w:ind w:firstLineChars="100" w:firstLine="240"/>
              <w:jc w:val="both"/>
              <w:rPr>
                <w:rFonts w:ascii="Book Antiqua" w:hAnsi="Book Antiqua" w:cs="Arial"/>
                <w:szCs w:val="24"/>
              </w:rPr>
            </w:pPr>
            <w:r w:rsidRPr="00B909F3">
              <w:rPr>
                <w:rFonts w:ascii="Book Antiqua" w:hAnsi="Book Antiqua" w:cs="Arial"/>
                <w:szCs w:val="24"/>
              </w:rPr>
              <w:t>Obese (≥ 30)</w:t>
            </w:r>
          </w:p>
        </w:tc>
        <w:tc>
          <w:tcPr>
            <w:tcW w:w="1750" w:type="dxa"/>
            <w:shd w:val="clear" w:color="auto" w:fill="auto"/>
            <w:vAlign w:val="center"/>
            <w:hideMark/>
          </w:tcPr>
          <w:p w14:paraId="30F18D4E"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33.2</w:t>
            </w:r>
          </w:p>
        </w:tc>
        <w:tc>
          <w:tcPr>
            <w:tcW w:w="1750" w:type="dxa"/>
            <w:shd w:val="clear" w:color="auto" w:fill="auto"/>
            <w:vAlign w:val="center"/>
            <w:hideMark/>
          </w:tcPr>
          <w:p w14:paraId="3DC6BCE2"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35.0</w:t>
            </w:r>
          </w:p>
        </w:tc>
        <w:tc>
          <w:tcPr>
            <w:tcW w:w="1671" w:type="dxa"/>
            <w:shd w:val="clear" w:color="auto" w:fill="auto"/>
            <w:vAlign w:val="center"/>
            <w:hideMark/>
          </w:tcPr>
          <w:p w14:paraId="0C48F1E3"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36.5</w:t>
            </w:r>
          </w:p>
        </w:tc>
      </w:tr>
      <w:tr w:rsidR="005402FD" w:rsidRPr="00B909F3" w14:paraId="6BD4558E" w14:textId="77777777" w:rsidTr="005402FD">
        <w:trPr>
          <w:trHeight w:val="211"/>
        </w:trPr>
        <w:tc>
          <w:tcPr>
            <w:tcW w:w="8648" w:type="dxa"/>
            <w:gridSpan w:val="4"/>
            <w:shd w:val="clear" w:color="auto" w:fill="auto"/>
            <w:vAlign w:val="center"/>
            <w:hideMark/>
          </w:tcPr>
          <w:p w14:paraId="12629AAB" w14:textId="5E44A813" w:rsidR="005402FD" w:rsidRPr="00B909F3" w:rsidRDefault="005402FD" w:rsidP="00197EDE">
            <w:pPr>
              <w:spacing w:after="0" w:line="360" w:lineRule="auto"/>
              <w:ind w:left="-3"/>
              <w:jc w:val="both"/>
              <w:rPr>
                <w:rFonts w:ascii="Book Antiqua" w:hAnsi="Book Antiqua" w:cs="Arial"/>
                <w:szCs w:val="24"/>
              </w:rPr>
            </w:pPr>
            <w:r w:rsidRPr="00B909F3">
              <w:rPr>
                <w:rFonts w:ascii="Book Antiqua" w:hAnsi="Book Antiqua" w:cs="Arial"/>
                <w:szCs w:val="24"/>
              </w:rPr>
              <w:t>MELD</w:t>
            </w:r>
          </w:p>
        </w:tc>
      </w:tr>
      <w:tr w:rsidR="00DB73D6" w:rsidRPr="00B909F3" w14:paraId="7B5CBAEC" w14:textId="77777777" w:rsidTr="005402FD">
        <w:trPr>
          <w:trHeight w:val="211"/>
        </w:trPr>
        <w:tc>
          <w:tcPr>
            <w:tcW w:w="3477" w:type="dxa"/>
            <w:shd w:val="clear" w:color="auto" w:fill="auto"/>
            <w:vAlign w:val="center"/>
            <w:hideMark/>
          </w:tcPr>
          <w:p w14:paraId="4BE314B5"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&lt; 15</w:t>
            </w:r>
          </w:p>
        </w:tc>
        <w:tc>
          <w:tcPr>
            <w:tcW w:w="1750" w:type="dxa"/>
            <w:shd w:val="clear" w:color="auto" w:fill="auto"/>
            <w:vAlign w:val="center"/>
            <w:hideMark/>
          </w:tcPr>
          <w:p w14:paraId="619E41CA"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49.9</w:t>
            </w:r>
          </w:p>
        </w:tc>
        <w:tc>
          <w:tcPr>
            <w:tcW w:w="1750" w:type="dxa"/>
            <w:shd w:val="clear" w:color="auto" w:fill="auto"/>
            <w:vAlign w:val="center"/>
            <w:hideMark/>
          </w:tcPr>
          <w:p w14:paraId="0F4EBAA7"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34.9</w:t>
            </w:r>
          </w:p>
        </w:tc>
        <w:tc>
          <w:tcPr>
            <w:tcW w:w="1671" w:type="dxa"/>
            <w:shd w:val="clear" w:color="auto" w:fill="auto"/>
            <w:vAlign w:val="center"/>
            <w:hideMark/>
          </w:tcPr>
          <w:p w14:paraId="5A5B4B1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14.3</w:t>
            </w:r>
          </w:p>
        </w:tc>
      </w:tr>
      <w:tr w:rsidR="00DB73D6" w:rsidRPr="00B909F3" w14:paraId="7FFE55E5" w14:textId="77777777" w:rsidTr="005402FD">
        <w:trPr>
          <w:trHeight w:val="211"/>
        </w:trPr>
        <w:tc>
          <w:tcPr>
            <w:tcW w:w="3477" w:type="dxa"/>
            <w:shd w:val="clear" w:color="auto" w:fill="auto"/>
            <w:vAlign w:val="center"/>
            <w:hideMark/>
          </w:tcPr>
          <w:p w14:paraId="2F7BDC75" w14:textId="3D04F13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15</w:t>
            </w:r>
            <w:r w:rsidR="005402FD" w:rsidRPr="00B909F3">
              <w:rPr>
                <w:rFonts w:ascii="Book Antiqua" w:hAnsi="Book Antiqua" w:cs="Arial"/>
                <w:szCs w:val="24"/>
              </w:rPr>
              <w:t>-</w:t>
            </w:r>
            <w:r w:rsidRPr="00B909F3">
              <w:rPr>
                <w:rFonts w:ascii="Book Antiqua" w:hAnsi="Book Antiqua" w:cs="Arial"/>
                <w:szCs w:val="24"/>
              </w:rPr>
              <w:t>29</w:t>
            </w:r>
          </w:p>
        </w:tc>
        <w:tc>
          <w:tcPr>
            <w:tcW w:w="1750" w:type="dxa"/>
            <w:shd w:val="clear" w:color="auto" w:fill="auto"/>
            <w:vAlign w:val="center"/>
            <w:hideMark/>
          </w:tcPr>
          <w:p w14:paraId="3DC53D8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45.9</w:t>
            </w:r>
          </w:p>
        </w:tc>
        <w:tc>
          <w:tcPr>
            <w:tcW w:w="1750" w:type="dxa"/>
            <w:shd w:val="clear" w:color="auto" w:fill="auto"/>
            <w:vAlign w:val="center"/>
            <w:hideMark/>
          </w:tcPr>
          <w:p w14:paraId="52D7749C"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56.5</w:t>
            </w:r>
          </w:p>
        </w:tc>
        <w:tc>
          <w:tcPr>
            <w:tcW w:w="1671" w:type="dxa"/>
            <w:shd w:val="clear" w:color="auto" w:fill="auto"/>
            <w:vAlign w:val="center"/>
            <w:hideMark/>
          </w:tcPr>
          <w:p w14:paraId="2EA16076"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45.9</w:t>
            </w:r>
          </w:p>
        </w:tc>
      </w:tr>
      <w:tr w:rsidR="00DB73D6" w:rsidRPr="00B909F3" w14:paraId="57D68742" w14:textId="77777777" w:rsidTr="005402FD">
        <w:trPr>
          <w:trHeight w:val="211"/>
        </w:trPr>
        <w:tc>
          <w:tcPr>
            <w:tcW w:w="3477" w:type="dxa"/>
            <w:shd w:val="clear" w:color="auto" w:fill="auto"/>
            <w:vAlign w:val="center"/>
            <w:hideMark/>
          </w:tcPr>
          <w:p w14:paraId="5B3239E3"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 30</w:t>
            </w:r>
          </w:p>
        </w:tc>
        <w:tc>
          <w:tcPr>
            <w:tcW w:w="1750" w:type="dxa"/>
            <w:shd w:val="clear" w:color="auto" w:fill="auto"/>
            <w:vAlign w:val="center"/>
            <w:hideMark/>
          </w:tcPr>
          <w:p w14:paraId="30E39182"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4.2</w:t>
            </w:r>
          </w:p>
        </w:tc>
        <w:tc>
          <w:tcPr>
            <w:tcW w:w="1750" w:type="dxa"/>
            <w:shd w:val="clear" w:color="auto" w:fill="auto"/>
            <w:vAlign w:val="center"/>
            <w:hideMark/>
          </w:tcPr>
          <w:p w14:paraId="2551EC1D"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8.6</w:t>
            </w:r>
          </w:p>
        </w:tc>
        <w:tc>
          <w:tcPr>
            <w:tcW w:w="1671" w:type="dxa"/>
            <w:shd w:val="clear" w:color="auto" w:fill="auto"/>
            <w:vAlign w:val="center"/>
            <w:hideMark/>
          </w:tcPr>
          <w:p w14:paraId="52DBDDBD"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39.8</w:t>
            </w:r>
          </w:p>
        </w:tc>
      </w:tr>
      <w:tr w:rsidR="00DB73D6" w:rsidRPr="00B909F3" w14:paraId="10DCAD56" w14:textId="77777777" w:rsidTr="005402FD">
        <w:trPr>
          <w:trHeight w:val="211"/>
        </w:trPr>
        <w:tc>
          <w:tcPr>
            <w:tcW w:w="3477" w:type="dxa"/>
            <w:shd w:val="clear" w:color="auto" w:fill="auto"/>
            <w:vAlign w:val="center"/>
            <w:hideMark/>
          </w:tcPr>
          <w:p w14:paraId="5C0FC285" w14:textId="77777777" w:rsidR="00DB73D6" w:rsidRPr="00B909F3" w:rsidRDefault="00DB73D6" w:rsidP="00197EDE">
            <w:pPr>
              <w:spacing w:after="0" w:line="360" w:lineRule="auto"/>
              <w:ind w:left="447"/>
              <w:jc w:val="both"/>
              <w:rPr>
                <w:rFonts w:ascii="Book Antiqua" w:hAnsi="Book Antiqua" w:cs="Arial"/>
                <w:szCs w:val="24"/>
              </w:rPr>
            </w:pPr>
            <w:r w:rsidRPr="00B909F3">
              <w:rPr>
                <w:rFonts w:ascii="Book Antiqua" w:hAnsi="Book Antiqua" w:cs="Arial"/>
                <w:szCs w:val="24"/>
              </w:rPr>
              <w:t>Total bilirubin</w:t>
            </w:r>
          </w:p>
        </w:tc>
        <w:tc>
          <w:tcPr>
            <w:tcW w:w="1750" w:type="dxa"/>
            <w:shd w:val="clear" w:color="auto" w:fill="auto"/>
            <w:vAlign w:val="center"/>
            <w:hideMark/>
          </w:tcPr>
          <w:p w14:paraId="63A65676" w14:textId="56F1C979"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2.3 (1.2</w:t>
            </w:r>
            <w:r w:rsidR="00245C7E">
              <w:rPr>
                <w:rFonts w:ascii="Book Antiqua" w:hAnsi="Book Antiqua" w:cs="Arial"/>
                <w:szCs w:val="24"/>
              </w:rPr>
              <w:t>-</w:t>
            </w:r>
            <w:r w:rsidRPr="00B909F3">
              <w:rPr>
                <w:rFonts w:ascii="Book Antiqua" w:hAnsi="Book Antiqua" w:cs="Arial"/>
                <w:szCs w:val="24"/>
              </w:rPr>
              <w:t>4.4)</w:t>
            </w:r>
          </w:p>
        </w:tc>
        <w:tc>
          <w:tcPr>
            <w:tcW w:w="1750" w:type="dxa"/>
            <w:shd w:val="clear" w:color="auto" w:fill="auto"/>
            <w:vAlign w:val="center"/>
            <w:hideMark/>
          </w:tcPr>
          <w:p w14:paraId="7F4FC727" w14:textId="409A9ACF"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3.0 (1.6</w:t>
            </w:r>
            <w:r w:rsidR="00245C7E">
              <w:rPr>
                <w:rFonts w:ascii="Book Antiqua" w:hAnsi="Book Antiqua" w:cs="Arial"/>
                <w:szCs w:val="24"/>
              </w:rPr>
              <w:t>-</w:t>
            </w:r>
            <w:r w:rsidRPr="00B909F3">
              <w:rPr>
                <w:rFonts w:ascii="Book Antiqua" w:hAnsi="Book Antiqua" w:cs="Arial"/>
                <w:szCs w:val="24"/>
              </w:rPr>
              <w:t>6.1)</w:t>
            </w:r>
          </w:p>
        </w:tc>
        <w:tc>
          <w:tcPr>
            <w:tcW w:w="1671" w:type="dxa"/>
            <w:shd w:val="clear" w:color="auto" w:fill="auto"/>
            <w:vAlign w:val="center"/>
            <w:hideMark/>
          </w:tcPr>
          <w:p w14:paraId="32981EA7" w14:textId="3C41F711"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6.6 (2.9</w:t>
            </w:r>
            <w:r w:rsidR="00245C7E">
              <w:rPr>
                <w:rFonts w:ascii="Book Antiqua" w:hAnsi="Book Antiqua" w:cs="Arial"/>
                <w:szCs w:val="24"/>
              </w:rPr>
              <w:t>-</w:t>
            </w:r>
            <w:r w:rsidRPr="00B909F3">
              <w:rPr>
                <w:rFonts w:ascii="Book Antiqua" w:hAnsi="Book Antiqua" w:cs="Arial"/>
                <w:szCs w:val="24"/>
              </w:rPr>
              <w:t>17.2)</w:t>
            </w:r>
          </w:p>
        </w:tc>
      </w:tr>
      <w:tr w:rsidR="00DB73D6" w:rsidRPr="00B909F3" w14:paraId="71F4AC8D" w14:textId="77777777" w:rsidTr="005402FD">
        <w:trPr>
          <w:trHeight w:val="211"/>
        </w:trPr>
        <w:tc>
          <w:tcPr>
            <w:tcW w:w="3477" w:type="dxa"/>
            <w:shd w:val="clear" w:color="auto" w:fill="auto"/>
            <w:vAlign w:val="center"/>
            <w:hideMark/>
          </w:tcPr>
          <w:p w14:paraId="7CF26659" w14:textId="77777777" w:rsidR="00DB73D6" w:rsidRPr="00B909F3" w:rsidRDefault="00DB73D6" w:rsidP="00197EDE">
            <w:pPr>
              <w:spacing w:after="0" w:line="360" w:lineRule="auto"/>
              <w:ind w:left="447"/>
              <w:jc w:val="both"/>
              <w:rPr>
                <w:rFonts w:ascii="Book Antiqua" w:hAnsi="Book Antiqua" w:cs="Arial"/>
                <w:szCs w:val="24"/>
              </w:rPr>
            </w:pPr>
            <w:r w:rsidRPr="00B909F3">
              <w:rPr>
                <w:rFonts w:ascii="Book Antiqua" w:hAnsi="Book Antiqua" w:cs="Arial"/>
                <w:szCs w:val="24"/>
              </w:rPr>
              <w:t>International normalized ratio</w:t>
            </w:r>
          </w:p>
        </w:tc>
        <w:tc>
          <w:tcPr>
            <w:tcW w:w="1750" w:type="dxa"/>
            <w:shd w:val="clear" w:color="auto" w:fill="auto"/>
            <w:vAlign w:val="center"/>
            <w:hideMark/>
          </w:tcPr>
          <w:p w14:paraId="7A4D67AE" w14:textId="4E4E7CB9"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1.4 (1.2</w:t>
            </w:r>
            <w:r w:rsidR="00245C7E">
              <w:rPr>
                <w:rFonts w:ascii="Book Antiqua" w:hAnsi="Book Antiqua" w:cs="Arial"/>
                <w:szCs w:val="24"/>
              </w:rPr>
              <w:t>-</w:t>
            </w:r>
            <w:r w:rsidRPr="00B909F3">
              <w:rPr>
                <w:rFonts w:ascii="Book Antiqua" w:hAnsi="Book Antiqua" w:cs="Arial"/>
                <w:szCs w:val="24"/>
              </w:rPr>
              <w:t>1.7)</w:t>
            </w:r>
          </w:p>
        </w:tc>
        <w:tc>
          <w:tcPr>
            <w:tcW w:w="1750" w:type="dxa"/>
            <w:shd w:val="clear" w:color="auto" w:fill="auto"/>
            <w:vAlign w:val="center"/>
            <w:hideMark/>
          </w:tcPr>
          <w:p w14:paraId="068F6817" w14:textId="3F66E73A"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1.5 (1.3</w:t>
            </w:r>
            <w:r w:rsidR="00245C7E">
              <w:rPr>
                <w:rFonts w:ascii="Book Antiqua" w:hAnsi="Book Antiqua" w:cs="Arial"/>
                <w:szCs w:val="24"/>
              </w:rPr>
              <w:t>-</w:t>
            </w:r>
            <w:r w:rsidRPr="00B909F3">
              <w:rPr>
                <w:rFonts w:ascii="Book Antiqua" w:hAnsi="Book Antiqua" w:cs="Arial"/>
                <w:szCs w:val="24"/>
              </w:rPr>
              <w:t>1.9)</w:t>
            </w:r>
          </w:p>
        </w:tc>
        <w:tc>
          <w:tcPr>
            <w:tcW w:w="1671" w:type="dxa"/>
            <w:shd w:val="clear" w:color="auto" w:fill="auto"/>
            <w:vAlign w:val="center"/>
            <w:hideMark/>
          </w:tcPr>
          <w:p w14:paraId="4698E0CB" w14:textId="475CFCE8"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2.0 (1.5</w:t>
            </w:r>
            <w:r w:rsidR="00245C7E">
              <w:rPr>
                <w:rFonts w:ascii="Book Antiqua" w:hAnsi="Book Antiqua" w:cs="Arial"/>
                <w:szCs w:val="24"/>
              </w:rPr>
              <w:t>-</w:t>
            </w:r>
            <w:r w:rsidRPr="00B909F3">
              <w:rPr>
                <w:rFonts w:ascii="Book Antiqua" w:hAnsi="Book Antiqua" w:cs="Arial"/>
                <w:szCs w:val="24"/>
              </w:rPr>
              <w:t>2.6)</w:t>
            </w:r>
          </w:p>
        </w:tc>
      </w:tr>
      <w:tr w:rsidR="00DB73D6" w:rsidRPr="00B909F3" w14:paraId="78DFC71D" w14:textId="77777777" w:rsidTr="005402FD">
        <w:trPr>
          <w:trHeight w:val="73"/>
        </w:trPr>
        <w:tc>
          <w:tcPr>
            <w:tcW w:w="3477" w:type="dxa"/>
            <w:shd w:val="clear" w:color="auto" w:fill="auto"/>
            <w:vAlign w:val="center"/>
            <w:hideMark/>
          </w:tcPr>
          <w:p w14:paraId="528C9123" w14:textId="77777777" w:rsidR="00DB73D6" w:rsidRPr="00B909F3" w:rsidRDefault="00DB73D6" w:rsidP="00197EDE">
            <w:pPr>
              <w:spacing w:after="0" w:line="360" w:lineRule="auto"/>
              <w:ind w:left="447"/>
              <w:jc w:val="both"/>
              <w:rPr>
                <w:rFonts w:ascii="Book Antiqua" w:hAnsi="Book Antiqua" w:cs="Arial"/>
                <w:szCs w:val="24"/>
              </w:rPr>
            </w:pPr>
            <w:r w:rsidRPr="00B909F3">
              <w:rPr>
                <w:rFonts w:ascii="Book Antiqua" w:hAnsi="Book Antiqua" w:cs="Arial"/>
                <w:szCs w:val="24"/>
              </w:rPr>
              <w:t>Serum creatinine</w:t>
            </w:r>
          </w:p>
        </w:tc>
        <w:tc>
          <w:tcPr>
            <w:tcW w:w="1750" w:type="dxa"/>
            <w:shd w:val="clear" w:color="auto" w:fill="auto"/>
            <w:vAlign w:val="center"/>
            <w:hideMark/>
          </w:tcPr>
          <w:p w14:paraId="75A8C58D" w14:textId="72EE3CD1"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0.9 (0.7</w:t>
            </w:r>
            <w:r w:rsidR="00245C7E">
              <w:rPr>
                <w:rFonts w:ascii="Book Antiqua" w:hAnsi="Book Antiqua" w:cs="Arial"/>
                <w:szCs w:val="24"/>
              </w:rPr>
              <w:t>-</w:t>
            </w:r>
            <w:r w:rsidRPr="00B909F3">
              <w:rPr>
                <w:rFonts w:ascii="Book Antiqua" w:hAnsi="Book Antiqua" w:cs="Arial"/>
                <w:szCs w:val="24"/>
              </w:rPr>
              <w:t>1.2)</w:t>
            </w:r>
          </w:p>
        </w:tc>
        <w:tc>
          <w:tcPr>
            <w:tcW w:w="1750" w:type="dxa"/>
            <w:shd w:val="clear" w:color="auto" w:fill="auto"/>
            <w:vAlign w:val="center"/>
            <w:hideMark/>
          </w:tcPr>
          <w:p w14:paraId="66AFAA41" w14:textId="402282CE"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1.0 (0.8</w:t>
            </w:r>
            <w:r w:rsidR="00245C7E">
              <w:rPr>
                <w:rFonts w:ascii="Book Antiqua" w:hAnsi="Book Antiqua" w:cs="Arial"/>
                <w:szCs w:val="24"/>
              </w:rPr>
              <w:t>-</w:t>
            </w:r>
            <w:r w:rsidRPr="00B909F3">
              <w:rPr>
                <w:rFonts w:ascii="Book Antiqua" w:hAnsi="Book Antiqua" w:cs="Arial"/>
                <w:szCs w:val="24"/>
              </w:rPr>
              <w:t>1.3)</w:t>
            </w:r>
          </w:p>
        </w:tc>
        <w:tc>
          <w:tcPr>
            <w:tcW w:w="1671" w:type="dxa"/>
            <w:shd w:val="clear" w:color="auto" w:fill="auto"/>
            <w:vAlign w:val="center"/>
            <w:hideMark/>
          </w:tcPr>
          <w:p w14:paraId="7C237F83" w14:textId="1B3F39C2"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1.4 (0.9</w:t>
            </w:r>
            <w:r w:rsidR="00245C7E">
              <w:rPr>
                <w:rFonts w:ascii="Book Antiqua" w:hAnsi="Book Antiqua" w:cs="Arial"/>
                <w:szCs w:val="24"/>
              </w:rPr>
              <w:t>-</w:t>
            </w:r>
            <w:r w:rsidRPr="00B909F3">
              <w:rPr>
                <w:rFonts w:ascii="Book Antiqua" w:hAnsi="Book Antiqua" w:cs="Arial"/>
                <w:szCs w:val="24"/>
              </w:rPr>
              <w:t>2.3)</w:t>
            </w:r>
          </w:p>
        </w:tc>
      </w:tr>
      <w:tr w:rsidR="00DB73D6" w:rsidRPr="00B909F3" w14:paraId="3AF4520E" w14:textId="77777777" w:rsidTr="005402FD">
        <w:trPr>
          <w:trHeight w:val="73"/>
        </w:trPr>
        <w:tc>
          <w:tcPr>
            <w:tcW w:w="3477" w:type="dxa"/>
            <w:shd w:val="clear" w:color="auto" w:fill="auto"/>
            <w:vAlign w:val="center"/>
            <w:hideMark/>
          </w:tcPr>
          <w:p w14:paraId="3BE68D8F" w14:textId="77777777" w:rsidR="00DB73D6" w:rsidRPr="00B909F3" w:rsidRDefault="00DB73D6" w:rsidP="00197EDE">
            <w:pPr>
              <w:spacing w:after="0" w:line="360" w:lineRule="auto"/>
              <w:ind w:left="-3"/>
              <w:jc w:val="both"/>
              <w:rPr>
                <w:rFonts w:ascii="Book Antiqua" w:hAnsi="Book Antiqua" w:cs="Arial"/>
                <w:szCs w:val="24"/>
              </w:rPr>
            </w:pPr>
            <w:r w:rsidRPr="00B909F3">
              <w:rPr>
                <w:rFonts w:ascii="Book Antiqua" w:hAnsi="Book Antiqua" w:cs="Arial"/>
                <w:szCs w:val="24"/>
              </w:rPr>
              <w:t>Serum sodium</w:t>
            </w:r>
          </w:p>
        </w:tc>
        <w:tc>
          <w:tcPr>
            <w:tcW w:w="1750" w:type="dxa"/>
            <w:shd w:val="clear" w:color="auto" w:fill="auto"/>
            <w:vAlign w:val="center"/>
            <w:hideMark/>
          </w:tcPr>
          <w:p w14:paraId="16D181B1" w14:textId="712C6FAE"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137 (134</w:t>
            </w:r>
            <w:r w:rsidR="00245C7E">
              <w:rPr>
                <w:rFonts w:ascii="Book Antiqua" w:hAnsi="Book Antiqua" w:cs="Arial"/>
                <w:szCs w:val="24"/>
              </w:rPr>
              <w:t>-</w:t>
            </w:r>
            <w:r w:rsidRPr="00B909F3">
              <w:rPr>
                <w:rFonts w:ascii="Book Antiqua" w:hAnsi="Book Antiqua" w:cs="Arial"/>
                <w:szCs w:val="24"/>
              </w:rPr>
              <w:t>140)</w:t>
            </w:r>
          </w:p>
        </w:tc>
        <w:tc>
          <w:tcPr>
            <w:tcW w:w="1750" w:type="dxa"/>
            <w:shd w:val="clear" w:color="auto" w:fill="auto"/>
            <w:vAlign w:val="center"/>
            <w:hideMark/>
          </w:tcPr>
          <w:p w14:paraId="7E691580" w14:textId="4A39CAB8"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136 (133</w:t>
            </w:r>
            <w:r w:rsidR="00245C7E">
              <w:rPr>
                <w:rFonts w:ascii="Book Antiqua" w:hAnsi="Book Antiqua" w:cs="Arial"/>
                <w:szCs w:val="24"/>
              </w:rPr>
              <w:t>-</w:t>
            </w:r>
            <w:r w:rsidRPr="00B909F3">
              <w:rPr>
                <w:rFonts w:ascii="Book Antiqua" w:hAnsi="Book Antiqua" w:cs="Arial"/>
                <w:szCs w:val="24"/>
              </w:rPr>
              <w:t>139)</w:t>
            </w:r>
          </w:p>
        </w:tc>
        <w:tc>
          <w:tcPr>
            <w:tcW w:w="1671" w:type="dxa"/>
            <w:shd w:val="clear" w:color="auto" w:fill="auto"/>
            <w:vAlign w:val="center"/>
            <w:hideMark/>
          </w:tcPr>
          <w:p w14:paraId="206AC42A" w14:textId="1F4ECD89"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135 (132</w:t>
            </w:r>
            <w:r w:rsidR="00245C7E">
              <w:rPr>
                <w:rFonts w:ascii="Book Antiqua" w:hAnsi="Book Antiqua" w:cs="Arial"/>
                <w:szCs w:val="24"/>
              </w:rPr>
              <w:t>-</w:t>
            </w:r>
            <w:r w:rsidRPr="00B909F3">
              <w:rPr>
                <w:rFonts w:ascii="Book Antiqua" w:hAnsi="Book Antiqua" w:cs="Arial"/>
                <w:szCs w:val="24"/>
              </w:rPr>
              <w:t>139)</w:t>
            </w:r>
          </w:p>
        </w:tc>
      </w:tr>
      <w:tr w:rsidR="005402FD" w:rsidRPr="00B909F3" w14:paraId="3577FBB0" w14:textId="77777777" w:rsidTr="005402FD">
        <w:trPr>
          <w:trHeight w:val="211"/>
        </w:trPr>
        <w:tc>
          <w:tcPr>
            <w:tcW w:w="8648" w:type="dxa"/>
            <w:gridSpan w:val="4"/>
            <w:shd w:val="clear" w:color="auto" w:fill="auto"/>
            <w:vAlign w:val="center"/>
            <w:hideMark/>
          </w:tcPr>
          <w:p w14:paraId="2A3B0693" w14:textId="2F5511E5" w:rsidR="005402FD" w:rsidRPr="00B909F3" w:rsidRDefault="005402FD" w:rsidP="00197EDE">
            <w:pPr>
              <w:spacing w:after="0" w:line="360" w:lineRule="auto"/>
              <w:ind w:left="-3"/>
              <w:jc w:val="both"/>
              <w:rPr>
                <w:rFonts w:ascii="Book Antiqua" w:hAnsi="Book Antiqua" w:cs="Arial"/>
                <w:szCs w:val="24"/>
              </w:rPr>
            </w:pPr>
            <w:r w:rsidRPr="00B909F3">
              <w:rPr>
                <w:rFonts w:ascii="Book Antiqua" w:hAnsi="Book Antiqua" w:cs="Arial"/>
                <w:szCs w:val="24"/>
              </w:rPr>
              <w:t>Child Pugh score</w:t>
            </w:r>
          </w:p>
        </w:tc>
      </w:tr>
      <w:tr w:rsidR="00DB73D6" w:rsidRPr="00B909F3" w14:paraId="529562D2" w14:textId="77777777" w:rsidTr="005402FD">
        <w:trPr>
          <w:trHeight w:val="211"/>
        </w:trPr>
        <w:tc>
          <w:tcPr>
            <w:tcW w:w="3477" w:type="dxa"/>
            <w:shd w:val="clear" w:color="auto" w:fill="auto"/>
            <w:vAlign w:val="center"/>
            <w:hideMark/>
          </w:tcPr>
          <w:p w14:paraId="56FF50F3"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A (Good)</w:t>
            </w:r>
          </w:p>
        </w:tc>
        <w:tc>
          <w:tcPr>
            <w:tcW w:w="1750" w:type="dxa"/>
            <w:shd w:val="clear" w:color="auto" w:fill="auto"/>
            <w:vAlign w:val="center"/>
            <w:hideMark/>
          </w:tcPr>
          <w:p w14:paraId="1BD1551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23.8</w:t>
            </w:r>
          </w:p>
        </w:tc>
        <w:tc>
          <w:tcPr>
            <w:tcW w:w="1750" w:type="dxa"/>
            <w:shd w:val="clear" w:color="auto" w:fill="auto"/>
            <w:vAlign w:val="center"/>
            <w:hideMark/>
          </w:tcPr>
          <w:p w14:paraId="48BA32E4"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11.8</w:t>
            </w:r>
          </w:p>
        </w:tc>
        <w:tc>
          <w:tcPr>
            <w:tcW w:w="1671" w:type="dxa"/>
            <w:shd w:val="clear" w:color="auto" w:fill="auto"/>
            <w:vAlign w:val="center"/>
            <w:hideMark/>
          </w:tcPr>
          <w:p w14:paraId="2A3F1F02"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4.1</w:t>
            </w:r>
          </w:p>
        </w:tc>
      </w:tr>
      <w:tr w:rsidR="00DB73D6" w:rsidRPr="00B909F3" w14:paraId="28CFA6AA" w14:textId="77777777" w:rsidTr="005402FD">
        <w:trPr>
          <w:trHeight w:val="211"/>
        </w:trPr>
        <w:tc>
          <w:tcPr>
            <w:tcW w:w="3477" w:type="dxa"/>
            <w:shd w:val="clear" w:color="auto" w:fill="auto"/>
            <w:vAlign w:val="center"/>
            <w:hideMark/>
          </w:tcPr>
          <w:p w14:paraId="47FCFCFD"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B (Fair)</w:t>
            </w:r>
          </w:p>
        </w:tc>
        <w:tc>
          <w:tcPr>
            <w:tcW w:w="1750" w:type="dxa"/>
            <w:shd w:val="clear" w:color="auto" w:fill="auto"/>
            <w:vAlign w:val="center"/>
            <w:hideMark/>
          </w:tcPr>
          <w:p w14:paraId="4F824290"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38.7</w:t>
            </w:r>
          </w:p>
        </w:tc>
        <w:tc>
          <w:tcPr>
            <w:tcW w:w="1750" w:type="dxa"/>
            <w:shd w:val="clear" w:color="auto" w:fill="auto"/>
            <w:vAlign w:val="center"/>
            <w:hideMark/>
          </w:tcPr>
          <w:p w14:paraId="5340612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33.8</w:t>
            </w:r>
          </w:p>
        </w:tc>
        <w:tc>
          <w:tcPr>
            <w:tcW w:w="1671" w:type="dxa"/>
            <w:shd w:val="clear" w:color="auto" w:fill="auto"/>
            <w:vAlign w:val="center"/>
            <w:hideMark/>
          </w:tcPr>
          <w:p w14:paraId="67DD1DDD"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18.5</w:t>
            </w:r>
          </w:p>
        </w:tc>
      </w:tr>
      <w:tr w:rsidR="00DB73D6" w:rsidRPr="00B909F3" w14:paraId="1C2AEFC2" w14:textId="77777777" w:rsidTr="005402FD">
        <w:trPr>
          <w:trHeight w:val="211"/>
        </w:trPr>
        <w:tc>
          <w:tcPr>
            <w:tcW w:w="3477" w:type="dxa"/>
            <w:shd w:val="clear" w:color="auto" w:fill="auto"/>
            <w:vAlign w:val="center"/>
            <w:hideMark/>
          </w:tcPr>
          <w:p w14:paraId="41399981"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C (Poor)</w:t>
            </w:r>
          </w:p>
        </w:tc>
        <w:tc>
          <w:tcPr>
            <w:tcW w:w="1750" w:type="dxa"/>
            <w:shd w:val="clear" w:color="auto" w:fill="auto"/>
            <w:vAlign w:val="center"/>
            <w:hideMark/>
          </w:tcPr>
          <w:p w14:paraId="59C2CA3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37.5</w:t>
            </w:r>
          </w:p>
        </w:tc>
        <w:tc>
          <w:tcPr>
            <w:tcW w:w="1750" w:type="dxa"/>
            <w:shd w:val="clear" w:color="auto" w:fill="auto"/>
            <w:vAlign w:val="center"/>
            <w:hideMark/>
          </w:tcPr>
          <w:p w14:paraId="20D4B6D0"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54.4</w:t>
            </w:r>
          </w:p>
        </w:tc>
        <w:tc>
          <w:tcPr>
            <w:tcW w:w="1671" w:type="dxa"/>
            <w:shd w:val="clear" w:color="auto" w:fill="auto"/>
            <w:vAlign w:val="center"/>
            <w:hideMark/>
          </w:tcPr>
          <w:p w14:paraId="1B7615B1"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77.4</w:t>
            </w:r>
          </w:p>
        </w:tc>
      </w:tr>
      <w:tr w:rsidR="005402FD" w:rsidRPr="00B909F3" w14:paraId="53CDD10A" w14:textId="77777777" w:rsidTr="005402FD">
        <w:trPr>
          <w:trHeight w:val="211"/>
        </w:trPr>
        <w:tc>
          <w:tcPr>
            <w:tcW w:w="8648" w:type="dxa"/>
            <w:gridSpan w:val="4"/>
            <w:shd w:val="clear" w:color="auto" w:fill="auto"/>
            <w:vAlign w:val="center"/>
            <w:hideMark/>
          </w:tcPr>
          <w:p w14:paraId="01A28B7C" w14:textId="5AB2535A" w:rsidR="005402FD" w:rsidRPr="00B909F3" w:rsidRDefault="005402FD" w:rsidP="00197EDE">
            <w:pPr>
              <w:spacing w:after="0" w:line="360" w:lineRule="auto"/>
              <w:ind w:left="-3"/>
              <w:jc w:val="both"/>
              <w:rPr>
                <w:rFonts w:ascii="Book Antiqua" w:hAnsi="Book Antiqua" w:cs="Arial"/>
                <w:szCs w:val="24"/>
              </w:rPr>
            </w:pPr>
            <w:proofErr w:type="spellStart"/>
            <w:r w:rsidRPr="00B909F3">
              <w:rPr>
                <w:rFonts w:ascii="Book Antiqua" w:hAnsi="Book Antiqua" w:cs="Arial"/>
                <w:szCs w:val="24"/>
              </w:rPr>
              <w:t>Ascites</w:t>
            </w:r>
            <w:r w:rsidRPr="00B909F3">
              <w:rPr>
                <w:rFonts w:ascii="Book Antiqua" w:hAnsi="Book Antiqua" w:cs="Arial"/>
                <w:szCs w:val="24"/>
                <w:vertAlign w:val="superscript"/>
              </w:rPr>
              <w:t>c</w:t>
            </w:r>
            <w:proofErr w:type="spellEnd"/>
          </w:p>
        </w:tc>
      </w:tr>
      <w:tr w:rsidR="00DB73D6" w:rsidRPr="00B909F3" w14:paraId="17CF3434" w14:textId="77777777" w:rsidTr="005402FD">
        <w:trPr>
          <w:trHeight w:val="211"/>
        </w:trPr>
        <w:tc>
          <w:tcPr>
            <w:tcW w:w="3477" w:type="dxa"/>
            <w:shd w:val="clear" w:color="auto" w:fill="auto"/>
            <w:vAlign w:val="center"/>
            <w:hideMark/>
          </w:tcPr>
          <w:p w14:paraId="19D940EE"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None</w:t>
            </w:r>
          </w:p>
        </w:tc>
        <w:tc>
          <w:tcPr>
            <w:tcW w:w="1750" w:type="dxa"/>
            <w:shd w:val="clear" w:color="auto" w:fill="auto"/>
            <w:vAlign w:val="center"/>
            <w:hideMark/>
          </w:tcPr>
          <w:p w14:paraId="3E9CB6AA"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36.9</w:t>
            </w:r>
          </w:p>
        </w:tc>
        <w:tc>
          <w:tcPr>
            <w:tcW w:w="1750" w:type="dxa"/>
            <w:shd w:val="clear" w:color="auto" w:fill="auto"/>
            <w:vAlign w:val="center"/>
            <w:hideMark/>
          </w:tcPr>
          <w:p w14:paraId="1D18672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23.0</w:t>
            </w:r>
          </w:p>
        </w:tc>
        <w:tc>
          <w:tcPr>
            <w:tcW w:w="1671" w:type="dxa"/>
            <w:shd w:val="clear" w:color="auto" w:fill="auto"/>
            <w:vAlign w:val="center"/>
            <w:hideMark/>
          </w:tcPr>
          <w:p w14:paraId="4C3B3E3B"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14.0</w:t>
            </w:r>
          </w:p>
        </w:tc>
      </w:tr>
      <w:tr w:rsidR="00DB73D6" w:rsidRPr="00B909F3" w14:paraId="576F4A04" w14:textId="77777777" w:rsidTr="005402FD">
        <w:trPr>
          <w:trHeight w:val="211"/>
        </w:trPr>
        <w:tc>
          <w:tcPr>
            <w:tcW w:w="3477" w:type="dxa"/>
            <w:shd w:val="clear" w:color="auto" w:fill="auto"/>
            <w:vAlign w:val="center"/>
            <w:hideMark/>
          </w:tcPr>
          <w:p w14:paraId="03126F68"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Mild/Moderate</w:t>
            </w:r>
          </w:p>
        </w:tc>
        <w:tc>
          <w:tcPr>
            <w:tcW w:w="1750" w:type="dxa"/>
            <w:shd w:val="clear" w:color="auto" w:fill="auto"/>
            <w:vAlign w:val="center"/>
            <w:hideMark/>
          </w:tcPr>
          <w:p w14:paraId="7548AB51"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48.4</w:t>
            </w:r>
          </w:p>
        </w:tc>
        <w:tc>
          <w:tcPr>
            <w:tcW w:w="1750" w:type="dxa"/>
            <w:shd w:val="clear" w:color="auto" w:fill="auto"/>
            <w:vAlign w:val="center"/>
            <w:hideMark/>
          </w:tcPr>
          <w:p w14:paraId="7FE127A7"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52.4</w:t>
            </w:r>
          </w:p>
        </w:tc>
        <w:tc>
          <w:tcPr>
            <w:tcW w:w="1671" w:type="dxa"/>
            <w:shd w:val="clear" w:color="auto" w:fill="auto"/>
            <w:vAlign w:val="center"/>
            <w:hideMark/>
          </w:tcPr>
          <w:p w14:paraId="7BBB31B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43.5</w:t>
            </w:r>
          </w:p>
        </w:tc>
      </w:tr>
      <w:tr w:rsidR="00DB73D6" w:rsidRPr="00B909F3" w14:paraId="4F5B90EF" w14:textId="77777777" w:rsidTr="005402FD">
        <w:trPr>
          <w:trHeight w:val="211"/>
        </w:trPr>
        <w:tc>
          <w:tcPr>
            <w:tcW w:w="3477" w:type="dxa"/>
            <w:shd w:val="clear" w:color="auto" w:fill="auto"/>
            <w:vAlign w:val="center"/>
            <w:hideMark/>
          </w:tcPr>
          <w:p w14:paraId="63776420"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Severe</w:t>
            </w:r>
          </w:p>
        </w:tc>
        <w:tc>
          <w:tcPr>
            <w:tcW w:w="1750" w:type="dxa"/>
            <w:shd w:val="clear" w:color="auto" w:fill="auto"/>
            <w:vAlign w:val="center"/>
            <w:hideMark/>
          </w:tcPr>
          <w:p w14:paraId="7649164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14.8</w:t>
            </w:r>
          </w:p>
        </w:tc>
        <w:tc>
          <w:tcPr>
            <w:tcW w:w="1750" w:type="dxa"/>
            <w:shd w:val="clear" w:color="auto" w:fill="auto"/>
            <w:vAlign w:val="center"/>
            <w:hideMark/>
          </w:tcPr>
          <w:p w14:paraId="6CE9CA1C"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24.6</w:t>
            </w:r>
          </w:p>
        </w:tc>
        <w:tc>
          <w:tcPr>
            <w:tcW w:w="1671" w:type="dxa"/>
            <w:shd w:val="clear" w:color="auto" w:fill="auto"/>
            <w:vAlign w:val="center"/>
            <w:hideMark/>
          </w:tcPr>
          <w:p w14:paraId="5FFB864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42.6</w:t>
            </w:r>
          </w:p>
        </w:tc>
      </w:tr>
      <w:tr w:rsidR="005402FD" w:rsidRPr="00B909F3" w14:paraId="6EFBAB7D" w14:textId="77777777" w:rsidTr="005402FD">
        <w:trPr>
          <w:trHeight w:val="211"/>
        </w:trPr>
        <w:tc>
          <w:tcPr>
            <w:tcW w:w="8648" w:type="dxa"/>
            <w:gridSpan w:val="4"/>
            <w:shd w:val="clear" w:color="auto" w:fill="auto"/>
            <w:vAlign w:val="center"/>
            <w:hideMark/>
          </w:tcPr>
          <w:p w14:paraId="0F0286D7" w14:textId="229088D2" w:rsidR="005402FD" w:rsidRPr="00B909F3" w:rsidRDefault="005402FD" w:rsidP="00197EDE">
            <w:pPr>
              <w:spacing w:after="0" w:line="360" w:lineRule="auto"/>
              <w:ind w:left="-3"/>
              <w:jc w:val="both"/>
              <w:rPr>
                <w:rFonts w:ascii="Book Antiqua" w:hAnsi="Book Antiqua" w:cs="Arial"/>
                <w:szCs w:val="24"/>
                <w:vertAlign w:val="superscript"/>
              </w:rPr>
            </w:pPr>
            <w:proofErr w:type="spellStart"/>
            <w:r w:rsidRPr="00B909F3">
              <w:rPr>
                <w:rFonts w:ascii="Book Antiqua" w:hAnsi="Book Antiqua" w:cs="Arial"/>
                <w:szCs w:val="24"/>
              </w:rPr>
              <w:lastRenderedPageBreak/>
              <w:t>Encephalopathy</w:t>
            </w:r>
            <w:r w:rsidRPr="00B909F3">
              <w:rPr>
                <w:rFonts w:ascii="Book Antiqua" w:hAnsi="Book Antiqua" w:cs="Arial"/>
                <w:szCs w:val="24"/>
                <w:vertAlign w:val="superscript"/>
              </w:rPr>
              <w:t>d</w:t>
            </w:r>
            <w:proofErr w:type="spellEnd"/>
          </w:p>
        </w:tc>
      </w:tr>
      <w:tr w:rsidR="00DB73D6" w:rsidRPr="00B909F3" w14:paraId="341D56CA" w14:textId="77777777" w:rsidTr="005402FD">
        <w:trPr>
          <w:trHeight w:val="73"/>
        </w:trPr>
        <w:tc>
          <w:tcPr>
            <w:tcW w:w="3477" w:type="dxa"/>
            <w:shd w:val="clear" w:color="auto" w:fill="auto"/>
            <w:vAlign w:val="center"/>
            <w:hideMark/>
          </w:tcPr>
          <w:p w14:paraId="47EEBBE4"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None</w:t>
            </w:r>
          </w:p>
        </w:tc>
        <w:tc>
          <w:tcPr>
            <w:tcW w:w="1750" w:type="dxa"/>
            <w:shd w:val="clear" w:color="auto" w:fill="auto"/>
            <w:vAlign w:val="center"/>
            <w:hideMark/>
          </w:tcPr>
          <w:p w14:paraId="2CAAFFC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52.7</w:t>
            </w:r>
          </w:p>
        </w:tc>
        <w:tc>
          <w:tcPr>
            <w:tcW w:w="1750" w:type="dxa"/>
            <w:shd w:val="clear" w:color="auto" w:fill="auto"/>
            <w:vAlign w:val="center"/>
            <w:hideMark/>
          </w:tcPr>
          <w:p w14:paraId="372463D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36.6</w:t>
            </w:r>
          </w:p>
        </w:tc>
        <w:tc>
          <w:tcPr>
            <w:tcW w:w="1671" w:type="dxa"/>
            <w:shd w:val="clear" w:color="auto" w:fill="auto"/>
            <w:vAlign w:val="center"/>
            <w:hideMark/>
          </w:tcPr>
          <w:p w14:paraId="0A171F6D"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26.0</w:t>
            </w:r>
          </w:p>
        </w:tc>
      </w:tr>
      <w:tr w:rsidR="00DB73D6" w:rsidRPr="00B909F3" w14:paraId="1962B638" w14:textId="77777777" w:rsidTr="005402FD">
        <w:trPr>
          <w:trHeight w:val="73"/>
        </w:trPr>
        <w:tc>
          <w:tcPr>
            <w:tcW w:w="3477" w:type="dxa"/>
            <w:shd w:val="clear" w:color="auto" w:fill="auto"/>
            <w:vAlign w:val="center"/>
            <w:hideMark/>
          </w:tcPr>
          <w:p w14:paraId="64975414" w14:textId="56EFBAF8"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Grade 1</w:t>
            </w:r>
            <w:r w:rsidR="005402FD" w:rsidRPr="00B909F3">
              <w:rPr>
                <w:rFonts w:ascii="Book Antiqua" w:hAnsi="Book Antiqua" w:cs="Arial"/>
                <w:szCs w:val="24"/>
              </w:rPr>
              <w:t>-</w:t>
            </w:r>
            <w:r w:rsidRPr="00B909F3">
              <w:rPr>
                <w:rFonts w:ascii="Book Antiqua" w:hAnsi="Book Antiqua" w:cs="Arial"/>
                <w:szCs w:val="24"/>
              </w:rPr>
              <w:t>2</w:t>
            </w:r>
          </w:p>
        </w:tc>
        <w:tc>
          <w:tcPr>
            <w:tcW w:w="1750" w:type="dxa"/>
            <w:shd w:val="clear" w:color="auto" w:fill="auto"/>
            <w:vAlign w:val="center"/>
            <w:hideMark/>
          </w:tcPr>
          <w:p w14:paraId="1C81752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44.4</w:t>
            </w:r>
          </w:p>
        </w:tc>
        <w:tc>
          <w:tcPr>
            <w:tcW w:w="1750" w:type="dxa"/>
            <w:shd w:val="clear" w:color="auto" w:fill="auto"/>
            <w:vAlign w:val="center"/>
            <w:hideMark/>
          </w:tcPr>
          <w:p w14:paraId="2D785CF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57.5</w:t>
            </w:r>
          </w:p>
        </w:tc>
        <w:tc>
          <w:tcPr>
            <w:tcW w:w="1671" w:type="dxa"/>
            <w:shd w:val="clear" w:color="auto" w:fill="auto"/>
            <w:vAlign w:val="center"/>
            <w:hideMark/>
          </w:tcPr>
          <w:p w14:paraId="7D935CF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61.4</w:t>
            </w:r>
          </w:p>
        </w:tc>
      </w:tr>
      <w:tr w:rsidR="00DB73D6" w:rsidRPr="00B909F3" w14:paraId="387516E1" w14:textId="77777777" w:rsidTr="005402FD">
        <w:trPr>
          <w:trHeight w:val="73"/>
        </w:trPr>
        <w:tc>
          <w:tcPr>
            <w:tcW w:w="3477" w:type="dxa"/>
            <w:shd w:val="clear" w:color="auto" w:fill="auto"/>
            <w:vAlign w:val="center"/>
            <w:hideMark/>
          </w:tcPr>
          <w:p w14:paraId="7AF53C43" w14:textId="6D19865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Grade 3</w:t>
            </w:r>
            <w:r w:rsidR="005402FD" w:rsidRPr="00B909F3">
              <w:rPr>
                <w:rFonts w:ascii="Book Antiqua" w:hAnsi="Book Antiqua" w:cs="Arial"/>
                <w:szCs w:val="24"/>
              </w:rPr>
              <w:t>-</w:t>
            </w:r>
            <w:r w:rsidRPr="00B909F3">
              <w:rPr>
                <w:rFonts w:ascii="Book Antiqua" w:hAnsi="Book Antiqua" w:cs="Arial"/>
                <w:szCs w:val="24"/>
              </w:rPr>
              <w:t>4</w:t>
            </w:r>
          </w:p>
        </w:tc>
        <w:tc>
          <w:tcPr>
            <w:tcW w:w="1750" w:type="dxa"/>
            <w:shd w:val="clear" w:color="auto" w:fill="auto"/>
            <w:vAlign w:val="center"/>
            <w:hideMark/>
          </w:tcPr>
          <w:p w14:paraId="2D15BFD7"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2.9</w:t>
            </w:r>
          </w:p>
        </w:tc>
        <w:tc>
          <w:tcPr>
            <w:tcW w:w="1750" w:type="dxa"/>
            <w:shd w:val="clear" w:color="auto" w:fill="auto"/>
            <w:vAlign w:val="center"/>
            <w:hideMark/>
          </w:tcPr>
          <w:p w14:paraId="366D6B5B"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5.9</w:t>
            </w:r>
          </w:p>
        </w:tc>
        <w:tc>
          <w:tcPr>
            <w:tcW w:w="1671" w:type="dxa"/>
            <w:shd w:val="clear" w:color="auto" w:fill="auto"/>
            <w:vAlign w:val="center"/>
            <w:hideMark/>
          </w:tcPr>
          <w:p w14:paraId="1EBC4A24"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12.6</w:t>
            </w:r>
          </w:p>
        </w:tc>
      </w:tr>
      <w:tr w:rsidR="005402FD" w:rsidRPr="00B909F3" w14:paraId="397166FE" w14:textId="77777777" w:rsidTr="005402FD">
        <w:trPr>
          <w:trHeight w:val="73"/>
        </w:trPr>
        <w:tc>
          <w:tcPr>
            <w:tcW w:w="8648" w:type="dxa"/>
            <w:gridSpan w:val="4"/>
            <w:shd w:val="clear" w:color="auto" w:fill="auto"/>
            <w:vAlign w:val="center"/>
            <w:hideMark/>
          </w:tcPr>
          <w:p w14:paraId="7AE4DFFA" w14:textId="167F67C6" w:rsidR="005402FD" w:rsidRPr="00B909F3" w:rsidRDefault="005402FD" w:rsidP="00197EDE">
            <w:pPr>
              <w:spacing w:after="0" w:line="360" w:lineRule="auto"/>
              <w:ind w:left="-3"/>
              <w:jc w:val="both"/>
              <w:rPr>
                <w:rFonts w:ascii="Book Antiqua" w:hAnsi="Book Antiqua" w:cs="Arial"/>
                <w:szCs w:val="24"/>
              </w:rPr>
            </w:pPr>
            <w:r w:rsidRPr="00B909F3">
              <w:rPr>
                <w:rFonts w:ascii="Book Antiqua" w:hAnsi="Book Antiqua" w:cs="Arial"/>
                <w:szCs w:val="24"/>
              </w:rPr>
              <w:t>Albumin</w:t>
            </w:r>
          </w:p>
        </w:tc>
      </w:tr>
      <w:tr w:rsidR="00DB73D6" w:rsidRPr="00B909F3" w14:paraId="0847A991" w14:textId="77777777" w:rsidTr="005402FD">
        <w:trPr>
          <w:trHeight w:val="122"/>
        </w:trPr>
        <w:tc>
          <w:tcPr>
            <w:tcW w:w="3477" w:type="dxa"/>
            <w:shd w:val="clear" w:color="auto" w:fill="auto"/>
            <w:vAlign w:val="center"/>
            <w:hideMark/>
          </w:tcPr>
          <w:p w14:paraId="4E88EAC6"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&gt; 3.5</w:t>
            </w:r>
          </w:p>
        </w:tc>
        <w:tc>
          <w:tcPr>
            <w:tcW w:w="1750" w:type="dxa"/>
            <w:shd w:val="clear" w:color="auto" w:fill="auto"/>
            <w:vAlign w:val="center"/>
            <w:hideMark/>
          </w:tcPr>
          <w:p w14:paraId="75A3993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26.7</w:t>
            </w:r>
          </w:p>
        </w:tc>
        <w:tc>
          <w:tcPr>
            <w:tcW w:w="1750" w:type="dxa"/>
            <w:shd w:val="clear" w:color="auto" w:fill="auto"/>
            <w:vAlign w:val="center"/>
            <w:hideMark/>
          </w:tcPr>
          <w:p w14:paraId="203A241C"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19.3</w:t>
            </w:r>
          </w:p>
        </w:tc>
        <w:tc>
          <w:tcPr>
            <w:tcW w:w="1671" w:type="dxa"/>
            <w:shd w:val="clear" w:color="auto" w:fill="auto"/>
            <w:vAlign w:val="center"/>
            <w:hideMark/>
          </w:tcPr>
          <w:p w14:paraId="7187F825"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22.8</w:t>
            </w:r>
          </w:p>
        </w:tc>
      </w:tr>
      <w:tr w:rsidR="00DB73D6" w:rsidRPr="00B909F3" w14:paraId="27D1F51B" w14:textId="77777777" w:rsidTr="005402FD">
        <w:trPr>
          <w:trHeight w:val="74"/>
        </w:trPr>
        <w:tc>
          <w:tcPr>
            <w:tcW w:w="3477" w:type="dxa"/>
            <w:shd w:val="clear" w:color="auto" w:fill="auto"/>
            <w:vAlign w:val="center"/>
            <w:hideMark/>
          </w:tcPr>
          <w:p w14:paraId="4040D88C" w14:textId="4834FCE2"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2.8</w:t>
            </w:r>
            <w:r w:rsidR="005402FD" w:rsidRPr="00B909F3">
              <w:rPr>
                <w:rFonts w:ascii="Book Antiqua" w:hAnsi="Book Antiqua" w:cs="Arial"/>
                <w:szCs w:val="24"/>
              </w:rPr>
              <w:t>-</w:t>
            </w:r>
            <w:r w:rsidRPr="00B909F3">
              <w:rPr>
                <w:rFonts w:ascii="Book Antiqua" w:hAnsi="Book Antiqua" w:cs="Arial"/>
                <w:szCs w:val="24"/>
              </w:rPr>
              <w:t>3.5</w:t>
            </w:r>
          </w:p>
        </w:tc>
        <w:tc>
          <w:tcPr>
            <w:tcW w:w="1750" w:type="dxa"/>
            <w:shd w:val="clear" w:color="auto" w:fill="auto"/>
            <w:vAlign w:val="center"/>
            <w:hideMark/>
          </w:tcPr>
          <w:p w14:paraId="12C0478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41.7</w:t>
            </w:r>
          </w:p>
        </w:tc>
        <w:tc>
          <w:tcPr>
            <w:tcW w:w="1750" w:type="dxa"/>
            <w:shd w:val="clear" w:color="auto" w:fill="auto"/>
            <w:vAlign w:val="center"/>
            <w:hideMark/>
          </w:tcPr>
          <w:p w14:paraId="7584E99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41.2</w:t>
            </w:r>
          </w:p>
        </w:tc>
        <w:tc>
          <w:tcPr>
            <w:tcW w:w="1671" w:type="dxa"/>
            <w:shd w:val="clear" w:color="auto" w:fill="auto"/>
            <w:vAlign w:val="center"/>
            <w:hideMark/>
          </w:tcPr>
          <w:p w14:paraId="070361F7"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39.0</w:t>
            </w:r>
          </w:p>
        </w:tc>
      </w:tr>
      <w:tr w:rsidR="00DB73D6" w:rsidRPr="00B909F3" w14:paraId="3FE32FF4" w14:textId="77777777" w:rsidTr="005402FD">
        <w:trPr>
          <w:trHeight w:val="73"/>
        </w:trPr>
        <w:tc>
          <w:tcPr>
            <w:tcW w:w="3477" w:type="dxa"/>
            <w:shd w:val="clear" w:color="auto" w:fill="auto"/>
            <w:vAlign w:val="center"/>
            <w:hideMark/>
          </w:tcPr>
          <w:p w14:paraId="3CB4E560" w14:textId="77777777" w:rsidR="00DB73D6" w:rsidRPr="00B909F3" w:rsidRDefault="00DB73D6" w:rsidP="00197EDE">
            <w:pPr>
              <w:spacing w:after="0" w:line="360" w:lineRule="auto"/>
              <w:ind w:left="-3" w:firstLineChars="100" w:firstLine="240"/>
              <w:jc w:val="both"/>
              <w:rPr>
                <w:rFonts w:ascii="Book Antiqua" w:hAnsi="Book Antiqua" w:cs="Arial"/>
                <w:szCs w:val="24"/>
              </w:rPr>
            </w:pPr>
            <w:r w:rsidRPr="00B909F3">
              <w:rPr>
                <w:rFonts w:ascii="Book Antiqua" w:hAnsi="Book Antiqua" w:cs="Arial"/>
                <w:szCs w:val="24"/>
              </w:rPr>
              <w:t>&lt; 2.8</w:t>
            </w:r>
          </w:p>
        </w:tc>
        <w:tc>
          <w:tcPr>
            <w:tcW w:w="1750" w:type="dxa"/>
            <w:shd w:val="clear" w:color="auto" w:fill="auto"/>
            <w:vAlign w:val="center"/>
            <w:hideMark/>
          </w:tcPr>
          <w:p w14:paraId="02D0622E"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31.6</w:t>
            </w:r>
          </w:p>
        </w:tc>
        <w:tc>
          <w:tcPr>
            <w:tcW w:w="1750" w:type="dxa"/>
            <w:shd w:val="clear" w:color="auto" w:fill="auto"/>
            <w:vAlign w:val="center"/>
            <w:hideMark/>
          </w:tcPr>
          <w:p w14:paraId="0F532B12"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39.6</w:t>
            </w:r>
          </w:p>
        </w:tc>
        <w:tc>
          <w:tcPr>
            <w:tcW w:w="1671" w:type="dxa"/>
            <w:shd w:val="clear" w:color="auto" w:fill="auto"/>
            <w:vAlign w:val="center"/>
            <w:hideMark/>
          </w:tcPr>
          <w:p w14:paraId="04A81967"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38.2</w:t>
            </w:r>
          </w:p>
        </w:tc>
      </w:tr>
      <w:tr w:rsidR="00DB73D6" w:rsidRPr="00B909F3" w14:paraId="08112BEE" w14:textId="77777777" w:rsidTr="005402FD">
        <w:trPr>
          <w:trHeight w:val="211"/>
        </w:trPr>
        <w:tc>
          <w:tcPr>
            <w:tcW w:w="3477" w:type="dxa"/>
            <w:shd w:val="clear" w:color="auto" w:fill="auto"/>
            <w:vAlign w:val="center"/>
            <w:hideMark/>
          </w:tcPr>
          <w:p w14:paraId="09B36B93" w14:textId="77777777" w:rsidR="00DB73D6" w:rsidRPr="00B909F3" w:rsidRDefault="00DB73D6" w:rsidP="00197EDE">
            <w:pPr>
              <w:spacing w:after="0" w:line="360" w:lineRule="auto"/>
              <w:jc w:val="both"/>
              <w:rPr>
                <w:rFonts w:ascii="Book Antiqua" w:hAnsi="Book Antiqua" w:cs="Arial"/>
                <w:szCs w:val="24"/>
              </w:rPr>
            </w:pPr>
            <w:proofErr w:type="spellStart"/>
            <w:r w:rsidRPr="00B909F3">
              <w:rPr>
                <w:rFonts w:ascii="Book Antiqua" w:hAnsi="Book Antiqua" w:cs="Arial"/>
                <w:szCs w:val="24"/>
              </w:rPr>
              <w:t>Dialysis</w:t>
            </w:r>
            <w:r w:rsidRPr="00B909F3">
              <w:rPr>
                <w:rFonts w:ascii="Book Antiqua" w:hAnsi="Book Antiqua" w:cs="Arial"/>
                <w:szCs w:val="24"/>
                <w:vertAlign w:val="superscript"/>
              </w:rPr>
              <w:t>e</w:t>
            </w:r>
            <w:proofErr w:type="spellEnd"/>
          </w:p>
        </w:tc>
        <w:tc>
          <w:tcPr>
            <w:tcW w:w="1750" w:type="dxa"/>
            <w:shd w:val="clear" w:color="auto" w:fill="auto"/>
            <w:vAlign w:val="center"/>
            <w:hideMark/>
          </w:tcPr>
          <w:p w14:paraId="4332A844"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0.9</w:t>
            </w:r>
          </w:p>
        </w:tc>
        <w:tc>
          <w:tcPr>
            <w:tcW w:w="1750" w:type="dxa"/>
            <w:shd w:val="clear" w:color="auto" w:fill="auto"/>
            <w:vAlign w:val="center"/>
            <w:hideMark/>
          </w:tcPr>
          <w:p w14:paraId="096E0595"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1.6</w:t>
            </w:r>
          </w:p>
        </w:tc>
        <w:tc>
          <w:tcPr>
            <w:tcW w:w="1671" w:type="dxa"/>
            <w:shd w:val="clear" w:color="auto" w:fill="auto"/>
            <w:vAlign w:val="center"/>
            <w:hideMark/>
          </w:tcPr>
          <w:p w14:paraId="5CD8E68A"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10.9</w:t>
            </w:r>
          </w:p>
        </w:tc>
      </w:tr>
      <w:tr w:rsidR="00DB73D6" w:rsidRPr="00B909F3" w14:paraId="6698BC1C" w14:textId="77777777" w:rsidTr="005402FD">
        <w:trPr>
          <w:trHeight w:val="73"/>
        </w:trPr>
        <w:tc>
          <w:tcPr>
            <w:tcW w:w="3477" w:type="dxa"/>
            <w:shd w:val="clear" w:color="auto" w:fill="auto"/>
            <w:vAlign w:val="center"/>
            <w:hideMark/>
          </w:tcPr>
          <w:p w14:paraId="15CEFD3D"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Portal Vein Thrombosis</w:t>
            </w:r>
          </w:p>
        </w:tc>
        <w:tc>
          <w:tcPr>
            <w:tcW w:w="1750" w:type="dxa"/>
            <w:shd w:val="clear" w:color="auto" w:fill="auto"/>
            <w:vAlign w:val="center"/>
            <w:hideMark/>
          </w:tcPr>
          <w:p w14:paraId="40D5D458"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6.5</w:t>
            </w:r>
          </w:p>
        </w:tc>
        <w:tc>
          <w:tcPr>
            <w:tcW w:w="1750" w:type="dxa"/>
            <w:shd w:val="clear" w:color="auto" w:fill="auto"/>
            <w:vAlign w:val="center"/>
            <w:hideMark/>
          </w:tcPr>
          <w:p w14:paraId="663FFCDF"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9.7</w:t>
            </w:r>
          </w:p>
        </w:tc>
        <w:tc>
          <w:tcPr>
            <w:tcW w:w="1671" w:type="dxa"/>
            <w:shd w:val="clear" w:color="auto" w:fill="auto"/>
            <w:vAlign w:val="center"/>
            <w:hideMark/>
          </w:tcPr>
          <w:p w14:paraId="3FD4ED19" w14:textId="77777777" w:rsidR="00DB73D6" w:rsidRPr="00B909F3" w:rsidRDefault="00DB73D6" w:rsidP="00197EDE">
            <w:pPr>
              <w:spacing w:after="0" w:line="360" w:lineRule="auto"/>
              <w:jc w:val="both"/>
              <w:rPr>
                <w:rFonts w:ascii="Book Antiqua" w:hAnsi="Book Antiqua" w:cs="Arial"/>
                <w:szCs w:val="24"/>
              </w:rPr>
            </w:pPr>
            <w:r w:rsidRPr="00B909F3">
              <w:rPr>
                <w:rFonts w:ascii="Book Antiqua" w:hAnsi="Book Antiqua" w:cs="Arial"/>
                <w:szCs w:val="24"/>
              </w:rPr>
              <w:t>12.4</w:t>
            </w:r>
          </w:p>
        </w:tc>
      </w:tr>
    </w:tbl>
    <w:p w14:paraId="2A97DE5A" w14:textId="325F767F" w:rsidR="00DB73D6" w:rsidRPr="00245C7E" w:rsidRDefault="00245C7E" w:rsidP="00197EDE">
      <w:pPr>
        <w:spacing w:after="0" w:line="360" w:lineRule="auto"/>
        <w:jc w:val="both"/>
        <w:rPr>
          <w:rFonts w:ascii="Book Antiqua" w:hAnsi="Book Antiqua" w:cs="Arial"/>
          <w:szCs w:val="24"/>
        </w:rPr>
      </w:pPr>
      <w:proofErr w:type="spellStart"/>
      <w:r w:rsidRPr="00B909F3">
        <w:rPr>
          <w:rFonts w:ascii="Book Antiqua" w:hAnsi="Book Antiqua" w:cs="Arial"/>
          <w:szCs w:val="24"/>
          <w:vertAlign w:val="superscript"/>
        </w:rPr>
        <w:t>a</w:t>
      </w:r>
      <w:r w:rsidRPr="00B909F3">
        <w:rPr>
          <w:rFonts w:ascii="Book Antiqua" w:hAnsi="Book Antiqua" w:cs="Arial"/>
          <w:szCs w:val="24"/>
        </w:rPr>
        <w:t>Column</w:t>
      </w:r>
      <w:proofErr w:type="spellEnd"/>
      <w:r w:rsidRPr="00B909F3">
        <w:rPr>
          <w:rFonts w:ascii="Book Antiqua" w:hAnsi="Book Antiqua" w:cs="Arial"/>
          <w:szCs w:val="24"/>
        </w:rPr>
        <w:t xml:space="preserve"> percentage or median (interquartile range)</w:t>
      </w:r>
      <w:r>
        <w:rPr>
          <w:rFonts w:ascii="Book Antiqua" w:hAnsi="Book Antiqua" w:cs="Arial"/>
          <w:szCs w:val="24"/>
        </w:rPr>
        <w:t>;</w:t>
      </w:r>
      <w:r w:rsidRPr="00B909F3">
        <w:rPr>
          <w:rFonts w:ascii="Book Antiqua" w:hAnsi="Book Antiqua" w:cs="Arial"/>
          <w:szCs w:val="24"/>
        </w:rPr>
        <w:t xml:space="preserve"> </w:t>
      </w:r>
      <w:proofErr w:type="spellStart"/>
      <w:r w:rsidRPr="00B909F3">
        <w:rPr>
          <w:rFonts w:ascii="Book Antiqua" w:hAnsi="Book Antiqua" w:cs="Arial"/>
          <w:szCs w:val="24"/>
          <w:vertAlign w:val="superscript"/>
        </w:rPr>
        <w:t>b</w:t>
      </w:r>
      <w:r w:rsidRPr="00B909F3">
        <w:rPr>
          <w:rFonts w:ascii="Book Antiqua" w:hAnsi="Book Antiqua" w:cs="Arial"/>
          <w:szCs w:val="24"/>
        </w:rPr>
        <w:t>Relative</w:t>
      </w:r>
      <w:proofErr w:type="spellEnd"/>
      <w:r w:rsidRPr="00B909F3">
        <w:rPr>
          <w:rFonts w:ascii="Book Antiqua" w:hAnsi="Book Antiqua" w:cs="Arial"/>
          <w:szCs w:val="24"/>
        </w:rPr>
        <w:t xml:space="preserve"> to weight at time of waitlist registration</w:t>
      </w:r>
      <w:r>
        <w:rPr>
          <w:rFonts w:ascii="Book Antiqua" w:hAnsi="Book Antiqua" w:cs="Arial"/>
          <w:szCs w:val="24"/>
        </w:rPr>
        <w:t>;</w:t>
      </w:r>
      <w:r w:rsidRPr="00B909F3">
        <w:rPr>
          <w:rFonts w:ascii="Book Antiqua" w:hAnsi="Book Antiqua" w:cs="Arial"/>
          <w:szCs w:val="24"/>
        </w:rPr>
        <w:t xml:space="preserve"> </w:t>
      </w:r>
      <w:proofErr w:type="spellStart"/>
      <w:r w:rsidRPr="00B909F3">
        <w:rPr>
          <w:rFonts w:ascii="Book Antiqua" w:hAnsi="Book Antiqua" w:cs="Arial"/>
          <w:szCs w:val="24"/>
          <w:vertAlign w:val="superscript"/>
        </w:rPr>
        <w:t>c</w:t>
      </w:r>
      <w:r w:rsidRPr="00B909F3">
        <w:rPr>
          <w:rFonts w:ascii="Book Antiqua" w:hAnsi="Book Antiqua" w:cs="Arial"/>
          <w:szCs w:val="24"/>
        </w:rPr>
        <w:t>Mild</w:t>
      </w:r>
      <w:proofErr w:type="spellEnd"/>
      <w:r w:rsidRPr="00B909F3">
        <w:rPr>
          <w:rFonts w:ascii="Book Antiqua" w:hAnsi="Book Antiqua" w:cs="Arial"/>
          <w:szCs w:val="24"/>
        </w:rPr>
        <w:t>/Moderate ascites: Diuretic-responsive; Severe ascites: Diuretic-refractory</w:t>
      </w:r>
      <w:r>
        <w:rPr>
          <w:rFonts w:ascii="Book Antiqua" w:hAnsi="Book Antiqua" w:cs="Arial"/>
          <w:szCs w:val="24"/>
        </w:rPr>
        <w:t>;</w:t>
      </w:r>
      <w:r w:rsidRPr="00B909F3">
        <w:rPr>
          <w:rFonts w:ascii="Book Antiqua" w:hAnsi="Book Antiqua" w:cs="Arial"/>
          <w:szCs w:val="24"/>
        </w:rPr>
        <w:t xml:space="preserve"> </w:t>
      </w:r>
      <w:proofErr w:type="spellStart"/>
      <w:r w:rsidRPr="00B909F3">
        <w:rPr>
          <w:rFonts w:ascii="Book Antiqua" w:hAnsi="Book Antiqua" w:cs="Arial"/>
          <w:szCs w:val="24"/>
          <w:vertAlign w:val="superscript"/>
        </w:rPr>
        <w:t>d</w:t>
      </w:r>
      <w:r w:rsidRPr="00B909F3">
        <w:rPr>
          <w:rFonts w:ascii="Book Antiqua" w:hAnsi="Book Antiqua" w:cs="Arial"/>
          <w:szCs w:val="24"/>
        </w:rPr>
        <w:t>Encephalopathy</w:t>
      </w:r>
      <w:proofErr w:type="spellEnd"/>
      <w:r w:rsidRPr="00B909F3">
        <w:rPr>
          <w:rFonts w:ascii="Book Antiqua" w:hAnsi="Book Antiqua" w:cs="Arial"/>
          <w:szCs w:val="24"/>
        </w:rPr>
        <w:t xml:space="preserve"> grade 1</w:t>
      </w:r>
      <w:r>
        <w:rPr>
          <w:rFonts w:ascii="Book Antiqua" w:hAnsi="Book Antiqua" w:cs="Arial"/>
          <w:szCs w:val="24"/>
        </w:rPr>
        <w:t>-</w:t>
      </w:r>
      <w:r w:rsidRPr="00B909F3">
        <w:rPr>
          <w:rFonts w:ascii="Book Antiqua" w:hAnsi="Book Antiqua" w:cs="Arial"/>
          <w:szCs w:val="24"/>
        </w:rPr>
        <w:t>2 (or precipitant-induced); Grade 3</w:t>
      </w:r>
      <w:r>
        <w:rPr>
          <w:rFonts w:ascii="Book Antiqua" w:hAnsi="Book Antiqua" w:cs="Arial"/>
          <w:szCs w:val="24"/>
        </w:rPr>
        <w:t>-</w:t>
      </w:r>
      <w:r w:rsidRPr="00B909F3">
        <w:rPr>
          <w:rFonts w:ascii="Book Antiqua" w:hAnsi="Book Antiqua" w:cs="Arial"/>
          <w:szCs w:val="24"/>
        </w:rPr>
        <w:t>4 (or chronic)</w:t>
      </w:r>
      <w:r>
        <w:rPr>
          <w:rFonts w:ascii="Book Antiqua" w:hAnsi="Book Antiqua" w:cs="Arial"/>
          <w:szCs w:val="24"/>
        </w:rPr>
        <w:t>;</w:t>
      </w:r>
      <w:r w:rsidRPr="00B909F3">
        <w:rPr>
          <w:rFonts w:ascii="Book Antiqua" w:hAnsi="Book Antiqua" w:cs="Arial"/>
          <w:szCs w:val="24"/>
        </w:rPr>
        <w:t xml:space="preserve"> </w:t>
      </w:r>
      <w:proofErr w:type="spellStart"/>
      <w:r w:rsidRPr="00B909F3">
        <w:rPr>
          <w:rFonts w:ascii="Book Antiqua" w:hAnsi="Book Antiqua" w:cs="Arial"/>
          <w:szCs w:val="24"/>
          <w:vertAlign w:val="superscript"/>
        </w:rPr>
        <w:t>e</w:t>
      </w:r>
      <w:r w:rsidRPr="00B909F3">
        <w:rPr>
          <w:rFonts w:ascii="Book Antiqua" w:hAnsi="Book Antiqua" w:cs="Arial"/>
          <w:szCs w:val="24"/>
        </w:rPr>
        <w:t>Dialyzed</w:t>
      </w:r>
      <w:proofErr w:type="spellEnd"/>
      <w:r w:rsidRPr="00B909F3">
        <w:rPr>
          <w:rFonts w:ascii="Book Antiqua" w:hAnsi="Book Antiqua" w:cs="Arial"/>
          <w:szCs w:val="24"/>
        </w:rPr>
        <w:t xml:space="preserve"> at least twice in prior week.</w:t>
      </w:r>
      <w:r>
        <w:rPr>
          <w:rFonts w:ascii="Book Antiqua" w:eastAsia="SimSun" w:hAnsi="Book Antiqua" w:cs="Arial" w:hint="eastAsia"/>
          <w:szCs w:val="24"/>
          <w:lang w:eastAsia="zh-CN"/>
        </w:rPr>
        <w:t xml:space="preserve"> </w:t>
      </w:r>
      <w:r w:rsidR="00DB73D6" w:rsidRPr="00B909F3">
        <w:rPr>
          <w:rFonts w:ascii="Book Antiqua" w:hAnsi="Book Antiqua" w:cs="Arial"/>
          <w:szCs w:val="24"/>
        </w:rPr>
        <w:t>All distributions varied significantly across categories of functional status (</w:t>
      </w:r>
      <w:r w:rsidR="005402FD" w:rsidRPr="00B909F3">
        <w:rPr>
          <w:rFonts w:ascii="Book Antiqua" w:hAnsi="Book Antiqua" w:cs="Arial"/>
          <w:i/>
          <w:iCs/>
          <w:szCs w:val="24"/>
        </w:rPr>
        <w:t>P</w:t>
      </w:r>
      <w:r w:rsidR="00DB73D6" w:rsidRPr="00B909F3">
        <w:rPr>
          <w:rFonts w:ascii="Book Antiqua" w:hAnsi="Book Antiqua" w:cs="Arial"/>
          <w:szCs w:val="24"/>
        </w:rPr>
        <w:t xml:space="preserve"> &lt; 0.001)</w:t>
      </w:r>
      <w:r w:rsidR="005402FD" w:rsidRPr="00B909F3">
        <w:rPr>
          <w:rFonts w:ascii="Book Antiqua" w:hAnsi="Book Antiqua" w:cs="Arial"/>
          <w:szCs w:val="24"/>
        </w:rPr>
        <w:t>.</w:t>
      </w:r>
      <w:r>
        <w:rPr>
          <w:rFonts w:ascii="Book Antiqua" w:eastAsia="SimSun" w:hAnsi="Book Antiqua" w:cs="Arial" w:hint="eastAsia"/>
          <w:szCs w:val="24"/>
          <w:lang w:eastAsia="zh-CN"/>
        </w:rPr>
        <w:t xml:space="preserve"> </w:t>
      </w:r>
      <w:r w:rsidR="00DB73D6" w:rsidRPr="00B909F3">
        <w:rPr>
          <w:rFonts w:ascii="Book Antiqua" w:eastAsia="Arial Unicode MS" w:hAnsi="Book Antiqua" w:cs="Arial"/>
          <w:bCs/>
          <w:szCs w:val="24"/>
        </w:rPr>
        <w:t>BMI</w:t>
      </w:r>
      <w:r w:rsidR="005402FD" w:rsidRPr="00B909F3">
        <w:rPr>
          <w:rFonts w:ascii="Book Antiqua" w:eastAsia="Arial Unicode MS" w:hAnsi="Book Antiqua" w:cs="Arial"/>
          <w:bCs/>
          <w:szCs w:val="24"/>
        </w:rPr>
        <w:t>:</w:t>
      </w:r>
      <w:r w:rsidR="00DB73D6" w:rsidRPr="00B909F3">
        <w:rPr>
          <w:rFonts w:ascii="Book Antiqua" w:eastAsia="Arial Unicode MS" w:hAnsi="Book Antiqua" w:cs="Arial"/>
          <w:bCs/>
          <w:szCs w:val="24"/>
        </w:rPr>
        <w:t xml:space="preserve"> </w:t>
      </w:r>
      <w:r w:rsidR="005402FD" w:rsidRPr="00B909F3">
        <w:rPr>
          <w:rFonts w:ascii="Book Antiqua" w:eastAsia="Arial Unicode MS" w:hAnsi="Book Antiqua" w:cs="Arial"/>
          <w:bCs/>
          <w:szCs w:val="24"/>
        </w:rPr>
        <w:t xml:space="preserve">Body </w:t>
      </w:r>
      <w:r w:rsidR="00DB73D6" w:rsidRPr="00B909F3">
        <w:rPr>
          <w:rFonts w:ascii="Book Antiqua" w:eastAsia="Arial Unicode MS" w:hAnsi="Book Antiqua" w:cs="Arial"/>
          <w:bCs/>
          <w:szCs w:val="24"/>
        </w:rPr>
        <w:t>mass index; MELD</w:t>
      </w:r>
      <w:r w:rsidR="005402FD" w:rsidRPr="00B909F3">
        <w:rPr>
          <w:rFonts w:ascii="Book Antiqua" w:eastAsia="Arial Unicode MS" w:hAnsi="Book Antiqua" w:cs="Arial"/>
          <w:bCs/>
          <w:szCs w:val="24"/>
        </w:rPr>
        <w:t>:</w:t>
      </w:r>
      <w:r w:rsidR="00DB73D6" w:rsidRPr="00B909F3">
        <w:rPr>
          <w:rFonts w:ascii="Book Antiqua" w:eastAsia="Arial Unicode MS" w:hAnsi="Book Antiqua" w:cs="Arial"/>
          <w:bCs/>
          <w:szCs w:val="24"/>
        </w:rPr>
        <w:t xml:space="preserve"> Model for End-Stage Liver Disease</w:t>
      </w:r>
      <w:r w:rsidR="005402FD" w:rsidRPr="00B909F3">
        <w:rPr>
          <w:rFonts w:ascii="Book Antiqua" w:eastAsia="Arial Unicode MS" w:hAnsi="Book Antiqua" w:cs="Arial"/>
          <w:bCs/>
          <w:szCs w:val="24"/>
        </w:rPr>
        <w:t>.</w:t>
      </w:r>
    </w:p>
    <w:p w14:paraId="1F39F591" w14:textId="77777777" w:rsidR="00DB73D6" w:rsidRPr="00B909F3" w:rsidRDefault="00DB73D6" w:rsidP="00197EDE">
      <w:pPr>
        <w:spacing w:after="0" w:line="360" w:lineRule="auto"/>
        <w:jc w:val="both"/>
        <w:rPr>
          <w:rFonts w:ascii="Book Antiqua" w:eastAsia="Arial Unicode MS" w:hAnsi="Book Antiqua" w:cs="Arial"/>
          <w:szCs w:val="24"/>
        </w:rPr>
      </w:pPr>
      <w:r w:rsidRPr="00B909F3">
        <w:rPr>
          <w:rFonts w:ascii="Book Antiqua" w:eastAsia="Arial Unicode MS" w:hAnsi="Book Antiqua" w:cs="Arial"/>
          <w:szCs w:val="24"/>
        </w:rPr>
        <w:br w:type="page"/>
      </w:r>
    </w:p>
    <w:p w14:paraId="0D8E9179" w14:textId="2043C5F5" w:rsidR="00DB73D6" w:rsidRPr="00B909F3" w:rsidRDefault="00DB73D6" w:rsidP="00197EDE">
      <w:pPr>
        <w:spacing w:after="0" w:line="360" w:lineRule="auto"/>
        <w:contextualSpacing/>
        <w:jc w:val="both"/>
        <w:rPr>
          <w:rFonts w:ascii="Book Antiqua" w:hAnsi="Book Antiqua" w:cs="Arial"/>
          <w:b/>
          <w:szCs w:val="24"/>
        </w:rPr>
      </w:pPr>
      <w:r w:rsidRPr="00B909F3">
        <w:rPr>
          <w:rFonts w:ascii="Book Antiqua" w:hAnsi="Book Antiqua" w:cs="Arial"/>
          <w:b/>
          <w:szCs w:val="24"/>
        </w:rPr>
        <w:lastRenderedPageBreak/>
        <w:t>Table 4 Donor characteristics by pre-transplant functional status, Scientific Registry of Transplant Recipients 2005</w:t>
      </w:r>
      <w:r w:rsidR="005402FD" w:rsidRPr="00B909F3">
        <w:rPr>
          <w:rFonts w:ascii="Book Antiqua" w:hAnsi="Book Antiqua" w:cs="Arial"/>
          <w:b/>
          <w:szCs w:val="24"/>
        </w:rPr>
        <w:t>-</w:t>
      </w:r>
      <w:r w:rsidRPr="00B909F3">
        <w:rPr>
          <w:rFonts w:ascii="Book Antiqua" w:hAnsi="Book Antiqua" w:cs="Arial"/>
          <w:b/>
          <w:szCs w:val="24"/>
        </w:rPr>
        <w:t>2014 (</w:t>
      </w:r>
      <w:r w:rsidRPr="00B909F3">
        <w:rPr>
          <w:rFonts w:ascii="Book Antiqua" w:hAnsi="Book Antiqua" w:cs="Arial"/>
          <w:b/>
          <w:i/>
          <w:iCs/>
          <w:szCs w:val="24"/>
        </w:rPr>
        <w:t>n</w:t>
      </w:r>
      <w:r w:rsidRPr="00B909F3">
        <w:rPr>
          <w:rFonts w:ascii="Book Antiqua" w:hAnsi="Book Antiqua" w:cs="Arial"/>
          <w:b/>
          <w:szCs w:val="24"/>
        </w:rPr>
        <w:t xml:space="preserve"> = 38278)</w:t>
      </w:r>
    </w:p>
    <w:tbl>
      <w:tblPr>
        <w:tblW w:w="4899"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549"/>
        <w:gridCol w:w="1552"/>
        <w:gridCol w:w="1552"/>
        <w:gridCol w:w="1555"/>
        <w:gridCol w:w="963"/>
      </w:tblGrid>
      <w:tr w:rsidR="00B909F3" w:rsidRPr="00B909F3" w14:paraId="7C770D89" w14:textId="77777777" w:rsidTr="00A964E0">
        <w:trPr>
          <w:trHeight w:val="281"/>
        </w:trPr>
        <w:tc>
          <w:tcPr>
            <w:tcW w:w="1935" w:type="pct"/>
            <w:vMerge w:val="restart"/>
            <w:tcBorders>
              <w:top w:val="single" w:sz="4" w:space="0" w:color="auto"/>
              <w:bottom w:val="nil"/>
            </w:tcBorders>
            <w:shd w:val="clear" w:color="auto" w:fill="auto"/>
            <w:tcMar>
              <w:top w:w="15" w:type="dxa"/>
              <w:left w:w="15" w:type="dxa"/>
              <w:bottom w:w="0" w:type="dxa"/>
              <w:right w:w="15" w:type="dxa"/>
            </w:tcMar>
            <w:hideMark/>
          </w:tcPr>
          <w:p w14:paraId="316F819C" w14:textId="67FE8F8E" w:rsidR="005402FD" w:rsidRPr="00B909F3" w:rsidRDefault="005402FD" w:rsidP="00197EDE">
            <w:pPr>
              <w:spacing w:after="0" w:line="360" w:lineRule="auto"/>
              <w:contextualSpacing/>
              <w:jc w:val="both"/>
              <w:rPr>
                <w:rFonts w:ascii="Book Antiqua" w:hAnsi="Book Antiqua" w:cs="Arial"/>
                <w:szCs w:val="24"/>
              </w:rPr>
            </w:pPr>
            <w:proofErr w:type="spellStart"/>
            <w:r w:rsidRPr="00B909F3">
              <w:rPr>
                <w:rFonts w:ascii="Book Antiqua" w:hAnsi="Book Antiqua" w:cs="Arial"/>
                <w:b/>
                <w:bCs/>
                <w:szCs w:val="24"/>
              </w:rPr>
              <w:t>Characteristic</w:t>
            </w:r>
            <w:r w:rsidRPr="00B909F3">
              <w:rPr>
                <w:rFonts w:ascii="Book Antiqua" w:hAnsi="Book Antiqua" w:cs="Arial"/>
                <w:bCs/>
                <w:szCs w:val="24"/>
                <w:vertAlign w:val="superscript"/>
              </w:rPr>
              <w:t>a</w:t>
            </w:r>
            <w:proofErr w:type="spellEnd"/>
          </w:p>
        </w:tc>
        <w:tc>
          <w:tcPr>
            <w:tcW w:w="2540" w:type="pct"/>
            <w:gridSpan w:val="3"/>
            <w:tcBorders>
              <w:top w:val="single" w:sz="4" w:space="0" w:color="auto"/>
              <w:bottom w:val="nil"/>
            </w:tcBorders>
            <w:shd w:val="clear" w:color="auto" w:fill="auto"/>
            <w:tcMar>
              <w:top w:w="15" w:type="dxa"/>
              <w:left w:w="15" w:type="dxa"/>
              <w:bottom w:w="0" w:type="dxa"/>
              <w:right w:w="15" w:type="dxa"/>
            </w:tcMar>
            <w:hideMark/>
          </w:tcPr>
          <w:p w14:paraId="1DCC0F6C" w14:textId="77777777" w:rsidR="005402FD" w:rsidRPr="00B909F3" w:rsidRDefault="005402FD" w:rsidP="00197EDE">
            <w:pPr>
              <w:spacing w:after="0" w:line="360" w:lineRule="auto"/>
              <w:contextualSpacing/>
              <w:jc w:val="both"/>
              <w:rPr>
                <w:rFonts w:ascii="Book Antiqua" w:hAnsi="Book Antiqua" w:cs="Arial"/>
                <w:b/>
                <w:bCs/>
                <w:szCs w:val="24"/>
              </w:rPr>
            </w:pPr>
            <w:r w:rsidRPr="00B909F3">
              <w:rPr>
                <w:rFonts w:ascii="Book Antiqua" w:hAnsi="Book Antiqua" w:cs="Arial"/>
                <w:b/>
                <w:bCs/>
                <w:szCs w:val="24"/>
              </w:rPr>
              <w:t>Functional impairment/disability</w:t>
            </w:r>
          </w:p>
        </w:tc>
        <w:tc>
          <w:tcPr>
            <w:tcW w:w="525" w:type="pct"/>
            <w:vMerge w:val="restart"/>
            <w:tcBorders>
              <w:top w:val="single" w:sz="4" w:space="0" w:color="auto"/>
              <w:bottom w:val="single" w:sz="4" w:space="0" w:color="auto"/>
            </w:tcBorders>
            <w:shd w:val="clear" w:color="auto" w:fill="auto"/>
            <w:noWrap/>
            <w:tcMar>
              <w:top w:w="15" w:type="dxa"/>
              <w:left w:w="15" w:type="dxa"/>
              <w:bottom w:w="0" w:type="dxa"/>
              <w:right w:w="15" w:type="dxa"/>
            </w:tcMar>
            <w:hideMark/>
          </w:tcPr>
          <w:p w14:paraId="38785C3B" w14:textId="6D08B9E8" w:rsidR="005402FD" w:rsidRPr="00B909F3" w:rsidRDefault="005402FD" w:rsidP="00197EDE">
            <w:pPr>
              <w:spacing w:after="0" w:line="360" w:lineRule="auto"/>
              <w:contextualSpacing/>
              <w:jc w:val="both"/>
              <w:rPr>
                <w:rFonts w:ascii="Book Antiqua" w:hAnsi="Book Antiqua" w:cs="Arial"/>
                <w:szCs w:val="24"/>
              </w:rPr>
            </w:pPr>
            <w:r w:rsidRPr="00B909F3">
              <w:rPr>
                <w:rFonts w:ascii="Book Antiqua" w:hAnsi="Book Antiqua" w:cs="Arial"/>
                <w:b/>
                <w:bCs/>
                <w:i/>
                <w:iCs/>
                <w:szCs w:val="24"/>
              </w:rPr>
              <w:t>P</w:t>
            </w:r>
            <w:r w:rsidR="00C601EA">
              <w:rPr>
                <w:rFonts w:ascii="Book Antiqua" w:hAnsi="Book Antiqua" w:cs="Arial"/>
                <w:b/>
                <w:bCs/>
                <w:i/>
                <w:iCs/>
                <w:szCs w:val="24"/>
              </w:rPr>
              <w:t xml:space="preserve"> </w:t>
            </w:r>
            <w:r w:rsidRPr="00B909F3">
              <w:rPr>
                <w:rFonts w:ascii="Book Antiqua" w:hAnsi="Book Antiqua" w:cs="Arial"/>
                <w:b/>
                <w:bCs/>
                <w:szCs w:val="24"/>
              </w:rPr>
              <w:t>value</w:t>
            </w:r>
          </w:p>
        </w:tc>
      </w:tr>
      <w:tr w:rsidR="00B909F3" w:rsidRPr="00B909F3" w14:paraId="24E273DA" w14:textId="77777777" w:rsidTr="00A964E0">
        <w:trPr>
          <w:trHeight w:val="856"/>
        </w:trPr>
        <w:tc>
          <w:tcPr>
            <w:tcW w:w="1935" w:type="pct"/>
            <w:vMerge/>
            <w:tcBorders>
              <w:top w:val="nil"/>
              <w:bottom w:val="single" w:sz="4" w:space="0" w:color="auto"/>
            </w:tcBorders>
            <w:shd w:val="clear" w:color="auto" w:fill="auto"/>
            <w:tcMar>
              <w:top w:w="15" w:type="dxa"/>
              <w:left w:w="15" w:type="dxa"/>
              <w:bottom w:w="0" w:type="dxa"/>
              <w:right w:w="15" w:type="dxa"/>
            </w:tcMar>
            <w:vAlign w:val="bottom"/>
            <w:hideMark/>
          </w:tcPr>
          <w:p w14:paraId="7E4F3342" w14:textId="484DB3FB" w:rsidR="005402FD" w:rsidRPr="00B909F3" w:rsidRDefault="005402FD" w:rsidP="00197EDE">
            <w:pPr>
              <w:spacing w:after="0" w:line="360" w:lineRule="auto"/>
              <w:contextualSpacing/>
              <w:jc w:val="both"/>
              <w:rPr>
                <w:rFonts w:ascii="Book Antiqua" w:hAnsi="Book Antiqua" w:cs="Arial"/>
                <w:szCs w:val="24"/>
              </w:rPr>
            </w:pPr>
          </w:p>
        </w:tc>
        <w:tc>
          <w:tcPr>
            <w:tcW w:w="846" w:type="pct"/>
            <w:tcBorders>
              <w:top w:val="nil"/>
              <w:bottom w:val="single" w:sz="4" w:space="0" w:color="auto"/>
            </w:tcBorders>
            <w:shd w:val="clear" w:color="auto" w:fill="auto"/>
            <w:tcMar>
              <w:top w:w="15" w:type="dxa"/>
              <w:left w:w="15" w:type="dxa"/>
              <w:bottom w:w="0" w:type="dxa"/>
              <w:right w:w="15" w:type="dxa"/>
            </w:tcMar>
            <w:hideMark/>
          </w:tcPr>
          <w:p w14:paraId="3F6E59CC" w14:textId="1A8BDBCE" w:rsidR="005402FD" w:rsidRPr="00B909F3" w:rsidRDefault="005402FD" w:rsidP="00197EDE">
            <w:pPr>
              <w:spacing w:after="0" w:line="360" w:lineRule="auto"/>
              <w:contextualSpacing/>
              <w:jc w:val="both"/>
              <w:rPr>
                <w:rFonts w:ascii="Book Antiqua" w:hAnsi="Book Antiqua" w:cs="Arial"/>
                <w:b/>
                <w:bCs/>
                <w:szCs w:val="24"/>
              </w:rPr>
            </w:pPr>
            <w:r w:rsidRPr="00B909F3">
              <w:rPr>
                <w:rFonts w:ascii="Book Antiqua" w:hAnsi="Book Antiqua" w:cs="Arial"/>
                <w:b/>
                <w:bCs/>
                <w:szCs w:val="24"/>
              </w:rPr>
              <w:t>A: None</w:t>
            </w:r>
            <w:r w:rsidRPr="00B909F3">
              <w:rPr>
                <w:rFonts w:ascii="Book Antiqua" w:eastAsia="SimSun" w:hAnsi="Book Antiqua" w:cs="Arial"/>
                <w:b/>
                <w:bCs/>
                <w:szCs w:val="24"/>
                <w:lang w:eastAsia="zh-CN"/>
              </w:rPr>
              <w:t xml:space="preserve"> </w:t>
            </w:r>
            <w:r w:rsidRPr="00B909F3">
              <w:rPr>
                <w:rFonts w:ascii="Book Antiqua" w:hAnsi="Book Antiqua" w:cs="Arial"/>
                <w:b/>
                <w:bCs/>
                <w:szCs w:val="24"/>
              </w:rPr>
              <w:t>(</w:t>
            </w:r>
            <w:r w:rsidRPr="00B909F3">
              <w:rPr>
                <w:rFonts w:ascii="Book Antiqua" w:hAnsi="Book Antiqua" w:cs="Arial"/>
                <w:b/>
                <w:bCs/>
                <w:i/>
                <w:iCs/>
                <w:szCs w:val="24"/>
              </w:rPr>
              <w:t>n</w:t>
            </w:r>
            <w:r w:rsidRPr="00B909F3">
              <w:rPr>
                <w:rFonts w:ascii="Book Antiqua" w:hAnsi="Book Antiqua" w:cs="Arial"/>
                <w:b/>
                <w:bCs/>
                <w:szCs w:val="24"/>
              </w:rPr>
              <w:t xml:space="preserve"> = 11674)</w:t>
            </w:r>
          </w:p>
        </w:tc>
        <w:tc>
          <w:tcPr>
            <w:tcW w:w="846" w:type="pct"/>
            <w:tcBorders>
              <w:top w:val="nil"/>
              <w:bottom w:val="single" w:sz="4" w:space="0" w:color="auto"/>
            </w:tcBorders>
            <w:shd w:val="clear" w:color="auto" w:fill="auto"/>
            <w:tcMar>
              <w:top w:w="15" w:type="dxa"/>
              <w:left w:w="15" w:type="dxa"/>
              <w:bottom w:w="0" w:type="dxa"/>
              <w:right w:w="15" w:type="dxa"/>
            </w:tcMar>
            <w:hideMark/>
          </w:tcPr>
          <w:p w14:paraId="0777B377" w14:textId="1419E10B" w:rsidR="005402FD" w:rsidRPr="00B909F3" w:rsidRDefault="005402FD" w:rsidP="00197EDE">
            <w:pPr>
              <w:spacing w:after="0" w:line="360" w:lineRule="auto"/>
              <w:contextualSpacing/>
              <w:jc w:val="both"/>
              <w:rPr>
                <w:rFonts w:ascii="Book Antiqua" w:hAnsi="Book Antiqua" w:cs="Arial"/>
                <w:b/>
                <w:bCs/>
                <w:szCs w:val="24"/>
              </w:rPr>
            </w:pPr>
            <w:r w:rsidRPr="00B909F3">
              <w:rPr>
                <w:rFonts w:ascii="Book Antiqua" w:hAnsi="Book Antiqua" w:cs="Arial"/>
                <w:b/>
                <w:bCs/>
                <w:szCs w:val="24"/>
              </w:rPr>
              <w:t>B: Moderate</w:t>
            </w:r>
            <w:r w:rsidRPr="00B909F3">
              <w:rPr>
                <w:rFonts w:ascii="Book Antiqua" w:eastAsia="SimSun" w:hAnsi="Book Antiqua" w:cs="Arial"/>
                <w:b/>
                <w:bCs/>
                <w:szCs w:val="24"/>
                <w:lang w:eastAsia="zh-CN"/>
              </w:rPr>
              <w:t xml:space="preserve"> </w:t>
            </w:r>
            <w:r w:rsidRPr="00B909F3">
              <w:rPr>
                <w:rFonts w:ascii="Book Antiqua" w:hAnsi="Book Antiqua" w:cs="Arial"/>
                <w:b/>
                <w:bCs/>
                <w:szCs w:val="24"/>
              </w:rPr>
              <w:t>(</w:t>
            </w:r>
            <w:r w:rsidRPr="00B909F3">
              <w:rPr>
                <w:rFonts w:ascii="Book Antiqua" w:hAnsi="Book Antiqua" w:cs="Arial"/>
                <w:b/>
                <w:bCs/>
                <w:i/>
                <w:iCs/>
                <w:szCs w:val="24"/>
              </w:rPr>
              <w:t>n</w:t>
            </w:r>
            <w:r w:rsidRPr="00B909F3">
              <w:rPr>
                <w:rFonts w:ascii="Book Antiqua" w:hAnsi="Book Antiqua" w:cs="Arial"/>
                <w:b/>
                <w:bCs/>
                <w:szCs w:val="24"/>
              </w:rPr>
              <w:t xml:space="preserve"> = 17530)</w:t>
            </w:r>
          </w:p>
        </w:tc>
        <w:tc>
          <w:tcPr>
            <w:tcW w:w="848" w:type="pct"/>
            <w:tcBorders>
              <w:top w:val="nil"/>
              <w:bottom w:val="single" w:sz="4" w:space="0" w:color="auto"/>
            </w:tcBorders>
            <w:shd w:val="clear" w:color="auto" w:fill="auto"/>
            <w:tcMar>
              <w:top w:w="15" w:type="dxa"/>
              <w:left w:w="15" w:type="dxa"/>
              <w:bottom w:w="0" w:type="dxa"/>
              <w:right w:w="15" w:type="dxa"/>
            </w:tcMar>
            <w:hideMark/>
          </w:tcPr>
          <w:p w14:paraId="162C933B" w14:textId="02F8B2CA" w:rsidR="005402FD" w:rsidRPr="00B909F3" w:rsidRDefault="005402FD" w:rsidP="00197EDE">
            <w:pPr>
              <w:spacing w:after="0" w:line="360" w:lineRule="auto"/>
              <w:contextualSpacing/>
              <w:jc w:val="both"/>
              <w:rPr>
                <w:rFonts w:ascii="Book Antiqua" w:hAnsi="Book Antiqua" w:cs="Arial"/>
                <w:b/>
                <w:bCs/>
                <w:szCs w:val="24"/>
              </w:rPr>
            </w:pPr>
            <w:r w:rsidRPr="00B909F3">
              <w:rPr>
                <w:rFonts w:ascii="Book Antiqua" w:hAnsi="Book Antiqua" w:cs="Arial"/>
                <w:b/>
                <w:bCs/>
                <w:szCs w:val="24"/>
              </w:rPr>
              <w:t>C: Severe</w:t>
            </w:r>
            <w:r w:rsidRPr="00B909F3">
              <w:rPr>
                <w:rFonts w:ascii="Book Antiqua" w:eastAsia="SimSun" w:hAnsi="Book Antiqua" w:cs="Arial"/>
                <w:b/>
                <w:bCs/>
                <w:szCs w:val="24"/>
                <w:lang w:eastAsia="zh-CN"/>
              </w:rPr>
              <w:t xml:space="preserve"> </w:t>
            </w:r>
            <w:r w:rsidRPr="00B909F3">
              <w:rPr>
                <w:rFonts w:ascii="Book Antiqua" w:hAnsi="Book Antiqua" w:cs="Arial"/>
                <w:b/>
                <w:bCs/>
                <w:szCs w:val="24"/>
              </w:rPr>
              <w:t>(</w:t>
            </w:r>
            <w:r w:rsidRPr="00B909F3">
              <w:rPr>
                <w:rFonts w:ascii="Book Antiqua" w:hAnsi="Book Antiqua" w:cs="Arial"/>
                <w:b/>
                <w:bCs/>
                <w:i/>
                <w:iCs/>
                <w:szCs w:val="24"/>
              </w:rPr>
              <w:t>n</w:t>
            </w:r>
            <w:r w:rsidRPr="00B909F3">
              <w:rPr>
                <w:rFonts w:ascii="Book Antiqua" w:hAnsi="Book Antiqua" w:cs="Arial"/>
                <w:b/>
                <w:bCs/>
                <w:szCs w:val="24"/>
              </w:rPr>
              <w:t xml:space="preserve"> = 9074)</w:t>
            </w:r>
          </w:p>
        </w:tc>
        <w:tc>
          <w:tcPr>
            <w:tcW w:w="525" w:type="pct"/>
            <w:vMerge/>
            <w:tcBorders>
              <w:top w:val="nil"/>
              <w:bottom w:val="single" w:sz="4" w:space="0" w:color="auto"/>
            </w:tcBorders>
            <w:shd w:val="clear" w:color="auto" w:fill="auto"/>
            <w:noWrap/>
            <w:tcMar>
              <w:top w:w="15" w:type="dxa"/>
              <w:left w:w="15" w:type="dxa"/>
              <w:bottom w:w="0" w:type="dxa"/>
              <w:right w:w="15" w:type="dxa"/>
            </w:tcMar>
            <w:hideMark/>
          </w:tcPr>
          <w:p w14:paraId="4718FE59" w14:textId="6B7B18EB" w:rsidR="005402FD" w:rsidRPr="00B909F3" w:rsidRDefault="005402FD" w:rsidP="00197EDE">
            <w:pPr>
              <w:spacing w:after="0" w:line="360" w:lineRule="auto"/>
              <w:contextualSpacing/>
              <w:jc w:val="both"/>
              <w:rPr>
                <w:rFonts w:ascii="Book Antiqua" w:hAnsi="Book Antiqua" w:cs="Arial"/>
                <w:szCs w:val="24"/>
              </w:rPr>
            </w:pPr>
          </w:p>
        </w:tc>
      </w:tr>
      <w:tr w:rsidR="00B909F3" w:rsidRPr="00B909F3" w14:paraId="24D18F1B" w14:textId="77777777" w:rsidTr="00A964E0">
        <w:trPr>
          <w:trHeight w:val="60"/>
        </w:trPr>
        <w:tc>
          <w:tcPr>
            <w:tcW w:w="1935" w:type="pct"/>
            <w:tcBorders>
              <w:top w:val="single" w:sz="4" w:space="0" w:color="auto"/>
            </w:tcBorders>
            <w:shd w:val="clear" w:color="auto" w:fill="auto"/>
            <w:tcMar>
              <w:top w:w="15" w:type="dxa"/>
              <w:left w:w="15" w:type="dxa"/>
              <w:bottom w:w="0" w:type="dxa"/>
              <w:right w:w="15" w:type="dxa"/>
            </w:tcMar>
            <w:hideMark/>
          </w:tcPr>
          <w:p w14:paraId="4591352E"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Transplant type: Living donor</w:t>
            </w:r>
          </w:p>
        </w:tc>
        <w:tc>
          <w:tcPr>
            <w:tcW w:w="846" w:type="pct"/>
            <w:tcBorders>
              <w:top w:val="single" w:sz="4" w:space="0" w:color="auto"/>
            </w:tcBorders>
            <w:shd w:val="clear" w:color="auto" w:fill="auto"/>
            <w:tcMar>
              <w:top w:w="15" w:type="dxa"/>
              <w:left w:w="15" w:type="dxa"/>
              <w:bottom w:w="0" w:type="dxa"/>
              <w:right w:w="15" w:type="dxa"/>
            </w:tcMar>
            <w:hideMark/>
          </w:tcPr>
          <w:p w14:paraId="6EB1F5E2"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5.5</w:t>
            </w:r>
          </w:p>
        </w:tc>
        <w:tc>
          <w:tcPr>
            <w:tcW w:w="846" w:type="pct"/>
            <w:tcBorders>
              <w:top w:val="single" w:sz="4" w:space="0" w:color="auto"/>
            </w:tcBorders>
            <w:shd w:val="clear" w:color="auto" w:fill="auto"/>
            <w:tcMar>
              <w:top w:w="15" w:type="dxa"/>
              <w:left w:w="15" w:type="dxa"/>
              <w:bottom w:w="0" w:type="dxa"/>
              <w:right w:w="15" w:type="dxa"/>
            </w:tcMar>
            <w:hideMark/>
          </w:tcPr>
          <w:p w14:paraId="3C32C694"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5.0</w:t>
            </w:r>
          </w:p>
        </w:tc>
        <w:tc>
          <w:tcPr>
            <w:tcW w:w="848" w:type="pct"/>
            <w:tcBorders>
              <w:top w:val="single" w:sz="4" w:space="0" w:color="auto"/>
            </w:tcBorders>
            <w:shd w:val="clear" w:color="auto" w:fill="auto"/>
            <w:tcMar>
              <w:top w:w="15" w:type="dxa"/>
              <w:left w:w="15" w:type="dxa"/>
              <w:bottom w:w="0" w:type="dxa"/>
              <w:right w:w="15" w:type="dxa"/>
            </w:tcMar>
            <w:hideMark/>
          </w:tcPr>
          <w:p w14:paraId="02F8EFC4"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2.3</w:t>
            </w:r>
          </w:p>
        </w:tc>
        <w:tc>
          <w:tcPr>
            <w:tcW w:w="525" w:type="pct"/>
            <w:tcBorders>
              <w:top w:val="single" w:sz="4" w:space="0" w:color="auto"/>
            </w:tcBorders>
            <w:shd w:val="clear" w:color="auto" w:fill="auto"/>
            <w:tcMar>
              <w:top w:w="15" w:type="dxa"/>
              <w:left w:w="15" w:type="dxa"/>
              <w:bottom w:w="0" w:type="dxa"/>
              <w:right w:w="15" w:type="dxa"/>
            </w:tcMar>
            <w:hideMark/>
          </w:tcPr>
          <w:p w14:paraId="2312D712"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&lt; 0.001</w:t>
            </w:r>
          </w:p>
        </w:tc>
      </w:tr>
      <w:tr w:rsidR="00B909F3" w:rsidRPr="00B909F3" w14:paraId="6A14FAB1" w14:textId="77777777" w:rsidTr="00A964E0">
        <w:trPr>
          <w:trHeight w:val="310"/>
        </w:trPr>
        <w:tc>
          <w:tcPr>
            <w:tcW w:w="1935" w:type="pct"/>
            <w:shd w:val="clear" w:color="auto" w:fill="auto"/>
            <w:tcMar>
              <w:top w:w="15" w:type="dxa"/>
              <w:left w:w="15" w:type="dxa"/>
              <w:bottom w:w="0" w:type="dxa"/>
              <w:right w:w="15" w:type="dxa"/>
            </w:tcMar>
            <w:vAlign w:val="center"/>
            <w:hideMark/>
          </w:tcPr>
          <w:p w14:paraId="166BC6D1" w14:textId="77777777" w:rsidR="00DB73D6" w:rsidRPr="00B909F3" w:rsidRDefault="00DB73D6" w:rsidP="00197EDE">
            <w:pPr>
              <w:spacing w:after="0" w:line="360" w:lineRule="auto"/>
              <w:contextualSpacing/>
              <w:jc w:val="both"/>
              <w:rPr>
                <w:rFonts w:ascii="Book Antiqua" w:hAnsi="Book Antiqua" w:cs="Arial"/>
                <w:szCs w:val="24"/>
                <w:vertAlign w:val="superscript"/>
              </w:rPr>
            </w:pPr>
            <w:r w:rsidRPr="00B909F3">
              <w:rPr>
                <w:rFonts w:ascii="Book Antiqua" w:hAnsi="Book Antiqua" w:cs="Arial"/>
                <w:szCs w:val="24"/>
              </w:rPr>
              <w:t xml:space="preserve">Donor Risk </w:t>
            </w:r>
            <w:proofErr w:type="spellStart"/>
            <w:r w:rsidRPr="00B909F3">
              <w:rPr>
                <w:rFonts w:ascii="Book Antiqua" w:hAnsi="Book Antiqua" w:cs="Arial"/>
                <w:szCs w:val="24"/>
              </w:rPr>
              <w:t>Index</w:t>
            </w:r>
            <w:r w:rsidRPr="00B909F3">
              <w:rPr>
                <w:rFonts w:ascii="Book Antiqua" w:hAnsi="Book Antiqua" w:cs="Arial"/>
                <w:szCs w:val="24"/>
                <w:vertAlign w:val="superscript"/>
              </w:rPr>
              <w:t>b</w:t>
            </w:r>
            <w:proofErr w:type="spellEnd"/>
          </w:p>
        </w:tc>
        <w:tc>
          <w:tcPr>
            <w:tcW w:w="846" w:type="pct"/>
            <w:shd w:val="clear" w:color="auto" w:fill="auto"/>
            <w:tcMar>
              <w:top w:w="15" w:type="dxa"/>
              <w:left w:w="15" w:type="dxa"/>
              <w:bottom w:w="0" w:type="dxa"/>
              <w:right w:w="15" w:type="dxa"/>
            </w:tcMar>
            <w:vAlign w:val="center"/>
            <w:hideMark/>
          </w:tcPr>
          <w:p w14:paraId="3FB708C2" w14:textId="221788CD"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1.6 (1.3</w:t>
            </w:r>
            <w:r w:rsidR="00C601EA">
              <w:rPr>
                <w:rFonts w:ascii="Book Antiqua" w:hAnsi="Book Antiqua" w:cs="Arial"/>
                <w:szCs w:val="24"/>
              </w:rPr>
              <w:t>-</w:t>
            </w:r>
            <w:r w:rsidRPr="00B909F3">
              <w:rPr>
                <w:rFonts w:ascii="Book Antiqua" w:hAnsi="Book Antiqua" w:cs="Arial"/>
                <w:szCs w:val="24"/>
              </w:rPr>
              <w:t>1.9)</w:t>
            </w:r>
          </w:p>
        </w:tc>
        <w:tc>
          <w:tcPr>
            <w:tcW w:w="846" w:type="pct"/>
            <w:shd w:val="clear" w:color="auto" w:fill="auto"/>
            <w:tcMar>
              <w:top w:w="15" w:type="dxa"/>
              <w:left w:w="15" w:type="dxa"/>
              <w:bottom w:w="0" w:type="dxa"/>
              <w:right w:w="15" w:type="dxa"/>
            </w:tcMar>
            <w:vAlign w:val="center"/>
            <w:hideMark/>
          </w:tcPr>
          <w:p w14:paraId="6BD7C33B" w14:textId="0AE8755B"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1.6 (1.3</w:t>
            </w:r>
            <w:r w:rsidR="00C601EA">
              <w:rPr>
                <w:rFonts w:ascii="Book Antiqua" w:hAnsi="Book Antiqua" w:cs="Arial"/>
                <w:szCs w:val="24"/>
              </w:rPr>
              <w:t>-</w:t>
            </w:r>
            <w:r w:rsidRPr="00B909F3">
              <w:rPr>
                <w:rFonts w:ascii="Book Antiqua" w:hAnsi="Book Antiqua" w:cs="Arial"/>
                <w:szCs w:val="24"/>
              </w:rPr>
              <w:t>1.9)</w:t>
            </w:r>
          </w:p>
        </w:tc>
        <w:tc>
          <w:tcPr>
            <w:tcW w:w="848" w:type="pct"/>
            <w:shd w:val="clear" w:color="auto" w:fill="auto"/>
            <w:tcMar>
              <w:top w:w="15" w:type="dxa"/>
              <w:left w:w="15" w:type="dxa"/>
              <w:bottom w:w="0" w:type="dxa"/>
              <w:right w:w="15" w:type="dxa"/>
            </w:tcMar>
            <w:vAlign w:val="center"/>
            <w:hideMark/>
          </w:tcPr>
          <w:p w14:paraId="4F699695" w14:textId="5860DD29"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1.5 (1.2</w:t>
            </w:r>
            <w:r w:rsidR="00C601EA">
              <w:rPr>
                <w:rFonts w:ascii="Book Antiqua" w:hAnsi="Book Antiqua" w:cs="Arial"/>
                <w:szCs w:val="24"/>
              </w:rPr>
              <w:t>-</w:t>
            </w:r>
            <w:r w:rsidRPr="00B909F3">
              <w:rPr>
                <w:rFonts w:ascii="Book Antiqua" w:hAnsi="Book Antiqua" w:cs="Arial"/>
                <w:szCs w:val="24"/>
              </w:rPr>
              <w:t>1.9)</w:t>
            </w:r>
          </w:p>
        </w:tc>
        <w:tc>
          <w:tcPr>
            <w:tcW w:w="525" w:type="pct"/>
            <w:shd w:val="clear" w:color="auto" w:fill="auto"/>
            <w:tcMar>
              <w:top w:w="15" w:type="dxa"/>
              <w:left w:w="15" w:type="dxa"/>
              <w:bottom w:w="0" w:type="dxa"/>
              <w:right w:w="15" w:type="dxa"/>
            </w:tcMar>
            <w:vAlign w:val="center"/>
            <w:hideMark/>
          </w:tcPr>
          <w:p w14:paraId="20C2BE8D"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&lt; 0.001</w:t>
            </w:r>
          </w:p>
        </w:tc>
      </w:tr>
      <w:tr w:rsidR="00B909F3" w:rsidRPr="00B909F3" w14:paraId="082955AF" w14:textId="77777777" w:rsidTr="00A964E0">
        <w:trPr>
          <w:trHeight w:val="295"/>
        </w:trPr>
        <w:tc>
          <w:tcPr>
            <w:tcW w:w="5000" w:type="pct"/>
            <w:gridSpan w:val="5"/>
            <w:shd w:val="clear" w:color="auto" w:fill="auto"/>
            <w:tcMar>
              <w:top w:w="15" w:type="dxa"/>
              <w:left w:w="15" w:type="dxa"/>
              <w:bottom w:w="0" w:type="dxa"/>
              <w:right w:w="15" w:type="dxa"/>
            </w:tcMar>
            <w:hideMark/>
          </w:tcPr>
          <w:p w14:paraId="3E8179C5" w14:textId="5F43C562" w:rsidR="005402FD" w:rsidRPr="00B909F3" w:rsidRDefault="005402FD" w:rsidP="00197EDE">
            <w:pPr>
              <w:spacing w:after="0" w:line="360" w:lineRule="auto"/>
              <w:contextualSpacing/>
              <w:jc w:val="both"/>
              <w:rPr>
                <w:rFonts w:ascii="Book Antiqua" w:hAnsi="Book Antiqua" w:cs="Arial"/>
                <w:szCs w:val="24"/>
              </w:rPr>
            </w:pPr>
            <w:r w:rsidRPr="00B909F3">
              <w:rPr>
                <w:rFonts w:ascii="Book Antiqua" w:hAnsi="Book Antiqua" w:cs="Arial"/>
                <w:szCs w:val="24"/>
              </w:rPr>
              <w:t>Age in years</w:t>
            </w:r>
          </w:p>
        </w:tc>
      </w:tr>
      <w:tr w:rsidR="00B909F3" w:rsidRPr="00B909F3" w14:paraId="72D98906" w14:textId="77777777" w:rsidTr="00A964E0">
        <w:trPr>
          <w:trHeight w:val="295"/>
        </w:trPr>
        <w:tc>
          <w:tcPr>
            <w:tcW w:w="1935" w:type="pct"/>
            <w:shd w:val="clear" w:color="auto" w:fill="auto"/>
            <w:tcMar>
              <w:top w:w="15" w:type="dxa"/>
              <w:left w:w="180" w:type="dxa"/>
              <w:bottom w:w="0" w:type="dxa"/>
              <w:right w:w="15" w:type="dxa"/>
            </w:tcMar>
            <w:hideMark/>
          </w:tcPr>
          <w:p w14:paraId="34C8C941" w14:textId="706FA5D6"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18</w:t>
            </w:r>
            <w:r w:rsidR="00C601EA">
              <w:rPr>
                <w:rFonts w:ascii="Book Antiqua" w:hAnsi="Book Antiqua" w:cs="Arial"/>
                <w:szCs w:val="24"/>
              </w:rPr>
              <w:t>-</w:t>
            </w:r>
            <w:r w:rsidRPr="00B909F3">
              <w:rPr>
                <w:rFonts w:ascii="Book Antiqua" w:hAnsi="Book Antiqua" w:cs="Arial"/>
                <w:szCs w:val="24"/>
              </w:rPr>
              <w:t>39</w:t>
            </w:r>
          </w:p>
        </w:tc>
        <w:tc>
          <w:tcPr>
            <w:tcW w:w="846" w:type="pct"/>
            <w:shd w:val="clear" w:color="auto" w:fill="auto"/>
            <w:noWrap/>
            <w:tcMar>
              <w:top w:w="15" w:type="dxa"/>
              <w:left w:w="15" w:type="dxa"/>
              <w:bottom w:w="0" w:type="dxa"/>
              <w:right w:w="15" w:type="dxa"/>
            </w:tcMar>
            <w:hideMark/>
          </w:tcPr>
          <w:p w14:paraId="15DDA2AD"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37.3</w:t>
            </w:r>
          </w:p>
        </w:tc>
        <w:tc>
          <w:tcPr>
            <w:tcW w:w="846" w:type="pct"/>
            <w:shd w:val="clear" w:color="auto" w:fill="auto"/>
            <w:noWrap/>
            <w:tcMar>
              <w:top w:w="15" w:type="dxa"/>
              <w:left w:w="15" w:type="dxa"/>
              <w:bottom w:w="0" w:type="dxa"/>
              <w:right w:w="15" w:type="dxa"/>
            </w:tcMar>
            <w:hideMark/>
          </w:tcPr>
          <w:p w14:paraId="72B67513"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37.1</w:t>
            </w:r>
          </w:p>
        </w:tc>
        <w:tc>
          <w:tcPr>
            <w:tcW w:w="848" w:type="pct"/>
            <w:shd w:val="clear" w:color="auto" w:fill="auto"/>
            <w:noWrap/>
            <w:tcMar>
              <w:top w:w="15" w:type="dxa"/>
              <w:left w:w="15" w:type="dxa"/>
              <w:bottom w:w="0" w:type="dxa"/>
              <w:right w:w="15" w:type="dxa"/>
            </w:tcMar>
            <w:hideMark/>
          </w:tcPr>
          <w:p w14:paraId="5CB65CE0"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39.9</w:t>
            </w:r>
          </w:p>
        </w:tc>
        <w:tc>
          <w:tcPr>
            <w:tcW w:w="525" w:type="pct"/>
            <w:shd w:val="clear" w:color="auto" w:fill="auto"/>
            <w:noWrap/>
            <w:tcMar>
              <w:top w:w="15" w:type="dxa"/>
              <w:left w:w="15" w:type="dxa"/>
              <w:bottom w:w="0" w:type="dxa"/>
              <w:right w:w="15" w:type="dxa"/>
            </w:tcMar>
            <w:hideMark/>
          </w:tcPr>
          <w:p w14:paraId="5B15EAB2" w14:textId="5A9C5CE2"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3D314572" w14:textId="77777777" w:rsidTr="00A964E0">
        <w:trPr>
          <w:trHeight w:val="295"/>
        </w:trPr>
        <w:tc>
          <w:tcPr>
            <w:tcW w:w="1935" w:type="pct"/>
            <w:shd w:val="clear" w:color="auto" w:fill="auto"/>
            <w:tcMar>
              <w:top w:w="15" w:type="dxa"/>
              <w:left w:w="180" w:type="dxa"/>
              <w:bottom w:w="0" w:type="dxa"/>
              <w:right w:w="15" w:type="dxa"/>
            </w:tcMar>
            <w:hideMark/>
          </w:tcPr>
          <w:p w14:paraId="1E6AADA2" w14:textId="764E04BC"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40</w:t>
            </w:r>
            <w:r w:rsidR="00C601EA">
              <w:rPr>
                <w:rFonts w:ascii="Book Antiqua" w:hAnsi="Book Antiqua" w:cs="Arial"/>
                <w:szCs w:val="24"/>
              </w:rPr>
              <w:t>-</w:t>
            </w:r>
            <w:r w:rsidRPr="00B909F3">
              <w:rPr>
                <w:rFonts w:ascii="Book Antiqua" w:hAnsi="Book Antiqua" w:cs="Arial"/>
                <w:szCs w:val="24"/>
              </w:rPr>
              <w:t>49</w:t>
            </w:r>
          </w:p>
        </w:tc>
        <w:tc>
          <w:tcPr>
            <w:tcW w:w="846" w:type="pct"/>
            <w:shd w:val="clear" w:color="auto" w:fill="auto"/>
            <w:noWrap/>
            <w:tcMar>
              <w:top w:w="15" w:type="dxa"/>
              <w:left w:w="15" w:type="dxa"/>
              <w:bottom w:w="0" w:type="dxa"/>
              <w:right w:w="15" w:type="dxa"/>
            </w:tcMar>
            <w:hideMark/>
          </w:tcPr>
          <w:p w14:paraId="7D93DC77"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19.7</w:t>
            </w:r>
          </w:p>
        </w:tc>
        <w:tc>
          <w:tcPr>
            <w:tcW w:w="846" w:type="pct"/>
            <w:shd w:val="clear" w:color="auto" w:fill="auto"/>
            <w:noWrap/>
            <w:tcMar>
              <w:top w:w="15" w:type="dxa"/>
              <w:left w:w="15" w:type="dxa"/>
              <w:bottom w:w="0" w:type="dxa"/>
              <w:right w:w="15" w:type="dxa"/>
            </w:tcMar>
            <w:hideMark/>
          </w:tcPr>
          <w:p w14:paraId="2C7DBF69"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19.7</w:t>
            </w:r>
          </w:p>
        </w:tc>
        <w:tc>
          <w:tcPr>
            <w:tcW w:w="848" w:type="pct"/>
            <w:shd w:val="clear" w:color="auto" w:fill="auto"/>
            <w:noWrap/>
            <w:tcMar>
              <w:top w:w="15" w:type="dxa"/>
              <w:left w:w="15" w:type="dxa"/>
              <w:bottom w:w="0" w:type="dxa"/>
              <w:right w:w="15" w:type="dxa"/>
            </w:tcMar>
            <w:hideMark/>
          </w:tcPr>
          <w:p w14:paraId="6F24F47C"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19.7</w:t>
            </w:r>
          </w:p>
        </w:tc>
        <w:tc>
          <w:tcPr>
            <w:tcW w:w="525" w:type="pct"/>
            <w:shd w:val="clear" w:color="auto" w:fill="auto"/>
            <w:noWrap/>
            <w:tcMar>
              <w:top w:w="15" w:type="dxa"/>
              <w:left w:w="15" w:type="dxa"/>
              <w:bottom w:w="0" w:type="dxa"/>
              <w:right w:w="15" w:type="dxa"/>
            </w:tcMar>
            <w:hideMark/>
          </w:tcPr>
          <w:p w14:paraId="77C434FA" w14:textId="3BA4352D"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22C5E255" w14:textId="77777777" w:rsidTr="00A964E0">
        <w:trPr>
          <w:trHeight w:val="310"/>
        </w:trPr>
        <w:tc>
          <w:tcPr>
            <w:tcW w:w="1935" w:type="pct"/>
            <w:shd w:val="clear" w:color="auto" w:fill="auto"/>
            <w:tcMar>
              <w:top w:w="15" w:type="dxa"/>
              <w:left w:w="180" w:type="dxa"/>
              <w:bottom w:w="0" w:type="dxa"/>
              <w:right w:w="15" w:type="dxa"/>
            </w:tcMar>
            <w:hideMark/>
          </w:tcPr>
          <w:p w14:paraId="2641EC2D" w14:textId="0DE07F87"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50</w:t>
            </w:r>
            <w:r w:rsidR="00C601EA">
              <w:rPr>
                <w:rFonts w:ascii="Book Antiqua" w:hAnsi="Book Antiqua" w:cs="Arial"/>
                <w:szCs w:val="24"/>
              </w:rPr>
              <w:t>-</w:t>
            </w:r>
            <w:r w:rsidRPr="00B909F3">
              <w:rPr>
                <w:rFonts w:ascii="Book Antiqua" w:hAnsi="Book Antiqua" w:cs="Arial"/>
                <w:szCs w:val="24"/>
              </w:rPr>
              <w:t>59</w:t>
            </w:r>
          </w:p>
        </w:tc>
        <w:tc>
          <w:tcPr>
            <w:tcW w:w="846" w:type="pct"/>
            <w:shd w:val="clear" w:color="auto" w:fill="auto"/>
            <w:noWrap/>
            <w:tcMar>
              <w:top w:w="15" w:type="dxa"/>
              <w:left w:w="15" w:type="dxa"/>
              <w:bottom w:w="0" w:type="dxa"/>
              <w:right w:w="15" w:type="dxa"/>
            </w:tcMar>
            <w:hideMark/>
          </w:tcPr>
          <w:p w14:paraId="4A0E31F2"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19.8</w:t>
            </w:r>
          </w:p>
        </w:tc>
        <w:tc>
          <w:tcPr>
            <w:tcW w:w="846" w:type="pct"/>
            <w:shd w:val="clear" w:color="auto" w:fill="auto"/>
            <w:noWrap/>
            <w:tcMar>
              <w:top w:w="15" w:type="dxa"/>
              <w:left w:w="15" w:type="dxa"/>
              <w:bottom w:w="0" w:type="dxa"/>
              <w:right w:w="15" w:type="dxa"/>
            </w:tcMar>
            <w:hideMark/>
          </w:tcPr>
          <w:p w14:paraId="1D9EE237"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20.4</w:t>
            </w:r>
          </w:p>
        </w:tc>
        <w:tc>
          <w:tcPr>
            <w:tcW w:w="848" w:type="pct"/>
            <w:shd w:val="clear" w:color="auto" w:fill="auto"/>
            <w:noWrap/>
            <w:tcMar>
              <w:top w:w="15" w:type="dxa"/>
              <w:left w:w="15" w:type="dxa"/>
              <w:bottom w:w="0" w:type="dxa"/>
              <w:right w:w="15" w:type="dxa"/>
            </w:tcMar>
            <w:hideMark/>
          </w:tcPr>
          <w:p w14:paraId="73590E87"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20.7</w:t>
            </w:r>
          </w:p>
        </w:tc>
        <w:tc>
          <w:tcPr>
            <w:tcW w:w="525" w:type="pct"/>
            <w:shd w:val="clear" w:color="auto" w:fill="auto"/>
            <w:noWrap/>
            <w:tcMar>
              <w:top w:w="15" w:type="dxa"/>
              <w:left w:w="15" w:type="dxa"/>
              <w:bottom w:w="0" w:type="dxa"/>
              <w:right w:w="15" w:type="dxa"/>
            </w:tcMar>
            <w:hideMark/>
          </w:tcPr>
          <w:p w14:paraId="3A8F33E0" w14:textId="2598C87B"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23583EE0" w14:textId="77777777" w:rsidTr="00A964E0">
        <w:trPr>
          <w:trHeight w:val="295"/>
        </w:trPr>
        <w:tc>
          <w:tcPr>
            <w:tcW w:w="1935" w:type="pct"/>
            <w:shd w:val="clear" w:color="auto" w:fill="auto"/>
            <w:tcMar>
              <w:top w:w="15" w:type="dxa"/>
              <w:left w:w="180" w:type="dxa"/>
              <w:bottom w:w="0" w:type="dxa"/>
              <w:right w:w="15" w:type="dxa"/>
            </w:tcMar>
            <w:hideMark/>
          </w:tcPr>
          <w:p w14:paraId="1C889512" w14:textId="4009EF1D"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60</w:t>
            </w:r>
            <w:r w:rsidR="00C601EA">
              <w:rPr>
                <w:rFonts w:ascii="Book Antiqua" w:hAnsi="Book Antiqua" w:cs="Arial"/>
                <w:szCs w:val="24"/>
              </w:rPr>
              <w:t>-</w:t>
            </w:r>
            <w:r w:rsidRPr="00B909F3">
              <w:rPr>
                <w:rFonts w:ascii="Book Antiqua" w:hAnsi="Book Antiqua" w:cs="Arial"/>
                <w:szCs w:val="24"/>
              </w:rPr>
              <w:t>69</w:t>
            </w:r>
          </w:p>
        </w:tc>
        <w:tc>
          <w:tcPr>
            <w:tcW w:w="846" w:type="pct"/>
            <w:shd w:val="clear" w:color="auto" w:fill="auto"/>
            <w:noWrap/>
            <w:tcMar>
              <w:top w:w="15" w:type="dxa"/>
              <w:left w:w="15" w:type="dxa"/>
              <w:bottom w:w="0" w:type="dxa"/>
              <w:right w:w="15" w:type="dxa"/>
            </w:tcMar>
            <w:hideMark/>
          </w:tcPr>
          <w:p w14:paraId="3ECBA43D"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11.7</w:t>
            </w:r>
          </w:p>
        </w:tc>
        <w:tc>
          <w:tcPr>
            <w:tcW w:w="846" w:type="pct"/>
            <w:shd w:val="clear" w:color="auto" w:fill="auto"/>
            <w:noWrap/>
            <w:tcMar>
              <w:top w:w="15" w:type="dxa"/>
              <w:left w:w="15" w:type="dxa"/>
              <w:bottom w:w="0" w:type="dxa"/>
              <w:right w:w="15" w:type="dxa"/>
            </w:tcMar>
            <w:hideMark/>
          </w:tcPr>
          <w:p w14:paraId="256883B1"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12.7</w:t>
            </w:r>
          </w:p>
        </w:tc>
        <w:tc>
          <w:tcPr>
            <w:tcW w:w="848" w:type="pct"/>
            <w:shd w:val="clear" w:color="auto" w:fill="auto"/>
            <w:noWrap/>
            <w:tcMar>
              <w:top w:w="15" w:type="dxa"/>
              <w:left w:w="15" w:type="dxa"/>
              <w:bottom w:w="0" w:type="dxa"/>
              <w:right w:w="15" w:type="dxa"/>
            </w:tcMar>
            <w:hideMark/>
          </w:tcPr>
          <w:p w14:paraId="3590D460"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10.8</w:t>
            </w:r>
          </w:p>
        </w:tc>
        <w:tc>
          <w:tcPr>
            <w:tcW w:w="525" w:type="pct"/>
            <w:shd w:val="clear" w:color="auto" w:fill="auto"/>
            <w:noWrap/>
            <w:tcMar>
              <w:top w:w="15" w:type="dxa"/>
              <w:left w:w="15" w:type="dxa"/>
              <w:bottom w:w="0" w:type="dxa"/>
              <w:right w:w="15" w:type="dxa"/>
            </w:tcMar>
            <w:hideMark/>
          </w:tcPr>
          <w:p w14:paraId="10302DC3" w14:textId="714FD4F2"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1152882C" w14:textId="77777777" w:rsidTr="00A964E0">
        <w:trPr>
          <w:trHeight w:val="295"/>
        </w:trPr>
        <w:tc>
          <w:tcPr>
            <w:tcW w:w="1935" w:type="pct"/>
            <w:shd w:val="clear" w:color="auto" w:fill="auto"/>
            <w:tcMar>
              <w:top w:w="15" w:type="dxa"/>
              <w:left w:w="180" w:type="dxa"/>
              <w:bottom w:w="0" w:type="dxa"/>
              <w:right w:w="15" w:type="dxa"/>
            </w:tcMar>
            <w:hideMark/>
          </w:tcPr>
          <w:p w14:paraId="0B70D139" w14:textId="77777777"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 70</w:t>
            </w:r>
          </w:p>
        </w:tc>
        <w:tc>
          <w:tcPr>
            <w:tcW w:w="846" w:type="pct"/>
            <w:shd w:val="clear" w:color="auto" w:fill="auto"/>
            <w:noWrap/>
            <w:tcMar>
              <w:top w:w="15" w:type="dxa"/>
              <w:left w:w="15" w:type="dxa"/>
              <w:bottom w:w="0" w:type="dxa"/>
              <w:right w:w="15" w:type="dxa"/>
            </w:tcMar>
            <w:hideMark/>
          </w:tcPr>
          <w:p w14:paraId="021733E1"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5.5</w:t>
            </w:r>
          </w:p>
        </w:tc>
        <w:tc>
          <w:tcPr>
            <w:tcW w:w="846" w:type="pct"/>
            <w:shd w:val="clear" w:color="auto" w:fill="auto"/>
            <w:noWrap/>
            <w:tcMar>
              <w:top w:w="15" w:type="dxa"/>
              <w:left w:w="15" w:type="dxa"/>
              <w:bottom w:w="0" w:type="dxa"/>
              <w:right w:w="15" w:type="dxa"/>
            </w:tcMar>
            <w:hideMark/>
          </w:tcPr>
          <w:p w14:paraId="4F2DECBE"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4.9</w:t>
            </w:r>
          </w:p>
        </w:tc>
        <w:tc>
          <w:tcPr>
            <w:tcW w:w="848" w:type="pct"/>
            <w:shd w:val="clear" w:color="auto" w:fill="auto"/>
            <w:noWrap/>
            <w:tcMar>
              <w:top w:w="15" w:type="dxa"/>
              <w:left w:w="15" w:type="dxa"/>
              <w:bottom w:w="0" w:type="dxa"/>
              <w:right w:w="15" w:type="dxa"/>
            </w:tcMar>
            <w:hideMark/>
          </w:tcPr>
          <w:p w14:paraId="2FE02319"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3.9</w:t>
            </w:r>
          </w:p>
        </w:tc>
        <w:tc>
          <w:tcPr>
            <w:tcW w:w="525" w:type="pct"/>
            <w:shd w:val="clear" w:color="auto" w:fill="auto"/>
            <w:tcMar>
              <w:top w:w="15" w:type="dxa"/>
              <w:left w:w="15" w:type="dxa"/>
              <w:bottom w:w="0" w:type="dxa"/>
              <w:right w:w="15" w:type="dxa"/>
            </w:tcMar>
            <w:hideMark/>
          </w:tcPr>
          <w:p w14:paraId="44AF3A0B"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&lt; 0.001</w:t>
            </w:r>
          </w:p>
        </w:tc>
      </w:tr>
      <w:tr w:rsidR="00B909F3" w:rsidRPr="00B909F3" w14:paraId="3A1A5238" w14:textId="77777777" w:rsidTr="00A964E0">
        <w:trPr>
          <w:trHeight w:val="295"/>
        </w:trPr>
        <w:tc>
          <w:tcPr>
            <w:tcW w:w="1935" w:type="pct"/>
            <w:shd w:val="clear" w:color="auto" w:fill="auto"/>
            <w:tcMar>
              <w:top w:w="15" w:type="dxa"/>
              <w:left w:w="15" w:type="dxa"/>
              <w:bottom w:w="0" w:type="dxa"/>
              <w:right w:w="15" w:type="dxa"/>
            </w:tcMar>
            <w:hideMark/>
          </w:tcPr>
          <w:p w14:paraId="263EC119"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Women</w:t>
            </w:r>
          </w:p>
        </w:tc>
        <w:tc>
          <w:tcPr>
            <w:tcW w:w="846" w:type="pct"/>
            <w:shd w:val="clear" w:color="auto" w:fill="auto"/>
            <w:tcMar>
              <w:top w:w="15" w:type="dxa"/>
              <w:left w:w="15" w:type="dxa"/>
              <w:bottom w:w="0" w:type="dxa"/>
              <w:right w:w="15" w:type="dxa"/>
            </w:tcMar>
            <w:hideMark/>
          </w:tcPr>
          <w:p w14:paraId="5082B000"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40.5</w:t>
            </w:r>
          </w:p>
        </w:tc>
        <w:tc>
          <w:tcPr>
            <w:tcW w:w="846" w:type="pct"/>
            <w:shd w:val="clear" w:color="auto" w:fill="auto"/>
            <w:tcMar>
              <w:top w:w="15" w:type="dxa"/>
              <w:left w:w="15" w:type="dxa"/>
              <w:bottom w:w="0" w:type="dxa"/>
              <w:right w:w="15" w:type="dxa"/>
            </w:tcMar>
            <w:hideMark/>
          </w:tcPr>
          <w:p w14:paraId="40A6DAA0"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41.4</w:t>
            </w:r>
          </w:p>
        </w:tc>
        <w:tc>
          <w:tcPr>
            <w:tcW w:w="848" w:type="pct"/>
            <w:shd w:val="clear" w:color="auto" w:fill="auto"/>
            <w:tcMar>
              <w:top w:w="15" w:type="dxa"/>
              <w:left w:w="15" w:type="dxa"/>
              <w:bottom w:w="0" w:type="dxa"/>
              <w:right w:w="15" w:type="dxa"/>
            </w:tcMar>
            <w:hideMark/>
          </w:tcPr>
          <w:p w14:paraId="5C1DF1CF"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40.9</w:t>
            </w:r>
          </w:p>
        </w:tc>
        <w:tc>
          <w:tcPr>
            <w:tcW w:w="525" w:type="pct"/>
            <w:shd w:val="clear" w:color="auto" w:fill="auto"/>
            <w:tcMar>
              <w:top w:w="15" w:type="dxa"/>
              <w:left w:w="15" w:type="dxa"/>
              <w:bottom w:w="0" w:type="dxa"/>
              <w:right w:w="15" w:type="dxa"/>
            </w:tcMar>
            <w:hideMark/>
          </w:tcPr>
          <w:p w14:paraId="03D26932"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0.35</w:t>
            </w:r>
          </w:p>
        </w:tc>
      </w:tr>
      <w:tr w:rsidR="00B909F3" w:rsidRPr="00B909F3" w14:paraId="14367527" w14:textId="77777777" w:rsidTr="00A964E0">
        <w:trPr>
          <w:trHeight w:val="310"/>
        </w:trPr>
        <w:tc>
          <w:tcPr>
            <w:tcW w:w="5000" w:type="pct"/>
            <w:gridSpan w:val="5"/>
            <w:shd w:val="clear" w:color="auto" w:fill="auto"/>
            <w:tcMar>
              <w:top w:w="15" w:type="dxa"/>
              <w:left w:w="15" w:type="dxa"/>
              <w:bottom w:w="0" w:type="dxa"/>
              <w:right w:w="15" w:type="dxa"/>
            </w:tcMar>
            <w:hideMark/>
          </w:tcPr>
          <w:p w14:paraId="57452F5A" w14:textId="36C472AB" w:rsidR="001E06AD" w:rsidRPr="00B909F3" w:rsidRDefault="001E06AD" w:rsidP="00197EDE">
            <w:pPr>
              <w:spacing w:after="0" w:line="360" w:lineRule="auto"/>
              <w:contextualSpacing/>
              <w:jc w:val="both"/>
              <w:rPr>
                <w:rFonts w:ascii="Book Antiqua" w:hAnsi="Book Antiqua" w:cs="Arial"/>
                <w:szCs w:val="24"/>
              </w:rPr>
            </w:pPr>
            <w:r w:rsidRPr="00B909F3">
              <w:rPr>
                <w:rFonts w:ascii="Book Antiqua" w:hAnsi="Book Antiqua" w:cs="Arial"/>
                <w:szCs w:val="24"/>
              </w:rPr>
              <w:t>Race/ethnicity</w:t>
            </w:r>
          </w:p>
        </w:tc>
      </w:tr>
      <w:tr w:rsidR="00B909F3" w:rsidRPr="00B909F3" w14:paraId="609FFE90" w14:textId="77777777" w:rsidTr="00A964E0">
        <w:trPr>
          <w:trHeight w:val="295"/>
        </w:trPr>
        <w:tc>
          <w:tcPr>
            <w:tcW w:w="1935" w:type="pct"/>
            <w:shd w:val="clear" w:color="auto" w:fill="auto"/>
            <w:tcMar>
              <w:top w:w="15" w:type="dxa"/>
              <w:left w:w="360" w:type="dxa"/>
              <w:bottom w:w="0" w:type="dxa"/>
              <w:right w:w="15" w:type="dxa"/>
            </w:tcMar>
            <w:hideMark/>
          </w:tcPr>
          <w:p w14:paraId="08390A66"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White</w:t>
            </w:r>
          </w:p>
        </w:tc>
        <w:tc>
          <w:tcPr>
            <w:tcW w:w="846" w:type="pct"/>
            <w:shd w:val="clear" w:color="auto" w:fill="auto"/>
            <w:tcMar>
              <w:top w:w="15" w:type="dxa"/>
              <w:left w:w="15" w:type="dxa"/>
              <w:bottom w:w="0" w:type="dxa"/>
              <w:right w:w="15" w:type="dxa"/>
            </w:tcMar>
            <w:hideMark/>
          </w:tcPr>
          <w:p w14:paraId="0F50AB7F"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68.2</w:t>
            </w:r>
          </w:p>
        </w:tc>
        <w:tc>
          <w:tcPr>
            <w:tcW w:w="846" w:type="pct"/>
            <w:shd w:val="clear" w:color="auto" w:fill="auto"/>
            <w:tcMar>
              <w:top w:w="15" w:type="dxa"/>
              <w:left w:w="15" w:type="dxa"/>
              <w:bottom w:w="0" w:type="dxa"/>
              <w:right w:w="15" w:type="dxa"/>
            </w:tcMar>
            <w:hideMark/>
          </w:tcPr>
          <w:p w14:paraId="24CFE2B5"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68.1</w:t>
            </w:r>
          </w:p>
        </w:tc>
        <w:tc>
          <w:tcPr>
            <w:tcW w:w="848" w:type="pct"/>
            <w:shd w:val="clear" w:color="auto" w:fill="auto"/>
            <w:tcMar>
              <w:top w:w="15" w:type="dxa"/>
              <w:left w:w="15" w:type="dxa"/>
              <w:bottom w:w="0" w:type="dxa"/>
              <w:right w:w="15" w:type="dxa"/>
            </w:tcMar>
            <w:hideMark/>
          </w:tcPr>
          <w:p w14:paraId="5638FCBD"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65.6</w:t>
            </w:r>
          </w:p>
        </w:tc>
        <w:tc>
          <w:tcPr>
            <w:tcW w:w="525" w:type="pct"/>
            <w:shd w:val="clear" w:color="auto" w:fill="auto"/>
            <w:tcMar>
              <w:top w:w="15" w:type="dxa"/>
              <w:left w:w="15" w:type="dxa"/>
              <w:bottom w:w="0" w:type="dxa"/>
              <w:right w:w="15" w:type="dxa"/>
            </w:tcMar>
            <w:hideMark/>
          </w:tcPr>
          <w:p w14:paraId="6344C755" w14:textId="296FDDF8"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083B2F17" w14:textId="77777777" w:rsidTr="00A964E0">
        <w:trPr>
          <w:trHeight w:val="295"/>
        </w:trPr>
        <w:tc>
          <w:tcPr>
            <w:tcW w:w="1935" w:type="pct"/>
            <w:shd w:val="clear" w:color="auto" w:fill="auto"/>
            <w:tcMar>
              <w:top w:w="15" w:type="dxa"/>
              <w:left w:w="360" w:type="dxa"/>
              <w:bottom w:w="0" w:type="dxa"/>
              <w:right w:w="15" w:type="dxa"/>
            </w:tcMar>
            <w:hideMark/>
          </w:tcPr>
          <w:p w14:paraId="74F5CFB9"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Black</w:t>
            </w:r>
          </w:p>
        </w:tc>
        <w:tc>
          <w:tcPr>
            <w:tcW w:w="846" w:type="pct"/>
            <w:shd w:val="clear" w:color="auto" w:fill="auto"/>
            <w:tcMar>
              <w:top w:w="15" w:type="dxa"/>
              <w:left w:w="15" w:type="dxa"/>
              <w:bottom w:w="0" w:type="dxa"/>
              <w:right w:w="15" w:type="dxa"/>
            </w:tcMar>
            <w:hideMark/>
          </w:tcPr>
          <w:p w14:paraId="152EDE40"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17.2</w:t>
            </w:r>
          </w:p>
        </w:tc>
        <w:tc>
          <w:tcPr>
            <w:tcW w:w="846" w:type="pct"/>
            <w:shd w:val="clear" w:color="auto" w:fill="auto"/>
            <w:tcMar>
              <w:top w:w="15" w:type="dxa"/>
              <w:left w:w="15" w:type="dxa"/>
              <w:bottom w:w="0" w:type="dxa"/>
              <w:right w:w="15" w:type="dxa"/>
            </w:tcMar>
            <w:hideMark/>
          </w:tcPr>
          <w:p w14:paraId="42110269"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17.9</w:t>
            </w:r>
          </w:p>
        </w:tc>
        <w:tc>
          <w:tcPr>
            <w:tcW w:w="848" w:type="pct"/>
            <w:shd w:val="clear" w:color="auto" w:fill="auto"/>
            <w:tcMar>
              <w:top w:w="15" w:type="dxa"/>
              <w:left w:w="15" w:type="dxa"/>
              <w:bottom w:w="0" w:type="dxa"/>
              <w:right w:w="15" w:type="dxa"/>
            </w:tcMar>
            <w:hideMark/>
          </w:tcPr>
          <w:p w14:paraId="219642B9"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17.5</w:t>
            </w:r>
          </w:p>
        </w:tc>
        <w:tc>
          <w:tcPr>
            <w:tcW w:w="525" w:type="pct"/>
            <w:shd w:val="clear" w:color="auto" w:fill="auto"/>
            <w:tcMar>
              <w:top w:w="15" w:type="dxa"/>
              <w:left w:w="15" w:type="dxa"/>
              <w:bottom w:w="0" w:type="dxa"/>
              <w:right w:w="15" w:type="dxa"/>
            </w:tcMar>
            <w:hideMark/>
          </w:tcPr>
          <w:p w14:paraId="1C8A7F1D" w14:textId="43A33063"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5B70CFB1" w14:textId="77777777" w:rsidTr="00A964E0">
        <w:trPr>
          <w:trHeight w:val="295"/>
        </w:trPr>
        <w:tc>
          <w:tcPr>
            <w:tcW w:w="1935" w:type="pct"/>
            <w:shd w:val="clear" w:color="auto" w:fill="auto"/>
            <w:tcMar>
              <w:top w:w="15" w:type="dxa"/>
              <w:left w:w="360" w:type="dxa"/>
              <w:bottom w:w="0" w:type="dxa"/>
              <w:right w:w="15" w:type="dxa"/>
            </w:tcMar>
            <w:hideMark/>
          </w:tcPr>
          <w:p w14:paraId="618A37A1"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Other</w:t>
            </w:r>
          </w:p>
        </w:tc>
        <w:tc>
          <w:tcPr>
            <w:tcW w:w="846" w:type="pct"/>
            <w:shd w:val="clear" w:color="auto" w:fill="auto"/>
            <w:tcMar>
              <w:top w:w="15" w:type="dxa"/>
              <w:left w:w="15" w:type="dxa"/>
              <w:bottom w:w="0" w:type="dxa"/>
              <w:right w:w="15" w:type="dxa"/>
            </w:tcMar>
            <w:hideMark/>
          </w:tcPr>
          <w:p w14:paraId="0E851720"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14.6</w:t>
            </w:r>
          </w:p>
        </w:tc>
        <w:tc>
          <w:tcPr>
            <w:tcW w:w="846" w:type="pct"/>
            <w:shd w:val="clear" w:color="auto" w:fill="auto"/>
            <w:tcMar>
              <w:top w:w="15" w:type="dxa"/>
              <w:left w:w="15" w:type="dxa"/>
              <w:bottom w:w="0" w:type="dxa"/>
              <w:right w:w="15" w:type="dxa"/>
            </w:tcMar>
            <w:hideMark/>
          </w:tcPr>
          <w:p w14:paraId="22D4CEDD"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14.0</w:t>
            </w:r>
          </w:p>
        </w:tc>
        <w:tc>
          <w:tcPr>
            <w:tcW w:w="848" w:type="pct"/>
            <w:shd w:val="clear" w:color="auto" w:fill="auto"/>
            <w:tcMar>
              <w:top w:w="15" w:type="dxa"/>
              <w:left w:w="15" w:type="dxa"/>
              <w:bottom w:w="0" w:type="dxa"/>
              <w:right w:w="15" w:type="dxa"/>
            </w:tcMar>
            <w:hideMark/>
          </w:tcPr>
          <w:p w14:paraId="5910BC84"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16.9</w:t>
            </w:r>
          </w:p>
        </w:tc>
        <w:tc>
          <w:tcPr>
            <w:tcW w:w="525" w:type="pct"/>
            <w:shd w:val="clear" w:color="auto" w:fill="auto"/>
            <w:tcMar>
              <w:top w:w="15" w:type="dxa"/>
              <w:left w:w="15" w:type="dxa"/>
              <w:bottom w:w="0" w:type="dxa"/>
              <w:right w:w="15" w:type="dxa"/>
            </w:tcMar>
            <w:hideMark/>
          </w:tcPr>
          <w:p w14:paraId="721CF1B0"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&lt; 0.001</w:t>
            </w:r>
          </w:p>
        </w:tc>
      </w:tr>
      <w:tr w:rsidR="00B909F3" w:rsidRPr="00B909F3" w14:paraId="5C2CF9DF" w14:textId="77777777" w:rsidTr="00A964E0">
        <w:trPr>
          <w:trHeight w:val="310"/>
        </w:trPr>
        <w:tc>
          <w:tcPr>
            <w:tcW w:w="5000" w:type="pct"/>
            <w:gridSpan w:val="5"/>
            <w:shd w:val="clear" w:color="auto" w:fill="auto"/>
            <w:tcMar>
              <w:top w:w="15" w:type="dxa"/>
              <w:left w:w="15" w:type="dxa"/>
              <w:bottom w:w="0" w:type="dxa"/>
              <w:right w:w="15" w:type="dxa"/>
            </w:tcMar>
            <w:hideMark/>
          </w:tcPr>
          <w:p w14:paraId="2DCAE7D7" w14:textId="53F59685" w:rsidR="001E06AD" w:rsidRPr="00B909F3" w:rsidRDefault="001E06AD" w:rsidP="00197EDE">
            <w:pPr>
              <w:spacing w:after="0" w:line="360" w:lineRule="auto"/>
              <w:contextualSpacing/>
              <w:jc w:val="both"/>
              <w:rPr>
                <w:rFonts w:ascii="Book Antiqua" w:hAnsi="Book Antiqua" w:cs="Arial"/>
                <w:szCs w:val="24"/>
              </w:rPr>
            </w:pPr>
            <w:r w:rsidRPr="00B909F3">
              <w:rPr>
                <w:rFonts w:ascii="Book Antiqua" w:hAnsi="Book Antiqua" w:cs="Arial"/>
                <w:szCs w:val="24"/>
              </w:rPr>
              <w:t>BMI, kg/m</w:t>
            </w:r>
            <w:r w:rsidRPr="00B909F3">
              <w:rPr>
                <w:rFonts w:ascii="Book Antiqua" w:hAnsi="Book Antiqua" w:cs="Arial"/>
                <w:szCs w:val="24"/>
                <w:vertAlign w:val="superscript"/>
              </w:rPr>
              <w:t>2</w:t>
            </w:r>
          </w:p>
        </w:tc>
      </w:tr>
      <w:tr w:rsidR="00B909F3" w:rsidRPr="00B909F3" w14:paraId="4523958C" w14:textId="77777777" w:rsidTr="00A964E0">
        <w:trPr>
          <w:trHeight w:val="295"/>
        </w:trPr>
        <w:tc>
          <w:tcPr>
            <w:tcW w:w="1935" w:type="pct"/>
            <w:shd w:val="clear" w:color="auto" w:fill="auto"/>
            <w:tcMar>
              <w:top w:w="15" w:type="dxa"/>
              <w:left w:w="180" w:type="dxa"/>
              <w:bottom w:w="0" w:type="dxa"/>
              <w:right w:w="15" w:type="dxa"/>
            </w:tcMar>
            <w:hideMark/>
          </w:tcPr>
          <w:p w14:paraId="447AC6E3" w14:textId="77777777"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Underweight (&lt; 18.5)</w:t>
            </w:r>
          </w:p>
        </w:tc>
        <w:tc>
          <w:tcPr>
            <w:tcW w:w="846" w:type="pct"/>
            <w:shd w:val="clear" w:color="auto" w:fill="auto"/>
            <w:tcMar>
              <w:top w:w="15" w:type="dxa"/>
              <w:left w:w="15" w:type="dxa"/>
              <w:bottom w:w="0" w:type="dxa"/>
              <w:right w:w="15" w:type="dxa"/>
            </w:tcMar>
            <w:hideMark/>
          </w:tcPr>
          <w:p w14:paraId="352CDB5E"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2.9</w:t>
            </w:r>
          </w:p>
        </w:tc>
        <w:tc>
          <w:tcPr>
            <w:tcW w:w="846" w:type="pct"/>
            <w:shd w:val="clear" w:color="auto" w:fill="auto"/>
            <w:tcMar>
              <w:top w:w="15" w:type="dxa"/>
              <w:left w:w="15" w:type="dxa"/>
              <w:bottom w:w="0" w:type="dxa"/>
              <w:right w:w="15" w:type="dxa"/>
            </w:tcMar>
            <w:hideMark/>
          </w:tcPr>
          <w:p w14:paraId="14E86404"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2.9</w:t>
            </w:r>
          </w:p>
        </w:tc>
        <w:tc>
          <w:tcPr>
            <w:tcW w:w="848" w:type="pct"/>
            <w:shd w:val="clear" w:color="auto" w:fill="auto"/>
            <w:tcMar>
              <w:top w:w="15" w:type="dxa"/>
              <w:left w:w="15" w:type="dxa"/>
              <w:bottom w:w="0" w:type="dxa"/>
              <w:right w:w="15" w:type="dxa"/>
            </w:tcMar>
            <w:hideMark/>
          </w:tcPr>
          <w:p w14:paraId="3251B024"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2.6</w:t>
            </w:r>
          </w:p>
        </w:tc>
        <w:tc>
          <w:tcPr>
            <w:tcW w:w="525" w:type="pct"/>
            <w:shd w:val="clear" w:color="auto" w:fill="auto"/>
            <w:noWrap/>
            <w:tcMar>
              <w:top w:w="15" w:type="dxa"/>
              <w:left w:w="15" w:type="dxa"/>
              <w:bottom w:w="0" w:type="dxa"/>
              <w:right w:w="15" w:type="dxa"/>
            </w:tcMar>
            <w:hideMark/>
          </w:tcPr>
          <w:p w14:paraId="02DF21E2" w14:textId="43D05BD8"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1BACC790" w14:textId="77777777" w:rsidTr="00A964E0">
        <w:trPr>
          <w:trHeight w:val="295"/>
        </w:trPr>
        <w:tc>
          <w:tcPr>
            <w:tcW w:w="1935" w:type="pct"/>
            <w:shd w:val="clear" w:color="auto" w:fill="auto"/>
            <w:tcMar>
              <w:top w:w="15" w:type="dxa"/>
              <w:left w:w="180" w:type="dxa"/>
              <w:bottom w:w="0" w:type="dxa"/>
              <w:right w:w="15" w:type="dxa"/>
            </w:tcMar>
            <w:hideMark/>
          </w:tcPr>
          <w:p w14:paraId="012CE96B" w14:textId="07132600"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Normal (18.5</w:t>
            </w:r>
            <w:r w:rsidR="00C601EA">
              <w:rPr>
                <w:rFonts w:ascii="Book Antiqua" w:hAnsi="Book Antiqua" w:cs="Arial"/>
                <w:szCs w:val="24"/>
              </w:rPr>
              <w:t>-</w:t>
            </w:r>
            <w:r w:rsidRPr="00B909F3">
              <w:rPr>
                <w:rFonts w:ascii="Book Antiqua" w:hAnsi="Book Antiqua" w:cs="Arial"/>
                <w:szCs w:val="24"/>
              </w:rPr>
              <w:t>25)</w:t>
            </w:r>
          </w:p>
        </w:tc>
        <w:tc>
          <w:tcPr>
            <w:tcW w:w="846" w:type="pct"/>
            <w:shd w:val="clear" w:color="auto" w:fill="auto"/>
            <w:tcMar>
              <w:top w:w="15" w:type="dxa"/>
              <w:left w:w="15" w:type="dxa"/>
              <w:bottom w:w="0" w:type="dxa"/>
              <w:right w:w="15" w:type="dxa"/>
            </w:tcMar>
            <w:hideMark/>
          </w:tcPr>
          <w:p w14:paraId="330351EA"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36.5</w:t>
            </w:r>
          </w:p>
        </w:tc>
        <w:tc>
          <w:tcPr>
            <w:tcW w:w="846" w:type="pct"/>
            <w:shd w:val="clear" w:color="auto" w:fill="auto"/>
            <w:tcMar>
              <w:top w:w="15" w:type="dxa"/>
              <w:left w:w="15" w:type="dxa"/>
              <w:bottom w:w="0" w:type="dxa"/>
              <w:right w:w="15" w:type="dxa"/>
            </w:tcMar>
            <w:hideMark/>
          </w:tcPr>
          <w:p w14:paraId="216A3FA6"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35.9</w:t>
            </w:r>
          </w:p>
        </w:tc>
        <w:tc>
          <w:tcPr>
            <w:tcW w:w="848" w:type="pct"/>
            <w:shd w:val="clear" w:color="auto" w:fill="auto"/>
            <w:tcMar>
              <w:top w:w="15" w:type="dxa"/>
              <w:left w:w="15" w:type="dxa"/>
              <w:bottom w:w="0" w:type="dxa"/>
              <w:right w:w="15" w:type="dxa"/>
            </w:tcMar>
            <w:hideMark/>
          </w:tcPr>
          <w:p w14:paraId="041886C8"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36.2</w:t>
            </w:r>
          </w:p>
        </w:tc>
        <w:tc>
          <w:tcPr>
            <w:tcW w:w="525" w:type="pct"/>
            <w:shd w:val="clear" w:color="auto" w:fill="auto"/>
            <w:noWrap/>
            <w:tcMar>
              <w:top w:w="15" w:type="dxa"/>
              <w:left w:w="15" w:type="dxa"/>
              <w:bottom w:w="0" w:type="dxa"/>
              <w:right w:w="15" w:type="dxa"/>
            </w:tcMar>
            <w:hideMark/>
          </w:tcPr>
          <w:p w14:paraId="3BF75CB8" w14:textId="2B6056BF"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1EDAFF7F" w14:textId="77777777" w:rsidTr="00A964E0">
        <w:trPr>
          <w:trHeight w:val="295"/>
        </w:trPr>
        <w:tc>
          <w:tcPr>
            <w:tcW w:w="1935" w:type="pct"/>
            <w:shd w:val="clear" w:color="auto" w:fill="auto"/>
            <w:tcMar>
              <w:top w:w="15" w:type="dxa"/>
              <w:left w:w="180" w:type="dxa"/>
              <w:bottom w:w="0" w:type="dxa"/>
              <w:right w:w="15" w:type="dxa"/>
            </w:tcMar>
            <w:hideMark/>
          </w:tcPr>
          <w:p w14:paraId="4E70B0D5" w14:textId="5C3CB8CD"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Overweight (25</w:t>
            </w:r>
            <w:r w:rsidR="001E06AD" w:rsidRPr="00B909F3">
              <w:rPr>
                <w:rFonts w:ascii="Book Antiqua" w:hAnsi="Book Antiqua" w:cs="Arial"/>
                <w:szCs w:val="24"/>
              </w:rPr>
              <w:t>-</w:t>
            </w:r>
            <w:r w:rsidRPr="00B909F3">
              <w:rPr>
                <w:rFonts w:ascii="Book Antiqua" w:hAnsi="Book Antiqua" w:cs="Arial"/>
                <w:szCs w:val="24"/>
              </w:rPr>
              <w:t>30)</w:t>
            </w:r>
          </w:p>
        </w:tc>
        <w:tc>
          <w:tcPr>
            <w:tcW w:w="846" w:type="pct"/>
            <w:shd w:val="clear" w:color="auto" w:fill="auto"/>
            <w:tcMar>
              <w:top w:w="15" w:type="dxa"/>
              <w:left w:w="15" w:type="dxa"/>
              <w:bottom w:w="0" w:type="dxa"/>
              <w:right w:w="15" w:type="dxa"/>
            </w:tcMar>
            <w:hideMark/>
          </w:tcPr>
          <w:p w14:paraId="543CCD32"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33.5</w:t>
            </w:r>
          </w:p>
        </w:tc>
        <w:tc>
          <w:tcPr>
            <w:tcW w:w="846" w:type="pct"/>
            <w:shd w:val="clear" w:color="auto" w:fill="auto"/>
            <w:tcMar>
              <w:top w:w="15" w:type="dxa"/>
              <w:left w:w="15" w:type="dxa"/>
              <w:bottom w:w="0" w:type="dxa"/>
              <w:right w:w="15" w:type="dxa"/>
            </w:tcMar>
            <w:hideMark/>
          </w:tcPr>
          <w:p w14:paraId="3B98CDA2"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34.2</w:t>
            </w:r>
          </w:p>
        </w:tc>
        <w:tc>
          <w:tcPr>
            <w:tcW w:w="848" w:type="pct"/>
            <w:shd w:val="clear" w:color="auto" w:fill="auto"/>
            <w:tcMar>
              <w:top w:w="15" w:type="dxa"/>
              <w:left w:w="15" w:type="dxa"/>
              <w:bottom w:w="0" w:type="dxa"/>
              <w:right w:w="15" w:type="dxa"/>
            </w:tcMar>
            <w:hideMark/>
          </w:tcPr>
          <w:p w14:paraId="70158ADA"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33.4</w:t>
            </w:r>
          </w:p>
        </w:tc>
        <w:tc>
          <w:tcPr>
            <w:tcW w:w="525" w:type="pct"/>
            <w:shd w:val="clear" w:color="auto" w:fill="auto"/>
            <w:noWrap/>
            <w:tcMar>
              <w:top w:w="15" w:type="dxa"/>
              <w:left w:w="15" w:type="dxa"/>
              <w:bottom w:w="0" w:type="dxa"/>
              <w:right w:w="15" w:type="dxa"/>
            </w:tcMar>
            <w:hideMark/>
          </w:tcPr>
          <w:p w14:paraId="057CC695" w14:textId="29EC98BB"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2AFD08C6" w14:textId="77777777" w:rsidTr="00A964E0">
        <w:trPr>
          <w:trHeight w:val="310"/>
        </w:trPr>
        <w:tc>
          <w:tcPr>
            <w:tcW w:w="1935" w:type="pct"/>
            <w:shd w:val="clear" w:color="auto" w:fill="auto"/>
            <w:tcMar>
              <w:top w:w="15" w:type="dxa"/>
              <w:left w:w="180" w:type="dxa"/>
              <w:bottom w:w="0" w:type="dxa"/>
              <w:right w:w="15" w:type="dxa"/>
            </w:tcMar>
            <w:hideMark/>
          </w:tcPr>
          <w:p w14:paraId="52887BE9" w14:textId="77777777"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Obese (≥ 30)</w:t>
            </w:r>
          </w:p>
        </w:tc>
        <w:tc>
          <w:tcPr>
            <w:tcW w:w="846" w:type="pct"/>
            <w:shd w:val="clear" w:color="auto" w:fill="auto"/>
            <w:tcMar>
              <w:top w:w="15" w:type="dxa"/>
              <w:left w:w="15" w:type="dxa"/>
              <w:bottom w:w="0" w:type="dxa"/>
              <w:right w:w="15" w:type="dxa"/>
            </w:tcMar>
            <w:hideMark/>
          </w:tcPr>
          <w:p w14:paraId="59066C24"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27.1</w:t>
            </w:r>
          </w:p>
        </w:tc>
        <w:tc>
          <w:tcPr>
            <w:tcW w:w="846" w:type="pct"/>
            <w:shd w:val="clear" w:color="auto" w:fill="auto"/>
            <w:tcMar>
              <w:top w:w="15" w:type="dxa"/>
              <w:left w:w="15" w:type="dxa"/>
              <w:bottom w:w="0" w:type="dxa"/>
              <w:right w:w="15" w:type="dxa"/>
            </w:tcMar>
            <w:hideMark/>
          </w:tcPr>
          <w:p w14:paraId="666F7A64"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27.0</w:t>
            </w:r>
          </w:p>
        </w:tc>
        <w:tc>
          <w:tcPr>
            <w:tcW w:w="848" w:type="pct"/>
            <w:shd w:val="clear" w:color="auto" w:fill="auto"/>
            <w:tcMar>
              <w:top w:w="15" w:type="dxa"/>
              <w:left w:w="15" w:type="dxa"/>
              <w:bottom w:w="0" w:type="dxa"/>
              <w:right w:w="15" w:type="dxa"/>
            </w:tcMar>
            <w:hideMark/>
          </w:tcPr>
          <w:p w14:paraId="5DB73BF2"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27.9</w:t>
            </w:r>
          </w:p>
        </w:tc>
        <w:tc>
          <w:tcPr>
            <w:tcW w:w="525" w:type="pct"/>
            <w:shd w:val="clear" w:color="auto" w:fill="auto"/>
            <w:noWrap/>
            <w:tcMar>
              <w:top w:w="15" w:type="dxa"/>
              <w:left w:w="15" w:type="dxa"/>
              <w:bottom w:w="0" w:type="dxa"/>
              <w:right w:w="15" w:type="dxa"/>
            </w:tcMar>
            <w:hideMark/>
          </w:tcPr>
          <w:p w14:paraId="5983A926"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0.43</w:t>
            </w:r>
          </w:p>
        </w:tc>
      </w:tr>
      <w:tr w:rsidR="00B909F3" w:rsidRPr="00B909F3" w14:paraId="33DF6119" w14:textId="77777777" w:rsidTr="00A964E0">
        <w:trPr>
          <w:trHeight w:val="295"/>
        </w:trPr>
        <w:tc>
          <w:tcPr>
            <w:tcW w:w="5000" w:type="pct"/>
            <w:gridSpan w:val="5"/>
            <w:shd w:val="clear" w:color="auto" w:fill="auto"/>
            <w:tcMar>
              <w:top w:w="15" w:type="dxa"/>
              <w:left w:w="15" w:type="dxa"/>
              <w:bottom w:w="0" w:type="dxa"/>
              <w:right w:w="15" w:type="dxa"/>
            </w:tcMar>
            <w:vAlign w:val="center"/>
            <w:hideMark/>
          </w:tcPr>
          <w:p w14:paraId="700611A2" w14:textId="72BAB760" w:rsidR="001E06AD" w:rsidRPr="00B909F3" w:rsidRDefault="001E06AD" w:rsidP="00197EDE">
            <w:pPr>
              <w:spacing w:after="0" w:line="360" w:lineRule="auto"/>
              <w:contextualSpacing/>
              <w:jc w:val="both"/>
              <w:rPr>
                <w:rFonts w:ascii="Book Antiqua" w:hAnsi="Book Antiqua" w:cs="Arial"/>
                <w:szCs w:val="24"/>
              </w:rPr>
            </w:pPr>
            <w:r w:rsidRPr="00B909F3">
              <w:rPr>
                <w:rFonts w:ascii="Book Antiqua" w:hAnsi="Book Antiqua" w:cs="Arial"/>
                <w:szCs w:val="24"/>
              </w:rPr>
              <w:t>Cause of death</w:t>
            </w:r>
          </w:p>
        </w:tc>
      </w:tr>
      <w:tr w:rsidR="00B909F3" w:rsidRPr="00B909F3" w14:paraId="2B815C59" w14:textId="77777777" w:rsidTr="00A964E0">
        <w:trPr>
          <w:trHeight w:val="295"/>
        </w:trPr>
        <w:tc>
          <w:tcPr>
            <w:tcW w:w="1935" w:type="pct"/>
            <w:shd w:val="clear" w:color="auto" w:fill="auto"/>
            <w:tcMar>
              <w:top w:w="15" w:type="dxa"/>
              <w:left w:w="180" w:type="dxa"/>
              <w:bottom w:w="0" w:type="dxa"/>
              <w:right w:w="15" w:type="dxa"/>
            </w:tcMar>
            <w:vAlign w:val="center"/>
            <w:hideMark/>
          </w:tcPr>
          <w:p w14:paraId="1B9CCFA1" w14:textId="77777777"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Trauma</w:t>
            </w:r>
          </w:p>
        </w:tc>
        <w:tc>
          <w:tcPr>
            <w:tcW w:w="846" w:type="pct"/>
            <w:shd w:val="clear" w:color="auto" w:fill="auto"/>
            <w:tcMar>
              <w:top w:w="15" w:type="dxa"/>
              <w:left w:w="15" w:type="dxa"/>
              <w:bottom w:w="0" w:type="dxa"/>
              <w:right w:w="15" w:type="dxa"/>
            </w:tcMar>
            <w:vAlign w:val="center"/>
            <w:hideMark/>
          </w:tcPr>
          <w:p w14:paraId="69D61B44"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34.3</w:t>
            </w:r>
          </w:p>
        </w:tc>
        <w:tc>
          <w:tcPr>
            <w:tcW w:w="846" w:type="pct"/>
            <w:shd w:val="clear" w:color="auto" w:fill="auto"/>
            <w:tcMar>
              <w:top w:w="15" w:type="dxa"/>
              <w:left w:w="15" w:type="dxa"/>
              <w:bottom w:w="0" w:type="dxa"/>
              <w:right w:w="15" w:type="dxa"/>
            </w:tcMar>
            <w:vAlign w:val="center"/>
            <w:hideMark/>
          </w:tcPr>
          <w:p w14:paraId="55E1005B"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34.1</w:t>
            </w:r>
          </w:p>
        </w:tc>
        <w:tc>
          <w:tcPr>
            <w:tcW w:w="848" w:type="pct"/>
            <w:shd w:val="clear" w:color="auto" w:fill="auto"/>
            <w:tcMar>
              <w:top w:w="15" w:type="dxa"/>
              <w:left w:w="15" w:type="dxa"/>
              <w:bottom w:w="0" w:type="dxa"/>
              <w:right w:w="15" w:type="dxa"/>
            </w:tcMar>
            <w:vAlign w:val="center"/>
            <w:hideMark/>
          </w:tcPr>
          <w:p w14:paraId="33D7782E"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34.1</w:t>
            </w:r>
          </w:p>
        </w:tc>
        <w:tc>
          <w:tcPr>
            <w:tcW w:w="525" w:type="pct"/>
            <w:shd w:val="clear" w:color="auto" w:fill="auto"/>
            <w:tcMar>
              <w:top w:w="15" w:type="dxa"/>
              <w:left w:w="15" w:type="dxa"/>
              <w:bottom w:w="0" w:type="dxa"/>
              <w:right w:w="15" w:type="dxa"/>
            </w:tcMar>
            <w:hideMark/>
          </w:tcPr>
          <w:p w14:paraId="6C2A3D5F" w14:textId="0849E1EB"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31D859A0" w14:textId="77777777" w:rsidTr="00A964E0">
        <w:trPr>
          <w:trHeight w:val="295"/>
        </w:trPr>
        <w:tc>
          <w:tcPr>
            <w:tcW w:w="1935" w:type="pct"/>
            <w:shd w:val="clear" w:color="auto" w:fill="auto"/>
            <w:tcMar>
              <w:top w:w="15" w:type="dxa"/>
              <w:left w:w="180" w:type="dxa"/>
              <w:bottom w:w="0" w:type="dxa"/>
              <w:right w:w="15" w:type="dxa"/>
            </w:tcMar>
            <w:vAlign w:val="center"/>
            <w:hideMark/>
          </w:tcPr>
          <w:p w14:paraId="1CC09F78" w14:textId="77777777"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Anoxia</w:t>
            </w:r>
          </w:p>
        </w:tc>
        <w:tc>
          <w:tcPr>
            <w:tcW w:w="846" w:type="pct"/>
            <w:shd w:val="clear" w:color="auto" w:fill="auto"/>
            <w:tcMar>
              <w:top w:w="15" w:type="dxa"/>
              <w:left w:w="15" w:type="dxa"/>
              <w:bottom w:w="0" w:type="dxa"/>
              <w:right w:w="15" w:type="dxa"/>
            </w:tcMar>
            <w:vAlign w:val="center"/>
            <w:hideMark/>
          </w:tcPr>
          <w:p w14:paraId="24B28FF8"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21.5</w:t>
            </w:r>
          </w:p>
        </w:tc>
        <w:tc>
          <w:tcPr>
            <w:tcW w:w="846" w:type="pct"/>
            <w:shd w:val="clear" w:color="auto" w:fill="auto"/>
            <w:tcMar>
              <w:top w:w="15" w:type="dxa"/>
              <w:left w:w="15" w:type="dxa"/>
              <w:bottom w:w="0" w:type="dxa"/>
              <w:right w:w="15" w:type="dxa"/>
            </w:tcMar>
            <w:vAlign w:val="center"/>
            <w:hideMark/>
          </w:tcPr>
          <w:p w14:paraId="7149DA9B"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22.5</w:t>
            </w:r>
          </w:p>
        </w:tc>
        <w:tc>
          <w:tcPr>
            <w:tcW w:w="848" w:type="pct"/>
            <w:shd w:val="clear" w:color="auto" w:fill="auto"/>
            <w:tcMar>
              <w:top w:w="15" w:type="dxa"/>
              <w:left w:w="15" w:type="dxa"/>
              <w:bottom w:w="0" w:type="dxa"/>
              <w:right w:w="15" w:type="dxa"/>
            </w:tcMar>
            <w:vAlign w:val="center"/>
            <w:hideMark/>
          </w:tcPr>
          <w:p w14:paraId="39547162"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24</w:t>
            </w:r>
          </w:p>
        </w:tc>
        <w:tc>
          <w:tcPr>
            <w:tcW w:w="525" w:type="pct"/>
            <w:shd w:val="clear" w:color="auto" w:fill="auto"/>
            <w:tcMar>
              <w:top w:w="15" w:type="dxa"/>
              <w:left w:w="15" w:type="dxa"/>
              <w:bottom w:w="0" w:type="dxa"/>
              <w:right w:w="15" w:type="dxa"/>
            </w:tcMar>
            <w:hideMark/>
          </w:tcPr>
          <w:p w14:paraId="778E86DA" w14:textId="156C9D5C"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0E9F697C" w14:textId="77777777" w:rsidTr="00A964E0">
        <w:trPr>
          <w:trHeight w:val="295"/>
        </w:trPr>
        <w:tc>
          <w:tcPr>
            <w:tcW w:w="1935" w:type="pct"/>
            <w:shd w:val="clear" w:color="auto" w:fill="auto"/>
            <w:tcMar>
              <w:top w:w="15" w:type="dxa"/>
              <w:left w:w="180" w:type="dxa"/>
              <w:bottom w:w="0" w:type="dxa"/>
              <w:right w:w="15" w:type="dxa"/>
            </w:tcMar>
            <w:vAlign w:val="center"/>
            <w:hideMark/>
          </w:tcPr>
          <w:p w14:paraId="53F30F7D" w14:textId="77777777"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Cardiovascular accident</w:t>
            </w:r>
          </w:p>
        </w:tc>
        <w:tc>
          <w:tcPr>
            <w:tcW w:w="846" w:type="pct"/>
            <w:shd w:val="clear" w:color="auto" w:fill="auto"/>
            <w:tcMar>
              <w:top w:w="15" w:type="dxa"/>
              <w:left w:w="15" w:type="dxa"/>
              <w:bottom w:w="0" w:type="dxa"/>
              <w:right w:w="15" w:type="dxa"/>
            </w:tcMar>
            <w:vAlign w:val="center"/>
            <w:hideMark/>
          </w:tcPr>
          <w:p w14:paraId="2EA60960"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41.4</w:t>
            </w:r>
          </w:p>
        </w:tc>
        <w:tc>
          <w:tcPr>
            <w:tcW w:w="846" w:type="pct"/>
            <w:shd w:val="clear" w:color="auto" w:fill="auto"/>
            <w:tcMar>
              <w:top w:w="15" w:type="dxa"/>
              <w:left w:w="15" w:type="dxa"/>
              <w:bottom w:w="0" w:type="dxa"/>
              <w:right w:w="15" w:type="dxa"/>
            </w:tcMar>
            <w:vAlign w:val="center"/>
            <w:hideMark/>
          </w:tcPr>
          <w:p w14:paraId="32C26EFC"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40.9</w:t>
            </w:r>
          </w:p>
        </w:tc>
        <w:tc>
          <w:tcPr>
            <w:tcW w:w="848" w:type="pct"/>
            <w:shd w:val="clear" w:color="auto" w:fill="auto"/>
            <w:tcMar>
              <w:top w:w="15" w:type="dxa"/>
              <w:left w:w="15" w:type="dxa"/>
              <w:bottom w:w="0" w:type="dxa"/>
              <w:right w:w="15" w:type="dxa"/>
            </w:tcMar>
            <w:vAlign w:val="center"/>
            <w:hideMark/>
          </w:tcPr>
          <w:p w14:paraId="68287B7B"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39.4</w:t>
            </w:r>
          </w:p>
        </w:tc>
        <w:tc>
          <w:tcPr>
            <w:tcW w:w="525" w:type="pct"/>
            <w:shd w:val="clear" w:color="auto" w:fill="auto"/>
            <w:tcMar>
              <w:top w:w="15" w:type="dxa"/>
              <w:left w:w="15" w:type="dxa"/>
              <w:bottom w:w="0" w:type="dxa"/>
              <w:right w:w="15" w:type="dxa"/>
            </w:tcMar>
            <w:vAlign w:val="center"/>
            <w:hideMark/>
          </w:tcPr>
          <w:p w14:paraId="741617E4"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&lt; 0.01</w:t>
            </w:r>
          </w:p>
        </w:tc>
      </w:tr>
      <w:tr w:rsidR="00B909F3" w:rsidRPr="00B909F3" w14:paraId="1B602A12" w14:textId="77777777" w:rsidTr="00A964E0">
        <w:trPr>
          <w:trHeight w:val="295"/>
        </w:trPr>
        <w:tc>
          <w:tcPr>
            <w:tcW w:w="1935" w:type="pct"/>
            <w:shd w:val="clear" w:color="auto" w:fill="auto"/>
            <w:tcMar>
              <w:top w:w="15" w:type="dxa"/>
              <w:left w:w="15" w:type="dxa"/>
              <w:bottom w:w="0" w:type="dxa"/>
              <w:right w:w="15" w:type="dxa"/>
            </w:tcMar>
            <w:vAlign w:val="center"/>
            <w:hideMark/>
          </w:tcPr>
          <w:p w14:paraId="149E8401"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Donation after cardiac death</w:t>
            </w:r>
          </w:p>
        </w:tc>
        <w:tc>
          <w:tcPr>
            <w:tcW w:w="846" w:type="pct"/>
            <w:shd w:val="clear" w:color="auto" w:fill="auto"/>
            <w:tcMar>
              <w:top w:w="15" w:type="dxa"/>
              <w:left w:w="15" w:type="dxa"/>
              <w:bottom w:w="0" w:type="dxa"/>
              <w:right w:w="15" w:type="dxa"/>
            </w:tcMar>
            <w:vAlign w:val="center"/>
            <w:hideMark/>
          </w:tcPr>
          <w:p w14:paraId="203AD88E"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12.6</w:t>
            </w:r>
          </w:p>
        </w:tc>
        <w:tc>
          <w:tcPr>
            <w:tcW w:w="846" w:type="pct"/>
            <w:shd w:val="clear" w:color="auto" w:fill="auto"/>
            <w:tcMar>
              <w:top w:w="15" w:type="dxa"/>
              <w:left w:w="15" w:type="dxa"/>
              <w:bottom w:w="0" w:type="dxa"/>
              <w:right w:w="15" w:type="dxa"/>
            </w:tcMar>
            <w:vAlign w:val="center"/>
            <w:hideMark/>
          </w:tcPr>
          <w:p w14:paraId="0C92904A"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13.2</w:t>
            </w:r>
          </w:p>
        </w:tc>
        <w:tc>
          <w:tcPr>
            <w:tcW w:w="848" w:type="pct"/>
            <w:shd w:val="clear" w:color="auto" w:fill="auto"/>
            <w:tcMar>
              <w:top w:w="15" w:type="dxa"/>
              <w:left w:w="15" w:type="dxa"/>
              <w:bottom w:w="0" w:type="dxa"/>
              <w:right w:w="15" w:type="dxa"/>
            </w:tcMar>
            <w:vAlign w:val="center"/>
            <w:hideMark/>
          </w:tcPr>
          <w:p w14:paraId="6DB60C0B"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12.1</w:t>
            </w:r>
          </w:p>
        </w:tc>
        <w:tc>
          <w:tcPr>
            <w:tcW w:w="525" w:type="pct"/>
            <w:shd w:val="clear" w:color="auto" w:fill="auto"/>
            <w:tcMar>
              <w:top w:w="15" w:type="dxa"/>
              <w:left w:w="15" w:type="dxa"/>
              <w:bottom w:w="0" w:type="dxa"/>
              <w:right w:w="15" w:type="dxa"/>
            </w:tcMar>
            <w:vAlign w:val="center"/>
            <w:hideMark/>
          </w:tcPr>
          <w:p w14:paraId="7BF905CB"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0.04</w:t>
            </w:r>
          </w:p>
        </w:tc>
      </w:tr>
      <w:tr w:rsidR="00B909F3" w:rsidRPr="00B909F3" w14:paraId="77F687F5" w14:textId="77777777" w:rsidTr="00A964E0">
        <w:trPr>
          <w:trHeight w:val="310"/>
        </w:trPr>
        <w:tc>
          <w:tcPr>
            <w:tcW w:w="1935" w:type="pct"/>
            <w:shd w:val="clear" w:color="auto" w:fill="auto"/>
            <w:tcMar>
              <w:top w:w="15" w:type="dxa"/>
              <w:left w:w="15" w:type="dxa"/>
              <w:bottom w:w="0" w:type="dxa"/>
              <w:right w:w="15" w:type="dxa"/>
            </w:tcMar>
            <w:vAlign w:val="center"/>
            <w:hideMark/>
          </w:tcPr>
          <w:p w14:paraId="533AA89D"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lastRenderedPageBreak/>
              <w:t>Split/Partial liver</w:t>
            </w:r>
          </w:p>
        </w:tc>
        <w:tc>
          <w:tcPr>
            <w:tcW w:w="846" w:type="pct"/>
            <w:shd w:val="clear" w:color="auto" w:fill="auto"/>
            <w:tcMar>
              <w:top w:w="15" w:type="dxa"/>
              <w:left w:w="15" w:type="dxa"/>
              <w:bottom w:w="0" w:type="dxa"/>
              <w:right w:w="15" w:type="dxa"/>
            </w:tcMar>
            <w:vAlign w:val="center"/>
            <w:hideMark/>
          </w:tcPr>
          <w:p w14:paraId="0C637218"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1.5</w:t>
            </w:r>
          </w:p>
        </w:tc>
        <w:tc>
          <w:tcPr>
            <w:tcW w:w="846" w:type="pct"/>
            <w:shd w:val="clear" w:color="auto" w:fill="auto"/>
            <w:tcMar>
              <w:top w:w="15" w:type="dxa"/>
              <w:left w:w="15" w:type="dxa"/>
              <w:bottom w:w="0" w:type="dxa"/>
              <w:right w:w="15" w:type="dxa"/>
            </w:tcMar>
            <w:vAlign w:val="center"/>
            <w:hideMark/>
          </w:tcPr>
          <w:p w14:paraId="5E1CBB23"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1.4</w:t>
            </w:r>
          </w:p>
        </w:tc>
        <w:tc>
          <w:tcPr>
            <w:tcW w:w="848" w:type="pct"/>
            <w:shd w:val="clear" w:color="auto" w:fill="auto"/>
            <w:tcMar>
              <w:top w:w="15" w:type="dxa"/>
              <w:left w:w="15" w:type="dxa"/>
              <w:bottom w:w="0" w:type="dxa"/>
              <w:right w:w="15" w:type="dxa"/>
            </w:tcMar>
            <w:vAlign w:val="center"/>
            <w:hideMark/>
          </w:tcPr>
          <w:p w14:paraId="0F44254E"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1.3</w:t>
            </w:r>
          </w:p>
        </w:tc>
        <w:tc>
          <w:tcPr>
            <w:tcW w:w="525" w:type="pct"/>
            <w:shd w:val="clear" w:color="auto" w:fill="auto"/>
            <w:tcMar>
              <w:top w:w="15" w:type="dxa"/>
              <w:left w:w="15" w:type="dxa"/>
              <w:bottom w:w="0" w:type="dxa"/>
              <w:right w:w="15" w:type="dxa"/>
            </w:tcMar>
            <w:vAlign w:val="center"/>
            <w:hideMark/>
          </w:tcPr>
          <w:p w14:paraId="4457D0EA"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0.38</w:t>
            </w:r>
          </w:p>
        </w:tc>
      </w:tr>
      <w:tr w:rsidR="00B909F3" w:rsidRPr="00B909F3" w14:paraId="0F4569B6" w14:textId="77777777" w:rsidTr="00A964E0">
        <w:trPr>
          <w:trHeight w:val="295"/>
        </w:trPr>
        <w:tc>
          <w:tcPr>
            <w:tcW w:w="5000" w:type="pct"/>
            <w:gridSpan w:val="5"/>
            <w:shd w:val="clear" w:color="auto" w:fill="auto"/>
            <w:tcMar>
              <w:top w:w="15" w:type="dxa"/>
              <w:left w:w="15" w:type="dxa"/>
              <w:bottom w:w="0" w:type="dxa"/>
              <w:right w:w="15" w:type="dxa"/>
            </w:tcMar>
            <w:vAlign w:val="center"/>
            <w:hideMark/>
          </w:tcPr>
          <w:p w14:paraId="087518CF" w14:textId="78D6A4CF" w:rsidR="001E06AD" w:rsidRPr="00B909F3" w:rsidRDefault="001E06AD" w:rsidP="00197EDE">
            <w:pPr>
              <w:spacing w:after="0" w:line="360" w:lineRule="auto"/>
              <w:contextualSpacing/>
              <w:jc w:val="both"/>
              <w:rPr>
                <w:rFonts w:ascii="Book Antiqua" w:hAnsi="Book Antiqua" w:cs="Arial"/>
                <w:szCs w:val="24"/>
              </w:rPr>
            </w:pPr>
            <w:r w:rsidRPr="00B909F3">
              <w:rPr>
                <w:rFonts w:ascii="Book Antiqua" w:hAnsi="Book Antiqua" w:cs="Arial"/>
                <w:szCs w:val="24"/>
              </w:rPr>
              <w:t>Allocation type</w:t>
            </w:r>
          </w:p>
        </w:tc>
      </w:tr>
      <w:tr w:rsidR="00B909F3" w:rsidRPr="00B909F3" w14:paraId="32C534AB" w14:textId="77777777" w:rsidTr="00A964E0">
        <w:trPr>
          <w:trHeight w:val="295"/>
        </w:trPr>
        <w:tc>
          <w:tcPr>
            <w:tcW w:w="1935" w:type="pct"/>
            <w:shd w:val="clear" w:color="auto" w:fill="auto"/>
            <w:tcMar>
              <w:top w:w="15" w:type="dxa"/>
              <w:left w:w="180" w:type="dxa"/>
              <w:bottom w:w="0" w:type="dxa"/>
              <w:right w:w="15" w:type="dxa"/>
            </w:tcMar>
            <w:vAlign w:val="center"/>
            <w:hideMark/>
          </w:tcPr>
          <w:p w14:paraId="74F51A8B" w14:textId="77777777"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Regional</w:t>
            </w:r>
          </w:p>
        </w:tc>
        <w:tc>
          <w:tcPr>
            <w:tcW w:w="846" w:type="pct"/>
            <w:shd w:val="clear" w:color="auto" w:fill="auto"/>
            <w:tcMar>
              <w:top w:w="15" w:type="dxa"/>
              <w:left w:w="15" w:type="dxa"/>
              <w:bottom w:w="0" w:type="dxa"/>
              <w:right w:w="15" w:type="dxa"/>
            </w:tcMar>
            <w:vAlign w:val="center"/>
            <w:hideMark/>
          </w:tcPr>
          <w:p w14:paraId="7A0845DF"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17.8</w:t>
            </w:r>
          </w:p>
        </w:tc>
        <w:tc>
          <w:tcPr>
            <w:tcW w:w="846" w:type="pct"/>
            <w:shd w:val="clear" w:color="auto" w:fill="auto"/>
            <w:tcMar>
              <w:top w:w="15" w:type="dxa"/>
              <w:left w:w="15" w:type="dxa"/>
              <w:bottom w:w="0" w:type="dxa"/>
              <w:right w:w="15" w:type="dxa"/>
            </w:tcMar>
            <w:vAlign w:val="center"/>
            <w:hideMark/>
          </w:tcPr>
          <w:p w14:paraId="2A6D7420"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19.9</w:t>
            </w:r>
          </w:p>
        </w:tc>
        <w:tc>
          <w:tcPr>
            <w:tcW w:w="848" w:type="pct"/>
            <w:shd w:val="clear" w:color="auto" w:fill="auto"/>
            <w:tcMar>
              <w:top w:w="15" w:type="dxa"/>
              <w:left w:w="15" w:type="dxa"/>
              <w:bottom w:w="0" w:type="dxa"/>
              <w:right w:w="15" w:type="dxa"/>
            </w:tcMar>
            <w:vAlign w:val="center"/>
            <w:hideMark/>
          </w:tcPr>
          <w:p w14:paraId="440CA9B2"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23.3</w:t>
            </w:r>
          </w:p>
        </w:tc>
        <w:tc>
          <w:tcPr>
            <w:tcW w:w="525" w:type="pct"/>
            <w:shd w:val="clear" w:color="auto" w:fill="auto"/>
            <w:tcMar>
              <w:top w:w="15" w:type="dxa"/>
              <w:left w:w="15" w:type="dxa"/>
              <w:bottom w:w="0" w:type="dxa"/>
              <w:right w:w="15" w:type="dxa"/>
            </w:tcMar>
            <w:vAlign w:val="center"/>
            <w:hideMark/>
          </w:tcPr>
          <w:p w14:paraId="34D6E2BD" w14:textId="451FC27A" w:rsidR="00DB73D6" w:rsidRPr="00B909F3" w:rsidRDefault="00DB73D6" w:rsidP="00197EDE">
            <w:pPr>
              <w:spacing w:after="0" w:line="360" w:lineRule="auto"/>
              <w:contextualSpacing/>
              <w:jc w:val="both"/>
              <w:rPr>
                <w:rFonts w:ascii="Book Antiqua" w:hAnsi="Book Antiqua" w:cs="Arial"/>
                <w:szCs w:val="24"/>
              </w:rPr>
            </w:pPr>
          </w:p>
        </w:tc>
      </w:tr>
      <w:tr w:rsidR="00B909F3" w:rsidRPr="00B909F3" w14:paraId="7A23F9A2" w14:textId="77777777" w:rsidTr="00A964E0">
        <w:trPr>
          <w:trHeight w:val="295"/>
        </w:trPr>
        <w:tc>
          <w:tcPr>
            <w:tcW w:w="1935" w:type="pct"/>
            <w:shd w:val="clear" w:color="auto" w:fill="auto"/>
            <w:tcMar>
              <w:top w:w="15" w:type="dxa"/>
              <w:left w:w="180" w:type="dxa"/>
              <w:bottom w:w="0" w:type="dxa"/>
              <w:right w:w="15" w:type="dxa"/>
            </w:tcMar>
            <w:vAlign w:val="center"/>
            <w:hideMark/>
          </w:tcPr>
          <w:p w14:paraId="52824CF3" w14:textId="77777777" w:rsidR="00DB73D6" w:rsidRPr="00B909F3" w:rsidRDefault="00DB73D6" w:rsidP="00197EDE">
            <w:pPr>
              <w:spacing w:after="0" w:line="360" w:lineRule="auto"/>
              <w:ind w:firstLine="240"/>
              <w:contextualSpacing/>
              <w:jc w:val="both"/>
              <w:rPr>
                <w:rFonts w:ascii="Book Antiqua" w:hAnsi="Book Antiqua" w:cs="Arial"/>
                <w:szCs w:val="24"/>
              </w:rPr>
            </w:pPr>
            <w:r w:rsidRPr="00B909F3">
              <w:rPr>
                <w:rFonts w:ascii="Book Antiqua" w:hAnsi="Book Antiqua" w:cs="Arial"/>
                <w:szCs w:val="24"/>
              </w:rPr>
              <w:t>National</w:t>
            </w:r>
          </w:p>
        </w:tc>
        <w:tc>
          <w:tcPr>
            <w:tcW w:w="846" w:type="pct"/>
            <w:shd w:val="clear" w:color="auto" w:fill="auto"/>
            <w:tcMar>
              <w:top w:w="15" w:type="dxa"/>
              <w:left w:w="15" w:type="dxa"/>
              <w:bottom w:w="0" w:type="dxa"/>
              <w:right w:w="15" w:type="dxa"/>
            </w:tcMar>
            <w:vAlign w:val="center"/>
            <w:hideMark/>
          </w:tcPr>
          <w:p w14:paraId="6BCEF565"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6.6</w:t>
            </w:r>
          </w:p>
        </w:tc>
        <w:tc>
          <w:tcPr>
            <w:tcW w:w="846" w:type="pct"/>
            <w:shd w:val="clear" w:color="auto" w:fill="auto"/>
            <w:tcMar>
              <w:top w:w="15" w:type="dxa"/>
              <w:left w:w="15" w:type="dxa"/>
              <w:bottom w:w="0" w:type="dxa"/>
              <w:right w:w="15" w:type="dxa"/>
            </w:tcMar>
            <w:vAlign w:val="center"/>
            <w:hideMark/>
          </w:tcPr>
          <w:p w14:paraId="7DA90BD7"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5.0</w:t>
            </w:r>
          </w:p>
        </w:tc>
        <w:tc>
          <w:tcPr>
            <w:tcW w:w="848" w:type="pct"/>
            <w:shd w:val="clear" w:color="auto" w:fill="auto"/>
            <w:tcMar>
              <w:top w:w="15" w:type="dxa"/>
              <w:left w:w="15" w:type="dxa"/>
              <w:bottom w:w="0" w:type="dxa"/>
              <w:right w:w="15" w:type="dxa"/>
            </w:tcMar>
            <w:vAlign w:val="center"/>
            <w:hideMark/>
          </w:tcPr>
          <w:p w14:paraId="59382387"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3.8</w:t>
            </w:r>
          </w:p>
        </w:tc>
        <w:tc>
          <w:tcPr>
            <w:tcW w:w="525" w:type="pct"/>
            <w:shd w:val="clear" w:color="auto" w:fill="auto"/>
            <w:tcMar>
              <w:top w:w="15" w:type="dxa"/>
              <w:left w:w="15" w:type="dxa"/>
              <w:bottom w:w="0" w:type="dxa"/>
              <w:right w:w="15" w:type="dxa"/>
            </w:tcMar>
            <w:vAlign w:val="center"/>
            <w:hideMark/>
          </w:tcPr>
          <w:p w14:paraId="59B7C596"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&lt; 0.001</w:t>
            </w:r>
          </w:p>
        </w:tc>
      </w:tr>
      <w:tr w:rsidR="00B909F3" w:rsidRPr="00B909F3" w14:paraId="766ABEC5" w14:textId="77777777" w:rsidTr="00A964E0">
        <w:trPr>
          <w:trHeight w:val="310"/>
        </w:trPr>
        <w:tc>
          <w:tcPr>
            <w:tcW w:w="1935" w:type="pct"/>
            <w:shd w:val="clear" w:color="auto" w:fill="auto"/>
            <w:tcMar>
              <w:top w:w="15" w:type="dxa"/>
              <w:left w:w="15" w:type="dxa"/>
              <w:bottom w:w="0" w:type="dxa"/>
              <w:right w:w="15" w:type="dxa"/>
            </w:tcMar>
            <w:vAlign w:val="center"/>
            <w:hideMark/>
          </w:tcPr>
          <w:p w14:paraId="512CBC81" w14:textId="3AFEC256"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Cold ischemia time ≥ 8 h</w:t>
            </w:r>
          </w:p>
        </w:tc>
        <w:tc>
          <w:tcPr>
            <w:tcW w:w="846" w:type="pct"/>
            <w:shd w:val="clear" w:color="auto" w:fill="auto"/>
            <w:tcMar>
              <w:top w:w="15" w:type="dxa"/>
              <w:left w:w="15" w:type="dxa"/>
              <w:bottom w:w="0" w:type="dxa"/>
              <w:right w:w="15" w:type="dxa"/>
            </w:tcMar>
            <w:vAlign w:val="center"/>
            <w:hideMark/>
          </w:tcPr>
          <w:p w14:paraId="3C48760F"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30.9</w:t>
            </w:r>
          </w:p>
        </w:tc>
        <w:tc>
          <w:tcPr>
            <w:tcW w:w="846" w:type="pct"/>
            <w:shd w:val="clear" w:color="auto" w:fill="auto"/>
            <w:tcMar>
              <w:top w:w="15" w:type="dxa"/>
              <w:left w:w="15" w:type="dxa"/>
              <w:bottom w:w="0" w:type="dxa"/>
              <w:right w:w="15" w:type="dxa"/>
            </w:tcMar>
            <w:vAlign w:val="center"/>
            <w:hideMark/>
          </w:tcPr>
          <w:p w14:paraId="42E5E515"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28.9</w:t>
            </w:r>
          </w:p>
        </w:tc>
        <w:tc>
          <w:tcPr>
            <w:tcW w:w="848" w:type="pct"/>
            <w:shd w:val="clear" w:color="auto" w:fill="auto"/>
            <w:tcMar>
              <w:top w:w="15" w:type="dxa"/>
              <w:left w:w="15" w:type="dxa"/>
              <w:bottom w:w="0" w:type="dxa"/>
              <w:right w:w="15" w:type="dxa"/>
            </w:tcMar>
            <w:vAlign w:val="center"/>
            <w:hideMark/>
          </w:tcPr>
          <w:p w14:paraId="089222FC"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27.9</w:t>
            </w:r>
          </w:p>
        </w:tc>
        <w:tc>
          <w:tcPr>
            <w:tcW w:w="525" w:type="pct"/>
            <w:shd w:val="clear" w:color="auto" w:fill="auto"/>
            <w:tcMar>
              <w:top w:w="15" w:type="dxa"/>
              <w:left w:w="15" w:type="dxa"/>
              <w:bottom w:w="0" w:type="dxa"/>
              <w:right w:w="15" w:type="dxa"/>
            </w:tcMar>
            <w:vAlign w:val="center"/>
            <w:hideMark/>
          </w:tcPr>
          <w:p w14:paraId="6954D48B" w14:textId="77777777" w:rsidR="00DB73D6" w:rsidRPr="00B909F3" w:rsidRDefault="00DB73D6" w:rsidP="00197EDE">
            <w:pPr>
              <w:spacing w:after="0" w:line="360" w:lineRule="auto"/>
              <w:contextualSpacing/>
              <w:jc w:val="both"/>
              <w:rPr>
                <w:rFonts w:ascii="Book Antiqua" w:hAnsi="Book Antiqua" w:cs="Arial"/>
                <w:szCs w:val="24"/>
              </w:rPr>
            </w:pPr>
            <w:r w:rsidRPr="00B909F3">
              <w:rPr>
                <w:rFonts w:ascii="Book Antiqua" w:hAnsi="Book Antiqua" w:cs="Arial"/>
                <w:szCs w:val="24"/>
              </w:rPr>
              <w:t>&lt; 0.001</w:t>
            </w:r>
          </w:p>
        </w:tc>
      </w:tr>
    </w:tbl>
    <w:p w14:paraId="375FE018" w14:textId="2DF7EF4A" w:rsidR="00DB73D6" w:rsidRPr="00C601EA" w:rsidRDefault="00DB73D6" w:rsidP="00197EDE">
      <w:pPr>
        <w:spacing w:after="0" w:line="360" w:lineRule="auto"/>
        <w:jc w:val="both"/>
        <w:rPr>
          <w:rFonts w:ascii="Book Antiqua" w:hAnsi="Book Antiqua" w:cs="Arial"/>
          <w:b/>
          <w:szCs w:val="24"/>
        </w:rPr>
      </w:pPr>
      <w:proofErr w:type="spellStart"/>
      <w:r w:rsidRPr="00B909F3">
        <w:rPr>
          <w:rFonts w:ascii="Book Antiqua" w:hAnsi="Book Antiqua" w:cs="Arial"/>
          <w:szCs w:val="24"/>
          <w:vertAlign w:val="superscript"/>
        </w:rPr>
        <w:t>a</w:t>
      </w:r>
      <w:r w:rsidRPr="00B909F3">
        <w:rPr>
          <w:rFonts w:ascii="Book Antiqua" w:hAnsi="Book Antiqua" w:cs="Arial"/>
          <w:szCs w:val="24"/>
        </w:rPr>
        <w:t>Column</w:t>
      </w:r>
      <w:proofErr w:type="spellEnd"/>
      <w:r w:rsidRPr="00B909F3">
        <w:rPr>
          <w:rFonts w:ascii="Book Antiqua" w:hAnsi="Book Antiqua" w:cs="Arial"/>
          <w:szCs w:val="24"/>
        </w:rPr>
        <w:t xml:space="preserve"> percentage or median (interquartile range)</w:t>
      </w:r>
      <w:r w:rsidR="00C601EA">
        <w:rPr>
          <w:rFonts w:ascii="Book Antiqua" w:hAnsi="Book Antiqua" w:cs="Arial"/>
          <w:szCs w:val="24"/>
        </w:rPr>
        <w:t>;</w:t>
      </w:r>
      <w:r w:rsidR="009A5155" w:rsidRPr="00B909F3">
        <w:rPr>
          <w:rFonts w:ascii="Book Antiqua" w:hAnsi="Book Antiqua" w:cs="Arial"/>
          <w:szCs w:val="24"/>
        </w:rPr>
        <w:t xml:space="preserve"> </w:t>
      </w:r>
      <w:proofErr w:type="spellStart"/>
      <w:r w:rsidRPr="00B909F3">
        <w:rPr>
          <w:rFonts w:ascii="Book Antiqua" w:hAnsi="Book Antiqua" w:cs="Arial"/>
          <w:szCs w:val="24"/>
          <w:vertAlign w:val="superscript"/>
        </w:rPr>
        <w:t>b</w:t>
      </w:r>
      <w:r w:rsidRPr="00B909F3">
        <w:rPr>
          <w:rFonts w:ascii="Book Antiqua" w:hAnsi="Book Antiqua" w:cs="Arial"/>
          <w:szCs w:val="24"/>
        </w:rPr>
        <w:t>Donor</w:t>
      </w:r>
      <w:proofErr w:type="spellEnd"/>
      <w:r w:rsidRPr="00B909F3">
        <w:rPr>
          <w:rFonts w:ascii="Book Antiqua" w:hAnsi="Book Antiqua" w:cs="Arial"/>
          <w:szCs w:val="24"/>
        </w:rPr>
        <w:t xml:space="preserve"> risk index as described by Feng </w:t>
      </w:r>
      <w:r w:rsidRPr="00B909F3">
        <w:rPr>
          <w:rFonts w:ascii="Book Antiqua" w:hAnsi="Book Antiqua" w:cs="Arial"/>
          <w:i/>
          <w:szCs w:val="24"/>
        </w:rPr>
        <w:t xml:space="preserve">et </w:t>
      </w:r>
      <w:proofErr w:type="gramStart"/>
      <w:r w:rsidRPr="00B909F3">
        <w:rPr>
          <w:rFonts w:ascii="Book Antiqua" w:hAnsi="Book Antiqua" w:cs="Arial"/>
          <w:i/>
          <w:szCs w:val="24"/>
        </w:rPr>
        <w:t>al</w:t>
      </w:r>
      <w:r w:rsidR="00C601EA" w:rsidRPr="00C601EA">
        <w:rPr>
          <w:rFonts w:ascii="Book Antiqua" w:hAnsi="Book Antiqua" w:cs="Arial"/>
          <w:szCs w:val="24"/>
          <w:vertAlign w:val="superscript"/>
        </w:rPr>
        <w:t>[</w:t>
      </w:r>
      <w:proofErr w:type="gramEnd"/>
      <w:r w:rsidR="00C601EA" w:rsidRPr="00C601EA">
        <w:rPr>
          <w:rFonts w:ascii="Book Antiqua" w:hAnsi="Book Antiqua" w:cs="Arial"/>
          <w:szCs w:val="24"/>
          <w:vertAlign w:val="superscript"/>
        </w:rPr>
        <w:t>35]</w:t>
      </w:r>
      <w:r w:rsidR="00C601EA">
        <w:rPr>
          <w:rFonts w:ascii="Book Antiqua" w:hAnsi="Book Antiqua" w:cs="Arial"/>
          <w:szCs w:val="24"/>
        </w:rPr>
        <w:t xml:space="preserve">, </w:t>
      </w:r>
      <w:r w:rsidRPr="00B909F3">
        <w:rPr>
          <w:rFonts w:ascii="Book Antiqua" w:hAnsi="Book Antiqua" w:cs="Arial"/>
          <w:szCs w:val="24"/>
        </w:rPr>
        <w:t>2006</w:t>
      </w:r>
      <w:r w:rsidR="009A5155" w:rsidRPr="00B909F3">
        <w:rPr>
          <w:rFonts w:ascii="Book Antiqua" w:hAnsi="Book Antiqua" w:cs="Arial"/>
          <w:szCs w:val="24"/>
        </w:rPr>
        <w:t>.</w:t>
      </w:r>
      <w:r w:rsidR="00C601EA">
        <w:rPr>
          <w:rFonts w:ascii="Book Antiqua" w:eastAsia="SimSun" w:hAnsi="Book Antiqua" w:cs="Arial" w:hint="eastAsia"/>
          <w:szCs w:val="24"/>
          <w:lang w:eastAsia="zh-CN"/>
        </w:rPr>
        <w:t xml:space="preserve"> </w:t>
      </w:r>
      <w:r w:rsidRPr="00B909F3">
        <w:rPr>
          <w:rFonts w:ascii="Book Antiqua" w:eastAsia="Arial Unicode MS" w:hAnsi="Book Antiqua" w:cs="Arial"/>
          <w:bCs/>
          <w:szCs w:val="24"/>
        </w:rPr>
        <w:t>BMI</w:t>
      </w:r>
      <w:r w:rsidR="009A5155" w:rsidRPr="00B909F3">
        <w:rPr>
          <w:rFonts w:ascii="Book Antiqua" w:eastAsia="Arial Unicode MS" w:hAnsi="Book Antiqua" w:cs="Arial"/>
          <w:bCs/>
          <w:szCs w:val="24"/>
        </w:rPr>
        <w:t>:</w:t>
      </w:r>
      <w:r w:rsidRPr="00B909F3">
        <w:rPr>
          <w:rFonts w:ascii="Book Antiqua" w:eastAsia="Arial Unicode MS" w:hAnsi="Book Antiqua" w:cs="Arial"/>
          <w:bCs/>
          <w:szCs w:val="24"/>
        </w:rPr>
        <w:t xml:space="preserve"> </w:t>
      </w:r>
      <w:r w:rsidR="009A5155" w:rsidRPr="00B909F3">
        <w:rPr>
          <w:rFonts w:ascii="Book Antiqua" w:eastAsia="Arial Unicode MS" w:hAnsi="Book Antiqua" w:cs="Arial"/>
          <w:bCs/>
          <w:szCs w:val="24"/>
        </w:rPr>
        <w:t xml:space="preserve">Body </w:t>
      </w:r>
      <w:r w:rsidRPr="00B909F3">
        <w:rPr>
          <w:rFonts w:ascii="Book Antiqua" w:eastAsia="Arial Unicode MS" w:hAnsi="Book Antiqua" w:cs="Arial"/>
          <w:bCs/>
          <w:szCs w:val="24"/>
        </w:rPr>
        <w:t>mass index</w:t>
      </w:r>
      <w:r w:rsidR="00C601EA">
        <w:rPr>
          <w:rFonts w:ascii="Book Antiqua" w:eastAsia="Arial Unicode MS" w:hAnsi="Book Antiqua" w:cs="Arial"/>
          <w:bCs/>
          <w:szCs w:val="24"/>
        </w:rPr>
        <w:t>.</w:t>
      </w:r>
    </w:p>
    <w:p w14:paraId="7424CC30" w14:textId="77777777" w:rsidR="00DB73D6" w:rsidRPr="00B909F3" w:rsidRDefault="00DB73D6" w:rsidP="00197EDE">
      <w:pPr>
        <w:spacing w:after="0" w:line="360" w:lineRule="auto"/>
        <w:jc w:val="both"/>
        <w:rPr>
          <w:rFonts w:ascii="Book Antiqua" w:eastAsia="Arial Unicode MS" w:hAnsi="Book Antiqua" w:cs="Arial"/>
          <w:szCs w:val="24"/>
        </w:rPr>
      </w:pPr>
      <w:r w:rsidRPr="00B909F3">
        <w:rPr>
          <w:rFonts w:ascii="Book Antiqua" w:eastAsia="Arial Unicode MS" w:hAnsi="Book Antiqua" w:cs="Arial"/>
          <w:szCs w:val="24"/>
        </w:rPr>
        <w:br w:type="page"/>
      </w:r>
    </w:p>
    <w:p w14:paraId="42BA349D" w14:textId="36A84607" w:rsidR="00DB73D6" w:rsidRPr="00B909F3" w:rsidRDefault="00DB73D6" w:rsidP="00197EDE">
      <w:pPr>
        <w:spacing w:after="0" w:line="360" w:lineRule="auto"/>
        <w:jc w:val="both"/>
        <w:rPr>
          <w:rFonts w:ascii="Book Antiqua" w:hAnsi="Book Antiqua" w:cs="Arial"/>
          <w:b/>
          <w:szCs w:val="24"/>
        </w:rPr>
      </w:pPr>
      <w:r w:rsidRPr="00B909F3">
        <w:rPr>
          <w:rFonts w:ascii="Book Antiqua" w:hAnsi="Book Antiqua" w:cs="Arial"/>
          <w:b/>
          <w:szCs w:val="24"/>
        </w:rPr>
        <w:lastRenderedPageBreak/>
        <w:t>Table 5 Association between pre-transplant functional status and 1-year (all-cause) post-transplant mortality, Scientific Registry of Transplant Recipients 2005–2014 (</w:t>
      </w:r>
      <w:r w:rsidRPr="00B909F3">
        <w:rPr>
          <w:rFonts w:ascii="Book Antiqua" w:hAnsi="Book Antiqua" w:cs="Arial"/>
          <w:b/>
          <w:i/>
          <w:iCs/>
          <w:szCs w:val="24"/>
        </w:rPr>
        <w:t>n</w:t>
      </w:r>
      <w:r w:rsidRPr="00B909F3">
        <w:rPr>
          <w:rFonts w:ascii="Book Antiqua" w:hAnsi="Book Antiqua" w:cs="Arial"/>
          <w:b/>
          <w:szCs w:val="24"/>
        </w:rPr>
        <w:t xml:space="preserve"> = 38278</w:t>
      </w:r>
      <w:r w:rsidRPr="00B909F3">
        <w:rPr>
          <w:rFonts w:ascii="Book Antiqua" w:hAnsi="Book Antiqua" w:cs="Arial"/>
          <w:b/>
          <w:szCs w:val="24"/>
          <w:vertAlign w:val="superscript"/>
        </w:rPr>
        <w:t>a</w:t>
      </w:r>
      <w:r w:rsidRPr="00B909F3">
        <w:rPr>
          <w:rFonts w:ascii="Book Antiqua" w:hAnsi="Book Antiqua" w:cs="Arial"/>
          <w:b/>
          <w:szCs w:val="24"/>
        </w:rPr>
        <w:t>)</w:t>
      </w:r>
    </w:p>
    <w:tbl>
      <w:tblPr>
        <w:tblW w:w="8640" w:type="dxa"/>
        <w:tblInd w:w="108" w:type="dxa"/>
        <w:tblBorders>
          <w:top w:val="single" w:sz="4" w:space="0" w:color="auto"/>
          <w:bottom w:val="single" w:sz="4" w:space="0" w:color="auto"/>
        </w:tblBorders>
        <w:tblLook w:val="04A0" w:firstRow="1" w:lastRow="0" w:firstColumn="1" w:lastColumn="0" w:noHBand="0" w:noVBand="1"/>
      </w:tblPr>
      <w:tblGrid>
        <w:gridCol w:w="2166"/>
        <w:gridCol w:w="1249"/>
        <w:gridCol w:w="1113"/>
        <w:gridCol w:w="1249"/>
        <w:gridCol w:w="1113"/>
        <w:gridCol w:w="1249"/>
        <w:gridCol w:w="1113"/>
      </w:tblGrid>
      <w:tr w:rsidR="0055136B" w:rsidRPr="00B909F3" w14:paraId="3D352058" w14:textId="77777777" w:rsidTr="0055136B">
        <w:trPr>
          <w:trHeight w:val="285"/>
        </w:trPr>
        <w:tc>
          <w:tcPr>
            <w:tcW w:w="1979" w:type="dxa"/>
            <w:vMerge w:val="restart"/>
            <w:tcBorders>
              <w:top w:val="single" w:sz="4" w:space="0" w:color="auto"/>
              <w:bottom w:val="nil"/>
            </w:tcBorders>
            <w:shd w:val="clear" w:color="auto" w:fill="auto"/>
            <w:noWrap/>
            <w:vAlign w:val="center"/>
            <w:hideMark/>
          </w:tcPr>
          <w:p w14:paraId="1B010FBD" w14:textId="77777777"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 xml:space="preserve">Functional impairment/disability </w:t>
            </w:r>
          </w:p>
        </w:tc>
        <w:tc>
          <w:tcPr>
            <w:tcW w:w="6661" w:type="dxa"/>
            <w:gridSpan w:val="6"/>
            <w:tcBorders>
              <w:top w:val="single" w:sz="4" w:space="0" w:color="auto"/>
              <w:bottom w:val="single" w:sz="4" w:space="0" w:color="auto"/>
            </w:tcBorders>
            <w:shd w:val="clear" w:color="auto" w:fill="auto"/>
            <w:noWrap/>
            <w:vAlign w:val="center"/>
            <w:hideMark/>
          </w:tcPr>
          <w:p w14:paraId="12C57C10" w14:textId="26C3D80D"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Hazard Ratio (95%CI)</w:t>
            </w:r>
          </w:p>
        </w:tc>
      </w:tr>
      <w:tr w:rsidR="0055136B" w:rsidRPr="00B909F3" w14:paraId="06E6526F" w14:textId="77777777" w:rsidTr="0055136B">
        <w:trPr>
          <w:trHeight w:val="300"/>
        </w:trPr>
        <w:tc>
          <w:tcPr>
            <w:tcW w:w="1979" w:type="dxa"/>
            <w:vMerge/>
            <w:tcBorders>
              <w:top w:val="nil"/>
              <w:bottom w:val="nil"/>
            </w:tcBorders>
            <w:vAlign w:val="center"/>
            <w:hideMark/>
          </w:tcPr>
          <w:p w14:paraId="3A26A217" w14:textId="77777777" w:rsidR="0055136B" w:rsidRPr="00B909F3" w:rsidRDefault="0055136B" w:rsidP="00197EDE">
            <w:pPr>
              <w:spacing w:after="0" w:line="360" w:lineRule="auto"/>
              <w:jc w:val="both"/>
              <w:rPr>
                <w:rFonts w:ascii="Book Antiqua" w:eastAsia="DengXian" w:hAnsi="Book Antiqua" w:cs="SimSun"/>
                <w:b/>
                <w:bCs/>
                <w:szCs w:val="24"/>
                <w:lang w:eastAsia="zh-CN"/>
              </w:rPr>
            </w:pPr>
          </w:p>
        </w:tc>
        <w:tc>
          <w:tcPr>
            <w:tcW w:w="2415" w:type="dxa"/>
            <w:gridSpan w:val="2"/>
            <w:tcBorders>
              <w:top w:val="single" w:sz="4" w:space="0" w:color="auto"/>
              <w:bottom w:val="single" w:sz="4" w:space="0" w:color="auto"/>
            </w:tcBorders>
            <w:shd w:val="clear" w:color="auto" w:fill="auto"/>
            <w:noWrap/>
            <w:vAlign w:val="center"/>
            <w:hideMark/>
          </w:tcPr>
          <w:p w14:paraId="77252930" w14:textId="4F96FF07"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1-Yr</w:t>
            </w:r>
          </w:p>
        </w:tc>
        <w:tc>
          <w:tcPr>
            <w:tcW w:w="2123" w:type="dxa"/>
            <w:gridSpan w:val="2"/>
            <w:tcBorders>
              <w:top w:val="single" w:sz="4" w:space="0" w:color="auto"/>
              <w:bottom w:val="single" w:sz="4" w:space="0" w:color="auto"/>
            </w:tcBorders>
            <w:shd w:val="clear" w:color="auto" w:fill="auto"/>
            <w:noWrap/>
            <w:vAlign w:val="center"/>
            <w:hideMark/>
          </w:tcPr>
          <w:p w14:paraId="67AA18A9" w14:textId="0D8F2114"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Day 0-30</w:t>
            </w:r>
            <w:r w:rsidRPr="00B909F3">
              <w:rPr>
                <w:rFonts w:ascii="Book Antiqua" w:eastAsia="DengXian" w:hAnsi="Book Antiqua" w:cs="SimSun"/>
                <w:b/>
                <w:bCs/>
                <w:szCs w:val="24"/>
                <w:vertAlign w:val="superscript"/>
                <w:lang w:eastAsia="zh-CN"/>
              </w:rPr>
              <w:t>c</w:t>
            </w:r>
          </w:p>
        </w:tc>
        <w:tc>
          <w:tcPr>
            <w:tcW w:w="2123" w:type="dxa"/>
            <w:gridSpan w:val="2"/>
            <w:tcBorders>
              <w:top w:val="single" w:sz="4" w:space="0" w:color="auto"/>
              <w:bottom w:val="single" w:sz="4" w:space="0" w:color="auto"/>
            </w:tcBorders>
            <w:shd w:val="clear" w:color="auto" w:fill="auto"/>
            <w:noWrap/>
            <w:vAlign w:val="center"/>
            <w:hideMark/>
          </w:tcPr>
          <w:p w14:paraId="0380FFE9" w14:textId="77777777"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Day 31-365</w:t>
            </w:r>
            <w:r w:rsidRPr="00B909F3">
              <w:rPr>
                <w:rFonts w:ascii="Book Antiqua" w:eastAsia="DengXian" w:hAnsi="Book Antiqua" w:cs="SimSun"/>
                <w:b/>
                <w:bCs/>
                <w:szCs w:val="24"/>
                <w:vertAlign w:val="superscript"/>
                <w:lang w:eastAsia="zh-CN"/>
              </w:rPr>
              <w:t>d</w:t>
            </w:r>
          </w:p>
        </w:tc>
      </w:tr>
      <w:tr w:rsidR="0055136B" w:rsidRPr="00B909F3" w14:paraId="6499CDD4" w14:textId="77777777" w:rsidTr="0055136B">
        <w:trPr>
          <w:trHeight w:val="675"/>
        </w:trPr>
        <w:tc>
          <w:tcPr>
            <w:tcW w:w="1979" w:type="dxa"/>
            <w:vMerge/>
            <w:tcBorders>
              <w:top w:val="nil"/>
              <w:bottom w:val="single" w:sz="4" w:space="0" w:color="auto"/>
            </w:tcBorders>
            <w:vAlign w:val="center"/>
            <w:hideMark/>
          </w:tcPr>
          <w:p w14:paraId="4CF5160F" w14:textId="77777777" w:rsidR="0055136B" w:rsidRPr="00B909F3" w:rsidRDefault="0055136B" w:rsidP="00197EDE">
            <w:pPr>
              <w:spacing w:after="0" w:line="360" w:lineRule="auto"/>
              <w:jc w:val="both"/>
              <w:rPr>
                <w:rFonts w:ascii="Book Antiqua" w:eastAsia="DengXian" w:hAnsi="Book Antiqua" w:cs="SimSun"/>
                <w:b/>
                <w:bCs/>
                <w:szCs w:val="24"/>
                <w:lang w:eastAsia="zh-CN"/>
              </w:rPr>
            </w:pPr>
          </w:p>
        </w:tc>
        <w:tc>
          <w:tcPr>
            <w:tcW w:w="1432" w:type="dxa"/>
            <w:tcBorders>
              <w:top w:val="single" w:sz="4" w:space="0" w:color="auto"/>
              <w:bottom w:val="single" w:sz="4" w:space="0" w:color="auto"/>
            </w:tcBorders>
            <w:shd w:val="clear" w:color="auto" w:fill="auto"/>
            <w:vAlign w:val="center"/>
            <w:hideMark/>
          </w:tcPr>
          <w:p w14:paraId="715C1DF4" w14:textId="77777777"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Unadjusted</w:t>
            </w:r>
          </w:p>
        </w:tc>
        <w:tc>
          <w:tcPr>
            <w:tcW w:w="983" w:type="dxa"/>
            <w:tcBorders>
              <w:top w:val="single" w:sz="4" w:space="0" w:color="auto"/>
              <w:bottom w:val="single" w:sz="4" w:space="0" w:color="auto"/>
            </w:tcBorders>
            <w:shd w:val="clear" w:color="auto" w:fill="auto"/>
            <w:vAlign w:val="center"/>
            <w:hideMark/>
          </w:tcPr>
          <w:p w14:paraId="75F6180B" w14:textId="77777777" w:rsidR="0055136B" w:rsidRPr="00B909F3" w:rsidRDefault="0055136B" w:rsidP="00197EDE">
            <w:pPr>
              <w:spacing w:after="0" w:line="360" w:lineRule="auto"/>
              <w:jc w:val="both"/>
              <w:rPr>
                <w:rFonts w:ascii="Book Antiqua" w:eastAsia="DengXian" w:hAnsi="Book Antiqua" w:cs="SimSun"/>
                <w:b/>
                <w:bCs/>
                <w:szCs w:val="24"/>
                <w:lang w:eastAsia="zh-CN"/>
              </w:rPr>
            </w:pPr>
            <w:proofErr w:type="spellStart"/>
            <w:r w:rsidRPr="00B909F3">
              <w:rPr>
                <w:rFonts w:ascii="Book Antiqua" w:eastAsia="DengXian" w:hAnsi="Book Antiqua" w:cs="SimSun"/>
                <w:b/>
                <w:bCs/>
                <w:szCs w:val="24"/>
                <w:lang w:eastAsia="zh-CN"/>
              </w:rPr>
              <w:t>Adjusted</w:t>
            </w:r>
            <w:r w:rsidRPr="00B909F3">
              <w:rPr>
                <w:rFonts w:ascii="Book Antiqua" w:eastAsia="DengXian" w:hAnsi="Book Antiqua" w:cs="SimSun"/>
                <w:b/>
                <w:bCs/>
                <w:szCs w:val="24"/>
                <w:vertAlign w:val="superscript"/>
                <w:lang w:eastAsia="zh-CN"/>
              </w:rPr>
              <w:t>b</w:t>
            </w:r>
            <w:proofErr w:type="spellEnd"/>
          </w:p>
        </w:tc>
        <w:tc>
          <w:tcPr>
            <w:tcW w:w="1140" w:type="dxa"/>
            <w:tcBorders>
              <w:top w:val="single" w:sz="4" w:space="0" w:color="auto"/>
              <w:bottom w:val="single" w:sz="4" w:space="0" w:color="auto"/>
            </w:tcBorders>
            <w:shd w:val="clear" w:color="auto" w:fill="auto"/>
            <w:vAlign w:val="center"/>
            <w:hideMark/>
          </w:tcPr>
          <w:p w14:paraId="7D054851" w14:textId="77777777"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Unadjusted</w:t>
            </w:r>
          </w:p>
        </w:tc>
        <w:tc>
          <w:tcPr>
            <w:tcW w:w="983" w:type="dxa"/>
            <w:tcBorders>
              <w:top w:val="single" w:sz="4" w:space="0" w:color="auto"/>
              <w:bottom w:val="single" w:sz="4" w:space="0" w:color="auto"/>
            </w:tcBorders>
            <w:shd w:val="clear" w:color="auto" w:fill="auto"/>
            <w:vAlign w:val="center"/>
            <w:hideMark/>
          </w:tcPr>
          <w:p w14:paraId="4EB44209" w14:textId="77777777" w:rsidR="0055136B" w:rsidRPr="00B909F3" w:rsidRDefault="0055136B" w:rsidP="00197EDE">
            <w:pPr>
              <w:spacing w:after="0" w:line="360" w:lineRule="auto"/>
              <w:jc w:val="both"/>
              <w:rPr>
                <w:rFonts w:ascii="Book Antiqua" w:eastAsia="DengXian" w:hAnsi="Book Antiqua" w:cs="SimSun"/>
                <w:b/>
                <w:bCs/>
                <w:szCs w:val="24"/>
                <w:lang w:eastAsia="zh-CN"/>
              </w:rPr>
            </w:pPr>
            <w:proofErr w:type="spellStart"/>
            <w:r w:rsidRPr="00B909F3">
              <w:rPr>
                <w:rFonts w:ascii="Book Antiqua" w:eastAsia="DengXian" w:hAnsi="Book Antiqua" w:cs="SimSun"/>
                <w:b/>
                <w:bCs/>
                <w:szCs w:val="24"/>
                <w:lang w:eastAsia="zh-CN"/>
              </w:rPr>
              <w:t>Adjusted</w:t>
            </w:r>
            <w:r w:rsidRPr="00B909F3">
              <w:rPr>
                <w:rFonts w:ascii="Book Antiqua" w:eastAsia="DengXian" w:hAnsi="Book Antiqua" w:cs="SimSun"/>
                <w:b/>
                <w:bCs/>
                <w:szCs w:val="24"/>
                <w:vertAlign w:val="superscript"/>
                <w:lang w:eastAsia="zh-CN"/>
              </w:rPr>
              <w:t>b</w:t>
            </w:r>
            <w:proofErr w:type="spellEnd"/>
          </w:p>
        </w:tc>
        <w:tc>
          <w:tcPr>
            <w:tcW w:w="1140" w:type="dxa"/>
            <w:tcBorders>
              <w:top w:val="single" w:sz="4" w:space="0" w:color="auto"/>
              <w:bottom w:val="single" w:sz="4" w:space="0" w:color="auto"/>
            </w:tcBorders>
            <w:shd w:val="clear" w:color="auto" w:fill="auto"/>
            <w:vAlign w:val="center"/>
            <w:hideMark/>
          </w:tcPr>
          <w:p w14:paraId="745641C9" w14:textId="77777777"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Unadjusted</w:t>
            </w:r>
          </w:p>
        </w:tc>
        <w:tc>
          <w:tcPr>
            <w:tcW w:w="983" w:type="dxa"/>
            <w:tcBorders>
              <w:top w:val="single" w:sz="4" w:space="0" w:color="auto"/>
              <w:bottom w:val="single" w:sz="4" w:space="0" w:color="auto"/>
            </w:tcBorders>
            <w:shd w:val="clear" w:color="auto" w:fill="auto"/>
            <w:vAlign w:val="center"/>
            <w:hideMark/>
          </w:tcPr>
          <w:p w14:paraId="2C26B927" w14:textId="77777777" w:rsidR="0055136B" w:rsidRPr="00B909F3" w:rsidRDefault="0055136B" w:rsidP="00197EDE">
            <w:pPr>
              <w:spacing w:after="0" w:line="360" w:lineRule="auto"/>
              <w:jc w:val="both"/>
              <w:rPr>
                <w:rFonts w:ascii="Book Antiqua" w:eastAsia="DengXian" w:hAnsi="Book Antiqua" w:cs="SimSun"/>
                <w:b/>
                <w:bCs/>
                <w:szCs w:val="24"/>
                <w:lang w:eastAsia="zh-CN"/>
              </w:rPr>
            </w:pPr>
            <w:proofErr w:type="spellStart"/>
            <w:r w:rsidRPr="00B909F3">
              <w:rPr>
                <w:rFonts w:ascii="Book Antiqua" w:eastAsia="DengXian" w:hAnsi="Book Antiqua" w:cs="SimSun"/>
                <w:b/>
                <w:bCs/>
                <w:szCs w:val="24"/>
                <w:lang w:eastAsia="zh-CN"/>
              </w:rPr>
              <w:t>Adjusted</w:t>
            </w:r>
            <w:r w:rsidRPr="00B909F3">
              <w:rPr>
                <w:rFonts w:ascii="Book Antiqua" w:eastAsia="DengXian" w:hAnsi="Book Antiqua" w:cs="SimSun"/>
                <w:b/>
                <w:bCs/>
                <w:szCs w:val="24"/>
                <w:vertAlign w:val="superscript"/>
                <w:lang w:eastAsia="zh-CN"/>
              </w:rPr>
              <w:t>b</w:t>
            </w:r>
            <w:proofErr w:type="spellEnd"/>
          </w:p>
        </w:tc>
      </w:tr>
      <w:tr w:rsidR="0055136B" w:rsidRPr="00B909F3" w14:paraId="69EF2342" w14:textId="77777777" w:rsidTr="0055136B">
        <w:trPr>
          <w:trHeight w:val="1005"/>
        </w:trPr>
        <w:tc>
          <w:tcPr>
            <w:tcW w:w="1979" w:type="dxa"/>
            <w:tcBorders>
              <w:top w:val="single" w:sz="4" w:space="0" w:color="auto"/>
            </w:tcBorders>
            <w:shd w:val="clear" w:color="auto" w:fill="auto"/>
            <w:vAlign w:val="center"/>
            <w:hideMark/>
          </w:tcPr>
          <w:p w14:paraId="7B7A34D9" w14:textId="77777777"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Severe</w:t>
            </w:r>
          </w:p>
        </w:tc>
        <w:tc>
          <w:tcPr>
            <w:tcW w:w="1432" w:type="dxa"/>
            <w:tcBorders>
              <w:top w:val="single" w:sz="4" w:space="0" w:color="auto"/>
            </w:tcBorders>
            <w:shd w:val="clear" w:color="auto" w:fill="auto"/>
            <w:noWrap/>
            <w:vAlign w:val="center"/>
            <w:hideMark/>
          </w:tcPr>
          <w:p w14:paraId="1A4A6C2F"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1.94 (1.77-2.13)</w:t>
            </w:r>
          </w:p>
        </w:tc>
        <w:tc>
          <w:tcPr>
            <w:tcW w:w="983" w:type="dxa"/>
            <w:tcBorders>
              <w:top w:val="single" w:sz="4" w:space="0" w:color="auto"/>
            </w:tcBorders>
            <w:shd w:val="clear" w:color="auto" w:fill="auto"/>
            <w:vAlign w:val="center"/>
            <w:hideMark/>
          </w:tcPr>
          <w:p w14:paraId="34250A96"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1.73 (1.56-1.91)</w:t>
            </w:r>
          </w:p>
        </w:tc>
        <w:tc>
          <w:tcPr>
            <w:tcW w:w="1140" w:type="dxa"/>
            <w:tcBorders>
              <w:top w:val="single" w:sz="4" w:space="0" w:color="auto"/>
            </w:tcBorders>
            <w:shd w:val="clear" w:color="auto" w:fill="auto"/>
            <w:vAlign w:val="center"/>
            <w:hideMark/>
          </w:tcPr>
          <w:p w14:paraId="0C13E939"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2.40 (1.99-2.89)</w:t>
            </w:r>
          </w:p>
        </w:tc>
        <w:tc>
          <w:tcPr>
            <w:tcW w:w="983" w:type="dxa"/>
            <w:tcBorders>
              <w:top w:val="single" w:sz="4" w:space="0" w:color="auto"/>
            </w:tcBorders>
            <w:shd w:val="clear" w:color="auto" w:fill="auto"/>
            <w:vAlign w:val="center"/>
            <w:hideMark/>
          </w:tcPr>
          <w:p w14:paraId="72E6E32E"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2.10 (1.71-2.59)</w:t>
            </w:r>
          </w:p>
        </w:tc>
        <w:tc>
          <w:tcPr>
            <w:tcW w:w="1140" w:type="dxa"/>
            <w:tcBorders>
              <w:top w:val="single" w:sz="4" w:space="0" w:color="auto"/>
            </w:tcBorders>
            <w:shd w:val="clear" w:color="auto" w:fill="auto"/>
            <w:vAlign w:val="center"/>
            <w:hideMark/>
          </w:tcPr>
          <w:p w14:paraId="1EA653C0"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1.82 (1.64-2.02)</w:t>
            </w:r>
          </w:p>
        </w:tc>
        <w:tc>
          <w:tcPr>
            <w:tcW w:w="983" w:type="dxa"/>
            <w:tcBorders>
              <w:top w:val="single" w:sz="4" w:space="0" w:color="auto"/>
            </w:tcBorders>
            <w:shd w:val="clear" w:color="auto" w:fill="auto"/>
            <w:vAlign w:val="center"/>
            <w:hideMark/>
          </w:tcPr>
          <w:p w14:paraId="6DE79FEC"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1.62 (1.45-1.82)</w:t>
            </w:r>
          </w:p>
        </w:tc>
      </w:tr>
      <w:tr w:rsidR="0055136B" w:rsidRPr="00B909F3" w14:paraId="5E0828F0" w14:textId="77777777" w:rsidTr="0055136B">
        <w:trPr>
          <w:trHeight w:val="1005"/>
        </w:trPr>
        <w:tc>
          <w:tcPr>
            <w:tcW w:w="1979" w:type="dxa"/>
            <w:shd w:val="clear" w:color="auto" w:fill="auto"/>
            <w:vAlign w:val="center"/>
            <w:hideMark/>
          </w:tcPr>
          <w:p w14:paraId="16288501" w14:textId="77777777"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Moderate</w:t>
            </w:r>
          </w:p>
        </w:tc>
        <w:tc>
          <w:tcPr>
            <w:tcW w:w="1432" w:type="dxa"/>
            <w:shd w:val="clear" w:color="auto" w:fill="auto"/>
            <w:noWrap/>
            <w:vAlign w:val="center"/>
            <w:hideMark/>
          </w:tcPr>
          <w:p w14:paraId="2B832BAA"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1.38 (1.27-1.51)</w:t>
            </w:r>
          </w:p>
        </w:tc>
        <w:tc>
          <w:tcPr>
            <w:tcW w:w="983" w:type="dxa"/>
            <w:shd w:val="clear" w:color="auto" w:fill="auto"/>
            <w:vAlign w:val="center"/>
            <w:hideMark/>
          </w:tcPr>
          <w:p w14:paraId="622EEA5A"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1.32 (1.21-1.44)</w:t>
            </w:r>
          </w:p>
        </w:tc>
        <w:tc>
          <w:tcPr>
            <w:tcW w:w="1140" w:type="dxa"/>
            <w:shd w:val="clear" w:color="auto" w:fill="auto"/>
            <w:vAlign w:val="center"/>
            <w:hideMark/>
          </w:tcPr>
          <w:p w14:paraId="3CE1777B"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1.60 (1.34-1.92)</w:t>
            </w:r>
          </w:p>
        </w:tc>
        <w:tc>
          <w:tcPr>
            <w:tcW w:w="983" w:type="dxa"/>
            <w:shd w:val="clear" w:color="auto" w:fill="auto"/>
            <w:vAlign w:val="center"/>
            <w:hideMark/>
          </w:tcPr>
          <w:p w14:paraId="30B17C08"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1.53 (1.27-1.83)</w:t>
            </w:r>
          </w:p>
        </w:tc>
        <w:tc>
          <w:tcPr>
            <w:tcW w:w="1140" w:type="dxa"/>
            <w:shd w:val="clear" w:color="auto" w:fill="auto"/>
            <w:vAlign w:val="center"/>
            <w:hideMark/>
          </w:tcPr>
          <w:p w14:paraId="23F00A49"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1.33 (1.20-1.46)</w:t>
            </w:r>
          </w:p>
        </w:tc>
        <w:tc>
          <w:tcPr>
            <w:tcW w:w="983" w:type="dxa"/>
            <w:shd w:val="clear" w:color="auto" w:fill="auto"/>
            <w:vAlign w:val="center"/>
            <w:hideMark/>
          </w:tcPr>
          <w:p w14:paraId="4AC76205"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1.26 (1.15-1.40)</w:t>
            </w:r>
          </w:p>
        </w:tc>
      </w:tr>
      <w:tr w:rsidR="0055136B" w:rsidRPr="00B909F3" w14:paraId="20837B92" w14:textId="77777777" w:rsidTr="0055136B">
        <w:trPr>
          <w:trHeight w:val="315"/>
        </w:trPr>
        <w:tc>
          <w:tcPr>
            <w:tcW w:w="1979" w:type="dxa"/>
            <w:shd w:val="clear" w:color="auto" w:fill="auto"/>
            <w:vAlign w:val="center"/>
            <w:hideMark/>
          </w:tcPr>
          <w:p w14:paraId="7A177832" w14:textId="77777777" w:rsidR="0055136B" w:rsidRPr="00B909F3" w:rsidRDefault="0055136B" w:rsidP="00197EDE">
            <w:pPr>
              <w:spacing w:after="0" w:line="360" w:lineRule="auto"/>
              <w:jc w:val="both"/>
              <w:rPr>
                <w:rFonts w:ascii="Book Antiqua" w:eastAsia="DengXian" w:hAnsi="Book Antiqua" w:cs="SimSun"/>
                <w:b/>
                <w:bCs/>
                <w:szCs w:val="24"/>
                <w:lang w:eastAsia="zh-CN"/>
              </w:rPr>
            </w:pPr>
            <w:r w:rsidRPr="00B909F3">
              <w:rPr>
                <w:rFonts w:ascii="Book Antiqua" w:eastAsia="DengXian" w:hAnsi="Book Antiqua" w:cs="SimSun"/>
                <w:b/>
                <w:bCs/>
                <w:szCs w:val="24"/>
                <w:lang w:eastAsia="zh-CN"/>
              </w:rPr>
              <w:t>None</w:t>
            </w:r>
          </w:p>
        </w:tc>
        <w:tc>
          <w:tcPr>
            <w:tcW w:w="2415" w:type="dxa"/>
            <w:gridSpan w:val="2"/>
            <w:shd w:val="clear" w:color="auto" w:fill="auto"/>
            <w:vAlign w:val="center"/>
            <w:hideMark/>
          </w:tcPr>
          <w:p w14:paraId="716AFD6A"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Referent</w:t>
            </w:r>
          </w:p>
        </w:tc>
        <w:tc>
          <w:tcPr>
            <w:tcW w:w="2123" w:type="dxa"/>
            <w:gridSpan w:val="2"/>
            <w:shd w:val="clear" w:color="auto" w:fill="auto"/>
            <w:vAlign w:val="center"/>
            <w:hideMark/>
          </w:tcPr>
          <w:p w14:paraId="3088B109"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Referent</w:t>
            </w:r>
          </w:p>
        </w:tc>
        <w:tc>
          <w:tcPr>
            <w:tcW w:w="2123" w:type="dxa"/>
            <w:gridSpan w:val="2"/>
            <w:shd w:val="clear" w:color="auto" w:fill="auto"/>
            <w:vAlign w:val="center"/>
            <w:hideMark/>
          </w:tcPr>
          <w:p w14:paraId="06FC84E8" w14:textId="77777777" w:rsidR="0055136B" w:rsidRPr="00B909F3" w:rsidRDefault="0055136B" w:rsidP="00197EDE">
            <w:pPr>
              <w:spacing w:after="0" w:line="360" w:lineRule="auto"/>
              <w:jc w:val="both"/>
              <w:rPr>
                <w:rFonts w:ascii="Book Antiqua" w:eastAsia="DengXian" w:hAnsi="Book Antiqua" w:cs="SimSun"/>
                <w:szCs w:val="24"/>
                <w:lang w:eastAsia="zh-CN"/>
              </w:rPr>
            </w:pPr>
            <w:r w:rsidRPr="00B909F3">
              <w:rPr>
                <w:rFonts w:ascii="Book Antiqua" w:eastAsia="DengXian" w:hAnsi="Book Antiqua" w:cs="SimSun"/>
                <w:szCs w:val="24"/>
                <w:lang w:eastAsia="zh-CN"/>
              </w:rPr>
              <w:t>Referent</w:t>
            </w:r>
          </w:p>
        </w:tc>
      </w:tr>
    </w:tbl>
    <w:p w14:paraId="16E078BF" w14:textId="4089D53F" w:rsidR="00DB73D6" w:rsidRPr="00163C83" w:rsidRDefault="00DB73D6" w:rsidP="00197EDE">
      <w:pPr>
        <w:spacing w:after="0" w:line="360" w:lineRule="auto"/>
        <w:jc w:val="both"/>
        <w:rPr>
          <w:rFonts w:ascii="Book Antiqua" w:hAnsi="Book Antiqua" w:cs="Arial"/>
          <w:iCs/>
          <w:szCs w:val="24"/>
        </w:rPr>
      </w:pPr>
      <w:proofErr w:type="spellStart"/>
      <w:r w:rsidRPr="00B909F3">
        <w:rPr>
          <w:rFonts w:ascii="Book Antiqua" w:hAnsi="Book Antiqua" w:cs="Arial"/>
          <w:szCs w:val="24"/>
          <w:vertAlign w:val="superscript"/>
        </w:rPr>
        <w:t>a</w:t>
      </w:r>
      <w:r w:rsidRPr="00B909F3">
        <w:rPr>
          <w:rFonts w:ascii="Book Antiqua" w:hAnsi="Book Antiqua" w:cs="Arial"/>
          <w:szCs w:val="24"/>
        </w:rPr>
        <w:t>Adjusted</w:t>
      </w:r>
      <w:proofErr w:type="spellEnd"/>
      <w:r w:rsidRPr="00B909F3">
        <w:rPr>
          <w:rFonts w:ascii="Book Antiqua" w:hAnsi="Book Antiqua" w:cs="Arial"/>
          <w:szCs w:val="24"/>
        </w:rPr>
        <w:t xml:space="preserve"> model </w:t>
      </w:r>
      <w:r w:rsidRPr="00B909F3">
        <w:rPr>
          <w:rFonts w:ascii="Book Antiqua" w:hAnsi="Book Antiqua" w:cs="Arial"/>
          <w:i/>
          <w:iCs/>
          <w:szCs w:val="24"/>
        </w:rPr>
        <w:t>n</w:t>
      </w:r>
      <w:r w:rsidRPr="00B909F3">
        <w:rPr>
          <w:rFonts w:ascii="Book Antiqua" w:hAnsi="Book Antiqua" w:cs="Arial"/>
          <w:szCs w:val="24"/>
        </w:rPr>
        <w:t xml:space="preserve"> = 380762 [missing albumin (</w:t>
      </w:r>
      <w:r w:rsidRPr="00B909F3">
        <w:rPr>
          <w:rFonts w:ascii="Book Antiqua" w:hAnsi="Book Antiqua" w:cs="Arial"/>
          <w:i/>
          <w:iCs/>
          <w:szCs w:val="24"/>
        </w:rPr>
        <w:t>n</w:t>
      </w:r>
      <w:r w:rsidRPr="00B909F3">
        <w:rPr>
          <w:rFonts w:ascii="Book Antiqua" w:hAnsi="Book Antiqua" w:cs="Arial"/>
          <w:szCs w:val="24"/>
        </w:rPr>
        <w:t xml:space="preserve"> = 1) or donor body mass index (</w:t>
      </w:r>
      <w:r w:rsidRPr="00B909F3">
        <w:rPr>
          <w:rFonts w:ascii="Book Antiqua" w:hAnsi="Book Antiqua" w:cs="Arial"/>
          <w:i/>
          <w:iCs/>
          <w:szCs w:val="24"/>
        </w:rPr>
        <w:t>n</w:t>
      </w:r>
      <w:r w:rsidRPr="00B909F3">
        <w:rPr>
          <w:rFonts w:ascii="Book Antiqua" w:hAnsi="Book Antiqua" w:cs="Arial"/>
          <w:szCs w:val="24"/>
        </w:rPr>
        <w:t xml:space="preserve"> = 200)]</w:t>
      </w:r>
      <w:r w:rsidR="00163C83">
        <w:rPr>
          <w:rFonts w:ascii="Book Antiqua" w:hAnsi="Book Antiqua" w:cs="Arial"/>
          <w:szCs w:val="24"/>
        </w:rPr>
        <w:t>;</w:t>
      </w:r>
      <w:r w:rsidR="009A5155" w:rsidRPr="00B909F3">
        <w:rPr>
          <w:rFonts w:ascii="Book Antiqua" w:hAnsi="Book Antiqua" w:cs="Arial"/>
          <w:szCs w:val="24"/>
        </w:rPr>
        <w:t xml:space="preserve"> </w:t>
      </w:r>
      <w:proofErr w:type="spellStart"/>
      <w:r w:rsidRPr="00B909F3">
        <w:rPr>
          <w:rFonts w:ascii="Book Antiqua" w:hAnsi="Book Antiqua" w:cs="Arial"/>
          <w:szCs w:val="24"/>
          <w:vertAlign w:val="superscript"/>
        </w:rPr>
        <w:t>b</w:t>
      </w:r>
      <w:r w:rsidRPr="00B909F3">
        <w:rPr>
          <w:rFonts w:ascii="Book Antiqua" w:hAnsi="Book Antiqua" w:cs="Arial"/>
          <w:szCs w:val="24"/>
        </w:rPr>
        <w:t>Adjusted</w:t>
      </w:r>
      <w:proofErr w:type="spellEnd"/>
      <w:r w:rsidRPr="00B909F3">
        <w:rPr>
          <w:rFonts w:ascii="Book Antiqua" w:hAnsi="Book Antiqua" w:cs="Arial"/>
          <w:szCs w:val="24"/>
        </w:rPr>
        <w:t xml:space="preserve"> for recipient age, sex, race, insurance, </w:t>
      </w:r>
      <w:r w:rsidR="006A44EF" w:rsidRPr="00B909F3">
        <w:rPr>
          <w:rFonts w:ascii="Book Antiqua" w:eastAsia="Arial Unicode MS" w:hAnsi="Book Antiqua" w:cs="Arial"/>
          <w:szCs w:val="24"/>
        </w:rPr>
        <w:t>body mass index</w:t>
      </w:r>
      <w:r w:rsidR="006A44EF" w:rsidRPr="00B909F3">
        <w:rPr>
          <w:rFonts w:ascii="Book Antiqua" w:hAnsi="Book Antiqua" w:cs="Arial"/>
          <w:szCs w:val="24"/>
        </w:rPr>
        <w:t xml:space="preserve"> (</w:t>
      </w:r>
      <w:r w:rsidRPr="00B909F3">
        <w:rPr>
          <w:rFonts w:ascii="Book Antiqua" w:hAnsi="Book Antiqua" w:cs="Arial"/>
          <w:szCs w:val="24"/>
        </w:rPr>
        <w:t>BMI</w:t>
      </w:r>
      <w:r w:rsidR="006A44EF" w:rsidRPr="00B909F3">
        <w:rPr>
          <w:rFonts w:ascii="Book Antiqua" w:hAnsi="Book Antiqua" w:cs="Arial"/>
          <w:szCs w:val="24"/>
        </w:rPr>
        <w:t>)</w:t>
      </w:r>
      <w:r w:rsidRPr="00B909F3">
        <w:rPr>
          <w:rFonts w:ascii="Book Antiqua" w:hAnsi="Book Antiqua" w:cs="Arial"/>
          <w:szCs w:val="24"/>
        </w:rPr>
        <w:t>, diabetes, previous abdominal surgery, liver disease, MELD, albumin, portal vein thrombosis, dialysis; donor age, race, BMI, donor type (living or deceased) and cause of death, donation after cardiac death, allocation type, cold ischemia time ≥ 8 hours; interactions: recipient BMI and diabetes, recipient hepatitis C and portal vein thrombosis, recipient hepatitis C and donor age</w:t>
      </w:r>
      <w:r w:rsidR="00163C83">
        <w:rPr>
          <w:rFonts w:ascii="Book Antiqua" w:hAnsi="Book Antiqua" w:cs="Arial"/>
          <w:szCs w:val="24"/>
        </w:rPr>
        <w:t>;</w:t>
      </w:r>
      <w:r w:rsidR="009A5155" w:rsidRPr="00B909F3">
        <w:rPr>
          <w:rFonts w:ascii="Book Antiqua" w:hAnsi="Book Antiqua" w:cs="Arial"/>
          <w:szCs w:val="24"/>
        </w:rPr>
        <w:t xml:space="preserve"> </w:t>
      </w:r>
      <w:proofErr w:type="spellStart"/>
      <w:r w:rsidRPr="00B909F3">
        <w:rPr>
          <w:rFonts w:ascii="Book Antiqua" w:hAnsi="Book Antiqua" w:cs="Arial"/>
          <w:iCs/>
          <w:szCs w:val="24"/>
          <w:vertAlign w:val="superscript"/>
        </w:rPr>
        <w:t>c</w:t>
      </w:r>
      <w:r w:rsidRPr="00B909F3">
        <w:rPr>
          <w:rFonts w:ascii="Book Antiqua" w:hAnsi="Book Antiqua" w:cs="Arial"/>
          <w:iCs/>
          <w:szCs w:val="24"/>
        </w:rPr>
        <w:t>Postoperative</w:t>
      </w:r>
      <w:proofErr w:type="spellEnd"/>
      <w:r w:rsidRPr="00B909F3">
        <w:rPr>
          <w:rFonts w:ascii="Book Antiqua" w:hAnsi="Book Antiqua" w:cs="Arial"/>
          <w:iCs/>
          <w:szCs w:val="24"/>
        </w:rPr>
        <w:t xml:space="preserve"> day 0</w:t>
      </w:r>
      <w:r w:rsidR="009A5155" w:rsidRPr="00B909F3">
        <w:rPr>
          <w:rFonts w:ascii="Book Antiqua" w:hAnsi="Book Antiqua" w:cs="Arial"/>
          <w:b/>
          <w:iCs/>
          <w:szCs w:val="24"/>
        </w:rPr>
        <w:t>-</w:t>
      </w:r>
      <w:r w:rsidRPr="00B909F3">
        <w:rPr>
          <w:rFonts w:ascii="Book Antiqua" w:hAnsi="Book Antiqua" w:cs="Arial"/>
          <w:iCs/>
          <w:szCs w:val="24"/>
        </w:rPr>
        <w:t xml:space="preserve">30: </w:t>
      </w:r>
      <w:r w:rsidRPr="00B909F3">
        <w:rPr>
          <w:rFonts w:ascii="Book Antiqua" w:hAnsi="Book Antiqua" w:cs="Arial"/>
          <w:i/>
          <w:szCs w:val="24"/>
        </w:rPr>
        <w:t>n</w:t>
      </w:r>
      <w:r w:rsidRPr="00B909F3">
        <w:rPr>
          <w:rFonts w:ascii="Book Antiqua" w:hAnsi="Book Antiqua" w:cs="Arial"/>
          <w:iCs/>
          <w:szCs w:val="24"/>
        </w:rPr>
        <w:t xml:space="preserve"> = 38,278; 881 deaths</w:t>
      </w:r>
      <w:r w:rsidR="00163C83">
        <w:rPr>
          <w:rFonts w:ascii="Book Antiqua" w:hAnsi="Book Antiqua" w:cs="Arial"/>
          <w:iCs/>
          <w:szCs w:val="24"/>
        </w:rPr>
        <w:t>;</w:t>
      </w:r>
      <w:r w:rsidR="009A5155" w:rsidRPr="00B909F3">
        <w:rPr>
          <w:rFonts w:ascii="Book Antiqua" w:hAnsi="Book Antiqua" w:cs="Arial"/>
          <w:iCs/>
          <w:szCs w:val="24"/>
        </w:rPr>
        <w:t xml:space="preserve"> </w:t>
      </w:r>
      <w:proofErr w:type="spellStart"/>
      <w:r w:rsidRPr="00B909F3">
        <w:rPr>
          <w:rFonts w:ascii="Book Antiqua" w:hAnsi="Book Antiqua" w:cs="Arial"/>
          <w:szCs w:val="24"/>
          <w:vertAlign w:val="superscript"/>
        </w:rPr>
        <w:t>d</w:t>
      </w:r>
      <w:r w:rsidRPr="00B909F3">
        <w:rPr>
          <w:rFonts w:ascii="Book Antiqua" w:hAnsi="Book Antiqua" w:cs="Arial"/>
          <w:iCs/>
          <w:szCs w:val="24"/>
        </w:rPr>
        <w:t>Postoperative</w:t>
      </w:r>
      <w:proofErr w:type="spellEnd"/>
      <w:r w:rsidRPr="00B909F3">
        <w:rPr>
          <w:rFonts w:ascii="Book Antiqua" w:hAnsi="Book Antiqua" w:cs="Arial"/>
          <w:iCs/>
          <w:szCs w:val="24"/>
        </w:rPr>
        <w:t xml:space="preserve"> day 31</w:t>
      </w:r>
      <w:r w:rsidR="009A5155" w:rsidRPr="00B909F3">
        <w:rPr>
          <w:rFonts w:ascii="Book Antiqua" w:hAnsi="Book Antiqua" w:cs="Arial"/>
          <w:b/>
          <w:iCs/>
          <w:szCs w:val="24"/>
        </w:rPr>
        <w:t>-</w:t>
      </w:r>
      <w:r w:rsidRPr="00B909F3">
        <w:rPr>
          <w:rFonts w:ascii="Book Antiqua" w:hAnsi="Book Antiqua" w:cs="Arial"/>
          <w:iCs/>
          <w:szCs w:val="24"/>
        </w:rPr>
        <w:t>365</w:t>
      </w:r>
      <w:r w:rsidRPr="00B909F3">
        <w:rPr>
          <w:rFonts w:ascii="Book Antiqua" w:hAnsi="Book Antiqua" w:cs="Arial"/>
          <w:szCs w:val="24"/>
        </w:rPr>
        <w:t xml:space="preserve">: </w:t>
      </w:r>
      <w:r w:rsidRPr="00B909F3">
        <w:rPr>
          <w:rFonts w:ascii="Book Antiqua" w:hAnsi="Book Antiqua" w:cs="Arial"/>
          <w:i/>
          <w:szCs w:val="24"/>
        </w:rPr>
        <w:t>n</w:t>
      </w:r>
      <w:r w:rsidRPr="00B909F3">
        <w:rPr>
          <w:rFonts w:ascii="Book Antiqua" w:hAnsi="Book Antiqua" w:cs="Arial"/>
          <w:iCs/>
          <w:szCs w:val="24"/>
        </w:rPr>
        <w:t xml:space="preserve"> = 37352; 2714 deaths</w:t>
      </w:r>
      <w:r w:rsidR="009A5155" w:rsidRPr="00B909F3">
        <w:rPr>
          <w:rFonts w:ascii="Book Antiqua" w:hAnsi="Book Antiqua" w:cs="Arial"/>
          <w:iCs/>
          <w:szCs w:val="24"/>
        </w:rPr>
        <w:t>.</w:t>
      </w:r>
      <w:r w:rsidR="00163C83">
        <w:rPr>
          <w:rFonts w:ascii="Book Antiqua" w:eastAsia="SimSun" w:hAnsi="Book Antiqua" w:cs="Arial" w:hint="eastAsia"/>
          <w:iCs/>
          <w:szCs w:val="24"/>
          <w:lang w:eastAsia="zh-CN"/>
        </w:rPr>
        <w:t xml:space="preserve"> </w:t>
      </w:r>
      <w:r w:rsidRPr="00B909F3">
        <w:rPr>
          <w:rFonts w:ascii="Book Antiqua" w:eastAsia="Arial Unicode MS" w:hAnsi="Book Antiqua" w:cs="Arial"/>
          <w:bCs/>
          <w:szCs w:val="24"/>
        </w:rPr>
        <w:t>BMI</w:t>
      </w:r>
      <w:r w:rsidR="009A5155" w:rsidRPr="00B909F3">
        <w:rPr>
          <w:rFonts w:ascii="Book Antiqua" w:eastAsia="Arial Unicode MS" w:hAnsi="Book Antiqua" w:cs="Arial"/>
          <w:bCs/>
          <w:szCs w:val="24"/>
        </w:rPr>
        <w:t>:</w:t>
      </w:r>
      <w:r w:rsidRPr="00B909F3">
        <w:rPr>
          <w:rFonts w:ascii="Book Antiqua" w:eastAsia="Arial Unicode MS" w:hAnsi="Book Antiqua" w:cs="Arial"/>
          <w:bCs/>
          <w:szCs w:val="24"/>
        </w:rPr>
        <w:t xml:space="preserve"> </w:t>
      </w:r>
      <w:r w:rsidR="009A5155" w:rsidRPr="00B909F3">
        <w:rPr>
          <w:rFonts w:ascii="Book Antiqua" w:eastAsia="Arial Unicode MS" w:hAnsi="Book Antiqua" w:cs="Arial"/>
          <w:bCs/>
          <w:szCs w:val="24"/>
        </w:rPr>
        <w:t xml:space="preserve">Body </w:t>
      </w:r>
      <w:r w:rsidRPr="00B909F3">
        <w:rPr>
          <w:rFonts w:ascii="Book Antiqua" w:eastAsia="Arial Unicode MS" w:hAnsi="Book Antiqua" w:cs="Arial"/>
          <w:bCs/>
          <w:szCs w:val="24"/>
        </w:rPr>
        <w:t>mass index; CI</w:t>
      </w:r>
      <w:r w:rsidR="009A5155" w:rsidRPr="00B909F3">
        <w:rPr>
          <w:rFonts w:ascii="Book Antiqua" w:eastAsia="Arial Unicode MS" w:hAnsi="Book Antiqua" w:cs="Arial"/>
          <w:bCs/>
          <w:szCs w:val="24"/>
        </w:rPr>
        <w:t>:</w:t>
      </w:r>
      <w:r w:rsidRPr="00B909F3">
        <w:rPr>
          <w:rFonts w:ascii="Book Antiqua" w:eastAsia="Arial Unicode MS" w:hAnsi="Book Antiqua" w:cs="Arial"/>
          <w:bCs/>
          <w:szCs w:val="24"/>
        </w:rPr>
        <w:t xml:space="preserve"> </w:t>
      </w:r>
      <w:r w:rsidR="009A5155" w:rsidRPr="00B909F3">
        <w:rPr>
          <w:rFonts w:ascii="Book Antiqua" w:eastAsia="Arial Unicode MS" w:hAnsi="Book Antiqua" w:cs="Arial"/>
          <w:bCs/>
          <w:szCs w:val="24"/>
        </w:rPr>
        <w:t xml:space="preserve">Confidence </w:t>
      </w:r>
      <w:r w:rsidRPr="00B909F3">
        <w:rPr>
          <w:rFonts w:ascii="Book Antiqua" w:eastAsia="Arial Unicode MS" w:hAnsi="Book Antiqua" w:cs="Arial"/>
          <w:bCs/>
          <w:szCs w:val="24"/>
        </w:rPr>
        <w:t>interval; MELD</w:t>
      </w:r>
      <w:r w:rsidR="009A5155" w:rsidRPr="00B909F3">
        <w:rPr>
          <w:rFonts w:ascii="Book Antiqua" w:eastAsia="Arial Unicode MS" w:hAnsi="Book Antiqua" w:cs="Arial"/>
          <w:bCs/>
          <w:szCs w:val="24"/>
        </w:rPr>
        <w:t>:</w:t>
      </w:r>
      <w:r w:rsidRPr="00B909F3">
        <w:rPr>
          <w:rFonts w:ascii="Book Antiqua" w:eastAsia="Arial Unicode MS" w:hAnsi="Book Antiqua" w:cs="Arial"/>
          <w:bCs/>
          <w:szCs w:val="24"/>
        </w:rPr>
        <w:t xml:space="preserve"> Model for End-Stage Liver Disease</w:t>
      </w:r>
      <w:r w:rsidR="009A5155" w:rsidRPr="00B909F3">
        <w:rPr>
          <w:rFonts w:ascii="Book Antiqua" w:eastAsia="Arial Unicode MS" w:hAnsi="Book Antiqua" w:cs="Arial"/>
          <w:bCs/>
          <w:szCs w:val="24"/>
        </w:rPr>
        <w:t>.</w:t>
      </w:r>
    </w:p>
    <w:p w14:paraId="3C84EC49" w14:textId="77777777" w:rsidR="00DB73D6" w:rsidRPr="00B909F3" w:rsidRDefault="00DB73D6" w:rsidP="00197EDE">
      <w:pPr>
        <w:spacing w:after="0" w:line="360" w:lineRule="auto"/>
        <w:jc w:val="both"/>
        <w:rPr>
          <w:rFonts w:ascii="Book Antiqua" w:eastAsia="Arial Unicode MS" w:hAnsi="Book Antiqua" w:cs="Arial"/>
          <w:szCs w:val="24"/>
        </w:rPr>
      </w:pPr>
      <w:r w:rsidRPr="00B909F3">
        <w:rPr>
          <w:rFonts w:ascii="Book Antiqua" w:eastAsia="Arial Unicode MS" w:hAnsi="Book Antiqua" w:cs="Arial"/>
          <w:szCs w:val="24"/>
        </w:rPr>
        <w:br w:type="page"/>
      </w:r>
    </w:p>
    <w:p w14:paraId="52698F80" w14:textId="7913AB6A" w:rsidR="00DB73D6" w:rsidRPr="00B909F3" w:rsidRDefault="00DB73D6" w:rsidP="00197EDE">
      <w:pPr>
        <w:spacing w:after="0" w:line="360" w:lineRule="auto"/>
        <w:jc w:val="both"/>
        <w:rPr>
          <w:rFonts w:ascii="Book Antiqua" w:eastAsia="Arial Unicode MS" w:hAnsi="Book Antiqua" w:cs="Arial"/>
          <w:b/>
          <w:szCs w:val="24"/>
        </w:rPr>
      </w:pPr>
      <w:r w:rsidRPr="00B909F3">
        <w:rPr>
          <w:rFonts w:ascii="Book Antiqua" w:hAnsi="Book Antiqua" w:cs="Arial"/>
          <w:b/>
          <w:szCs w:val="24"/>
        </w:rPr>
        <w:lastRenderedPageBreak/>
        <w:t>Table 6 Association between pre-transplant functional status and 1-year graft failure, Scientific Registry of Transplant Recipients 2005</w:t>
      </w:r>
      <w:r w:rsidR="009A5155" w:rsidRPr="00B909F3">
        <w:rPr>
          <w:rFonts w:ascii="Book Antiqua" w:hAnsi="Book Antiqua" w:cs="Arial"/>
          <w:b/>
          <w:szCs w:val="24"/>
        </w:rPr>
        <w:t>-</w:t>
      </w:r>
      <w:r w:rsidRPr="00B909F3">
        <w:rPr>
          <w:rFonts w:ascii="Book Antiqua" w:hAnsi="Book Antiqua" w:cs="Arial"/>
          <w:b/>
          <w:szCs w:val="24"/>
        </w:rPr>
        <w:t>2014 (</w:t>
      </w:r>
      <w:r w:rsidRPr="00B909F3">
        <w:rPr>
          <w:rFonts w:ascii="Book Antiqua" w:hAnsi="Book Antiqua" w:cs="Arial"/>
          <w:b/>
          <w:i/>
          <w:iCs/>
          <w:szCs w:val="24"/>
        </w:rPr>
        <w:t>n</w:t>
      </w:r>
      <w:r w:rsidRPr="00B909F3">
        <w:rPr>
          <w:rFonts w:ascii="Book Antiqua" w:hAnsi="Book Antiqua" w:cs="Arial"/>
          <w:b/>
          <w:szCs w:val="24"/>
        </w:rPr>
        <w:t xml:space="preserve"> = 38278)</w:t>
      </w:r>
    </w:p>
    <w:tbl>
      <w:tblPr>
        <w:tblW w:w="9325" w:type="dxa"/>
        <w:tblInd w:w="108" w:type="dxa"/>
        <w:tblBorders>
          <w:top w:val="single" w:sz="4" w:space="0" w:color="auto"/>
          <w:bottom w:val="single" w:sz="4" w:space="0" w:color="auto"/>
        </w:tblBorders>
        <w:tblLayout w:type="fixed"/>
        <w:tblLook w:val="04A0" w:firstRow="1" w:lastRow="0" w:firstColumn="1" w:lastColumn="0" w:noHBand="0" w:noVBand="1"/>
      </w:tblPr>
      <w:tblGrid>
        <w:gridCol w:w="2748"/>
        <w:gridCol w:w="1425"/>
        <w:gridCol w:w="2564"/>
        <w:gridCol w:w="2588"/>
      </w:tblGrid>
      <w:tr w:rsidR="009A5155" w:rsidRPr="00B909F3" w14:paraId="1FB0A6D4" w14:textId="77777777" w:rsidTr="009A5155">
        <w:trPr>
          <w:trHeight w:val="356"/>
        </w:trPr>
        <w:tc>
          <w:tcPr>
            <w:tcW w:w="2748" w:type="dxa"/>
            <w:vMerge w:val="restart"/>
            <w:tcBorders>
              <w:top w:val="single" w:sz="4" w:space="0" w:color="auto"/>
              <w:bottom w:val="nil"/>
            </w:tcBorders>
            <w:vAlign w:val="bottom"/>
          </w:tcPr>
          <w:p w14:paraId="36B2F951" w14:textId="50BF61C8" w:rsidR="009A5155" w:rsidRPr="00B909F3" w:rsidRDefault="009A5155" w:rsidP="00197EDE">
            <w:pPr>
              <w:spacing w:after="0" w:line="360" w:lineRule="auto"/>
              <w:contextualSpacing/>
              <w:jc w:val="both"/>
              <w:rPr>
                <w:rFonts w:ascii="Book Antiqua" w:hAnsi="Book Antiqua" w:cs="Arial"/>
                <w:b/>
                <w:bCs/>
                <w:iCs/>
                <w:szCs w:val="24"/>
              </w:rPr>
            </w:pPr>
            <w:r w:rsidRPr="00B909F3">
              <w:rPr>
                <w:rFonts w:ascii="Book Antiqua" w:hAnsi="Book Antiqua" w:cs="Arial"/>
                <w:b/>
                <w:bCs/>
                <w:szCs w:val="24"/>
              </w:rPr>
              <w:t>Functional impairment/disability</w:t>
            </w:r>
          </w:p>
        </w:tc>
        <w:tc>
          <w:tcPr>
            <w:tcW w:w="1425" w:type="dxa"/>
            <w:tcBorders>
              <w:top w:val="single" w:sz="4" w:space="0" w:color="auto"/>
              <w:bottom w:val="single" w:sz="4" w:space="0" w:color="auto"/>
            </w:tcBorders>
          </w:tcPr>
          <w:p w14:paraId="0B136DC6" w14:textId="77777777" w:rsidR="009A5155" w:rsidRPr="00B909F3" w:rsidRDefault="009A5155" w:rsidP="00197EDE">
            <w:pPr>
              <w:spacing w:after="0" w:line="360" w:lineRule="auto"/>
              <w:ind w:left="-1260"/>
              <w:contextualSpacing/>
              <w:jc w:val="both"/>
              <w:rPr>
                <w:rFonts w:ascii="Book Antiqua" w:hAnsi="Book Antiqua" w:cs="Arial"/>
                <w:b/>
                <w:bCs/>
                <w:szCs w:val="24"/>
              </w:rPr>
            </w:pPr>
          </w:p>
        </w:tc>
        <w:tc>
          <w:tcPr>
            <w:tcW w:w="5152" w:type="dxa"/>
            <w:gridSpan w:val="2"/>
            <w:tcBorders>
              <w:top w:val="single" w:sz="4" w:space="0" w:color="auto"/>
              <w:bottom w:val="single" w:sz="4" w:space="0" w:color="auto"/>
            </w:tcBorders>
            <w:vAlign w:val="bottom"/>
          </w:tcPr>
          <w:p w14:paraId="0366F423" w14:textId="23BBABA9" w:rsidR="009A5155" w:rsidRPr="00B909F3" w:rsidRDefault="009A5155" w:rsidP="00197EDE">
            <w:pPr>
              <w:spacing w:after="0" w:line="360" w:lineRule="auto"/>
              <w:ind w:left="-115"/>
              <w:contextualSpacing/>
              <w:jc w:val="both"/>
              <w:rPr>
                <w:rFonts w:ascii="Book Antiqua" w:hAnsi="Book Antiqua" w:cs="Arial"/>
                <w:b/>
                <w:bCs/>
                <w:szCs w:val="24"/>
              </w:rPr>
            </w:pPr>
            <w:r w:rsidRPr="00B909F3">
              <w:rPr>
                <w:rFonts w:ascii="Book Antiqua" w:hAnsi="Book Antiqua" w:cs="Arial"/>
                <w:b/>
                <w:bCs/>
                <w:szCs w:val="24"/>
              </w:rPr>
              <w:t>Hazard Ratio (95%CI)</w:t>
            </w:r>
          </w:p>
        </w:tc>
      </w:tr>
      <w:tr w:rsidR="009A5155" w:rsidRPr="00B909F3" w14:paraId="0D8D2553" w14:textId="77777777" w:rsidTr="009A5155">
        <w:trPr>
          <w:trHeight w:val="681"/>
        </w:trPr>
        <w:tc>
          <w:tcPr>
            <w:tcW w:w="2748" w:type="dxa"/>
            <w:vMerge/>
            <w:tcBorders>
              <w:top w:val="nil"/>
              <w:bottom w:val="single" w:sz="4" w:space="0" w:color="auto"/>
            </w:tcBorders>
            <w:shd w:val="clear" w:color="auto" w:fill="auto"/>
            <w:vAlign w:val="center"/>
          </w:tcPr>
          <w:p w14:paraId="3AFB7A13" w14:textId="27E67FBE" w:rsidR="009A5155" w:rsidRPr="00B909F3" w:rsidRDefault="009A5155" w:rsidP="00197EDE">
            <w:pPr>
              <w:spacing w:after="0" w:line="360" w:lineRule="auto"/>
              <w:contextualSpacing/>
              <w:jc w:val="both"/>
              <w:rPr>
                <w:rFonts w:ascii="Book Antiqua" w:hAnsi="Book Antiqua" w:cs="Arial"/>
                <w:b/>
                <w:bCs/>
                <w:szCs w:val="24"/>
              </w:rPr>
            </w:pPr>
          </w:p>
        </w:tc>
        <w:tc>
          <w:tcPr>
            <w:tcW w:w="1425" w:type="dxa"/>
            <w:tcBorders>
              <w:top w:val="single" w:sz="4" w:space="0" w:color="auto"/>
              <w:bottom w:val="single" w:sz="4" w:space="0" w:color="auto"/>
            </w:tcBorders>
            <w:vAlign w:val="bottom"/>
          </w:tcPr>
          <w:p w14:paraId="5C86FF92" w14:textId="77777777" w:rsidR="009A5155" w:rsidRPr="00B909F3" w:rsidRDefault="009A5155" w:rsidP="00197EDE">
            <w:pPr>
              <w:spacing w:after="0" w:line="360" w:lineRule="auto"/>
              <w:ind w:left="-90" w:right="-108"/>
              <w:contextualSpacing/>
              <w:jc w:val="both"/>
              <w:rPr>
                <w:rFonts w:ascii="Book Antiqua" w:hAnsi="Book Antiqua" w:cs="Arial"/>
                <w:b/>
                <w:bCs/>
                <w:szCs w:val="24"/>
              </w:rPr>
            </w:pPr>
            <w:r w:rsidRPr="00B909F3">
              <w:rPr>
                <w:rFonts w:ascii="Book Antiqua" w:hAnsi="Book Antiqua" w:cs="Arial"/>
                <w:b/>
                <w:bCs/>
                <w:szCs w:val="24"/>
              </w:rPr>
              <w:t xml:space="preserve">Events, </w:t>
            </w:r>
            <w:proofErr w:type="spellStart"/>
            <w:r w:rsidRPr="00B909F3">
              <w:rPr>
                <w:rFonts w:ascii="Book Antiqua" w:hAnsi="Book Antiqua" w:cs="Arial"/>
                <w:b/>
                <w:bCs/>
                <w:i/>
                <w:iCs/>
                <w:szCs w:val="24"/>
              </w:rPr>
              <w:t>n</w:t>
            </w:r>
            <w:r w:rsidRPr="00B909F3">
              <w:rPr>
                <w:rFonts w:ascii="Book Antiqua" w:hAnsi="Book Antiqua" w:cs="Arial"/>
                <w:b/>
                <w:bCs/>
                <w:szCs w:val="24"/>
                <w:vertAlign w:val="superscript"/>
              </w:rPr>
              <w:t>a</w:t>
            </w:r>
            <w:proofErr w:type="spellEnd"/>
          </w:p>
        </w:tc>
        <w:tc>
          <w:tcPr>
            <w:tcW w:w="2564" w:type="dxa"/>
            <w:tcBorders>
              <w:top w:val="single" w:sz="4" w:space="0" w:color="auto"/>
              <w:bottom w:val="single" w:sz="4" w:space="0" w:color="auto"/>
            </w:tcBorders>
            <w:shd w:val="clear" w:color="auto" w:fill="auto"/>
            <w:vAlign w:val="bottom"/>
          </w:tcPr>
          <w:p w14:paraId="4207679E" w14:textId="77777777" w:rsidR="009A5155" w:rsidRPr="00B909F3" w:rsidRDefault="009A5155" w:rsidP="00197EDE">
            <w:pPr>
              <w:spacing w:after="0" w:line="360" w:lineRule="auto"/>
              <w:contextualSpacing/>
              <w:jc w:val="both"/>
              <w:rPr>
                <w:rFonts w:ascii="Book Antiqua" w:hAnsi="Book Antiqua" w:cs="Arial"/>
                <w:b/>
                <w:bCs/>
                <w:szCs w:val="24"/>
              </w:rPr>
            </w:pPr>
            <w:r w:rsidRPr="00B909F3">
              <w:rPr>
                <w:rFonts w:ascii="Book Antiqua" w:hAnsi="Book Antiqua" w:cs="Arial"/>
                <w:b/>
                <w:bCs/>
                <w:szCs w:val="24"/>
              </w:rPr>
              <w:t>Unadjusted</w:t>
            </w:r>
          </w:p>
        </w:tc>
        <w:tc>
          <w:tcPr>
            <w:tcW w:w="2588" w:type="dxa"/>
            <w:tcBorders>
              <w:top w:val="single" w:sz="4" w:space="0" w:color="auto"/>
              <w:bottom w:val="single" w:sz="4" w:space="0" w:color="auto"/>
            </w:tcBorders>
            <w:vAlign w:val="bottom"/>
          </w:tcPr>
          <w:p w14:paraId="311F0199" w14:textId="77777777" w:rsidR="009A5155" w:rsidRPr="00B909F3" w:rsidRDefault="009A5155" w:rsidP="00197EDE">
            <w:pPr>
              <w:spacing w:after="0" w:line="360" w:lineRule="auto"/>
              <w:contextualSpacing/>
              <w:jc w:val="both"/>
              <w:rPr>
                <w:rFonts w:ascii="Book Antiqua" w:hAnsi="Book Antiqua" w:cs="Arial"/>
                <w:b/>
                <w:bCs/>
                <w:szCs w:val="24"/>
              </w:rPr>
            </w:pPr>
            <w:proofErr w:type="spellStart"/>
            <w:r w:rsidRPr="00B909F3">
              <w:rPr>
                <w:rFonts w:ascii="Book Antiqua" w:hAnsi="Book Antiqua" w:cs="Arial"/>
                <w:b/>
                <w:bCs/>
                <w:szCs w:val="24"/>
              </w:rPr>
              <w:t>Adjusted</w:t>
            </w:r>
            <w:r w:rsidRPr="00B909F3">
              <w:rPr>
                <w:rFonts w:ascii="Book Antiqua" w:hAnsi="Book Antiqua" w:cs="Arial"/>
                <w:b/>
                <w:bCs/>
                <w:szCs w:val="24"/>
                <w:vertAlign w:val="superscript"/>
              </w:rPr>
              <w:t>b</w:t>
            </w:r>
            <w:proofErr w:type="spellEnd"/>
          </w:p>
        </w:tc>
      </w:tr>
      <w:tr w:rsidR="00DB73D6" w:rsidRPr="00B909F3" w14:paraId="48F80205" w14:textId="77777777" w:rsidTr="009A5155">
        <w:trPr>
          <w:trHeight w:val="979"/>
        </w:trPr>
        <w:tc>
          <w:tcPr>
            <w:tcW w:w="2748" w:type="dxa"/>
            <w:tcBorders>
              <w:top w:val="single" w:sz="4" w:space="0" w:color="auto"/>
            </w:tcBorders>
            <w:shd w:val="clear" w:color="auto" w:fill="auto"/>
            <w:vAlign w:val="center"/>
            <w:hideMark/>
          </w:tcPr>
          <w:p w14:paraId="7094A8D9" w14:textId="77777777" w:rsidR="00DB73D6" w:rsidRPr="00B909F3" w:rsidRDefault="00DB73D6" w:rsidP="00197EDE">
            <w:pPr>
              <w:spacing w:after="0" w:line="360" w:lineRule="auto"/>
              <w:ind w:left="270"/>
              <w:contextualSpacing/>
              <w:jc w:val="both"/>
              <w:rPr>
                <w:rFonts w:ascii="Book Antiqua" w:hAnsi="Book Antiqua" w:cs="Arial"/>
                <w:bCs/>
                <w:szCs w:val="24"/>
              </w:rPr>
            </w:pPr>
            <w:r w:rsidRPr="00B909F3">
              <w:rPr>
                <w:rFonts w:ascii="Book Antiqua" w:hAnsi="Book Antiqua" w:cs="Arial"/>
                <w:bCs/>
                <w:szCs w:val="24"/>
              </w:rPr>
              <w:t>Severe</w:t>
            </w:r>
          </w:p>
        </w:tc>
        <w:tc>
          <w:tcPr>
            <w:tcW w:w="1425" w:type="dxa"/>
            <w:tcBorders>
              <w:top w:val="single" w:sz="4" w:space="0" w:color="auto"/>
            </w:tcBorders>
            <w:vAlign w:val="center"/>
          </w:tcPr>
          <w:p w14:paraId="121E70B7" w14:textId="77777777" w:rsidR="00DB73D6" w:rsidRPr="00B909F3" w:rsidRDefault="00DB73D6" w:rsidP="00197EDE">
            <w:pPr>
              <w:spacing w:after="0" w:line="360" w:lineRule="auto"/>
              <w:ind w:left="-90" w:right="-90"/>
              <w:contextualSpacing/>
              <w:jc w:val="both"/>
              <w:rPr>
                <w:rFonts w:ascii="Book Antiqua" w:hAnsi="Book Antiqua" w:cs="Arial"/>
                <w:bCs/>
                <w:szCs w:val="24"/>
              </w:rPr>
            </w:pPr>
            <w:r w:rsidRPr="00B909F3">
              <w:rPr>
                <w:rFonts w:ascii="Book Antiqua" w:hAnsi="Book Antiqua" w:cs="Arial"/>
                <w:bCs/>
                <w:szCs w:val="24"/>
              </w:rPr>
              <w:t>527</w:t>
            </w:r>
          </w:p>
        </w:tc>
        <w:tc>
          <w:tcPr>
            <w:tcW w:w="2564" w:type="dxa"/>
            <w:tcBorders>
              <w:top w:val="single" w:sz="4" w:space="0" w:color="auto"/>
            </w:tcBorders>
            <w:shd w:val="clear" w:color="auto" w:fill="auto"/>
            <w:noWrap/>
            <w:vAlign w:val="center"/>
            <w:hideMark/>
          </w:tcPr>
          <w:p w14:paraId="34D6D4E7" w14:textId="523D76D9" w:rsidR="00DB73D6" w:rsidRPr="00B909F3" w:rsidRDefault="00DB73D6" w:rsidP="00197EDE">
            <w:pPr>
              <w:spacing w:after="0" w:line="360" w:lineRule="auto"/>
              <w:ind w:left="-90" w:right="-90"/>
              <w:contextualSpacing/>
              <w:jc w:val="both"/>
              <w:rPr>
                <w:rFonts w:ascii="Book Antiqua" w:hAnsi="Book Antiqua" w:cs="Arial"/>
                <w:bCs/>
                <w:szCs w:val="24"/>
              </w:rPr>
            </w:pPr>
            <w:r w:rsidRPr="00B909F3">
              <w:rPr>
                <w:rFonts w:ascii="Book Antiqua" w:hAnsi="Book Antiqua" w:cs="Arial"/>
                <w:bCs/>
                <w:szCs w:val="24"/>
              </w:rPr>
              <w:t>1.10 (0.98</w:t>
            </w:r>
            <w:r w:rsidR="00B37948">
              <w:rPr>
                <w:rFonts w:ascii="Book Antiqua" w:hAnsi="Book Antiqua" w:cs="Arial"/>
                <w:bCs/>
                <w:szCs w:val="24"/>
              </w:rPr>
              <w:t>-</w:t>
            </w:r>
            <w:r w:rsidRPr="00B909F3">
              <w:rPr>
                <w:rFonts w:ascii="Book Antiqua" w:hAnsi="Book Antiqua" w:cs="Arial"/>
                <w:bCs/>
                <w:szCs w:val="24"/>
              </w:rPr>
              <w:t>1.23)</w:t>
            </w:r>
          </w:p>
        </w:tc>
        <w:tc>
          <w:tcPr>
            <w:tcW w:w="2588" w:type="dxa"/>
            <w:tcBorders>
              <w:top w:val="single" w:sz="4" w:space="0" w:color="auto"/>
            </w:tcBorders>
            <w:vAlign w:val="center"/>
          </w:tcPr>
          <w:p w14:paraId="30B27324" w14:textId="76693930" w:rsidR="00DB73D6" w:rsidRPr="00B909F3" w:rsidRDefault="00DB73D6" w:rsidP="00197EDE">
            <w:pPr>
              <w:spacing w:after="0" w:line="360" w:lineRule="auto"/>
              <w:ind w:left="-90" w:right="-90"/>
              <w:contextualSpacing/>
              <w:jc w:val="both"/>
              <w:rPr>
                <w:rFonts w:ascii="Book Antiqua" w:hAnsi="Book Antiqua" w:cs="Arial"/>
                <w:bCs/>
                <w:szCs w:val="24"/>
              </w:rPr>
            </w:pPr>
            <w:r w:rsidRPr="00B909F3">
              <w:rPr>
                <w:rFonts w:ascii="Book Antiqua" w:hAnsi="Book Antiqua" w:cs="Arial"/>
                <w:bCs/>
                <w:szCs w:val="24"/>
              </w:rPr>
              <w:t>1.16 (1.02</w:t>
            </w:r>
            <w:r w:rsidR="00B37948">
              <w:rPr>
                <w:rFonts w:ascii="Book Antiqua" w:hAnsi="Book Antiqua" w:cs="Arial"/>
                <w:bCs/>
                <w:szCs w:val="24"/>
              </w:rPr>
              <w:t>-</w:t>
            </w:r>
            <w:r w:rsidRPr="00B909F3">
              <w:rPr>
                <w:rFonts w:ascii="Book Antiqua" w:hAnsi="Book Antiqua" w:cs="Arial"/>
                <w:bCs/>
                <w:szCs w:val="24"/>
              </w:rPr>
              <w:t>1.31)</w:t>
            </w:r>
          </w:p>
        </w:tc>
      </w:tr>
      <w:tr w:rsidR="00DB73D6" w:rsidRPr="00B909F3" w14:paraId="798CD651" w14:textId="77777777" w:rsidTr="009A5155">
        <w:trPr>
          <w:trHeight w:val="979"/>
        </w:trPr>
        <w:tc>
          <w:tcPr>
            <w:tcW w:w="2748" w:type="dxa"/>
            <w:shd w:val="clear" w:color="auto" w:fill="auto"/>
            <w:vAlign w:val="center"/>
            <w:hideMark/>
          </w:tcPr>
          <w:p w14:paraId="6D7260C4" w14:textId="77777777" w:rsidR="00DB73D6" w:rsidRPr="00B909F3" w:rsidRDefault="00DB73D6" w:rsidP="00197EDE">
            <w:pPr>
              <w:spacing w:after="0" w:line="360" w:lineRule="auto"/>
              <w:ind w:left="270"/>
              <w:contextualSpacing/>
              <w:jc w:val="both"/>
              <w:rPr>
                <w:rFonts w:ascii="Book Antiqua" w:hAnsi="Book Antiqua" w:cs="Arial"/>
                <w:bCs/>
                <w:szCs w:val="24"/>
              </w:rPr>
            </w:pPr>
            <w:r w:rsidRPr="00B909F3">
              <w:rPr>
                <w:rFonts w:ascii="Book Antiqua" w:hAnsi="Book Antiqua" w:cs="Arial"/>
                <w:bCs/>
                <w:szCs w:val="24"/>
              </w:rPr>
              <w:t>Moderate</w:t>
            </w:r>
          </w:p>
        </w:tc>
        <w:tc>
          <w:tcPr>
            <w:tcW w:w="1425" w:type="dxa"/>
            <w:vAlign w:val="center"/>
          </w:tcPr>
          <w:p w14:paraId="57F72F12" w14:textId="6BA6846E" w:rsidR="00DB73D6" w:rsidRPr="00B909F3" w:rsidRDefault="00DB73D6" w:rsidP="00197EDE">
            <w:pPr>
              <w:spacing w:after="0" w:line="360" w:lineRule="auto"/>
              <w:ind w:left="-90" w:right="-90"/>
              <w:contextualSpacing/>
              <w:jc w:val="both"/>
              <w:rPr>
                <w:rFonts w:ascii="Book Antiqua" w:hAnsi="Book Antiqua" w:cs="Arial"/>
                <w:bCs/>
                <w:szCs w:val="24"/>
              </w:rPr>
            </w:pPr>
            <w:r w:rsidRPr="00B909F3">
              <w:rPr>
                <w:rFonts w:ascii="Book Antiqua" w:hAnsi="Book Antiqua" w:cs="Arial"/>
                <w:bCs/>
                <w:szCs w:val="24"/>
              </w:rPr>
              <w:t>1051</w:t>
            </w:r>
          </w:p>
        </w:tc>
        <w:tc>
          <w:tcPr>
            <w:tcW w:w="2564" w:type="dxa"/>
            <w:shd w:val="clear" w:color="auto" w:fill="auto"/>
            <w:noWrap/>
            <w:vAlign w:val="center"/>
            <w:hideMark/>
          </w:tcPr>
          <w:p w14:paraId="40D5A6B9" w14:textId="3584C6AC" w:rsidR="00DB73D6" w:rsidRPr="00B909F3" w:rsidRDefault="00DB73D6" w:rsidP="00197EDE">
            <w:pPr>
              <w:spacing w:after="0" w:line="360" w:lineRule="auto"/>
              <w:ind w:left="-90" w:right="-90"/>
              <w:contextualSpacing/>
              <w:jc w:val="both"/>
              <w:rPr>
                <w:rFonts w:ascii="Book Antiqua" w:hAnsi="Book Antiqua" w:cs="Arial"/>
                <w:bCs/>
                <w:szCs w:val="24"/>
              </w:rPr>
            </w:pPr>
            <w:r w:rsidRPr="00B909F3">
              <w:rPr>
                <w:rFonts w:ascii="Book Antiqua" w:hAnsi="Book Antiqua" w:cs="Arial"/>
                <w:bCs/>
                <w:szCs w:val="24"/>
              </w:rPr>
              <w:t>1.12 (1.01</w:t>
            </w:r>
            <w:r w:rsidR="00B37948">
              <w:rPr>
                <w:rFonts w:ascii="Book Antiqua" w:hAnsi="Book Antiqua" w:cs="Arial"/>
                <w:bCs/>
                <w:szCs w:val="24"/>
              </w:rPr>
              <w:t>-</w:t>
            </w:r>
            <w:r w:rsidRPr="00B909F3">
              <w:rPr>
                <w:rFonts w:ascii="Book Antiqua" w:hAnsi="Book Antiqua" w:cs="Arial"/>
                <w:bCs/>
                <w:szCs w:val="24"/>
              </w:rPr>
              <w:t>1.23)</w:t>
            </w:r>
          </w:p>
        </w:tc>
        <w:tc>
          <w:tcPr>
            <w:tcW w:w="2588" w:type="dxa"/>
            <w:vAlign w:val="center"/>
          </w:tcPr>
          <w:p w14:paraId="5F69D13C" w14:textId="1DBF06FC" w:rsidR="00DB73D6" w:rsidRPr="00B909F3" w:rsidRDefault="00DB73D6" w:rsidP="00197EDE">
            <w:pPr>
              <w:spacing w:after="0" w:line="360" w:lineRule="auto"/>
              <w:ind w:left="-90" w:right="-90"/>
              <w:contextualSpacing/>
              <w:jc w:val="both"/>
              <w:rPr>
                <w:rFonts w:ascii="Book Antiqua" w:hAnsi="Book Antiqua" w:cs="Arial"/>
                <w:bCs/>
                <w:szCs w:val="24"/>
              </w:rPr>
            </w:pPr>
            <w:r w:rsidRPr="00B909F3">
              <w:rPr>
                <w:rFonts w:ascii="Book Antiqua" w:hAnsi="Book Antiqua" w:cs="Arial"/>
                <w:bCs/>
                <w:szCs w:val="24"/>
              </w:rPr>
              <w:t>1.13 (1.02</w:t>
            </w:r>
            <w:r w:rsidR="00B37948">
              <w:rPr>
                <w:rFonts w:ascii="Book Antiqua" w:hAnsi="Book Antiqua" w:cs="Arial"/>
                <w:bCs/>
                <w:szCs w:val="24"/>
              </w:rPr>
              <w:t>-</w:t>
            </w:r>
            <w:r w:rsidRPr="00B909F3">
              <w:rPr>
                <w:rFonts w:ascii="Book Antiqua" w:hAnsi="Book Antiqua" w:cs="Arial"/>
                <w:bCs/>
                <w:szCs w:val="24"/>
              </w:rPr>
              <w:t>1.24)</w:t>
            </w:r>
          </w:p>
        </w:tc>
      </w:tr>
      <w:tr w:rsidR="00DB73D6" w:rsidRPr="00B909F3" w14:paraId="13BE024F" w14:textId="77777777" w:rsidTr="009A5155">
        <w:trPr>
          <w:trHeight w:val="979"/>
        </w:trPr>
        <w:tc>
          <w:tcPr>
            <w:tcW w:w="2748" w:type="dxa"/>
            <w:shd w:val="clear" w:color="auto" w:fill="auto"/>
            <w:vAlign w:val="center"/>
            <w:hideMark/>
          </w:tcPr>
          <w:p w14:paraId="2B06D45E" w14:textId="77777777" w:rsidR="00DB73D6" w:rsidRPr="00B909F3" w:rsidRDefault="00DB73D6" w:rsidP="00197EDE">
            <w:pPr>
              <w:spacing w:after="0" w:line="360" w:lineRule="auto"/>
              <w:ind w:left="270"/>
              <w:contextualSpacing/>
              <w:jc w:val="both"/>
              <w:rPr>
                <w:rFonts w:ascii="Book Antiqua" w:hAnsi="Book Antiqua" w:cs="Arial"/>
                <w:bCs/>
                <w:szCs w:val="24"/>
              </w:rPr>
            </w:pPr>
            <w:r w:rsidRPr="00B909F3">
              <w:rPr>
                <w:rFonts w:ascii="Book Antiqua" w:hAnsi="Book Antiqua" w:cs="Arial"/>
                <w:bCs/>
                <w:szCs w:val="24"/>
              </w:rPr>
              <w:t>None</w:t>
            </w:r>
          </w:p>
        </w:tc>
        <w:tc>
          <w:tcPr>
            <w:tcW w:w="1425" w:type="dxa"/>
            <w:vAlign w:val="center"/>
          </w:tcPr>
          <w:p w14:paraId="400DE633" w14:textId="77777777" w:rsidR="00DB73D6" w:rsidRPr="00B909F3" w:rsidRDefault="00DB73D6" w:rsidP="00197EDE">
            <w:pPr>
              <w:spacing w:after="0" w:line="360" w:lineRule="auto"/>
              <w:ind w:left="-90" w:right="-90"/>
              <w:contextualSpacing/>
              <w:jc w:val="both"/>
              <w:rPr>
                <w:rFonts w:ascii="Book Antiqua" w:hAnsi="Book Antiqua" w:cs="Arial"/>
                <w:bCs/>
                <w:iCs/>
                <w:szCs w:val="24"/>
              </w:rPr>
            </w:pPr>
            <w:r w:rsidRPr="00B909F3">
              <w:rPr>
                <w:rFonts w:ascii="Book Antiqua" w:hAnsi="Book Antiqua" w:cs="Arial"/>
                <w:bCs/>
                <w:iCs/>
                <w:szCs w:val="24"/>
              </w:rPr>
              <w:t>636</w:t>
            </w:r>
          </w:p>
        </w:tc>
        <w:tc>
          <w:tcPr>
            <w:tcW w:w="2564" w:type="dxa"/>
            <w:shd w:val="clear" w:color="auto" w:fill="auto"/>
            <w:vAlign w:val="center"/>
            <w:hideMark/>
          </w:tcPr>
          <w:p w14:paraId="70451A60" w14:textId="77777777" w:rsidR="00DB73D6" w:rsidRPr="00B909F3" w:rsidRDefault="00DB73D6" w:rsidP="00197EDE">
            <w:pPr>
              <w:spacing w:after="0" w:line="360" w:lineRule="auto"/>
              <w:ind w:left="-90" w:right="-90"/>
              <w:contextualSpacing/>
              <w:jc w:val="both"/>
              <w:rPr>
                <w:rFonts w:ascii="Book Antiqua" w:hAnsi="Book Antiqua" w:cs="Arial"/>
                <w:bCs/>
                <w:szCs w:val="24"/>
              </w:rPr>
            </w:pPr>
            <w:r w:rsidRPr="00B909F3">
              <w:rPr>
                <w:rFonts w:ascii="Book Antiqua" w:hAnsi="Book Antiqua" w:cs="Arial"/>
                <w:bCs/>
                <w:szCs w:val="24"/>
              </w:rPr>
              <w:t>Referent</w:t>
            </w:r>
          </w:p>
        </w:tc>
        <w:tc>
          <w:tcPr>
            <w:tcW w:w="2588" w:type="dxa"/>
            <w:vAlign w:val="center"/>
          </w:tcPr>
          <w:p w14:paraId="2611CBA3" w14:textId="77777777" w:rsidR="00DB73D6" w:rsidRPr="00B909F3" w:rsidRDefault="00DB73D6" w:rsidP="00197EDE">
            <w:pPr>
              <w:spacing w:after="0" w:line="360" w:lineRule="auto"/>
              <w:ind w:left="-90" w:right="-90"/>
              <w:contextualSpacing/>
              <w:jc w:val="both"/>
              <w:rPr>
                <w:rFonts w:ascii="Book Antiqua" w:hAnsi="Book Antiqua" w:cs="Arial"/>
                <w:bCs/>
                <w:szCs w:val="24"/>
              </w:rPr>
            </w:pPr>
            <w:r w:rsidRPr="00B909F3">
              <w:rPr>
                <w:rFonts w:ascii="Book Antiqua" w:hAnsi="Book Antiqua" w:cs="Arial"/>
                <w:bCs/>
                <w:szCs w:val="24"/>
              </w:rPr>
              <w:t>Referent</w:t>
            </w:r>
          </w:p>
        </w:tc>
      </w:tr>
    </w:tbl>
    <w:p w14:paraId="172751D7" w14:textId="60EB207E" w:rsidR="00FA31FD" w:rsidRPr="00B37948" w:rsidRDefault="00DB73D6" w:rsidP="00197EDE">
      <w:pPr>
        <w:spacing w:after="0" w:line="360" w:lineRule="auto"/>
        <w:jc w:val="both"/>
        <w:rPr>
          <w:rFonts w:ascii="Book Antiqua" w:hAnsi="Book Antiqua" w:cs="Arial"/>
          <w:szCs w:val="24"/>
        </w:rPr>
      </w:pPr>
      <w:proofErr w:type="spellStart"/>
      <w:r w:rsidRPr="00B909F3">
        <w:rPr>
          <w:rFonts w:ascii="Book Antiqua" w:hAnsi="Book Antiqua" w:cs="Arial"/>
          <w:szCs w:val="24"/>
          <w:vertAlign w:val="superscript"/>
        </w:rPr>
        <w:t>a</w:t>
      </w:r>
      <w:r w:rsidRPr="00B909F3">
        <w:rPr>
          <w:rFonts w:ascii="Book Antiqua" w:hAnsi="Book Antiqua" w:cs="Arial"/>
          <w:szCs w:val="24"/>
        </w:rPr>
        <w:t>Number</w:t>
      </w:r>
      <w:proofErr w:type="spellEnd"/>
      <w:r w:rsidRPr="00B909F3">
        <w:rPr>
          <w:rFonts w:ascii="Book Antiqua" w:hAnsi="Book Antiqua" w:cs="Arial"/>
          <w:szCs w:val="24"/>
        </w:rPr>
        <w:t xml:space="preserve"> of graft failures within 1 year of liver transplantation</w:t>
      </w:r>
      <w:r w:rsidR="00B37948">
        <w:rPr>
          <w:rFonts w:ascii="Book Antiqua" w:hAnsi="Book Antiqua" w:cs="Arial"/>
          <w:szCs w:val="24"/>
        </w:rPr>
        <w:t>;</w:t>
      </w:r>
      <w:r w:rsidR="009A5155" w:rsidRPr="00B909F3">
        <w:rPr>
          <w:rFonts w:ascii="Book Antiqua" w:hAnsi="Book Antiqua" w:cs="Arial"/>
          <w:szCs w:val="24"/>
        </w:rPr>
        <w:t xml:space="preserve"> </w:t>
      </w:r>
      <w:proofErr w:type="spellStart"/>
      <w:r w:rsidRPr="00B909F3">
        <w:rPr>
          <w:rFonts w:ascii="Book Antiqua" w:hAnsi="Book Antiqua" w:cs="Arial"/>
          <w:szCs w:val="24"/>
          <w:vertAlign w:val="superscript"/>
        </w:rPr>
        <w:t>b</w:t>
      </w:r>
      <w:r w:rsidRPr="00B909F3">
        <w:rPr>
          <w:rFonts w:ascii="Book Antiqua" w:hAnsi="Book Antiqua" w:cs="Arial"/>
          <w:szCs w:val="24"/>
        </w:rPr>
        <w:t>Adjusted</w:t>
      </w:r>
      <w:proofErr w:type="spellEnd"/>
      <w:r w:rsidRPr="00B909F3">
        <w:rPr>
          <w:rFonts w:ascii="Book Antiqua" w:hAnsi="Book Antiqua" w:cs="Arial"/>
          <w:szCs w:val="24"/>
        </w:rPr>
        <w:t xml:space="preserve"> for recipient age, sex, race, </w:t>
      </w:r>
      <w:r w:rsidR="006A44EF" w:rsidRPr="00B909F3">
        <w:rPr>
          <w:rFonts w:ascii="Book Antiqua" w:eastAsia="Arial Unicode MS" w:hAnsi="Book Antiqua" w:cs="Arial"/>
          <w:szCs w:val="24"/>
        </w:rPr>
        <w:t>body mass index</w:t>
      </w:r>
      <w:r w:rsidR="006A44EF" w:rsidRPr="00B909F3">
        <w:rPr>
          <w:rFonts w:ascii="Book Antiqua" w:hAnsi="Book Antiqua" w:cs="Arial"/>
          <w:szCs w:val="24"/>
        </w:rPr>
        <w:t xml:space="preserve"> (</w:t>
      </w:r>
      <w:r w:rsidRPr="00B909F3">
        <w:rPr>
          <w:rFonts w:ascii="Book Antiqua" w:hAnsi="Book Antiqua" w:cs="Arial"/>
          <w:szCs w:val="24"/>
        </w:rPr>
        <w:t>BMI</w:t>
      </w:r>
      <w:r w:rsidR="006A44EF" w:rsidRPr="00B909F3">
        <w:rPr>
          <w:rFonts w:ascii="Book Antiqua" w:hAnsi="Book Antiqua" w:cs="Arial"/>
          <w:szCs w:val="24"/>
        </w:rPr>
        <w:t>)</w:t>
      </w:r>
      <w:r w:rsidRPr="00B909F3">
        <w:rPr>
          <w:rFonts w:ascii="Book Antiqua" w:hAnsi="Book Antiqua" w:cs="Arial"/>
          <w:szCs w:val="24"/>
        </w:rPr>
        <w:t>, primary diagnosis of liver disease, MELD, portal vein thrombosis; donor age, race, BMI, donor type (living or deceased) and cause of death, donation after cardiac death, cold ischemia time ≥ 8 h; interactions: recipient hepatitis C and portal vein thrombosis, recipient hepatitis C and donor age.</w:t>
      </w:r>
      <w:r w:rsidR="00B37948">
        <w:rPr>
          <w:rFonts w:ascii="Book Antiqua" w:eastAsia="SimSun" w:hAnsi="Book Antiqua" w:cs="Arial" w:hint="eastAsia"/>
          <w:szCs w:val="24"/>
          <w:lang w:eastAsia="zh-CN"/>
        </w:rPr>
        <w:t xml:space="preserve"> </w:t>
      </w:r>
      <w:r w:rsidRPr="00B909F3">
        <w:rPr>
          <w:rFonts w:ascii="Book Antiqua" w:eastAsia="Arial Unicode MS" w:hAnsi="Book Antiqua" w:cs="Arial"/>
          <w:bCs/>
          <w:szCs w:val="24"/>
        </w:rPr>
        <w:t>BMI</w:t>
      </w:r>
      <w:r w:rsidR="009A5155" w:rsidRPr="00B909F3">
        <w:rPr>
          <w:rFonts w:ascii="Book Antiqua" w:eastAsia="Arial Unicode MS" w:hAnsi="Book Antiqua" w:cs="Arial"/>
          <w:bCs/>
          <w:szCs w:val="24"/>
        </w:rPr>
        <w:t>:</w:t>
      </w:r>
      <w:r w:rsidRPr="00B909F3">
        <w:rPr>
          <w:rFonts w:ascii="Book Antiqua" w:eastAsia="Arial Unicode MS" w:hAnsi="Book Antiqua" w:cs="Arial"/>
          <w:bCs/>
          <w:szCs w:val="24"/>
        </w:rPr>
        <w:t xml:space="preserve"> </w:t>
      </w:r>
      <w:r w:rsidR="00B37948" w:rsidRPr="00B909F3">
        <w:rPr>
          <w:rFonts w:ascii="Book Antiqua" w:eastAsia="Arial Unicode MS" w:hAnsi="Book Antiqua" w:cs="Arial"/>
          <w:bCs/>
          <w:szCs w:val="24"/>
        </w:rPr>
        <w:t>B</w:t>
      </w:r>
      <w:r w:rsidRPr="00B909F3">
        <w:rPr>
          <w:rFonts w:ascii="Book Antiqua" w:eastAsia="Arial Unicode MS" w:hAnsi="Book Antiqua" w:cs="Arial"/>
          <w:bCs/>
          <w:szCs w:val="24"/>
        </w:rPr>
        <w:t>ody mass index; CI</w:t>
      </w:r>
      <w:r w:rsidR="009A5155" w:rsidRPr="00B909F3">
        <w:rPr>
          <w:rFonts w:ascii="Book Antiqua" w:eastAsia="Arial Unicode MS" w:hAnsi="Book Antiqua" w:cs="Arial"/>
          <w:bCs/>
          <w:szCs w:val="24"/>
        </w:rPr>
        <w:t>:</w:t>
      </w:r>
      <w:r w:rsidRPr="00B909F3">
        <w:rPr>
          <w:rFonts w:ascii="Book Antiqua" w:eastAsia="Arial Unicode MS" w:hAnsi="Book Antiqua" w:cs="Arial"/>
          <w:bCs/>
          <w:szCs w:val="24"/>
        </w:rPr>
        <w:t xml:space="preserve"> </w:t>
      </w:r>
      <w:r w:rsidR="00B37948" w:rsidRPr="00B909F3">
        <w:rPr>
          <w:rFonts w:ascii="Book Antiqua" w:eastAsia="Arial Unicode MS" w:hAnsi="Book Antiqua" w:cs="Arial"/>
          <w:bCs/>
          <w:szCs w:val="24"/>
        </w:rPr>
        <w:t>C</w:t>
      </w:r>
      <w:r w:rsidRPr="00B909F3">
        <w:rPr>
          <w:rFonts w:ascii="Book Antiqua" w:eastAsia="Arial Unicode MS" w:hAnsi="Book Antiqua" w:cs="Arial"/>
          <w:bCs/>
          <w:szCs w:val="24"/>
        </w:rPr>
        <w:t>onfidence interval; MELD</w:t>
      </w:r>
      <w:r w:rsidR="009A5155" w:rsidRPr="00B909F3">
        <w:rPr>
          <w:rFonts w:ascii="Book Antiqua" w:eastAsia="Arial Unicode MS" w:hAnsi="Book Antiqua" w:cs="Arial"/>
          <w:bCs/>
          <w:szCs w:val="24"/>
        </w:rPr>
        <w:t>:</w:t>
      </w:r>
      <w:r w:rsidRPr="00B909F3">
        <w:rPr>
          <w:rFonts w:ascii="Book Antiqua" w:eastAsia="Arial Unicode MS" w:hAnsi="Book Antiqua" w:cs="Arial"/>
          <w:bCs/>
          <w:szCs w:val="24"/>
        </w:rPr>
        <w:t xml:space="preserve"> Model for End-Stage Liver Disease</w:t>
      </w:r>
      <w:r w:rsidR="009A5155" w:rsidRPr="00B909F3">
        <w:rPr>
          <w:rFonts w:ascii="Book Antiqua" w:eastAsia="Arial Unicode MS" w:hAnsi="Book Antiqua" w:cs="Arial"/>
          <w:bCs/>
          <w:szCs w:val="24"/>
        </w:rPr>
        <w:t>.</w:t>
      </w:r>
    </w:p>
    <w:sectPr w:rsidR="00FA31FD" w:rsidRPr="00B37948" w:rsidSect="004859A1">
      <w:footerReference w:type="even" r:id="rId9"/>
      <w:footerReference w:type="default" r:id="rId10"/>
      <w:pgSz w:w="12240" w:h="15840"/>
      <w:pgMar w:top="1440" w:right="1440" w:bottom="1440" w:left="1440" w:header="706"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23C3" w14:textId="77777777" w:rsidR="002C050C" w:rsidRDefault="002C050C" w:rsidP="007E2219">
      <w:pPr>
        <w:spacing w:after="0" w:line="240" w:lineRule="auto"/>
      </w:pPr>
      <w:r>
        <w:separator/>
      </w:r>
    </w:p>
  </w:endnote>
  <w:endnote w:type="continuationSeparator" w:id="0">
    <w:p w14:paraId="6EBED40A" w14:textId="77777777" w:rsidR="002C050C" w:rsidRDefault="002C050C" w:rsidP="007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auto"/>
    <w:pitch w:val="variable"/>
    <w:sig w:usb0="E0000AFF" w:usb1="00007843" w:usb2="00000001" w:usb3="00000000" w:csb0="000001BF" w:csb1="00000000"/>
  </w:font>
  <w:font w:name="Garamond-Bold">
    <w:altName w:val="等线"/>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Semibold">
    <w:panose1 w:val="020B06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altName w:val="Helvetica World"/>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95F8" w14:textId="77777777" w:rsidR="00611455" w:rsidRDefault="00611455" w:rsidP="00562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88B73" w14:textId="77777777" w:rsidR="00611455" w:rsidRDefault="00611455" w:rsidP="007E2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00BE" w14:textId="77777777" w:rsidR="00611455" w:rsidRPr="00DD3AC0" w:rsidRDefault="00611455" w:rsidP="0056269A">
    <w:pPr>
      <w:pStyle w:val="Footer"/>
      <w:framePr w:wrap="around" w:vAnchor="text" w:hAnchor="margin" w:xAlign="right" w:y="1"/>
      <w:rPr>
        <w:rStyle w:val="PageNumber"/>
        <w:rFonts w:ascii="Arial" w:hAnsi="Arial" w:cs="Arial"/>
      </w:rPr>
    </w:pPr>
    <w:r w:rsidRPr="00DD3AC0">
      <w:rPr>
        <w:rStyle w:val="PageNumber"/>
        <w:rFonts w:ascii="Arial" w:hAnsi="Arial" w:cs="Arial"/>
      </w:rPr>
      <w:fldChar w:fldCharType="begin"/>
    </w:r>
    <w:r w:rsidRPr="00DD3AC0">
      <w:rPr>
        <w:rStyle w:val="PageNumber"/>
        <w:rFonts w:ascii="Arial" w:hAnsi="Arial" w:cs="Arial"/>
      </w:rPr>
      <w:instrText xml:space="preserve">PAGE  </w:instrText>
    </w:r>
    <w:r w:rsidRPr="00DD3AC0">
      <w:rPr>
        <w:rStyle w:val="PageNumber"/>
        <w:rFonts w:ascii="Arial" w:hAnsi="Arial" w:cs="Arial"/>
      </w:rPr>
      <w:fldChar w:fldCharType="separate"/>
    </w:r>
    <w:r>
      <w:rPr>
        <w:rStyle w:val="PageNumber"/>
        <w:rFonts w:ascii="Arial" w:hAnsi="Arial" w:cs="Arial"/>
        <w:noProof/>
      </w:rPr>
      <w:t>8</w:t>
    </w:r>
    <w:r w:rsidRPr="00DD3AC0">
      <w:rPr>
        <w:rStyle w:val="PageNumber"/>
        <w:rFonts w:ascii="Arial" w:hAnsi="Arial" w:cs="Arial"/>
      </w:rPr>
      <w:fldChar w:fldCharType="end"/>
    </w:r>
  </w:p>
  <w:p w14:paraId="33889FDD" w14:textId="4E951CD6" w:rsidR="00611455" w:rsidRDefault="00611455" w:rsidP="005D3F8B">
    <w:pPr>
      <w:pStyle w:val="Footer"/>
      <w:ind w:left="-81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6E34" w14:textId="77777777" w:rsidR="002C050C" w:rsidRDefault="002C050C" w:rsidP="007E2219">
      <w:pPr>
        <w:spacing w:after="0" w:line="240" w:lineRule="auto"/>
      </w:pPr>
      <w:r>
        <w:separator/>
      </w:r>
    </w:p>
  </w:footnote>
  <w:footnote w:type="continuationSeparator" w:id="0">
    <w:p w14:paraId="397C1751" w14:textId="77777777" w:rsidR="002C050C" w:rsidRDefault="002C050C" w:rsidP="007E2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4C4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0C63D96"/>
    <w:multiLevelType w:val="hybridMultilevel"/>
    <w:tmpl w:val="BE52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E7200"/>
    <w:multiLevelType w:val="hybridMultilevel"/>
    <w:tmpl w:val="9B1C1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6D37F3"/>
    <w:multiLevelType w:val="hybridMultilevel"/>
    <w:tmpl w:val="42B81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DE3CE4"/>
    <w:multiLevelType w:val="hybridMultilevel"/>
    <w:tmpl w:val="5A0E58B4"/>
    <w:lvl w:ilvl="0" w:tplc="0409000F">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25FCC"/>
    <w:multiLevelType w:val="hybridMultilevel"/>
    <w:tmpl w:val="992CD67C"/>
    <w:lvl w:ilvl="0" w:tplc="7CEE3D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163E2"/>
    <w:multiLevelType w:val="hybridMultilevel"/>
    <w:tmpl w:val="FDAC5460"/>
    <w:lvl w:ilvl="0" w:tplc="E0F6E90C">
      <w:start w:val="7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43C2B"/>
    <w:multiLevelType w:val="hybridMultilevel"/>
    <w:tmpl w:val="08A296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0D5D63"/>
    <w:multiLevelType w:val="hybridMultilevel"/>
    <w:tmpl w:val="C9541E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1B40DD"/>
    <w:multiLevelType w:val="hybridMultilevel"/>
    <w:tmpl w:val="2D88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367ED7"/>
    <w:multiLevelType w:val="multilevel"/>
    <w:tmpl w:val="8C1A5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50F244B"/>
    <w:multiLevelType w:val="hybridMultilevel"/>
    <w:tmpl w:val="11E83C8A"/>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num w:numId="1">
    <w:abstractNumId w:val="5"/>
  </w:num>
  <w:num w:numId="2">
    <w:abstractNumId w:val="4"/>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3"/>
  </w:num>
  <w:num w:numId="8">
    <w:abstractNumId w:val="13"/>
  </w:num>
  <w:num w:numId="9">
    <w:abstractNumId w:val="8"/>
  </w:num>
  <w:num w:numId="10">
    <w:abstractNumId w:val="7"/>
  </w:num>
  <w:num w:numId="11">
    <w:abstractNumId w:val="6"/>
  </w:num>
  <w:num w:numId="12">
    <w:abstractNumId w:val="9"/>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4"/>
    <w:rsid w:val="000002BA"/>
    <w:rsid w:val="00002F00"/>
    <w:rsid w:val="00007545"/>
    <w:rsid w:val="00007B46"/>
    <w:rsid w:val="000203A1"/>
    <w:rsid w:val="00021C5A"/>
    <w:rsid w:val="00035206"/>
    <w:rsid w:val="00040BEE"/>
    <w:rsid w:val="00043BCC"/>
    <w:rsid w:val="00054968"/>
    <w:rsid w:val="00056670"/>
    <w:rsid w:val="00060606"/>
    <w:rsid w:val="000725CD"/>
    <w:rsid w:val="00086F27"/>
    <w:rsid w:val="000A6372"/>
    <w:rsid w:val="000E0550"/>
    <w:rsid w:val="000E0E5D"/>
    <w:rsid w:val="000F19F3"/>
    <w:rsid w:val="001217D4"/>
    <w:rsid w:val="00162DEE"/>
    <w:rsid w:val="0016330A"/>
    <w:rsid w:val="00163C83"/>
    <w:rsid w:val="00173DC8"/>
    <w:rsid w:val="001759A9"/>
    <w:rsid w:val="00182485"/>
    <w:rsid w:val="001926ED"/>
    <w:rsid w:val="001951DB"/>
    <w:rsid w:val="00197EDE"/>
    <w:rsid w:val="001B4081"/>
    <w:rsid w:val="001B57EA"/>
    <w:rsid w:val="001D2729"/>
    <w:rsid w:val="001D4808"/>
    <w:rsid w:val="001D735B"/>
    <w:rsid w:val="001E06AD"/>
    <w:rsid w:val="00205997"/>
    <w:rsid w:val="002243A5"/>
    <w:rsid w:val="0023661D"/>
    <w:rsid w:val="00240113"/>
    <w:rsid w:val="00245719"/>
    <w:rsid w:val="00245C7E"/>
    <w:rsid w:val="002539B4"/>
    <w:rsid w:val="00262C09"/>
    <w:rsid w:val="00262C12"/>
    <w:rsid w:val="00266823"/>
    <w:rsid w:val="002669C9"/>
    <w:rsid w:val="002818E3"/>
    <w:rsid w:val="002A07F2"/>
    <w:rsid w:val="002B445E"/>
    <w:rsid w:val="002B4FCF"/>
    <w:rsid w:val="002C050C"/>
    <w:rsid w:val="002D5C9F"/>
    <w:rsid w:val="00301C7F"/>
    <w:rsid w:val="00332C30"/>
    <w:rsid w:val="00383087"/>
    <w:rsid w:val="00387CAD"/>
    <w:rsid w:val="00396947"/>
    <w:rsid w:val="003C306E"/>
    <w:rsid w:val="003C47B8"/>
    <w:rsid w:val="003E5A8C"/>
    <w:rsid w:val="003F6DBF"/>
    <w:rsid w:val="004031DF"/>
    <w:rsid w:val="00422D8F"/>
    <w:rsid w:val="004368EB"/>
    <w:rsid w:val="00445534"/>
    <w:rsid w:val="004731ED"/>
    <w:rsid w:val="00484CD3"/>
    <w:rsid w:val="00485858"/>
    <w:rsid w:val="004859A1"/>
    <w:rsid w:val="00496789"/>
    <w:rsid w:val="004A2265"/>
    <w:rsid w:val="004A7C08"/>
    <w:rsid w:val="004B2E7D"/>
    <w:rsid w:val="004C6939"/>
    <w:rsid w:val="00502F5D"/>
    <w:rsid w:val="00522467"/>
    <w:rsid w:val="00525D45"/>
    <w:rsid w:val="005402FD"/>
    <w:rsid w:val="005403EC"/>
    <w:rsid w:val="00542FCD"/>
    <w:rsid w:val="005456B7"/>
    <w:rsid w:val="0055136B"/>
    <w:rsid w:val="0056269A"/>
    <w:rsid w:val="00570FAF"/>
    <w:rsid w:val="00582391"/>
    <w:rsid w:val="00584674"/>
    <w:rsid w:val="005846ED"/>
    <w:rsid w:val="00592CD9"/>
    <w:rsid w:val="005A4D56"/>
    <w:rsid w:val="005B369A"/>
    <w:rsid w:val="005C0E7A"/>
    <w:rsid w:val="005D3F8B"/>
    <w:rsid w:val="005D7000"/>
    <w:rsid w:val="005E165B"/>
    <w:rsid w:val="005E31A1"/>
    <w:rsid w:val="005F4C48"/>
    <w:rsid w:val="00610305"/>
    <w:rsid w:val="00611455"/>
    <w:rsid w:val="00612B2F"/>
    <w:rsid w:val="00641E0D"/>
    <w:rsid w:val="00644B48"/>
    <w:rsid w:val="00647D57"/>
    <w:rsid w:val="00661CE2"/>
    <w:rsid w:val="0066225F"/>
    <w:rsid w:val="00687BEA"/>
    <w:rsid w:val="006A44EF"/>
    <w:rsid w:val="006B0372"/>
    <w:rsid w:val="006C39E3"/>
    <w:rsid w:val="006C7D58"/>
    <w:rsid w:val="006D3E54"/>
    <w:rsid w:val="006F3206"/>
    <w:rsid w:val="00725DB8"/>
    <w:rsid w:val="00737A0D"/>
    <w:rsid w:val="0074551E"/>
    <w:rsid w:val="00752F03"/>
    <w:rsid w:val="00766376"/>
    <w:rsid w:val="0076762A"/>
    <w:rsid w:val="00780E13"/>
    <w:rsid w:val="00790019"/>
    <w:rsid w:val="007961E1"/>
    <w:rsid w:val="007A6A85"/>
    <w:rsid w:val="007B53D0"/>
    <w:rsid w:val="007B6CA9"/>
    <w:rsid w:val="007C0EBC"/>
    <w:rsid w:val="007E2219"/>
    <w:rsid w:val="007E3661"/>
    <w:rsid w:val="007E399C"/>
    <w:rsid w:val="007F08FA"/>
    <w:rsid w:val="00807644"/>
    <w:rsid w:val="008101B4"/>
    <w:rsid w:val="00823B83"/>
    <w:rsid w:val="00863F8D"/>
    <w:rsid w:val="00871D2D"/>
    <w:rsid w:val="008735E4"/>
    <w:rsid w:val="008830E3"/>
    <w:rsid w:val="008B6E5A"/>
    <w:rsid w:val="008C24ED"/>
    <w:rsid w:val="008C3A11"/>
    <w:rsid w:val="008F2C27"/>
    <w:rsid w:val="00900122"/>
    <w:rsid w:val="00921D11"/>
    <w:rsid w:val="00930F40"/>
    <w:rsid w:val="00933E77"/>
    <w:rsid w:val="009361E1"/>
    <w:rsid w:val="00937C57"/>
    <w:rsid w:val="0094061A"/>
    <w:rsid w:val="00940C4D"/>
    <w:rsid w:val="00940F90"/>
    <w:rsid w:val="00953009"/>
    <w:rsid w:val="00960763"/>
    <w:rsid w:val="00966C11"/>
    <w:rsid w:val="009A5155"/>
    <w:rsid w:val="009B4D8F"/>
    <w:rsid w:val="009D2990"/>
    <w:rsid w:val="009E616F"/>
    <w:rsid w:val="009F1698"/>
    <w:rsid w:val="009F401B"/>
    <w:rsid w:val="009F404C"/>
    <w:rsid w:val="009F4640"/>
    <w:rsid w:val="009F731A"/>
    <w:rsid w:val="00A014F8"/>
    <w:rsid w:val="00A0269B"/>
    <w:rsid w:val="00A0394A"/>
    <w:rsid w:val="00A2312A"/>
    <w:rsid w:val="00A37B27"/>
    <w:rsid w:val="00A42F88"/>
    <w:rsid w:val="00A75D9D"/>
    <w:rsid w:val="00A81A09"/>
    <w:rsid w:val="00A84078"/>
    <w:rsid w:val="00A96029"/>
    <w:rsid w:val="00A964E0"/>
    <w:rsid w:val="00AC0F97"/>
    <w:rsid w:val="00AE17CE"/>
    <w:rsid w:val="00AE2710"/>
    <w:rsid w:val="00AE7CCE"/>
    <w:rsid w:val="00AF488B"/>
    <w:rsid w:val="00AF4A82"/>
    <w:rsid w:val="00B0454F"/>
    <w:rsid w:val="00B103BC"/>
    <w:rsid w:val="00B25386"/>
    <w:rsid w:val="00B37948"/>
    <w:rsid w:val="00B50943"/>
    <w:rsid w:val="00B513A4"/>
    <w:rsid w:val="00B73DAB"/>
    <w:rsid w:val="00B9031A"/>
    <w:rsid w:val="00B909F3"/>
    <w:rsid w:val="00BA2B42"/>
    <w:rsid w:val="00BA6834"/>
    <w:rsid w:val="00BB2C21"/>
    <w:rsid w:val="00BC34E9"/>
    <w:rsid w:val="00BC5832"/>
    <w:rsid w:val="00BD056C"/>
    <w:rsid w:val="00C00ACB"/>
    <w:rsid w:val="00C054B4"/>
    <w:rsid w:val="00C46136"/>
    <w:rsid w:val="00C46945"/>
    <w:rsid w:val="00C568D5"/>
    <w:rsid w:val="00C601EA"/>
    <w:rsid w:val="00C61CAB"/>
    <w:rsid w:val="00C75D44"/>
    <w:rsid w:val="00C77B55"/>
    <w:rsid w:val="00CA4B13"/>
    <w:rsid w:val="00CB2319"/>
    <w:rsid w:val="00CB6A78"/>
    <w:rsid w:val="00CE7555"/>
    <w:rsid w:val="00D104C1"/>
    <w:rsid w:val="00D105F9"/>
    <w:rsid w:val="00D140D8"/>
    <w:rsid w:val="00D328EC"/>
    <w:rsid w:val="00D479BD"/>
    <w:rsid w:val="00D50836"/>
    <w:rsid w:val="00D70729"/>
    <w:rsid w:val="00D93F48"/>
    <w:rsid w:val="00D97CF5"/>
    <w:rsid w:val="00DA1DCA"/>
    <w:rsid w:val="00DA2C7A"/>
    <w:rsid w:val="00DA5B3C"/>
    <w:rsid w:val="00DB6B92"/>
    <w:rsid w:val="00DB71A7"/>
    <w:rsid w:val="00DB73D6"/>
    <w:rsid w:val="00DD3AC0"/>
    <w:rsid w:val="00DF2152"/>
    <w:rsid w:val="00DF39AB"/>
    <w:rsid w:val="00E07962"/>
    <w:rsid w:val="00E107E3"/>
    <w:rsid w:val="00E17D44"/>
    <w:rsid w:val="00E20AC2"/>
    <w:rsid w:val="00E405BE"/>
    <w:rsid w:val="00E46B52"/>
    <w:rsid w:val="00E75E6E"/>
    <w:rsid w:val="00E87152"/>
    <w:rsid w:val="00E94EE9"/>
    <w:rsid w:val="00E96ABF"/>
    <w:rsid w:val="00EA5F13"/>
    <w:rsid w:val="00EA72FB"/>
    <w:rsid w:val="00F000A4"/>
    <w:rsid w:val="00F064D4"/>
    <w:rsid w:val="00F30A75"/>
    <w:rsid w:val="00F36E6A"/>
    <w:rsid w:val="00F705FB"/>
    <w:rsid w:val="00F81FD2"/>
    <w:rsid w:val="00F94D45"/>
    <w:rsid w:val="00F961BC"/>
    <w:rsid w:val="00FA31FD"/>
    <w:rsid w:val="00FD06FD"/>
    <w:rsid w:val="00FF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C7F14"/>
  <w14:defaultImageDpi w14:val="300"/>
  <w15:docId w15:val="{DB4DE276-18A0-45B6-BCF8-9B3880B6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10"/>
    <w:pPr>
      <w:spacing w:after="200" w:line="276" w:lineRule="auto"/>
    </w:pPr>
    <w:rPr>
      <w:rFonts w:ascii="Times New Roman" w:eastAsia="Times New Roman" w:hAnsi="Times New Roman"/>
      <w:sz w:val="24"/>
    </w:rPr>
  </w:style>
  <w:style w:type="paragraph" w:styleId="Heading1">
    <w:name w:val="heading 1"/>
    <w:basedOn w:val="Normal"/>
    <w:next w:val="Normal"/>
    <w:link w:val="Heading1Char"/>
    <w:uiPriority w:val="9"/>
    <w:qFormat/>
    <w:rsid w:val="00AE2710"/>
    <w:pPr>
      <w:spacing w:after="0" w:line="480" w:lineRule="auto"/>
      <w:jc w:val="center"/>
      <w:outlineLvl w:val="0"/>
    </w:pPr>
    <w:rPr>
      <w:b/>
      <w:bCs/>
      <w:caps/>
      <w:color w:val="000000"/>
      <w:szCs w:val="28"/>
    </w:rPr>
  </w:style>
  <w:style w:type="paragraph" w:styleId="Heading2">
    <w:name w:val="heading 2"/>
    <w:basedOn w:val="Normal"/>
    <w:next w:val="Normal"/>
    <w:link w:val="Heading2Char"/>
    <w:uiPriority w:val="9"/>
    <w:unhideWhenUsed/>
    <w:qFormat/>
    <w:rsid w:val="00AE2710"/>
    <w:pPr>
      <w:keepNext/>
      <w:keepLines/>
      <w:spacing w:before="200" w:after="0"/>
      <w:outlineLvl w:val="1"/>
    </w:pPr>
    <w:rPr>
      <w:b/>
      <w:bCs/>
      <w:color w:val="000000"/>
      <w:sz w:val="26"/>
      <w:szCs w:val="26"/>
    </w:rPr>
  </w:style>
  <w:style w:type="paragraph" w:styleId="Heading3">
    <w:name w:val="heading 3"/>
    <w:basedOn w:val="Normal"/>
    <w:next w:val="Normal"/>
    <w:link w:val="Heading3Char"/>
    <w:autoRedefine/>
    <w:uiPriority w:val="9"/>
    <w:unhideWhenUsed/>
    <w:qFormat/>
    <w:rsid w:val="00C61CAB"/>
    <w:pPr>
      <w:keepNext/>
      <w:keepLines/>
      <w:spacing w:before="100" w:beforeAutospacing="1" w:after="100" w:afterAutospacing="1"/>
      <w:contextualSpacing/>
      <w:outlineLvl w:val="2"/>
    </w:pPr>
    <w:rPr>
      <w:rFonts w:eastAsiaTheme="majorEastAsia" w:cs="Arial"/>
      <w:b/>
      <w:bCs/>
    </w:rPr>
  </w:style>
  <w:style w:type="paragraph" w:styleId="Heading4">
    <w:name w:val="heading 4"/>
    <w:basedOn w:val="Normal"/>
    <w:next w:val="Normal"/>
    <w:link w:val="Heading4Char"/>
    <w:uiPriority w:val="9"/>
    <w:unhideWhenUsed/>
    <w:qFormat/>
    <w:rsid w:val="00AE2710"/>
    <w:pPr>
      <w:keepNext/>
      <w:keepLines/>
      <w:spacing w:before="200" w:after="0"/>
      <w:outlineLvl w:val="3"/>
    </w:pPr>
    <w:rPr>
      <w:b/>
      <w:bCs/>
      <w:i/>
      <w:iCs/>
      <w:color w:val="000000"/>
    </w:rPr>
  </w:style>
  <w:style w:type="paragraph" w:styleId="Heading5">
    <w:name w:val="heading 5"/>
    <w:basedOn w:val="Normal"/>
    <w:next w:val="Normal"/>
    <w:link w:val="Heading5Char"/>
    <w:uiPriority w:val="9"/>
    <w:unhideWhenUsed/>
    <w:qFormat/>
    <w:rsid w:val="00AE2710"/>
    <w:pPr>
      <w:keepNext/>
      <w:keepLines/>
      <w:spacing w:before="200" w:after="0"/>
      <w:outlineLvl w:val="4"/>
    </w:pPr>
    <w:rPr>
      <w:color w:val="000000"/>
    </w:rPr>
  </w:style>
  <w:style w:type="paragraph" w:styleId="Heading6">
    <w:name w:val="heading 6"/>
    <w:basedOn w:val="Normal"/>
    <w:next w:val="Normal"/>
    <w:link w:val="Heading6Char"/>
    <w:uiPriority w:val="9"/>
    <w:semiHidden/>
    <w:unhideWhenUsed/>
    <w:qFormat/>
    <w:rsid w:val="00AE2710"/>
    <w:pPr>
      <w:keepNext/>
      <w:keepLines/>
      <w:spacing w:before="200" w:after="0"/>
      <w:outlineLvl w:val="5"/>
    </w:pPr>
    <w:rPr>
      <w:i/>
      <w:iCs/>
      <w:color w:val="000000"/>
    </w:rPr>
  </w:style>
  <w:style w:type="paragraph" w:styleId="Heading7">
    <w:name w:val="heading 7"/>
    <w:basedOn w:val="Normal"/>
    <w:next w:val="Normal"/>
    <w:link w:val="Heading7Char"/>
    <w:uiPriority w:val="9"/>
    <w:semiHidden/>
    <w:unhideWhenUsed/>
    <w:qFormat/>
    <w:rsid w:val="00AE2710"/>
    <w:pPr>
      <w:keepNext/>
      <w:keepLines/>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AE2710"/>
    <w:pPr>
      <w:keepNext/>
      <w:keepLines/>
      <w:spacing w:before="200" w:after="0"/>
      <w:outlineLvl w:val="7"/>
    </w:pPr>
    <w:rPr>
      <w:color w:val="000000"/>
      <w:sz w:val="20"/>
      <w:szCs w:val="20"/>
    </w:rPr>
  </w:style>
  <w:style w:type="paragraph" w:styleId="Heading9">
    <w:name w:val="heading 9"/>
    <w:basedOn w:val="Normal"/>
    <w:next w:val="Normal"/>
    <w:link w:val="Heading9Char"/>
    <w:uiPriority w:val="9"/>
    <w:semiHidden/>
    <w:unhideWhenUsed/>
    <w:qFormat/>
    <w:rsid w:val="00AE2710"/>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122"/>
    <w:rPr>
      <w:rFonts w:ascii="Lucida Grande" w:hAnsi="Lucida Grande" w:cs="Lucida Grande"/>
      <w:sz w:val="18"/>
      <w:szCs w:val="18"/>
    </w:rPr>
  </w:style>
  <w:style w:type="character" w:customStyle="1" w:styleId="Heading3Char">
    <w:name w:val="Heading 3 Char"/>
    <w:basedOn w:val="DefaultParagraphFont"/>
    <w:link w:val="Heading3"/>
    <w:uiPriority w:val="9"/>
    <w:rsid w:val="00C61CAB"/>
    <w:rPr>
      <w:rFonts w:eastAsiaTheme="majorEastAsia" w:cs="Arial"/>
      <w:b/>
      <w:bCs/>
    </w:rPr>
  </w:style>
  <w:style w:type="character" w:customStyle="1" w:styleId="Heading1Char">
    <w:name w:val="Heading 1 Char"/>
    <w:basedOn w:val="DefaultParagraphFont"/>
    <w:link w:val="Heading1"/>
    <w:uiPriority w:val="9"/>
    <w:rsid w:val="00AE2710"/>
    <w:rPr>
      <w:rFonts w:ascii="Times New Roman" w:eastAsia="Times New Roman" w:hAnsi="Times New Roman"/>
      <w:b/>
      <w:bCs/>
      <w:caps/>
      <w:color w:val="000000"/>
      <w:sz w:val="24"/>
      <w:szCs w:val="28"/>
    </w:rPr>
  </w:style>
  <w:style w:type="character" w:customStyle="1" w:styleId="Heading2Char">
    <w:name w:val="Heading 2 Char"/>
    <w:basedOn w:val="DefaultParagraphFont"/>
    <w:link w:val="Heading2"/>
    <w:uiPriority w:val="9"/>
    <w:rsid w:val="00AE2710"/>
    <w:rPr>
      <w:rFonts w:ascii="Times New Roman" w:eastAsia="Times New Roman" w:hAnsi="Times New Roman"/>
      <w:b/>
      <w:bCs/>
      <w:color w:val="000000"/>
      <w:sz w:val="26"/>
      <w:szCs w:val="26"/>
    </w:rPr>
  </w:style>
  <w:style w:type="character" w:customStyle="1" w:styleId="Heading4Char">
    <w:name w:val="Heading 4 Char"/>
    <w:basedOn w:val="DefaultParagraphFont"/>
    <w:link w:val="Heading4"/>
    <w:uiPriority w:val="9"/>
    <w:rsid w:val="00AE2710"/>
    <w:rPr>
      <w:rFonts w:ascii="Times New Roman" w:eastAsia="Times New Roman" w:hAnsi="Times New Roman"/>
      <w:b/>
      <w:bCs/>
      <w:i/>
      <w:iCs/>
      <w:color w:val="000000"/>
      <w:sz w:val="24"/>
    </w:rPr>
  </w:style>
  <w:style w:type="character" w:customStyle="1" w:styleId="Heading5Char">
    <w:name w:val="Heading 5 Char"/>
    <w:basedOn w:val="DefaultParagraphFont"/>
    <w:link w:val="Heading5"/>
    <w:uiPriority w:val="9"/>
    <w:rsid w:val="00AE2710"/>
    <w:rPr>
      <w:rFonts w:ascii="Times New Roman" w:eastAsia="Times New Roman" w:hAnsi="Times New Roman"/>
      <w:color w:val="000000"/>
      <w:sz w:val="24"/>
    </w:rPr>
  </w:style>
  <w:style w:type="character" w:customStyle="1" w:styleId="Heading6Char">
    <w:name w:val="Heading 6 Char"/>
    <w:basedOn w:val="DefaultParagraphFont"/>
    <w:link w:val="Heading6"/>
    <w:uiPriority w:val="9"/>
    <w:semiHidden/>
    <w:rsid w:val="00AE2710"/>
    <w:rPr>
      <w:rFonts w:ascii="Times New Roman" w:eastAsia="Times New Roman" w:hAnsi="Times New Roman"/>
      <w:i/>
      <w:iCs/>
      <w:color w:val="000000"/>
      <w:sz w:val="24"/>
    </w:rPr>
  </w:style>
  <w:style w:type="character" w:customStyle="1" w:styleId="Heading7Char">
    <w:name w:val="Heading 7 Char"/>
    <w:basedOn w:val="DefaultParagraphFont"/>
    <w:link w:val="Heading7"/>
    <w:uiPriority w:val="9"/>
    <w:semiHidden/>
    <w:rsid w:val="00AE2710"/>
    <w:rPr>
      <w:rFonts w:ascii="Times New Roman" w:eastAsia="Times New Roman" w:hAnsi="Times New Roman"/>
      <w:i/>
      <w:iCs/>
      <w:color w:val="404040"/>
      <w:sz w:val="24"/>
    </w:rPr>
  </w:style>
  <w:style w:type="character" w:customStyle="1" w:styleId="Heading8Char">
    <w:name w:val="Heading 8 Char"/>
    <w:basedOn w:val="DefaultParagraphFont"/>
    <w:link w:val="Heading8"/>
    <w:uiPriority w:val="9"/>
    <w:semiHidden/>
    <w:rsid w:val="00AE2710"/>
    <w:rPr>
      <w:rFonts w:ascii="Times New Roman" w:eastAsia="Times New Roman" w:hAnsi="Times New Roman"/>
      <w:color w:val="000000"/>
      <w:sz w:val="20"/>
      <w:szCs w:val="20"/>
    </w:rPr>
  </w:style>
  <w:style w:type="character" w:customStyle="1" w:styleId="Heading9Char">
    <w:name w:val="Heading 9 Char"/>
    <w:basedOn w:val="DefaultParagraphFont"/>
    <w:link w:val="Heading9"/>
    <w:uiPriority w:val="9"/>
    <w:semiHidden/>
    <w:rsid w:val="00AE2710"/>
    <w:rPr>
      <w:rFonts w:ascii="Times New Roman" w:eastAsia="Times New Roman" w:hAnsi="Times New Roman"/>
      <w:i/>
      <w:iCs/>
      <w:color w:val="404040"/>
      <w:sz w:val="20"/>
      <w:szCs w:val="20"/>
    </w:rPr>
  </w:style>
  <w:style w:type="paragraph" w:styleId="ListParagraph">
    <w:name w:val="List Paragraph"/>
    <w:basedOn w:val="Normal"/>
    <w:uiPriority w:val="34"/>
    <w:qFormat/>
    <w:rsid w:val="00AE2710"/>
    <w:pPr>
      <w:ind w:left="720"/>
      <w:contextualSpacing/>
    </w:pPr>
  </w:style>
  <w:style w:type="paragraph" w:styleId="NormalWeb">
    <w:name w:val="Normal (Web)"/>
    <w:basedOn w:val="Normal"/>
    <w:uiPriority w:val="99"/>
    <w:unhideWhenUsed/>
    <w:rsid w:val="00AE2710"/>
    <w:pPr>
      <w:spacing w:before="100" w:beforeAutospacing="1" w:after="100" w:afterAutospacing="1" w:line="240" w:lineRule="auto"/>
    </w:pPr>
    <w:rPr>
      <w:szCs w:val="24"/>
    </w:rPr>
  </w:style>
  <w:style w:type="character" w:styleId="Hyperlink">
    <w:name w:val="Hyperlink"/>
    <w:uiPriority w:val="99"/>
    <w:unhideWhenUsed/>
    <w:rsid w:val="00AE2710"/>
    <w:rPr>
      <w:color w:val="0000FF"/>
      <w:u w:val="single"/>
    </w:rPr>
  </w:style>
  <w:style w:type="paragraph" w:styleId="Header">
    <w:name w:val="header"/>
    <w:basedOn w:val="Normal"/>
    <w:link w:val="HeaderChar"/>
    <w:uiPriority w:val="99"/>
    <w:unhideWhenUsed/>
    <w:rsid w:val="00AE2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10"/>
    <w:rPr>
      <w:rFonts w:ascii="Times New Roman" w:eastAsia="Times New Roman" w:hAnsi="Times New Roman"/>
      <w:sz w:val="24"/>
    </w:rPr>
  </w:style>
  <w:style w:type="paragraph" w:styleId="Footer">
    <w:name w:val="footer"/>
    <w:basedOn w:val="Normal"/>
    <w:link w:val="FooterChar"/>
    <w:uiPriority w:val="99"/>
    <w:unhideWhenUsed/>
    <w:rsid w:val="00AE2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10"/>
    <w:rPr>
      <w:rFonts w:ascii="Times New Roman" w:eastAsia="Times New Roman" w:hAnsi="Times New Roman"/>
      <w:sz w:val="24"/>
    </w:rPr>
  </w:style>
  <w:style w:type="character" w:styleId="PlaceholderText">
    <w:name w:val="Placeholder Text"/>
    <w:uiPriority w:val="99"/>
    <w:semiHidden/>
    <w:rsid w:val="00AE2710"/>
    <w:rPr>
      <w:color w:val="808080"/>
    </w:rPr>
  </w:style>
  <w:style w:type="character" w:styleId="CommentReference">
    <w:name w:val="annotation reference"/>
    <w:uiPriority w:val="99"/>
    <w:unhideWhenUsed/>
    <w:qFormat/>
    <w:rsid w:val="00AE2710"/>
    <w:rPr>
      <w:sz w:val="16"/>
      <w:szCs w:val="16"/>
    </w:rPr>
  </w:style>
  <w:style w:type="paragraph" w:styleId="CommentText">
    <w:name w:val="annotation text"/>
    <w:basedOn w:val="Normal"/>
    <w:link w:val="CommentTextChar"/>
    <w:unhideWhenUsed/>
    <w:qFormat/>
    <w:rsid w:val="00AE2710"/>
    <w:pPr>
      <w:spacing w:line="240" w:lineRule="auto"/>
    </w:pPr>
    <w:rPr>
      <w:sz w:val="20"/>
      <w:szCs w:val="20"/>
    </w:rPr>
  </w:style>
  <w:style w:type="character" w:customStyle="1" w:styleId="CommentTextChar">
    <w:name w:val="Comment Text Char"/>
    <w:basedOn w:val="DefaultParagraphFont"/>
    <w:link w:val="CommentText"/>
    <w:uiPriority w:val="99"/>
    <w:qFormat/>
    <w:rsid w:val="00AE271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2710"/>
    <w:rPr>
      <w:b/>
      <w:bCs/>
    </w:rPr>
  </w:style>
  <w:style w:type="character" w:customStyle="1" w:styleId="CommentSubjectChar">
    <w:name w:val="Comment Subject Char"/>
    <w:basedOn w:val="CommentTextChar"/>
    <w:link w:val="CommentSubject"/>
    <w:uiPriority w:val="99"/>
    <w:semiHidden/>
    <w:rsid w:val="00AE2710"/>
    <w:rPr>
      <w:rFonts w:ascii="Times New Roman" w:eastAsia="Times New Roman" w:hAnsi="Times New Roman"/>
      <w:b/>
      <w:bCs/>
      <w:sz w:val="20"/>
      <w:szCs w:val="20"/>
    </w:rPr>
  </w:style>
  <w:style w:type="character" w:styleId="LineNumber">
    <w:name w:val="line number"/>
    <w:basedOn w:val="DefaultParagraphFont"/>
    <w:uiPriority w:val="99"/>
    <w:semiHidden/>
    <w:unhideWhenUsed/>
    <w:rsid w:val="00AE2710"/>
  </w:style>
  <w:style w:type="table" w:styleId="TableGrid">
    <w:name w:val="Table Grid"/>
    <w:basedOn w:val="TableNormal"/>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27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E2710"/>
    <w:rPr>
      <w:rFonts w:ascii="Consolas" w:eastAsia="Times New Roman" w:hAnsi="Consolas" w:cs="Consolas"/>
      <w:sz w:val="21"/>
      <w:szCs w:val="21"/>
    </w:rPr>
  </w:style>
  <w:style w:type="table" w:customStyle="1" w:styleId="TableGrid1">
    <w:name w:val="Table Grid1"/>
    <w:basedOn w:val="TableNormal"/>
    <w:next w:val="TableGrid"/>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E2710"/>
  </w:style>
  <w:style w:type="numbering" w:customStyle="1" w:styleId="NoList2">
    <w:name w:val="No List2"/>
    <w:next w:val="NoList"/>
    <w:uiPriority w:val="99"/>
    <w:semiHidden/>
    <w:unhideWhenUsed/>
    <w:rsid w:val="00AE2710"/>
  </w:style>
  <w:style w:type="paragraph" w:styleId="Caption">
    <w:name w:val="caption"/>
    <w:basedOn w:val="Normal"/>
    <w:next w:val="Normal"/>
    <w:uiPriority w:val="35"/>
    <w:unhideWhenUsed/>
    <w:qFormat/>
    <w:rsid w:val="00AE2710"/>
    <w:pPr>
      <w:spacing w:line="240" w:lineRule="auto"/>
    </w:pPr>
    <w:rPr>
      <w:b/>
      <w:bCs/>
      <w:color w:val="000000"/>
      <w:sz w:val="18"/>
      <w:szCs w:val="18"/>
    </w:rPr>
  </w:style>
  <w:style w:type="paragraph" w:styleId="Title">
    <w:name w:val="Title"/>
    <w:basedOn w:val="Normal"/>
    <w:next w:val="Normal"/>
    <w:link w:val="TitleChar"/>
    <w:uiPriority w:val="10"/>
    <w:qFormat/>
    <w:rsid w:val="00AE2710"/>
    <w:pPr>
      <w:pBdr>
        <w:bottom w:val="single" w:sz="8" w:space="4" w:color="000000"/>
      </w:pBdr>
      <w:spacing w:after="300" w:line="240" w:lineRule="auto"/>
      <w:contextualSpacing/>
    </w:pPr>
    <w:rPr>
      <w:color w:val="000000"/>
      <w:spacing w:val="5"/>
      <w:kern w:val="28"/>
      <w:sz w:val="52"/>
      <w:szCs w:val="52"/>
    </w:rPr>
  </w:style>
  <w:style w:type="character" w:customStyle="1" w:styleId="TitleChar">
    <w:name w:val="Title Char"/>
    <w:basedOn w:val="DefaultParagraphFont"/>
    <w:link w:val="Title"/>
    <w:uiPriority w:val="10"/>
    <w:rsid w:val="00AE2710"/>
    <w:rPr>
      <w:rFonts w:ascii="Times New Roman" w:eastAsia="Times New Roman" w:hAnsi="Times New Roman"/>
      <w:color w:val="000000"/>
      <w:spacing w:val="5"/>
      <w:kern w:val="28"/>
      <w:sz w:val="52"/>
      <w:szCs w:val="52"/>
    </w:rPr>
  </w:style>
  <w:style w:type="paragraph" w:styleId="Subtitle">
    <w:name w:val="Subtitle"/>
    <w:basedOn w:val="Normal"/>
    <w:next w:val="Normal"/>
    <w:link w:val="SubtitleChar"/>
    <w:uiPriority w:val="11"/>
    <w:qFormat/>
    <w:rsid w:val="00AE2710"/>
    <w:pPr>
      <w:numPr>
        <w:ilvl w:val="1"/>
      </w:numPr>
    </w:pPr>
    <w:rPr>
      <w:i/>
      <w:iCs/>
      <w:color w:val="000000"/>
      <w:spacing w:val="15"/>
      <w:szCs w:val="24"/>
    </w:rPr>
  </w:style>
  <w:style w:type="character" w:customStyle="1" w:styleId="SubtitleChar">
    <w:name w:val="Subtitle Char"/>
    <w:basedOn w:val="DefaultParagraphFont"/>
    <w:link w:val="Subtitle"/>
    <w:uiPriority w:val="11"/>
    <w:rsid w:val="00AE2710"/>
    <w:rPr>
      <w:rFonts w:ascii="Times New Roman" w:eastAsia="Times New Roman" w:hAnsi="Times New Roman"/>
      <w:i/>
      <w:iCs/>
      <w:color w:val="000000"/>
      <w:spacing w:val="15"/>
      <w:sz w:val="24"/>
      <w:szCs w:val="24"/>
    </w:rPr>
  </w:style>
  <w:style w:type="character" w:styleId="Strong">
    <w:name w:val="Strong"/>
    <w:uiPriority w:val="22"/>
    <w:qFormat/>
    <w:rsid w:val="00AE2710"/>
    <w:rPr>
      <w:b/>
      <w:bCs/>
    </w:rPr>
  </w:style>
  <w:style w:type="character" w:styleId="Emphasis">
    <w:name w:val="Emphasis"/>
    <w:uiPriority w:val="20"/>
    <w:qFormat/>
    <w:rsid w:val="00AE2710"/>
    <w:rPr>
      <w:i/>
      <w:iCs/>
    </w:rPr>
  </w:style>
  <w:style w:type="paragraph" w:styleId="NoSpacing">
    <w:name w:val="No Spacing"/>
    <w:uiPriority w:val="1"/>
    <w:qFormat/>
    <w:rsid w:val="00AE2710"/>
    <w:rPr>
      <w:rFonts w:ascii="Times New Roman" w:eastAsia="Times New Roman" w:hAnsi="Times New Roman"/>
    </w:rPr>
  </w:style>
  <w:style w:type="paragraph" w:styleId="Quote">
    <w:name w:val="Quote"/>
    <w:basedOn w:val="Normal"/>
    <w:next w:val="Normal"/>
    <w:link w:val="QuoteChar"/>
    <w:uiPriority w:val="29"/>
    <w:qFormat/>
    <w:rsid w:val="00AE2710"/>
    <w:rPr>
      <w:i/>
      <w:iCs/>
      <w:color w:val="000000"/>
    </w:rPr>
  </w:style>
  <w:style w:type="character" w:customStyle="1" w:styleId="QuoteChar">
    <w:name w:val="Quote Char"/>
    <w:basedOn w:val="DefaultParagraphFont"/>
    <w:link w:val="Quote"/>
    <w:uiPriority w:val="29"/>
    <w:rsid w:val="00AE2710"/>
    <w:rPr>
      <w:rFonts w:ascii="Times New Roman" w:eastAsia="Times New Roman" w:hAnsi="Times New Roman"/>
      <w:i/>
      <w:iCs/>
      <w:color w:val="000000"/>
      <w:sz w:val="24"/>
    </w:rPr>
  </w:style>
  <w:style w:type="paragraph" w:styleId="IntenseQuote">
    <w:name w:val="Intense Quote"/>
    <w:basedOn w:val="Normal"/>
    <w:next w:val="Normal"/>
    <w:link w:val="IntenseQuoteChar"/>
    <w:uiPriority w:val="30"/>
    <w:qFormat/>
    <w:rsid w:val="00AE2710"/>
    <w:pPr>
      <w:pBdr>
        <w:bottom w:val="single" w:sz="4" w:space="4" w:color="000000"/>
      </w:pBdr>
      <w:spacing w:before="200" w:after="280"/>
      <w:ind w:left="936" w:right="936"/>
    </w:pPr>
    <w:rPr>
      <w:b/>
      <w:bCs/>
      <w:i/>
      <w:iCs/>
      <w:color w:val="000000"/>
    </w:rPr>
  </w:style>
  <w:style w:type="character" w:customStyle="1" w:styleId="IntenseQuoteChar">
    <w:name w:val="Intense Quote Char"/>
    <w:basedOn w:val="DefaultParagraphFont"/>
    <w:link w:val="IntenseQuote"/>
    <w:uiPriority w:val="30"/>
    <w:rsid w:val="00AE2710"/>
    <w:rPr>
      <w:rFonts w:ascii="Times New Roman" w:eastAsia="Times New Roman" w:hAnsi="Times New Roman"/>
      <w:b/>
      <w:bCs/>
      <w:i/>
      <w:iCs/>
      <w:color w:val="000000"/>
      <w:sz w:val="24"/>
    </w:rPr>
  </w:style>
  <w:style w:type="character" w:styleId="SubtleEmphasis">
    <w:name w:val="Subtle Emphasis"/>
    <w:uiPriority w:val="19"/>
    <w:qFormat/>
    <w:rsid w:val="00AE2710"/>
    <w:rPr>
      <w:i/>
      <w:iCs/>
      <w:color w:val="808080"/>
    </w:rPr>
  </w:style>
  <w:style w:type="character" w:styleId="IntenseEmphasis">
    <w:name w:val="Intense Emphasis"/>
    <w:uiPriority w:val="21"/>
    <w:qFormat/>
    <w:rsid w:val="00AE2710"/>
    <w:rPr>
      <w:b/>
      <w:bCs/>
      <w:i/>
      <w:iCs/>
      <w:color w:val="000000"/>
    </w:rPr>
  </w:style>
  <w:style w:type="character" w:styleId="SubtleReference">
    <w:name w:val="Subtle Reference"/>
    <w:uiPriority w:val="31"/>
    <w:qFormat/>
    <w:rsid w:val="00AE2710"/>
    <w:rPr>
      <w:smallCaps/>
      <w:color w:val="000000"/>
      <w:u w:val="single"/>
    </w:rPr>
  </w:style>
  <w:style w:type="character" w:styleId="IntenseReference">
    <w:name w:val="Intense Reference"/>
    <w:uiPriority w:val="32"/>
    <w:qFormat/>
    <w:rsid w:val="00AE2710"/>
    <w:rPr>
      <w:b/>
      <w:bCs/>
      <w:smallCaps/>
      <w:color w:val="000000"/>
      <w:spacing w:val="5"/>
      <w:u w:val="single"/>
    </w:rPr>
  </w:style>
  <w:style w:type="character" w:styleId="BookTitle">
    <w:name w:val="Book Title"/>
    <w:uiPriority w:val="33"/>
    <w:qFormat/>
    <w:rsid w:val="00AE2710"/>
    <w:rPr>
      <w:b/>
      <w:bCs/>
      <w:smallCaps/>
      <w:spacing w:val="5"/>
    </w:rPr>
  </w:style>
  <w:style w:type="paragraph" w:styleId="TOCHeading">
    <w:name w:val="TOC Heading"/>
    <w:basedOn w:val="Heading1"/>
    <w:next w:val="Normal"/>
    <w:uiPriority w:val="39"/>
    <w:unhideWhenUsed/>
    <w:qFormat/>
    <w:rsid w:val="00AE2710"/>
    <w:pPr>
      <w:outlineLvl w:val="9"/>
    </w:pPr>
  </w:style>
  <w:style w:type="paragraph" w:styleId="TOC1">
    <w:name w:val="toc 1"/>
    <w:aliases w:val="TOC DISS1"/>
    <w:basedOn w:val="Normal"/>
    <w:next w:val="Normal"/>
    <w:autoRedefine/>
    <w:uiPriority w:val="39"/>
    <w:unhideWhenUsed/>
    <w:qFormat/>
    <w:rsid w:val="00AE2710"/>
    <w:pPr>
      <w:tabs>
        <w:tab w:val="right" w:leader="dot" w:pos="8630"/>
      </w:tabs>
      <w:spacing w:after="0" w:line="360" w:lineRule="auto"/>
      <w:jc w:val="center"/>
    </w:pPr>
    <w:rPr>
      <w:b/>
      <w:szCs w:val="24"/>
    </w:rPr>
  </w:style>
  <w:style w:type="paragraph" w:styleId="TOC2">
    <w:name w:val="toc 2"/>
    <w:basedOn w:val="Normal"/>
    <w:next w:val="Normal"/>
    <w:autoRedefine/>
    <w:uiPriority w:val="39"/>
    <w:unhideWhenUsed/>
    <w:qFormat/>
    <w:rsid w:val="00AE2710"/>
    <w:pPr>
      <w:spacing w:after="100"/>
      <w:ind w:left="220"/>
    </w:pPr>
  </w:style>
  <w:style w:type="character" w:customStyle="1" w:styleId="apple-converted-space">
    <w:name w:val="apple-converted-space"/>
    <w:basedOn w:val="DefaultParagraphFont"/>
    <w:rsid w:val="00AE2710"/>
  </w:style>
  <w:style w:type="paragraph" w:customStyle="1" w:styleId="p">
    <w:name w:val="p"/>
    <w:basedOn w:val="Normal"/>
    <w:rsid w:val="00AE2710"/>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AE2710"/>
    <w:rPr>
      <w:rFonts w:ascii="Times New Roman" w:eastAsia="Times New Roman" w:hAnsi="Times New Roman"/>
    </w:rPr>
  </w:style>
  <w:style w:type="character" w:customStyle="1" w:styleId="highlight">
    <w:name w:val="highlight"/>
    <w:basedOn w:val="DefaultParagraphFont"/>
    <w:rsid w:val="00AE2710"/>
  </w:style>
  <w:style w:type="character" w:styleId="FollowedHyperlink">
    <w:name w:val="FollowedHyperlink"/>
    <w:uiPriority w:val="99"/>
    <w:semiHidden/>
    <w:unhideWhenUsed/>
    <w:rsid w:val="00AE2710"/>
    <w:rPr>
      <w:color w:val="919191"/>
      <w:u w:val="single"/>
    </w:rPr>
  </w:style>
  <w:style w:type="paragraph" w:styleId="HTMLPreformatted">
    <w:name w:val="HTML Preformatted"/>
    <w:basedOn w:val="Normal"/>
    <w:link w:val="HTMLPreformattedChar"/>
    <w:uiPriority w:val="99"/>
    <w:unhideWhenUsed/>
    <w:rsid w:val="00AE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E2710"/>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E2710"/>
  </w:style>
  <w:style w:type="character" w:customStyle="1" w:styleId="citation">
    <w:name w:val="citation"/>
    <w:basedOn w:val="DefaultParagraphFont"/>
    <w:rsid w:val="00AE2710"/>
  </w:style>
  <w:style w:type="character" w:customStyle="1" w:styleId="ref-journal">
    <w:name w:val="ref-journal"/>
    <w:basedOn w:val="DefaultParagraphFont"/>
    <w:rsid w:val="00AE2710"/>
  </w:style>
  <w:style w:type="character" w:customStyle="1" w:styleId="ref-vol">
    <w:name w:val="ref-vol"/>
    <w:basedOn w:val="DefaultParagraphFont"/>
    <w:rsid w:val="00AE2710"/>
  </w:style>
  <w:style w:type="paragraph" w:customStyle="1" w:styleId="title1">
    <w:name w:val="title1"/>
    <w:basedOn w:val="Normal"/>
    <w:rsid w:val="00AE2710"/>
    <w:pPr>
      <w:spacing w:after="0" w:line="240" w:lineRule="auto"/>
    </w:pPr>
    <w:rPr>
      <w:sz w:val="27"/>
      <w:szCs w:val="27"/>
    </w:rPr>
  </w:style>
  <w:style w:type="paragraph" w:customStyle="1" w:styleId="desc2">
    <w:name w:val="desc2"/>
    <w:basedOn w:val="Normal"/>
    <w:rsid w:val="00AE2710"/>
    <w:pPr>
      <w:spacing w:after="0" w:line="240" w:lineRule="auto"/>
    </w:pPr>
    <w:rPr>
      <w:sz w:val="26"/>
      <w:szCs w:val="26"/>
    </w:rPr>
  </w:style>
  <w:style w:type="paragraph" w:customStyle="1" w:styleId="details1">
    <w:name w:val="details1"/>
    <w:basedOn w:val="Normal"/>
    <w:rsid w:val="00AE2710"/>
    <w:pPr>
      <w:spacing w:after="0" w:line="240" w:lineRule="auto"/>
    </w:pPr>
  </w:style>
  <w:style w:type="character" w:customStyle="1" w:styleId="jrnl">
    <w:name w:val="jrnl"/>
    <w:basedOn w:val="DefaultParagraphFont"/>
    <w:rsid w:val="00AE2710"/>
  </w:style>
  <w:style w:type="character" w:customStyle="1" w:styleId="highlight2">
    <w:name w:val="highlight2"/>
    <w:basedOn w:val="DefaultParagraphFont"/>
    <w:rsid w:val="00AE2710"/>
  </w:style>
  <w:style w:type="paragraph" w:styleId="FootnoteText">
    <w:name w:val="footnote text"/>
    <w:basedOn w:val="Normal"/>
    <w:link w:val="FootnoteTextChar"/>
    <w:uiPriority w:val="99"/>
    <w:unhideWhenUsed/>
    <w:rsid w:val="00AE2710"/>
    <w:pPr>
      <w:spacing w:after="0" w:line="240" w:lineRule="auto"/>
    </w:pPr>
    <w:rPr>
      <w:sz w:val="20"/>
      <w:szCs w:val="20"/>
    </w:rPr>
  </w:style>
  <w:style w:type="character" w:customStyle="1" w:styleId="FootnoteTextChar">
    <w:name w:val="Footnote Text Char"/>
    <w:basedOn w:val="DefaultParagraphFont"/>
    <w:link w:val="FootnoteText"/>
    <w:uiPriority w:val="99"/>
    <w:rsid w:val="00AE2710"/>
    <w:rPr>
      <w:rFonts w:ascii="Times New Roman" w:eastAsia="Times New Roman" w:hAnsi="Times New Roman"/>
      <w:sz w:val="20"/>
      <w:szCs w:val="20"/>
    </w:rPr>
  </w:style>
  <w:style w:type="character" w:styleId="FootnoteReference">
    <w:name w:val="footnote reference"/>
    <w:uiPriority w:val="99"/>
    <w:unhideWhenUsed/>
    <w:rsid w:val="00AE2710"/>
    <w:rPr>
      <w:vertAlign w:val="superscript"/>
    </w:rPr>
  </w:style>
  <w:style w:type="paragraph" w:styleId="EndnoteText">
    <w:name w:val="endnote text"/>
    <w:basedOn w:val="Normal"/>
    <w:link w:val="EndnoteTextChar"/>
    <w:uiPriority w:val="99"/>
    <w:unhideWhenUsed/>
    <w:rsid w:val="00AE2710"/>
    <w:pPr>
      <w:spacing w:after="0" w:line="240" w:lineRule="auto"/>
    </w:pPr>
    <w:rPr>
      <w:sz w:val="20"/>
      <w:szCs w:val="20"/>
    </w:rPr>
  </w:style>
  <w:style w:type="character" w:customStyle="1" w:styleId="EndnoteTextChar">
    <w:name w:val="Endnote Text Char"/>
    <w:basedOn w:val="DefaultParagraphFont"/>
    <w:link w:val="EndnoteText"/>
    <w:uiPriority w:val="99"/>
    <w:rsid w:val="00AE2710"/>
    <w:rPr>
      <w:rFonts w:ascii="Times New Roman" w:eastAsia="Times New Roman" w:hAnsi="Times New Roman"/>
      <w:sz w:val="20"/>
      <w:szCs w:val="20"/>
    </w:rPr>
  </w:style>
  <w:style w:type="character" w:styleId="EndnoteReference">
    <w:name w:val="endnote reference"/>
    <w:uiPriority w:val="99"/>
    <w:unhideWhenUsed/>
    <w:rsid w:val="00AE2710"/>
    <w:rPr>
      <w:vertAlign w:val="superscript"/>
    </w:rPr>
  </w:style>
  <w:style w:type="character" w:customStyle="1" w:styleId="st">
    <w:name w:val="st"/>
    <w:basedOn w:val="DefaultParagraphFont"/>
    <w:rsid w:val="00AE2710"/>
  </w:style>
  <w:style w:type="table" w:customStyle="1" w:styleId="LightShading-Accent11">
    <w:name w:val="Light Shading - Accent 11"/>
    <w:basedOn w:val="TableNormal"/>
    <w:uiPriority w:val="60"/>
    <w:rsid w:val="00AE2710"/>
    <w:rPr>
      <w:rFonts w:ascii="Times New Roman" w:eastAsia="Times New Roman" w:hAnsi="Times New Roman"/>
      <w:color w:val="000000"/>
      <w:sz w:val="20"/>
      <w:szCs w:val="20"/>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AE27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2710"/>
    <w:rPr>
      <w:rFonts w:ascii="Tahoma" w:eastAsia="Times New Roman" w:hAnsi="Tahoma" w:cs="Tahoma"/>
      <w:sz w:val="16"/>
      <w:szCs w:val="16"/>
    </w:rPr>
  </w:style>
  <w:style w:type="paragraph" w:styleId="TOC3">
    <w:name w:val="toc 3"/>
    <w:basedOn w:val="Normal"/>
    <w:next w:val="Normal"/>
    <w:autoRedefine/>
    <w:uiPriority w:val="39"/>
    <w:unhideWhenUsed/>
    <w:qFormat/>
    <w:rsid w:val="00AE2710"/>
    <w:pPr>
      <w:spacing w:after="0" w:line="240" w:lineRule="auto"/>
      <w:ind w:left="440"/>
    </w:pPr>
  </w:style>
  <w:style w:type="paragraph" w:styleId="TOC4">
    <w:name w:val="toc 4"/>
    <w:basedOn w:val="Normal"/>
    <w:next w:val="Normal"/>
    <w:autoRedefine/>
    <w:uiPriority w:val="39"/>
    <w:unhideWhenUsed/>
    <w:rsid w:val="00AE2710"/>
    <w:pPr>
      <w:spacing w:after="0" w:line="240" w:lineRule="auto"/>
      <w:ind w:left="660"/>
    </w:pPr>
    <w:rPr>
      <w:sz w:val="20"/>
      <w:szCs w:val="20"/>
    </w:rPr>
  </w:style>
  <w:style w:type="paragraph" w:styleId="TOC5">
    <w:name w:val="toc 5"/>
    <w:basedOn w:val="Normal"/>
    <w:next w:val="Normal"/>
    <w:autoRedefine/>
    <w:uiPriority w:val="39"/>
    <w:unhideWhenUsed/>
    <w:rsid w:val="00AE2710"/>
    <w:pPr>
      <w:spacing w:after="0" w:line="240" w:lineRule="auto"/>
      <w:ind w:left="880"/>
    </w:pPr>
    <w:rPr>
      <w:sz w:val="20"/>
      <w:szCs w:val="20"/>
    </w:rPr>
  </w:style>
  <w:style w:type="paragraph" w:styleId="TOC6">
    <w:name w:val="toc 6"/>
    <w:basedOn w:val="Normal"/>
    <w:next w:val="Normal"/>
    <w:autoRedefine/>
    <w:uiPriority w:val="39"/>
    <w:unhideWhenUsed/>
    <w:rsid w:val="00AE2710"/>
    <w:pPr>
      <w:spacing w:after="0" w:line="240" w:lineRule="auto"/>
      <w:ind w:left="1100"/>
    </w:pPr>
    <w:rPr>
      <w:sz w:val="20"/>
      <w:szCs w:val="20"/>
    </w:rPr>
  </w:style>
  <w:style w:type="paragraph" w:styleId="TOC7">
    <w:name w:val="toc 7"/>
    <w:basedOn w:val="Normal"/>
    <w:next w:val="Normal"/>
    <w:autoRedefine/>
    <w:uiPriority w:val="39"/>
    <w:unhideWhenUsed/>
    <w:rsid w:val="00AE2710"/>
    <w:pPr>
      <w:spacing w:after="0" w:line="240" w:lineRule="auto"/>
      <w:ind w:left="1320"/>
    </w:pPr>
    <w:rPr>
      <w:sz w:val="20"/>
      <w:szCs w:val="20"/>
    </w:rPr>
  </w:style>
  <w:style w:type="paragraph" w:styleId="TOC8">
    <w:name w:val="toc 8"/>
    <w:basedOn w:val="Normal"/>
    <w:next w:val="Normal"/>
    <w:autoRedefine/>
    <w:uiPriority w:val="39"/>
    <w:unhideWhenUsed/>
    <w:rsid w:val="00AE2710"/>
    <w:pPr>
      <w:spacing w:after="0" w:line="240" w:lineRule="auto"/>
      <w:ind w:left="1540"/>
    </w:pPr>
    <w:rPr>
      <w:sz w:val="20"/>
      <w:szCs w:val="20"/>
    </w:rPr>
  </w:style>
  <w:style w:type="paragraph" w:styleId="TOC9">
    <w:name w:val="toc 9"/>
    <w:basedOn w:val="Normal"/>
    <w:next w:val="Normal"/>
    <w:autoRedefine/>
    <w:uiPriority w:val="39"/>
    <w:unhideWhenUsed/>
    <w:rsid w:val="00AE2710"/>
    <w:pPr>
      <w:spacing w:after="0" w:line="240" w:lineRule="auto"/>
      <w:ind w:left="1760"/>
    </w:pPr>
    <w:rPr>
      <w:sz w:val="20"/>
      <w:szCs w:val="20"/>
    </w:rPr>
  </w:style>
  <w:style w:type="table" w:customStyle="1" w:styleId="LightShading-Accent12">
    <w:name w:val="Light Shading - Accent 12"/>
    <w:basedOn w:val="TableNormal"/>
    <w:uiPriority w:val="60"/>
    <w:rsid w:val="00AE2710"/>
    <w:rPr>
      <w:rFonts w:ascii="Times New Roman" w:eastAsia="Times New Roman" w:hAnsi="Times New Roman"/>
      <w:color w:val="000000"/>
      <w:sz w:val="20"/>
      <w:szCs w:val="20"/>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Index1">
    <w:name w:val="index 1"/>
    <w:basedOn w:val="Normal"/>
    <w:next w:val="Normal"/>
    <w:autoRedefine/>
    <w:uiPriority w:val="99"/>
    <w:unhideWhenUsed/>
    <w:rsid w:val="00AE2710"/>
    <w:pPr>
      <w:spacing w:after="0" w:line="240" w:lineRule="auto"/>
      <w:ind w:left="220" w:hanging="220"/>
    </w:pPr>
    <w:rPr>
      <w:sz w:val="18"/>
      <w:szCs w:val="18"/>
    </w:rPr>
  </w:style>
  <w:style w:type="paragraph" w:styleId="Index2">
    <w:name w:val="index 2"/>
    <w:basedOn w:val="Normal"/>
    <w:next w:val="Normal"/>
    <w:autoRedefine/>
    <w:uiPriority w:val="99"/>
    <w:unhideWhenUsed/>
    <w:rsid w:val="00AE2710"/>
    <w:pPr>
      <w:spacing w:after="0" w:line="240" w:lineRule="auto"/>
      <w:ind w:left="440" w:hanging="220"/>
    </w:pPr>
    <w:rPr>
      <w:sz w:val="18"/>
      <w:szCs w:val="18"/>
    </w:rPr>
  </w:style>
  <w:style w:type="paragraph" w:styleId="Index3">
    <w:name w:val="index 3"/>
    <w:basedOn w:val="Normal"/>
    <w:next w:val="Normal"/>
    <w:autoRedefine/>
    <w:uiPriority w:val="99"/>
    <w:unhideWhenUsed/>
    <w:rsid w:val="00AE2710"/>
    <w:pPr>
      <w:spacing w:after="0" w:line="240" w:lineRule="auto"/>
      <w:ind w:left="660" w:hanging="220"/>
    </w:pPr>
    <w:rPr>
      <w:sz w:val="18"/>
      <w:szCs w:val="18"/>
    </w:rPr>
  </w:style>
  <w:style w:type="paragraph" w:styleId="Index4">
    <w:name w:val="index 4"/>
    <w:basedOn w:val="Normal"/>
    <w:next w:val="Normal"/>
    <w:autoRedefine/>
    <w:uiPriority w:val="99"/>
    <w:unhideWhenUsed/>
    <w:rsid w:val="00AE2710"/>
    <w:pPr>
      <w:spacing w:after="0" w:line="240" w:lineRule="auto"/>
      <w:ind w:left="880" w:hanging="220"/>
    </w:pPr>
    <w:rPr>
      <w:sz w:val="18"/>
      <w:szCs w:val="18"/>
    </w:rPr>
  </w:style>
  <w:style w:type="paragraph" w:styleId="Index5">
    <w:name w:val="index 5"/>
    <w:basedOn w:val="Normal"/>
    <w:next w:val="Normal"/>
    <w:autoRedefine/>
    <w:uiPriority w:val="99"/>
    <w:unhideWhenUsed/>
    <w:rsid w:val="00AE2710"/>
    <w:pPr>
      <w:spacing w:after="0" w:line="240" w:lineRule="auto"/>
      <w:ind w:left="1100" w:hanging="220"/>
    </w:pPr>
    <w:rPr>
      <w:sz w:val="18"/>
      <w:szCs w:val="18"/>
    </w:rPr>
  </w:style>
  <w:style w:type="paragraph" w:styleId="Index6">
    <w:name w:val="index 6"/>
    <w:basedOn w:val="Normal"/>
    <w:next w:val="Normal"/>
    <w:autoRedefine/>
    <w:uiPriority w:val="99"/>
    <w:unhideWhenUsed/>
    <w:rsid w:val="00AE2710"/>
    <w:pPr>
      <w:spacing w:after="0" w:line="240" w:lineRule="auto"/>
      <w:ind w:left="1320" w:hanging="220"/>
    </w:pPr>
    <w:rPr>
      <w:sz w:val="18"/>
      <w:szCs w:val="18"/>
    </w:rPr>
  </w:style>
  <w:style w:type="paragraph" w:styleId="Index7">
    <w:name w:val="index 7"/>
    <w:basedOn w:val="Normal"/>
    <w:next w:val="Normal"/>
    <w:autoRedefine/>
    <w:uiPriority w:val="99"/>
    <w:unhideWhenUsed/>
    <w:rsid w:val="00AE2710"/>
    <w:pPr>
      <w:spacing w:after="0" w:line="240" w:lineRule="auto"/>
      <w:ind w:left="1540" w:hanging="220"/>
    </w:pPr>
    <w:rPr>
      <w:sz w:val="18"/>
      <w:szCs w:val="18"/>
    </w:rPr>
  </w:style>
  <w:style w:type="paragraph" w:styleId="Index8">
    <w:name w:val="index 8"/>
    <w:basedOn w:val="Normal"/>
    <w:next w:val="Normal"/>
    <w:autoRedefine/>
    <w:uiPriority w:val="99"/>
    <w:unhideWhenUsed/>
    <w:rsid w:val="00AE2710"/>
    <w:pPr>
      <w:spacing w:after="0" w:line="240" w:lineRule="auto"/>
      <w:ind w:left="1760" w:hanging="220"/>
    </w:pPr>
    <w:rPr>
      <w:sz w:val="18"/>
      <w:szCs w:val="18"/>
    </w:rPr>
  </w:style>
  <w:style w:type="paragraph" w:styleId="Index9">
    <w:name w:val="index 9"/>
    <w:basedOn w:val="Normal"/>
    <w:next w:val="Normal"/>
    <w:autoRedefine/>
    <w:uiPriority w:val="99"/>
    <w:unhideWhenUsed/>
    <w:rsid w:val="00AE2710"/>
    <w:pPr>
      <w:spacing w:after="0" w:line="240" w:lineRule="auto"/>
      <w:ind w:left="1980" w:hanging="220"/>
    </w:pPr>
    <w:rPr>
      <w:sz w:val="18"/>
      <w:szCs w:val="18"/>
    </w:rPr>
  </w:style>
  <w:style w:type="paragraph" w:styleId="IndexHeading">
    <w:name w:val="index heading"/>
    <w:basedOn w:val="Normal"/>
    <w:next w:val="Index1"/>
    <w:uiPriority w:val="99"/>
    <w:unhideWhenUsed/>
    <w:rsid w:val="00AE2710"/>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b/>
    </w:rPr>
  </w:style>
  <w:style w:type="paragraph" w:customStyle="1" w:styleId="Default">
    <w:name w:val="Default"/>
    <w:rsid w:val="00AE2710"/>
    <w:pPr>
      <w:autoSpaceDE w:val="0"/>
      <w:autoSpaceDN w:val="0"/>
      <w:adjustRightInd w:val="0"/>
    </w:pPr>
    <w:rPr>
      <w:rFonts w:eastAsia="Times New Roman" w:cs="Arial"/>
      <w:color w:val="000000"/>
      <w:sz w:val="24"/>
      <w:szCs w:val="24"/>
    </w:rPr>
  </w:style>
  <w:style w:type="character" w:customStyle="1" w:styleId="1">
    <w:name w:val="批注文字 字符1"/>
    <w:basedOn w:val="DefaultParagraphFont"/>
    <w:uiPriority w:val="99"/>
    <w:qFormat/>
    <w:rsid w:val="00E87152"/>
    <w:rPr>
      <w:rFonts w:eastAsiaTheme="minorEastAsia"/>
      <w:kern w:val="2"/>
      <w:sz w:val="21"/>
    </w:rPr>
  </w:style>
  <w:style w:type="character" w:customStyle="1" w:styleId="Char">
    <w:name w:val="批注文字 Char"/>
    <w:rsid w:val="006A44EF"/>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7245">
      <w:bodyDiv w:val="1"/>
      <w:marLeft w:val="0"/>
      <w:marRight w:val="0"/>
      <w:marTop w:val="0"/>
      <w:marBottom w:val="0"/>
      <w:divBdr>
        <w:top w:val="none" w:sz="0" w:space="0" w:color="auto"/>
        <w:left w:val="none" w:sz="0" w:space="0" w:color="auto"/>
        <w:bottom w:val="none" w:sz="0" w:space="0" w:color="auto"/>
        <w:right w:val="none" w:sz="0" w:space="0" w:color="auto"/>
      </w:divBdr>
    </w:div>
    <w:div w:id="160464097">
      <w:bodyDiv w:val="1"/>
      <w:marLeft w:val="0"/>
      <w:marRight w:val="0"/>
      <w:marTop w:val="0"/>
      <w:marBottom w:val="0"/>
      <w:divBdr>
        <w:top w:val="none" w:sz="0" w:space="0" w:color="auto"/>
        <w:left w:val="none" w:sz="0" w:space="0" w:color="auto"/>
        <w:bottom w:val="none" w:sz="0" w:space="0" w:color="auto"/>
        <w:right w:val="none" w:sz="0" w:space="0" w:color="auto"/>
      </w:divBdr>
    </w:div>
    <w:div w:id="210074672">
      <w:bodyDiv w:val="1"/>
      <w:marLeft w:val="0"/>
      <w:marRight w:val="0"/>
      <w:marTop w:val="0"/>
      <w:marBottom w:val="0"/>
      <w:divBdr>
        <w:top w:val="none" w:sz="0" w:space="0" w:color="auto"/>
        <w:left w:val="none" w:sz="0" w:space="0" w:color="auto"/>
        <w:bottom w:val="none" w:sz="0" w:space="0" w:color="auto"/>
        <w:right w:val="none" w:sz="0" w:space="0" w:color="auto"/>
      </w:divBdr>
    </w:div>
    <w:div w:id="220409127">
      <w:bodyDiv w:val="1"/>
      <w:marLeft w:val="0"/>
      <w:marRight w:val="0"/>
      <w:marTop w:val="0"/>
      <w:marBottom w:val="0"/>
      <w:divBdr>
        <w:top w:val="none" w:sz="0" w:space="0" w:color="auto"/>
        <w:left w:val="none" w:sz="0" w:space="0" w:color="auto"/>
        <w:bottom w:val="none" w:sz="0" w:space="0" w:color="auto"/>
        <w:right w:val="none" w:sz="0" w:space="0" w:color="auto"/>
      </w:divBdr>
    </w:div>
    <w:div w:id="291256136">
      <w:bodyDiv w:val="1"/>
      <w:marLeft w:val="0"/>
      <w:marRight w:val="0"/>
      <w:marTop w:val="0"/>
      <w:marBottom w:val="0"/>
      <w:divBdr>
        <w:top w:val="none" w:sz="0" w:space="0" w:color="auto"/>
        <w:left w:val="none" w:sz="0" w:space="0" w:color="auto"/>
        <w:bottom w:val="none" w:sz="0" w:space="0" w:color="auto"/>
        <w:right w:val="none" w:sz="0" w:space="0" w:color="auto"/>
      </w:divBdr>
    </w:div>
    <w:div w:id="305740978">
      <w:bodyDiv w:val="1"/>
      <w:marLeft w:val="0"/>
      <w:marRight w:val="0"/>
      <w:marTop w:val="0"/>
      <w:marBottom w:val="0"/>
      <w:divBdr>
        <w:top w:val="none" w:sz="0" w:space="0" w:color="auto"/>
        <w:left w:val="none" w:sz="0" w:space="0" w:color="auto"/>
        <w:bottom w:val="none" w:sz="0" w:space="0" w:color="auto"/>
        <w:right w:val="none" w:sz="0" w:space="0" w:color="auto"/>
      </w:divBdr>
    </w:div>
    <w:div w:id="345332608">
      <w:bodyDiv w:val="1"/>
      <w:marLeft w:val="0"/>
      <w:marRight w:val="0"/>
      <w:marTop w:val="0"/>
      <w:marBottom w:val="0"/>
      <w:divBdr>
        <w:top w:val="none" w:sz="0" w:space="0" w:color="auto"/>
        <w:left w:val="none" w:sz="0" w:space="0" w:color="auto"/>
        <w:bottom w:val="none" w:sz="0" w:space="0" w:color="auto"/>
        <w:right w:val="none" w:sz="0" w:space="0" w:color="auto"/>
      </w:divBdr>
    </w:div>
    <w:div w:id="398140678">
      <w:bodyDiv w:val="1"/>
      <w:marLeft w:val="0"/>
      <w:marRight w:val="0"/>
      <w:marTop w:val="0"/>
      <w:marBottom w:val="0"/>
      <w:divBdr>
        <w:top w:val="none" w:sz="0" w:space="0" w:color="auto"/>
        <w:left w:val="none" w:sz="0" w:space="0" w:color="auto"/>
        <w:bottom w:val="none" w:sz="0" w:space="0" w:color="auto"/>
        <w:right w:val="none" w:sz="0" w:space="0" w:color="auto"/>
      </w:divBdr>
    </w:div>
    <w:div w:id="1082485292">
      <w:bodyDiv w:val="1"/>
      <w:marLeft w:val="0"/>
      <w:marRight w:val="0"/>
      <w:marTop w:val="0"/>
      <w:marBottom w:val="0"/>
      <w:divBdr>
        <w:top w:val="none" w:sz="0" w:space="0" w:color="auto"/>
        <w:left w:val="none" w:sz="0" w:space="0" w:color="auto"/>
        <w:bottom w:val="none" w:sz="0" w:space="0" w:color="auto"/>
        <w:right w:val="none" w:sz="0" w:space="0" w:color="auto"/>
      </w:divBdr>
    </w:div>
    <w:div w:id="1134909738">
      <w:bodyDiv w:val="1"/>
      <w:marLeft w:val="0"/>
      <w:marRight w:val="0"/>
      <w:marTop w:val="0"/>
      <w:marBottom w:val="0"/>
      <w:divBdr>
        <w:top w:val="none" w:sz="0" w:space="0" w:color="auto"/>
        <w:left w:val="none" w:sz="0" w:space="0" w:color="auto"/>
        <w:bottom w:val="none" w:sz="0" w:space="0" w:color="auto"/>
        <w:right w:val="none" w:sz="0" w:space="0" w:color="auto"/>
      </w:divBdr>
    </w:div>
    <w:div w:id="1315328486">
      <w:bodyDiv w:val="1"/>
      <w:marLeft w:val="0"/>
      <w:marRight w:val="0"/>
      <w:marTop w:val="0"/>
      <w:marBottom w:val="0"/>
      <w:divBdr>
        <w:top w:val="none" w:sz="0" w:space="0" w:color="auto"/>
        <w:left w:val="none" w:sz="0" w:space="0" w:color="auto"/>
        <w:bottom w:val="none" w:sz="0" w:space="0" w:color="auto"/>
        <w:right w:val="none" w:sz="0" w:space="0" w:color="auto"/>
      </w:divBdr>
    </w:div>
    <w:div w:id="1488208798">
      <w:bodyDiv w:val="1"/>
      <w:marLeft w:val="0"/>
      <w:marRight w:val="0"/>
      <w:marTop w:val="0"/>
      <w:marBottom w:val="0"/>
      <w:divBdr>
        <w:top w:val="none" w:sz="0" w:space="0" w:color="auto"/>
        <w:left w:val="none" w:sz="0" w:space="0" w:color="auto"/>
        <w:bottom w:val="none" w:sz="0" w:space="0" w:color="auto"/>
        <w:right w:val="none" w:sz="0" w:space="0" w:color="auto"/>
      </w:divBdr>
    </w:div>
    <w:div w:id="1587107888">
      <w:bodyDiv w:val="1"/>
      <w:marLeft w:val="0"/>
      <w:marRight w:val="0"/>
      <w:marTop w:val="0"/>
      <w:marBottom w:val="0"/>
      <w:divBdr>
        <w:top w:val="none" w:sz="0" w:space="0" w:color="auto"/>
        <w:left w:val="none" w:sz="0" w:space="0" w:color="auto"/>
        <w:bottom w:val="none" w:sz="0" w:space="0" w:color="auto"/>
        <w:right w:val="none" w:sz="0" w:space="0" w:color="auto"/>
      </w:divBdr>
    </w:div>
    <w:div w:id="1658147692">
      <w:bodyDiv w:val="1"/>
      <w:marLeft w:val="0"/>
      <w:marRight w:val="0"/>
      <w:marTop w:val="0"/>
      <w:marBottom w:val="0"/>
      <w:divBdr>
        <w:top w:val="none" w:sz="0" w:space="0" w:color="auto"/>
        <w:left w:val="none" w:sz="0" w:space="0" w:color="auto"/>
        <w:bottom w:val="none" w:sz="0" w:space="0" w:color="auto"/>
        <w:right w:val="none" w:sz="0" w:space="0" w:color="auto"/>
      </w:divBdr>
    </w:div>
    <w:div w:id="1701471575">
      <w:bodyDiv w:val="1"/>
      <w:marLeft w:val="0"/>
      <w:marRight w:val="0"/>
      <w:marTop w:val="0"/>
      <w:marBottom w:val="0"/>
      <w:divBdr>
        <w:top w:val="none" w:sz="0" w:space="0" w:color="auto"/>
        <w:left w:val="none" w:sz="0" w:space="0" w:color="auto"/>
        <w:bottom w:val="none" w:sz="0" w:space="0" w:color="auto"/>
        <w:right w:val="none" w:sz="0" w:space="0" w:color="auto"/>
      </w:divBdr>
    </w:div>
    <w:div w:id="1759210134">
      <w:bodyDiv w:val="1"/>
      <w:marLeft w:val="0"/>
      <w:marRight w:val="0"/>
      <w:marTop w:val="0"/>
      <w:marBottom w:val="0"/>
      <w:divBdr>
        <w:top w:val="none" w:sz="0" w:space="0" w:color="auto"/>
        <w:left w:val="none" w:sz="0" w:space="0" w:color="auto"/>
        <w:bottom w:val="none" w:sz="0" w:space="0" w:color="auto"/>
        <w:right w:val="none" w:sz="0" w:space="0" w:color="auto"/>
      </w:divBdr>
    </w:div>
    <w:div w:id="1845315031">
      <w:bodyDiv w:val="1"/>
      <w:marLeft w:val="0"/>
      <w:marRight w:val="0"/>
      <w:marTop w:val="0"/>
      <w:marBottom w:val="0"/>
      <w:divBdr>
        <w:top w:val="none" w:sz="0" w:space="0" w:color="auto"/>
        <w:left w:val="none" w:sz="0" w:space="0" w:color="auto"/>
        <w:bottom w:val="none" w:sz="0" w:space="0" w:color="auto"/>
        <w:right w:val="none" w:sz="0" w:space="0" w:color="auto"/>
      </w:divBdr>
    </w:div>
    <w:div w:id="1927494657">
      <w:bodyDiv w:val="1"/>
      <w:marLeft w:val="0"/>
      <w:marRight w:val="0"/>
      <w:marTop w:val="0"/>
      <w:marBottom w:val="0"/>
      <w:divBdr>
        <w:top w:val="none" w:sz="0" w:space="0" w:color="auto"/>
        <w:left w:val="none" w:sz="0" w:space="0" w:color="auto"/>
        <w:bottom w:val="none" w:sz="0" w:space="0" w:color="auto"/>
        <w:right w:val="none" w:sz="0" w:space="0" w:color="auto"/>
      </w:divBdr>
      <w:divsChild>
        <w:div w:id="1242570311">
          <w:marLeft w:val="0"/>
          <w:marRight w:val="0"/>
          <w:marTop w:val="0"/>
          <w:marBottom w:val="0"/>
          <w:divBdr>
            <w:top w:val="none" w:sz="0" w:space="0" w:color="auto"/>
            <w:left w:val="none" w:sz="0" w:space="0" w:color="auto"/>
            <w:bottom w:val="none" w:sz="0" w:space="0" w:color="auto"/>
            <w:right w:val="none" w:sz="0" w:space="0" w:color="auto"/>
          </w:divBdr>
        </w:div>
        <w:div w:id="253829050">
          <w:marLeft w:val="0"/>
          <w:marRight w:val="0"/>
          <w:marTop w:val="0"/>
          <w:marBottom w:val="0"/>
          <w:divBdr>
            <w:top w:val="none" w:sz="0" w:space="0" w:color="auto"/>
            <w:left w:val="none" w:sz="0" w:space="0" w:color="auto"/>
            <w:bottom w:val="none" w:sz="0" w:space="0" w:color="auto"/>
            <w:right w:val="none" w:sz="0" w:space="0" w:color="auto"/>
          </w:divBdr>
        </w:div>
        <w:div w:id="869805254">
          <w:marLeft w:val="0"/>
          <w:marRight w:val="0"/>
          <w:marTop w:val="0"/>
          <w:marBottom w:val="0"/>
          <w:divBdr>
            <w:top w:val="none" w:sz="0" w:space="0" w:color="auto"/>
            <w:left w:val="none" w:sz="0" w:space="0" w:color="auto"/>
            <w:bottom w:val="none" w:sz="0" w:space="0" w:color="auto"/>
            <w:right w:val="none" w:sz="0" w:space="0" w:color="auto"/>
          </w:divBdr>
        </w:div>
        <w:div w:id="1309095123">
          <w:marLeft w:val="0"/>
          <w:marRight w:val="0"/>
          <w:marTop w:val="0"/>
          <w:marBottom w:val="0"/>
          <w:divBdr>
            <w:top w:val="none" w:sz="0" w:space="0" w:color="auto"/>
            <w:left w:val="none" w:sz="0" w:space="0" w:color="auto"/>
            <w:bottom w:val="none" w:sz="0" w:space="0" w:color="auto"/>
            <w:right w:val="none" w:sz="0" w:space="0" w:color="auto"/>
          </w:divBdr>
        </w:div>
        <w:div w:id="667682215">
          <w:marLeft w:val="0"/>
          <w:marRight w:val="0"/>
          <w:marTop w:val="0"/>
          <w:marBottom w:val="0"/>
          <w:divBdr>
            <w:top w:val="none" w:sz="0" w:space="0" w:color="auto"/>
            <w:left w:val="none" w:sz="0" w:space="0" w:color="auto"/>
            <w:bottom w:val="none" w:sz="0" w:space="0" w:color="auto"/>
            <w:right w:val="none" w:sz="0" w:space="0" w:color="auto"/>
          </w:divBdr>
        </w:div>
        <w:div w:id="1663504500">
          <w:marLeft w:val="0"/>
          <w:marRight w:val="0"/>
          <w:marTop w:val="0"/>
          <w:marBottom w:val="0"/>
          <w:divBdr>
            <w:top w:val="none" w:sz="0" w:space="0" w:color="auto"/>
            <w:left w:val="none" w:sz="0" w:space="0" w:color="auto"/>
            <w:bottom w:val="none" w:sz="0" w:space="0" w:color="auto"/>
            <w:right w:val="none" w:sz="0" w:space="0" w:color="auto"/>
          </w:divBdr>
        </w:div>
        <w:div w:id="1123815037">
          <w:marLeft w:val="0"/>
          <w:marRight w:val="0"/>
          <w:marTop w:val="0"/>
          <w:marBottom w:val="0"/>
          <w:divBdr>
            <w:top w:val="none" w:sz="0" w:space="0" w:color="auto"/>
            <w:left w:val="none" w:sz="0" w:space="0" w:color="auto"/>
            <w:bottom w:val="none" w:sz="0" w:space="0" w:color="auto"/>
            <w:right w:val="none" w:sz="0" w:space="0" w:color="auto"/>
          </w:divBdr>
        </w:div>
        <w:div w:id="1635600683">
          <w:marLeft w:val="0"/>
          <w:marRight w:val="0"/>
          <w:marTop w:val="0"/>
          <w:marBottom w:val="0"/>
          <w:divBdr>
            <w:top w:val="none" w:sz="0" w:space="0" w:color="auto"/>
            <w:left w:val="none" w:sz="0" w:space="0" w:color="auto"/>
            <w:bottom w:val="none" w:sz="0" w:space="0" w:color="auto"/>
            <w:right w:val="none" w:sz="0" w:space="0" w:color="auto"/>
          </w:divBdr>
        </w:div>
        <w:div w:id="146821041">
          <w:marLeft w:val="0"/>
          <w:marRight w:val="0"/>
          <w:marTop w:val="0"/>
          <w:marBottom w:val="0"/>
          <w:divBdr>
            <w:top w:val="none" w:sz="0" w:space="0" w:color="auto"/>
            <w:left w:val="none" w:sz="0" w:space="0" w:color="auto"/>
            <w:bottom w:val="none" w:sz="0" w:space="0" w:color="auto"/>
            <w:right w:val="none" w:sz="0" w:space="0" w:color="auto"/>
          </w:divBdr>
        </w:div>
        <w:div w:id="1721519426">
          <w:marLeft w:val="0"/>
          <w:marRight w:val="0"/>
          <w:marTop w:val="0"/>
          <w:marBottom w:val="0"/>
          <w:divBdr>
            <w:top w:val="none" w:sz="0" w:space="0" w:color="auto"/>
            <w:left w:val="none" w:sz="0" w:space="0" w:color="auto"/>
            <w:bottom w:val="none" w:sz="0" w:space="0" w:color="auto"/>
            <w:right w:val="none" w:sz="0" w:space="0" w:color="auto"/>
          </w:divBdr>
        </w:div>
        <w:div w:id="2028018036">
          <w:marLeft w:val="0"/>
          <w:marRight w:val="0"/>
          <w:marTop w:val="0"/>
          <w:marBottom w:val="0"/>
          <w:divBdr>
            <w:top w:val="none" w:sz="0" w:space="0" w:color="auto"/>
            <w:left w:val="none" w:sz="0" w:space="0" w:color="auto"/>
            <w:bottom w:val="none" w:sz="0" w:space="0" w:color="auto"/>
            <w:right w:val="none" w:sz="0" w:space="0" w:color="auto"/>
          </w:divBdr>
        </w:div>
        <w:div w:id="142043393">
          <w:marLeft w:val="0"/>
          <w:marRight w:val="0"/>
          <w:marTop w:val="0"/>
          <w:marBottom w:val="0"/>
          <w:divBdr>
            <w:top w:val="none" w:sz="0" w:space="0" w:color="auto"/>
            <w:left w:val="none" w:sz="0" w:space="0" w:color="auto"/>
            <w:bottom w:val="none" w:sz="0" w:space="0" w:color="auto"/>
            <w:right w:val="none" w:sz="0" w:space="0" w:color="auto"/>
          </w:divBdr>
        </w:div>
        <w:div w:id="2097089817">
          <w:marLeft w:val="0"/>
          <w:marRight w:val="0"/>
          <w:marTop w:val="0"/>
          <w:marBottom w:val="0"/>
          <w:divBdr>
            <w:top w:val="none" w:sz="0" w:space="0" w:color="auto"/>
            <w:left w:val="none" w:sz="0" w:space="0" w:color="auto"/>
            <w:bottom w:val="none" w:sz="0" w:space="0" w:color="auto"/>
            <w:right w:val="none" w:sz="0" w:space="0" w:color="auto"/>
          </w:divBdr>
        </w:div>
        <w:div w:id="19863561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2EE8-9084-1945-8376-E7081416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39177</Words>
  <Characters>223312</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261966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Dolgin</dc:creator>
  <cp:lastModifiedBy>Li Ma</cp:lastModifiedBy>
  <cp:revision>3</cp:revision>
  <dcterms:created xsi:type="dcterms:W3CDTF">2019-11-06T19:46:00Z</dcterms:created>
  <dcterms:modified xsi:type="dcterms:W3CDTF">2019-11-06T23:42:00Z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http://csl.mendeley.com/styles/25606081/vancouver-nd-doipmid-superscript</vt:lpwstr>
  </property>
  <property fmtid="{D5CDD505-2E9C-101B-9397-08002B2CF9AE}" pid="4" name="Mendeley Recent Style Id 0_1">
    <vt:lpwstr>http://www.zotero.org/styles/chicago-author-date</vt:lpwstr>
  </property>
  <property fmtid="{D5CDD505-2E9C-101B-9397-08002B2CF9AE}" pid="5" name="Mendeley Recent Style Name 0_1">
    <vt:lpwstr>Chicago Manual of Style 16th edition (author-date)</vt:lpwstr>
  </property>
  <property fmtid="{D5CDD505-2E9C-101B-9397-08002B2CF9AE}" pid="6" name="Mendeley Recent Style Id 1_1">
    <vt:lpwstr>http://www.zotero.org/styles/chicago-fullnote-bibliography</vt:lpwstr>
  </property>
  <property fmtid="{D5CDD505-2E9C-101B-9397-08002B2CF9AE}" pid="7" name="Mendeley Recent Style Name 1_1">
    <vt:lpwstr>Chicago Manual of Style 16th edition (full note)</vt:lpwstr>
  </property>
  <property fmtid="{D5CDD505-2E9C-101B-9397-08002B2CF9AE}" pid="8" name="Mendeley Recent Style Id 2_1">
    <vt:lpwstr>http://www.zotero.org/styles/vancouver</vt:lpwstr>
  </property>
  <property fmtid="{D5CDD505-2E9C-101B-9397-08002B2CF9AE}" pid="9" name="Mendeley Recent Style Name 2_1">
    <vt:lpwstr>Vancouver</vt:lpwstr>
  </property>
  <property fmtid="{D5CDD505-2E9C-101B-9397-08002B2CF9AE}" pid="10" name="Mendeley Recent Style Id 3_1">
    <vt:lpwstr>http://csl.mendeley.com/styles/25606081/vancouver-nd-nodoi-2</vt:lpwstr>
  </property>
  <property fmtid="{D5CDD505-2E9C-101B-9397-08002B2CF9AE}" pid="11" name="Mendeley Recent Style Name 3_1">
    <vt:lpwstr>Vancouver - Natasha - Doi (no access/citation date; no period after journal; period at end) - Natasha Dolgin</vt:lpwstr>
  </property>
  <property fmtid="{D5CDD505-2E9C-101B-9397-08002B2CF9AE}" pid="12" name="Mendeley Recent Style Id 4_1">
    <vt:lpwstr>http://csl.mendeley.com/styles/25606081/vancouver-natasha2</vt:lpwstr>
  </property>
  <property fmtid="{D5CDD505-2E9C-101B-9397-08002B2CF9AE}" pid="13" name="Mendeley Recent Style Name 4_1">
    <vt:lpwstr>Vancouver - Natasha Dolgin2</vt:lpwstr>
  </property>
  <property fmtid="{D5CDD505-2E9C-101B-9397-08002B2CF9AE}" pid="14" name="Mendeley Recent Style Id 5_1">
    <vt:lpwstr>https://csl.mendeley.com/styles/25606081/vancouver-nd-nodoi-2</vt:lpwstr>
  </property>
  <property fmtid="{D5CDD505-2E9C-101B-9397-08002B2CF9AE}" pid="15" name="Mendeley Recent Style Name 5_1">
    <vt:lpwstr>Vancouver-ND-DOIPMID</vt:lpwstr>
  </property>
  <property fmtid="{D5CDD505-2E9C-101B-9397-08002B2CF9AE}" pid="16" name="Mendeley Recent Style Id 6_1">
    <vt:lpwstr>https://csl.mendeley.com/styles/25606081/vancouver-nd-doipmid-superscript-NOPUB</vt:lpwstr>
  </property>
  <property fmtid="{D5CDD505-2E9C-101B-9397-08002B2CF9AE}" pid="17" name="Mendeley Recent Style Name 6_1">
    <vt:lpwstr>Vancouver-ND-doipmid-superscript</vt:lpwstr>
  </property>
  <property fmtid="{D5CDD505-2E9C-101B-9397-08002B2CF9AE}" pid="18" name="Mendeley Recent Style Id 7_1">
    <vt:lpwstr>https://csl.mendeley.com/styles/25606081/vancouver-nd-doipmid-superscript</vt:lpwstr>
  </property>
  <property fmtid="{D5CDD505-2E9C-101B-9397-08002B2CF9AE}" pid="19" name="Mendeley Recent Style Name 7_1">
    <vt:lpwstr>Vancouver-ND-doipmid-superscript</vt:lpwstr>
  </property>
  <property fmtid="{D5CDD505-2E9C-101B-9397-08002B2CF9AE}" pid="20" name="Mendeley Recent Style Id 8_1">
    <vt:lpwstr>http://csl.mendeley.com/styles/25606081/vancouver-nd-doipmid-superscript-NOPUB</vt:lpwstr>
  </property>
  <property fmtid="{D5CDD505-2E9C-101B-9397-08002B2CF9AE}" pid="21" name="Mendeley Recent Style Name 8_1">
    <vt:lpwstr>Vancouver-ND-doipmid-superscript</vt:lpwstr>
  </property>
  <property fmtid="{D5CDD505-2E9C-101B-9397-08002B2CF9AE}" pid="22" name="Mendeley Recent Style Id 9_1">
    <vt:lpwstr>http://csl.mendeley.com/styles/25606081/vancouver-nd-doipmid-superscript</vt:lpwstr>
  </property>
  <property fmtid="{D5CDD505-2E9C-101B-9397-08002B2CF9AE}" pid="23" name="Mendeley Recent Style Name 9_1">
    <vt:lpwstr>Vancouver-ND-doipmid-superscript - Natasha Dolgin</vt:lpwstr>
  </property>
  <property fmtid="{D5CDD505-2E9C-101B-9397-08002B2CF9AE}" pid="24" name="Mendeley Unique User Id_1">
    <vt:lpwstr>b44acfe4-8967-3a7a-a4ac-393842116a2b</vt:lpwstr>
  </property>
</Properties>
</file>