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11E49" w14:textId="3931946F" w:rsidR="005F4A40" w:rsidRPr="00CE170C" w:rsidRDefault="005F4A40" w:rsidP="00CE170C">
      <w:pPr>
        <w:adjustRightInd w:val="0"/>
        <w:snapToGrid w:val="0"/>
        <w:spacing w:line="360" w:lineRule="auto"/>
        <w:rPr>
          <w:rFonts w:ascii="Book Antiqua" w:eastAsia="Book Antiqua" w:hAnsi="Book Antiqua" w:cs="Book Antiqua"/>
          <w:lang w:val="en-US"/>
        </w:rPr>
      </w:pPr>
      <w:r w:rsidRPr="00CE170C">
        <w:rPr>
          <w:rFonts w:ascii="Book Antiqua" w:eastAsia="Book Antiqua" w:hAnsi="Book Antiqua" w:cs="Book Antiqua"/>
          <w:b/>
          <w:color w:val="242021"/>
          <w:lang w:val="en-US"/>
        </w:rPr>
        <w:t>Name of Journal</w:t>
      </w:r>
      <w:r w:rsidRPr="00CE170C">
        <w:rPr>
          <w:rFonts w:ascii="Book Antiqua" w:eastAsia="Book Antiqua" w:hAnsi="Book Antiqua" w:cs="Book Antiqua"/>
          <w:color w:val="242021"/>
          <w:lang w:val="en-US"/>
        </w:rPr>
        <w:t xml:space="preserve">: </w:t>
      </w:r>
      <w:r w:rsidRPr="00CE170C">
        <w:rPr>
          <w:rFonts w:ascii="Book Antiqua" w:eastAsia="Book Antiqua" w:hAnsi="Book Antiqua" w:cs="Book Antiqua"/>
          <w:i/>
          <w:lang w:val="en-US"/>
        </w:rPr>
        <w:t xml:space="preserve">World Journal of </w:t>
      </w:r>
      <w:r w:rsidR="00C357D7" w:rsidRPr="00CE170C">
        <w:rPr>
          <w:rFonts w:ascii="Book Antiqua" w:eastAsia="Book Antiqua" w:hAnsi="Book Antiqua" w:cs="Book Antiqua"/>
          <w:i/>
          <w:lang w:val="en-US"/>
        </w:rPr>
        <w:t>Clinical Cases</w:t>
      </w:r>
    </w:p>
    <w:p w14:paraId="21D3C198" w14:textId="14C44BF2" w:rsidR="005F4A40" w:rsidRPr="00CE170C" w:rsidRDefault="005F4A40" w:rsidP="00CE170C">
      <w:pPr>
        <w:adjustRightInd w:val="0"/>
        <w:snapToGrid w:val="0"/>
        <w:spacing w:line="360" w:lineRule="auto"/>
        <w:jc w:val="both"/>
        <w:rPr>
          <w:rFonts w:ascii="Book Antiqua" w:hAnsi="Book Antiqua" w:cs="Arial"/>
          <w:color w:val="000000"/>
          <w:lang w:val="en"/>
        </w:rPr>
      </w:pPr>
      <w:bookmarkStart w:id="0" w:name="OLE_LINK806"/>
      <w:bookmarkStart w:id="1" w:name="OLE_LINK807"/>
      <w:bookmarkStart w:id="2" w:name="OLE_LINK1218"/>
      <w:bookmarkStart w:id="3" w:name="OLE_LINK1219"/>
      <w:bookmarkStart w:id="4" w:name="OLE_LINK675"/>
      <w:bookmarkStart w:id="5" w:name="OLE_LINK676"/>
      <w:bookmarkStart w:id="6" w:name="OLE_LINK706"/>
      <w:r w:rsidRPr="00CE170C">
        <w:rPr>
          <w:rFonts w:ascii="Book Antiqua" w:hAnsi="Book Antiqua" w:cs="Arial"/>
          <w:b/>
          <w:color w:val="000000"/>
          <w:lang w:val="en"/>
        </w:rPr>
        <w:t>Manuscript NO:</w:t>
      </w:r>
      <w:bookmarkEnd w:id="0"/>
      <w:bookmarkEnd w:id="1"/>
      <w:r w:rsidRPr="00CE170C">
        <w:rPr>
          <w:rFonts w:ascii="Book Antiqua" w:hAnsi="Book Antiqua" w:cs="Arial"/>
          <w:b/>
          <w:color w:val="000000"/>
          <w:lang w:val="en"/>
        </w:rPr>
        <w:t xml:space="preserve"> </w:t>
      </w:r>
      <w:bookmarkEnd w:id="2"/>
      <w:bookmarkEnd w:id="3"/>
      <w:bookmarkEnd w:id="4"/>
      <w:bookmarkEnd w:id="5"/>
      <w:bookmarkEnd w:id="6"/>
      <w:r w:rsidR="00C357D7" w:rsidRPr="00CE170C">
        <w:rPr>
          <w:rFonts w:ascii="Book Antiqua" w:hAnsi="Book Antiqua" w:cs="Arial"/>
          <w:color w:val="000000"/>
          <w:lang w:val="en"/>
        </w:rPr>
        <w:t>47931</w:t>
      </w:r>
    </w:p>
    <w:p w14:paraId="53B6AD59" w14:textId="79D2A3A0" w:rsidR="005F4A40" w:rsidRPr="00CE170C" w:rsidRDefault="005F4A40" w:rsidP="00CE170C">
      <w:pPr>
        <w:adjustRightInd w:val="0"/>
        <w:snapToGrid w:val="0"/>
        <w:spacing w:line="360" w:lineRule="auto"/>
        <w:jc w:val="both"/>
        <w:rPr>
          <w:rFonts w:ascii="Book Antiqua" w:hAnsi="Book Antiqua" w:cs="Arial"/>
          <w:color w:val="000000"/>
          <w:lang w:val="en-US" w:eastAsia="zh-CN"/>
        </w:rPr>
      </w:pPr>
      <w:r w:rsidRPr="00CE170C">
        <w:rPr>
          <w:rFonts w:ascii="Book Antiqua" w:eastAsia="Book Antiqua" w:hAnsi="Book Antiqua" w:cs="Book Antiqua"/>
          <w:b/>
          <w:color w:val="242021"/>
          <w:lang w:val="en-US"/>
        </w:rPr>
        <w:t>Manuscript Type:</w:t>
      </w:r>
      <w:r w:rsidR="00091C0C" w:rsidRPr="00CE170C">
        <w:rPr>
          <w:rFonts w:ascii="Book Antiqua" w:eastAsia="Book Antiqua" w:hAnsi="Book Antiqua" w:cs="Book Antiqua"/>
          <w:color w:val="242021"/>
          <w:lang w:val="en-US"/>
        </w:rPr>
        <w:t xml:space="preserve"> </w:t>
      </w:r>
      <w:r w:rsidR="00091C0C" w:rsidRPr="00CE170C">
        <w:rPr>
          <w:rFonts w:ascii="Book Antiqua" w:eastAsia="Book Antiqua" w:hAnsi="Book Antiqua" w:cs="Book Antiqua"/>
          <w:color w:val="000000"/>
          <w:lang w:val="en-US"/>
        </w:rPr>
        <w:t>CASE REPORT</w:t>
      </w:r>
    </w:p>
    <w:p w14:paraId="35128FAB" w14:textId="77777777" w:rsidR="00437C8A" w:rsidRPr="00CE170C" w:rsidRDefault="00437C8A" w:rsidP="00CE170C">
      <w:pPr>
        <w:adjustRightInd w:val="0"/>
        <w:snapToGrid w:val="0"/>
        <w:spacing w:line="360" w:lineRule="auto"/>
        <w:jc w:val="both"/>
        <w:rPr>
          <w:rFonts w:ascii="Book Antiqua" w:eastAsia="Book Antiqua" w:hAnsi="Book Antiqua" w:cs="Book Antiqua"/>
          <w:color w:val="000000"/>
          <w:lang w:val="en-US"/>
        </w:rPr>
      </w:pPr>
    </w:p>
    <w:p w14:paraId="222513F6" w14:textId="3F3A27B8" w:rsidR="005F4A40" w:rsidRPr="00CE170C" w:rsidRDefault="00437C8A" w:rsidP="00CE170C">
      <w:pPr>
        <w:adjustRightInd w:val="0"/>
        <w:snapToGrid w:val="0"/>
        <w:spacing w:line="360" w:lineRule="auto"/>
        <w:jc w:val="both"/>
        <w:rPr>
          <w:rFonts w:ascii="Book Antiqua" w:hAnsi="Book Antiqua" w:cs="Book Antiqua"/>
          <w:b/>
          <w:lang w:val="en-US" w:eastAsia="zh-CN"/>
        </w:rPr>
      </w:pPr>
      <w:r w:rsidRPr="00CE170C">
        <w:rPr>
          <w:rFonts w:ascii="Book Antiqua" w:eastAsia="Book Antiqua" w:hAnsi="Book Antiqua" w:cs="Book Antiqua"/>
          <w:b/>
          <w:lang w:val="en-US"/>
        </w:rPr>
        <w:t>A</w:t>
      </w:r>
      <w:r w:rsidR="00836DC1" w:rsidRPr="00CE170C">
        <w:rPr>
          <w:rFonts w:ascii="Book Antiqua" w:eastAsia="Book Antiqua" w:hAnsi="Book Antiqua" w:cs="Book Antiqua"/>
          <w:b/>
          <w:lang w:val="en-US"/>
        </w:rPr>
        <w:t xml:space="preserve">cute bleeding after argon plasma coagulation for weight regain after gastric bypass: A case report </w:t>
      </w:r>
    </w:p>
    <w:p w14:paraId="037B9C0A" w14:textId="77777777" w:rsidR="005F4A40" w:rsidRPr="00CE170C" w:rsidRDefault="005F4A40" w:rsidP="00CE170C">
      <w:pPr>
        <w:adjustRightInd w:val="0"/>
        <w:snapToGrid w:val="0"/>
        <w:spacing w:line="360" w:lineRule="auto"/>
        <w:jc w:val="both"/>
        <w:rPr>
          <w:rFonts w:ascii="Book Antiqua" w:hAnsi="Book Antiqua" w:cs="Book Antiqua"/>
          <w:lang w:val="en-US" w:eastAsia="zh-CN"/>
        </w:rPr>
      </w:pPr>
    </w:p>
    <w:p w14:paraId="5D66D749" w14:textId="756DAF55" w:rsidR="008933FE" w:rsidRPr="00CE170C" w:rsidRDefault="004A41F9" w:rsidP="00CE170C">
      <w:pPr>
        <w:adjustRightInd w:val="0"/>
        <w:snapToGrid w:val="0"/>
        <w:spacing w:line="360" w:lineRule="auto"/>
        <w:jc w:val="both"/>
        <w:rPr>
          <w:rFonts w:ascii="Book Antiqua" w:hAnsi="Book Antiqua" w:cs="Book Antiqua"/>
          <w:color w:val="000000"/>
          <w:lang w:val="en-US" w:eastAsia="zh-CN"/>
        </w:rPr>
      </w:pPr>
      <w:r w:rsidRPr="00CE170C">
        <w:rPr>
          <w:rFonts w:ascii="Book Antiqua" w:eastAsia="Book Antiqua" w:hAnsi="Book Antiqua" w:cs="Book Antiqua"/>
          <w:color w:val="000000"/>
          <w:lang w:val="en-US"/>
        </w:rPr>
        <w:t>de Moura DTH</w:t>
      </w:r>
      <w:r w:rsidR="005F4A40" w:rsidRPr="00CE170C">
        <w:rPr>
          <w:rFonts w:ascii="Book Antiqua" w:hAnsi="Book Antiqua" w:cs="Book Antiqua"/>
          <w:color w:val="000000"/>
          <w:lang w:val="en-US" w:eastAsia="zh-CN"/>
        </w:rPr>
        <w:t xml:space="preserve"> </w:t>
      </w:r>
      <w:r w:rsidR="005F4A40" w:rsidRPr="00CE170C">
        <w:rPr>
          <w:rFonts w:ascii="Book Antiqua" w:hAnsi="Book Antiqua" w:cs="Book Antiqua"/>
          <w:i/>
          <w:color w:val="000000"/>
          <w:lang w:val="en-US" w:eastAsia="zh-CN"/>
        </w:rPr>
        <w:t>et al</w:t>
      </w:r>
      <w:r w:rsidR="00603F4A">
        <w:rPr>
          <w:rFonts w:ascii="Book Antiqua" w:hAnsi="Book Antiqua" w:cs="Book Antiqua"/>
          <w:i/>
          <w:color w:val="000000"/>
          <w:lang w:val="en-US" w:eastAsia="zh-CN"/>
        </w:rPr>
        <w:t>.</w:t>
      </w:r>
      <w:r w:rsidR="005F4A40" w:rsidRPr="00CE170C">
        <w:rPr>
          <w:rFonts w:ascii="Book Antiqua" w:hAnsi="Book Antiqua" w:cs="Book Antiqua"/>
          <w:color w:val="000000"/>
          <w:lang w:val="en-US" w:eastAsia="zh-CN"/>
        </w:rPr>
        <w:t xml:space="preserve"> </w:t>
      </w:r>
      <w:r w:rsidRPr="00CE170C">
        <w:rPr>
          <w:rFonts w:ascii="Book Antiqua" w:hAnsi="Book Antiqua" w:cs="Book Antiqua"/>
          <w:color w:val="000000"/>
          <w:lang w:val="en-US" w:eastAsia="zh-CN"/>
        </w:rPr>
        <w:t>A</w:t>
      </w:r>
      <w:r w:rsidR="00836DC1" w:rsidRPr="00CE170C">
        <w:rPr>
          <w:rFonts w:ascii="Book Antiqua" w:hAnsi="Book Antiqua" w:cs="Book Antiqua"/>
          <w:color w:val="000000"/>
          <w:lang w:val="en-US" w:eastAsia="zh-CN"/>
        </w:rPr>
        <w:t>cute bleeding after argon plasma coagulation for weight regain after gastric bypass</w:t>
      </w:r>
    </w:p>
    <w:p w14:paraId="2E0D0845" w14:textId="77777777" w:rsidR="004A41F9" w:rsidRPr="00CE170C" w:rsidRDefault="004A41F9" w:rsidP="00CE170C">
      <w:pPr>
        <w:adjustRightInd w:val="0"/>
        <w:snapToGrid w:val="0"/>
        <w:spacing w:line="360" w:lineRule="auto"/>
        <w:jc w:val="both"/>
        <w:rPr>
          <w:rFonts w:ascii="Book Antiqua" w:hAnsi="Book Antiqua" w:cs="Book Antiqua"/>
          <w:lang w:val="en-US" w:eastAsia="zh-CN"/>
        </w:rPr>
      </w:pPr>
    </w:p>
    <w:p w14:paraId="005B3C7E" w14:textId="19EB80F0" w:rsidR="008933FE" w:rsidRPr="00CE170C" w:rsidRDefault="00C357D7" w:rsidP="00CE170C">
      <w:pPr>
        <w:adjustRightInd w:val="0"/>
        <w:snapToGrid w:val="0"/>
        <w:spacing w:line="360" w:lineRule="auto"/>
        <w:jc w:val="both"/>
        <w:rPr>
          <w:rFonts w:ascii="Book Antiqua" w:eastAsia="Book Antiqua" w:hAnsi="Book Antiqua" w:cs="Book Antiqua"/>
          <w:color w:val="000000"/>
          <w:lang w:val="en-US"/>
        </w:rPr>
      </w:pPr>
      <w:r w:rsidRPr="00CE170C">
        <w:rPr>
          <w:rFonts w:ascii="Book Antiqua" w:eastAsia="Book Antiqua" w:hAnsi="Book Antiqua" w:cs="Book Antiqua"/>
          <w:color w:val="000000"/>
          <w:lang w:val="en-US"/>
        </w:rPr>
        <w:t>Diogo Turiani Hourneaux de Moura</w:t>
      </w:r>
      <w:r w:rsidR="00836DC1" w:rsidRPr="00CE170C">
        <w:rPr>
          <w:rFonts w:ascii="Book Antiqua" w:eastAsia="Book Antiqua" w:hAnsi="Book Antiqua" w:cs="Book Antiqua"/>
          <w:color w:val="000000"/>
          <w:lang w:val="en-US"/>
        </w:rPr>
        <w:t>,</w:t>
      </w:r>
      <w:r w:rsidRPr="00CE170C">
        <w:rPr>
          <w:rFonts w:ascii="Book Antiqua" w:eastAsia="Book Antiqua" w:hAnsi="Book Antiqua" w:cs="Book Antiqua"/>
          <w:color w:val="000000"/>
          <w:lang w:val="en-US"/>
        </w:rPr>
        <w:t xml:space="preserve"> Amit H</w:t>
      </w:r>
      <w:r w:rsidR="00836DC1" w:rsidRPr="00CE170C">
        <w:rPr>
          <w:rFonts w:ascii="Book Antiqua" w:eastAsia="Book Antiqua" w:hAnsi="Book Antiqua" w:cs="Book Antiqua"/>
          <w:color w:val="000000"/>
          <w:lang w:val="en-US"/>
        </w:rPr>
        <w:t xml:space="preserve"> </w:t>
      </w:r>
      <w:r w:rsidRPr="00CE170C">
        <w:rPr>
          <w:rFonts w:ascii="Book Antiqua" w:eastAsia="Book Antiqua" w:hAnsi="Book Antiqua" w:cs="Book Antiqua"/>
          <w:color w:val="000000"/>
          <w:lang w:val="en-US"/>
        </w:rPr>
        <w:t>Sachdev</w:t>
      </w:r>
      <w:r w:rsidR="00836DC1" w:rsidRPr="00CE170C">
        <w:rPr>
          <w:rFonts w:ascii="Book Antiqua" w:eastAsia="Book Antiqua" w:hAnsi="Book Antiqua" w:cs="Book Antiqua"/>
          <w:color w:val="000000"/>
          <w:lang w:val="en-US"/>
        </w:rPr>
        <w:t>,</w:t>
      </w:r>
      <w:r w:rsidRPr="00CE170C">
        <w:rPr>
          <w:rFonts w:ascii="Book Antiqua" w:eastAsia="Book Antiqua" w:hAnsi="Book Antiqua" w:cs="Book Antiqua"/>
          <w:color w:val="000000"/>
          <w:lang w:val="en-US"/>
        </w:rPr>
        <w:t xml:space="preserve"> </w:t>
      </w:r>
      <w:r w:rsidR="005238FB" w:rsidRPr="00CE170C">
        <w:rPr>
          <w:rFonts w:ascii="Book Antiqua" w:eastAsia="Book Antiqua" w:hAnsi="Book Antiqua" w:cs="Book Antiqua"/>
          <w:color w:val="000000"/>
          <w:lang w:val="en-US"/>
        </w:rPr>
        <w:t>Powen Lu</w:t>
      </w:r>
      <w:r w:rsidR="00836DC1" w:rsidRPr="00CE170C">
        <w:rPr>
          <w:rFonts w:ascii="Book Antiqua" w:eastAsia="Book Antiqua" w:hAnsi="Book Antiqua" w:cs="Book Antiqua"/>
          <w:color w:val="000000"/>
          <w:lang w:val="en-US"/>
        </w:rPr>
        <w:t xml:space="preserve">, </w:t>
      </w:r>
      <w:r w:rsidRPr="00CE170C">
        <w:rPr>
          <w:rFonts w:ascii="Book Antiqua" w:eastAsia="Book Antiqua" w:hAnsi="Book Antiqua" w:cs="Book Antiqua"/>
          <w:color w:val="000000"/>
          <w:lang w:val="en-US"/>
        </w:rPr>
        <w:t>Igor Braga Ribeiro</w:t>
      </w:r>
      <w:r w:rsidR="00836DC1" w:rsidRPr="00CE170C">
        <w:rPr>
          <w:rFonts w:ascii="Book Antiqua" w:eastAsia="Book Antiqua" w:hAnsi="Book Antiqua" w:cs="Book Antiqua"/>
          <w:color w:val="000000"/>
          <w:lang w:val="en-US"/>
        </w:rPr>
        <w:t>,</w:t>
      </w:r>
      <w:r w:rsidRPr="00CE170C">
        <w:rPr>
          <w:rFonts w:ascii="Book Antiqua" w:eastAsia="Book Antiqua" w:hAnsi="Book Antiqua" w:cs="Book Antiqua"/>
          <w:color w:val="000000"/>
          <w:lang w:val="en-US"/>
        </w:rPr>
        <w:t xml:space="preserve"> Christopher C</w:t>
      </w:r>
      <w:r w:rsidR="00836DC1" w:rsidRPr="00CE170C">
        <w:rPr>
          <w:rFonts w:ascii="Book Antiqua" w:eastAsia="Book Antiqua" w:hAnsi="Book Antiqua" w:cs="Book Antiqua"/>
          <w:color w:val="000000"/>
          <w:lang w:val="en-US"/>
        </w:rPr>
        <w:t xml:space="preserve"> </w:t>
      </w:r>
      <w:r w:rsidRPr="00CE170C">
        <w:rPr>
          <w:rFonts w:ascii="Book Antiqua" w:eastAsia="Book Antiqua" w:hAnsi="Book Antiqua" w:cs="Book Antiqua"/>
          <w:color w:val="000000"/>
          <w:lang w:val="en-US"/>
        </w:rPr>
        <w:t>Thompson</w:t>
      </w:r>
    </w:p>
    <w:p w14:paraId="2EA21D0E" w14:textId="77777777" w:rsidR="00C357D7" w:rsidRPr="00CE170C" w:rsidRDefault="00C357D7" w:rsidP="00CE170C">
      <w:pPr>
        <w:adjustRightInd w:val="0"/>
        <w:snapToGrid w:val="0"/>
        <w:spacing w:line="360" w:lineRule="auto"/>
        <w:jc w:val="both"/>
        <w:rPr>
          <w:rFonts w:ascii="Book Antiqua" w:hAnsi="Book Antiqua" w:cs="Book Antiqua"/>
          <w:color w:val="000000"/>
          <w:lang w:val="en-US" w:eastAsia="zh-CN"/>
        </w:rPr>
      </w:pPr>
    </w:p>
    <w:p w14:paraId="6E821C59" w14:textId="05A35542" w:rsidR="00C357D7" w:rsidRPr="00CE170C" w:rsidRDefault="00C357D7" w:rsidP="00CE170C">
      <w:pPr>
        <w:pBdr>
          <w:top w:val="nil"/>
          <w:left w:val="nil"/>
          <w:bottom w:val="nil"/>
          <w:right w:val="nil"/>
          <w:between w:val="nil"/>
        </w:pBdr>
        <w:adjustRightInd w:val="0"/>
        <w:snapToGrid w:val="0"/>
        <w:spacing w:line="360" w:lineRule="auto"/>
        <w:jc w:val="both"/>
        <w:rPr>
          <w:rFonts w:ascii="Book Antiqua" w:eastAsia="Book Antiqua" w:hAnsi="Book Antiqua" w:cs="Book Antiqua"/>
          <w:noProof/>
          <w:color w:val="242021"/>
          <w:lang w:val="en-US"/>
        </w:rPr>
      </w:pPr>
      <w:r w:rsidRPr="00CE170C">
        <w:rPr>
          <w:rFonts w:ascii="Book Antiqua" w:eastAsia="Book Antiqua" w:hAnsi="Book Antiqua" w:cs="Book Antiqua"/>
          <w:b/>
          <w:noProof/>
          <w:color w:val="000000"/>
          <w:lang w:val="en-US"/>
        </w:rPr>
        <w:t>Diogo Turiani Hourneaux de Moura, Amit H</w:t>
      </w:r>
      <w:r w:rsidR="00836DC1" w:rsidRPr="00CE170C">
        <w:rPr>
          <w:rFonts w:ascii="Book Antiqua" w:eastAsia="Book Antiqua" w:hAnsi="Book Antiqua" w:cs="Book Antiqua"/>
          <w:b/>
          <w:noProof/>
          <w:color w:val="000000"/>
          <w:lang w:val="en-US"/>
        </w:rPr>
        <w:t xml:space="preserve"> </w:t>
      </w:r>
      <w:r w:rsidRPr="00CE170C">
        <w:rPr>
          <w:rFonts w:ascii="Book Antiqua" w:eastAsia="Book Antiqua" w:hAnsi="Book Antiqua" w:cs="Book Antiqua"/>
          <w:b/>
          <w:noProof/>
          <w:color w:val="000000"/>
          <w:lang w:val="en-US"/>
        </w:rPr>
        <w:t>Sachdev, Christopher C</w:t>
      </w:r>
      <w:r w:rsidR="00836DC1" w:rsidRPr="00CE170C">
        <w:rPr>
          <w:rFonts w:ascii="Book Antiqua" w:eastAsia="Book Antiqua" w:hAnsi="Book Antiqua" w:cs="Book Antiqua"/>
          <w:b/>
          <w:noProof/>
          <w:color w:val="000000"/>
          <w:lang w:val="en-US"/>
        </w:rPr>
        <w:t xml:space="preserve"> </w:t>
      </w:r>
      <w:r w:rsidRPr="00CE170C">
        <w:rPr>
          <w:rFonts w:ascii="Book Antiqua" w:eastAsia="Book Antiqua" w:hAnsi="Book Antiqua" w:cs="Book Antiqua"/>
          <w:b/>
          <w:noProof/>
          <w:color w:val="000000"/>
          <w:lang w:val="en-US"/>
        </w:rPr>
        <w:t>Thompson,</w:t>
      </w:r>
      <w:r w:rsidRPr="00CE170C">
        <w:rPr>
          <w:rFonts w:ascii="Book Antiqua" w:eastAsia="Book Antiqua" w:hAnsi="Book Antiqua" w:cs="Book Antiqua"/>
          <w:noProof/>
          <w:color w:val="242021"/>
          <w:lang w:val="en-US"/>
        </w:rPr>
        <w:t xml:space="preserve"> Division of Gastroenterology, Hepatology and Endoscopy</w:t>
      </w:r>
      <w:r w:rsidR="009461A9" w:rsidRPr="00CE170C">
        <w:rPr>
          <w:rFonts w:ascii="Book Antiqua" w:eastAsia="Book Antiqua" w:hAnsi="Book Antiqua" w:cs="Book Antiqua"/>
          <w:noProof/>
          <w:color w:val="242021"/>
          <w:lang w:val="en-US"/>
        </w:rPr>
        <w:t xml:space="preserve">, </w:t>
      </w:r>
      <w:r w:rsidRPr="00CE170C">
        <w:rPr>
          <w:rFonts w:ascii="Book Antiqua" w:eastAsia="Book Antiqua" w:hAnsi="Book Antiqua" w:cs="Book Antiqua"/>
          <w:noProof/>
          <w:color w:val="242021"/>
          <w:lang w:val="en-US"/>
        </w:rPr>
        <w:t>Brigham and Women’s Hospital</w:t>
      </w:r>
      <w:r w:rsidR="009461A9" w:rsidRPr="00CE170C">
        <w:rPr>
          <w:rFonts w:ascii="Book Antiqua" w:eastAsia="Book Antiqua" w:hAnsi="Book Antiqua" w:cs="Book Antiqua"/>
          <w:noProof/>
          <w:color w:val="242021"/>
          <w:lang w:val="en-US"/>
        </w:rPr>
        <w:t xml:space="preserve">, </w:t>
      </w:r>
      <w:r w:rsidRPr="00CE170C">
        <w:rPr>
          <w:rFonts w:ascii="Book Antiqua" w:eastAsia="Book Antiqua" w:hAnsi="Book Antiqua" w:cs="Book Antiqua"/>
          <w:noProof/>
          <w:color w:val="242021"/>
          <w:lang w:val="en-US"/>
        </w:rPr>
        <w:t>Harvard Medical School,  Boston, MA</w:t>
      </w:r>
      <w:r w:rsidR="009461A9" w:rsidRPr="00CE170C">
        <w:rPr>
          <w:rFonts w:ascii="Book Antiqua" w:eastAsia="Book Antiqua" w:hAnsi="Book Antiqua" w:cs="Book Antiqua"/>
          <w:noProof/>
          <w:color w:val="242021"/>
          <w:lang w:val="en-US"/>
        </w:rPr>
        <w:t xml:space="preserve"> 02115</w:t>
      </w:r>
      <w:r w:rsidRPr="00CE170C">
        <w:rPr>
          <w:rFonts w:ascii="Book Antiqua" w:eastAsia="Book Antiqua" w:hAnsi="Book Antiqua" w:cs="Book Antiqua"/>
          <w:noProof/>
          <w:color w:val="242021"/>
          <w:lang w:val="en-US"/>
        </w:rPr>
        <w:t>, United States</w:t>
      </w:r>
    </w:p>
    <w:p w14:paraId="6FA586AE" w14:textId="77777777" w:rsidR="005F4A40" w:rsidRPr="00CE170C" w:rsidRDefault="005F4A40" w:rsidP="00CE170C">
      <w:pPr>
        <w:adjustRightInd w:val="0"/>
        <w:snapToGrid w:val="0"/>
        <w:spacing w:line="360" w:lineRule="auto"/>
        <w:jc w:val="both"/>
        <w:rPr>
          <w:rFonts w:ascii="Book Antiqua" w:hAnsi="Book Antiqua" w:cs="Book Antiqua"/>
          <w:b/>
          <w:color w:val="000000"/>
          <w:lang w:val="en-US" w:eastAsia="zh-CN"/>
        </w:rPr>
      </w:pPr>
    </w:p>
    <w:p w14:paraId="2AB08114" w14:textId="269A49EE" w:rsidR="00836DC1" w:rsidRPr="00CE170C" w:rsidRDefault="00836DC1" w:rsidP="00CE170C">
      <w:pPr>
        <w:adjustRightInd w:val="0"/>
        <w:snapToGrid w:val="0"/>
        <w:spacing w:line="360" w:lineRule="auto"/>
        <w:jc w:val="both"/>
        <w:rPr>
          <w:rFonts w:ascii="Book Antiqua" w:hAnsi="Book Antiqua" w:cs="Book Antiqua"/>
          <w:noProof/>
          <w:color w:val="242021"/>
          <w:lang w:eastAsia="zh-CN"/>
        </w:rPr>
      </w:pPr>
      <w:r w:rsidRPr="00CE170C">
        <w:rPr>
          <w:rFonts w:ascii="Book Antiqua" w:eastAsia="Book Antiqua" w:hAnsi="Book Antiqua" w:cs="Book Antiqua"/>
          <w:b/>
          <w:noProof/>
          <w:color w:val="000000"/>
          <w:lang w:val="en-US"/>
        </w:rPr>
        <w:t>Diogo Turiani Hourneaux de Moura</w:t>
      </w:r>
      <w:r w:rsidRPr="00CE170C">
        <w:rPr>
          <w:rFonts w:ascii="Book Antiqua" w:eastAsia="Book Antiqua" w:hAnsi="Book Antiqua" w:cs="Book Antiqua"/>
          <w:b/>
          <w:noProof/>
          <w:color w:val="000000"/>
        </w:rPr>
        <w:t>, Igor Braga Ribeiro</w:t>
      </w:r>
      <w:r w:rsidRPr="00CE170C">
        <w:rPr>
          <w:rFonts w:ascii="Book Antiqua" w:hAnsi="Book Antiqua" w:cs="Book Antiqua"/>
          <w:b/>
          <w:noProof/>
          <w:color w:val="000000"/>
          <w:lang w:eastAsia="zh-CN"/>
        </w:rPr>
        <w:t xml:space="preserve">, </w:t>
      </w:r>
      <w:r w:rsidRPr="00CE170C">
        <w:rPr>
          <w:rFonts w:ascii="Book Antiqua" w:eastAsia="Book Antiqua" w:hAnsi="Book Antiqua" w:cs="Book Antiqua"/>
          <w:noProof/>
          <w:color w:val="242021"/>
        </w:rPr>
        <w:t>Department of Gastroenterology</w:t>
      </w:r>
      <w:r w:rsidR="008347C9" w:rsidRPr="00CE170C">
        <w:rPr>
          <w:rFonts w:ascii="Book Antiqua" w:eastAsia="Book Antiqua" w:hAnsi="Book Antiqua" w:cs="Book Antiqua"/>
          <w:noProof/>
          <w:color w:val="242021"/>
        </w:rPr>
        <w:t xml:space="preserve">, </w:t>
      </w:r>
      <w:r w:rsidRPr="00CE170C">
        <w:rPr>
          <w:rFonts w:ascii="Book Antiqua" w:eastAsia="Book Antiqua" w:hAnsi="Book Antiqua" w:cs="Book Antiqua"/>
          <w:noProof/>
          <w:color w:val="242021"/>
        </w:rPr>
        <w:t xml:space="preserve">Clinics Hospital of </w:t>
      </w:r>
      <w:r w:rsidRPr="00CE170C">
        <w:rPr>
          <w:rFonts w:ascii="Book Antiqua" w:eastAsia="Book Antiqua" w:hAnsi="Book Antiqua" w:cs="Book Antiqua"/>
          <w:noProof/>
          <w:color w:val="000000"/>
        </w:rPr>
        <w:t>São Paulo University</w:t>
      </w:r>
      <w:r w:rsidRPr="00CE170C">
        <w:rPr>
          <w:rFonts w:ascii="Book Antiqua" w:eastAsia="Book Antiqua" w:hAnsi="Book Antiqua" w:cs="Book Antiqua"/>
          <w:noProof/>
          <w:color w:val="242021"/>
        </w:rPr>
        <w:t>, São Paulo 05403-00, Brazil</w:t>
      </w:r>
    </w:p>
    <w:p w14:paraId="597CA247" w14:textId="77777777" w:rsidR="00836DC1" w:rsidRPr="00CE170C" w:rsidRDefault="00836DC1" w:rsidP="00CE170C">
      <w:pPr>
        <w:pBdr>
          <w:top w:val="nil"/>
          <w:left w:val="nil"/>
          <w:bottom w:val="nil"/>
          <w:right w:val="nil"/>
          <w:between w:val="nil"/>
        </w:pBdr>
        <w:adjustRightInd w:val="0"/>
        <w:snapToGrid w:val="0"/>
        <w:spacing w:line="360" w:lineRule="auto"/>
        <w:jc w:val="both"/>
        <w:rPr>
          <w:rFonts w:ascii="Book Antiqua" w:eastAsia="Book Antiqua" w:hAnsi="Book Antiqua" w:cs="Book Antiqua"/>
          <w:b/>
          <w:color w:val="000000"/>
        </w:rPr>
      </w:pPr>
    </w:p>
    <w:p w14:paraId="1BC5941A" w14:textId="6231E595" w:rsidR="005F4A40" w:rsidRPr="00CE170C" w:rsidRDefault="005238FB" w:rsidP="00CE170C">
      <w:pPr>
        <w:pBdr>
          <w:top w:val="nil"/>
          <w:left w:val="nil"/>
          <w:bottom w:val="nil"/>
          <w:right w:val="nil"/>
          <w:between w:val="nil"/>
        </w:pBdr>
        <w:adjustRightInd w:val="0"/>
        <w:snapToGrid w:val="0"/>
        <w:spacing w:line="360" w:lineRule="auto"/>
        <w:jc w:val="both"/>
        <w:rPr>
          <w:rFonts w:ascii="Book Antiqua" w:eastAsia="Book Antiqua" w:hAnsi="Book Antiqua" w:cs="Book Antiqua"/>
          <w:color w:val="242021"/>
          <w:lang w:val="en-US"/>
        </w:rPr>
      </w:pPr>
      <w:r w:rsidRPr="00CE170C">
        <w:rPr>
          <w:rFonts w:ascii="Book Antiqua" w:eastAsia="Book Antiqua" w:hAnsi="Book Antiqua" w:cs="Book Antiqua"/>
          <w:b/>
          <w:color w:val="000000"/>
          <w:lang w:val="en-US"/>
        </w:rPr>
        <w:t>Powen Lu</w:t>
      </w:r>
      <w:r w:rsidR="00B12C1D" w:rsidRPr="00CE170C">
        <w:rPr>
          <w:rFonts w:ascii="Book Antiqua" w:eastAsia="Book Antiqua" w:hAnsi="Book Antiqua" w:cs="Book Antiqua"/>
          <w:b/>
          <w:color w:val="000000"/>
          <w:lang w:val="en-US"/>
        </w:rPr>
        <w:t>,</w:t>
      </w:r>
      <w:r w:rsidR="00836DC1" w:rsidRPr="00CE170C">
        <w:rPr>
          <w:rFonts w:ascii="Book Antiqua" w:eastAsia="Book Antiqua" w:hAnsi="Book Antiqua" w:cs="Book Antiqua"/>
          <w:b/>
          <w:color w:val="000000"/>
          <w:lang w:val="en-US"/>
        </w:rPr>
        <w:t xml:space="preserve"> </w:t>
      </w:r>
      <w:r w:rsidR="00836DC1" w:rsidRPr="00CE170C">
        <w:rPr>
          <w:rFonts w:ascii="Book Antiqua" w:eastAsia="Book Antiqua" w:hAnsi="Book Antiqua" w:cs="Book Antiqua"/>
          <w:bCs/>
          <w:color w:val="000000"/>
          <w:lang w:val="en-US"/>
        </w:rPr>
        <w:t>Department of Gastro</w:t>
      </w:r>
      <w:r w:rsidR="008A5720" w:rsidRPr="00CE170C">
        <w:rPr>
          <w:rFonts w:ascii="Book Antiqua" w:eastAsia="Book Antiqua" w:hAnsi="Book Antiqua" w:cs="Book Antiqua"/>
          <w:bCs/>
          <w:color w:val="000000"/>
          <w:lang w:val="en-US"/>
        </w:rPr>
        <w:t>h</w:t>
      </w:r>
      <w:r w:rsidR="00836DC1" w:rsidRPr="00CE170C">
        <w:rPr>
          <w:rFonts w:ascii="Book Antiqua" w:eastAsia="Book Antiqua" w:hAnsi="Book Antiqua" w:cs="Book Antiqua"/>
          <w:bCs/>
          <w:color w:val="000000"/>
          <w:lang w:val="en-US"/>
        </w:rPr>
        <w:t>epatology</w:t>
      </w:r>
      <w:r w:rsidRPr="00CE170C">
        <w:rPr>
          <w:rFonts w:ascii="Book Antiqua" w:eastAsia="Book Antiqua" w:hAnsi="Book Antiqua" w:cs="Book Antiqua"/>
          <w:bCs/>
          <w:color w:val="000000"/>
          <w:lang w:val="en-US"/>
        </w:rPr>
        <w:t xml:space="preserve">, </w:t>
      </w:r>
      <w:r w:rsidRPr="00CE170C">
        <w:rPr>
          <w:rFonts w:ascii="Book Antiqua" w:eastAsia="Book Antiqua" w:hAnsi="Book Antiqua" w:cs="Book Antiqua"/>
          <w:color w:val="000000"/>
          <w:lang w:val="en-US"/>
        </w:rPr>
        <w:t>Taipei medical University hospital, Taipei 11031, Taiwan</w:t>
      </w:r>
    </w:p>
    <w:p w14:paraId="5D2318F1" w14:textId="77777777" w:rsidR="00C357D7" w:rsidRPr="00CE170C" w:rsidRDefault="00C357D7" w:rsidP="00CE170C">
      <w:pPr>
        <w:pBdr>
          <w:top w:val="nil"/>
          <w:left w:val="nil"/>
          <w:bottom w:val="nil"/>
          <w:right w:val="nil"/>
          <w:between w:val="nil"/>
        </w:pBdr>
        <w:adjustRightInd w:val="0"/>
        <w:snapToGrid w:val="0"/>
        <w:spacing w:line="360" w:lineRule="auto"/>
        <w:jc w:val="both"/>
        <w:rPr>
          <w:rFonts w:ascii="Book Antiqua" w:eastAsia="Book Antiqua" w:hAnsi="Book Antiqua" w:cs="Book Antiqua"/>
          <w:b/>
          <w:color w:val="242021"/>
        </w:rPr>
      </w:pPr>
    </w:p>
    <w:p w14:paraId="05CF7161" w14:textId="5BE18221" w:rsidR="005F4A40" w:rsidRPr="00CE170C" w:rsidRDefault="005F4A40" w:rsidP="00CE170C">
      <w:pPr>
        <w:adjustRightInd w:val="0"/>
        <w:snapToGrid w:val="0"/>
        <w:spacing w:line="360" w:lineRule="auto"/>
        <w:jc w:val="both"/>
        <w:rPr>
          <w:rFonts w:ascii="Book Antiqua" w:hAnsi="Book Antiqua" w:cs="Book Antiqua"/>
          <w:lang w:val="en-US" w:eastAsia="zh-CN"/>
        </w:rPr>
      </w:pPr>
      <w:r w:rsidRPr="00CE170C">
        <w:rPr>
          <w:rFonts w:ascii="Book Antiqua" w:hAnsi="Book Antiqua" w:cs="Times New Roman"/>
          <w:b/>
          <w:color w:val="000000"/>
          <w:lang w:val="en-US"/>
        </w:rPr>
        <w:t>ORCID</w:t>
      </w:r>
      <w:r w:rsidRPr="00CE170C">
        <w:rPr>
          <w:rFonts w:ascii="Book Antiqua" w:hAnsi="Book Antiqua" w:cs="Times New Roman"/>
          <w:b/>
          <w:color w:val="000000"/>
          <w:lang w:val="en-US" w:eastAsia="zh-CN"/>
        </w:rPr>
        <w:t xml:space="preserve"> number</w:t>
      </w:r>
      <w:r w:rsidRPr="00CE170C">
        <w:rPr>
          <w:rFonts w:ascii="Book Antiqua" w:hAnsi="Book Antiqua" w:cs="Times New Roman"/>
          <w:b/>
          <w:color w:val="000000"/>
          <w:lang w:val="en-US"/>
        </w:rPr>
        <w:t>:</w:t>
      </w:r>
      <w:r w:rsidRPr="00CE170C">
        <w:rPr>
          <w:rFonts w:ascii="Book Antiqua" w:hAnsi="Book Antiqua" w:cs="Times New Roman"/>
          <w:color w:val="000000"/>
          <w:lang w:val="en-US"/>
        </w:rPr>
        <w:t xml:space="preserve"> </w:t>
      </w:r>
      <w:r w:rsidR="008933FE" w:rsidRPr="00CE170C">
        <w:rPr>
          <w:rFonts w:ascii="Book Antiqua" w:eastAsia="Book Antiqua" w:hAnsi="Book Antiqua" w:cs="Book Antiqua"/>
          <w:lang w:val="en-US"/>
        </w:rPr>
        <w:t xml:space="preserve">Diogo Turiani Hourneaux de Moura (0000-0002-7446-0355); </w:t>
      </w:r>
      <w:r w:rsidR="00C357D7" w:rsidRPr="00CE170C">
        <w:rPr>
          <w:rFonts w:ascii="Book Antiqua" w:eastAsia="Book Antiqua" w:hAnsi="Book Antiqua" w:cs="Book Antiqua"/>
          <w:lang w:val="en-US"/>
        </w:rPr>
        <w:t>Amit H</w:t>
      </w:r>
      <w:r w:rsidR="00EF3A81" w:rsidRPr="00CE170C">
        <w:rPr>
          <w:rFonts w:ascii="Book Antiqua" w:eastAsia="Book Antiqua" w:hAnsi="Book Antiqua" w:cs="Book Antiqua"/>
          <w:lang w:val="en-US"/>
        </w:rPr>
        <w:t xml:space="preserve"> </w:t>
      </w:r>
      <w:r w:rsidR="00C357D7" w:rsidRPr="00CE170C">
        <w:rPr>
          <w:rFonts w:ascii="Book Antiqua" w:eastAsia="Book Antiqua" w:hAnsi="Book Antiqua" w:cs="Book Antiqua"/>
          <w:lang w:val="en-US"/>
        </w:rPr>
        <w:t>Sachdev</w:t>
      </w:r>
      <w:r w:rsidR="00EF3A81" w:rsidRPr="00CE170C">
        <w:rPr>
          <w:rFonts w:ascii="Book Antiqua" w:eastAsia="Book Antiqua" w:hAnsi="Book Antiqua" w:cs="Book Antiqua"/>
          <w:lang w:val="en-US"/>
        </w:rPr>
        <w:t xml:space="preserve"> </w:t>
      </w:r>
      <w:r w:rsidR="00C357D7" w:rsidRPr="00CE170C">
        <w:rPr>
          <w:rFonts w:ascii="Book Antiqua" w:eastAsia="Book Antiqua" w:hAnsi="Book Antiqua" w:cs="Book Antiqua"/>
          <w:lang w:val="en-US"/>
        </w:rPr>
        <w:t>(</w:t>
      </w:r>
      <w:r w:rsidR="003E7991" w:rsidRPr="00CE170C">
        <w:rPr>
          <w:rFonts w:ascii="Book Antiqua" w:eastAsia="Book Antiqua" w:hAnsi="Book Antiqua" w:cs="Book Antiqua"/>
          <w:lang w:val="en-US"/>
        </w:rPr>
        <w:t>0000-0002-4576-8334);</w:t>
      </w:r>
      <w:r w:rsidR="00C357D7" w:rsidRPr="00CE170C">
        <w:rPr>
          <w:rFonts w:ascii="Book Antiqua" w:eastAsia="Book Antiqua" w:hAnsi="Book Antiqua" w:cs="Book Antiqua"/>
          <w:lang w:val="en-US"/>
        </w:rPr>
        <w:t xml:space="preserve"> </w:t>
      </w:r>
      <w:r w:rsidR="005238FB" w:rsidRPr="00CE170C">
        <w:rPr>
          <w:rFonts w:ascii="Book Antiqua" w:eastAsia="Book Antiqua" w:hAnsi="Book Antiqua" w:cs="Book Antiqua"/>
          <w:color w:val="000000"/>
          <w:lang w:val="en-US"/>
        </w:rPr>
        <w:t>Powen Lu</w:t>
      </w:r>
      <w:r w:rsidR="00C357D7" w:rsidRPr="00CE170C">
        <w:rPr>
          <w:rFonts w:ascii="Book Antiqua" w:eastAsia="Book Antiqua" w:hAnsi="Book Antiqua" w:cs="Book Antiqua"/>
          <w:color w:val="000000"/>
          <w:lang w:val="en-US"/>
        </w:rPr>
        <w:t xml:space="preserve"> (</w:t>
      </w:r>
      <w:r w:rsidR="00A6641E" w:rsidRPr="00CE170C">
        <w:rPr>
          <w:rFonts w:ascii="Book Antiqua" w:eastAsia="Book Antiqua" w:hAnsi="Book Antiqua" w:cs="Book Antiqua"/>
          <w:color w:val="000000"/>
          <w:lang w:val="en-US"/>
        </w:rPr>
        <w:t>0000-0001-9903-4283</w:t>
      </w:r>
      <w:r w:rsidR="00C357D7" w:rsidRPr="00CE170C">
        <w:rPr>
          <w:rFonts w:ascii="Book Antiqua" w:eastAsia="Book Antiqua" w:hAnsi="Book Antiqua" w:cs="Book Antiqua"/>
          <w:color w:val="000000"/>
          <w:lang w:val="en-US"/>
        </w:rPr>
        <w:t xml:space="preserve">); </w:t>
      </w:r>
      <w:r w:rsidR="008A05B7" w:rsidRPr="00CE170C">
        <w:rPr>
          <w:rFonts w:ascii="Book Antiqua" w:eastAsia="Book Antiqua" w:hAnsi="Book Antiqua" w:cs="Book Antiqua"/>
          <w:color w:val="000000"/>
          <w:lang w:val="en-US"/>
        </w:rPr>
        <w:t xml:space="preserve">Igor Braga Ribeiro (0000-0003-1844-8973); </w:t>
      </w:r>
      <w:r w:rsidR="00C357D7" w:rsidRPr="00CE170C">
        <w:rPr>
          <w:rFonts w:ascii="Book Antiqua" w:eastAsia="Book Antiqua" w:hAnsi="Book Antiqua" w:cs="Book Antiqua"/>
          <w:color w:val="000000"/>
          <w:lang w:val="en-US"/>
        </w:rPr>
        <w:t>Christopher C</w:t>
      </w:r>
      <w:r w:rsidR="00EF3A81" w:rsidRPr="00CE170C">
        <w:rPr>
          <w:rFonts w:ascii="Book Antiqua" w:eastAsia="Book Antiqua" w:hAnsi="Book Antiqua" w:cs="Book Antiqua"/>
          <w:color w:val="000000"/>
          <w:lang w:val="en-US"/>
        </w:rPr>
        <w:t xml:space="preserve"> </w:t>
      </w:r>
      <w:r w:rsidR="00C357D7" w:rsidRPr="00CE170C">
        <w:rPr>
          <w:rFonts w:ascii="Book Antiqua" w:eastAsia="Book Antiqua" w:hAnsi="Book Antiqua" w:cs="Book Antiqua"/>
          <w:color w:val="000000"/>
          <w:lang w:val="en-US"/>
        </w:rPr>
        <w:t>Thompson (0000-0002-6105-5270)</w:t>
      </w:r>
      <w:r w:rsidR="00EF3A81" w:rsidRPr="00CE170C">
        <w:rPr>
          <w:rFonts w:ascii="Book Antiqua" w:eastAsia="Book Antiqua" w:hAnsi="Book Antiqua" w:cs="Book Antiqua"/>
          <w:color w:val="000000"/>
          <w:lang w:val="en-US"/>
        </w:rPr>
        <w:t>.</w:t>
      </w:r>
    </w:p>
    <w:p w14:paraId="3A6CA211" w14:textId="60BEEA40" w:rsidR="001D568A" w:rsidRPr="00CE170C" w:rsidRDefault="001D568A" w:rsidP="00CE170C">
      <w:pPr>
        <w:shd w:val="clear" w:color="auto" w:fill="FFFFFF"/>
        <w:adjustRightInd w:val="0"/>
        <w:snapToGrid w:val="0"/>
        <w:spacing w:line="360" w:lineRule="auto"/>
        <w:jc w:val="both"/>
        <w:rPr>
          <w:rFonts w:ascii="Book Antiqua" w:eastAsia="Book Antiqua" w:hAnsi="Book Antiqua" w:cs="Book Antiqua"/>
          <w:color w:val="000000"/>
          <w:lang w:val="en-US"/>
        </w:rPr>
      </w:pPr>
      <w:r w:rsidRPr="00CE170C">
        <w:rPr>
          <w:rFonts w:ascii="Book Antiqua" w:hAnsi="Book Antiqua" w:cs="Times New Roman"/>
          <w:b/>
          <w:color w:val="000000"/>
          <w:lang w:val="en-US"/>
        </w:rPr>
        <w:lastRenderedPageBreak/>
        <w:t>Author contributions:</w:t>
      </w:r>
      <w:r w:rsidRPr="00CE170C">
        <w:rPr>
          <w:rFonts w:ascii="Book Antiqua" w:hAnsi="Book Antiqua" w:cs="Times New Roman"/>
          <w:color w:val="000000"/>
          <w:lang w:val="en-US"/>
        </w:rPr>
        <w:t xml:space="preserve"> </w:t>
      </w:r>
      <w:r w:rsidR="00EF3A81" w:rsidRPr="00CE170C">
        <w:rPr>
          <w:rFonts w:ascii="Book Antiqua" w:hAnsi="Book Antiqua" w:cs="Times New Roman"/>
          <w:color w:val="000000"/>
          <w:lang w:val="en-US"/>
        </w:rPr>
        <w:t>d</w:t>
      </w:r>
      <w:r w:rsidR="00C357D7" w:rsidRPr="00CE170C">
        <w:rPr>
          <w:rFonts w:ascii="Book Antiqua" w:hAnsi="Book Antiqua" w:cs="Times New Roman"/>
          <w:color w:val="000000"/>
          <w:lang w:val="en-US"/>
        </w:rPr>
        <w:t>e Moura DTH</w:t>
      </w:r>
      <w:r w:rsidR="00EF3A81" w:rsidRPr="00CE170C">
        <w:rPr>
          <w:rFonts w:ascii="Book Antiqua" w:hAnsi="Book Antiqua" w:cs="Times New Roman"/>
          <w:color w:val="000000"/>
          <w:lang w:val="en-US"/>
        </w:rPr>
        <w:t xml:space="preserve"> </w:t>
      </w:r>
      <w:r w:rsidR="00C357D7" w:rsidRPr="00CE170C">
        <w:rPr>
          <w:rFonts w:ascii="Book Antiqua" w:hAnsi="Book Antiqua" w:cs="Times New Roman"/>
          <w:color w:val="000000"/>
          <w:lang w:val="en-US"/>
        </w:rPr>
        <w:t>wrote the paper</w:t>
      </w:r>
      <w:r w:rsidR="004E54D7" w:rsidRPr="00CE170C">
        <w:rPr>
          <w:rFonts w:ascii="Book Antiqua" w:hAnsi="Book Antiqua" w:cs="Times New Roman"/>
          <w:color w:val="000000"/>
          <w:lang w:val="en-US"/>
        </w:rPr>
        <w:t xml:space="preserve">; </w:t>
      </w:r>
      <w:r w:rsidR="00C357D7" w:rsidRPr="00CE170C">
        <w:rPr>
          <w:rFonts w:ascii="Book Antiqua" w:hAnsi="Book Antiqua" w:cs="Times New Roman"/>
          <w:color w:val="000000"/>
          <w:lang w:val="en-US"/>
        </w:rPr>
        <w:t>Sachdev AH</w:t>
      </w:r>
      <w:r w:rsidR="004E54D7" w:rsidRPr="00CE170C">
        <w:rPr>
          <w:rFonts w:ascii="Book Antiqua" w:hAnsi="Book Antiqua" w:cs="Times New Roman"/>
          <w:color w:val="000000"/>
          <w:lang w:val="en-US"/>
        </w:rPr>
        <w:t xml:space="preserve"> performed the</w:t>
      </w:r>
      <w:r w:rsidR="000525D4" w:rsidRPr="00CE170C">
        <w:rPr>
          <w:rFonts w:ascii="Book Antiqua" w:hAnsi="Book Antiqua" w:cs="Times New Roman"/>
          <w:color w:val="000000"/>
          <w:lang w:val="en-US"/>
        </w:rPr>
        <w:t xml:space="preserve"> procedures</w:t>
      </w:r>
      <w:r w:rsidR="004E54D7" w:rsidRPr="00CE170C">
        <w:rPr>
          <w:rFonts w:ascii="Book Antiqua" w:hAnsi="Book Antiqua" w:cs="Times New Roman"/>
          <w:color w:val="000000"/>
          <w:lang w:val="en-US"/>
        </w:rPr>
        <w:t xml:space="preserve">; </w:t>
      </w:r>
      <w:r w:rsidR="00C357D7" w:rsidRPr="00CE170C">
        <w:rPr>
          <w:rFonts w:ascii="Book Antiqua" w:hAnsi="Book Antiqua" w:cs="Times New Roman"/>
          <w:color w:val="000000"/>
          <w:lang w:val="en-US"/>
        </w:rPr>
        <w:t>Lu P and Ribeiro IB</w:t>
      </w:r>
      <w:r w:rsidR="004E54D7" w:rsidRPr="00CE170C">
        <w:rPr>
          <w:rFonts w:ascii="Book Antiqua" w:hAnsi="Book Antiqua" w:cs="Times New Roman"/>
          <w:color w:val="000000"/>
          <w:lang w:val="en-US"/>
        </w:rPr>
        <w:t xml:space="preserve"> collected patient’s</w:t>
      </w:r>
      <w:r w:rsidR="000525D4" w:rsidRPr="00CE170C">
        <w:rPr>
          <w:rFonts w:ascii="Book Antiqua" w:hAnsi="Book Antiqua" w:cs="Times New Roman"/>
          <w:color w:val="000000"/>
          <w:lang w:val="en-US"/>
        </w:rPr>
        <w:t xml:space="preserve"> </w:t>
      </w:r>
      <w:r w:rsidR="004E54D7" w:rsidRPr="00CE170C">
        <w:rPr>
          <w:rFonts w:ascii="Book Antiqua" w:hAnsi="Book Antiqua" w:cs="Times New Roman"/>
          <w:color w:val="000000"/>
          <w:lang w:val="en-US"/>
        </w:rPr>
        <w:t xml:space="preserve">data; </w:t>
      </w:r>
      <w:r w:rsidR="00C357D7" w:rsidRPr="00CE170C">
        <w:rPr>
          <w:rFonts w:ascii="Book Antiqua" w:hAnsi="Book Antiqua" w:cs="Times New Roman"/>
          <w:color w:val="000000"/>
          <w:lang w:val="en-US"/>
        </w:rPr>
        <w:t>Thompson CC</w:t>
      </w:r>
      <w:r w:rsidR="004E54D7" w:rsidRPr="00CE170C">
        <w:rPr>
          <w:rFonts w:ascii="Book Antiqua" w:hAnsi="Book Antiqua" w:cs="Times New Roman"/>
          <w:color w:val="000000"/>
          <w:lang w:val="en-US"/>
        </w:rPr>
        <w:t xml:space="preserve"> </w:t>
      </w:r>
      <w:r w:rsidR="000525D4" w:rsidRPr="00CE170C">
        <w:rPr>
          <w:rFonts w:ascii="Book Antiqua" w:hAnsi="Book Antiqua" w:cs="Times New Roman"/>
          <w:color w:val="000000"/>
          <w:lang w:val="en-US"/>
        </w:rPr>
        <w:t>designed the case report</w:t>
      </w:r>
      <w:r w:rsidR="004E54D7" w:rsidRPr="00CE170C">
        <w:rPr>
          <w:rFonts w:ascii="Book Antiqua" w:hAnsi="Book Antiqua" w:cs="Times New Roman"/>
          <w:color w:val="000000"/>
          <w:lang w:val="en-US"/>
        </w:rPr>
        <w:t>; final version was approved by all authors.</w:t>
      </w:r>
    </w:p>
    <w:p w14:paraId="1F49ED14" w14:textId="77777777" w:rsidR="001D568A" w:rsidRPr="00CE170C" w:rsidRDefault="001D568A" w:rsidP="00CE170C">
      <w:pPr>
        <w:pStyle w:val="Padro"/>
        <w:pBdr>
          <w:top w:val="none" w:sz="0" w:space="0" w:color="auto"/>
          <w:left w:val="none" w:sz="0" w:space="0" w:color="auto"/>
          <w:bottom w:val="none" w:sz="0" w:space="0" w:color="auto"/>
          <w:right w:val="none" w:sz="0" w:space="0" w:color="auto"/>
          <w:bar w:val="none" w:sz="0" w:color="auto"/>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snapToGrid w:val="0"/>
        <w:spacing w:line="360" w:lineRule="auto"/>
        <w:jc w:val="both"/>
        <w:outlineLvl w:val="0"/>
        <w:rPr>
          <w:rFonts w:ascii="Book Antiqua" w:hAnsi="Book Antiqua" w:cs="Times New Roman"/>
          <w:b/>
          <w:bCs/>
          <w:color w:val="auto"/>
          <w:sz w:val="24"/>
          <w:szCs w:val="24"/>
        </w:rPr>
      </w:pPr>
    </w:p>
    <w:p w14:paraId="69C02213" w14:textId="77777777" w:rsidR="00EF3A81" w:rsidRPr="00CE170C" w:rsidRDefault="00EF3A81" w:rsidP="00CE170C">
      <w:pPr>
        <w:adjustRightInd w:val="0"/>
        <w:snapToGrid w:val="0"/>
        <w:spacing w:line="360" w:lineRule="auto"/>
        <w:jc w:val="both"/>
        <w:rPr>
          <w:rFonts w:ascii="Book Antiqua" w:hAnsi="Book Antiqua"/>
        </w:rPr>
      </w:pPr>
      <w:bookmarkStart w:id="7" w:name="OLE_LINK1077"/>
      <w:bookmarkStart w:id="8" w:name="OLE_LINK1078"/>
      <w:bookmarkStart w:id="9" w:name="OLE_LINK1129"/>
      <w:bookmarkStart w:id="10" w:name="OLE_LINK1130"/>
      <w:bookmarkStart w:id="11" w:name="OLE_LINK1131"/>
      <w:bookmarkStart w:id="12" w:name="OLE_LINK1132"/>
      <w:bookmarkStart w:id="13" w:name="OLE_LINK1010"/>
      <w:bookmarkStart w:id="14" w:name="OLE_LINK1011"/>
      <w:bookmarkStart w:id="15" w:name="OLE_LINK1247"/>
      <w:bookmarkStart w:id="16" w:name="OLE_LINK1340"/>
      <w:bookmarkStart w:id="17" w:name="OLE_LINK1370"/>
      <w:bookmarkStart w:id="18" w:name="OLE_LINK1371"/>
      <w:bookmarkStart w:id="19" w:name="OLE_LINK1401"/>
      <w:bookmarkStart w:id="20" w:name="OLE_LINK1402"/>
      <w:bookmarkStart w:id="21" w:name="OLE_LINK1495"/>
      <w:bookmarkStart w:id="22" w:name="OLE_LINK1505"/>
      <w:bookmarkStart w:id="23" w:name="OLE_LINK1551"/>
      <w:bookmarkStart w:id="24" w:name="OLE_LINK1578"/>
      <w:bookmarkStart w:id="25" w:name="OLE_LINK1579"/>
      <w:bookmarkStart w:id="26" w:name="OLE_LINK1593"/>
      <w:bookmarkStart w:id="27" w:name="OLE_LINK1594"/>
      <w:bookmarkStart w:id="28" w:name="OLE_LINK1920"/>
      <w:bookmarkStart w:id="29" w:name="OLE_LINK1921"/>
      <w:bookmarkStart w:id="30" w:name="OLE_LINK1922"/>
      <w:bookmarkStart w:id="31" w:name="OLE_LINK1727"/>
      <w:bookmarkStart w:id="32" w:name="OLE_LINK1728"/>
      <w:bookmarkStart w:id="33" w:name="OLE_LINK1936"/>
      <w:bookmarkStart w:id="34" w:name="OLE_LINK1937"/>
      <w:bookmarkStart w:id="35" w:name="OLE_LINK1945"/>
      <w:bookmarkStart w:id="36" w:name="OLE_LINK1946"/>
      <w:bookmarkStart w:id="37" w:name="OLE_LINK1783"/>
      <w:bookmarkStart w:id="38" w:name="OLE_LINK1914"/>
      <w:bookmarkStart w:id="39" w:name="OLE_LINK1850"/>
      <w:bookmarkStart w:id="40" w:name="OLE_LINK1851"/>
      <w:bookmarkStart w:id="41" w:name="OLE_LINK1704"/>
      <w:bookmarkStart w:id="42" w:name="OLE_LINK1713"/>
      <w:bookmarkStart w:id="43" w:name="OLE_LINK1719"/>
      <w:bookmarkStart w:id="44" w:name="OLE_LINK1720"/>
      <w:bookmarkStart w:id="45" w:name="OLE_LINK1724"/>
      <w:bookmarkStart w:id="46" w:name="OLE_LINK1874"/>
      <w:bookmarkStart w:id="47" w:name="OLE_LINK2068"/>
      <w:bookmarkStart w:id="48" w:name="OLE_LINK2069"/>
      <w:bookmarkStart w:id="49" w:name="OLE_LINK2103"/>
      <w:bookmarkStart w:id="50" w:name="OLE_LINK1546"/>
      <w:bookmarkStart w:id="51" w:name="OLE_LINK1547"/>
      <w:bookmarkStart w:id="52" w:name="OLE_LINK1596"/>
      <w:bookmarkStart w:id="53" w:name="OLE_LINK1749"/>
      <w:bookmarkStart w:id="54" w:name="OLE_LINK1750"/>
      <w:bookmarkStart w:id="55" w:name="OLE_LINK1751"/>
      <w:bookmarkStart w:id="56" w:name="OLE_LINK1923"/>
      <w:bookmarkStart w:id="57" w:name="OLE_LINK1924"/>
      <w:bookmarkStart w:id="58" w:name="OLE_LINK1933"/>
      <w:bookmarkStart w:id="59" w:name="OLE_LINK1934"/>
      <w:bookmarkStart w:id="60" w:name="OLE_LINK1935"/>
      <w:bookmarkStart w:id="61" w:name="OLE_LINK1996"/>
      <w:bookmarkStart w:id="62" w:name="OLE_LINK1896"/>
      <w:bookmarkStart w:id="63" w:name="OLE_LINK1900"/>
      <w:bookmarkStart w:id="64" w:name="OLE_LINK2088"/>
      <w:bookmarkStart w:id="65" w:name="OLE_LINK918"/>
      <w:bookmarkStart w:id="66" w:name="OLE_LINK919"/>
      <w:bookmarkStart w:id="67" w:name="OLE_LINK1029"/>
      <w:bookmarkStart w:id="68" w:name="OLE_LINK571"/>
      <w:bookmarkStart w:id="69" w:name="OLE_LINK776"/>
      <w:bookmarkStart w:id="70" w:name="OLE_LINK927"/>
      <w:bookmarkStart w:id="71" w:name="OLE_LINK928"/>
      <w:bookmarkStart w:id="72" w:name="OLE_LINK1123"/>
      <w:bookmarkStart w:id="73" w:name="OLE_LINK709"/>
      <w:bookmarkStart w:id="74" w:name="OLE_LINK759"/>
      <w:r w:rsidRPr="00CE170C">
        <w:rPr>
          <w:rFonts w:ascii="Book Antiqua" w:hAnsi="Book Antiqua"/>
          <w:b/>
          <w:bCs/>
          <w:iCs/>
        </w:rPr>
        <w:t>Conflict-of-interest</w:t>
      </w:r>
      <w:r w:rsidRPr="00CE170C">
        <w:rPr>
          <w:rFonts w:ascii="Book Antiqua" w:hAnsi="Book Antiqua"/>
        </w:rPr>
        <w:t xml:space="preserve"> </w:t>
      </w:r>
      <w:r w:rsidRPr="00CE170C">
        <w:rPr>
          <w:rFonts w:ascii="Book Antiqua" w:hAnsi="Book Antiqua"/>
          <w:b/>
          <w:bCs/>
          <w:iCs/>
        </w:rPr>
        <w:t xml:space="preserve">statement: </w:t>
      </w:r>
      <w:bookmarkStart w:id="75" w:name="OLE_LINK712"/>
      <w:bookmarkStart w:id="76" w:name="OLE_LINK714"/>
      <w:r w:rsidRPr="00CE170C">
        <w:rPr>
          <w:rFonts w:ascii="Book Antiqua" w:hAnsi="Book Antiqua"/>
        </w:rPr>
        <w:t>No potential conflicts of interest relevant to this article were reported.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75"/>
      <w:bookmarkEnd w:id="76"/>
    </w:p>
    <w:p w14:paraId="0AE82BD7" w14:textId="77777777" w:rsidR="00EF3A81" w:rsidRPr="00CE170C" w:rsidRDefault="00EF3A81" w:rsidP="00CE170C">
      <w:pPr>
        <w:adjustRightInd w:val="0"/>
        <w:snapToGrid w:val="0"/>
        <w:spacing w:line="360" w:lineRule="auto"/>
        <w:jc w:val="both"/>
        <w:rPr>
          <w:rFonts w:ascii="Book Antiqua" w:hAnsi="Book Antiqua"/>
        </w:rPr>
      </w:pPr>
    </w:p>
    <w:bookmarkEnd w:id="39"/>
    <w:bookmarkEnd w:id="40"/>
    <w:bookmarkEnd w:id="41"/>
    <w:bookmarkEnd w:id="42"/>
    <w:bookmarkEnd w:id="43"/>
    <w:bookmarkEnd w:id="44"/>
    <w:bookmarkEnd w:id="45"/>
    <w:bookmarkEnd w:id="46"/>
    <w:bookmarkEnd w:id="47"/>
    <w:bookmarkEnd w:id="48"/>
    <w:bookmarkEnd w:id="49"/>
    <w:p w14:paraId="07E69C7E" w14:textId="77777777" w:rsidR="00EF3A81" w:rsidRPr="00CE170C" w:rsidRDefault="00EF3A81" w:rsidP="00CE170C">
      <w:pPr>
        <w:widowControl w:val="0"/>
        <w:adjustRightInd w:val="0"/>
        <w:snapToGrid w:val="0"/>
        <w:spacing w:line="360" w:lineRule="auto"/>
        <w:jc w:val="both"/>
        <w:rPr>
          <w:rFonts w:ascii="Book Antiqua" w:hAnsi="Book Antiqua"/>
          <w:kern w:val="2"/>
        </w:rPr>
      </w:pPr>
      <w:r w:rsidRPr="00CE170C">
        <w:rPr>
          <w:rFonts w:ascii="Book Antiqua" w:hAnsi="Book Antiqua"/>
          <w:b/>
          <w:kern w:val="2"/>
        </w:rPr>
        <w:t>CARE Checklist (2016) statement:</w:t>
      </w:r>
      <w:r w:rsidRPr="00CE170C">
        <w:rPr>
          <w:rFonts w:ascii="Book Antiqua" w:hAnsi="Book Antiqua"/>
          <w:kern w:val="2"/>
        </w:rPr>
        <w:t xml:space="preserve"> The authors have read the CARE Checklist (2016), and the manuscript was prepared and revised according to the CARE Checklist (2016).</w:t>
      </w:r>
    </w:p>
    <w:p w14:paraId="350E48E5" w14:textId="77777777" w:rsidR="00EF3A81" w:rsidRPr="00CE170C" w:rsidRDefault="00EF3A81" w:rsidP="00CE170C">
      <w:pPr>
        <w:widowControl w:val="0"/>
        <w:adjustRightInd w:val="0"/>
        <w:snapToGrid w:val="0"/>
        <w:spacing w:line="360" w:lineRule="auto"/>
        <w:jc w:val="both"/>
        <w:rPr>
          <w:rFonts w:ascii="Book Antiqua" w:hAnsi="Book Antiqua"/>
          <w:kern w:val="2"/>
        </w:rPr>
      </w:pPr>
    </w:p>
    <w:p w14:paraId="000F38BC" w14:textId="77777777" w:rsidR="00EF3A81" w:rsidRPr="00CE170C" w:rsidRDefault="00EF3A81" w:rsidP="00CE170C">
      <w:pPr>
        <w:autoSpaceDN w:val="0"/>
        <w:adjustRightInd w:val="0"/>
        <w:snapToGrid w:val="0"/>
        <w:spacing w:line="360" w:lineRule="auto"/>
        <w:jc w:val="both"/>
        <w:rPr>
          <w:rFonts w:ascii="Book Antiqua" w:hAnsi="Book Antiqua"/>
          <w:b/>
          <w:kern w:val="2"/>
        </w:rPr>
      </w:pPr>
      <w:r w:rsidRPr="00CE170C">
        <w:rPr>
          <w:rFonts w:ascii="Book Antiqua" w:hAnsi="Book Antiqua"/>
          <w:b/>
        </w:rPr>
        <w:t xml:space="preserve">Open-Access: </w:t>
      </w:r>
      <w:r w:rsidRPr="00CE170C">
        <w:rPr>
          <w:rFonts w:ascii="Book Antiqua" w:hAnsi="Book Antiqua"/>
          <w:kern w:val="2"/>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E170C">
          <w:rPr>
            <w:rFonts w:ascii="Book Antiqua" w:hAnsi="Book Antiqua"/>
            <w:kern w:val="2"/>
          </w:rPr>
          <w:t>http://creativecommons.org/licenses/by-nc/4.0/</w:t>
        </w:r>
      </w:hyperlink>
    </w:p>
    <w:p w14:paraId="630038F8" w14:textId="77777777" w:rsidR="00EF3A81" w:rsidRPr="00CE170C" w:rsidRDefault="00EF3A81" w:rsidP="00CE170C">
      <w:pPr>
        <w:autoSpaceDN w:val="0"/>
        <w:adjustRightInd w:val="0"/>
        <w:snapToGrid w:val="0"/>
        <w:spacing w:line="360" w:lineRule="auto"/>
        <w:jc w:val="both"/>
        <w:rPr>
          <w:rFonts w:ascii="Book Antiqua" w:hAnsi="Book Antiqua"/>
          <w:kern w:val="2"/>
        </w:rPr>
      </w:pPr>
    </w:p>
    <w:p w14:paraId="1A967689" w14:textId="46F2A892" w:rsidR="00EF3A81" w:rsidRPr="00CE170C" w:rsidRDefault="00EF3A81" w:rsidP="00CE170C">
      <w:pPr>
        <w:widowControl w:val="0"/>
        <w:suppressAutoHyphens/>
        <w:adjustRightInd w:val="0"/>
        <w:snapToGrid w:val="0"/>
        <w:spacing w:line="360" w:lineRule="auto"/>
        <w:jc w:val="both"/>
        <w:rPr>
          <w:rFonts w:ascii="Book Antiqua" w:eastAsia="Cambria" w:hAnsi="Book Antiqua"/>
          <w:bCs/>
          <w:lang w:eastAsia="ar-SA"/>
        </w:rPr>
      </w:pPr>
      <w:r w:rsidRPr="00CE170C">
        <w:rPr>
          <w:rFonts w:ascii="Book Antiqua" w:hAnsi="Book Antiqua" w:cs="宋体"/>
          <w:b/>
        </w:rPr>
        <w:t>Manuscript source:</w:t>
      </w:r>
      <w:r w:rsidRPr="00CE170C">
        <w:rPr>
          <w:rFonts w:ascii="Book Antiqua" w:hAnsi="Book Antiqua" w:cs="宋体"/>
          <w:bCs/>
        </w:rPr>
        <w:t xml:space="preserve">  </w:t>
      </w:r>
      <w:r w:rsidRPr="00CE170C">
        <w:rPr>
          <w:rFonts w:ascii="Book Antiqua" w:hAnsi="Book Antiqua" w:cs="Arial Unicode MS"/>
          <w:color w:val="000000"/>
          <w:kern w:val="2"/>
          <w:lang w:val="en-US" w:eastAsia="zh-CN"/>
        </w:rPr>
        <w:t>Invited Manuscript</w:t>
      </w:r>
    </w:p>
    <w:p w14:paraId="194E313A" w14:textId="77777777" w:rsidR="00EF3A81" w:rsidRPr="00CE170C" w:rsidRDefault="00EF3A81" w:rsidP="00CE170C">
      <w:pPr>
        <w:widowControl w:val="0"/>
        <w:suppressAutoHyphens/>
        <w:adjustRightInd w:val="0"/>
        <w:snapToGrid w:val="0"/>
        <w:spacing w:line="360" w:lineRule="auto"/>
        <w:jc w:val="both"/>
        <w:rPr>
          <w:rFonts w:ascii="Book Antiqua" w:eastAsia="Cambria" w:hAnsi="Book Antiqua"/>
          <w:b/>
          <w:lang w:eastAsia="ar-SA"/>
        </w:rPr>
      </w:pPr>
    </w:p>
    <w:p w14:paraId="39C9114D" w14:textId="7E928559" w:rsidR="001F3338" w:rsidRPr="00CE170C" w:rsidRDefault="00EF3A81" w:rsidP="00CE170C">
      <w:pPr>
        <w:widowControl w:val="0"/>
        <w:autoSpaceDE w:val="0"/>
        <w:autoSpaceDN w:val="0"/>
        <w:adjustRightInd w:val="0"/>
        <w:snapToGrid w:val="0"/>
        <w:spacing w:line="360" w:lineRule="auto"/>
        <w:jc w:val="both"/>
        <w:rPr>
          <w:rFonts w:ascii="Book Antiqua" w:eastAsia="Book Antiqua" w:hAnsi="Book Antiqua" w:cs="Book Antiqua"/>
          <w:color w:val="242021"/>
          <w:lang w:val="en-US"/>
        </w:rPr>
      </w:pPr>
      <w:r w:rsidRPr="00CE170C">
        <w:rPr>
          <w:rFonts w:ascii="Book Antiqua" w:eastAsia="等线" w:hAnsi="Book Antiqua" w:cs="Garamond-Bold"/>
          <w:b/>
          <w:bCs/>
          <w:lang w:val="it-IT" w:eastAsia="ar-SA"/>
        </w:rPr>
        <w:t>Corresponding author</w:t>
      </w:r>
      <w:r w:rsidRPr="00CE170C">
        <w:rPr>
          <w:rFonts w:ascii="Book Antiqua" w:eastAsia="Yu Mincho" w:hAnsi="Book Antiqua"/>
          <w:b/>
          <w:lang w:val="it-IT" w:eastAsia="ja-JP"/>
        </w:rPr>
        <w:t>:</w:t>
      </w:r>
      <w:r w:rsidRPr="00CE170C">
        <w:rPr>
          <w:rFonts w:ascii="Book Antiqua" w:hAnsi="Book Antiqua"/>
          <w:b/>
          <w:bCs/>
        </w:rPr>
        <w:t xml:space="preserve"> </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CE170C">
        <w:rPr>
          <w:rFonts w:ascii="Book Antiqua" w:hAnsi="Book Antiqua" w:cs="Arial Unicode MS"/>
          <w:color w:val="000000"/>
          <w:kern w:val="2"/>
          <w:lang w:val="en-US" w:eastAsia="zh-CN"/>
        </w:rPr>
        <w:t xml:space="preserve"> </w:t>
      </w:r>
      <w:r w:rsidR="00C357D7" w:rsidRPr="00CE170C">
        <w:rPr>
          <w:rFonts w:ascii="Book Antiqua" w:eastAsia="Book Antiqua" w:hAnsi="Book Antiqua" w:cs="Book Antiqua"/>
          <w:b/>
          <w:bCs/>
          <w:color w:val="242021"/>
          <w:lang w:val="en-US"/>
        </w:rPr>
        <w:t xml:space="preserve">Diogo Turiani Hourneaux de Moura, </w:t>
      </w:r>
      <w:r w:rsidR="00877E05" w:rsidRPr="00CE170C">
        <w:rPr>
          <w:rFonts w:ascii="Book Antiqua" w:eastAsia="Book Antiqua" w:hAnsi="Book Antiqua" w:cs="Book Antiqua"/>
          <w:b/>
          <w:bCs/>
          <w:color w:val="242021"/>
          <w:lang w:val="en-US"/>
        </w:rPr>
        <w:t xml:space="preserve">MD, MSc, PhD, Academic Fellow, Postdoctoral Fellow, Research Fellow, Surgeon, </w:t>
      </w:r>
      <w:r w:rsidR="001F3338" w:rsidRPr="00CE170C">
        <w:rPr>
          <w:rFonts w:ascii="Book Antiqua" w:eastAsia="Book Antiqua" w:hAnsi="Book Antiqua" w:cs="Book Antiqua"/>
          <w:noProof/>
          <w:color w:val="242021"/>
          <w:lang w:val="en-US"/>
        </w:rPr>
        <w:t>Division of Gastroenterology, Hepatology and Endoscopy, Brigham and Women’s Hospital, Harvard Medical School,</w:t>
      </w:r>
      <w:r w:rsidR="00756771" w:rsidRPr="00CE170C">
        <w:rPr>
          <w:rFonts w:ascii="Book Antiqua" w:eastAsia="Book Antiqua" w:hAnsi="Book Antiqua" w:cs="Book Antiqua"/>
          <w:noProof/>
          <w:color w:val="242021"/>
          <w:lang w:val="en-US"/>
        </w:rPr>
        <w:t xml:space="preserve"> 75 Francis St, </w:t>
      </w:r>
      <w:r w:rsidR="001F3338" w:rsidRPr="00CE170C">
        <w:rPr>
          <w:rFonts w:ascii="Book Antiqua" w:eastAsia="Book Antiqua" w:hAnsi="Book Antiqua" w:cs="Book Antiqua"/>
          <w:noProof/>
          <w:color w:val="242021"/>
          <w:lang w:val="en-US"/>
        </w:rPr>
        <w:t>Boston, MA 02115, United States.</w:t>
      </w:r>
      <w:r w:rsidR="001F3338" w:rsidRPr="00CE170C">
        <w:rPr>
          <w:rFonts w:ascii="Book Antiqua" w:hAnsi="Book Antiqua"/>
        </w:rPr>
        <w:t xml:space="preserve"> </w:t>
      </w:r>
      <w:r w:rsidR="001F3338" w:rsidRPr="00CE170C">
        <w:rPr>
          <w:rFonts w:ascii="Book Antiqua" w:eastAsia="Book Antiqua" w:hAnsi="Book Antiqua" w:cs="Book Antiqua"/>
          <w:noProof/>
          <w:color w:val="242021"/>
          <w:lang w:val="en-US"/>
        </w:rPr>
        <w:t>dthmoura@hotmail.com</w:t>
      </w:r>
    </w:p>
    <w:p w14:paraId="5F1BED0A" w14:textId="01950DB8" w:rsidR="001D568A" w:rsidRPr="00CE170C" w:rsidRDefault="001D568A" w:rsidP="00CE170C">
      <w:pPr>
        <w:adjustRightInd w:val="0"/>
        <w:snapToGrid w:val="0"/>
        <w:spacing w:line="360" w:lineRule="auto"/>
        <w:jc w:val="both"/>
        <w:rPr>
          <w:rFonts w:ascii="Book Antiqua" w:hAnsi="Book Antiqua" w:cs="Book Antiqua"/>
          <w:color w:val="000000"/>
          <w:lang w:val="en-US" w:eastAsia="zh-CN"/>
        </w:rPr>
      </w:pPr>
      <w:r w:rsidRPr="00CE170C">
        <w:rPr>
          <w:rFonts w:ascii="Book Antiqua" w:eastAsia="Book Antiqua" w:hAnsi="Book Antiqua" w:cs="Book Antiqua"/>
          <w:b/>
          <w:color w:val="242021"/>
          <w:lang w:val="en-US"/>
        </w:rPr>
        <w:t>Telephone</w:t>
      </w:r>
      <w:r w:rsidRPr="00CE170C">
        <w:rPr>
          <w:rFonts w:ascii="Book Antiqua" w:eastAsia="Book Antiqua" w:hAnsi="Book Antiqua" w:cs="Book Antiqua"/>
          <w:color w:val="000000"/>
          <w:lang w:val="en-US"/>
        </w:rPr>
        <w:t>: +</w:t>
      </w:r>
      <w:r w:rsidR="00C357D7" w:rsidRPr="00CE170C">
        <w:rPr>
          <w:rFonts w:ascii="Book Antiqua" w:eastAsia="Book Antiqua" w:hAnsi="Book Antiqua" w:cs="Book Antiqua"/>
          <w:color w:val="000000"/>
          <w:lang w:val="en-US"/>
        </w:rPr>
        <w:t>1</w:t>
      </w:r>
      <w:r w:rsidR="00756771" w:rsidRPr="00CE170C">
        <w:rPr>
          <w:rFonts w:ascii="Book Antiqua" w:eastAsia="Book Antiqua" w:hAnsi="Book Antiqua" w:cs="Book Antiqua"/>
          <w:color w:val="000000"/>
          <w:lang w:val="en-US"/>
        </w:rPr>
        <w:t>-</w:t>
      </w:r>
      <w:r w:rsidR="00C357D7" w:rsidRPr="00CE170C">
        <w:rPr>
          <w:rFonts w:ascii="Book Antiqua" w:eastAsia="Book Antiqua" w:hAnsi="Book Antiqua" w:cs="Book Antiqua"/>
          <w:color w:val="000000"/>
          <w:lang w:val="en-US"/>
        </w:rPr>
        <w:t>857</w:t>
      </w:r>
      <w:r w:rsidR="00756771" w:rsidRPr="00CE170C">
        <w:rPr>
          <w:rFonts w:ascii="Book Antiqua" w:eastAsia="Book Antiqua" w:hAnsi="Book Antiqua" w:cs="Book Antiqua"/>
          <w:color w:val="000000"/>
          <w:lang w:val="en-US"/>
        </w:rPr>
        <w:t>-</w:t>
      </w:r>
      <w:r w:rsidR="00C357D7" w:rsidRPr="00CE170C">
        <w:rPr>
          <w:rFonts w:ascii="Book Antiqua" w:eastAsia="Book Antiqua" w:hAnsi="Book Antiqua" w:cs="Book Antiqua"/>
          <w:color w:val="000000"/>
          <w:lang w:val="en-US"/>
        </w:rPr>
        <w:t>2509586</w:t>
      </w:r>
      <w:r w:rsidR="00C357D7" w:rsidRPr="00CE170C">
        <w:rPr>
          <w:rFonts w:ascii="Times New Roman" w:eastAsia="MS Mincho" w:hAnsi="Times New Roman" w:cs="Times New Roman"/>
          <w:color w:val="000000"/>
          <w:lang w:val="en-US"/>
        </w:rPr>
        <w:t>‬</w:t>
      </w:r>
    </w:p>
    <w:p w14:paraId="59EFCEE4" w14:textId="77777777" w:rsidR="00327A23" w:rsidRPr="00CE170C" w:rsidRDefault="00327A23" w:rsidP="00CE170C">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snapToGrid w:val="0"/>
        <w:spacing w:line="360" w:lineRule="auto"/>
        <w:jc w:val="both"/>
        <w:outlineLvl w:val="0"/>
        <w:rPr>
          <w:rFonts w:ascii="Book Antiqua" w:hAnsi="Book Antiqua" w:cs="Arial"/>
          <w:b/>
          <w:bCs/>
          <w:color w:val="000000" w:themeColor="text1"/>
          <w:sz w:val="24"/>
          <w:szCs w:val="24"/>
        </w:rPr>
      </w:pPr>
    </w:p>
    <w:p w14:paraId="7DEE4F5A" w14:textId="2FACAA2A" w:rsidR="00BD429A" w:rsidRPr="00BD429A" w:rsidRDefault="00BD429A" w:rsidP="00CE170C">
      <w:pPr>
        <w:adjustRightInd w:val="0"/>
        <w:snapToGrid w:val="0"/>
        <w:spacing w:line="360" w:lineRule="auto"/>
        <w:jc w:val="both"/>
        <w:rPr>
          <w:rFonts w:ascii="Book Antiqua" w:eastAsia="MS Mincho" w:hAnsi="Book Antiqua" w:cs="Times New Roman"/>
          <w:kern w:val="2"/>
          <w:lang w:val="en-US" w:eastAsia="ja-JP"/>
        </w:rPr>
      </w:pPr>
      <w:r w:rsidRPr="00BD429A">
        <w:rPr>
          <w:rFonts w:ascii="Book Antiqua" w:hAnsi="Book Antiqua" w:cs="Times New Roman"/>
          <w:b/>
          <w:lang w:val="en-US" w:eastAsia="zh-CN"/>
        </w:rPr>
        <w:t xml:space="preserve">Received: </w:t>
      </w:r>
      <w:r w:rsidR="00AE0081" w:rsidRPr="00CE170C">
        <w:rPr>
          <w:rFonts w:ascii="Book Antiqua" w:hAnsi="Book Antiqua" w:cs="Times New Roman"/>
          <w:lang w:val="en-US" w:eastAsia="zh-CN"/>
        </w:rPr>
        <w:t>April</w:t>
      </w:r>
      <w:r w:rsidRPr="00BD429A">
        <w:rPr>
          <w:rFonts w:ascii="Book Antiqua" w:hAnsi="Book Antiqua" w:cs="Times New Roman"/>
          <w:lang w:val="en-US" w:eastAsia="zh-CN"/>
        </w:rPr>
        <w:t xml:space="preserve"> </w:t>
      </w:r>
      <w:r w:rsidR="00AE0081" w:rsidRPr="00CE170C">
        <w:rPr>
          <w:rFonts w:ascii="Book Antiqua" w:hAnsi="Book Antiqua" w:cs="Times New Roman"/>
          <w:lang w:val="en-US" w:eastAsia="zh-CN"/>
        </w:rPr>
        <w:t>2</w:t>
      </w:r>
      <w:r w:rsidRPr="00BD429A">
        <w:rPr>
          <w:rFonts w:ascii="Book Antiqua" w:hAnsi="Book Antiqua" w:cs="Times New Roman"/>
          <w:lang w:val="en-US" w:eastAsia="zh-CN"/>
        </w:rPr>
        <w:t>, 2019</w:t>
      </w:r>
    </w:p>
    <w:p w14:paraId="3A672975" w14:textId="6F8F5BC6" w:rsidR="00BD429A" w:rsidRPr="00BD429A" w:rsidRDefault="00BD429A" w:rsidP="00CE170C">
      <w:pPr>
        <w:adjustRightInd w:val="0"/>
        <w:snapToGrid w:val="0"/>
        <w:spacing w:line="360" w:lineRule="auto"/>
        <w:jc w:val="both"/>
        <w:rPr>
          <w:rFonts w:ascii="Book Antiqua" w:hAnsi="Book Antiqua" w:cs="Times New Roman"/>
          <w:b/>
          <w:lang w:val="en-US" w:eastAsia="zh-CN"/>
        </w:rPr>
      </w:pPr>
      <w:r w:rsidRPr="00BD429A">
        <w:rPr>
          <w:rFonts w:ascii="Book Antiqua" w:hAnsi="Book Antiqua" w:cs="Times New Roman"/>
          <w:b/>
          <w:lang w:val="en-US" w:eastAsia="zh-CN"/>
        </w:rPr>
        <w:t>Peer-review started:</w:t>
      </w:r>
      <w:r w:rsidRPr="00BD429A">
        <w:rPr>
          <w:rFonts w:ascii="Book Antiqua" w:hAnsi="Book Antiqua" w:cs="Times New Roman"/>
          <w:lang w:val="en-US" w:eastAsia="zh-CN"/>
        </w:rPr>
        <w:t xml:space="preserve"> </w:t>
      </w:r>
      <w:r w:rsidR="00AE0081" w:rsidRPr="00CE170C">
        <w:rPr>
          <w:rFonts w:ascii="Book Antiqua" w:hAnsi="Book Antiqua" w:cs="Times New Roman"/>
          <w:lang w:val="en-US" w:eastAsia="zh-CN"/>
        </w:rPr>
        <w:t>April</w:t>
      </w:r>
      <w:r w:rsidR="00AE0081" w:rsidRPr="00BD429A">
        <w:rPr>
          <w:rFonts w:ascii="Book Antiqua" w:hAnsi="Book Antiqua" w:cs="Times New Roman"/>
          <w:lang w:val="en-US" w:eastAsia="zh-CN"/>
        </w:rPr>
        <w:t xml:space="preserve"> </w:t>
      </w:r>
      <w:r w:rsidR="00AE0081" w:rsidRPr="00CE170C">
        <w:rPr>
          <w:rFonts w:ascii="Book Antiqua" w:hAnsi="Book Antiqua" w:cs="Times New Roman"/>
          <w:lang w:val="en-US" w:eastAsia="zh-CN"/>
        </w:rPr>
        <w:t>4</w:t>
      </w:r>
      <w:r w:rsidR="00AE0081" w:rsidRPr="00BD429A">
        <w:rPr>
          <w:rFonts w:ascii="Book Antiqua" w:hAnsi="Book Antiqua" w:cs="Times New Roman"/>
          <w:lang w:val="en-US" w:eastAsia="zh-CN"/>
        </w:rPr>
        <w:t>, 2019</w:t>
      </w:r>
    </w:p>
    <w:p w14:paraId="22AE3E5B" w14:textId="3C030669" w:rsidR="00BD429A" w:rsidRPr="00BD429A" w:rsidRDefault="00BD429A" w:rsidP="00CE170C">
      <w:pPr>
        <w:adjustRightInd w:val="0"/>
        <w:snapToGrid w:val="0"/>
        <w:spacing w:line="360" w:lineRule="auto"/>
        <w:jc w:val="both"/>
        <w:rPr>
          <w:rFonts w:ascii="Book Antiqua" w:hAnsi="Book Antiqua" w:cs="Times New Roman"/>
          <w:b/>
          <w:lang w:val="en-US" w:eastAsia="zh-CN"/>
        </w:rPr>
      </w:pPr>
      <w:r w:rsidRPr="00BD429A">
        <w:rPr>
          <w:rFonts w:ascii="Book Antiqua" w:hAnsi="Book Antiqua" w:cs="Times New Roman"/>
          <w:b/>
          <w:lang w:val="en-US" w:eastAsia="zh-CN"/>
        </w:rPr>
        <w:t>First decision:</w:t>
      </w:r>
      <w:r w:rsidRPr="00BD429A">
        <w:rPr>
          <w:rFonts w:ascii="Book Antiqua" w:hAnsi="Book Antiqua" w:cs="Times New Roman"/>
          <w:lang w:val="en-US" w:eastAsia="zh-CN"/>
        </w:rPr>
        <w:t xml:space="preserve"> June </w:t>
      </w:r>
      <w:r w:rsidR="00AE0081" w:rsidRPr="00CE170C">
        <w:rPr>
          <w:rFonts w:ascii="Book Antiqua" w:hAnsi="Book Antiqua" w:cs="Times New Roman"/>
          <w:lang w:val="en-US" w:eastAsia="zh-CN"/>
        </w:rPr>
        <w:t>21</w:t>
      </w:r>
      <w:r w:rsidRPr="00BD429A">
        <w:rPr>
          <w:rFonts w:ascii="Book Antiqua" w:hAnsi="Book Antiqua" w:cs="Times New Roman"/>
          <w:lang w:val="en-US" w:eastAsia="zh-CN"/>
        </w:rPr>
        <w:t>, 2019</w:t>
      </w:r>
    </w:p>
    <w:p w14:paraId="119ADC2A" w14:textId="77777777" w:rsidR="00BD429A" w:rsidRPr="00BD429A" w:rsidRDefault="00BD429A" w:rsidP="00CE170C">
      <w:pPr>
        <w:adjustRightInd w:val="0"/>
        <w:snapToGrid w:val="0"/>
        <w:spacing w:line="360" w:lineRule="auto"/>
        <w:jc w:val="both"/>
        <w:rPr>
          <w:rFonts w:ascii="Book Antiqua" w:hAnsi="Book Antiqua" w:cs="Times New Roman"/>
          <w:b/>
          <w:lang w:val="en-US" w:eastAsia="zh-CN"/>
        </w:rPr>
      </w:pPr>
      <w:r w:rsidRPr="00BD429A">
        <w:rPr>
          <w:rFonts w:ascii="Book Antiqua" w:hAnsi="Book Antiqua" w:cs="Times New Roman"/>
          <w:b/>
          <w:lang w:val="en-US" w:eastAsia="zh-CN"/>
        </w:rPr>
        <w:lastRenderedPageBreak/>
        <w:t xml:space="preserve">Revised: </w:t>
      </w:r>
      <w:r w:rsidRPr="00BD429A">
        <w:rPr>
          <w:rFonts w:ascii="Book Antiqua" w:hAnsi="Book Antiqua" w:cs="Times New Roman"/>
          <w:lang w:val="en-US" w:eastAsia="zh-CN"/>
        </w:rPr>
        <w:t>June 21, 2019</w:t>
      </w:r>
      <w:bookmarkStart w:id="77" w:name="_GoBack"/>
      <w:bookmarkEnd w:id="77"/>
    </w:p>
    <w:p w14:paraId="7CFCE616" w14:textId="5D69435A" w:rsidR="00BD429A" w:rsidRPr="00BD429A" w:rsidRDefault="00BD429A" w:rsidP="00CE170C">
      <w:pPr>
        <w:adjustRightInd w:val="0"/>
        <w:snapToGrid w:val="0"/>
        <w:spacing w:line="360" w:lineRule="auto"/>
        <w:jc w:val="both"/>
        <w:rPr>
          <w:rFonts w:ascii="Book Antiqua" w:hAnsi="Book Antiqua" w:cs="Times New Roman"/>
          <w:b/>
          <w:lang w:val="en-US" w:eastAsia="zh-CN"/>
        </w:rPr>
      </w:pPr>
      <w:r w:rsidRPr="00BD429A">
        <w:rPr>
          <w:rFonts w:ascii="Book Antiqua" w:hAnsi="Book Antiqua" w:cs="Times New Roman"/>
          <w:b/>
          <w:lang w:val="en-US" w:eastAsia="zh-CN"/>
        </w:rPr>
        <w:t>Accepted:</w:t>
      </w:r>
      <w:r w:rsidR="007D1F72" w:rsidRPr="007D1F72">
        <w:t xml:space="preserve"> </w:t>
      </w:r>
      <w:r w:rsidR="007D1F72" w:rsidRPr="007D1F72">
        <w:rPr>
          <w:rFonts w:ascii="Book Antiqua" w:hAnsi="Book Antiqua" w:cs="Times New Roman"/>
          <w:lang w:val="en-US" w:eastAsia="zh-CN"/>
        </w:rPr>
        <w:t>July 20, 2019</w:t>
      </w:r>
      <w:r w:rsidRPr="007D1F72">
        <w:rPr>
          <w:rFonts w:ascii="Book Antiqua" w:hAnsi="Book Antiqua" w:cs="Times New Roman"/>
          <w:lang w:val="en-US" w:eastAsia="zh-CN"/>
        </w:rPr>
        <w:t xml:space="preserve"> </w:t>
      </w:r>
    </w:p>
    <w:p w14:paraId="0D13C7FE" w14:textId="77777777" w:rsidR="00BD429A" w:rsidRPr="00BD429A" w:rsidRDefault="00BD429A" w:rsidP="00CE170C">
      <w:pPr>
        <w:adjustRightInd w:val="0"/>
        <w:snapToGrid w:val="0"/>
        <w:spacing w:line="360" w:lineRule="auto"/>
        <w:jc w:val="both"/>
        <w:rPr>
          <w:rFonts w:ascii="Book Antiqua" w:hAnsi="Book Antiqua" w:cs="Times New Roman"/>
          <w:lang w:val="en-US" w:eastAsia="zh-CN"/>
        </w:rPr>
      </w:pPr>
      <w:r w:rsidRPr="00BD429A">
        <w:rPr>
          <w:rFonts w:ascii="Book Antiqua" w:hAnsi="Book Antiqua" w:cs="Times New Roman"/>
          <w:b/>
          <w:lang w:val="en-US" w:eastAsia="zh-CN"/>
        </w:rPr>
        <w:t>Article in press:</w:t>
      </w:r>
      <w:r w:rsidRPr="00BD429A">
        <w:rPr>
          <w:rFonts w:ascii="Book Antiqua" w:hAnsi="Book Antiqua" w:cs="Times New Roman"/>
          <w:lang w:val="en-US" w:eastAsia="zh-CN"/>
        </w:rPr>
        <w:t xml:space="preserve"> </w:t>
      </w:r>
    </w:p>
    <w:p w14:paraId="73CE5D2F" w14:textId="77777777" w:rsidR="00305CC6" w:rsidRPr="00CE170C" w:rsidRDefault="00BD429A" w:rsidP="00CE170C">
      <w:pPr>
        <w:adjustRightInd w:val="0"/>
        <w:snapToGrid w:val="0"/>
        <w:spacing w:line="360" w:lineRule="auto"/>
        <w:jc w:val="both"/>
        <w:rPr>
          <w:rFonts w:ascii="Book Antiqua" w:hAnsi="Book Antiqua" w:cs="Times New Roman"/>
          <w:b/>
          <w:lang w:val="en-US" w:eastAsia="zh-CN"/>
        </w:rPr>
      </w:pPr>
      <w:r w:rsidRPr="00BD429A">
        <w:rPr>
          <w:rFonts w:ascii="Book Antiqua" w:hAnsi="Book Antiqua" w:cs="Times New Roman"/>
          <w:b/>
          <w:lang w:val="en-US" w:eastAsia="zh-CN"/>
        </w:rPr>
        <w:t xml:space="preserve">Published online: </w:t>
      </w:r>
    </w:p>
    <w:p w14:paraId="1532FF3C" w14:textId="77777777" w:rsidR="00305CC6" w:rsidRPr="00CE170C" w:rsidRDefault="00305CC6" w:rsidP="00CE170C">
      <w:pPr>
        <w:spacing w:line="360" w:lineRule="auto"/>
        <w:rPr>
          <w:rFonts w:ascii="Book Antiqua" w:hAnsi="Book Antiqua" w:cs="Times New Roman"/>
          <w:b/>
          <w:lang w:val="en-US" w:eastAsia="zh-CN"/>
        </w:rPr>
      </w:pPr>
      <w:r w:rsidRPr="00CE170C">
        <w:rPr>
          <w:rFonts w:ascii="Book Antiqua" w:hAnsi="Book Antiqua" w:cs="Times New Roman"/>
          <w:b/>
          <w:lang w:val="en-US" w:eastAsia="zh-CN"/>
        </w:rPr>
        <w:br w:type="page"/>
      </w:r>
    </w:p>
    <w:p w14:paraId="1B96E3CA" w14:textId="35F379F5" w:rsidR="004E54D7" w:rsidRPr="00CE170C" w:rsidRDefault="004F5B28" w:rsidP="00CE170C">
      <w:pPr>
        <w:adjustRightInd w:val="0"/>
        <w:snapToGrid w:val="0"/>
        <w:spacing w:line="360" w:lineRule="auto"/>
        <w:jc w:val="both"/>
        <w:rPr>
          <w:rFonts w:ascii="Book Antiqua" w:eastAsia="Arial Unicode MS" w:hAnsi="Book Antiqua" w:cs="Arial"/>
          <w:b/>
          <w:bCs/>
          <w:color w:val="000000" w:themeColor="text1"/>
          <w:bdr w:val="nil"/>
          <w:lang w:val="en-US" w:eastAsia="pt-BR"/>
        </w:rPr>
      </w:pPr>
      <w:r w:rsidRPr="00CE170C">
        <w:rPr>
          <w:rFonts w:ascii="Book Antiqua" w:eastAsia="Arial Unicode MS" w:hAnsi="Book Antiqua" w:cs="Arial"/>
          <w:b/>
          <w:bCs/>
          <w:color w:val="000000" w:themeColor="text1"/>
          <w:bdr w:val="nil"/>
          <w:lang w:val="en-US" w:eastAsia="pt-BR"/>
        </w:rPr>
        <w:lastRenderedPageBreak/>
        <w:t>A</w:t>
      </w:r>
      <w:r w:rsidR="00305CC6" w:rsidRPr="00CE170C">
        <w:rPr>
          <w:rFonts w:ascii="Book Antiqua" w:eastAsia="Arial Unicode MS" w:hAnsi="Book Antiqua" w:cs="Arial"/>
          <w:b/>
          <w:bCs/>
          <w:color w:val="000000" w:themeColor="text1"/>
          <w:bdr w:val="nil"/>
          <w:lang w:val="en-US" w:eastAsia="pt-BR"/>
        </w:rPr>
        <w:t>bstract</w:t>
      </w:r>
    </w:p>
    <w:p w14:paraId="594AAF4A" w14:textId="50EC5AE5" w:rsidR="00305CC6" w:rsidRPr="00CE170C" w:rsidRDefault="00305CC6" w:rsidP="00CE170C">
      <w:pPr>
        <w:adjustRightInd w:val="0"/>
        <w:snapToGrid w:val="0"/>
        <w:spacing w:line="360" w:lineRule="auto"/>
        <w:jc w:val="both"/>
        <w:rPr>
          <w:rFonts w:ascii="Book Antiqua" w:eastAsia="Arial Unicode MS" w:hAnsi="Book Antiqua" w:cs="Arial"/>
          <w:b/>
          <w:bCs/>
          <w:i/>
          <w:iCs/>
          <w:color w:val="000000" w:themeColor="text1"/>
          <w:bdr w:val="nil"/>
          <w:lang w:val="en-US" w:eastAsia="pt-BR"/>
        </w:rPr>
      </w:pPr>
      <w:r w:rsidRPr="00CE170C">
        <w:rPr>
          <w:rFonts w:ascii="Book Antiqua" w:eastAsia="Arial Unicode MS" w:hAnsi="Book Antiqua" w:cs="Arial"/>
          <w:b/>
          <w:bCs/>
          <w:i/>
          <w:iCs/>
          <w:color w:val="000000" w:themeColor="text1"/>
          <w:bdr w:val="nil"/>
          <w:lang w:val="en-US" w:eastAsia="pt-BR"/>
        </w:rPr>
        <w:t>BACKGROUND</w:t>
      </w:r>
    </w:p>
    <w:p w14:paraId="655C5B11" w14:textId="165EBDA8" w:rsidR="00973F65" w:rsidRPr="00CE170C" w:rsidRDefault="00492D83" w:rsidP="00CE170C">
      <w:pPr>
        <w:adjustRightInd w:val="0"/>
        <w:snapToGrid w:val="0"/>
        <w:spacing w:line="360" w:lineRule="auto"/>
        <w:jc w:val="both"/>
        <w:rPr>
          <w:rFonts w:ascii="Book Antiqua" w:hAnsi="Book Antiqua"/>
          <w:lang w:val="en-US"/>
        </w:rPr>
      </w:pPr>
      <w:r w:rsidRPr="00CE170C">
        <w:rPr>
          <w:rFonts w:ascii="Book Antiqua" w:eastAsia="Arial Unicode MS" w:hAnsi="Book Antiqua" w:cs="Arial"/>
          <w:bCs/>
          <w:color w:val="000000" w:themeColor="text1"/>
          <w:bdr w:val="nil"/>
          <w:lang w:val="en-US" w:eastAsia="pt-BR"/>
        </w:rPr>
        <w:t>Roux-en-Y gastric bypass (RYGB)</w:t>
      </w:r>
      <w:r w:rsidR="00FA4386" w:rsidRPr="00CE170C">
        <w:rPr>
          <w:rFonts w:ascii="Book Antiqua" w:eastAsia="Arial Unicode MS" w:hAnsi="Book Antiqua" w:cs="Arial"/>
          <w:bCs/>
          <w:color w:val="000000" w:themeColor="text1"/>
          <w:bdr w:val="nil"/>
          <w:lang w:val="en-US" w:eastAsia="pt-BR"/>
        </w:rPr>
        <w:t xml:space="preserve"> is</w:t>
      </w:r>
      <w:r w:rsidRPr="00CE170C">
        <w:rPr>
          <w:rFonts w:ascii="Book Antiqua" w:eastAsia="Arial Unicode MS" w:hAnsi="Book Antiqua" w:cs="Arial"/>
          <w:bCs/>
          <w:color w:val="000000" w:themeColor="text1"/>
          <w:bdr w:val="nil"/>
          <w:lang w:val="en-US" w:eastAsia="pt-BR"/>
        </w:rPr>
        <w:t xml:space="preserve"> the most commonly </w:t>
      </w:r>
      <w:r w:rsidR="00F24E57" w:rsidRPr="00CE170C">
        <w:rPr>
          <w:rFonts w:ascii="Book Antiqua" w:eastAsia="Arial Unicode MS" w:hAnsi="Book Antiqua" w:cs="Arial"/>
          <w:bCs/>
          <w:color w:val="000000" w:themeColor="text1"/>
          <w:bdr w:val="nil"/>
          <w:lang w:val="en-US" w:eastAsia="pt-BR"/>
        </w:rPr>
        <w:t xml:space="preserve">performed </w:t>
      </w:r>
      <w:r w:rsidRPr="00CE170C">
        <w:rPr>
          <w:rFonts w:ascii="Book Antiqua" w:eastAsia="Arial Unicode MS" w:hAnsi="Book Antiqua" w:cs="Arial"/>
          <w:bCs/>
          <w:color w:val="000000" w:themeColor="text1"/>
          <w:bdr w:val="nil"/>
          <w:lang w:val="en-US" w:eastAsia="pt-BR"/>
        </w:rPr>
        <w:t xml:space="preserve">surgical procedure used to treat obesity worldwide. Despite satisfactory results in terms of weight loss, over time many patients experience weight regain. </w:t>
      </w:r>
      <w:r w:rsidRPr="00CE170C">
        <w:rPr>
          <w:rFonts w:ascii="Book Antiqua" w:hAnsi="Book Antiqua"/>
          <w:lang w:val="en-US"/>
        </w:rPr>
        <w:t>There are many factors that contribute to weight regain after RYGB</w:t>
      </w:r>
      <w:r w:rsidR="00FA4386" w:rsidRPr="00CE170C">
        <w:rPr>
          <w:rFonts w:ascii="Book Antiqua" w:hAnsi="Book Antiqua"/>
          <w:lang w:val="en-US"/>
        </w:rPr>
        <w:t xml:space="preserve">, including </w:t>
      </w:r>
      <w:r w:rsidRPr="00CE170C">
        <w:rPr>
          <w:rFonts w:ascii="Book Antiqua" w:hAnsi="Book Antiqua"/>
          <w:lang w:val="en-US"/>
        </w:rPr>
        <w:t xml:space="preserve">the diameter of the gastric-jejunal anastomosis (GJA). One of the most commonly </w:t>
      </w:r>
      <w:r w:rsidR="00F24E57" w:rsidRPr="00CE170C">
        <w:rPr>
          <w:rFonts w:ascii="Book Antiqua" w:hAnsi="Book Antiqua"/>
          <w:lang w:val="en-US"/>
        </w:rPr>
        <w:t xml:space="preserve">performed </w:t>
      </w:r>
      <w:r w:rsidRPr="00CE170C">
        <w:rPr>
          <w:rFonts w:ascii="Book Antiqua" w:hAnsi="Book Antiqua"/>
          <w:lang w:val="en-US"/>
        </w:rPr>
        <w:t>endoscopic procedure</w:t>
      </w:r>
      <w:r w:rsidR="00906C1A" w:rsidRPr="00CE170C">
        <w:rPr>
          <w:rFonts w:ascii="Book Antiqua" w:hAnsi="Book Antiqua"/>
          <w:lang w:val="en-US"/>
        </w:rPr>
        <w:t>s</w:t>
      </w:r>
      <w:r w:rsidRPr="00CE170C">
        <w:rPr>
          <w:rFonts w:ascii="Book Antiqua" w:hAnsi="Book Antiqua"/>
          <w:lang w:val="en-US"/>
        </w:rPr>
        <w:t xml:space="preserve"> </w:t>
      </w:r>
      <w:r w:rsidR="000525D4" w:rsidRPr="00CE170C">
        <w:rPr>
          <w:rFonts w:ascii="Book Antiqua" w:hAnsi="Book Antiqua"/>
          <w:lang w:val="en-US"/>
        </w:rPr>
        <w:t>for weight regain after</w:t>
      </w:r>
      <w:r w:rsidRPr="00CE170C">
        <w:rPr>
          <w:rFonts w:ascii="Book Antiqua" w:hAnsi="Book Antiqua"/>
          <w:lang w:val="en-US"/>
        </w:rPr>
        <w:t xml:space="preserve"> RYGB is argon plasma coagulation (APC). We report a case of </w:t>
      </w:r>
      <w:r w:rsidR="00FA4386" w:rsidRPr="00CE170C">
        <w:rPr>
          <w:rFonts w:ascii="Book Antiqua" w:hAnsi="Book Antiqua"/>
          <w:lang w:val="en-US"/>
        </w:rPr>
        <w:t>hematemesis</w:t>
      </w:r>
      <w:r w:rsidRPr="00CE170C">
        <w:rPr>
          <w:rFonts w:ascii="Book Antiqua" w:hAnsi="Book Antiqua"/>
          <w:lang w:val="en-US"/>
        </w:rPr>
        <w:t xml:space="preserve"> after outlet revision with APC. We highlight several treatment modalities that can be used to treat this complication.</w:t>
      </w:r>
    </w:p>
    <w:p w14:paraId="4B9E8C6E" w14:textId="77777777" w:rsidR="00305CC6" w:rsidRPr="00CE170C" w:rsidRDefault="00305CC6" w:rsidP="00CE170C">
      <w:pPr>
        <w:adjustRightInd w:val="0"/>
        <w:snapToGrid w:val="0"/>
        <w:spacing w:line="360" w:lineRule="auto"/>
        <w:jc w:val="both"/>
        <w:rPr>
          <w:rFonts w:ascii="Book Antiqua" w:hAnsi="Book Antiqua"/>
          <w:lang w:val="en-US"/>
        </w:rPr>
      </w:pPr>
    </w:p>
    <w:p w14:paraId="1A79B30D" w14:textId="7CC3EB11" w:rsidR="00305CC6" w:rsidRPr="00CE170C" w:rsidRDefault="00305CC6" w:rsidP="00CE170C">
      <w:pPr>
        <w:adjustRightInd w:val="0"/>
        <w:snapToGrid w:val="0"/>
        <w:spacing w:line="360" w:lineRule="auto"/>
        <w:jc w:val="both"/>
        <w:rPr>
          <w:rFonts w:ascii="Book Antiqua" w:eastAsia="Arial Unicode MS" w:hAnsi="Book Antiqua" w:cs="Arial"/>
          <w:b/>
          <w:bCs/>
          <w:i/>
          <w:iCs/>
          <w:color w:val="000000" w:themeColor="text1"/>
          <w:bdr w:val="nil"/>
          <w:lang w:val="en-US" w:eastAsia="pt-BR"/>
        </w:rPr>
      </w:pPr>
      <w:r w:rsidRPr="00CE170C">
        <w:rPr>
          <w:rFonts w:ascii="Book Antiqua" w:eastAsia="Arial Unicode MS" w:hAnsi="Book Antiqua" w:cs="Arial"/>
          <w:b/>
          <w:bCs/>
          <w:i/>
          <w:iCs/>
          <w:color w:val="000000" w:themeColor="text1"/>
          <w:bdr w:val="nil"/>
          <w:lang w:val="en-US" w:eastAsia="pt-BR"/>
        </w:rPr>
        <w:t>CASE SUMMARY</w:t>
      </w:r>
    </w:p>
    <w:p w14:paraId="48EF63A7" w14:textId="27E8E88F" w:rsidR="00492D83" w:rsidRPr="00CE170C" w:rsidRDefault="00F914AC" w:rsidP="00CE170C">
      <w:pPr>
        <w:adjustRightInd w:val="0"/>
        <w:snapToGrid w:val="0"/>
        <w:spacing w:line="360" w:lineRule="auto"/>
        <w:jc w:val="both"/>
        <w:rPr>
          <w:rFonts w:ascii="Book Antiqua" w:hAnsi="Book Antiqua"/>
          <w:noProof/>
          <w:lang w:val="en-US"/>
        </w:rPr>
      </w:pPr>
      <w:r w:rsidRPr="00CE170C">
        <w:rPr>
          <w:rFonts w:ascii="Book Antiqua" w:eastAsia="Arial Unicode MS" w:hAnsi="Book Antiqua" w:cs="Arial"/>
          <w:bCs/>
          <w:color w:val="000000" w:themeColor="text1"/>
          <w:bdr w:val="nil"/>
          <w:lang w:val="en-US" w:eastAsia="pt-BR"/>
        </w:rPr>
        <w:t>A</w:t>
      </w:r>
      <w:r w:rsidR="00492D83" w:rsidRPr="00CE170C">
        <w:rPr>
          <w:rFonts w:ascii="Book Antiqua" w:eastAsia="Arial Unicode MS" w:hAnsi="Book Antiqua" w:cs="Arial"/>
          <w:bCs/>
          <w:color w:val="000000" w:themeColor="text1"/>
          <w:bdr w:val="nil"/>
          <w:lang w:val="en-US" w:eastAsia="pt-BR"/>
        </w:rPr>
        <w:t xml:space="preserve"> 45-year-old female with</w:t>
      </w:r>
      <w:r w:rsidR="00F24E57" w:rsidRPr="00CE170C">
        <w:rPr>
          <w:rFonts w:ascii="Book Antiqua" w:eastAsia="Arial Unicode MS" w:hAnsi="Book Antiqua" w:cs="Arial"/>
          <w:bCs/>
          <w:color w:val="000000" w:themeColor="text1"/>
          <w:bdr w:val="nil"/>
          <w:lang w:val="en-US" w:eastAsia="pt-BR"/>
        </w:rPr>
        <w:t xml:space="preserve"> a</w:t>
      </w:r>
      <w:r w:rsidR="00492D83" w:rsidRPr="00CE170C">
        <w:rPr>
          <w:rFonts w:ascii="Book Antiqua" w:eastAsia="Arial Unicode MS" w:hAnsi="Book Antiqua" w:cs="Arial"/>
          <w:bCs/>
          <w:color w:val="000000" w:themeColor="text1"/>
          <w:bdr w:val="nil"/>
          <w:lang w:val="en-US" w:eastAsia="pt-BR"/>
        </w:rPr>
        <w:t xml:space="preserve"> </w:t>
      </w:r>
      <w:r w:rsidRPr="00CE170C">
        <w:rPr>
          <w:rFonts w:ascii="Book Antiqua" w:eastAsia="Arial Unicode MS" w:hAnsi="Book Antiqua" w:cs="Arial"/>
          <w:bCs/>
          <w:color w:val="000000" w:themeColor="text1"/>
          <w:bdr w:val="nil"/>
          <w:lang w:val="en-US" w:eastAsia="pt-BR"/>
        </w:rPr>
        <w:t xml:space="preserve">history of weight regain after RYGB was </w:t>
      </w:r>
      <w:r w:rsidR="00492D83" w:rsidRPr="00CE170C">
        <w:rPr>
          <w:rFonts w:ascii="Book Antiqua" w:eastAsia="Arial Unicode MS" w:hAnsi="Book Antiqua" w:cs="Arial"/>
          <w:bCs/>
          <w:color w:val="000000" w:themeColor="text1"/>
          <w:bdr w:val="nil"/>
          <w:lang w:val="en-US" w:eastAsia="pt-BR"/>
        </w:rPr>
        <w:t>referred for possible endoscopic treatment for weight</w:t>
      </w:r>
      <w:r w:rsidR="00FA4386" w:rsidRPr="00CE170C">
        <w:rPr>
          <w:rFonts w:ascii="Book Antiqua" w:eastAsia="Arial Unicode MS" w:hAnsi="Book Antiqua" w:cs="Arial"/>
          <w:bCs/>
          <w:color w:val="000000" w:themeColor="text1"/>
          <w:bdr w:val="nil"/>
          <w:lang w:val="en-US" w:eastAsia="pt-BR"/>
        </w:rPr>
        <w:t xml:space="preserve"> regain</w:t>
      </w:r>
      <w:r w:rsidR="00492D83" w:rsidRPr="00CE170C">
        <w:rPr>
          <w:rFonts w:ascii="Book Antiqua" w:eastAsia="Arial Unicode MS" w:hAnsi="Book Antiqua" w:cs="Arial"/>
          <w:bCs/>
          <w:color w:val="000000" w:themeColor="text1"/>
          <w:bdr w:val="nil"/>
          <w:lang w:val="en-US" w:eastAsia="pt-BR"/>
        </w:rPr>
        <w:t xml:space="preserve">. </w:t>
      </w:r>
      <w:r w:rsidR="00492D83" w:rsidRPr="00CE170C">
        <w:rPr>
          <w:rFonts w:ascii="Book Antiqua" w:hAnsi="Book Antiqua"/>
          <w:noProof/>
          <w:lang w:val="en-US"/>
        </w:rPr>
        <w:t xml:space="preserve">On endoscopic evaluation, </w:t>
      </w:r>
      <w:r w:rsidR="001F4E00" w:rsidRPr="00CE170C">
        <w:rPr>
          <w:rFonts w:ascii="Book Antiqua" w:hAnsi="Book Antiqua"/>
          <w:noProof/>
          <w:lang w:val="en-US"/>
        </w:rPr>
        <w:t>t</w:t>
      </w:r>
      <w:r w:rsidR="00492D83" w:rsidRPr="00CE170C">
        <w:rPr>
          <w:rFonts w:ascii="Book Antiqua" w:hAnsi="Book Antiqua"/>
          <w:noProof/>
          <w:lang w:val="en-US"/>
        </w:rPr>
        <w:t>he diameter of the GJA was 22 mm</w:t>
      </w:r>
      <w:r w:rsidR="001F4E00" w:rsidRPr="00CE170C">
        <w:rPr>
          <w:rFonts w:ascii="Book Antiqua" w:hAnsi="Book Antiqua"/>
          <w:noProof/>
          <w:lang w:val="en-US"/>
        </w:rPr>
        <w:t xml:space="preserve">. </w:t>
      </w:r>
      <w:r w:rsidR="00492D83" w:rsidRPr="00CE170C">
        <w:rPr>
          <w:rFonts w:ascii="Book Antiqua" w:hAnsi="Book Antiqua"/>
          <w:noProof/>
          <w:lang w:val="en-US"/>
        </w:rPr>
        <w:t>Due to the dilated GJA, treatment with APC was performed</w:t>
      </w:r>
      <w:r w:rsidR="001F4E00" w:rsidRPr="00CE170C">
        <w:rPr>
          <w:rFonts w:ascii="Book Antiqua" w:hAnsi="Book Antiqua"/>
          <w:noProof/>
          <w:lang w:val="en-US"/>
        </w:rPr>
        <w:t xml:space="preserve">. </w:t>
      </w:r>
      <w:r w:rsidR="00FC1DD9" w:rsidRPr="00CE170C">
        <w:rPr>
          <w:rFonts w:ascii="Book Antiqua" w:hAnsi="Book Antiqua"/>
          <w:noProof/>
          <w:lang w:val="en-US"/>
        </w:rPr>
        <w:t xml:space="preserve">Several months later she reported </w:t>
      </w:r>
      <w:r w:rsidR="00F24E57" w:rsidRPr="00CE170C">
        <w:rPr>
          <w:rFonts w:ascii="Book Antiqua" w:hAnsi="Book Antiqua"/>
          <w:noProof/>
          <w:lang w:val="en-US"/>
        </w:rPr>
        <w:t xml:space="preserve">a </w:t>
      </w:r>
      <w:r w:rsidR="00FC1DD9" w:rsidRPr="00CE170C">
        <w:rPr>
          <w:rFonts w:ascii="Book Antiqua" w:hAnsi="Book Antiqua"/>
          <w:noProof/>
          <w:lang w:val="en-US"/>
        </w:rPr>
        <w:t xml:space="preserve">return of poor satiety and </w:t>
      </w:r>
      <w:r w:rsidR="00F24E57" w:rsidRPr="00CE170C">
        <w:rPr>
          <w:rFonts w:ascii="Book Antiqua" w:hAnsi="Book Antiqua"/>
          <w:noProof/>
          <w:lang w:val="en-US"/>
        </w:rPr>
        <w:t xml:space="preserve">an </w:t>
      </w:r>
      <w:r w:rsidR="00FC1DD9" w:rsidRPr="00CE170C">
        <w:rPr>
          <w:rFonts w:ascii="Book Antiqua" w:hAnsi="Book Antiqua"/>
          <w:noProof/>
          <w:lang w:val="en-US"/>
        </w:rPr>
        <w:t>increased appetite.</w:t>
      </w:r>
      <w:r w:rsidR="00305CC6" w:rsidRPr="00CE170C">
        <w:rPr>
          <w:rFonts w:ascii="Book Antiqua" w:hAnsi="Book Antiqua"/>
          <w:noProof/>
          <w:lang w:val="en-US"/>
        </w:rPr>
        <w:t xml:space="preserve"> </w:t>
      </w:r>
      <w:r w:rsidR="00FC1DD9" w:rsidRPr="00CE170C">
        <w:rPr>
          <w:rFonts w:ascii="Book Antiqua" w:hAnsi="Book Antiqua"/>
          <w:noProof/>
          <w:lang w:val="en-US"/>
        </w:rPr>
        <w:t xml:space="preserve">A repeat endoscopy was then performed. </w:t>
      </w:r>
      <w:r w:rsidRPr="00CE170C">
        <w:rPr>
          <w:rFonts w:ascii="Book Antiqua" w:hAnsi="Book Antiqua"/>
          <w:noProof/>
          <w:lang w:val="en-US"/>
        </w:rPr>
        <w:t>T</w:t>
      </w:r>
      <w:r w:rsidR="00FC1DD9" w:rsidRPr="00CE170C">
        <w:rPr>
          <w:rFonts w:ascii="Book Antiqua" w:hAnsi="Book Antiqua"/>
          <w:noProof/>
          <w:lang w:val="en-US"/>
        </w:rPr>
        <w:t>he GJA was approximately 15 mm and was incompetent.  APC was performed. One day post procedure she had four episodes of hematemesis. A</w:t>
      </w:r>
      <w:r w:rsidR="00906C1A" w:rsidRPr="00CE170C">
        <w:rPr>
          <w:rFonts w:ascii="Book Antiqua" w:hAnsi="Book Antiqua"/>
          <w:noProof/>
          <w:lang w:val="en-US"/>
        </w:rPr>
        <w:t xml:space="preserve">n </w:t>
      </w:r>
      <w:r w:rsidR="00FC1DD9" w:rsidRPr="00CE170C">
        <w:rPr>
          <w:rFonts w:ascii="Book Antiqua" w:hAnsi="Book Antiqua"/>
          <w:noProof/>
          <w:lang w:val="en-US"/>
        </w:rPr>
        <w:t>endoscopy was performed</w:t>
      </w:r>
      <w:r w:rsidR="00FA4386" w:rsidRPr="00CE170C">
        <w:rPr>
          <w:rFonts w:ascii="Book Antiqua" w:hAnsi="Book Antiqua"/>
          <w:noProof/>
          <w:lang w:val="en-US"/>
        </w:rPr>
        <w:t xml:space="preserve"> and </w:t>
      </w:r>
      <w:r w:rsidR="00FC1DD9" w:rsidRPr="00CE170C">
        <w:rPr>
          <w:rFonts w:ascii="Book Antiqua" w:hAnsi="Book Antiqua"/>
          <w:noProof/>
          <w:lang w:val="en-US"/>
        </w:rPr>
        <w:t>a large ulcer with a visible arterial vessel was visualized at the GJA. Coagulation was attempted using a Coagrasper and after initial contact with the vessel, the vessel started oozing.</w:t>
      </w:r>
      <w:r w:rsidR="00906C1A" w:rsidRPr="00CE170C">
        <w:rPr>
          <w:rFonts w:ascii="Book Antiqua" w:hAnsi="Book Antiqua"/>
          <w:noProof/>
          <w:lang w:val="en-US"/>
        </w:rPr>
        <w:t xml:space="preserve"> </w:t>
      </w:r>
      <w:r w:rsidR="00FA4386" w:rsidRPr="00CE170C">
        <w:rPr>
          <w:rFonts w:ascii="Book Antiqua" w:hAnsi="Book Antiqua"/>
          <w:noProof/>
          <w:lang w:val="en-US"/>
        </w:rPr>
        <w:t>D</w:t>
      </w:r>
      <w:r w:rsidR="00FC1DD9" w:rsidRPr="00CE170C">
        <w:rPr>
          <w:rFonts w:ascii="Book Antiqua" w:hAnsi="Book Antiqua"/>
          <w:noProof/>
          <w:lang w:val="en-US"/>
        </w:rPr>
        <w:t>ue to fibrosis</w:t>
      </w:r>
      <w:r w:rsidR="00906C1A" w:rsidRPr="00CE170C">
        <w:rPr>
          <w:rFonts w:ascii="Book Antiqua" w:hAnsi="Book Antiqua"/>
          <w:noProof/>
          <w:lang w:val="en-US"/>
        </w:rPr>
        <w:t xml:space="preserve"> and the depth of ulceration</w:t>
      </w:r>
      <w:r w:rsidR="00FC1DD9" w:rsidRPr="00CE170C">
        <w:rPr>
          <w:rFonts w:ascii="Book Antiqua" w:hAnsi="Book Antiqua"/>
          <w:noProof/>
          <w:lang w:val="en-US"/>
        </w:rPr>
        <w:t xml:space="preserve"> in the area</w:t>
      </w:r>
      <w:r w:rsidR="00906C1A" w:rsidRPr="00CE170C">
        <w:rPr>
          <w:rFonts w:ascii="Book Antiqua" w:hAnsi="Book Antiqua"/>
          <w:noProof/>
          <w:lang w:val="en-US"/>
        </w:rPr>
        <w:t>,</w:t>
      </w:r>
      <w:r w:rsidR="00FC1DD9" w:rsidRPr="00CE170C">
        <w:rPr>
          <w:rFonts w:ascii="Book Antiqua" w:hAnsi="Book Antiqua"/>
          <w:noProof/>
          <w:lang w:val="en-US"/>
        </w:rPr>
        <w:t xml:space="preserve"> clips</w:t>
      </w:r>
      <w:r w:rsidR="00906C1A" w:rsidRPr="00CE170C">
        <w:rPr>
          <w:rFonts w:ascii="Book Antiqua" w:hAnsi="Book Antiqua"/>
          <w:noProof/>
          <w:lang w:val="en-US"/>
        </w:rPr>
        <w:t xml:space="preserve"> and repeat APC</w:t>
      </w:r>
      <w:r w:rsidR="00FC1DD9" w:rsidRPr="00CE170C">
        <w:rPr>
          <w:rFonts w:ascii="Book Antiqua" w:hAnsi="Book Antiqua"/>
          <w:noProof/>
          <w:lang w:val="en-US"/>
        </w:rPr>
        <w:t xml:space="preserve"> </w:t>
      </w:r>
      <w:r w:rsidR="00F24E57" w:rsidRPr="00CE170C">
        <w:rPr>
          <w:rFonts w:ascii="Book Antiqua" w:hAnsi="Book Antiqua"/>
          <w:noProof/>
          <w:lang w:val="en-US"/>
        </w:rPr>
        <w:t>could not be used.</w:t>
      </w:r>
      <w:r w:rsidR="00FC1DD9" w:rsidRPr="00CE170C">
        <w:rPr>
          <w:rFonts w:ascii="Book Antiqua" w:hAnsi="Book Antiqua"/>
          <w:noProof/>
          <w:lang w:val="en-US"/>
        </w:rPr>
        <w:t xml:space="preserve"> </w:t>
      </w:r>
      <w:r w:rsidR="00906C1A" w:rsidRPr="00CE170C">
        <w:rPr>
          <w:rFonts w:ascii="Book Antiqua" w:hAnsi="Book Antiqua"/>
          <w:noProof/>
          <w:lang w:val="en-US"/>
        </w:rPr>
        <w:t xml:space="preserve">Therefore, </w:t>
      </w:r>
      <w:r w:rsidR="00F24E57" w:rsidRPr="00CE170C">
        <w:rPr>
          <w:rFonts w:ascii="Book Antiqua" w:hAnsi="Book Antiqua"/>
          <w:noProof/>
          <w:lang w:val="en-US"/>
        </w:rPr>
        <w:t xml:space="preserve">an attempt to inject </w:t>
      </w:r>
      <w:r w:rsidR="00906C1A" w:rsidRPr="00CE170C">
        <w:rPr>
          <w:rFonts w:ascii="Book Antiqua" w:hAnsi="Book Antiqua"/>
          <w:noProof/>
          <w:lang w:val="en-US"/>
        </w:rPr>
        <w:t xml:space="preserve">epinephrine injection was </w:t>
      </w:r>
      <w:r w:rsidR="00F24E57" w:rsidRPr="00CE170C">
        <w:rPr>
          <w:rFonts w:ascii="Book Antiqua" w:hAnsi="Book Antiqua"/>
          <w:noProof/>
          <w:lang w:val="en-US"/>
        </w:rPr>
        <w:t xml:space="preserve">made. </w:t>
      </w:r>
      <w:r w:rsidR="00906C1A" w:rsidRPr="00CE170C">
        <w:rPr>
          <w:rFonts w:ascii="Book Antiqua" w:hAnsi="Book Antiqua"/>
          <w:noProof/>
          <w:lang w:val="en-US"/>
        </w:rPr>
        <w:t xml:space="preserve">However, persistent oozing was noted. </w:t>
      </w:r>
      <w:r w:rsidR="00FC1DD9" w:rsidRPr="00CE170C">
        <w:rPr>
          <w:rFonts w:ascii="Book Antiqua" w:hAnsi="Book Antiqua"/>
          <w:noProof/>
          <w:lang w:val="en-US"/>
        </w:rPr>
        <w:t xml:space="preserve">As a result, hemostatic powder was applied to the region of the bleeding vessel. Subsequently, no more bleeding </w:t>
      </w:r>
      <w:r w:rsidRPr="00CE170C">
        <w:rPr>
          <w:rFonts w:ascii="Book Antiqua" w:hAnsi="Book Antiqua"/>
          <w:noProof/>
          <w:lang w:val="en-US"/>
        </w:rPr>
        <w:t>was observed</w:t>
      </w:r>
      <w:r w:rsidR="00FC1DD9" w:rsidRPr="00CE170C">
        <w:rPr>
          <w:rFonts w:ascii="Book Antiqua" w:hAnsi="Book Antiqua"/>
          <w:noProof/>
          <w:lang w:val="en-US"/>
        </w:rPr>
        <w:t xml:space="preserve">. On follow-up, the patient remained hemodynamically stable and a second look endoscopy was not performed. </w:t>
      </w:r>
      <w:r w:rsidR="00F24E57" w:rsidRPr="00CE170C">
        <w:rPr>
          <w:rFonts w:ascii="Book Antiqua" w:hAnsi="Book Antiqua"/>
          <w:noProof/>
          <w:lang w:val="en-US"/>
        </w:rPr>
        <w:t>The patient was</w:t>
      </w:r>
      <w:r w:rsidR="00FC1DD9" w:rsidRPr="00CE170C">
        <w:rPr>
          <w:rFonts w:ascii="Book Antiqua" w:hAnsi="Book Antiqua"/>
          <w:noProof/>
          <w:lang w:val="en-US"/>
        </w:rPr>
        <w:t xml:space="preserve"> discharged three days later.</w:t>
      </w:r>
    </w:p>
    <w:p w14:paraId="06B639E9" w14:textId="77777777" w:rsidR="00305CC6" w:rsidRPr="00CE170C" w:rsidRDefault="00305CC6" w:rsidP="00CE170C">
      <w:pPr>
        <w:adjustRightInd w:val="0"/>
        <w:snapToGrid w:val="0"/>
        <w:spacing w:line="360" w:lineRule="auto"/>
        <w:jc w:val="both"/>
        <w:rPr>
          <w:rFonts w:ascii="Book Antiqua" w:hAnsi="Book Antiqua"/>
          <w:noProof/>
          <w:lang w:val="en-US"/>
        </w:rPr>
      </w:pPr>
    </w:p>
    <w:p w14:paraId="7FC30EBD" w14:textId="619D84F0" w:rsidR="00305CC6" w:rsidRPr="00CE170C" w:rsidRDefault="00305CC6" w:rsidP="00CE170C">
      <w:pPr>
        <w:adjustRightInd w:val="0"/>
        <w:snapToGrid w:val="0"/>
        <w:spacing w:line="360" w:lineRule="auto"/>
        <w:jc w:val="both"/>
        <w:rPr>
          <w:rFonts w:ascii="Book Antiqua" w:eastAsia="Arial Unicode MS" w:hAnsi="Book Antiqua" w:cs="Arial"/>
          <w:b/>
          <w:bCs/>
          <w:i/>
          <w:iCs/>
          <w:color w:val="000000" w:themeColor="text1"/>
          <w:bdr w:val="nil"/>
          <w:lang w:val="en-US" w:eastAsia="pt-BR"/>
        </w:rPr>
      </w:pPr>
      <w:r w:rsidRPr="00CE170C">
        <w:rPr>
          <w:rFonts w:ascii="Book Antiqua" w:eastAsia="Arial Unicode MS" w:hAnsi="Book Antiqua" w:cs="Arial"/>
          <w:b/>
          <w:bCs/>
          <w:i/>
          <w:iCs/>
          <w:color w:val="000000" w:themeColor="text1"/>
          <w:bdr w:val="nil"/>
          <w:lang w:val="en-US" w:eastAsia="pt-BR"/>
        </w:rPr>
        <w:t>CONCLUSION</w:t>
      </w:r>
    </w:p>
    <w:p w14:paraId="4EBDF96D" w14:textId="236F4EB2" w:rsidR="004E54D7" w:rsidRPr="00CE170C" w:rsidRDefault="00305CC6" w:rsidP="00CE170C">
      <w:pPr>
        <w:adjustRightInd w:val="0"/>
        <w:snapToGrid w:val="0"/>
        <w:spacing w:line="360" w:lineRule="auto"/>
        <w:jc w:val="both"/>
        <w:rPr>
          <w:rFonts w:ascii="Book Antiqua" w:eastAsia="Arial Unicode MS" w:hAnsi="Book Antiqua" w:cs="Arial"/>
          <w:bCs/>
          <w:color w:val="000000" w:themeColor="text1"/>
          <w:bdr w:val="nil"/>
          <w:lang w:val="en-US" w:eastAsia="pt-BR"/>
        </w:rPr>
      </w:pPr>
      <w:r w:rsidRPr="00CE170C">
        <w:rPr>
          <w:rFonts w:ascii="Book Antiqua" w:eastAsia="Arial Unicode MS" w:hAnsi="Book Antiqua" w:cs="Arial"/>
          <w:color w:val="000000" w:themeColor="text1"/>
          <w:bdr w:val="nil"/>
          <w:lang w:val="en-US" w:eastAsia="pt-BR"/>
        </w:rPr>
        <w:lastRenderedPageBreak/>
        <w:t>A</w:t>
      </w:r>
      <w:r w:rsidR="00D9264F" w:rsidRPr="00CE170C">
        <w:rPr>
          <w:rFonts w:ascii="Book Antiqua" w:hAnsi="Book Antiqua"/>
          <w:lang w:val="en-US"/>
        </w:rPr>
        <w:t xml:space="preserve">PC revision of the GJA is known to be a relatively safe and effective strategy to manage weight regain post RYGB.  Anastomotic site bleeding is an infrequent and potentially life-threatening complication associated with this therapy.  Endoscopic management is </w:t>
      </w:r>
      <w:r w:rsidR="00F24E57" w:rsidRPr="00CE170C">
        <w:rPr>
          <w:rFonts w:ascii="Book Antiqua" w:hAnsi="Book Antiqua"/>
          <w:lang w:val="en-US"/>
        </w:rPr>
        <w:t xml:space="preserve">the </w:t>
      </w:r>
      <w:r w:rsidR="00D9264F" w:rsidRPr="00CE170C">
        <w:rPr>
          <w:rFonts w:ascii="Book Antiqua" w:hAnsi="Book Antiqua"/>
          <w:lang w:val="en-US"/>
        </w:rPr>
        <w:t xml:space="preserve">first line therapy </w:t>
      </w:r>
      <w:r w:rsidR="00F24E57" w:rsidRPr="00CE170C">
        <w:rPr>
          <w:rFonts w:ascii="Book Antiqua" w:hAnsi="Book Antiqua"/>
          <w:lang w:val="en-US"/>
        </w:rPr>
        <w:t xml:space="preserve">used </w:t>
      </w:r>
      <w:r w:rsidR="00D9264F" w:rsidRPr="00CE170C">
        <w:rPr>
          <w:rFonts w:ascii="Book Antiqua" w:hAnsi="Book Antiqua"/>
          <w:lang w:val="en-US"/>
        </w:rPr>
        <w:t>to achieve hemostasis in these cases.</w:t>
      </w:r>
    </w:p>
    <w:p w14:paraId="16CD6DAD" w14:textId="77777777" w:rsidR="00973F65" w:rsidRPr="00CE170C" w:rsidRDefault="00973F65" w:rsidP="00CE170C">
      <w:pPr>
        <w:adjustRightInd w:val="0"/>
        <w:snapToGrid w:val="0"/>
        <w:spacing w:line="360" w:lineRule="auto"/>
        <w:jc w:val="both"/>
        <w:rPr>
          <w:rFonts w:ascii="Book Antiqua" w:eastAsia="Arial Unicode MS" w:hAnsi="Book Antiqua" w:cs="Arial"/>
          <w:b/>
          <w:bCs/>
          <w:color w:val="000000" w:themeColor="text1"/>
          <w:bdr w:val="nil"/>
          <w:lang w:val="en-US" w:eastAsia="pt-BR"/>
        </w:rPr>
      </w:pPr>
    </w:p>
    <w:p w14:paraId="39B06B36" w14:textId="51E15F38" w:rsidR="00E03432" w:rsidRPr="00CE170C" w:rsidRDefault="00E03432" w:rsidP="00CE170C">
      <w:pPr>
        <w:adjustRightInd w:val="0"/>
        <w:snapToGrid w:val="0"/>
        <w:spacing w:line="360" w:lineRule="auto"/>
        <w:jc w:val="both"/>
        <w:rPr>
          <w:rFonts w:ascii="Book Antiqua" w:eastAsia="等线" w:hAnsi="Book Antiqua" w:cs="Times New Roman"/>
          <w:color w:val="000000"/>
          <w:lang w:val="en-US" w:eastAsia="zh-CN"/>
        </w:rPr>
      </w:pPr>
      <w:r w:rsidRPr="00CE170C">
        <w:rPr>
          <w:rFonts w:ascii="Book Antiqua" w:hAnsi="Book Antiqua"/>
          <w:b/>
          <w:color w:val="000000"/>
        </w:rPr>
        <w:t>Key words</w:t>
      </w:r>
      <w:r w:rsidRPr="00CE170C">
        <w:rPr>
          <w:rFonts w:ascii="Book Antiqua" w:hAnsi="Book Antiqua"/>
          <w:color w:val="000000"/>
        </w:rPr>
        <w:t>:</w:t>
      </w:r>
      <w:r w:rsidRPr="00CE170C">
        <w:rPr>
          <w:rStyle w:val="apple-converted-space"/>
          <w:rFonts w:ascii="Book Antiqua" w:hAnsi="Book Antiqua"/>
          <w:color w:val="000000"/>
        </w:rPr>
        <w:t> </w:t>
      </w:r>
      <w:r w:rsidR="00D9264F" w:rsidRPr="00CE170C">
        <w:rPr>
          <w:rFonts w:ascii="Book Antiqua" w:eastAsia="Arial Unicode MS" w:hAnsi="Book Antiqua" w:cs="Arial"/>
          <w:bCs/>
          <w:color w:val="000000" w:themeColor="text1"/>
          <w:bdr w:val="nil"/>
          <w:lang w:val="en-US" w:eastAsia="pt-BR"/>
        </w:rPr>
        <w:t>Anastomosis; Roux-en-Y</w:t>
      </w:r>
      <w:r w:rsidR="004E54D7" w:rsidRPr="00CE170C">
        <w:rPr>
          <w:rFonts w:ascii="Book Antiqua" w:eastAsia="Arial Unicode MS" w:hAnsi="Book Antiqua" w:cs="Arial"/>
          <w:bCs/>
          <w:color w:val="000000" w:themeColor="text1"/>
          <w:bdr w:val="nil"/>
          <w:lang w:val="en-US" w:eastAsia="pt-BR"/>
        </w:rPr>
        <w:t xml:space="preserve">; </w:t>
      </w:r>
      <w:r w:rsidR="00D9264F" w:rsidRPr="00CE170C">
        <w:rPr>
          <w:rFonts w:ascii="Book Antiqua" w:eastAsia="Arial Unicode MS" w:hAnsi="Book Antiqua" w:cs="Arial"/>
          <w:bCs/>
          <w:color w:val="000000" w:themeColor="text1"/>
          <w:bdr w:val="nil"/>
          <w:lang w:val="en-US" w:eastAsia="pt-BR"/>
        </w:rPr>
        <w:t xml:space="preserve">Argon </w:t>
      </w:r>
      <w:r w:rsidRPr="00CE170C">
        <w:rPr>
          <w:rFonts w:ascii="Book Antiqua" w:eastAsia="Arial Unicode MS" w:hAnsi="Book Antiqua" w:cs="Arial"/>
          <w:bCs/>
          <w:color w:val="000000" w:themeColor="text1"/>
          <w:bdr w:val="nil"/>
          <w:lang w:val="en-US" w:eastAsia="pt-BR"/>
        </w:rPr>
        <w:t>plasma coagula</w:t>
      </w:r>
      <w:r w:rsidR="00D9264F" w:rsidRPr="00CE170C">
        <w:rPr>
          <w:rFonts w:ascii="Book Antiqua" w:eastAsia="Arial Unicode MS" w:hAnsi="Book Antiqua" w:cs="Arial"/>
          <w:bCs/>
          <w:color w:val="000000" w:themeColor="text1"/>
          <w:bdr w:val="nil"/>
          <w:lang w:val="en-US" w:eastAsia="pt-BR"/>
        </w:rPr>
        <w:t xml:space="preserve">tion; </w:t>
      </w:r>
      <w:r w:rsidR="00FC1DD9" w:rsidRPr="00CE170C">
        <w:rPr>
          <w:rFonts w:ascii="Book Antiqua" w:eastAsia="Arial Unicode MS" w:hAnsi="Book Antiqua" w:cs="Arial"/>
          <w:bCs/>
          <w:color w:val="000000" w:themeColor="text1"/>
          <w:bdr w:val="nil"/>
          <w:lang w:val="en-US" w:eastAsia="pt-BR"/>
        </w:rPr>
        <w:t>Bariatric</w:t>
      </w:r>
      <w:r w:rsidR="00D9264F" w:rsidRPr="00CE170C">
        <w:rPr>
          <w:rFonts w:ascii="Book Antiqua" w:eastAsia="Arial Unicode MS" w:hAnsi="Book Antiqua" w:cs="Arial"/>
          <w:bCs/>
          <w:color w:val="000000" w:themeColor="text1"/>
          <w:bdr w:val="nil"/>
          <w:lang w:val="en-US" w:eastAsia="pt-BR"/>
        </w:rPr>
        <w:t xml:space="preserve">; Gastric </w:t>
      </w:r>
      <w:r w:rsidRPr="00CE170C">
        <w:rPr>
          <w:rFonts w:ascii="Book Antiqua" w:eastAsia="Arial Unicode MS" w:hAnsi="Book Antiqua" w:cs="Arial"/>
          <w:bCs/>
          <w:color w:val="000000" w:themeColor="text1"/>
          <w:bdr w:val="nil"/>
          <w:lang w:val="en-US" w:eastAsia="pt-BR"/>
        </w:rPr>
        <w:t>byp</w:t>
      </w:r>
      <w:r w:rsidR="00D9264F" w:rsidRPr="00CE170C">
        <w:rPr>
          <w:rFonts w:ascii="Book Antiqua" w:eastAsia="Arial Unicode MS" w:hAnsi="Book Antiqua" w:cs="Arial"/>
          <w:bCs/>
          <w:color w:val="000000" w:themeColor="text1"/>
          <w:bdr w:val="nil"/>
          <w:lang w:val="en-US" w:eastAsia="pt-BR"/>
        </w:rPr>
        <w:t xml:space="preserve">ass; </w:t>
      </w:r>
      <w:r w:rsidR="003C4604" w:rsidRPr="00CE170C">
        <w:rPr>
          <w:rFonts w:ascii="Book Antiqua" w:eastAsia="Arial Unicode MS" w:hAnsi="Book Antiqua" w:cs="Arial"/>
          <w:bCs/>
          <w:color w:val="000000" w:themeColor="text1"/>
          <w:bdr w:val="nil"/>
          <w:lang w:val="en-US" w:eastAsia="pt-BR"/>
        </w:rPr>
        <w:t xml:space="preserve"> </w:t>
      </w:r>
      <w:r w:rsidR="00D9264F" w:rsidRPr="00CE170C">
        <w:rPr>
          <w:rFonts w:ascii="Book Antiqua" w:eastAsia="Arial Unicode MS" w:hAnsi="Book Antiqua" w:cs="Arial"/>
          <w:bCs/>
          <w:color w:val="000000" w:themeColor="text1"/>
          <w:bdr w:val="nil"/>
          <w:lang w:val="en-US" w:eastAsia="pt-BR"/>
        </w:rPr>
        <w:t>Gastrointestina</w:t>
      </w:r>
      <w:r w:rsidRPr="00CE170C">
        <w:rPr>
          <w:rFonts w:ascii="Book Antiqua" w:eastAsia="Arial Unicode MS" w:hAnsi="Book Antiqua" w:cs="Arial"/>
          <w:bCs/>
          <w:color w:val="000000" w:themeColor="text1"/>
          <w:bdr w:val="nil"/>
          <w:lang w:val="en-US" w:eastAsia="pt-BR"/>
        </w:rPr>
        <w:t>l he</w:t>
      </w:r>
      <w:r w:rsidR="00D9264F" w:rsidRPr="00CE170C">
        <w:rPr>
          <w:rFonts w:ascii="Book Antiqua" w:eastAsia="Arial Unicode MS" w:hAnsi="Book Antiqua" w:cs="Arial"/>
          <w:bCs/>
          <w:color w:val="000000" w:themeColor="text1"/>
          <w:bdr w:val="nil"/>
          <w:lang w:val="en-US" w:eastAsia="pt-BR"/>
        </w:rPr>
        <w:t>morrhage</w:t>
      </w:r>
      <w:r w:rsidR="00906C1A" w:rsidRPr="00CE170C">
        <w:rPr>
          <w:rFonts w:ascii="Book Antiqua" w:eastAsia="Arial Unicode MS" w:hAnsi="Book Antiqua" w:cs="Arial"/>
          <w:bCs/>
          <w:color w:val="000000" w:themeColor="text1"/>
          <w:bdr w:val="nil"/>
          <w:lang w:val="en-US" w:eastAsia="pt-BR"/>
        </w:rPr>
        <w:t>;</w:t>
      </w:r>
      <w:r w:rsidRPr="00CE170C">
        <w:rPr>
          <w:rFonts w:ascii="Book Antiqua" w:eastAsia="等线" w:hAnsi="Book Antiqua" w:cs="Times New Roman"/>
          <w:color w:val="000000"/>
          <w:lang w:val="en-US" w:eastAsia="zh-CN"/>
        </w:rPr>
        <w:t xml:space="preserve"> Case report</w:t>
      </w:r>
    </w:p>
    <w:p w14:paraId="74106A4B" w14:textId="77777777" w:rsidR="00865F1E" w:rsidRPr="00865F1E" w:rsidRDefault="00865F1E" w:rsidP="00CE170C">
      <w:pPr>
        <w:adjustRightInd w:val="0"/>
        <w:snapToGrid w:val="0"/>
        <w:spacing w:line="360" w:lineRule="auto"/>
        <w:jc w:val="both"/>
        <w:rPr>
          <w:rFonts w:ascii="Book Antiqua" w:eastAsia="等线" w:hAnsi="Book Antiqua" w:cs="Times New Roman"/>
          <w:color w:val="000000"/>
          <w:lang w:val="en-US" w:eastAsia="zh-CN"/>
        </w:rPr>
      </w:pPr>
    </w:p>
    <w:p w14:paraId="34CAB4E2" w14:textId="77777777" w:rsidR="00865F1E" w:rsidRPr="00865F1E" w:rsidRDefault="00865F1E" w:rsidP="00CE170C">
      <w:pPr>
        <w:adjustRightInd w:val="0"/>
        <w:snapToGrid w:val="0"/>
        <w:spacing w:line="360" w:lineRule="auto"/>
        <w:jc w:val="both"/>
        <w:rPr>
          <w:rFonts w:ascii="Book Antiqua" w:hAnsi="Book Antiqua" w:cs="Arial"/>
          <w:lang w:val="en-US" w:eastAsia="zh-CN"/>
        </w:rPr>
      </w:pPr>
      <w:r w:rsidRPr="00865F1E">
        <w:rPr>
          <w:rFonts w:ascii="Book Antiqua" w:hAnsi="Book Antiqua" w:cs="Times New Roman"/>
          <w:b/>
          <w:lang w:val="en-US" w:eastAsia="zh-CN"/>
        </w:rPr>
        <w:t xml:space="preserve">© </w:t>
      </w:r>
      <w:r w:rsidRPr="00865F1E">
        <w:rPr>
          <w:rFonts w:ascii="Book Antiqua" w:hAnsi="Book Antiqua" w:cs="Arial"/>
          <w:b/>
          <w:lang w:val="en-US" w:eastAsia="zh-CN"/>
        </w:rPr>
        <w:t>The Author(s) 2019.</w:t>
      </w:r>
      <w:r w:rsidRPr="00865F1E">
        <w:rPr>
          <w:rFonts w:ascii="Book Antiqua" w:hAnsi="Book Antiqua" w:cs="Arial"/>
          <w:lang w:val="en-US" w:eastAsia="zh-CN"/>
        </w:rPr>
        <w:t xml:space="preserve"> Published by Baishideng Publishing Group Inc. All rights reserved.</w:t>
      </w:r>
    </w:p>
    <w:p w14:paraId="76191B7A" w14:textId="77777777" w:rsidR="00D9264F" w:rsidRPr="00CE170C" w:rsidRDefault="00D9264F" w:rsidP="00CE170C">
      <w:pPr>
        <w:adjustRightInd w:val="0"/>
        <w:snapToGrid w:val="0"/>
        <w:spacing w:line="360" w:lineRule="auto"/>
        <w:jc w:val="both"/>
        <w:rPr>
          <w:rFonts w:ascii="Book Antiqua" w:hAnsi="Book Antiqua"/>
          <w:lang w:val="en-US"/>
        </w:rPr>
      </w:pPr>
    </w:p>
    <w:p w14:paraId="6BD62631" w14:textId="2192EC08" w:rsidR="00FA0D63" w:rsidRPr="00CE170C" w:rsidRDefault="00B87A52" w:rsidP="00CE170C">
      <w:pPr>
        <w:adjustRightInd w:val="0"/>
        <w:snapToGrid w:val="0"/>
        <w:spacing w:line="360" w:lineRule="auto"/>
        <w:jc w:val="both"/>
        <w:rPr>
          <w:rFonts w:ascii="Book Antiqua" w:hAnsi="Book Antiqua"/>
          <w:lang w:val="en-US"/>
        </w:rPr>
      </w:pPr>
      <w:r w:rsidRPr="00CE170C">
        <w:rPr>
          <w:rFonts w:ascii="Book Antiqua" w:hAnsi="Book Antiqua" w:cs="Times New Roman"/>
          <w:b/>
          <w:color w:val="000000"/>
          <w:lang w:val="en-US"/>
        </w:rPr>
        <w:t xml:space="preserve">Core tip: </w:t>
      </w:r>
      <w:r w:rsidR="00FA0D63" w:rsidRPr="00CE170C">
        <w:rPr>
          <w:rFonts w:ascii="Book Antiqua" w:hAnsi="Book Antiqua"/>
          <w:lang w:val="en-US"/>
        </w:rPr>
        <w:t>We report a case of a patient with</w:t>
      </w:r>
      <w:r w:rsidR="00FC1DD9" w:rsidRPr="00CE170C">
        <w:rPr>
          <w:rFonts w:ascii="Book Antiqua" w:hAnsi="Book Antiqua"/>
          <w:lang w:val="en-US"/>
        </w:rPr>
        <w:t xml:space="preserve"> weight regain after</w:t>
      </w:r>
      <w:r w:rsidR="00FA0D63" w:rsidRPr="00CE170C">
        <w:rPr>
          <w:rFonts w:ascii="Book Antiqua" w:hAnsi="Book Antiqua"/>
          <w:lang w:val="en-US"/>
        </w:rPr>
        <w:t xml:space="preserve"> </w:t>
      </w:r>
      <w:r w:rsidR="00382E92" w:rsidRPr="00CE170C">
        <w:rPr>
          <w:rFonts w:ascii="Book Antiqua" w:hAnsi="Book Antiqua"/>
          <w:lang w:val="en-US"/>
        </w:rPr>
        <w:t>Roux-en-Y gastric bypass</w:t>
      </w:r>
      <w:r w:rsidR="00FA0D63" w:rsidRPr="00CE170C">
        <w:rPr>
          <w:rFonts w:ascii="Book Antiqua" w:hAnsi="Book Antiqua"/>
          <w:lang w:val="en-US"/>
        </w:rPr>
        <w:t xml:space="preserve"> presenting with gastrointestinal bleeding after recent outlet revision with </w:t>
      </w:r>
      <w:r w:rsidR="00382E92" w:rsidRPr="00CE170C">
        <w:rPr>
          <w:rFonts w:ascii="Book Antiqua" w:hAnsi="Book Antiqua"/>
          <w:lang w:val="en-US"/>
        </w:rPr>
        <w:t>argon plasma coagulation</w:t>
      </w:r>
      <w:r w:rsidR="00FA0D63" w:rsidRPr="00CE170C">
        <w:rPr>
          <w:rFonts w:ascii="Book Antiqua" w:hAnsi="Book Antiqua"/>
          <w:lang w:val="en-US"/>
        </w:rPr>
        <w:t>. We highlight several treatment modalities</w:t>
      </w:r>
      <w:r w:rsidR="00F24E57" w:rsidRPr="00CE170C">
        <w:rPr>
          <w:rFonts w:ascii="Book Antiqua" w:hAnsi="Book Antiqua"/>
          <w:lang w:val="en-US"/>
        </w:rPr>
        <w:t>, including mechanical, thermal, and topical endoscopic therapies</w:t>
      </w:r>
      <w:r w:rsidR="00FA0D63" w:rsidRPr="00CE170C">
        <w:rPr>
          <w:rFonts w:ascii="Book Antiqua" w:hAnsi="Book Antiqua"/>
          <w:lang w:val="en-US"/>
        </w:rPr>
        <w:t xml:space="preserve"> that can be used to treat this complication.</w:t>
      </w:r>
    </w:p>
    <w:p w14:paraId="0699F352" w14:textId="1C75C1DB" w:rsidR="000F279A" w:rsidRPr="00CE170C" w:rsidRDefault="000F279A" w:rsidP="00CE170C">
      <w:pPr>
        <w:adjustRightInd w:val="0"/>
        <w:snapToGrid w:val="0"/>
        <w:spacing w:line="360" w:lineRule="auto"/>
        <w:rPr>
          <w:rFonts w:ascii="Book Antiqua" w:hAnsi="Book Antiqua"/>
          <w:lang w:val="en-US"/>
        </w:rPr>
      </w:pPr>
    </w:p>
    <w:p w14:paraId="6A920A5A" w14:textId="77777777" w:rsidR="009051CD" w:rsidRPr="00CE170C" w:rsidRDefault="00091C0C" w:rsidP="00CE170C">
      <w:pPr>
        <w:adjustRightInd w:val="0"/>
        <w:snapToGrid w:val="0"/>
        <w:spacing w:line="360" w:lineRule="auto"/>
        <w:rPr>
          <w:rFonts w:ascii="Book Antiqua" w:eastAsia="MS Mincho" w:hAnsi="Book Antiqua" w:cs="Times New Roman"/>
          <w:bCs/>
          <w:kern w:val="2"/>
          <w:lang w:val="en-US" w:eastAsia="ja-JP"/>
        </w:rPr>
      </w:pPr>
      <w:r w:rsidRPr="00CE170C">
        <w:rPr>
          <w:rFonts w:ascii="Book Antiqua" w:hAnsi="Book Antiqua"/>
        </w:rPr>
        <w:t>de Moura DTH, Sachdev AH, Lu P, Ribeiro IB, Thompson CC. Acute bleeding after argon plasma coagulation for weight regain after gastric bypass: A case report</w:t>
      </w:r>
      <w:r w:rsidRPr="00CE170C">
        <w:rPr>
          <w:rFonts w:ascii="Book Antiqua" w:eastAsia="MS Mincho" w:hAnsi="Book Antiqua" w:cs="Times New Roman"/>
          <w:bCs/>
          <w:kern w:val="2"/>
          <w:lang w:val="en-US" w:eastAsia="ja-JP"/>
        </w:rPr>
        <w:t>.</w:t>
      </w:r>
      <w:r w:rsidRPr="00CE170C">
        <w:rPr>
          <w:rFonts w:ascii="Book Antiqua" w:hAnsi="Book Antiqua" w:cs="Times New Roman"/>
          <w:bCs/>
          <w:lang w:val="en-US" w:eastAsia="ja-JP"/>
        </w:rPr>
        <w:t xml:space="preserve"> </w:t>
      </w:r>
      <w:r w:rsidRPr="00CE170C">
        <w:rPr>
          <w:rFonts w:ascii="Book Antiqua" w:hAnsi="Book Antiqua" w:cs="Times New Roman"/>
          <w:bCs/>
          <w:i/>
          <w:lang w:val="en-US" w:eastAsia="ja-JP"/>
        </w:rPr>
        <w:t>World J Clin Cases</w:t>
      </w:r>
      <w:r w:rsidRPr="00CE170C">
        <w:rPr>
          <w:rFonts w:ascii="Book Antiqua" w:hAnsi="Book Antiqua" w:cs="Times New Roman"/>
          <w:bCs/>
          <w:lang w:val="en-US" w:eastAsia="ja-JP"/>
        </w:rPr>
        <w:t xml:space="preserve"> 2019; In press</w:t>
      </w:r>
    </w:p>
    <w:p w14:paraId="5605D1F1" w14:textId="77777777" w:rsidR="009051CD" w:rsidRPr="00CE170C" w:rsidRDefault="009051CD" w:rsidP="00CE170C">
      <w:pPr>
        <w:spacing w:line="360" w:lineRule="auto"/>
        <w:rPr>
          <w:rFonts w:ascii="Book Antiqua" w:eastAsia="MS Mincho" w:hAnsi="Book Antiqua" w:cs="Times New Roman"/>
          <w:bCs/>
          <w:kern w:val="2"/>
          <w:lang w:val="en-US" w:eastAsia="ja-JP"/>
        </w:rPr>
      </w:pPr>
      <w:r w:rsidRPr="00CE170C">
        <w:rPr>
          <w:rFonts w:ascii="Book Antiqua" w:eastAsia="MS Mincho" w:hAnsi="Book Antiqua" w:cs="Times New Roman"/>
          <w:bCs/>
          <w:kern w:val="2"/>
          <w:lang w:val="en-US" w:eastAsia="ja-JP"/>
        </w:rPr>
        <w:br w:type="page"/>
      </w:r>
    </w:p>
    <w:p w14:paraId="4130472E" w14:textId="7FA41D52" w:rsidR="001312C9" w:rsidRPr="00CE170C" w:rsidRDefault="00913896" w:rsidP="00CE170C">
      <w:pPr>
        <w:adjustRightInd w:val="0"/>
        <w:snapToGrid w:val="0"/>
        <w:spacing w:line="360" w:lineRule="auto"/>
        <w:rPr>
          <w:rFonts w:ascii="Book Antiqua" w:hAnsi="Book Antiqua"/>
          <w:lang w:val="en-US"/>
        </w:rPr>
      </w:pPr>
      <w:r w:rsidRPr="00CE170C">
        <w:rPr>
          <w:rFonts w:ascii="Book Antiqua" w:hAnsi="Book Antiqua"/>
          <w:b/>
          <w:color w:val="000000" w:themeColor="text1"/>
          <w:lang w:val="en-US"/>
        </w:rPr>
        <w:lastRenderedPageBreak/>
        <w:t>INTRODUCTION</w:t>
      </w:r>
    </w:p>
    <w:p w14:paraId="2D47BFC3" w14:textId="298EA1CC" w:rsidR="0026605D" w:rsidRPr="00CE170C" w:rsidRDefault="0026605D" w:rsidP="00CE170C">
      <w:pPr>
        <w:adjustRightInd w:val="0"/>
        <w:snapToGrid w:val="0"/>
        <w:spacing w:line="360" w:lineRule="auto"/>
        <w:jc w:val="both"/>
        <w:rPr>
          <w:rFonts w:ascii="Book Antiqua" w:hAnsi="Book Antiqua"/>
          <w:lang w:val="en-US"/>
        </w:rPr>
      </w:pPr>
      <w:r w:rsidRPr="00CE170C">
        <w:rPr>
          <w:rFonts w:ascii="Book Antiqua" w:hAnsi="Book Antiqua"/>
          <w:lang w:val="en-US"/>
        </w:rPr>
        <w:t>Roux-en-Y gastric bypass (RYGB) is one of the most commonly performed surgical procedure used to treat obesity worldwide</w:t>
      </w:r>
      <w:r w:rsidR="001A3B9D" w:rsidRPr="00CE170C">
        <w:rPr>
          <w:rFonts w:ascii="Book Antiqua" w:hAnsi="Book Antiqua"/>
          <w:lang w:val="en-US"/>
        </w:rPr>
        <w:fldChar w:fldCharType="begin" w:fldLock="1"/>
      </w:r>
      <w:r w:rsidR="001A3B9D" w:rsidRPr="00CE170C">
        <w:rPr>
          <w:rFonts w:ascii="Book Antiqua" w:hAnsi="Book Antiqua"/>
          <w:lang w:val="en-US"/>
        </w:rPr>
        <w:instrText>ADDIN CSL_CITATION {"citationItems":[{"id":"ITEM-1","itemData":{"DOI":"10.1001/jama.292.14.1724","ISSN":"1538-3598","PMID":"15479938","abstract":"CONTEXT About 5% of the US population is morbidly obese. This disease remains largely refractory to diet and drug therapy, but generally responds well to bariatric surgery. OBJECTIVE To determine the impact of bariatric surgery on weight loss, operative mortality outcome, and 4 obesity comorbidities (diabetes, hyperlipidemia, hypertension, and obstructive sleep apnea). DATA SOURCES AND STUDY SELECTION Electronic literature search of MEDLINE, Current Contents, and the Cochrane Library databases plus manual reference checks of all articles on bariatric surgery published in the English language between 1990 and 2003. Two levels of screening were used on 2738 citations. DATA EXTRACTION A total of 136 fully extracted studies, which included 91 overlapping patient populations (kin studies), were included for a total of 22,094 patients. Nineteen percent of the patients were men and 72.6% were women, with a mean age of 39 years (range, 16-64 years). Sex was not reported for 1537 patients (8%). The baseline mean body mass index for 16 944 patients was 46.9 (range, 32.3-68.8). DATA SYNTHESIS A random effects model was used in the meta-analysis. The mean (95% confidence interval) percentage of excess weight loss was 61.2% (58.1%-64.4%) for all patients; 47.5% (40.7%-54.2%) for patients who underwent gastric banding; 61.6% (56.7%-66.5%), gastric bypass; 68.2% (61.5%-74.8%), gastroplasty; and 70.1% (66.3%-73.9%), biliopancreatic diversion or duodenal switch. Operative mortality (&lt; or =30 days) in the extracted studies was 0.1% for the purely restrictive procedures, 0.5% for gastric bypass, and 1.1% for biliopancreatic diversion or duodenal switch. Diabetes was completely resolved in 76.8% of patients and resolved or improved in 86.0%. Hyperlipidemia improved in 70% or more of patients. Hypertension was resolved in 61.7% of patients and resolved or improved in 78.5%. Obstructive sleep apnea was resolved in 85.7% of patients and was resolved or improved in 83.6% of patients. CONCLUSIONS Effective weight loss was achieved in morbidly obese patients after undergoing bariatric surgery. A substantial majority of patients with diabetes, hyperlipidemia, hypertension, and obstructive sleep apnea experienced complete resolution or improvement.","author":[{"dropping-particle":"","family":"Buchwald","given":"Henry","non-dropping-particle":"","parse-names":false,"suffix":""},{"dropping-particle":"","family":"Avidor","given":"Yoav","non-dropping-particle":"","parse-names":false,"suffix":""},{"dropping-particle":"","family":"Braunwald","given":"Eugene","non-dropping-particle":"","parse-names":false,"suffix":""},{"dropping-particle":"","family":"Jensen","given":"Michael D","non-dropping-particle":"","parse-names":false,"suffix":""},{"dropping-particle":"","family":"Pories","given":"Walter","non-dropping-particle":"","parse-names":false,"suffix":""},{"dropping-particle":"","family":"Fahrbach","given":"Kyle","non-dropping-particle":"","parse-names":false,"suffix":""},{"dropping-particle":"","family":"Schoelles","given":"Karen","non-dropping-particle":"","parse-names":false,"suffix":""}],"container-title":"JAMA","id":"ITEM-1","issue":"14","issued":{"date-parts":[["2004","10","13"]]},"page":"1724-37","title":"Bariatric surgery: a systematic review and meta-analysis.","type":"article-journal","volume":"292"},"uris":["http://www.mendeley.com/documents/?uuid=f2b6e1df-3ddc-43a5-9f74-003282a1629c"]}],"mendeley":{"formattedCitation":"&lt;sup&gt;[1]&lt;/sup&gt;","plainTextFormattedCitation":"[1]","previouslyFormattedCitation":"&lt;sup&gt;[1]&lt;/sup&gt;"},"properties":{"noteIndex":0},"schema":"https://github.com/citation-style-language/schema/raw/master/csl-citation.json"}</w:instrText>
      </w:r>
      <w:r w:rsidR="001A3B9D" w:rsidRPr="00CE170C">
        <w:rPr>
          <w:rFonts w:ascii="Book Antiqua" w:hAnsi="Book Antiqua"/>
          <w:lang w:val="en-US"/>
        </w:rPr>
        <w:fldChar w:fldCharType="separate"/>
      </w:r>
      <w:r w:rsidR="001A3B9D" w:rsidRPr="00CE170C">
        <w:rPr>
          <w:rFonts w:ascii="Book Antiqua" w:hAnsi="Book Antiqua"/>
          <w:noProof/>
          <w:vertAlign w:val="superscript"/>
          <w:lang w:val="en-US"/>
        </w:rPr>
        <w:t>[1]</w:t>
      </w:r>
      <w:r w:rsidR="001A3B9D" w:rsidRPr="00CE170C">
        <w:rPr>
          <w:rFonts w:ascii="Book Antiqua" w:hAnsi="Book Antiqua"/>
          <w:lang w:val="en-US"/>
        </w:rPr>
        <w:fldChar w:fldCharType="end"/>
      </w:r>
      <w:r w:rsidRPr="00CE170C">
        <w:rPr>
          <w:rFonts w:ascii="Book Antiqua" w:hAnsi="Book Antiqua"/>
          <w:lang w:val="en-US"/>
        </w:rPr>
        <w:t>. Despite satisfactory results in terms of weight loss, over time many patients experience weight regain</w:t>
      </w:r>
      <w:r w:rsidR="001A3B9D" w:rsidRPr="00CE170C">
        <w:rPr>
          <w:rFonts w:ascii="Book Antiqua" w:hAnsi="Book Antiqua"/>
          <w:lang w:val="en-US"/>
        </w:rPr>
        <w:fldChar w:fldCharType="begin" w:fldLock="1"/>
      </w:r>
      <w:r w:rsidR="001A3B9D" w:rsidRPr="00CE170C">
        <w:rPr>
          <w:rFonts w:ascii="Book Antiqua" w:hAnsi="Book Antiqua"/>
          <w:lang w:val="en-US"/>
        </w:rPr>
        <w:instrText>ADDIN CSL_CITATION {"citationItems":[{"id":"ITEM-1","itemData":{"DOI":"10.1080/17446651.2019.1571907","ISSN":"1744-8417","PMID":"30691326","abstract":"INTRODUCTION With the cumulative increase in the number of patients undergoing bariatric surgery, postoperative weight regain has become a considerable challenge. Mechanisms for weight regain are not fully understood and the process is likely multifactorial in many cases. Endoluminal revisions that reduce gastric pouch size and diameter of the gastrojejunal anastomosis may offer an effective and less invasive management strategy for this population. Areas covered: We critically review data from case series, retrospective and prospective studies, and meta-analyses pertaining to weight regain after gastric bypass. A variety of endoscopic revision approaches are reviewed, including technique details, procedural safety and efficacy, and post-procedure care. Expert commentary: Given the proliferation of endoluminal therapies with evidence showing safety and efficacy in the treatment of weight regain, it is likely that endoscopic revision will be the gold standard to treat weight regain in patients with gastric bypass.","author":[{"dropping-particle":"","family":"Hourneaux De Moura","given":"Diogo Turiani","non-dropping-particle":"","parse-names":false,"suffix":""},{"dropping-particle":"","family":"Thompson","given":"Christopher C","non-dropping-particle":"","parse-names":false,"suffix":""}],"container-title":"Expert review of endocrinology &amp; metabolism","id":"ITEM-1","issued":{"date-parts":[["2019","1","29"]]},"page":"1-14","title":"Endoscopic management of weight regain following Roux-en-Y gastric bypass.","type":"article-journal"},"uris":["http://www.mendeley.com/documents/?uuid=a4d63386-5cef-47a7-b3f2-213e944e0745"]}],"mendeley":{"formattedCitation":"&lt;sup&gt;[2]&lt;/sup&gt;","plainTextFormattedCitation":"[2]","previouslyFormattedCitation":"&lt;sup&gt;[2]&lt;/sup&gt;"},"properties":{"noteIndex":0},"schema":"https://github.com/citation-style-language/schema/raw/master/csl-citation.json"}</w:instrText>
      </w:r>
      <w:r w:rsidR="001A3B9D" w:rsidRPr="00CE170C">
        <w:rPr>
          <w:rFonts w:ascii="Book Antiqua" w:hAnsi="Book Antiqua"/>
          <w:lang w:val="en-US"/>
        </w:rPr>
        <w:fldChar w:fldCharType="separate"/>
      </w:r>
      <w:r w:rsidR="001A3B9D" w:rsidRPr="00CE170C">
        <w:rPr>
          <w:rFonts w:ascii="Book Antiqua" w:hAnsi="Book Antiqua"/>
          <w:noProof/>
          <w:vertAlign w:val="superscript"/>
          <w:lang w:val="en-US"/>
        </w:rPr>
        <w:t>[2]</w:t>
      </w:r>
      <w:r w:rsidR="001A3B9D" w:rsidRPr="00CE170C">
        <w:rPr>
          <w:rFonts w:ascii="Book Antiqua" w:hAnsi="Book Antiqua"/>
          <w:lang w:val="en-US"/>
        </w:rPr>
        <w:fldChar w:fldCharType="end"/>
      </w:r>
      <w:r w:rsidRPr="00CE170C">
        <w:rPr>
          <w:rFonts w:ascii="Book Antiqua" w:hAnsi="Book Antiqua"/>
          <w:lang w:val="en-US"/>
        </w:rPr>
        <w:t>. There are many factors that contribute to weight regain after RYGB, including lack of exercise, medical conditions, psychiatric problems, overeating, medicines known to cause weight gain, poor family support, and dilation of the gastric-jejunal anastomosis (GJA)</w:t>
      </w:r>
      <w:r w:rsidR="001A3B9D" w:rsidRPr="00CE170C">
        <w:rPr>
          <w:rFonts w:ascii="Book Antiqua" w:hAnsi="Book Antiqua"/>
          <w:lang w:val="en-US"/>
        </w:rPr>
        <w:fldChar w:fldCharType="begin" w:fldLock="1"/>
      </w:r>
      <w:r w:rsidR="001A3B9D" w:rsidRPr="00CE170C">
        <w:rPr>
          <w:rFonts w:ascii="Book Antiqua" w:hAnsi="Book Antiqua"/>
          <w:lang w:val="en-US"/>
        </w:rPr>
        <w:instrText>ADDIN CSL_CITATION {"citationItems":[{"id":"ITEM-1","itemData":{"DOI":"10.1080/17446651.2019.1571907","ISSN":"1744-8417","PMID":"30691326","abstract":"INTRODUCTION With the cumulative increase in the number of patients undergoing bariatric surgery, postoperative weight regain has become a considerable challenge. Mechanisms for weight regain are not fully understood and the process is likely multifactorial in many cases. Endoluminal revisions that reduce gastric pouch size and diameter of the gastrojejunal anastomosis may offer an effective and less invasive management strategy for this population. Areas covered: We critically review data from case series, retrospective and prospective studies, and meta-analyses pertaining to weight regain after gastric bypass. A variety of endoscopic revision approaches are reviewed, including technique details, procedural safety and efficacy, and post-procedure care. Expert commentary: Given the proliferation of endoluminal therapies with evidence showing safety and efficacy in the treatment of weight regain, it is likely that endoscopic revision will be the gold standard to treat weight regain in patients with gastric bypass.","author":[{"dropping-particle":"","family":"Hourneaux De Moura","given":"Diogo Turiani","non-dropping-particle":"","parse-names":false,"suffix":""},{"dropping-particle":"","family":"Thompson","given":"Christopher C","non-dropping-particle":"","parse-names":false,"suffix":""}],"container-title":"Expert review of endocrinology &amp; metabolism","id":"ITEM-1","issued":{"date-parts":[["2019","1","29"]]},"page":"1-14","title":"Endoscopic management of weight regain following Roux-en-Y gastric bypass.","type":"article-journal"},"uris":["http://www.mendeley.com/documents/?uuid=a4d63386-5cef-47a7-b3f2-213e944e0745"]},{"id":"ITEM-2","itemData":{"DOI":"10.1007/s11695-010-0202-3","ISSN":"0960-8923","author":[{"dropping-particle":"","family":"Barhouch","given":"Anália S.","non-dropping-particle":"","parse-names":false,"suffix":""},{"dropping-particle":"","family":"Zardo","given":"Marcelo","non-dropping-particle":"","parse-names":false,"suffix":""},{"dropping-particle":"V.","family":"Padoin","given":"Alexandre","non-dropping-particle":"","parse-names":false,"suffix":""},{"dropping-particle":"","family":"Colossi","given":"Fernanda G.","non-dropping-particle":"","parse-names":false,"suffix":""},{"dropping-particle":"","family":"Casagrande","given":"Daniela S.","non-dropping-particle":"","parse-names":false,"suffix":""},{"dropping-particle":"","family":"Chatkin","given":"Raquel","non-dropping-particle":"","parse-names":false,"suffix":""},{"dropping-particle":"","family":"Mottin","given":"Cláudio Corá","non-dropping-particle":"","parse-names":false,"suffix":""}],"container-title":"Obesity Surgery","id":"ITEM-2","issue":"11","issued":{"date-parts":[["2010","11","16"]]},"page":"1479-1483","title":"Excess Weight Loss Variation in Late Postoperative Period of Gastric Bypass","type":"article-journal","volume":"20"},"uris":["http://www.mendeley.com/documents/?uuid=41895b3f-53a0-4107-8e78-a69e20f1ca38"]}],"mendeley":{"formattedCitation":"&lt;sup&gt;[2,3]&lt;/sup&gt;","plainTextFormattedCitation":"[2,3]","previouslyFormattedCitation":"&lt;sup&gt;[2,3]&lt;/sup&gt;"},"properties":{"noteIndex":0},"schema":"https://github.com/citation-style-language/schema/raw/master/csl-citation.json"}</w:instrText>
      </w:r>
      <w:r w:rsidR="001A3B9D" w:rsidRPr="00CE170C">
        <w:rPr>
          <w:rFonts w:ascii="Book Antiqua" w:hAnsi="Book Antiqua"/>
          <w:lang w:val="en-US"/>
        </w:rPr>
        <w:fldChar w:fldCharType="separate"/>
      </w:r>
      <w:r w:rsidR="001A3B9D" w:rsidRPr="00CE170C">
        <w:rPr>
          <w:rFonts w:ascii="Book Antiqua" w:hAnsi="Book Antiqua"/>
          <w:noProof/>
          <w:vertAlign w:val="superscript"/>
          <w:lang w:val="en-US"/>
        </w:rPr>
        <w:t>[2,3]</w:t>
      </w:r>
      <w:r w:rsidR="001A3B9D" w:rsidRPr="00CE170C">
        <w:rPr>
          <w:rFonts w:ascii="Book Antiqua" w:hAnsi="Book Antiqua"/>
          <w:lang w:val="en-US"/>
        </w:rPr>
        <w:fldChar w:fldCharType="end"/>
      </w:r>
      <w:r w:rsidRPr="00CE170C">
        <w:rPr>
          <w:rFonts w:ascii="Book Antiqua" w:hAnsi="Book Antiqua"/>
          <w:lang w:val="en-US"/>
        </w:rPr>
        <w:t xml:space="preserve">. </w:t>
      </w:r>
    </w:p>
    <w:p w14:paraId="62CC4D94" w14:textId="3853EDD5" w:rsidR="00A36530" w:rsidRPr="00CE170C" w:rsidRDefault="0026605D" w:rsidP="00CE170C">
      <w:pPr>
        <w:adjustRightInd w:val="0"/>
        <w:snapToGrid w:val="0"/>
        <w:spacing w:line="360" w:lineRule="auto"/>
        <w:ind w:firstLineChars="100" w:firstLine="240"/>
        <w:jc w:val="both"/>
        <w:rPr>
          <w:rFonts w:ascii="Book Antiqua" w:hAnsi="Book Antiqua"/>
          <w:lang w:val="en-US"/>
        </w:rPr>
      </w:pPr>
      <w:r w:rsidRPr="00CE170C">
        <w:rPr>
          <w:rFonts w:ascii="Book Antiqua" w:hAnsi="Book Antiqua"/>
          <w:lang w:val="en-US"/>
        </w:rPr>
        <w:t>Among these factors, the diameter of the GJA plays an important role in controlling weight regain post RYGB. Though effective, traditional surgical revision is used in less than 15% of patients because it is associated with relatively high complication rates (between 15</w:t>
      </w:r>
      <w:r w:rsidR="009051CD" w:rsidRPr="00CE170C">
        <w:rPr>
          <w:rFonts w:ascii="Book Antiqua" w:hAnsi="Book Antiqua"/>
          <w:lang w:val="en-US"/>
        </w:rPr>
        <w:t>%</w:t>
      </w:r>
      <w:r w:rsidRPr="00CE170C">
        <w:rPr>
          <w:rFonts w:ascii="Book Antiqua" w:hAnsi="Book Antiqua"/>
          <w:lang w:val="en-US"/>
        </w:rPr>
        <w:t xml:space="preserve"> to 50%), longer operative time, increased intraoperative blood loss, and a non-negligible mortality rate (of more than twice that of the original procedure)</w:t>
      </w:r>
      <w:r w:rsidR="001A3B9D" w:rsidRPr="00CE170C">
        <w:rPr>
          <w:rFonts w:ascii="Book Antiqua" w:hAnsi="Book Antiqua"/>
          <w:lang w:val="en-US"/>
        </w:rPr>
        <w:fldChar w:fldCharType="begin" w:fldLock="1"/>
      </w:r>
      <w:r w:rsidR="001A3B9D" w:rsidRPr="00CE170C">
        <w:rPr>
          <w:rFonts w:ascii="Book Antiqua" w:hAnsi="Book Antiqua"/>
          <w:lang w:val="en-US"/>
        </w:rPr>
        <w:instrText>ADDIN CSL_CITATION {"citationItems":[{"id":"ITEM-1","itemData":{"DOI":"10.1093/ajcn/55.2.606s","ISSN":"0002-9165","abstract":"The Roux-en-Y gastric bypass with fascial support (RYGBPF) has proved to be effective as a primary as well as a revision/conversion operation in the management of morbid obesity. Since May 1984, 361 primary and 100 revision RYGBPF operations have been reported with low morbidity and mortality although morbidity and mortality were higher in the revision than in the primary group. The most common late complications of gastric-reduction operations resulting in weight regain were staple line disruption and pouch or stoma enlargement. With the use of the RYGBPF as a primary as well as a revision operation, weight loss results at 5 y have been good and our revision operation rate has dropped to less than 1%.","author":[{"dropping-particle":"","family":"Linner","given":"J. H.","non-dropping-particle":"","parse-names":false,"suffix":""},{"dropping-particle":"","family":"Drew","given":"R. L.","non-dropping-particle":"","parse-names":false,"suffix":""}],"container-title":"The American Journal of Clinical Nutrition","id":"ITEM-1","issue":"2","issued":{"date-parts":[["1992","2","1"]]},"page":"606S-610S","title":"Reoperative surgery—indications, efficacy, and long-term follow-up","type":"article-journal","volume":"55"},"uris":["http://www.mendeley.com/documents/?uuid=1a580478-6e86-4ab5-8601-1e1d8ca25515"]},{"id":"ITEM-2","itemData":{"DOI":"10.1016/j.surg.2007.07.018","ISSN":"0039-6060","PMID":"17950357","abstract":"BACKGROUND This is the first systematic review and meta-analysis of published mortality data after bariatric surgery. METHODS The review includes all papers published in English from January 1, 1990 to April 30, 2006, identified through electronic searches in MEDLINE, Current Contents, and the Cochrane Library, supplemented by manual reference checks. All accepted studies were assigned a level of evidence (Centre for Evidence-Based Medicine, Oxford, UK), and randomized controlled trials were rated for quality using the Jadad scoring method. Random effects meta-analyses were performed. Mortality was analyzed at either &lt;or=30 days or 30 days to 2 years. RESULTS The data set includes 361 studies with 478 treatment arms and 85,048 patients. At baseline, the mean age was 40.0 years, body mass index was 47.4 kg/m2, 85% were female, and 11.5% had previous bariatric procedures. Meta-analysis of total mortality at &lt;or=30 days was 0.28% (95% confidence interval [CI], 0.22-0.34) in 475 treatment arms (n = 84,931); total mortality at &gt;30 days to 2 years was 0.35% (95% CI, 0.12-0.58) in 140 treatment arms (n = 19,928). Mortality at &lt;or=30 day for all restrictive procedures was 0.30% (95% CI, 0.15-0.46) for open and 0.07% (95% CI, 0.02-0.12) for laparoscopic procedures; restrictive/malabsorptive (gastric bypass) was 0.41% (95% CI, 0.24-0.58] for open and 0.16% (95% CI, 0.09-0.23) for laparoscopic; and malabsorptive was 0.76% (95% CI, 0.29-1.23) for open and 1.11% (95% CI, 0.00-2.70) for laparoscopic. Subgroup analyses of &lt;or=30-day mortality show a male:female ratio of 4.74:0.13, with 1.25% (95% CI, 0.56-1.94) incidence in the superobese and 0.34% (95% CI, 0.00-1.29) in the elderly (&gt;or=65 years). CONCLUSION The early and late mortality rates after bariatric surgery are low and can be subjected to risk stratification for comparative analyses and prospective risk assessments.","author":[{"dropping-particle":"","family":"Buchwald","given":"Henry","non-dropping-particle":"","parse-names":false,"suffix":""},{"dropping-particle":"","family":"Estok","given":"Rhonda","non-dropping-particle":"","parse-names":false,"suffix":""},{"dropping-particle":"","family":"Fahrbach","given":"Kyle","non-dropping-particle":"","parse-names":false,"suffix":""},{"dropping-particle":"","family":"Banel","given":"Deirdre","non-dropping-particle":"","parse-names":false,"suffix":""},{"dropping-particle":"","family":"Sledge","given":"Isabella","non-dropping-particle":"","parse-names":false,"suffix":""}],"container-title":"Surgery","id":"ITEM-2","issue":"4","issued":{"date-parts":[["2007","10"]]},"page":"621-32; discussion 632-5","title":"Trends in mortality in bariatric surgery: a systematic review and meta-analysis.","type":"article-journal","volume":"142"},"uris":["http://www.mendeley.com/documents/?uuid=201c1643-4593-47d3-99f1-12a18a22cf17"]},{"id":"ITEM-3","itemData":{"DOI":"10.1016/j.amjsurg.2005.07.026","ISSN":"00029610","author":[{"dropping-particle":"","family":"Livingston","given":"Edward H.","non-dropping-particle":"","parse-names":false,"suffix":""}],"container-title":"The American Journal of Surgery","id":"ITEM-3","issue":"5","issued":{"date-parts":[["2005","11"]]},"page":"816-820","title":"Hospital costs associated with bariatric procedures in the United States","type":"article-journal","volume":"190"},"uris":["http://www.mendeley.com/documents/?uuid=d9475916-1de9-46f1-a092-e551c5b4b3a8"]},{"id":"ITEM-4","itemData":{"DOI":"10.1016/j.soard.2009.10.007","ISSN":"15507289","author":[{"dropping-particle":"","family":"Inabnet","given":"William B.","non-dropping-particle":"","parse-names":false,"suffix":""},{"dropping-particle":"","family":"Belle","given":"Steven H.","non-dropping-particle":"","parse-names":false,"suffix":""},{"dropping-particle":"","family":"Bessler","given":"Marc","non-dropping-particle":"","parse-names":false,"suffix":""},{"dropping-particle":"","family":"Courcoulas","given":"Anita","non-dropping-particle":"","parse-names":false,"suffix":""},{"dropping-particle":"","family":"Dellinger","given":"Patchen","non-dropping-particle":"","parse-names":false,"suffix":""},{"dropping-particle":"","family":"Garcia","given":"Luis","non-dropping-particle":"","parse-names":false,"suffix":""},{"dropping-particle":"","family":"Mitchell","given":"James","non-dropping-particle":"","parse-names":false,"suffix":""},{"dropping-particle":"","family":"Oelschlager","given":"Brant","non-dropping-particle":"","parse-names":false,"suffix":""},{"dropping-particle":"","family":"O'Rourke","given":"Robert","non-dropping-particle":"","parse-names":false,"suffix":""},{"dropping-particle":"","family":"Pender","given":"John","non-dropping-particle":"","parse-names":false,"suffix":""},{"dropping-particle":"","family":"Pomp","given":"Alfons","non-dropping-particle":"","parse-names":false,"suffix":""},{"dropping-particle":"","family":"Pories","given":"Walter","non-dropping-particle":"","parse-names":false,"suffix":""},{"dropping-particle":"","family":"Ramanathan","given":"Ramesh","non-dropping-particle":"","parse-names":false,"suffix":""},{"dropping-particle":"","family":"Wahed","given":"Abdus","non-dropping-particle":"","parse-names":false,"suffix":""},{"dropping-particle":"","family":"Wolfe","given":"Bruce","non-dropping-particle":"","parse-names":false,"suffix":""}],"container-title":"Surgery for Obesity and Related Diseases","id":"ITEM-4","issue":"1","issued":{"date-parts":[["2010","1"]]},"page":"22-30","title":"Comparison of 30-day outcomes after non-LapBand primary and revisional bariatric surgical procedures from the Longitudinal Assessment of Bariatric Surgery study","type":"article-journal","volume":"6"},"uris":["http://www.mendeley.com/documents/?uuid=9bc13ad0-08e5-4254-9e14-35d3a99af7fc"]},{"id":"ITEM-5","itemData":{"DOI":"10.1016/j.soard.2009.07.001","ISSN":"15507289","PMID":"19767245","abstract":"BACKGROUND The aim of this retrospective consecutive study was to evaluate the feasibility, safety, and efficacy of the conversion of laparoscopic adjustable gastric banding (LAGB) and open vertical banded gastroplasty (VBG) into duodenal switch (DS) by laparoscopy. METHODS From November 2003 to February 2007, laparoscopic conversion into DS was performed in 1-step in 43 patients, 31 after LAGB and 12 after VBG. The reason for conversion was weight loss issues, such as insufficient excess weight loss (EWL) or weight regain. The mean interval from LAGB and VBG to conversion to the DS was 42.7 +/- 28.7 months and 172.2 +/- 86.9 months, respectively. The mean %EWL at conversion was 8.3% +/- 19.3% after LAGB and 20.8% +/- 30% after VBG. RESULTS The mean operative time was 205.8 +/- 44.8 minutes for LAGB and 210.9 +/- 53.7 minutes for VBG. No conversions to open surgery occurred. One patient in the LAGB group died on the third postoperative day of sudden death syndrome, as shown by the postmortem examination. Major complications occurred in 6.4% of patients with LAGB (1 hemoperitoneum and 1 ileoileostomy leak) and in 50% with VBG (1 sleeve gastrectomy leak with subsequent duodenoileostomy leak, 3 duodenoileostomy leaks, 1 pancreatitis, and 1 respiratory insufficiency). The mean hospital stay was 5.5 +/- 5 days for the LAGB group and 34.5 +/- 50.3 days for the VBG group. After a mean follow-up of 28 +/- 15.7 months for LAGB to DS and 43.5 +/- 6 months for VBG to DS, reoperations for late complications were required in 6 patients (20.6%) in the LAGB to DS group and in 5 patients (62.5%) in the VBG to DS group. Three patients (25%) died within 8 months after conversion of VBG. The 29 surviving patients (LAGB to DS) showed a mean %EWL and percentage of excess body mass index loss of (%EBMIL) 78.4% +/- 24.9% and 77.8% +/- 23.7%, respectively. The 8 surviving patients (VBG to DS) had a mean %EWL and %EBMIL of 85.1% +/- 20% and 85.8% +/- 18.7%, respectively. CONCLUSION According to these results, laparoscopic conversion of LAGB to DS seems feasible and effective, despite the 1 death. However, in our hands, laparoscopic conversion of VBG to DS had an unacceptable rate of complications and deaths.","author":[{"dropping-particle":"","family":"Dapri","given":"Giovanni","non-dropping-particle":"","parse-names":false,"suffix":""},{"dropping-particle":"","family":"Cadière","given":"Guy Bernard","non-dropping-particle":"","parse-names":false,"suffix":""},{"dropping-particle":"","family":"Himpens","given":"Jacques","non-dropping-particle":"","parse-names":false,"suffix":""}],"container-title":"Surgery for Obesity and Related Diseases","id":"ITEM-5","issue":"6","issued":{"date-parts":[["2009","11"]]},"page":"678-683","title":"Laparoscopic conversion of adjustable gastric banding and vertical banded gastroplasty to duodenal switch","type":"article-journal","volume":"5"},"uris":["http://www.mendeley.com/documents/?uuid=ac97a5b3-3aa4-40d5-a039-525c253bec78"]}],"mendeley":{"formattedCitation":"&lt;sup&gt;[4–8]&lt;/sup&gt;","plainTextFormattedCitation":"[4–8]","previouslyFormattedCitation":"&lt;sup&gt;[4–8]&lt;/sup&gt;"},"properties":{"noteIndex":0},"schema":"https://github.com/citation-style-language/schema/raw/master/csl-citation.json"}</w:instrText>
      </w:r>
      <w:r w:rsidR="001A3B9D" w:rsidRPr="00CE170C">
        <w:rPr>
          <w:rFonts w:ascii="Book Antiqua" w:hAnsi="Book Antiqua"/>
          <w:lang w:val="en-US"/>
        </w:rPr>
        <w:fldChar w:fldCharType="separate"/>
      </w:r>
      <w:r w:rsidR="001A3B9D" w:rsidRPr="00CE170C">
        <w:rPr>
          <w:rFonts w:ascii="Book Antiqua" w:hAnsi="Book Antiqua"/>
          <w:noProof/>
          <w:vertAlign w:val="superscript"/>
          <w:lang w:val="en-US"/>
        </w:rPr>
        <w:t>[4–8]</w:t>
      </w:r>
      <w:r w:rsidR="001A3B9D" w:rsidRPr="00CE170C">
        <w:rPr>
          <w:rFonts w:ascii="Book Antiqua" w:hAnsi="Book Antiqua"/>
          <w:lang w:val="en-US"/>
        </w:rPr>
        <w:fldChar w:fldCharType="end"/>
      </w:r>
      <w:r w:rsidRPr="00CE170C">
        <w:rPr>
          <w:rFonts w:ascii="Book Antiqua" w:hAnsi="Book Antiqua"/>
          <w:lang w:val="en-US"/>
        </w:rPr>
        <w:t xml:space="preserve">. </w:t>
      </w:r>
    </w:p>
    <w:p w14:paraId="091F92D2" w14:textId="26ED90A9" w:rsidR="00A36530" w:rsidRPr="00CE170C" w:rsidRDefault="0026605D" w:rsidP="00CE170C">
      <w:pPr>
        <w:adjustRightInd w:val="0"/>
        <w:snapToGrid w:val="0"/>
        <w:spacing w:line="360" w:lineRule="auto"/>
        <w:ind w:firstLineChars="100" w:firstLine="240"/>
        <w:jc w:val="both"/>
        <w:rPr>
          <w:rFonts w:ascii="Book Antiqua" w:hAnsi="Book Antiqua"/>
          <w:lang w:val="en-US"/>
        </w:rPr>
      </w:pPr>
      <w:r w:rsidRPr="00CE170C">
        <w:rPr>
          <w:rFonts w:ascii="Book Antiqua" w:hAnsi="Book Antiqua"/>
          <w:lang w:val="en-US"/>
        </w:rPr>
        <w:t>As a result, endoscopic revision of a dilated GJA was first reported in 2004 and has gained wide acceptance since that time</w:t>
      </w:r>
      <w:r w:rsidR="001A3B9D" w:rsidRPr="00CE170C">
        <w:rPr>
          <w:rFonts w:ascii="Book Antiqua" w:hAnsi="Book Antiqua"/>
          <w:lang w:val="en-US"/>
        </w:rPr>
        <w:fldChar w:fldCharType="begin" w:fldLock="1"/>
      </w:r>
      <w:r w:rsidR="001A3B9D" w:rsidRPr="00CE170C">
        <w:rPr>
          <w:rFonts w:ascii="Book Antiqua" w:hAnsi="Book Antiqua"/>
          <w:lang w:val="en-US"/>
        </w:rPr>
        <w:instrText>ADDIN CSL_CITATION {"citationItems":[{"id":"ITEM-1","itemData":{"author":[{"dropping-particle":"","family":"Thompson","given":"Christopher C","non-dropping-particle":"","parse-names":false,"suffix":""}],"container-title":"Presented at the ASGE Video Forum","id":"ITEM-1","issued":{"date-parts":[["2004"]]},"publisher":"Digestive Diseases Week","publisher-place":"New Orleans","title":"Novel endoscopic approaches to common bariatric postoperative complications","type":"paper-conference"},"uris":["http://www.mendeley.com/documents/?uuid=2edbb527-4611-4d94-a4f8-94f0b4fb7a06"]}],"mendeley":{"formattedCitation":"&lt;sup&gt;[9]&lt;/sup&gt;","plainTextFormattedCitation":"[9]","previouslyFormattedCitation":"&lt;sup&gt;[9]&lt;/sup&gt;"},"properties":{"noteIndex":0},"schema":"https://github.com/citation-style-language/schema/raw/master/csl-citation.json"}</w:instrText>
      </w:r>
      <w:r w:rsidR="001A3B9D" w:rsidRPr="00CE170C">
        <w:rPr>
          <w:rFonts w:ascii="Book Antiqua" w:hAnsi="Book Antiqua"/>
          <w:lang w:val="en-US"/>
        </w:rPr>
        <w:fldChar w:fldCharType="separate"/>
      </w:r>
      <w:r w:rsidR="001A3B9D" w:rsidRPr="00CE170C">
        <w:rPr>
          <w:rFonts w:ascii="Book Antiqua" w:hAnsi="Book Antiqua"/>
          <w:noProof/>
          <w:vertAlign w:val="superscript"/>
          <w:lang w:val="en-US"/>
        </w:rPr>
        <w:t>[9]</w:t>
      </w:r>
      <w:r w:rsidR="001A3B9D" w:rsidRPr="00CE170C">
        <w:rPr>
          <w:rFonts w:ascii="Book Antiqua" w:hAnsi="Book Antiqua"/>
          <w:lang w:val="en-US"/>
        </w:rPr>
        <w:fldChar w:fldCharType="end"/>
      </w:r>
      <w:r w:rsidRPr="00CE170C">
        <w:rPr>
          <w:rFonts w:ascii="Book Antiqua" w:hAnsi="Book Antiqua"/>
          <w:lang w:val="en-US"/>
        </w:rPr>
        <w:t>. One of the most commonly performed endoscopic procedures post RYGB is argon plasma coagulation (APC). It is safe, efficient, and easy to learn, and is associated with a low complication rate</w:t>
      </w:r>
      <w:r w:rsidR="001A3B9D" w:rsidRPr="00CE170C">
        <w:rPr>
          <w:rFonts w:ascii="Book Antiqua" w:hAnsi="Book Antiqua"/>
          <w:lang w:val="en-US"/>
        </w:rPr>
        <w:fldChar w:fldCharType="begin" w:fldLock="1"/>
      </w:r>
      <w:r w:rsidR="00146FE6" w:rsidRPr="00CE170C">
        <w:rPr>
          <w:rFonts w:ascii="Book Antiqua" w:hAnsi="Book Antiqua"/>
          <w:lang w:val="en-US"/>
        </w:rPr>
        <w:instrText>ADDIN CSL_CITATION {"citationItems":[{"id":"ITEM-1","itemData":{"DOI":"10.1053/j.gastro.2019.01.255","ISSN":"1528-0012","PMID":"30716322","author":[{"dropping-particle":"","family":"Moura","given":"Diogo Turiani Hourneaux","non-dropping-particle":"de","parse-names":false,"suffix":""},{"dropping-particle":"","family":"Hathorn","given":"Kelly E","non-dropping-particle":"","parse-names":false,"suffix":""},{"dropping-particle":"","family":"Thompson","given":"Christopher C","non-dropping-particle":"","parse-names":false,"suffix":""}],"container-title":"Gastroenterology","id":"ITEM-1","issued":{"date-parts":[["2019","2","1"]]},"title":"You Just got Burned! What is wrong with this gastric pouch?","type":"article-journal"},"uris":["http://www.mendeley.com/documents/?uuid=0ed20d89-ff72-4691-b3ea-3db731963eca"]},{"id":"ITEM-2","itemData":{"DOI":"10.1007/s11695-018-3229-5","ISSN":"1708-0428","PMID":"29627948","abstract":"BACKGROUND Endoscopic approaches exist for targeting weight regain after Roux-en-Y gastric bypass (RYGB), including endoscopic suturing, clipping, and sclerotherapy. Argon plasma coagulation (APC) is a noncontact electrocoagulation method, and when used in RYGB patients, it has shown reduction in the diameter of the gastrojejunal anastomosis. OBJECTIVES To study the effectiveness of APC for weight regain in terms of weight loss for RYGB patients, from eight bariatric centers. METHODS A retrospective chart review was performed for 558 patients at eight bariatric centers in the USA (1) and Brazil (7) who underwent APC procedure between 31st July 2009 and 29th March 2017. APC was performed on patients who regained weight after RYGB procedure. RESULTS Upon exploratory analysis of the individual BMI data, the mean BMI decreased slightly during the first 24 months and increased slightly afterwards following the APC intervention. The mean weight was 94.5 ± 18.6 kg and the mean BMI was 34.0 kg/m2 at APC. Where data were available, the mean of lowest weight was 67.0 ± 23.0 kg and the mean of lowest BMI was 24.1 kg/m2 following gastric bypass. The mean weight loss was 6.5, 7.7, and 8.3 kg at 6, 12, and 24 months, respectively, and the changes in weight over time was statistically significant (p &lt; 0.0001). Multi-level for change model showed the low body mass index (BMI) group (BMI &lt; 30 kg/m2) to have greater TWL than the high BMI (BMI ≥ 30 kg/m2) group at 6, 12, and 24 months. In the low BMI group, the mean TWL was 4.7, 6.1, 6.9, and 2.4%, at 6, 12, and 24 months, respectively. In the high BMI group, the mean TWL was 7.5, 10.4, 13.4, and 3.7%, at 6, 12, 24, and 36 months, respectively. Of the 333 patients in four centers who provided complication information, complications after APC included stenosis (n = 9), GJ ulcer (n = 3), vomiting (n = 3), GJ leakage (n = 2), and melena (n = 1). CONCLUSION APC can be useful in reducing the regained weight after RYGB, and patients showed 6-10% total weight loss at 12 months. Randomized trials would be needed to validate the findings.","author":[{"dropping-particle":"","family":"Moon","given":"Rena C","non-dropping-particle":"","parse-names":false,"suffix":""},{"dropping-particle":"","family":"Teixeira","given":"Andre F","non-dropping-particle":"","parse-names":false,"suffix":""},{"dropping-particle":"","family":"Neto","given":"Manoel Galvao","non-dropping-particle":"","parse-names":false,"suffix":""},{"dropping-particle":"","family":"Zundel","given":"Natan","non-dropping-particle":"","parse-names":false,"suffix":""},{"dropping-particle":"","family":"Sander","given":"Bruno Queiroz","non-dropping-particle":"","parse-names":false,"suffix":""},{"dropping-particle":"","family":"Ramos","given":"Flavio Mitidieri","non-dropping-particle":"","parse-names":false,"suffix":""},{"dropping-particle":"","family":"Matz","given":"Felipe","non-dropping-particle":"","parse-names":false,"suffix":""},{"dropping-particle":"","family":"Baretta","given":"Giorgio A","non-dropping-particle":"","parse-names":false,"suffix":""},{"dropping-particle":"","family":"Quadros","given":"Luiz Gustavo","non-dropping-particle":"de","parse-names":false,"suffix":""},{"dropping-particle":"","family":"Grecco","given":"Eduardo","non-dropping-particle":"","parse-names":false,"suffix":""},{"dropping-particle":"","family":"Souza","given":"Thiago","non-dropping-particle":"","parse-names":false,"suffix":""},{"dropping-particle":"","family":"Barrichello","given":"Sergio A","non-dropping-particle":"","parse-names":false,"suffix":""},{"dropping-particle":"","family":"Filho","given":"Admar Concon","non-dropping-particle":"","parse-names":false,"suffix":""},{"dropping-particle":"","family":"Usuy","given":"Eduardo Nobuyuki","non-dropping-particle":"","parse-names":false,"suffix":""},{"dropping-particle":"","family":"Amorim","given":"Artagnan Menezes Barbosa","non-dropping-particle":"de","parse-names":false,"suffix":""},{"dropping-particle":"","family":"Jawad","given":"Muhammad A","non-dropping-particle":"","parse-names":false,"suffix":""}],"container-title":"Obesity surgery","id":"ITEM-2","issue":"9","issued":{"date-parts":[["2018","9"]]},"page":"2737-2744","title":"Efficacy of Utilizing Argon Plasma Coagulation for Weight Regain in Roux-en-Y Gastric Bypass Patients: a Multi-center Study.","type":"article-journal","volume":"28"},"uris":["http://www.mendeley.com/documents/?uuid=1b213e67-58f2-4e69-9759-aa8733d182eb"]}],"mendeley":{"formattedCitation":"&lt;sup&gt;[10,11]&lt;/sup&gt;","plainTextFormattedCitation":"[10,11]","previouslyFormattedCitation":"&lt;sup&gt;[10,11]&lt;/sup&gt;"},"properties":{"noteIndex":0},"schema":"https://github.com/citation-style-language/schema/raw/master/csl-citation.json"}</w:instrText>
      </w:r>
      <w:r w:rsidR="001A3B9D" w:rsidRPr="00CE170C">
        <w:rPr>
          <w:rFonts w:ascii="Book Antiqua" w:hAnsi="Book Antiqua"/>
          <w:lang w:val="en-US"/>
        </w:rPr>
        <w:fldChar w:fldCharType="separate"/>
      </w:r>
      <w:r w:rsidR="001A3B9D" w:rsidRPr="00CE170C">
        <w:rPr>
          <w:rFonts w:ascii="Book Antiqua" w:hAnsi="Book Antiqua"/>
          <w:noProof/>
          <w:vertAlign w:val="superscript"/>
          <w:lang w:val="en-US"/>
        </w:rPr>
        <w:t>[10,11]</w:t>
      </w:r>
      <w:r w:rsidR="001A3B9D" w:rsidRPr="00CE170C">
        <w:rPr>
          <w:rFonts w:ascii="Book Antiqua" w:hAnsi="Book Antiqua"/>
          <w:lang w:val="en-US"/>
        </w:rPr>
        <w:fldChar w:fldCharType="end"/>
      </w:r>
      <w:r w:rsidRPr="00CE170C">
        <w:rPr>
          <w:rFonts w:ascii="Book Antiqua" w:hAnsi="Book Antiqua"/>
          <w:lang w:val="en-US"/>
        </w:rPr>
        <w:t xml:space="preserve">.  One </w:t>
      </w:r>
      <w:r w:rsidR="00507C93" w:rsidRPr="00CE170C">
        <w:rPr>
          <w:rFonts w:ascii="Book Antiqua" w:hAnsi="Book Antiqua"/>
          <w:lang w:val="en-US"/>
        </w:rPr>
        <w:t>associated complication</w:t>
      </w:r>
      <w:r w:rsidRPr="00CE170C">
        <w:rPr>
          <w:rFonts w:ascii="Book Antiqua" w:hAnsi="Book Antiqua"/>
          <w:lang w:val="en-US"/>
        </w:rPr>
        <w:t xml:space="preserve"> is post APC bleeding.</w:t>
      </w:r>
    </w:p>
    <w:p w14:paraId="268E7F10" w14:textId="06D7D1B5" w:rsidR="00032A57" w:rsidRPr="00CE170C" w:rsidRDefault="0026605D" w:rsidP="00CE170C">
      <w:pPr>
        <w:adjustRightInd w:val="0"/>
        <w:snapToGrid w:val="0"/>
        <w:spacing w:line="360" w:lineRule="auto"/>
        <w:ind w:firstLineChars="100" w:firstLine="240"/>
        <w:jc w:val="both"/>
        <w:rPr>
          <w:rFonts w:ascii="Book Antiqua" w:hAnsi="Book Antiqua"/>
          <w:lang w:val="en-US"/>
        </w:rPr>
      </w:pPr>
      <w:r w:rsidRPr="00CE170C">
        <w:rPr>
          <w:rFonts w:ascii="Book Antiqua" w:hAnsi="Book Antiqua"/>
          <w:lang w:val="en-US"/>
        </w:rPr>
        <w:t>We report a case of a patient with RYGB presenting with gastrointestinal bleeding after recent outlet revision with APC for weight loss. We highlight several treatment modalities that can be used to treat this complication.</w:t>
      </w:r>
    </w:p>
    <w:p w14:paraId="54CD3A84" w14:textId="77777777" w:rsidR="0026605D" w:rsidRPr="00CE170C" w:rsidRDefault="0026605D" w:rsidP="00CE170C">
      <w:pPr>
        <w:adjustRightInd w:val="0"/>
        <w:snapToGrid w:val="0"/>
        <w:spacing w:line="360" w:lineRule="auto"/>
        <w:jc w:val="both"/>
        <w:rPr>
          <w:rFonts w:ascii="Book Antiqua" w:hAnsi="Book Antiqua"/>
          <w:noProof/>
          <w:lang w:val="en-US"/>
        </w:rPr>
      </w:pPr>
    </w:p>
    <w:p w14:paraId="01D69C64" w14:textId="02D37D3D" w:rsidR="0061030A" w:rsidRPr="00CE170C" w:rsidRDefault="0061030A" w:rsidP="00CE170C">
      <w:pPr>
        <w:adjustRightInd w:val="0"/>
        <w:snapToGrid w:val="0"/>
        <w:spacing w:line="360" w:lineRule="auto"/>
        <w:jc w:val="both"/>
        <w:rPr>
          <w:rFonts w:ascii="Book Antiqua" w:hAnsi="Book Antiqua"/>
          <w:b/>
          <w:noProof/>
          <w:lang w:val="en-US"/>
        </w:rPr>
      </w:pPr>
      <w:r w:rsidRPr="00CE170C">
        <w:rPr>
          <w:rFonts w:ascii="Book Antiqua" w:hAnsi="Book Antiqua"/>
          <w:b/>
          <w:noProof/>
          <w:lang w:val="en-US"/>
        </w:rPr>
        <w:t>CASE PRESENTATION</w:t>
      </w:r>
    </w:p>
    <w:p w14:paraId="0403E1ED" w14:textId="77777777" w:rsidR="009051CD" w:rsidRPr="00CE170C" w:rsidRDefault="009051CD" w:rsidP="00CE170C">
      <w:pPr>
        <w:adjustRightInd w:val="0"/>
        <w:snapToGrid w:val="0"/>
        <w:spacing w:line="360" w:lineRule="auto"/>
        <w:jc w:val="both"/>
        <w:rPr>
          <w:rFonts w:ascii="Book Antiqua" w:hAnsi="Book Antiqua"/>
          <w:b/>
          <w:i/>
          <w:color w:val="000000"/>
        </w:rPr>
      </w:pPr>
      <w:r w:rsidRPr="00CE170C">
        <w:rPr>
          <w:rFonts w:ascii="Book Antiqua" w:hAnsi="Book Antiqua"/>
          <w:b/>
          <w:i/>
          <w:color w:val="000000"/>
        </w:rPr>
        <w:t xml:space="preserve">Chief complaints  </w:t>
      </w:r>
    </w:p>
    <w:p w14:paraId="7E47C5FD" w14:textId="41C02979" w:rsidR="00A36530" w:rsidRPr="00CE170C" w:rsidRDefault="00A36530" w:rsidP="00CE170C">
      <w:pPr>
        <w:adjustRightInd w:val="0"/>
        <w:snapToGrid w:val="0"/>
        <w:spacing w:line="360" w:lineRule="auto"/>
        <w:jc w:val="both"/>
        <w:rPr>
          <w:rFonts w:ascii="Book Antiqua" w:hAnsi="Book Antiqua"/>
          <w:noProof/>
          <w:lang w:val="en-US"/>
        </w:rPr>
      </w:pPr>
      <w:r w:rsidRPr="00CE170C">
        <w:rPr>
          <w:rFonts w:ascii="Book Antiqua" w:hAnsi="Book Antiqua"/>
          <w:noProof/>
          <w:lang w:val="en-US"/>
        </w:rPr>
        <w:t>We present a case of a 45-year-old female with obesity and a history of type 2 diabetes mellitus, gastroesophageal reflux disease, hypercholesterolemia, hypertension, and nonalcoholic fatty liver disease who underwent RYGB in 2005.</w:t>
      </w:r>
    </w:p>
    <w:p w14:paraId="27566D75" w14:textId="1527A1E4" w:rsidR="00A36530" w:rsidRPr="00CE170C" w:rsidRDefault="00A36530" w:rsidP="00CE170C">
      <w:pPr>
        <w:adjustRightInd w:val="0"/>
        <w:snapToGrid w:val="0"/>
        <w:spacing w:line="360" w:lineRule="auto"/>
        <w:jc w:val="both"/>
        <w:rPr>
          <w:rFonts w:ascii="Book Antiqua" w:hAnsi="Book Antiqua"/>
          <w:noProof/>
          <w:lang w:val="en-US"/>
        </w:rPr>
      </w:pPr>
      <w:r w:rsidRPr="00CE170C">
        <w:rPr>
          <w:rFonts w:ascii="Book Antiqua" w:hAnsi="Book Antiqua"/>
          <w:noProof/>
          <w:lang w:val="en-US"/>
        </w:rPr>
        <w:t>Her pre-procedure weight was 108</w:t>
      </w:r>
      <w:r w:rsidR="009051CD" w:rsidRPr="00CE170C">
        <w:rPr>
          <w:rFonts w:ascii="Book Antiqua" w:hAnsi="Book Antiqua"/>
          <w:noProof/>
          <w:lang w:val="en-US"/>
        </w:rPr>
        <w:t xml:space="preserve"> </w:t>
      </w:r>
      <w:r w:rsidRPr="00CE170C">
        <w:rPr>
          <w:rFonts w:ascii="Book Antiqua" w:hAnsi="Book Antiqua"/>
          <w:noProof/>
          <w:lang w:val="en-US"/>
        </w:rPr>
        <w:t xml:space="preserve">kg </w:t>
      </w:r>
      <w:r w:rsidR="009051CD" w:rsidRPr="00CE170C">
        <w:rPr>
          <w:rFonts w:ascii="Book Antiqua" w:hAnsi="Book Antiqua"/>
          <w:noProof/>
          <w:lang w:val="en-US"/>
        </w:rPr>
        <w:t>[</w:t>
      </w:r>
      <w:r w:rsidRPr="00CE170C">
        <w:rPr>
          <w:rFonts w:ascii="Book Antiqua" w:hAnsi="Book Antiqua"/>
          <w:noProof/>
          <w:lang w:val="en-US"/>
        </w:rPr>
        <w:t xml:space="preserve">Body Mass Index (BMI): 37.4 </w:t>
      </w:r>
      <w:r w:rsidR="009051CD" w:rsidRPr="00CE170C">
        <w:rPr>
          <w:rFonts w:ascii="Book Antiqua" w:hAnsi="Book Antiqua"/>
          <w:noProof/>
          <w:lang w:val="en-US"/>
        </w:rPr>
        <w:t>k</w:t>
      </w:r>
      <w:r w:rsidRPr="00CE170C">
        <w:rPr>
          <w:rFonts w:ascii="Book Antiqua" w:hAnsi="Book Antiqua"/>
          <w:noProof/>
          <w:lang w:val="en-US"/>
        </w:rPr>
        <w:t>g/m</w:t>
      </w:r>
      <w:r w:rsidRPr="00CE170C">
        <w:rPr>
          <w:rFonts w:ascii="Book Antiqua" w:hAnsi="Book Antiqua"/>
          <w:noProof/>
          <w:vertAlign w:val="superscript"/>
          <w:lang w:val="en-US"/>
        </w:rPr>
        <w:t>2</w:t>
      </w:r>
      <w:r w:rsidR="009051CD" w:rsidRPr="00CE170C">
        <w:rPr>
          <w:rFonts w:ascii="Book Antiqua" w:hAnsi="Book Antiqua"/>
          <w:noProof/>
          <w:lang w:val="en-US"/>
        </w:rPr>
        <w:t>]</w:t>
      </w:r>
      <w:r w:rsidRPr="00CE170C">
        <w:rPr>
          <w:rFonts w:ascii="Book Antiqua" w:hAnsi="Book Antiqua"/>
          <w:noProof/>
          <w:lang w:val="en-US"/>
        </w:rPr>
        <w:t xml:space="preserve"> and her weight decreased to nadir of 80</w:t>
      </w:r>
      <w:r w:rsidR="00740472" w:rsidRPr="00CE170C">
        <w:rPr>
          <w:rFonts w:ascii="Book Antiqua" w:hAnsi="Book Antiqua"/>
          <w:noProof/>
          <w:lang w:val="en-US"/>
        </w:rPr>
        <w:t xml:space="preserve"> </w:t>
      </w:r>
      <w:r w:rsidRPr="00CE170C">
        <w:rPr>
          <w:rFonts w:ascii="Book Antiqua" w:hAnsi="Book Antiqua"/>
          <w:noProof/>
          <w:lang w:val="en-US"/>
        </w:rPr>
        <w:t xml:space="preserve">kg (BMI: 27.7 </w:t>
      </w:r>
      <w:r w:rsidR="00C1578F" w:rsidRPr="00CE170C">
        <w:rPr>
          <w:rFonts w:ascii="Book Antiqua" w:hAnsi="Book Antiqua"/>
          <w:noProof/>
          <w:lang w:val="en-US"/>
        </w:rPr>
        <w:t>k</w:t>
      </w:r>
      <w:r w:rsidRPr="00CE170C">
        <w:rPr>
          <w:rFonts w:ascii="Book Antiqua" w:hAnsi="Book Antiqua"/>
          <w:noProof/>
          <w:lang w:val="en-US"/>
        </w:rPr>
        <w:t>g/m</w:t>
      </w:r>
      <w:r w:rsidR="009051CD" w:rsidRPr="00CE170C">
        <w:rPr>
          <w:rFonts w:ascii="Book Antiqua" w:hAnsi="Book Antiqua"/>
          <w:noProof/>
          <w:vertAlign w:val="superscript"/>
          <w:lang w:val="en-US"/>
        </w:rPr>
        <w:t>2</w:t>
      </w:r>
      <w:r w:rsidR="009051CD" w:rsidRPr="00CE170C">
        <w:rPr>
          <w:rFonts w:ascii="Book Antiqua" w:hAnsi="Book Antiqua"/>
          <w:noProof/>
          <w:lang w:val="en-US"/>
        </w:rPr>
        <w:t>)</w:t>
      </w:r>
      <w:r w:rsidRPr="00CE170C">
        <w:rPr>
          <w:rFonts w:ascii="Book Antiqua" w:hAnsi="Book Antiqua"/>
          <w:noProof/>
          <w:lang w:val="en-US"/>
        </w:rPr>
        <w:t xml:space="preserve">.  However, she regained </w:t>
      </w:r>
      <w:r w:rsidRPr="00CE170C">
        <w:rPr>
          <w:rFonts w:ascii="Book Antiqua" w:hAnsi="Book Antiqua"/>
          <w:noProof/>
          <w:lang w:val="en-US"/>
        </w:rPr>
        <w:lastRenderedPageBreak/>
        <w:t>27 kg and was referred for possible endoscopic treatment for weight regain in 2017.</w:t>
      </w:r>
    </w:p>
    <w:p w14:paraId="6999F697" w14:textId="77777777" w:rsidR="0071646B" w:rsidRPr="00CE170C" w:rsidRDefault="0071646B" w:rsidP="00CE170C">
      <w:pPr>
        <w:adjustRightInd w:val="0"/>
        <w:snapToGrid w:val="0"/>
        <w:spacing w:line="360" w:lineRule="auto"/>
        <w:ind w:firstLine="567"/>
        <w:jc w:val="both"/>
        <w:rPr>
          <w:rFonts w:ascii="Book Antiqua" w:hAnsi="Book Antiqua"/>
          <w:noProof/>
          <w:lang w:val="en-US"/>
        </w:rPr>
      </w:pPr>
    </w:p>
    <w:p w14:paraId="5F7F4F7D" w14:textId="0B877070" w:rsidR="002E5155" w:rsidRPr="00CE170C" w:rsidRDefault="002E5155" w:rsidP="00CE170C">
      <w:pPr>
        <w:adjustRightInd w:val="0"/>
        <w:snapToGrid w:val="0"/>
        <w:spacing w:line="360" w:lineRule="auto"/>
        <w:jc w:val="both"/>
        <w:rPr>
          <w:rFonts w:ascii="Book Antiqua" w:hAnsi="Book Antiqua"/>
          <w:b/>
          <w:noProof/>
          <w:lang w:val="en-US"/>
        </w:rPr>
      </w:pPr>
      <w:r w:rsidRPr="00CE170C">
        <w:rPr>
          <w:rFonts w:ascii="Book Antiqua" w:hAnsi="Book Antiqua"/>
          <w:b/>
          <w:noProof/>
          <w:lang w:val="en-US"/>
        </w:rPr>
        <w:t>FINAL DIAGNOSIS</w:t>
      </w:r>
    </w:p>
    <w:p w14:paraId="02DC7BA0" w14:textId="16435BC6" w:rsidR="002E5155" w:rsidRPr="00CE170C" w:rsidRDefault="000525D4" w:rsidP="00CE170C">
      <w:pPr>
        <w:adjustRightInd w:val="0"/>
        <w:snapToGrid w:val="0"/>
        <w:spacing w:line="360" w:lineRule="auto"/>
        <w:jc w:val="both"/>
        <w:rPr>
          <w:rFonts w:ascii="Book Antiqua" w:hAnsi="Book Antiqua"/>
          <w:noProof/>
          <w:lang w:val="en-US"/>
        </w:rPr>
      </w:pPr>
      <w:r w:rsidRPr="00CE170C">
        <w:rPr>
          <w:rFonts w:ascii="Book Antiqua" w:hAnsi="Book Antiqua"/>
          <w:noProof/>
          <w:lang w:val="en-US"/>
        </w:rPr>
        <w:t>Weight regain</w:t>
      </w:r>
      <w:r w:rsidR="002E5155" w:rsidRPr="00CE170C">
        <w:rPr>
          <w:rFonts w:ascii="Book Antiqua" w:hAnsi="Book Antiqua"/>
          <w:noProof/>
          <w:lang w:val="en-US"/>
        </w:rPr>
        <w:t xml:space="preserve"> after bariatric surgery</w:t>
      </w:r>
      <w:r w:rsidRPr="00CE170C">
        <w:rPr>
          <w:rFonts w:ascii="Book Antiqua" w:hAnsi="Book Antiqua"/>
          <w:noProof/>
          <w:lang w:val="en-US"/>
        </w:rPr>
        <w:t>.</w:t>
      </w:r>
    </w:p>
    <w:p w14:paraId="0EF5A7EE" w14:textId="77777777" w:rsidR="002E5155" w:rsidRPr="00CE170C" w:rsidRDefault="002E5155" w:rsidP="00CE170C">
      <w:pPr>
        <w:adjustRightInd w:val="0"/>
        <w:snapToGrid w:val="0"/>
        <w:spacing w:line="360" w:lineRule="auto"/>
        <w:jc w:val="both"/>
        <w:rPr>
          <w:rFonts w:ascii="Book Antiqua" w:hAnsi="Book Antiqua"/>
          <w:b/>
          <w:noProof/>
          <w:lang w:val="en-US"/>
        </w:rPr>
      </w:pPr>
    </w:p>
    <w:p w14:paraId="3449BB77" w14:textId="10575ECC" w:rsidR="002E5155" w:rsidRPr="00CE170C" w:rsidRDefault="002E5155" w:rsidP="00CE170C">
      <w:pPr>
        <w:adjustRightInd w:val="0"/>
        <w:snapToGrid w:val="0"/>
        <w:spacing w:line="360" w:lineRule="auto"/>
        <w:jc w:val="both"/>
        <w:rPr>
          <w:rFonts w:ascii="Book Antiqua" w:hAnsi="Book Antiqua"/>
          <w:b/>
          <w:noProof/>
          <w:lang w:val="en-US"/>
        </w:rPr>
      </w:pPr>
      <w:r w:rsidRPr="00CE170C">
        <w:rPr>
          <w:rFonts w:ascii="Book Antiqua" w:hAnsi="Book Antiqua"/>
          <w:b/>
          <w:noProof/>
          <w:lang w:val="en-US"/>
        </w:rPr>
        <w:t>TREATMENT</w:t>
      </w:r>
    </w:p>
    <w:p w14:paraId="3883C8E4" w14:textId="7CD01F27" w:rsidR="00A36530" w:rsidRPr="00CE170C" w:rsidRDefault="00A36530" w:rsidP="00CE170C">
      <w:pPr>
        <w:adjustRightInd w:val="0"/>
        <w:snapToGrid w:val="0"/>
        <w:spacing w:line="360" w:lineRule="auto"/>
        <w:jc w:val="both"/>
        <w:rPr>
          <w:rFonts w:ascii="Book Antiqua" w:hAnsi="Book Antiqua"/>
          <w:noProof/>
          <w:lang w:val="en-US"/>
        </w:rPr>
      </w:pPr>
      <w:r w:rsidRPr="00CE170C">
        <w:rPr>
          <w:rFonts w:ascii="Book Antiqua" w:hAnsi="Book Antiqua"/>
          <w:noProof/>
          <w:lang w:val="en-US"/>
        </w:rPr>
        <w:t>On endoscopic evaluation, the gastric pouch extended from 38 to 42 cm and no fistula or ulcers were seen. The diameter of the GJA was 22 mm (Figure 1). Due to the dilated GJA, treatment with APC was performed. Under CO</w:t>
      </w:r>
      <w:r w:rsidRPr="00933CB7">
        <w:rPr>
          <w:rFonts w:ascii="Book Antiqua" w:hAnsi="Book Antiqua"/>
          <w:noProof/>
          <w:vertAlign w:val="subscript"/>
          <w:lang w:val="en-US"/>
        </w:rPr>
        <w:t>2</w:t>
      </w:r>
      <w:r w:rsidRPr="00CE170C">
        <w:rPr>
          <w:rFonts w:ascii="Book Antiqua" w:hAnsi="Book Antiqua"/>
          <w:noProof/>
          <w:lang w:val="en-US"/>
        </w:rPr>
        <w:t xml:space="preserve"> insufflation, tissue at the rim of the GJA was treated with forced APC at 0.8 </w:t>
      </w:r>
      <w:r w:rsidR="00D96FC8" w:rsidRPr="00CE170C">
        <w:rPr>
          <w:rFonts w:ascii="Book Antiqua" w:hAnsi="Book Antiqua"/>
          <w:noProof/>
          <w:lang w:val="en-US"/>
        </w:rPr>
        <w:t>L</w:t>
      </w:r>
      <w:r w:rsidRPr="00CE170C">
        <w:rPr>
          <w:rFonts w:ascii="Book Antiqua" w:hAnsi="Book Antiqua"/>
          <w:noProof/>
          <w:lang w:val="en-US"/>
        </w:rPr>
        <w:t xml:space="preserve">/min and 70 </w:t>
      </w:r>
      <w:r w:rsidR="00D96FC8" w:rsidRPr="00CE170C">
        <w:rPr>
          <w:rFonts w:ascii="Book Antiqua" w:hAnsi="Book Antiqua"/>
          <w:noProof/>
          <w:lang w:val="en-US"/>
        </w:rPr>
        <w:t>W</w:t>
      </w:r>
      <w:r w:rsidRPr="00CE170C">
        <w:rPr>
          <w:rFonts w:ascii="Book Antiqua" w:hAnsi="Book Antiqua"/>
          <w:noProof/>
          <w:lang w:val="en-US"/>
        </w:rPr>
        <w:t xml:space="preserve"> in a 1.0 cm concentric ring (Figure 2). </w:t>
      </w:r>
      <w:r w:rsidR="00320258" w:rsidRPr="00CE170C">
        <w:rPr>
          <w:rFonts w:ascii="Book Antiqua" w:hAnsi="Book Antiqua"/>
          <w:noProof/>
          <w:lang w:val="en-US"/>
        </w:rPr>
        <w:t xml:space="preserve">There was no </w:t>
      </w:r>
      <w:r w:rsidRPr="00CE170C">
        <w:rPr>
          <w:rFonts w:ascii="Book Antiqua" w:hAnsi="Book Antiqua"/>
          <w:noProof/>
          <w:lang w:val="en-US"/>
        </w:rPr>
        <w:t xml:space="preserve">direct contact with the mucosa. The patient was treated with monitored anesthesia care. The procedure was performed without any adverse events. </w:t>
      </w:r>
    </w:p>
    <w:p w14:paraId="41F747EF" w14:textId="468F62C8" w:rsidR="002E5155" w:rsidRPr="00CE170C" w:rsidRDefault="002E5155" w:rsidP="00CE170C">
      <w:pPr>
        <w:adjustRightInd w:val="0"/>
        <w:snapToGrid w:val="0"/>
        <w:spacing w:line="360" w:lineRule="auto"/>
        <w:ind w:firstLine="567"/>
        <w:jc w:val="both"/>
        <w:rPr>
          <w:rFonts w:ascii="Book Antiqua" w:hAnsi="Book Antiqua"/>
          <w:noProof/>
          <w:lang w:val="en-US"/>
        </w:rPr>
      </w:pPr>
    </w:p>
    <w:p w14:paraId="67B6C37F" w14:textId="77777777" w:rsidR="002E5155" w:rsidRPr="00CE170C" w:rsidRDefault="002E5155" w:rsidP="00CE170C">
      <w:pPr>
        <w:adjustRightInd w:val="0"/>
        <w:snapToGrid w:val="0"/>
        <w:spacing w:line="360" w:lineRule="auto"/>
        <w:jc w:val="both"/>
        <w:rPr>
          <w:rFonts w:ascii="Book Antiqua" w:hAnsi="Book Antiqua"/>
          <w:b/>
          <w:noProof/>
          <w:lang w:val="en-US"/>
        </w:rPr>
      </w:pPr>
      <w:r w:rsidRPr="00CE170C">
        <w:rPr>
          <w:rFonts w:ascii="Book Antiqua" w:hAnsi="Book Antiqua"/>
          <w:b/>
          <w:noProof/>
          <w:lang w:val="en-US"/>
        </w:rPr>
        <w:t>OUTCOME AND FOLLOW-UP</w:t>
      </w:r>
    </w:p>
    <w:p w14:paraId="2FDD021D" w14:textId="21624222" w:rsidR="00A36530" w:rsidRPr="00CE170C" w:rsidRDefault="00A36530" w:rsidP="00CE170C">
      <w:pPr>
        <w:adjustRightInd w:val="0"/>
        <w:snapToGrid w:val="0"/>
        <w:spacing w:line="360" w:lineRule="auto"/>
        <w:jc w:val="both"/>
        <w:rPr>
          <w:rFonts w:ascii="Book Antiqua" w:hAnsi="Book Antiqua"/>
          <w:noProof/>
          <w:lang w:val="en-US"/>
        </w:rPr>
      </w:pPr>
      <w:r w:rsidRPr="00CE170C">
        <w:rPr>
          <w:rFonts w:ascii="Book Antiqua" w:hAnsi="Book Antiqua"/>
          <w:noProof/>
          <w:lang w:val="en-US"/>
        </w:rPr>
        <w:t xml:space="preserve">Following her first APC, </w:t>
      </w:r>
      <w:r w:rsidR="00320258" w:rsidRPr="00CE170C">
        <w:rPr>
          <w:rFonts w:ascii="Book Antiqua" w:hAnsi="Book Antiqua"/>
          <w:noProof/>
          <w:lang w:val="en-US"/>
        </w:rPr>
        <w:t xml:space="preserve">our patient </w:t>
      </w:r>
      <w:r w:rsidRPr="00CE170C">
        <w:rPr>
          <w:rFonts w:ascii="Book Antiqua" w:hAnsi="Book Antiqua"/>
          <w:noProof/>
          <w:lang w:val="en-US"/>
        </w:rPr>
        <w:t>stopped gaining weight, however, she had inadequate weight loss (106</w:t>
      </w:r>
      <w:r w:rsidR="00D96FC8" w:rsidRPr="00CE170C">
        <w:rPr>
          <w:rFonts w:ascii="Book Antiqua" w:hAnsi="Book Antiqua"/>
          <w:noProof/>
          <w:lang w:val="en-US"/>
        </w:rPr>
        <w:t xml:space="preserve"> </w:t>
      </w:r>
      <w:r w:rsidRPr="00CE170C">
        <w:rPr>
          <w:rFonts w:ascii="Book Antiqua" w:hAnsi="Book Antiqua"/>
          <w:noProof/>
          <w:lang w:val="en-US"/>
        </w:rPr>
        <w:t xml:space="preserve">kg, BMI: 36.7 </w:t>
      </w:r>
      <w:r w:rsidR="00D96FC8" w:rsidRPr="00CE170C">
        <w:rPr>
          <w:rFonts w:ascii="Book Antiqua" w:hAnsi="Book Antiqua"/>
          <w:noProof/>
          <w:lang w:val="en-US"/>
        </w:rPr>
        <w:t>kg/m</w:t>
      </w:r>
      <w:r w:rsidR="00D96FC8" w:rsidRPr="00CE170C">
        <w:rPr>
          <w:rFonts w:ascii="Book Antiqua" w:hAnsi="Book Antiqua"/>
          <w:noProof/>
          <w:vertAlign w:val="superscript"/>
          <w:lang w:val="en-US"/>
        </w:rPr>
        <w:t>2</w:t>
      </w:r>
      <w:r w:rsidRPr="00CE170C">
        <w:rPr>
          <w:rFonts w:ascii="Book Antiqua" w:hAnsi="Book Antiqua"/>
          <w:noProof/>
          <w:lang w:val="en-US"/>
        </w:rPr>
        <w:t>).  Several months later</w:t>
      </w:r>
      <w:r w:rsidR="00320258" w:rsidRPr="00CE170C">
        <w:rPr>
          <w:rFonts w:ascii="Book Antiqua" w:hAnsi="Book Antiqua"/>
          <w:noProof/>
          <w:lang w:val="en-US"/>
        </w:rPr>
        <w:t>,</w:t>
      </w:r>
      <w:r w:rsidRPr="00CE170C">
        <w:rPr>
          <w:rFonts w:ascii="Book Antiqua" w:hAnsi="Book Antiqua"/>
          <w:noProof/>
          <w:lang w:val="en-US"/>
        </w:rPr>
        <w:t xml:space="preserve"> she reported </w:t>
      </w:r>
      <w:r w:rsidR="00320258" w:rsidRPr="00CE170C">
        <w:rPr>
          <w:rFonts w:ascii="Book Antiqua" w:hAnsi="Book Antiqua"/>
          <w:noProof/>
          <w:lang w:val="en-US"/>
        </w:rPr>
        <w:t xml:space="preserve">a </w:t>
      </w:r>
      <w:r w:rsidRPr="00CE170C">
        <w:rPr>
          <w:rFonts w:ascii="Book Antiqua" w:hAnsi="Book Antiqua"/>
          <w:noProof/>
          <w:lang w:val="en-US"/>
        </w:rPr>
        <w:t xml:space="preserve">return of poor satiety and </w:t>
      </w:r>
      <w:r w:rsidR="00320258" w:rsidRPr="00CE170C">
        <w:rPr>
          <w:rFonts w:ascii="Book Antiqua" w:hAnsi="Book Antiqua"/>
          <w:noProof/>
          <w:lang w:val="en-US"/>
        </w:rPr>
        <w:t xml:space="preserve">an </w:t>
      </w:r>
      <w:r w:rsidRPr="00CE170C">
        <w:rPr>
          <w:rFonts w:ascii="Book Antiqua" w:hAnsi="Book Antiqua"/>
          <w:noProof/>
          <w:lang w:val="en-US"/>
        </w:rPr>
        <w:t xml:space="preserve">increased appetite.  A repeat endoscopy was then performed. At that time, the pouch extended from 38 to 41 cm and the GJA was approximately 15 mm in diameter and was incompetent, without ulceration.  APC was performed. The procedure occurred without any adverse events, including bleeding. </w:t>
      </w:r>
    </w:p>
    <w:p w14:paraId="24C46D06" w14:textId="568E10CC" w:rsidR="00A36530" w:rsidRPr="00CE170C" w:rsidRDefault="00A36530" w:rsidP="00CE170C">
      <w:pPr>
        <w:adjustRightInd w:val="0"/>
        <w:snapToGrid w:val="0"/>
        <w:spacing w:line="360" w:lineRule="auto"/>
        <w:ind w:firstLineChars="100" w:firstLine="240"/>
        <w:jc w:val="both"/>
        <w:rPr>
          <w:rFonts w:ascii="Book Antiqua" w:hAnsi="Book Antiqua"/>
          <w:noProof/>
          <w:lang w:val="en-US"/>
        </w:rPr>
      </w:pPr>
      <w:r w:rsidRPr="00CE170C">
        <w:rPr>
          <w:rFonts w:ascii="Book Antiqua" w:hAnsi="Book Antiqua"/>
          <w:noProof/>
          <w:lang w:val="en-US"/>
        </w:rPr>
        <w:t>One day post procedure she had four episodes of hematemesis with visible clots. She also had one large bowel movement with maroon and bright red blood per rectum. Her hemoglobulin decreased from 12.8 g/dL to 10.5 g/dL but she was hemodynamically stable. A type and cross was obtained and two large bore IV needles were inserted. A repeat upper endoscopy was performed. The esophagus and the pouch mucosa appeared normal, with no signs of active bleeding. There was a large ulcer with a visible arterial vessel that was visualized and located at the GJA (Figure</w:t>
      </w:r>
      <w:r w:rsidR="00EB0659" w:rsidRPr="00CE170C">
        <w:rPr>
          <w:rFonts w:ascii="Book Antiqua" w:hAnsi="Book Antiqua"/>
          <w:noProof/>
          <w:lang w:val="en-US"/>
        </w:rPr>
        <w:t xml:space="preserve"> </w:t>
      </w:r>
      <w:r w:rsidRPr="00CE170C">
        <w:rPr>
          <w:rFonts w:ascii="Book Antiqua" w:hAnsi="Book Antiqua"/>
          <w:noProof/>
          <w:lang w:val="en-US"/>
        </w:rPr>
        <w:t xml:space="preserve">3). Coagulation was attempted using a </w:t>
      </w:r>
      <w:r w:rsidRPr="00CE170C">
        <w:rPr>
          <w:rFonts w:ascii="Book Antiqua" w:hAnsi="Book Antiqua"/>
          <w:noProof/>
          <w:lang w:val="en-US"/>
        </w:rPr>
        <w:lastRenderedPageBreak/>
        <w:t xml:space="preserve">CoagrasperTM (Olympus, Tokio, Japan) and after initial contact with the vessel, the vessel started oozing (Figure 4). </w:t>
      </w:r>
      <w:r w:rsidR="00320258" w:rsidRPr="00CE170C">
        <w:rPr>
          <w:rFonts w:ascii="Book Antiqua" w:hAnsi="Book Antiqua"/>
          <w:noProof/>
          <w:lang w:val="en-US"/>
        </w:rPr>
        <w:t xml:space="preserve">Subsequently, </w:t>
      </w:r>
      <w:r w:rsidRPr="00CE170C">
        <w:rPr>
          <w:rFonts w:ascii="Book Antiqua" w:hAnsi="Book Antiqua"/>
          <w:noProof/>
          <w:lang w:val="en-US"/>
        </w:rPr>
        <w:t xml:space="preserve">ipolar coaptive coagulation was attempted, without success. Repeat APC was not performed due to the depth of </w:t>
      </w:r>
      <w:r w:rsidR="00320258" w:rsidRPr="00CE170C">
        <w:rPr>
          <w:rFonts w:ascii="Book Antiqua" w:hAnsi="Book Antiqua"/>
          <w:noProof/>
          <w:lang w:val="en-US"/>
        </w:rPr>
        <w:t xml:space="preserve">the </w:t>
      </w:r>
      <w:r w:rsidRPr="00CE170C">
        <w:rPr>
          <w:rFonts w:ascii="Book Antiqua" w:hAnsi="Book Antiqua"/>
          <w:noProof/>
          <w:lang w:val="en-US"/>
        </w:rPr>
        <w:t>ulceration and concern that this could</w:t>
      </w:r>
      <w:r w:rsidR="00320258" w:rsidRPr="00CE170C">
        <w:rPr>
          <w:rFonts w:ascii="Book Antiqua" w:hAnsi="Book Antiqua"/>
          <w:noProof/>
          <w:lang w:val="en-US"/>
        </w:rPr>
        <w:t xml:space="preserve"> potentially</w:t>
      </w:r>
      <w:r w:rsidRPr="00CE170C">
        <w:rPr>
          <w:rFonts w:ascii="Book Antiqua" w:hAnsi="Book Antiqua"/>
          <w:noProof/>
          <w:lang w:val="en-US"/>
        </w:rPr>
        <w:t xml:space="preserve"> increase the risk of a delayed perforation.  Therefore, injection therapy using a solution comprised of 2 mL of a 1:10,000 solution of epinephrine was attempted surrounding the protruding vessel.  However, persistent oozing was noted, and significant blood clots were observed around the anastomotic site limiting endoscopic visualization of the vessel.</w:t>
      </w:r>
    </w:p>
    <w:p w14:paraId="56354BBA" w14:textId="0CAEF5B9" w:rsidR="0061030A" w:rsidRPr="00CE170C" w:rsidRDefault="00A36530" w:rsidP="00CE170C">
      <w:pPr>
        <w:adjustRightInd w:val="0"/>
        <w:snapToGrid w:val="0"/>
        <w:spacing w:line="360" w:lineRule="auto"/>
        <w:ind w:firstLineChars="100" w:firstLine="240"/>
        <w:jc w:val="both"/>
        <w:rPr>
          <w:rFonts w:ascii="Book Antiqua" w:hAnsi="Book Antiqua"/>
          <w:noProof/>
          <w:lang w:val="en-US"/>
        </w:rPr>
      </w:pPr>
      <w:r w:rsidRPr="00CE170C">
        <w:rPr>
          <w:rFonts w:ascii="Book Antiqua" w:hAnsi="Book Antiqua"/>
          <w:noProof/>
          <w:lang w:val="en-US"/>
        </w:rPr>
        <w:t xml:space="preserve">Additionally, due to fibrosis in the area and to the poor visualization caused by the blood clots </w:t>
      </w:r>
      <w:r w:rsidR="00320258" w:rsidRPr="00CE170C">
        <w:rPr>
          <w:rFonts w:ascii="Book Antiqua" w:hAnsi="Book Antiqua"/>
          <w:noProof/>
          <w:lang w:val="en-US"/>
        </w:rPr>
        <w:t>with</w:t>
      </w:r>
      <w:r w:rsidRPr="00CE170C">
        <w:rPr>
          <w:rFonts w:ascii="Book Antiqua" w:hAnsi="Book Antiqua"/>
          <w:noProof/>
          <w:lang w:val="en-US"/>
        </w:rPr>
        <w:t xml:space="preserve">in the pouch, clips could not be applied. As a result, after cleaning some the blood clots, hemostatic powder </w:t>
      </w:r>
      <w:r w:rsidR="00F574EE" w:rsidRPr="00CE170C">
        <w:rPr>
          <w:rFonts w:ascii="Book Antiqua" w:hAnsi="Book Antiqua"/>
          <w:noProof/>
          <w:lang w:val="en-US"/>
        </w:rPr>
        <w:t>[</w:t>
      </w:r>
      <w:r w:rsidRPr="00CE170C">
        <w:rPr>
          <w:rFonts w:ascii="Book Antiqua" w:hAnsi="Book Antiqua"/>
          <w:noProof/>
          <w:lang w:val="en-US"/>
        </w:rPr>
        <w:t>Hemospray® (Cook Medical, Winston-Salem, NC, U</w:t>
      </w:r>
      <w:r w:rsidR="00F574EE" w:rsidRPr="00CE170C">
        <w:rPr>
          <w:rFonts w:ascii="Book Antiqua" w:hAnsi="Book Antiqua"/>
          <w:noProof/>
          <w:lang w:val="en-US"/>
        </w:rPr>
        <w:t>nited States</w:t>
      </w:r>
      <w:r w:rsidRPr="00CE170C">
        <w:rPr>
          <w:rFonts w:ascii="Book Antiqua" w:hAnsi="Book Antiqua"/>
          <w:noProof/>
          <w:lang w:val="en-US"/>
        </w:rPr>
        <w:t>)</w:t>
      </w:r>
      <w:r w:rsidR="00F574EE" w:rsidRPr="00CE170C">
        <w:rPr>
          <w:rFonts w:ascii="Book Antiqua" w:hAnsi="Book Antiqua"/>
          <w:noProof/>
          <w:lang w:val="en-US"/>
        </w:rPr>
        <w:t>]</w:t>
      </w:r>
      <w:r w:rsidRPr="00CE170C">
        <w:rPr>
          <w:rFonts w:ascii="Book Antiqua" w:hAnsi="Book Antiqua"/>
          <w:noProof/>
          <w:lang w:val="en-US"/>
        </w:rPr>
        <w:t xml:space="preserve"> was applied to the region of the bleeding vessel. Subsequently, there was no more bleeding from the visible vessel (Figure 5). Vital signs remained stable throughout the procedure and no blood transfusions were necessary. The patient remained on an IV proton pump inhibitor (PPI) and </w:t>
      </w:r>
      <w:r w:rsidR="00320258" w:rsidRPr="00CE170C">
        <w:rPr>
          <w:rFonts w:ascii="Book Antiqua" w:hAnsi="Book Antiqua"/>
          <w:noProof/>
          <w:lang w:val="en-US"/>
        </w:rPr>
        <w:t>she was made</w:t>
      </w:r>
      <w:r w:rsidRPr="00CE170C">
        <w:rPr>
          <w:rFonts w:ascii="Book Antiqua" w:hAnsi="Book Antiqua"/>
          <w:noProof/>
          <w:lang w:val="en-US"/>
        </w:rPr>
        <w:t xml:space="preserve"> nil per os (NPO).  One day post procedure an oral PPI was initiated, and she remained on a liquid diet for 2 d and then was advanced to a regular diet. The patient remained hemodynamically stable and a second look endoscopy was not performed. She was discharged three days later.</w:t>
      </w:r>
    </w:p>
    <w:p w14:paraId="398D2693" w14:textId="77777777" w:rsidR="002E5155" w:rsidRPr="00CE170C" w:rsidRDefault="002E5155" w:rsidP="00CE170C">
      <w:pPr>
        <w:adjustRightInd w:val="0"/>
        <w:snapToGrid w:val="0"/>
        <w:spacing w:line="360" w:lineRule="auto"/>
        <w:jc w:val="both"/>
        <w:rPr>
          <w:rFonts w:ascii="Book Antiqua" w:hAnsi="Book Antiqua"/>
          <w:noProof/>
          <w:lang w:val="en-US"/>
        </w:rPr>
      </w:pPr>
    </w:p>
    <w:p w14:paraId="36C3BE73" w14:textId="2F156AC3" w:rsidR="00C93C7A" w:rsidRPr="00CE170C" w:rsidRDefault="00246217" w:rsidP="00CE170C">
      <w:pPr>
        <w:adjustRightInd w:val="0"/>
        <w:snapToGrid w:val="0"/>
        <w:spacing w:line="360" w:lineRule="auto"/>
        <w:jc w:val="both"/>
        <w:rPr>
          <w:rFonts w:ascii="Book Antiqua" w:hAnsi="Book Antiqua"/>
          <w:b/>
          <w:lang w:val="en-US"/>
        </w:rPr>
      </w:pPr>
      <w:r w:rsidRPr="00CE170C">
        <w:rPr>
          <w:rFonts w:ascii="Book Antiqua" w:hAnsi="Book Antiqua"/>
          <w:b/>
          <w:lang w:val="en-US"/>
        </w:rPr>
        <w:t>DISCUSSION</w:t>
      </w:r>
    </w:p>
    <w:p w14:paraId="1886F3E4" w14:textId="448881B5" w:rsidR="001F47D9" w:rsidRPr="00CE170C" w:rsidRDefault="001F47D9" w:rsidP="00CE170C">
      <w:pPr>
        <w:adjustRightInd w:val="0"/>
        <w:snapToGrid w:val="0"/>
        <w:spacing w:line="360" w:lineRule="auto"/>
        <w:jc w:val="both"/>
        <w:rPr>
          <w:rFonts w:ascii="Book Antiqua" w:hAnsi="Book Antiqua"/>
          <w:lang w:val="en-US"/>
        </w:rPr>
      </w:pPr>
      <w:r w:rsidRPr="00CE170C">
        <w:rPr>
          <w:rFonts w:ascii="Book Antiqua" w:hAnsi="Book Antiqua"/>
          <w:lang w:val="en-US"/>
        </w:rPr>
        <w:t>Over the last decade, dilation of the GJA has been recognized as an important cause of weight regain after RYGB. However, re-operative surgery to reduce the GJA diameter or the pouch size is technically challenging and is associated with a relatively high complication rate. Therefore, many endoscopic methods have been developed to reduce the diameter of the gastric pouch and GJA, which include injection therapy into the anastomotic site, endoscopic suturing and plicating, and thermal ablation therapy using APC</w:t>
      </w:r>
      <w:r w:rsidR="00146FE6" w:rsidRPr="00CE170C">
        <w:rPr>
          <w:rFonts w:ascii="Book Antiqua" w:hAnsi="Book Antiqua"/>
          <w:lang w:val="en-US"/>
        </w:rPr>
        <w:fldChar w:fldCharType="begin" w:fldLock="1"/>
      </w:r>
      <w:r w:rsidR="00146FE6" w:rsidRPr="00CE170C">
        <w:rPr>
          <w:rFonts w:ascii="Book Antiqua" w:hAnsi="Book Antiqua"/>
          <w:lang w:val="en-US"/>
        </w:rPr>
        <w:instrText>ADDIN CSL_CITATION {"citationItems":[{"id":"ITEM-1","itemData":{"DOI":"10.1080/17446651.2019.1571907","ISSN":"1744-8417","PMID":"30691326","abstract":"INTRODUCTION With the cumulative increase in the number of patients undergoing bariatric surgery, postoperative weight regain has become a considerable challenge. Mechanisms for weight regain are not fully understood and the process is likely multifactorial in many cases. Endoluminal revisions that reduce gastric pouch size and diameter of the gastrojejunal anastomosis may offer an effective and less invasive management strategy for this population. Areas covered: We critically review data from case series, retrospective and prospective studies, and meta-analyses pertaining to weight regain after gastric bypass. A variety of endoscopic revision approaches are reviewed, including technique details, procedural safety and efficacy, and post-procedure care. Expert commentary: Given the proliferation of endoluminal therapies with evidence showing safety and efficacy in the treatment of weight regain, it is likely that endoscopic revision will be the gold standard to treat weight regain in patients with gastric bypass.","author":[{"dropping-particle":"","family":"Hourneaux De Moura","given":"Diogo Turiani","non-dropping-particle":"","parse-names":false,"suffix":""},{"dropping-particle":"","family":"Thompson","given":"Christopher C","non-dropping-particle":"","parse-names":false,"suffix":""}],"container-title":"Expert review of endocrinology &amp; metabolism","id":"ITEM-1","issued":{"date-parts":[["2019","1","29"]]},"page":"1-14","title":"Endoscopic management of weight regain following Roux-en-Y gastric bypass.","type":"article-journal"},"uris":["http://www.mendeley.com/documents/?uuid=a4d63386-5cef-47a7-b3f2-213e944e0745"]},{"id":"ITEM-2","itemData":{"DOI":"10.1007/s00464-007-9540-1","ISSN":"0930-2794","author":[{"dropping-particle":"","family":"Higa","given":"K. D.","non-dropping-particle":"","parse-names":false,"suffix":""},{"dropping-particle":"","family":"Boone","given":"K.","non-dropping-particle":"","parse-names":false,"suffix":""},{"dropping-particle":"","family":"Nimeri","given":"A.","non-dropping-particle":"","parse-names":false,"suffix":""},{"dropping-particle":"","family":"Tercero","given":"F.","non-dropping-particle":"","parse-names":false,"suffix":""},{"dropping-particle":"","family":"Jackson","given":"A.","non-dropping-particle":"","parse-names":false,"suffix":""},{"dropping-particle":"","family":"Khan","given":"A.","non-dropping-particle":"","parse-names":false,"suffix":""}],"container-title":"Surgical Endoscopy","id":"ITEM-2","issue":"11","issued":{"date-parts":[["2007","10","18"]]},"page":"1922-1923","title":"Gastric bypass: increased restriction for poor weight loss","type":"article-journal","volume":"21"},"uris":["http://www.mendeley.com/documents/?uuid=cc47b022-35c8-43fc-ac51-c2c86bed3e40"]},{"id":"ITEM-3","itemData":{"DOI":"10.1007/s00464-006-0045-0","ISSN":"1432-2218","PMID":"17024527","abstract":"BACKGROUND Roux-en-Y gastric bypass (RYGB) is an effective treatment for severe obesity. However, many patients regain weight over time. The mechanisms for this are unclear, and several factors may contribute, including dilation of the gastrojejunal anastomosis. This study aimed to assess the feasibility of endoscopic gastrojejunal anastomotic tightening and to determine the effect of tightening on body weight. METHODS Eight patients with significant weight regain and dilated gastrojejunal anastomosis after RYGB were included in this pilot study. Sutures were placed endoscopically at the rim of the anastomosis. When tightened, the sutures formed tissue placations, reducing the size of the anastomotic aperture. RESULTS The average preprocedure body mass index (BMI) was 40.5, and the patients had regained a mean of 24 kg from their post-RYGB nadir. The average pouch length was 5.7 cm, and the average anastomotic diameter was 25 mm. The average postreduction diameter was 10.0 mm (68% reduction). Six of the eight patients showed weight loss (mean, 10 kg) at 4 months. Repeat procedures were performed for three patients who had lost 4, 5, and 9 kg, respectively with the initial procedure. After the second anastomotic reduction, the final diameters were, respectively, 14, 5, and 5 mm. The first patient did not have further weight loss. The remaining two patients showed a total weight loss of 19 and 20 kg, respectively, at 5 months. All 11 reductions were accomplished without significant complication. The average postreduction BMI was 37.7, and the percentage of excess weight loss was 23.4%. CONCLUSION Peroral endoscopic suturing to tighten dilated gastrojejunal anastomoses appears technically feasible and safe. This procedure is associated with variable but significant weight loss, and preliminary results suggest that it may offer a new treatment option for postbypass weight regain in selected patients.","author":[{"dropping-particle":"","family":"Thompson","given":"C C","non-dropping-particle":"","parse-names":false,"suffix":""},{"dropping-particle":"","family":"Slattery","given":"J","non-dropping-particle":"","parse-names":false,"suffix":""},{"dropping-particle":"","family":"Bundga","given":"M E","non-dropping-particle":"","parse-names":false,"suffix":""},{"dropping-particle":"","family":"Lautz","given":"D B","non-dropping-particle":"","parse-names":false,"suffix":""}],"container-title":"Surgical endoscopy","id":"ITEM-3","issue":"11","issued":{"date-parts":[["2006","11"]]},"page":"1744-8","title":"Peroral endoscopic reduction of dilated gastrojejunal anastomosis after Roux-en-Y gastric bypass: a possible new option for patients with weight regain.","type":"article-journal","volume":"20"},"uris":["http://www.mendeley.com/documents/?uuid=6aca1d28-ca87-4ae2-9471-dc1cd8fe7ad6"]},{"id":"ITEM-4","itemData":{"DOI":"10.1007/s11695-017-2986-x","ISSN":"1708-0428","PMID":"29082456","abstract":"Roux-en-Y gastric bypass (RYGB) is the most commonly performed bariatric procedure. Despite its high efficacy, some patients regain part of their lost weight. Several endoscopic therapies have been introduced as alternatives to treat weight regain, but most of the articles are relatively small with unclear long-term data. To systematically assess the efficacy of endoscopic therapies for weight regain after RYGB. We searched MEDLINE, EMBASE, Scopus, Web of Science, Cochrane, OVID, CINAHL/EBSCo, LILACS/Bireme, and gray literature. Primary outcomes were absolute weight loss (AWL), excess weight loss (EWL), and total body weight loss (TBWL). Thirty-two studies were included in qualitative analysis. Twenty-six described full-thickness (FT) endoscopic suturing and pooled AWL, EWL, and TBWL at 3 months were 8.5 ± 2.9 kg, 21.6 ± 9.3%, and 7.3 ± 2.6%, respectively. At 6 months, they were 8.6 ± 3.5 kg, 23.7 ± 12.3%, and 8.0 ± 3.9%, respectively. At 12 months, they were 7.63 ± 4.3 kg, 16.9 ± 11.1%, and 6.6 ± 5.0%, respectively. Subgroup analysis showed that all outcomes were significantly higher in the group with FT suturing combined with argon plasma coagulation (APC) (p &lt; 0.0001). Meta-analysis included 15 FT studies and showed greater results. Three studies described superficial-thickness suturing with pooled AWL of 3.0 ± 3.8, 4.4 ± 0.07, and 3.7 ± 7.4 kg at 3, 6, and 12 months, respectively. Two articles described APC alone with mean AWL of 15.4 ± 2.0 and 15.4 ± 9.1 kg at 3 and 6 months, respectively. Full-thickness suturing is effective at treating weight regain after RYGB. Performing APC prior to suturing seems to result in greater weight loss. Head-to-head studies are needed to confirm our results. Few studies adequately assess effectiveness of other endoscopic techniques.","author":[{"dropping-particle":"","family":"Brunaldi","given":"Vitor Ottoboni","non-dropping-particle":"","parse-names":false,"suffix":""},{"dropping-particle":"","family":"Jirapinyo","given":"Pichamol","non-dropping-particle":"","parse-names":false,"suffix":""},{"dropping-particle":"","family":"Moura","given":"Diogo Turiani H","non-dropping-particle":"de","parse-names":false,"suffix":""},{"dropping-particle":"","family":"Okazaki","given":"Ossamu","non-dropping-particle":"","parse-names":false,"suffix":""},{"dropping-particle":"","family":"Bernardo","given":"Wanderley M","non-dropping-particle":"","parse-names":false,"suffix":""},{"dropping-particle":"","family":"Galvão Neto","given":"Manoel","non-dropping-particle":"","parse-names":false,"suffix":""},{"dropping-particle":"","family":"Campos","given":"Josemberg Marins","non-dropping-particle":"","parse-names":false,"suffix":""},{"dropping-particle":"","family":"Santo","given":"Marco Aurélio","non-dropping-particle":"","parse-names":false,"suffix":""},{"dropping-particle":"","family":"Moura","given":"Eduardo G H","non-dropping-particle":"de","parse-names":false,"suffix":""}],"container-title":"Obesity surgery","id":"ITEM-4","issue":"1","issued":{"date-parts":[["2018"]]},"page":"266-276","title":"Endoscopic Treatment of Weight Regain Following Roux-en-Y Gastric Bypass: a Systematic Review and Meta-analysis.","type":"article-journal","volume":"28"},"uris":["http://www.mendeley.com/documents/?uuid=fbe8c427-90fe-4c3f-bf29-471271b6809c"]},{"id":"ITEM-5","itemData":{"DOI":"10.1007/s11695-014-1363-2","ISSN":"1708-0428","PMID":"25005812","abstract":"BACKGROUND The failure of approximately 20 % of obese patients who undergo Roux-en-Y gastric bypass (RYGB) to maintain weight loss over the following 18-24 months is related to the surgical procedure, to the patient, or both. Although the underlying mechanisms are uncertain, one factor that has been postulated is the dilation of the gastrojejunal anastomosis. The objective was to evaluate the safety and efficacy of the serial use of argon plasma coagulation (APC) in reducing the diameter of the dilated gastrojejunal anastomosis and post-RYGB weight regain. METHODS We carried out a prospective, nonrandomized study of 30 patients, with no control or sham group, monitoring RYGB weight regain associated with dilation of the gastrojejunal anastomosis over a postoperative period of 18 months. Each patient underwent three sessions of APC in the anastomosis separated by 8 weeks, with a final endoscopic examination 8 weeks after the last session. RESULTS There was a loss of 15.48 kg (range = 8.0-16.0 kg) of the 19.6 kg (range = 7.0-39.0 kg) of regained weight after RYGB and a reduction of 66.89 % in the final anastomotic diameter, with statistically significant reductions between each APC session. Previous body mass index significantly decreased up to the final examination, and the final weight was close to but not at the same level as the nadir. CONCLUSIONS Our study indicates that the use of APC to treat weight regain after RYGB is a safe and effective procedure and promotes a reduction in gastrojejunal anastomosis, final weight, and BMI, with a low rate of complications.","author":[{"dropping-particle":"","family":"Baretta","given":"Giorgio A P","non-dropping-particle":"","parse-names":false,"suffix":""},{"dropping-particle":"","family":"Alhinho","given":"Helga C A W","non-dropping-particle":"","parse-names":false,"suffix":""},{"dropping-particle":"","family":"Matias","given":"Jorge Eduardo F","non-dropping-particle":"","parse-names":false,"suffix":""},{"dropping-particle":"","family":"Marchesini","given":"João Batista","non-dropping-particle":"","parse-names":false,"suffix":""},{"dropping-particle":"","family":"Lima","given":"João Henrique F","non-dropping-particle":"de","parse-names":false,"suffix":""},{"dropping-particle":"","family":"Empinotti","given":"Celso","non-dropping-particle":"","parse-names":false,"suffix":""},{"dropping-particle":"","family":"Campos","given":"Josemberg M","non-dropping-particle":"","parse-names":false,"suffix":""}],"container-title":"Obesity surgery","id":"ITEM-5","issue":"1","issued":{"date-parts":[["2015","1"]]},"page":"72-9","title":"Argon plasma coagulation of gastrojejunal anastomosis for weight regain after gastric bypass.","type":"article-journal","volume":"25"},"uris":["http://www.mendeley.com/documents/?uuid=3bf776a9-b553-48ee-bcb7-1eab7187efb0"]}],"mendeley":{"formattedCitation":"&lt;sup&gt;[2,12–15]&lt;/sup&gt;","plainTextFormattedCitation":"[2,12–15]","previouslyFormattedCitation":"&lt;sup&gt;[2,12–15]&lt;/sup&gt;"},"properties":{"noteIndex":0},"schema":"https://github.com/citation-style-language/schema/raw/master/csl-citation.json"}</w:instrText>
      </w:r>
      <w:r w:rsidR="00146FE6" w:rsidRPr="00CE170C">
        <w:rPr>
          <w:rFonts w:ascii="Book Antiqua" w:hAnsi="Book Antiqua"/>
          <w:lang w:val="en-US"/>
        </w:rPr>
        <w:fldChar w:fldCharType="separate"/>
      </w:r>
      <w:r w:rsidR="00146FE6" w:rsidRPr="00CE170C">
        <w:rPr>
          <w:rFonts w:ascii="Book Antiqua" w:hAnsi="Book Antiqua"/>
          <w:noProof/>
          <w:vertAlign w:val="superscript"/>
          <w:lang w:val="en-US"/>
        </w:rPr>
        <w:t>[2,12–15]</w:t>
      </w:r>
      <w:r w:rsidR="00146FE6" w:rsidRPr="00CE170C">
        <w:rPr>
          <w:rFonts w:ascii="Book Antiqua" w:hAnsi="Book Antiqua"/>
          <w:lang w:val="en-US"/>
        </w:rPr>
        <w:fldChar w:fldCharType="end"/>
      </w:r>
      <w:r w:rsidRPr="00CE170C">
        <w:rPr>
          <w:rFonts w:ascii="Book Antiqua" w:hAnsi="Book Antiqua"/>
          <w:lang w:val="en-US"/>
        </w:rPr>
        <w:t xml:space="preserve">. </w:t>
      </w:r>
    </w:p>
    <w:p w14:paraId="0C47400F" w14:textId="63AD894A" w:rsidR="001F47D9" w:rsidRPr="00CE170C" w:rsidRDefault="001F47D9" w:rsidP="00CE170C">
      <w:pPr>
        <w:adjustRightInd w:val="0"/>
        <w:snapToGrid w:val="0"/>
        <w:spacing w:line="360" w:lineRule="auto"/>
        <w:ind w:firstLineChars="100" w:firstLine="240"/>
        <w:jc w:val="both"/>
        <w:rPr>
          <w:rFonts w:ascii="Book Antiqua" w:hAnsi="Book Antiqua"/>
          <w:lang w:val="en-US"/>
        </w:rPr>
      </w:pPr>
      <w:r w:rsidRPr="00CE170C">
        <w:rPr>
          <w:rFonts w:ascii="Book Antiqua" w:hAnsi="Book Antiqua"/>
          <w:lang w:val="en-US"/>
        </w:rPr>
        <w:t>APC was initially developed as a treatment modality for gastrointestinal hemorrhage. It is a catheter-based system that utilize</w:t>
      </w:r>
      <w:r w:rsidR="00320258" w:rsidRPr="00CE170C">
        <w:rPr>
          <w:rFonts w:ascii="Book Antiqua" w:hAnsi="Book Antiqua"/>
          <w:lang w:val="en-US"/>
        </w:rPr>
        <w:t>s</w:t>
      </w:r>
      <w:r w:rsidRPr="00CE170C">
        <w:rPr>
          <w:rFonts w:ascii="Book Antiqua" w:hAnsi="Book Antiqua"/>
          <w:lang w:val="en-US"/>
        </w:rPr>
        <w:t xml:space="preserve"> a jet of ionized argon gas </w:t>
      </w:r>
      <w:r w:rsidRPr="00CE170C">
        <w:rPr>
          <w:rFonts w:ascii="Book Antiqua" w:hAnsi="Book Antiqua"/>
          <w:lang w:val="en-US"/>
        </w:rPr>
        <w:lastRenderedPageBreak/>
        <w:t>for non-contact electrocoagulation of tissue that can be applied through a standard endoscope. Because the probe does not have direct contact with the mucosa, the procedure is safe and the depth of coagulation is limited to only a few millimeters. The depth of penetration is associated with power input in watts and the greater the wattage applied the deeper the penetration, which may result in injury to the muscular layer. After APC ablation is performed around the anastomotic ring, tissue contracts and results in scar formation, which reduces the caliber of the GJA. As a result, the goal of delayed emptying and early satiety can be achieved, and this contributes to weight loss. In general, APC is safe with few complications reported in the literature, such as anastomotic stricture, ulcer formation, bleeding, and leakage at the GJA</w:t>
      </w:r>
      <w:r w:rsidR="00146FE6" w:rsidRPr="00CE170C">
        <w:rPr>
          <w:rFonts w:ascii="Book Antiqua" w:hAnsi="Book Antiqua"/>
          <w:lang w:val="en-US"/>
        </w:rPr>
        <w:fldChar w:fldCharType="begin" w:fldLock="1"/>
      </w:r>
      <w:r w:rsidR="00465DAA" w:rsidRPr="00CE170C">
        <w:rPr>
          <w:rFonts w:ascii="Book Antiqua" w:hAnsi="Book Antiqua"/>
          <w:lang w:val="en-US"/>
        </w:rPr>
        <w:instrText>ADDIN CSL_CITATION {"citationItems":[{"id":"ITEM-1","itemData":{"DOI":"10.1080/17446651.2019.1571907","ISSN":"1744-8417","PMID":"30691326","abstract":"INTRODUCTION With the cumulative increase in the number of patients undergoing bariatric surgery, postoperative weight regain has become a considerable challenge. Mechanisms for weight regain are not fully understood and the process is likely multifactorial in many cases. Endoluminal revisions that reduce gastric pouch size and diameter of the gastrojejunal anastomosis may offer an effective and less invasive management strategy for this population. Areas covered: We critically review data from case series, retrospective and prospective studies, and meta-analyses pertaining to weight regain after gastric bypass. A variety of endoscopic revision approaches are reviewed, including technique details, procedural safety and efficacy, and post-procedure care. Expert commentary: Given the proliferation of endoluminal therapies with evidence showing safety and efficacy in the treatment of weight regain, it is likely that endoscopic revision will be the gold standard to treat weight regain in patients with gastric bypass.","author":[{"dropping-particle":"","family":"Hourneaux De Moura","given":"Diogo Turiani","non-dropping-particle":"","parse-names":false,"suffix":""},{"dropping-particle":"","family":"Thompson","given":"Christopher C","non-dropping-particle":"","parse-names":false,"suffix":""}],"container-title":"Expert review of endocrinology &amp; metabolism","id":"ITEM-1","issued":{"date-parts":[["2019","1","29"]]},"page":"1-14","title":"Endoscopic management of weight regain following Roux-en-Y gastric bypass.","type":"article-journal"},"uris":["http://www.mendeley.com/documents/?uuid=a4d63386-5cef-47a7-b3f2-213e944e0745"]},{"id":"ITEM-2","itemData":{"DOI":"10.1007/s11695-018-3229-5","ISSN":"1708-0428","PMID":"29627948","abstract":"BACKGROUND Endoscopic approaches exist for targeting weight regain after Roux-en-Y gastric bypass (RYGB), including endoscopic suturing, clipping, and sclerotherapy. Argon plasma coagulation (APC) is a noncontact electrocoagulation method, and when used in RYGB patients, it has shown reduction in the diameter of the gastrojejunal anastomosis. OBJECTIVES To study the effectiveness of APC for weight regain in terms of weight loss for RYGB patients, from eight bariatric centers. METHODS A retrospective chart review was performed for 558 patients at eight bariatric centers in the USA (1) and Brazil (7) who underwent APC procedure between 31st July 2009 and 29th March 2017. APC was performed on patients who regained weight after RYGB procedure. RESULTS Upon exploratory analysis of the individual BMI data, the mean BMI decreased slightly during the first 24 months and increased slightly afterwards following the APC intervention. The mean weight was 94.5 ± 18.6 kg and the mean BMI was 34.0 kg/m2 at APC. Where data were available, the mean of lowest weight was 67.0 ± 23.0 kg and the mean of lowest BMI was 24.1 kg/m2 following gastric bypass. The mean weight loss was 6.5, 7.7, and 8.3 kg at 6, 12, and 24 months, respectively, and the changes in weight over time was statistically significant (p &lt; 0.0001). Multi-level for change model showed the low body mass index (BMI) group (BMI &lt; 30 kg/m2) to have greater TWL than the high BMI (BMI ≥ 30 kg/m2) group at 6, 12, and 24 months. In the low BMI group, the mean TWL was 4.7, 6.1, 6.9, and 2.4%, at 6, 12, and 24 months, respectively. In the high BMI group, the mean TWL was 7.5, 10.4, 13.4, and 3.7%, at 6, 12, 24, and 36 months, respectively. Of the 333 patients in four centers who provided complication information, complications after APC included stenosis (n = 9), GJ ulcer (n = 3), vomiting (n = 3), GJ leakage (n = 2), and melena (n = 1). CONCLUSION APC can be useful in reducing the regained weight after RYGB, and patients showed 6-10% total weight loss at 12 months. Randomized trials would be needed to validate the findings.","author":[{"dropping-particle":"","family":"Moon","given":"Rena C","non-dropping-particle":"","parse-names":false,"suffix":""},{"dropping-particle":"","family":"Teixeira","given":"Andre F","non-dropping-particle":"","parse-names":false,"suffix":""},{"dropping-particle":"","family":"Neto","given":"Manoel Galvao","non-dropping-particle":"","parse-names":false,"suffix":""},{"dropping-particle":"","family":"Zundel","given":"Natan","non-dropping-particle":"","parse-names":false,"suffix":""},{"dropping-particle":"","family":"Sander","given":"Bruno Queiroz","non-dropping-particle":"","parse-names":false,"suffix":""},{"dropping-particle":"","family":"Ramos","given":"Flavio Mitidieri","non-dropping-particle":"","parse-names":false,"suffix":""},{"dropping-particle":"","family":"Matz","given":"Felipe","non-dropping-particle":"","parse-names":false,"suffix":""},{"dropping-particle":"","family":"Baretta","given":"Giorgio A","non-dropping-particle":"","parse-names":false,"suffix":""},{"dropping-particle":"","family":"Quadros","given":"Luiz Gustavo","non-dropping-particle":"de","parse-names":false,"suffix":""},{"dropping-particle":"","family":"Grecco","given":"Eduardo","non-dropping-particle":"","parse-names":false,"suffix":""},{"dropping-particle":"","family":"Souza","given":"Thiago","non-dropping-particle":"","parse-names":false,"suffix":""},{"dropping-particle":"","family":"Barrichello","given":"Sergio A","non-dropping-particle":"","parse-names":false,"suffix":""},{"dropping-particle":"","family":"Filho","given":"Admar Concon","non-dropping-particle":"","parse-names":false,"suffix":""},{"dropping-particle":"","family":"Usuy","given":"Eduardo Nobuyuki","non-dropping-particle":"","parse-names":false,"suffix":""},{"dropping-particle":"","family":"Amorim","given":"Artagnan Menezes Barbosa","non-dropping-particle":"de","parse-names":false,"suffix":""},{"dropping-particle":"","family":"Jawad","given":"Muhammad A","non-dropping-particle":"","parse-names":false,"suffix":""}],"container-title":"Obesity surgery","id":"ITEM-2","issue":"9","issued":{"date-parts":[["2018","9"]]},"page":"2737-2744","title":"Efficacy of Utilizing Argon Plasma Coagulation for Weight Regain in Roux-en-Y Gastric Bypass Patients: a Multi-center Study.","type":"article-journal","volume":"28"},"uris":["http://www.mendeley.com/documents/?uuid=1b213e67-58f2-4e69-9759-aa8733d182eb"]},{"id":"ITEM-3","itemData":{"DOI":"10.1007/s11695-014-1363-2","ISSN":"1708-0428","PMID":"25005812","abstract":"BACKGROUND The failure of approximately 20 % of obese patients who undergo Roux-en-Y gastric bypass (RYGB) to maintain weight loss over the following 18-24 months is related to the surgical procedure, to the patient, or both. Although the underlying mechanisms are uncertain, one factor that has been postulated is the dilation of the gastrojejunal anastomosis. The objective was to evaluate the safety and efficacy of the serial use of argon plasma coagulation (APC) in reducing the diameter of the dilated gastrojejunal anastomosis and post-RYGB weight regain. METHODS We carried out a prospective, nonrandomized study of 30 patients, with no control or sham group, monitoring RYGB weight regain associated with dilation of the gastrojejunal anastomosis over a postoperative period of 18 months. Each patient underwent three sessions of APC in the anastomosis separated by 8 weeks, with a final endoscopic examination 8 weeks after the last session. RESULTS There was a loss of 15.48 kg (range = 8.0-16.0 kg) of the 19.6 kg (range = 7.0-39.0 kg) of regained weight after RYGB and a reduction of 66.89 % in the final anastomotic diameter, with statistically significant reductions between each APC session. Previous body mass index significantly decreased up to the final examination, and the final weight was close to but not at the same level as the nadir. CONCLUSIONS Our study indicates that the use of APC to treat weight regain after RYGB is a safe and effective procedure and promotes a reduction in gastrojejunal anastomosis, final weight, and BMI, with a low rate of complications.","author":[{"dropping-particle":"","family":"Baretta","given":"Giorgio A P","non-dropping-particle":"","parse-names":false,"suffix":""},{"dropping-particle":"","family":"Alhinho","given":"Helga C A W","non-dropping-particle":"","parse-names":false,"suffix":""},{"dropping-particle":"","family":"Matias","given":"Jorge Eduardo F","non-dropping-particle":"","parse-names":false,"suffix":""},{"dropping-particle":"","family":"Marchesini","given":"João Batista","non-dropping-particle":"","parse-names":false,"suffix":""},{"dropping-particle":"","family":"Lima","given":"João Henrique F","non-dropping-particle":"de","parse-names":false,"suffix":""},{"dropping-particle":"","family":"Empinotti","given":"Celso","non-dropping-particle":"","parse-names":false,"suffix":""},{"dropping-particle":"","family":"Campos","given":"Josemberg M","non-dropping-particle":"","parse-names":false,"suffix":""}],"container-title":"Obesity surgery","id":"ITEM-3","issue":"1","issued":{"date-parts":[["2015","1"]]},"page":"72-9","title":"Argon plasma coagulation of gastrojejunal anastomosis for weight regain after gastric bypass.","type":"article-journal","volume":"25"},"uris":["http://www.mendeley.com/documents/?uuid=3bf776a9-b553-48ee-bcb7-1eab7187efb0"]}],"mendeley":{"formattedCitation":"&lt;sup&gt;[2,11,15]&lt;/sup&gt;","plainTextFormattedCitation":"[2,11,15]","previouslyFormattedCitation":"&lt;sup&gt;[2,11,15]&lt;/sup&gt;"},"properties":{"noteIndex":0},"schema":"https://github.com/citation-style-language/schema/raw/master/csl-citation.json"}</w:instrText>
      </w:r>
      <w:r w:rsidR="00146FE6" w:rsidRPr="00CE170C">
        <w:rPr>
          <w:rFonts w:ascii="Book Antiqua" w:hAnsi="Book Antiqua"/>
          <w:lang w:val="en-US"/>
        </w:rPr>
        <w:fldChar w:fldCharType="separate"/>
      </w:r>
      <w:r w:rsidR="00146FE6" w:rsidRPr="00CE170C">
        <w:rPr>
          <w:rFonts w:ascii="Book Antiqua" w:hAnsi="Book Antiqua"/>
          <w:noProof/>
          <w:vertAlign w:val="superscript"/>
          <w:lang w:val="en-US"/>
        </w:rPr>
        <w:t>[2,11,15]</w:t>
      </w:r>
      <w:r w:rsidR="00146FE6" w:rsidRPr="00CE170C">
        <w:rPr>
          <w:rFonts w:ascii="Book Antiqua" w:hAnsi="Book Antiqua"/>
          <w:lang w:val="en-US"/>
        </w:rPr>
        <w:fldChar w:fldCharType="end"/>
      </w:r>
      <w:r w:rsidR="00615CBC" w:rsidRPr="00CE170C">
        <w:rPr>
          <w:rFonts w:ascii="Book Antiqua" w:hAnsi="Book Antiqua"/>
          <w:lang w:val="en-US"/>
        </w:rPr>
        <w:t>.</w:t>
      </w:r>
    </w:p>
    <w:p w14:paraId="247124D7" w14:textId="0F7102F4" w:rsidR="001F47D9" w:rsidRPr="00CE170C" w:rsidRDefault="001F47D9" w:rsidP="00CE170C">
      <w:pPr>
        <w:adjustRightInd w:val="0"/>
        <w:snapToGrid w:val="0"/>
        <w:spacing w:line="360" w:lineRule="auto"/>
        <w:ind w:firstLineChars="100" w:firstLine="240"/>
        <w:jc w:val="both"/>
        <w:rPr>
          <w:rFonts w:ascii="Book Antiqua" w:hAnsi="Book Antiqua"/>
          <w:lang w:val="en-US"/>
        </w:rPr>
      </w:pPr>
      <w:r w:rsidRPr="00CE170C">
        <w:rPr>
          <w:rFonts w:ascii="Book Antiqua" w:hAnsi="Book Antiqua"/>
          <w:lang w:val="en-US"/>
        </w:rPr>
        <w:t xml:space="preserve">In this case, we present a patient with hemorrhage after APC. During endoscopy a visible vessel was observed at the GJA. Due to the fibrotic tissue after APC, a hemoclip was thought to not be a good option. Injection with epinephrine solution and thermal therapy with </w:t>
      </w:r>
      <w:r w:rsidR="007C4A3D">
        <w:rPr>
          <w:rFonts w:ascii="Book Antiqua" w:hAnsi="Book Antiqua"/>
          <w:lang w:val="en-US"/>
        </w:rPr>
        <w:t>C</w:t>
      </w:r>
      <w:r w:rsidRPr="00CE170C">
        <w:rPr>
          <w:rFonts w:ascii="Book Antiqua" w:hAnsi="Book Antiqua"/>
          <w:lang w:val="en-US"/>
        </w:rPr>
        <w:t xml:space="preserve">oagrasper and bipolar coagulation were used with limited success. APC was also thought to be a poor option due to the depth of ulceration.  Ultimately, we were able to control the bleed with Hemospray and to the best of our knowledge, this is the first case reported in the literature in which hemostatic powder was used to control bleeding after a revisional endoscopic procedure in a patient with RYGB. </w:t>
      </w:r>
    </w:p>
    <w:p w14:paraId="239F1816" w14:textId="0127DD69" w:rsidR="001F47D9" w:rsidRPr="00CE170C" w:rsidRDefault="001F47D9" w:rsidP="00CE170C">
      <w:pPr>
        <w:adjustRightInd w:val="0"/>
        <w:snapToGrid w:val="0"/>
        <w:spacing w:line="360" w:lineRule="auto"/>
        <w:ind w:firstLineChars="100" w:firstLine="240"/>
        <w:jc w:val="both"/>
        <w:rPr>
          <w:rFonts w:ascii="Book Antiqua" w:hAnsi="Book Antiqua"/>
          <w:lang w:val="en-US"/>
        </w:rPr>
      </w:pPr>
      <w:r w:rsidRPr="00CE170C">
        <w:rPr>
          <w:rFonts w:ascii="Book Antiqua" w:hAnsi="Book Antiqua"/>
          <w:lang w:val="en-US"/>
        </w:rPr>
        <w:t xml:space="preserve">Hemospray was approved as a hemostatic therapy in 2011 and has been shown to rapidly stop active bleeding with a high success rate. It is a novel inorganic powder with minerals which contains no human or animal proteins or botanicals. The powder can be sprayed via a catheter that can be inserted through the working channel of a standard adult endoscope and forms a cohesive barrier after coming into contact with moisture which leads to a tamponade by concentrating and activating platelets and coagulation factors and promoting thrombus formation. As a spray, it is very useful in the management of bleeding when the active bleeding site cannot be definitively localized. Hemospray is indicated for active bleeding (Forrest 1A and 1B) and can be used as a primary therapy or as a rescue therapy after conventional endoscopic treatments fail. </w:t>
      </w:r>
      <w:r w:rsidRPr="00CE170C">
        <w:rPr>
          <w:rFonts w:ascii="Book Antiqua" w:hAnsi="Book Antiqua"/>
          <w:lang w:val="en-US"/>
        </w:rPr>
        <w:lastRenderedPageBreak/>
        <w:t>After the powder absorbs fluid, it forms a mechanical barrier over the bleeding site. Hemospray is not absorbed by the body or through blood vessels, and the mechanical barrier formed by Hemospray does not need to be removed. The adherent barrier is designed to pass through the GI tract within 72 hours</w:t>
      </w:r>
      <w:r w:rsidR="00465DAA" w:rsidRPr="00CE170C">
        <w:rPr>
          <w:rFonts w:ascii="Book Antiqua" w:hAnsi="Book Antiqua"/>
          <w:lang w:val="en-US"/>
        </w:rPr>
        <w:fldChar w:fldCharType="begin" w:fldLock="1"/>
      </w:r>
      <w:r w:rsidR="00B4285A" w:rsidRPr="00CE170C">
        <w:rPr>
          <w:rFonts w:ascii="Book Antiqua" w:hAnsi="Book Antiqua"/>
          <w:lang w:val="en-US"/>
        </w:rPr>
        <w:instrText>ADDIN CSL_CITATION {"citationItems":[{"id":"ITEM-1","itemData":{"DOI":"10.1136/gutjnl-2018-316276","ISSN":"1468-3288","PMID":"29691276","abstract":"Non-variceal upper gastrointestinal bleeding remains an important emergency condition, leading to significant morbidity and mortality. As endoscopic therapy is the 'gold standard' of management, treatment of these patients can be considered in three stages: pre-endoscopic treatment, endoscopic haemostasis and post-endoscopic management. Since publication of the Asia-Pacific consensus on non-variceal upper gastrointestinal bleeding (NVUGIB) 7 years ago, there have been significant advancements in the clinical management of patients in all three stages. These include pre-endoscopy risk stratification scores, blood and platelet transfusion, use of proton pump inhibitors; during endoscopy new haemostasis techniques (haemostatic powder spray and over-the-scope clips); and post-endoscopy management by second-look endoscopy and medication strategies. Emerging techniques, including capsule endoscopy and Doppler endoscopic probe in assessing adequacy of endoscopic therapy, and the pre-emptive use of angiographic embolisation, are attracting new attention. An emerging problem is the increasing use of dual antiplatelet agents and direct oral anticoagulants in patients with cardiac and cerebrovascular diseases. Guidelines on the discontinuation and then resumption of these agents in patients presenting with NVUGIB are very much needed. The Asia-Pacific Working Group examined recent evidence and recommends practical management guidelines in this updated consensus statement.","author":[{"dropping-particle":"","family":"Sung","given":"Joseph Jy","non-dropping-particle":"","parse-names":false,"suffix":""},{"dropping-particle":"","family":"Chiu","given":"Philip Wy","non-dropping-particle":"","parse-names":false,"suffix":""},{"dropping-particle":"","family":"Chan","given":"Francis K L","non-dropping-particle":"","parse-names":false,"suffix":""},{"dropping-particle":"","family":"Lau","given":"James Yw","non-dropping-particle":"","parse-names":false,"suffix":""},{"dropping-particle":"","family":"Goh","given":"Khean-Lee","non-dropping-particle":"","parse-names":false,"suffix":""},{"dropping-particle":"","family":"Ho","given":"Lawrence Hy","non-dropping-particle":"","parse-names":false,"suffix":""},{"dropping-particle":"","family":"Jung","given":"Hwoon-Young","non-dropping-particle":"","parse-names":false,"suffix":""},{"dropping-particle":"","family":"Sollano","given":"Jose D","non-dropping-particle":"","parse-names":false,"suffix":""},{"dropping-particle":"","family":"Gotoda","given":"Takuji","non-dropping-particle":"","parse-names":false,"suffix":""},{"dropping-particle":"","family":"Reddy","given":"Nageshwar","non-dropping-particle":"","parse-names":false,"suffix":""},{"dropping-particle":"","family":"Singh","given":"Rajvinder","non-dropping-particle":"","parse-names":false,"suffix":""},{"dropping-particle":"","family":"Sugano","given":"Kentaro","non-dropping-particle":"","parse-names":false,"suffix":""},{"dropping-particle":"","family":"Wu","given":"Kai-Chun","non-dropping-particle":"","parse-names":false,"suffix":""},{"dropping-particle":"","family":"Wu","given":"Chun-Yin","non-dropping-particle":"","parse-names":false,"suffix":""},{"dropping-particle":"","family":"Bjorkman","given":"David J","non-dropping-particle":"","parse-names":false,"suffix":""},{"dropping-particle":"","family":"Jensen","given":"Dennis M","non-dropping-particle":"","parse-names":false,"suffix":""},{"dropping-particle":"","family":"Kuipers","given":"Ernst J","non-dropping-particle":"","parse-names":false,"suffix":""},{"dropping-particle":"","family":"Lanas","given":"Angel","non-dropping-particle":"","parse-names":false,"suffix":""}],"container-title":"Gut","id":"ITEM-1","issue":"10","issued":{"date-parts":[["2018"]]},"page":"1757-1768","title":"Asia-Pacific working group consensus on non-variceal upper gastrointestinal bleeding: an update 2018.","type":"article-journal","volume":"67"},"uris":["http://www.mendeley.com/documents/?uuid=73dc150a-37b2-4f66-8d20-4646f2a6958f"]},{"id":"ITEM-2","itemData":{"DOI":"10.1155/2017/3083481","ISSN":"1687-6121","PMID":"28232848","abstract":"Introduction. Gastrointestinal bleeding represents the main indication for emergency endoscopy (EE). Lately, several hemostatic powders have been released to facilitate EE. Methods. We evaluated all EE in which Hemospray was used as primary or salvage therapy, with regard to short- and long-term hemostasis and complications. Results. We conducted 677 EE in 474 patients (488 examinations in 344 patients were upper GI endoscopies). Hemospray was applied during 35 examinations in 27 patients (19 males), 33 during upper and 2 during lower endoscopy. It was used after previous treatment in 21 examinations (60%) and in 14 (40%) as salvage therapy. Short-term success was reached in 34 of 35 applications (97.1%), while long-term success occurred in 23 applications (65.7%). Similar long-term results were found after primary application (64,3%) or salvage therapy (66,7%). Rebleeding was found in malignant and extended ulcers. One major adverse event (2.8%) occurred with gastric perforation after Hemospray application. Discussion. Hemospray achieved short-term hemostasis in virtually all cases. The long-term effect is mainly determined by the type of bleeding source, but not whether it was applied as first line or salvage therapy. But, even in the failures, patients had benefit from hemodynamic stabilization and consecutive interventions in optimized conditions.","author":[{"dropping-particle":"","family":"Hagel","given":"Alexander F","non-dropping-particle":"","parse-names":false,"suffix":""},{"dropping-particle":"","family":"Albrecht","given":"Heinz","non-dropping-particle":"","parse-names":false,"suffix":""},{"dropping-particle":"","family":"Nägel","given":"Andreas","non-dropping-particle":"","parse-names":false,"suffix":""},{"dropping-particle":"","family":"Vitali","given":"Francesco","non-dropping-particle":"","parse-names":false,"suffix":""},{"dropping-particle":"","family":"Vetter","given":"Marcel","non-dropping-particle":"","parse-names":false,"suffix":""},{"dropping-particle":"","family":"Dauth","given":"Christine","non-dropping-particle":"","parse-names":false,"suffix":""},{"dropping-particle":"","family":"Neurath","given":"Markus F","non-dropping-particle":"","parse-names":false,"suffix":""},{"dropping-particle":"","family":"Raithel","given":"Martin","non-dropping-particle":"","parse-names":false,"suffix":""}],"container-title":"Gastroenterology research and practice","id":"ITEM-2","issued":{"date-parts":[["2017"]]},"page":"3083481","title":"The Application of Hemospray in Gastrointestinal Bleeding during Emergency Endoscopy.","type":"article-journal","volume":"2017"},"uris":["http://www.mendeley.com/documents/?uuid=54ae6c83-342a-4363-8f93-4ccf7e0e31e8"]}],"mendeley":{"formattedCitation":"&lt;sup&gt;[16,17]&lt;/sup&gt;","plainTextFormattedCitation":"[16,17]","previouslyFormattedCitation":"&lt;sup&gt;[16,17]&lt;/sup&gt;"},"properties":{"noteIndex":0},"schema":"https://github.com/citation-style-language/schema/raw/master/csl-citation.json"}</w:instrText>
      </w:r>
      <w:r w:rsidR="00465DAA" w:rsidRPr="00CE170C">
        <w:rPr>
          <w:rFonts w:ascii="Book Antiqua" w:hAnsi="Book Antiqua"/>
          <w:lang w:val="en-US"/>
        </w:rPr>
        <w:fldChar w:fldCharType="separate"/>
      </w:r>
      <w:r w:rsidR="00465DAA" w:rsidRPr="00CE170C">
        <w:rPr>
          <w:rFonts w:ascii="Book Antiqua" w:hAnsi="Book Antiqua"/>
          <w:noProof/>
          <w:vertAlign w:val="superscript"/>
          <w:lang w:val="en-US"/>
        </w:rPr>
        <w:t>[16,17]</w:t>
      </w:r>
      <w:r w:rsidR="00465DAA" w:rsidRPr="00CE170C">
        <w:rPr>
          <w:rFonts w:ascii="Book Antiqua" w:hAnsi="Book Antiqua"/>
          <w:lang w:val="en-US"/>
        </w:rPr>
        <w:fldChar w:fldCharType="end"/>
      </w:r>
      <w:r w:rsidR="00465DAA" w:rsidRPr="00CE170C">
        <w:rPr>
          <w:rFonts w:ascii="Book Antiqua" w:hAnsi="Book Antiqua"/>
          <w:lang w:val="en-US"/>
        </w:rPr>
        <w:t>.</w:t>
      </w:r>
      <w:r w:rsidR="00B40C06" w:rsidRPr="00CE170C">
        <w:rPr>
          <w:rFonts w:ascii="Book Antiqua" w:hAnsi="Book Antiqua"/>
          <w:lang w:val="en-US"/>
        </w:rPr>
        <w:t xml:space="preserve"> </w:t>
      </w:r>
      <w:r w:rsidRPr="00CE170C">
        <w:rPr>
          <w:rFonts w:ascii="Book Antiqua" w:hAnsi="Book Antiqua"/>
          <w:lang w:val="en-US"/>
        </w:rPr>
        <w:t>This device can be used as a definitive therapy as in our case or as a bridge to further interventions after hemodynamic stabilization.</w:t>
      </w:r>
    </w:p>
    <w:p w14:paraId="195A57E6" w14:textId="77777777" w:rsidR="002E5155" w:rsidRPr="00CE170C" w:rsidRDefault="002E5155" w:rsidP="00CE170C">
      <w:pPr>
        <w:adjustRightInd w:val="0"/>
        <w:snapToGrid w:val="0"/>
        <w:spacing w:line="360" w:lineRule="auto"/>
        <w:jc w:val="both"/>
        <w:rPr>
          <w:rFonts w:ascii="Book Antiqua" w:hAnsi="Book Antiqua"/>
          <w:lang w:val="en-US"/>
        </w:rPr>
      </w:pPr>
    </w:p>
    <w:p w14:paraId="686DE3BA" w14:textId="69F2B433" w:rsidR="00A15ECC" w:rsidRPr="00CE170C" w:rsidRDefault="006C5296" w:rsidP="00CE170C">
      <w:pPr>
        <w:adjustRightInd w:val="0"/>
        <w:snapToGrid w:val="0"/>
        <w:spacing w:line="360" w:lineRule="auto"/>
        <w:jc w:val="both"/>
        <w:rPr>
          <w:rFonts w:ascii="Book Antiqua" w:eastAsiaTheme="majorEastAsia" w:hAnsi="Book Antiqua" w:cstheme="majorBidi"/>
          <w:b/>
          <w:iCs/>
          <w:color w:val="000000" w:themeColor="text1"/>
          <w:lang w:val="en-US"/>
        </w:rPr>
      </w:pPr>
      <w:r w:rsidRPr="00CE170C">
        <w:rPr>
          <w:rFonts w:ascii="Book Antiqua" w:eastAsiaTheme="majorEastAsia" w:hAnsi="Book Antiqua" w:cstheme="majorBidi"/>
          <w:b/>
          <w:iCs/>
          <w:color w:val="000000" w:themeColor="text1"/>
          <w:lang w:val="en-US"/>
        </w:rPr>
        <w:t>CONCLUSION</w:t>
      </w:r>
    </w:p>
    <w:p w14:paraId="556EB861" w14:textId="610209B2" w:rsidR="00B40C06" w:rsidRPr="00CE170C" w:rsidRDefault="001F47D9" w:rsidP="00CE170C">
      <w:pPr>
        <w:adjustRightInd w:val="0"/>
        <w:snapToGrid w:val="0"/>
        <w:spacing w:line="360" w:lineRule="auto"/>
        <w:jc w:val="both"/>
        <w:rPr>
          <w:rFonts w:ascii="Book Antiqua" w:hAnsi="Book Antiqua"/>
          <w:lang w:val="en-US"/>
        </w:rPr>
      </w:pPr>
      <w:r w:rsidRPr="00CE170C">
        <w:rPr>
          <w:rFonts w:ascii="Book Antiqua" w:hAnsi="Book Antiqua"/>
          <w:lang w:val="en-US"/>
        </w:rPr>
        <w:t>APC revision of the GJA is known to be a relatively safe and effective strategy to manage weight regain post RYGB.</w:t>
      </w:r>
      <w:r w:rsidR="001749B9" w:rsidRPr="00CE170C">
        <w:rPr>
          <w:rFonts w:ascii="Book Antiqua" w:hAnsi="Book Antiqua"/>
          <w:lang w:val="en-US"/>
        </w:rPr>
        <w:t xml:space="preserve"> </w:t>
      </w:r>
      <w:r w:rsidRPr="00CE170C">
        <w:rPr>
          <w:rFonts w:ascii="Book Antiqua" w:hAnsi="Book Antiqua"/>
          <w:lang w:val="en-US"/>
        </w:rPr>
        <w:t>Anastomotic site bleeding is an infrequent and potentially life-threatening complication associated with this therapy.  Endoscopic management is first line therapy to achieve hemostasis in these cases. However, fibrotic ulcerative tissue after recent APC may limit the ability to achieve successful hemostasis with standard endoscopic interventions such as injection therapy, thermal therapy, and hemostatic clip placement. Therefore, as presented in this case, hemostatic powder is a useful therapeutic option to achieve hemostasis. This device may be useful as a primary or as a rescue therapy in this setting. More studies are required to better clarify the role of hemostatic powder for bariatric patients with active bleeding.</w:t>
      </w:r>
    </w:p>
    <w:p w14:paraId="20A0473D" w14:textId="77777777" w:rsidR="00B40C06" w:rsidRPr="00CE170C" w:rsidRDefault="00B40C06" w:rsidP="00CE170C">
      <w:pPr>
        <w:spacing w:line="360" w:lineRule="auto"/>
        <w:rPr>
          <w:rFonts w:ascii="Book Antiqua" w:hAnsi="Book Antiqua"/>
          <w:lang w:val="en-US"/>
        </w:rPr>
      </w:pPr>
      <w:r w:rsidRPr="00CE170C">
        <w:rPr>
          <w:rFonts w:ascii="Book Antiqua" w:hAnsi="Book Antiqua"/>
          <w:lang w:val="en-US"/>
        </w:rPr>
        <w:br w:type="page"/>
      </w:r>
    </w:p>
    <w:p w14:paraId="3F495257" w14:textId="13A44964" w:rsidR="00C93C7A" w:rsidRPr="00CE170C" w:rsidRDefault="0087373D" w:rsidP="00CE170C">
      <w:pPr>
        <w:adjustRightInd w:val="0"/>
        <w:snapToGrid w:val="0"/>
        <w:spacing w:line="360" w:lineRule="auto"/>
        <w:jc w:val="both"/>
        <w:rPr>
          <w:rFonts w:ascii="Book Antiqua" w:hAnsi="Book Antiqua"/>
          <w:b/>
          <w:lang w:val="en-US"/>
        </w:rPr>
      </w:pPr>
      <w:r w:rsidRPr="00CE170C">
        <w:rPr>
          <w:rFonts w:ascii="Book Antiqua" w:hAnsi="Book Antiqua"/>
          <w:b/>
          <w:lang w:val="en-US"/>
        </w:rPr>
        <w:lastRenderedPageBreak/>
        <w:t>REFERENC</w:t>
      </w:r>
      <w:r w:rsidR="00B369D4" w:rsidRPr="00CE170C">
        <w:rPr>
          <w:rFonts w:ascii="Book Antiqua" w:hAnsi="Book Antiqua"/>
          <w:b/>
          <w:lang w:val="en-US"/>
        </w:rPr>
        <w:t>ES</w:t>
      </w:r>
    </w:p>
    <w:p w14:paraId="2EBC4B21" w14:textId="77777777" w:rsidR="00CE170C" w:rsidRPr="00CE170C" w:rsidRDefault="00CE170C" w:rsidP="00CE170C">
      <w:pPr>
        <w:widowControl w:val="0"/>
        <w:spacing w:line="360" w:lineRule="auto"/>
        <w:jc w:val="both"/>
        <w:rPr>
          <w:rFonts w:ascii="Book Antiqua" w:eastAsia="等线" w:hAnsi="Book Antiqua" w:cs="Times New Roman"/>
          <w:kern w:val="2"/>
          <w:lang w:val="en-US" w:eastAsia="zh-CN"/>
        </w:rPr>
      </w:pPr>
      <w:r w:rsidRPr="00CE170C">
        <w:rPr>
          <w:rFonts w:ascii="Book Antiqua" w:eastAsia="等线" w:hAnsi="Book Antiqua" w:cs="Times New Roman"/>
          <w:kern w:val="2"/>
          <w:lang w:val="en-US" w:eastAsia="zh-CN"/>
        </w:rPr>
        <w:t xml:space="preserve">1 </w:t>
      </w:r>
      <w:r w:rsidRPr="00CE170C">
        <w:rPr>
          <w:rFonts w:ascii="Book Antiqua" w:eastAsia="等线" w:hAnsi="Book Antiqua" w:cs="Times New Roman"/>
          <w:b/>
          <w:kern w:val="2"/>
          <w:lang w:val="en-US" w:eastAsia="zh-CN"/>
        </w:rPr>
        <w:t>Buchwald H</w:t>
      </w:r>
      <w:r w:rsidRPr="00CE170C">
        <w:rPr>
          <w:rFonts w:ascii="Book Antiqua" w:eastAsia="等线" w:hAnsi="Book Antiqua" w:cs="Times New Roman"/>
          <w:kern w:val="2"/>
          <w:lang w:val="en-US" w:eastAsia="zh-CN"/>
        </w:rPr>
        <w:t xml:space="preserve">, Avidor Y, Braunwald E, Jensen MD, Pories W, Fahrbach K, Schoelles K. Bariatric surgery: a systematic review and meta-analysis. </w:t>
      </w:r>
      <w:r w:rsidRPr="00CE170C">
        <w:rPr>
          <w:rFonts w:ascii="Book Antiqua" w:eastAsia="等线" w:hAnsi="Book Antiqua" w:cs="Times New Roman"/>
          <w:i/>
          <w:kern w:val="2"/>
          <w:lang w:val="en-US" w:eastAsia="zh-CN"/>
        </w:rPr>
        <w:t>JAMA</w:t>
      </w:r>
      <w:r w:rsidRPr="00CE170C">
        <w:rPr>
          <w:rFonts w:ascii="Book Antiqua" w:eastAsia="等线" w:hAnsi="Book Antiqua" w:cs="Times New Roman"/>
          <w:kern w:val="2"/>
          <w:lang w:val="en-US" w:eastAsia="zh-CN"/>
        </w:rPr>
        <w:t xml:space="preserve"> 2004; </w:t>
      </w:r>
      <w:r w:rsidRPr="00CE170C">
        <w:rPr>
          <w:rFonts w:ascii="Book Antiqua" w:eastAsia="等线" w:hAnsi="Book Antiqua" w:cs="Times New Roman"/>
          <w:b/>
          <w:kern w:val="2"/>
          <w:lang w:val="en-US" w:eastAsia="zh-CN"/>
        </w:rPr>
        <w:t>292</w:t>
      </w:r>
      <w:r w:rsidRPr="00CE170C">
        <w:rPr>
          <w:rFonts w:ascii="Book Antiqua" w:eastAsia="等线" w:hAnsi="Book Antiqua" w:cs="Times New Roman"/>
          <w:kern w:val="2"/>
          <w:lang w:val="en-US" w:eastAsia="zh-CN"/>
        </w:rPr>
        <w:t>: 1724-1737 [PMID: 15479938 DOI: 10.1001/jama.292.14.1724].]</w:t>
      </w:r>
    </w:p>
    <w:p w14:paraId="089AF793" w14:textId="77777777" w:rsidR="00CE170C" w:rsidRPr="00CE170C" w:rsidRDefault="00CE170C" w:rsidP="00CE170C">
      <w:pPr>
        <w:widowControl w:val="0"/>
        <w:spacing w:line="360" w:lineRule="auto"/>
        <w:jc w:val="both"/>
        <w:rPr>
          <w:rFonts w:ascii="Book Antiqua" w:eastAsia="等线" w:hAnsi="Book Antiqua" w:cs="Times New Roman"/>
          <w:kern w:val="2"/>
          <w:lang w:val="en-US" w:eastAsia="zh-CN"/>
        </w:rPr>
      </w:pPr>
      <w:r w:rsidRPr="00CE170C">
        <w:rPr>
          <w:rFonts w:ascii="Book Antiqua" w:eastAsia="等线" w:hAnsi="Book Antiqua" w:cs="Times New Roman"/>
          <w:kern w:val="2"/>
          <w:lang w:val="en-US" w:eastAsia="zh-CN"/>
        </w:rPr>
        <w:t xml:space="preserve">2 </w:t>
      </w:r>
      <w:r w:rsidRPr="00CE170C">
        <w:rPr>
          <w:rFonts w:ascii="Book Antiqua" w:eastAsia="等线" w:hAnsi="Book Antiqua" w:cs="Times New Roman"/>
          <w:b/>
          <w:kern w:val="2"/>
          <w:lang w:val="en-US" w:eastAsia="zh-CN"/>
        </w:rPr>
        <w:t>Hourneaux De Moura DT</w:t>
      </w:r>
      <w:r w:rsidRPr="00CE170C">
        <w:rPr>
          <w:rFonts w:ascii="Book Antiqua" w:eastAsia="等线" w:hAnsi="Book Antiqua" w:cs="Times New Roman"/>
          <w:kern w:val="2"/>
          <w:lang w:val="en-US" w:eastAsia="zh-CN"/>
        </w:rPr>
        <w:t xml:space="preserve">, Thompson CC. Endoscopic management of weight regain following Roux-en-Y gastric bypass. </w:t>
      </w:r>
      <w:r w:rsidRPr="00CE170C">
        <w:rPr>
          <w:rFonts w:ascii="Book Antiqua" w:eastAsia="等线" w:hAnsi="Book Antiqua" w:cs="Times New Roman"/>
          <w:i/>
          <w:kern w:val="2"/>
          <w:lang w:val="en-US" w:eastAsia="zh-CN"/>
        </w:rPr>
        <w:t>Expert Rev Endocrinol Metab</w:t>
      </w:r>
      <w:r w:rsidRPr="00CE170C">
        <w:rPr>
          <w:rFonts w:ascii="Book Antiqua" w:eastAsia="等线" w:hAnsi="Book Antiqua" w:cs="Times New Roman"/>
          <w:kern w:val="2"/>
          <w:lang w:val="en-US" w:eastAsia="zh-CN"/>
        </w:rPr>
        <w:t xml:space="preserve"> 2019; </w:t>
      </w:r>
      <w:r w:rsidRPr="00CE170C">
        <w:rPr>
          <w:rFonts w:ascii="Book Antiqua" w:eastAsia="等线" w:hAnsi="Book Antiqua" w:cs="Times New Roman"/>
          <w:b/>
          <w:kern w:val="2"/>
          <w:lang w:val="en-US" w:eastAsia="zh-CN"/>
        </w:rPr>
        <w:t>14</w:t>
      </w:r>
      <w:r w:rsidRPr="00CE170C">
        <w:rPr>
          <w:rFonts w:ascii="Book Antiqua" w:eastAsia="等线" w:hAnsi="Book Antiqua" w:cs="Times New Roman"/>
          <w:kern w:val="2"/>
          <w:lang w:val="en-US" w:eastAsia="zh-CN"/>
        </w:rPr>
        <w:t>: 97-110 [PMID: 30691326 DOI: 10.1080/17446651.2019.1571907]</w:t>
      </w:r>
    </w:p>
    <w:p w14:paraId="626264C6" w14:textId="5FBCAEAC" w:rsidR="0055119A" w:rsidRDefault="00CE170C" w:rsidP="00CE170C">
      <w:pPr>
        <w:widowControl w:val="0"/>
        <w:spacing w:line="360" w:lineRule="auto"/>
        <w:jc w:val="both"/>
        <w:rPr>
          <w:rFonts w:ascii="Book Antiqua" w:eastAsia="等线" w:hAnsi="Book Antiqua" w:cs="Times New Roman"/>
          <w:kern w:val="2"/>
          <w:lang w:val="en-US" w:eastAsia="zh-CN"/>
        </w:rPr>
      </w:pPr>
      <w:r w:rsidRPr="00CE170C">
        <w:rPr>
          <w:rFonts w:ascii="Book Antiqua" w:eastAsia="等线" w:hAnsi="Book Antiqua" w:cs="Times New Roman"/>
          <w:kern w:val="2"/>
          <w:lang w:val="en-US" w:eastAsia="zh-CN"/>
        </w:rPr>
        <w:t xml:space="preserve">3 </w:t>
      </w:r>
      <w:r w:rsidRPr="00CE170C">
        <w:rPr>
          <w:rFonts w:ascii="Book Antiqua" w:eastAsia="等线" w:hAnsi="Book Antiqua" w:cs="Times New Roman"/>
          <w:b/>
          <w:kern w:val="2"/>
          <w:lang w:val="en-US" w:eastAsia="zh-CN"/>
        </w:rPr>
        <w:t>Barhouch AS,</w:t>
      </w:r>
      <w:r>
        <w:rPr>
          <w:rFonts w:ascii="Book Antiqua" w:eastAsia="等线" w:hAnsi="Book Antiqua" w:cs="Times New Roman"/>
          <w:kern w:val="2"/>
          <w:lang w:val="en-US" w:eastAsia="zh-CN"/>
        </w:rPr>
        <w:t xml:space="preserve"> </w:t>
      </w:r>
      <w:r w:rsidRPr="00CE170C">
        <w:rPr>
          <w:rFonts w:ascii="Book Antiqua" w:eastAsia="等线" w:hAnsi="Book Antiqua" w:cs="Times New Roman"/>
          <w:kern w:val="2"/>
          <w:lang w:val="en-US" w:eastAsia="zh-CN"/>
        </w:rPr>
        <w:t xml:space="preserve">Zardo M, Padoin AV, Colossi FG, Casagrande DS, Chatkin R, Mottin CC. Excess Weight Loss Variation in Late Postoperative Period of Gastric Bypass. </w:t>
      </w:r>
      <w:r w:rsidRPr="00CE170C">
        <w:rPr>
          <w:rFonts w:ascii="Book Antiqua" w:eastAsia="等线" w:hAnsi="Book Antiqua" w:cs="Times New Roman"/>
          <w:i/>
          <w:iCs/>
          <w:kern w:val="2"/>
          <w:lang w:val="en-US" w:eastAsia="zh-CN"/>
        </w:rPr>
        <w:t>Obes Surg</w:t>
      </w:r>
      <w:r w:rsidR="0055119A">
        <w:rPr>
          <w:rFonts w:ascii="Book Antiqua" w:eastAsia="等线" w:hAnsi="Book Antiqua" w:cs="Times New Roman"/>
          <w:kern w:val="2"/>
          <w:lang w:val="en-US" w:eastAsia="zh-CN"/>
        </w:rPr>
        <w:t xml:space="preserve"> </w:t>
      </w:r>
      <w:r w:rsidRPr="00CE170C">
        <w:rPr>
          <w:rFonts w:ascii="Book Antiqua" w:eastAsia="等线" w:hAnsi="Book Antiqua" w:cs="Times New Roman"/>
          <w:kern w:val="2"/>
          <w:lang w:val="en-US" w:eastAsia="zh-CN"/>
        </w:rPr>
        <w:t>2010;</w:t>
      </w:r>
      <w:r w:rsidR="0055119A">
        <w:rPr>
          <w:rFonts w:ascii="Book Antiqua" w:eastAsia="等线" w:hAnsi="Book Antiqua" w:cs="Times New Roman"/>
          <w:kern w:val="2"/>
          <w:lang w:val="en-US" w:eastAsia="zh-CN"/>
        </w:rPr>
        <w:t xml:space="preserve"> </w:t>
      </w:r>
      <w:r w:rsidRPr="00CE170C">
        <w:rPr>
          <w:rFonts w:ascii="Book Antiqua" w:eastAsia="等线" w:hAnsi="Book Antiqua" w:cs="Times New Roman"/>
          <w:b/>
          <w:bCs/>
          <w:kern w:val="2"/>
          <w:lang w:val="en-US" w:eastAsia="zh-CN"/>
        </w:rPr>
        <w:t>20</w:t>
      </w:r>
      <w:r w:rsidRPr="00CE170C">
        <w:rPr>
          <w:rFonts w:ascii="Book Antiqua" w:eastAsia="等线" w:hAnsi="Book Antiqua" w:cs="Times New Roman"/>
          <w:kern w:val="2"/>
          <w:lang w:val="en-US" w:eastAsia="zh-CN"/>
        </w:rPr>
        <w:t>:</w:t>
      </w:r>
      <w:r w:rsidR="0055119A">
        <w:rPr>
          <w:rFonts w:ascii="Book Antiqua" w:eastAsia="等线" w:hAnsi="Book Antiqua" w:cs="Times New Roman"/>
          <w:kern w:val="2"/>
          <w:lang w:val="en-US" w:eastAsia="zh-CN"/>
        </w:rPr>
        <w:t xml:space="preserve"> </w:t>
      </w:r>
      <w:r w:rsidRPr="00CE170C">
        <w:rPr>
          <w:rFonts w:ascii="Book Antiqua" w:eastAsia="等线" w:hAnsi="Book Antiqua" w:cs="Times New Roman"/>
          <w:kern w:val="2"/>
          <w:lang w:val="en-US" w:eastAsia="zh-CN"/>
        </w:rPr>
        <w:t>1479–</w:t>
      </w:r>
      <w:r w:rsidR="0055119A" w:rsidRPr="00CE170C">
        <w:rPr>
          <w:rFonts w:ascii="Book Antiqua" w:eastAsia="等线" w:hAnsi="Book Antiqua" w:cs="Times New Roman"/>
          <w:kern w:val="2"/>
          <w:lang w:val="en-US" w:eastAsia="zh-CN"/>
        </w:rPr>
        <w:t>14</w:t>
      </w:r>
      <w:r w:rsidRPr="00CE170C">
        <w:rPr>
          <w:rFonts w:ascii="Book Antiqua" w:eastAsia="等线" w:hAnsi="Book Antiqua" w:cs="Times New Roman"/>
          <w:kern w:val="2"/>
          <w:lang w:val="en-US" w:eastAsia="zh-CN"/>
        </w:rPr>
        <w:t>83 [</w:t>
      </w:r>
      <w:r w:rsidR="0055119A" w:rsidRPr="0055119A">
        <w:rPr>
          <w:rFonts w:ascii="Book Antiqua" w:eastAsia="等线" w:hAnsi="Book Antiqua" w:cs="Times New Roman"/>
          <w:kern w:val="2"/>
          <w:lang w:val="en-US" w:eastAsia="zh-CN"/>
        </w:rPr>
        <w:t>PMID: 20552412 DOI: 10.1007/s11695-010-0202-3</w:t>
      </w:r>
      <w:r w:rsidR="0055119A">
        <w:rPr>
          <w:rFonts w:ascii="Book Antiqua" w:eastAsia="等线" w:hAnsi="Book Antiqua" w:cs="Times New Roman"/>
          <w:kern w:val="2"/>
          <w:lang w:val="en-US" w:eastAsia="zh-CN"/>
        </w:rPr>
        <w:t>]</w:t>
      </w:r>
    </w:p>
    <w:p w14:paraId="120A436E" w14:textId="28614AF8" w:rsidR="00CE170C" w:rsidRPr="00CE170C" w:rsidRDefault="00CE170C" w:rsidP="00CE170C">
      <w:pPr>
        <w:widowControl w:val="0"/>
        <w:spacing w:line="360" w:lineRule="auto"/>
        <w:jc w:val="both"/>
        <w:rPr>
          <w:rFonts w:ascii="Book Antiqua" w:eastAsia="等线" w:hAnsi="Book Antiqua" w:cs="Times New Roman"/>
          <w:kern w:val="2"/>
          <w:lang w:val="en-US" w:eastAsia="zh-CN"/>
        </w:rPr>
      </w:pPr>
      <w:r w:rsidRPr="00CE170C">
        <w:rPr>
          <w:rFonts w:ascii="Book Antiqua" w:eastAsia="等线" w:hAnsi="Book Antiqua" w:cs="Times New Roman"/>
          <w:kern w:val="2"/>
          <w:lang w:val="en-US" w:eastAsia="zh-CN"/>
        </w:rPr>
        <w:t xml:space="preserve">4 </w:t>
      </w:r>
      <w:r w:rsidRPr="00CE170C">
        <w:rPr>
          <w:rFonts w:ascii="Book Antiqua" w:eastAsia="等线" w:hAnsi="Book Antiqua" w:cs="Times New Roman"/>
          <w:b/>
          <w:kern w:val="2"/>
          <w:lang w:val="en-US" w:eastAsia="zh-CN"/>
        </w:rPr>
        <w:t>Linner JH,</w:t>
      </w:r>
      <w:r w:rsidRPr="00CE170C">
        <w:rPr>
          <w:rFonts w:ascii="Book Antiqua" w:eastAsia="等线" w:hAnsi="Book Antiqua" w:cs="Times New Roman"/>
          <w:kern w:val="2"/>
          <w:lang w:val="en-US" w:eastAsia="zh-CN"/>
        </w:rPr>
        <w:t xml:space="preserve"> Drew RL. Reoperative surgery—indications, efficacy, and long-term follow-up. </w:t>
      </w:r>
      <w:r w:rsidRPr="00CE170C">
        <w:rPr>
          <w:rFonts w:ascii="Book Antiqua" w:eastAsia="等线" w:hAnsi="Book Antiqua" w:cs="Times New Roman"/>
          <w:i/>
          <w:iCs/>
          <w:kern w:val="2"/>
          <w:lang w:val="en-US" w:eastAsia="zh-CN"/>
        </w:rPr>
        <w:t>Am J Clin Nutr</w:t>
      </w:r>
      <w:r w:rsidR="004E4A52">
        <w:rPr>
          <w:rFonts w:ascii="Book Antiqua" w:eastAsia="等线" w:hAnsi="Book Antiqua" w:cs="Times New Roman"/>
          <w:kern w:val="2"/>
          <w:lang w:val="en-US" w:eastAsia="zh-CN"/>
        </w:rPr>
        <w:t xml:space="preserve"> </w:t>
      </w:r>
      <w:r w:rsidRPr="00CE170C">
        <w:rPr>
          <w:rFonts w:ascii="Book Antiqua" w:eastAsia="等线" w:hAnsi="Book Antiqua" w:cs="Times New Roman"/>
          <w:kern w:val="2"/>
          <w:lang w:val="en-US" w:eastAsia="zh-CN"/>
        </w:rPr>
        <w:t>1992;</w:t>
      </w:r>
      <w:r w:rsidR="004E4A52">
        <w:rPr>
          <w:rFonts w:ascii="Book Antiqua" w:eastAsia="等线" w:hAnsi="Book Antiqua" w:cs="Times New Roman"/>
          <w:kern w:val="2"/>
          <w:lang w:val="en-US" w:eastAsia="zh-CN"/>
        </w:rPr>
        <w:t xml:space="preserve"> </w:t>
      </w:r>
      <w:r w:rsidRPr="00CE170C">
        <w:rPr>
          <w:rFonts w:ascii="Book Antiqua" w:eastAsia="等线" w:hAnsi="Book Antiqua" w:cs="Times New Roman"/>
          <w:b/>
          <w:bCs/>
          <w:kern w:val="2"/>
          <w:lang w:val="en-US" w:eastAsia="zh-CN"/>
        </w:rPr>
        <w:t>55</w:t>
      </w:r>
      <w:r w:rsidRPr="00CE170C">
        <w:rPr>
          <w:rFonts w:ascii="Book Antiqua" w:eastAsia="等线" w:hAnsi="Book Antiqua" w:cs="Times New Roman"/>
          <w:kern w:val="2"/>
          <w:lang w:val="en-US" w:eastAsia="zh-CN"/>
        </w:rPr>
        <w:t>:</w:t>
      </w:r>
      <w:r w:rsidR="004E4A52">
        <w:rPr>
          <w:rFonts w:ascii="Book Antiqua" w:eastAsia="等线" w:hAnsi="Book Antiqua" w:cs="Times New Roman"/>
          <w:kern w:val="2"/>
          <w:lang w:val="en-US" w:eastAsia="zh-CN"/>
        </w:rPr>
        <w:t xml:space="preserve"> </w:t>
      </w:r>
      <w:r w:rsidRPr="00CE170C">
        <w:rPr>
          <w:rFonts w:ascii="Book Antiqua" w:eastAsia="等线" w:hAnsi="Book Antiqua" w:cs="Times New Roman"/>
          <w:kern w:val="2"/>
          <w:lang w:val="en-US" w:eastAsia="zh-CN"/>
        </w:rPr>
        <w:t>606S–610S [</w:t>
      </w:r>
      <w:r w:rsidR="004E4A52" w:rsidRPr="004E4A52">
        <w:rPr>
          <w:rFonts w:ascii="Book Antiqua" w:eastAsia="等线" w:hAnsi="Book Antiqua" w:cs="Times New Roman"/>
          <w:kern w:val="2"/>
          <w:lang w:val="en-US" w:eastAsia="zh-CN"/>
        </w:rPr>
        <w:t xml:space="preserve">PMID: 1733138 </w:t>
      </w:r>
      <w:r w:rsidRPr="00CE170C">
        <w:rPr>
          <w:rFonts w:ascii="Book Antiqua" w:eastAsia="等线" w:hAnsi="Book Antiqua" w:cs="Times New Roman"/>
          <w:kern w:val="2"/>
          <w:lang w:val="en-US" w:eastAsia="zh-CN"/>
        </w:rPr>
        <w:t xml:space="preserve">DOI: 10.1093/ajcn/55.2.606s] </w:t>
      </w:r>
    </w:p>
    <w:p w14:paraId="2EC98DA2" w14:textId="77777777" w:rsidR="00CE170C" w:rsidRPr="00CE170C" w:rsidRDefault="00CE170C" w:rsidP="00CE170C">
      <w:pPr>
        <w:widowControl w:val="0"/>
        <w:spacing w:line="360" w:lineRule="auto"/>
        <w:jc w:val="both"/>
        <w:rPr>
          <w:rFonts w:ascii="Book Antiqua" w:eastAsia="等线" w:hAnsi="Book Antiqua" w:cs="Times New Roman"/>
          <w:kern w:val="2"/>
          <w:lang w:val="en-US" w:eastAsia="zh-CN"/>
        </w:rPr>
      </w:pPr>
      <w:r w:rsidRPr="00CE170C">
        <w:rPr>
          <w:rFonts w:ascii="Book Antiqua" w:eastAsia="等线" w:hAnsi="Book Antiqua" w:cs="Times New Roman"/>
          <w:kern w:val="2"/>
          <w:lang w:val="en-US" w:eastAsia="zh-CN"/>
        </w:rPr>
        <w:t xml:space="preserve">5 </w:t>
      </w:r>
      <w:r w:rsidRPr="00CE170C">
        <w:rPr>
          <w:rFonts w:ascii="Book Antiqua" w:eastAsia="等线" w:hAnsi="Book Antiqua" w:cs="Times New Roman"/>
          <w:b/>
          <w:kern w:val="2"/>
          <w:lang w:val="en-US" w:eastAsia="zh-CN"/>
        </w:rPr>
        <w:t>Buchwald H</w:t>
      </w:r>
      <w:r w:rsidRPr="00CE170C">
        <w:rPr>
          <w:rFonts w:ascii="Book Antiqua" w:eastAsia="等线" w:hAnsi="Book Antiqua" w:cs="Times New Roman"/>
          <w:kern w:val="2"/>
          <w:lang w:val="en-US" w:eastAsia="zh-CN"/>
        </w:rPr>
        <w:t xml:space="preserve">, Estok R, Fahrbach K, Banel D, Sledge I. Trends in mortality in bariatric surgery: a systematic review and meta-analysis. </w:t>
      </w:r>
      <w:r w:rsidRPr="00CE170C">
        <w:rPr>
          <w:rFonts w:ascii="Book Antiqua" w:eastAsia="等线" w:hAnsi="Book Antiqua" w:cs="Times New Roman"/>
          <w:i/>
          <w:kern w:val="2"/>
          <w:lang w:val="en-US" w:eastAsia="zh-CN"/>
        </w:rPr>
        <w:t>Surgery</w:t>
      </w:r>
      <w:r w:rsidRPr="00CE170C">
        <w:rPr>
          <w:rFonts w:ascii="Book Antiqua" w:eastAsia="等线" w:hAnsi="Book Antiqua" w:cs="Times New Roman"/>
          <w:kern w:val="2"/>
          <w:lang w:val="en-US" w:eastAsia="zh-CN"/>
        </w:rPr>
        <w:t xml:space="preserve"> 2007; </w:t>
      </w:r>
      <w:r w:rsidRPr="00CE170C">
        <w:rPr>
          <w:rFonts w:ascii="Book Antiqua" w:eastAsia="等线" w:hAnsi="Book Antiqua" w:cs="Times New Roman"/>
          <w:b/>
          <w:kern w:val="2"/>
          <w:lang w:val="en-US" w:eastAsia="zh-CN"/>
        </w:rPr>
        <w:t>142</w:t>
      </w:r>
      <w:r w:rsidRPr="00CE170C">
        <w:rPr>
          <w:rFonts w:ascii="Book Antiqua" w:eastAsia="等线" w:hAnsi="Book Antiqua" w:cs="Times New Roman"/>
          <w:kern w:val="2"/>
          <w:lang w:val="en-US" w:eastAsia="zh-CN"/>
        </w:rPr>
        <w:t>: 621-32; discussion 632-5 [PMID: 17950357 DOI: 10.1016/j.surg.2007.07.018]</w:t>
      </w:r>
    </w:p>
    <w:p w14:paraId="054B3BF3" w14:textId="1585973F" w:rsidR="00CE170C" w:rsidRPr="00CE170C" w:rsidRDefault="00CE170C" w:rsidP="00CE170C">
      <w:pPr>
        <w:widowControl w:val="0"/>
        <w:spacing w:line="360" w:lineRule="auto"/>
        <w:jc w:val="both"/>
        <w:rPr>
          <w:rFonts w:ascii="Book Antiqua" w:eastAsia="等线" w:hAnsi="Book Antiqua" w:cs="Times New Roman"/>
          <w:kern w:val="2"/>
          <w:lang w:val="en-US" w:eastAsia="zh-CN"/>
        </w:rPr>
      </w:pPr>
      <w:r w:rsidRPr="00CE170C">
        <w:rPr>
          <w:rFonts w:ascii="Book Antiqua" w:eastAsia="等线" w:hAnsi="Book Antiqua" w:cs="Times New Roman"/>
          <w:kern w:val="2"/>
          <w:lang w:val="en-US" w:eastAsia="zh-CN"/>
        </w:rPr>
        <w:t>6</w:t>
      </w:r>
      <w:r w:rsidR="003B4695">
        <w:rPr>
          <w:rFonts w:ascii="Book Antiqua" w:eastAsia="等线" w:hAnsi="Book Antiqua" w:cs="Times New Roman"/>
          <w:kern w:val="2"/>
          <w:lang w:val="en-US" w:eastAsia="zh-CN"/>
        </w:rPr>
        <w:t xml:space="preserve"> </w:t>
      </w:r>
      <w:r w:rsidRPr="00CE170C">
        <w:rPr>
          <w:rFonts w:ascii="Book Antiqua" w:eastAsia="等线" w:hAnsi="Book Antiqua" w:cs="Times New Roman"/>
          <w:b/>
          <w:bCs/>
          <w:kern w:val="2"/>
          <w:lang w:val="en-US" w:eastAsia="zh-CN"/>
        </w:rPr>
        <w:t>Livingston EH</w:t>
      </w:r>
      <w:r w:rsidRPr="00CE170C">
        <w:rPr>
          <w:rFonts w:ascii="Book Antiqua" w:eastAsia="等线" w:hAnsi="Book Antiqua" w:cs="Times New Roman"/>
          <w:kern w:val="2"/>
          <w:lang w:val="en-US" w:eastAsia="zh-CN"/>
        </w:rPr>
        <w:t xml:space="preserve">. Hospital costs associated with bariatric procedures in the United States. </w:t>
      </w:r>
      <w:r w:rsidRPr="00CE170C">
        <w:rPr>
          <w:rFonts w:ascii="Book Antiqua" w:eastAsia="等线" w:hAnsi="Book Antiqua" w:cs="Times New Roman"/>
          <w:i/>
          <w:iCs/>
          <w:kern w:val="2"/>
          <w:lang w:val="en-US" w:eastAsia="zh-CN"/>
        </w:rPr>
        <w:t>Am J Surg</w:t>
      </w:r>
      <w:r w:rsidR="006C4C62" w:rsidRPr="006C4C62">
        <w:rPr>
          <w:rFonts w:ascii="Book Antiqua" w:eastAsia="等线" w:hAnsi="Book Antiqua" w:cs="Times New Roman"/>
          <w:i/>
          <w:iCs/>
          <w:kern w:val="2"/>
          <w:lang w:val="en-US" w:eastAsia="zh-CN"/>
        </w:rPr>
        <w:t xml:space="preserve"> </w:t>
      </w:r>
      <w:r w:rsidRPr="00CE170C">
        <w:rPr>
          <w:rFonts w:ascii="Book Antiqua" w:eastAsia="等线" w:hAnsi="Book Antiqua" w:cs="Times New Roman"/>
          <w:kern w:val="2"/>
          <w:lang w:val="en-US" w:eastAsia="zh-CN"/>
        </w:rPr>
        <w:t>2005;</w:t>
      </w:r>
      <w:r w:rsidR="006C4C62">
        <w:rPr>
          <w:rFonts w:ascii="Book Antiqua" w:eastAsia="等线" w:hAnsi="Book Antiqua" w:cs="Times New Roman"/>
          <w:kern w:val="2"/>
          <w:lang w:val="en-US" w:eastAsia="zh-CN"/>
        </w:rPr>
        <w:t xml:space="preserve"> </w:t>
      </w:r>
      <w:r w:rsidRPr="00CE170C">
        <w:rPr>
          <w:rFonts w:ascii="Book Antiqua" w:eastAsia="等线" w:hAnsi="Book Antiqua" w:cs="Times New Roman"/>
          <w:b/>
          <w:bCs/>
          <w:kern w:val="2"/>
          <w:lang w:val="en-US" w:eastAsia="zh-CN"/>
        </w:rPr>
        <w:t>190</w:t>
      </w:r>
      <w:r w:rsidRPr="00CE170C">
        <w:rPr>
          <w:rFonts w:ascii="Book Antiqua" w:eastAsia="等线" w:hAnsi="Book Antiqua" w:cs="Times New Roman"/>
          <w:kern w:val="2"/>
          <w:lang w:val="en-US" w:eastAsia="zh-CN"/>
        </w:rPr>
        <w:t>:</w:t>
      </w:r>
      <w:r w:rsidR="006C4C62">
        <w:rPr>
          <w:rFonts w:ascii="Book Antiqua" w:eastAsia="等线" w:hAnsi="Book Antiqua" w:cs="Times New Roman"/>
          <w:kern w:val="2"/>
          <w:lang w:val="en-US" w:eastAsia="zh-CN"/>
        </w:rPr>
        <w:t xml:space="preserve"> </w:t>
      </w:r>
      <w:r w:rsidRPr="00CE170C">
        <w:rPr>
          <w:rFonts w:ascii="Book Antiqua" w:eastAsia="等线" w:hAnsi="Book Antiqua" w:cs="Times New Roman"/>
          <w:kern w:val="2"/>
          <w:lang w:val="en-US" w:eastAsia="zh-CN"/>
        </w:rPr>
        <w:t>816–</w:t>
      </w:r>
      <w:r w:rsidR="006C4C62">
        <w:rPr>
          <w:rFonts w:ascii="Book Antiqua" w:eastAsia="等线" w:hAnsi="Book Antiqua" w:cs="Times New Roman"/>
          <w:kern w:val="2"/>
          <w:lang w:val="en-US" w:eastAsia="zh-CN"/>
        </w:rPr>
        <w:t>8</w:t>
      </w:r>
      <w:r w:rsidRPr="00CE170C">
        <w:rPr>
          <w:rFonts w:ascii="Book Antiqua" w:eastAsia="等线" w:hAnsi="Book Antiqua" w:cs="Times New Roman"/>
          <w:kern w:val="2"/>
          <w:lang w:val="en-US" w:eastAsia="zh-CN"/>
        </w:rPr>
        <w:t>20 [</w:t>
      </w:r>
      <w:r w:rsidR="006C4C62" w:rsidRPr="006C4C62">
        <w:rPr>
          <w:rFonts w:ascii="Book Antiqua" w:eastAsia="等线" w:hAnsi="Book Antiqua" w:cs="Times New Roman"/>
          <w:kern w:val="2"/>
          <w:lang w:val="en-US" w:eastAsia="zh-CN"/>
        </w:rPr>
        <w:t>PMID: 16226964 DOI: 10.1016/j.amjsurg.2005.07.026</w:t>
      </w:r>
      <w:r w:rsidRPr="00CE170C">
        <w:rPr>
          <w:rFonts w:ascii="Book Antiqua" w:eastAsia="等线" w:hAnsi="Book Antiqua" w:cs="Times New Roman"/>
          <w:kern w:val="2"/>
          <w:lang w:val="en-US" w:eastAsia="zh-CN"/>
        </w:rPr>
        <w:t xml:space="preserve">] </w:t>
      </w:r>
    </w:p>
    <w:p w14:paraId="32478051" w14:textId="6D23F55C" w:rsidR="00CE170C" w:rsidRPr="00CE170C" w:rsidRDefault="00CE170C" w:rsidP="00CE170C">
      <w:pPr>
        <w:widowControl w:val="0"/>
        <w:spacing w:line="360" w:lineRule="auto"/>
        <w:jc w:val="both"/>
        <w:rPr>
          <w:rFonts w:ascii="Book Antiqua" w:eastAsia="等线" w:hAnsi="Book Antiqua" w:cs="Times New Roman"/>
          <w:kern w:val="2"/>
          <w:lang w:val="en-US" w:eastAsia="zh-CN"/>
        </w:rPr>
      </w:pPr>
      <w:r w:rsidRPr="00CE170C">
        <w:rPr>
          <w:rFonts w:ascii="Book Antiqua" w:eastAsia="等线" w:hAnsi="Book Antiqua" w:cs="Times New Roman"/>
          <w:kern w:val="2"/>
          <w:lang w:val="en-US" w:eastAsia="zh-CN"/>
        </w:rPr>
        <w:t xml:space="preserve">7 </w:t>
      </w:r>
      <w:r w:rsidRPr="00CE170C">
        <w:rPr>
          <w:rFonts w:ascii="Book Antiqua" w:eastAsia="等线" w:hAnsi="Book Antiqua" w:cs="Times New Roman"/>
          <w:b/>
          <w:kern w:val="2"/>
          <w:lang w:val="en-US" w:eastAsia="zh-CN"/>
        </w:rPr>
        <w:t>Inabnet WB,</w:t>
      </w:r>
      <w:r w:rsidRPr="00CE170C">
        <w:rPr>
          <w:rFonts w:ascii="Book Antiqua" w:eastAsia="等线" w:hAnsi="Book Antiqua" w:cs="Times New Roman"/>
          <w:kern w:val="2"/>
          <w:lang w:val="en-US" w:eastAsia="zh-CN"/>
        </w:rPr>
        <w:t xml:space="preserve">  Belle SH, Bessler M, Courcoulas A, Dellinger P, Garcia L, Mitchell J, Oelschlager B, O’Rourke R, Pender J, Pomp A, Pories W, Ramanathan R, Wahed A, Wolfe B. Comparison of 30-day outcomes after non-LapBand primary and revisional bariatric surgical procedures from the Longitudinal Assessment of Bariatric Surgery study.</w:t>
      </w:r>
      <w:r w:rsidRPr="00CE170C">
        <w:rPr>
          <w:rFonts w:ascii="Book Antiqua" w:eastAsia="等线" w:hAnsi="Book Antiqua" w:cs="Times New Roman"/>
          <w:i/>
          <w:iCs/>
          <w:kern w:val="2"/>
          <w:lang w:val="en-US" w:eastAsia="zh-CN"/>
        </w:rPr>
        <w:t xml:space="preserve"> Surg Obes Relat Dis</w:t>
      </w:r>
      <w:r w:rsidR="00AF2F97">
        <w:rPr>
          <w:rFonts w:ascii="Book Antiqua" w:eastAsia="等线" w:hAnsi="Book Antiqua" w:cs="Times New Roman"/>
          <w:kern w:val="2"/>
          <w:lang w:val="en-US" w:eastAsia="zh-CN"/>
        </w:rPr>
        <w:t xml:space="preserve"> </w:t>
      </w:r>
      <w:r w:rsidRPr="00CE170C">
        <w:rPr>
          <w:rFonts w:ascii="Book Antiqua" w:eastAsia="等线" w:hAnsi="Book Antiqua" w:cs="Times New Roman"/>
          <w:kern w:val="2"/>
          <w:lang w:val="en-US" w:eastAsia="zh-CN"/>
        </w:rPr>
        <w:t>2010;</w:t>
      </w:r>
      <w:r w:rsidR="00AF2F97">
        <w:rPr>
          <w:rFonts w:ascii="Book Antiqua" w:eastAsia="等线" w:hAnsi="Book Antiqua" w:cs="Times New Roman"/>
          <w:kern w:val="2"/>
          <w:lang w:val="en-US" w:eastAsia="zh-CN"/>
        </w:rPr>
        <w:t xml:space="preserve"> </w:t>
      </w:r>
      <w:r w:rsidRPr="00CE170C">
        <w:rPr>
          <w:rFonts w:ascii="Book Antiqua" w:eastAsia="等线" w:hAnsi="Book Antiqua" w:cs="Times New Roman"/>
          <w:b/>
          <w:bCs/>
          <w:kern w:val="2"/>
          <w:lang w:val="en-US" w:eastAsia="zh-CN"/>
        </w:rPr>
        <w:t>6</w:t>
      </w:r>
      <w:r w:rsidRPr="00CE170C">
        <w:rPr>
          <w:rFonts w:ascii="Book Antiqua" w:eastAsia="等线" w:hAnsi="Book Antiqua" w:cs="Times New Roman"/>
          <w:kern w:val="2"/>
          <w:lang w:val="en-US" w:eastAsia="zh-CN"/>
        </w:rPr>
        <w:t>:</w:t>
      </w:r>
      <w:r w:rsidR="00AF2F97">
        <w:rPr>
          <w:rFonts w:ascii="Book Antiqua" w:eastAsia="等线" w:hAnsi="Book Antiqua" w:cs="Times New Roman"/>
          <w:kern w:val="2"/>
          <w:lang w:val="en-US" w:eastAsia="zh-CN"/>
        </w:rPr>
        <w:t xml:space="preserve"> </w:t>
      </w:r>
      <w:r w:rsidRPr="00CE170C">
        <w:rPr>
          <w:rFonts w:ascii="Book Antiqua" w:eastAsia="等线" w:hAnsi="Book Antiqua" w:cs="Times New Roman"/>
          <w:kern w:val="2"/>
          <w:lang w:val="en-US" w:eastAsia="zh-CN"/>
        </w:rPr>
        <w:t>22–30 [</w:t>
      </w:r>
      <w:r w:rsidR="00AF2F97" w:rsidRPr="00AF2F97">
        <w:rPr>
          <w:rFonts w:ascii="Book Antiqua" w:eastAsia="等线" w:hAnsi="Book Antiqua" w:cs="Times New Roman"/>
          <w:kern w:val="2"/>
          <w:lang w:val="en-US" w:eastAsia="zh-CN"/>
        </w:rPr>
        <w:t>PMID: 20129303</w:t>
      </w:r>
      <w:r w:rsidR="00AF2F97">
        <w:rPr>
          <w:rFonts w:ascii="Book Antiqua" w:eastAsia="等线" w:hAnsi="Book Antiqua" w:cs="Times New Roman"/>
          <w:kern w:val="2"/>
          <w:lang w:val="en-US" w:eastAsia="zh-CN"/>
        </w:rPr>
        <w:t xml:space="preserve"> </w:t>
      </w:r>
      <w:r w:rsidRPr="00CE170C">
        <w:rPr>
          <w:rFonts w:ascii="Book Antiqua" w:eastAsia="等线" w:hAnsi="Book Antiqua" w:cs="Times New Roman"/>
          <w:kern w:val="2"/>
          <w:lang w:val="en-US" w:eastAsia="zh-CN"/>
        </w:rPr>
        <w:t xml:space="preserve">DOI: 10.1016/j.soard.2009.10.007] </w:t>
      </w:r>
    </w:p>
    <w:p w14:paraId="7C126F40" w14:textId="77777777" w:rsidR="00CE170C" w:rsidRPr="00CE170C" w:rsidRDefault="00CE170C" w:rsidP="00CE170C">
      <w:pPr>
        <w:widowControl w:val="0"/>
        <w:spacing w:line="360" w:lineRule="auto"/>
        <w:jc w:val="both"/>
        <w:rPr>
          <w:rFonts w:ascii="Book Antiqua" w:eastAsia="等线" w:hAnsi="Book Antiqua" w:cs="Times New Roman"/>
          <w:kern w:val="2"/>
          <w:lang w:val="en-US" w:eastAsia="zh-CN"/>
        </w:rPr>
      </w:pPr>
      <w:r w:rsidRPr="00CE170C">
        <w:rPr>
          <w:rFonts w:ascii="Book Antiqua" w:eastAsia="等线" w:hAnsi="Book Antiqua" w:cs="Times New Roman"/>
          <w:kern w:val="2"/>
          <w:lang w:val="en-US" w:eastAsia="zh-CN"/>
        </w:rPr>
        <w:t xml:space="preserve">8 </w:t>
      </w:r>
      <w:r w:rsidRPr="00CE170C">
        <w:rPr>
          <w:rFonts w:ascii="Book Antiqua" w:eastAsia="等线" w:hAnsi="Book Antiqua" w:cs="Times New Roman"/>
          <w:b/>
          <w:kern w:val="2"/>
          <w:lang w:val="en-US" w:eastAsia="zh-CN"/>
        </w:rPr>
        <w:t>Dapri G</w:t>
      </w:r>
      <w:r w:rsidRPr="00CE170C">
        <w:rPr>
          <w:rFonts w:ascii="Book Antiqua" w:eastAsia="等线" w:hAnsi="Book Antiqua" w:cs="Times New Roman"/>
          <w:kern w:val="2"/>
          <w:lang w:val="en-US" w:eastAsia="zh-CN"/>
        </w:rPr>
        <w:t xml:space="preserve">, Cadière GB, Himpens J. Laparoscopic conversion of adjustable gastric banding and vertical banded gastroplasty to duodenal switch. </w:t>
      </w:r>
      <w:r w:rsidRPr="00CE170C">
        <w:rPr>
          <w:rFonts w:ascii="Book Antiqua" w:eastAsia="等线" w:hAnsi="Book Antiqua" w:cs="Times New Roman"/>
          <w:i/>
          <w:kern w:val="2"/>
          <w:lang w:val="en-US" w:eastAsia="zh-CN"/>
        </w:rPr>
        <w:t>Surg Obes Relat Dis</w:t>
      </w:r>
      <w:r w:rsidRPr="00CE170C">
        <w:rPr>
          <w:rFonts w:ascii="Book Antiqua" w:eastAsia="等线" w:hAnsi="Book Antiqua" w:cs="Times New Roman"/>
          <w:kern w:val="2"/>
          <w:lang w:val="en-US" w:eastAsia="zh-CN"/>
        </w:rPr>
        <w:t xml:space="preserve"> 2009; </w:t>
      </w:r>
      <w:r w:rsidRPr="00CE170C">
        <w:rPr>
          <w:rFonts w:ascii="Book Antiqua" w:eastAsia="等线" w:hAnsi="Book Antiqua" w:cs="Times New Roman"/>
          <w:b/>
          <w:kern w:val="2"/>
          <w:lang w:val="en-US" w:eastAsia="zh-CN"/>
        </w:rPr>
        <w:t>5</w:t>
      </w:r>
      <w:r w:rsidRPr="00CE170C">
        <w:rPr>
          <w:rFonts w:ascii="Book Antiqua" w:eastAsia="等线" w:hAnsi="Book Antiqua" w:cs="Times New Roman"/>
          <w:kern w:val="2"/>
          <w:lang w:val="en-US" w:eastAsia="zh-CN"/>
        </w:rPr>
        <w:t>: 678-683 [PMID: 19767245 DOI: 10.1016/j.soard.2009.07.001]</w:t>
      </w:r>
    </w:p>
    <w:p w14:paraId="6A42E38F" w14:textId="5F2D6E01" w:rsidR="00CE170C" w:rsidRPr="00CE170C" w:rsidRDefault="00CE170C" w:rsidP="00CE170C">
      <w:pPr>
        <w:widowControl w:val="0"/>
        <w:spacing w:line="360" w:lineRule="auto"/>
        <w:jc w:val="both"/>
        <w:rPr>
          <w:rFonts w:ascii="Book Antiqua" w:eastAsia="等线" w:hAnsi="Book Antiqua" w:cs="Times New Roman"/>
          <w:kern w:val="2"/>
          <w:lang w:val="en-US" w:eastAsia="zh-CN"/>
        </w:rPr>
      </w:pPr>
      <w:r w:rsidRPr="00CE170C">
        <w:rPr>
          <w:rFonts w:ascii="Book Antiqua" w:eastAsia="等线" w:hAnsi="Book Antiqua" w:cs="Times New Roman"/>
          <w:kern w:val="2"/>
          <w:lang w:val="en-US" w:eastAsia="zh-CN"/>
        </w:rPr>
        <w:t>9</w:t>
      </w:r>
      <w:r w:rsidR="00FF33A2">
        <w:rPr>
          <w:rFonts w:ascii="Book Antiqua" w:eastAsia="等线" w:hAnsi="Book Antiqua" w:cs="Times New Roman"/>
          <w:kern w:val="2"/>
          <w:lang w:val="en-US" w:eastAsia="zh-CN"/>
        </w:rPr>
        <w:t xml:space="preserve"> </w:t>
      </w:r>
      <w:r w:rsidRPr="00CE170C">
        <w:rPr>
          <w:rFonts w:ascii="Book Antiqua" w:eastAsia="等线" w:hAnsi="Book Antiqua" w:cs="Times New Roman"/>
          <w:b/>
          <w:bCs/>
          <w:kern w:val="2"/>
          <w:lang w:val="en-US" w:eastAsia="zh-CN"/>
        </w:rPr>
        <w:t>Thompson CC</w:t>
      </w:r>
      <w:r w:rsidRPr="00CE170C">
        <w:rPr>
          <w:rFonts w:ascii="Book Antiqua" w:eastAsia="等线" w:hAnsi="Book Antiqua" w:cs="Times New Roman"/>
          <w:kern w:val="2"/>
          <w:lang w:val="en-US" w:eastAsia="zh-CN"/>
        </w:rPr>
        <w:t xml:space="preserve">. Novel endoscopic approaches to common bariatric postoperative complications. In: Presented at the ASGE Video Forum. New </w:t>
      </w:r>
      <w:r w:rsidRPr="00CE170C">
        <w:rPr>
          <w:rFonts w:ascii="Book Antiqua" w:eastAsia="等线" w:hAnsi="Book Antiqua" w:cs="Times New Roman"/>
          <w:kern w:val="2"/>
          <w:lang w:val="en-US" w:eastAsia="zh-CN"/>
        </w:rPr>
        <w:lastRenderedPageBreak/>
        <w:t>Orleans: Digestive Diseases Week; 2004</w:t>
      </w:r>
    </w:p>
    <w:p w14:paraId="2320C1CA" w14:textId="77777777" w:rsidR="00CE170C" w:rsidRPr="00CE170C" w:rsidRDefault="00CE170C" w:rsidP="00CE170C">
      <w:pPr>
        <w:widowControl w:val="0"/>
        <w:spacing w:line="360" w:lineRule="auto"/>
        <w:jc w:val="both"/>
        <w:rPr>
          <w:rFonts w:ascii="Book Antiqua" w:eastAsia="等线" w:hAnsi="Book Antiqua" w:cs="Times New Roman"/>
          <w:kern w:val="2"/>
          <w:lang w:val="en-US" w:eastAsia="zh-CN"/>
        </w:rPr>
      </w:pPr>
      <w:r w:rsidRPr="00CE170C">
        <w:rPr>
          <w:rFonts w:ascii="Book Antiqua" w:eastAsia="等线" w:hAnsi="Book Antiqua" w:cs="Times New Roman"/>
          <w:kern w:val="2"/>
          <w:lang w:val="en-US" w:eastAsia="zh-CN"/>
        </w:rPr>
        <w:t xml:space="preserve">10 </w:t>
      </w:r>
      <w:r w:rsidRPr="00CE170C">
        <w:rPr>
          <w:rFonts w:ascii="Book Antiqua" w:eastAsia="等线" w:hAnsi="Book Antiqua" w:cs="Times New Roman"/>
          <w:b/>
          <w:kern w:val="2"/>
          <w:lang w:val="en-US" w:eastAsia="zh-CN"/>
        </w:rPr>
        <w:t>Hourneaux de Moura DT</w:t>
      </w:r>
      <w:r w:rsidRPr="00CE170C">
        <w:rPr>
          <w:rFonts w:ascii="Book Antiqua" w:eastAsia="等线" w:hAnsi="Book Antiqua" w:cs="Times New Roman"/>
          <w:kern w:val="2"/>
          <w:lang w:val="en-US" w:eastAsia="zh-CN"/>
        </w:rPr>
        <w:t xml:space="preserve">, Hathorn KE, Thompson CC. You Just Got Burned! What Is Wrong With This Gastric Pouch? </w:t>
      </w:r>
      <w:r w:rsidRPr="00CE170C">
        <w:rPr>
          <w:rFonts w:ascii="Book Antiqua" w:eastAsia="等线" w:hAnsi="Book Antiqua" w:cs="Times New Roman"/>
          <w:i/>
          <w:kern w:val="2"/>
          <w:lang w:val="en-US" w:eastAsia="zh-CN"/>
        </w:rPr>
        <w:t>Gastroenterology</w:t>
      </w:r>
      <w:r w:rsidRPr="00CE170C">
        <w:rPr>
          <w:rFonts w:ascii="Book Antiqua" w:eastAsia="等线" w:hAnsi="Book Antiqua" w:cs="Times New Roman"/>
          <w:kern w:val="2"/>
          <w:lang w:val="en-US" w:eastAsia="zh-CN"/>
        </w:rPr>
        <w:t xml:space="preserve"> 2019; </w:t>
      </w:r>
      <w:r w:rsidRPr="00CE170C">
        <w:rPr>
          <w:rFonts w:ascii="Book Antiqua" w:eastAsia="等线" w:hAnsi="Book Antiqua" w:cs="Times New Roman"/>
          <w:b/>
          <w:kern w:val="2"/>
          <w:lang w:val="en-US" w:eastAsia="zh-CN"/>
        </w:rPr>
        <w:t>156</w:t>
      </w:r>
      <w:r w:rsidRPr="00CE170C">
        <w:rPr>
          <w:rFonts w:ascii="Book Antiqua" w:eastAsia="等线" w:hAnsi="Book Antiqua" w:cs="Times New Roman"/>
          <w:kern w:val="2"/>
          <w:lang w:val="en-US" w:eastAsia="zh-CN"/>
        </w:rPr>
        <w:t>: 2139-2141 [PMID: 30716322 DOI: 10.1053/j.gastro.2019.01.255]</w:t>
      </w:r>
    </w:p>
    <w:p w14:paraId="3AB717E2" w14:textId="77777777" w:rsidR="00CE170C" w:rsidRPr="00CE170C" w:rsidRDefault="00CE170C" w:rsidP="00CE170C">
      <w:pPr>
        <w:widowControl w:val="0"/>
        <w:spacing w:line="360" w:lineRule="auto"/>
        <w:jc w:val="both"/>
        <w:rPr>
          <w:rFonts w:ascii="Book Antiqua" w:eastAsia="等线" w:hAnsi="Book Antiqua" w:cs="Times New Roman"/>
          <w:kern w:val="2"/>
          <w:lang w:val="en-US" w:eastAsia="zh-CN"/>
        </w:rPr>
      </w:pPr>
      <w:r w:rsidRPr="00CE170C">
        <w:rPr>
          <w:rFonts w:ascii="Book Antiqua" w:eastAsia="等线" w:hAnsi="Book Antiqua" w:cs="Times New Roman"/>
          <w:kern w:val="2"/>
          <w:lang w:val="en-US" w:eastAsia="zh-CN"/>
        </w:rPr>
        <w:t xml:space="preserve">11 </w:t>
      </w:r>
      <w:r w:rsidRPr="00CE170C">
        <w:rPr>
          <w:rFonts w:ascii="Book Antiqua" w:eastAsia="等线" w:hAnsi="Book Antiqua" w:cs="Times New Roman"/>
          <w:b/>
          <w:kern w:val="2"/>
          <w:lang w:val="en-US" w:eastAsia="zh-CN"/>
        </w:rPr>
        <w:t>Moon RC</w:t>
      </w:r>
      <w:r w:rsidRPr="00CE170C">
        <w:rPr>
          <w:rFonts w:ascii="Book Antiqua" w:eastAsia="等线" w:hAnsi="Book Antiqua" w:cs="Times New Roman"/>
          <w:kern w:val="2"/>
          <w:lang w:val="en-US" w:eastAsia="zh-CN"/>
        </w:rPr>
        <w:t xml:space="preserve">, Teixeira AF, Neto MG, Zundel N, Sander BQ, Ramos FM, Matz F, Baretta GA, de Quadros LG, Grecco E, Souza T, Barrichello SA, Filho AC, Usuy EN Jr, de Amorim AMB, Jawad MA. Efficacy of Utilizing Argon Plasma Coagulation for Weight Regain in Roux-en-Y Gastric Bypass Patients: a Multi-center Study. </w:t>
      </w:r>
      <w:r w:rsidRPr="00CE170C">
        <w:rPr>
          <w:rFonts w:ascii="Book Antiqua" w:eastAsia="等线" w:hAnsi="Book Antiqua" w:cs="Times New Roman"/>
          <w:i/>
          <w:kern w:val="2"/>
          <w:lang w:val="en-US" w:eastAsia="zh-CN"/>
        </w:rPr>
        <w:t>Obes Surg</w:t>
      </w:r>
      <w:r w:rsidRPr="00CE170C">
        <w:rPr>
          <w:rFonts w:ascii="Book Antiqua" w:eastAsia="等线" w:hAnsi="Book Antiqua" w:cs="Times New Roman"/>
          <w:kern w:val="2"/>
          <w:lang w:val="en-US" w:eastAsia="zh-CN"/>
        </w:rPr>
        <w:t xml:space="preserve"> 2018; </w:t>
      </w:r>
      <w:r w:rsidRPr="00CE170C">
        <w:rPr>
          <w:rFonts w:ascii="Book Antiqua" w:eastAsia="等线" w:hAnsi="Book Antiqua" w:cs="Times New Roman"/>
          <w:b/>
          <w:kern w:val="2"/>
          <w:lang w:val="en-US" w:eastAsia="zh-CN"/>
        </w:rPr>
        <w:t>28</w:t>
      </w:r>
      <w:r w:rsidRPr="00CE170C">
        <w:rPr>
          <w:rFonts w:ascii="Book Antiqua" w:eastAsia="等线" w:hAnsi="Book Antiqua" w:cs="Times New Roman"/>
          <w:kern w:val="2"/>
          <w:lang w:val="en-US" w:eastAsia="zh-CN"/>
        </w:rPr>
        <w:t>: 2737-2744 [PMID: 29627948 DOI: 10.1007/s11695-018-3229-5]</w:t>
      </w:r>
    </w:p>
    <w:p w14:paraId="1D1C071B" w14:textId="626289B4" w:rsidR="00CE170C" w:rsidRPr="00CE170C" w:rsidRDefault="00CE170C" w:rsidP="00CE170C">
      <w:pPr>
        <w:widowControl w:val="0"/>
        <w:spacing w:line="360" w:lineRule="auto"/>
        <w:jc w:val="both"/>
        <w:rPr>
          <w:rFonts w:ascii="Book Antiqua" w:eastAsia="等线" w:hAnsi="Book Antiqua" w:cs="Times New Roman"/>
          <w:kern w:val="2"/>
          <w:lang w:val="en-US" w:eastAsia="zh-CN"/>
        </w:rPr>
      </w:pPr>
      <w:r w:rsidRPr="00CE170C">
        <w:rPr>
          <w:rFonts w:ascii="Book Antiqua" w:eastAsia="等线" w:hAnsi="Book Antiqua" w:cs="Times New Roman"/>
          <w:kern w:val="2"/>
          <w:lang w:val="en-US" w:eastAsia="zh-CN"/>
        </w:rPr>
        <w:t xml:space="preserve">12 </w:t>
      </w:r>
      <w:r w:rsidRPr="00CE170C">
        <w:rPr>
          <w:rFonts w:ascii="Book Antiqua" w:eastAsia="等线" w:hAnsi="Book Antiqua" w:cs="Times New Roman"/>
          <w:b/>
          <w:kern w:val="2"/>
          <w:lang w:val="en-US" w:eastAsia="zh-CN"/>
        </w:rPr>
        <w:t>Higa KD,</w:t>
      </w:r>
      <w:r w:rsidR="005A3E74">
        <w:rPr>
          <w:rFonts w:ascii="Book Antiqua" w:eastAsia="等线" w:hAnsi="Book Antiqua" w:cs="Times New Roman"/>
          <w:kern w:val="2"/>
          <w:lang w:val="en-US" w:eastAsia="zh-CN"/>
        </w:rPr>
        <w:t xml:space="preserve"> </w:t>
      </w:r>
      <w:r w:rsidRPr="00CE170C">
        <w:rPr>
          <w:rFonts w:ascii="Book Antiqua" w:eastAsia="等线" w:hAnsi="Book Antiqua" w:cs="Times New Roman"/>
          <w:kern w:val="2"/>
          <w:lang w:val="en-US" w:eastAsia="zh-CN"/>
        </w:rPr>
        <w:t xml:space="preserve">Boone K, Nimeri A, Tercero F, Jackson A, Khan A. Gastric bypass: increased restriction for poor weight loss. </w:t>
      </w:r>
      <w:r w:rsidRPr="00CE170C">
        <w:rPr>
          <w:rFonts w:ascii="Book Antiqua" w:eastAsia="等线" w:hAnsi="Book Antiqua" w:cs="Times New Roman"/>
          <w:i/>
          <w:iCs/>
          <w:kern w:val="2"/>
          <w:lang w:val="en-US" w:eastAsia="zh-CN"/>
        </w:rPr>
        <w:t>Surg Endosc</w:t>
      </w:r>
      <w:r w:rsidR="005A3E74">
        <w:rPr>
          <w:rFonts w:ascii="Book Antiqua" w:eastAsia="等线" w:hAnsi="Book Antiqua" w:cs="Times New Roman"/>
          <w:kern w:val="2"/>
          <w:lang w:val="en-US" w:eastAsia="zh-CN"/>
        </w:rPr>
        <w:t xml:space="preserve"> </w:t>
      </w:r>
      <w:r w:rsidRPr="00CE170C">
        <w:rPr>
          <w:rFonts w:ascii="Book Antiqua" w:eastAsia="等线" w:hAnsi="Book Antiqua" w:cs="Times New Roman"/>
          <w:kern w:val="2"/>
          <w:lang w:val="en-US" w:eastAsia="zh-CN"/>
        </w:rPr>
        <w:t>2007;</w:t>
      </w:r>
      <w:r w:rsidR="005A3E74">
        <w:rPr>
          <w:rFonts w:ascii="Book Antiqua" w:eastAsia="等线" w:hAnsi="Book Antiqua" w:cs="Times New Roman"/>
          <w:kern w:val="2"/>
          <w:lang w:val="en-US" w:eastAsia="zh-CN"/>
        </w:rPr>
        <w:t xml:space="preserve"> </w:t>
      </w:r>
      <w:r w:rsidRPr="00CE170C">
        <w:rPr>
          <w:rFonts w:ascii="Book Antiqua" w:eastAsia="等线" w:hAnsi="Book Antiqua" w:cs="Times New Roman"/>
          <w:b/>
          <w:bCs/>
          <w:kern w:val="2"/>
          <w:lang w:val="en-US" w:eastAsia="zh-CN"/>
        </w:rPr>
        <w:t>21</w:t>
      </w:r>
      <w:r w:rsidRPr="00CE170C">
        <w:rPr>
          <w:rFonts w:ascii="Book Antiqua" w:eastAsia="等线" w:hAnsi="Book Antiqua" w:cs="Times New Roman"/>
          <w:kern w:val="2"/>
          <w:lang w:val="en-US" w:eastAsia="zh-CN"/>
        </w:rPr>
        <w:t>:</w:t>
      </w:r>
      <w:r w:rsidR="005A3E74">
        <w:rPr>
          <w:rFonts w:ascii="Book Antiqua" w:eastAsia="等线" w:hAnsi="Book Antiqua" w:cs="Times New Roman"/>
          <w:kern w:val="2"/>
          <w:lang w:val="en-US" w:eastAsia="zh-CN"/>
        </w:rPr>
        <w:t xml:space="preserve"> </w:t>
      </w:r>
      <w:r w:rsidRPr="00CE170C">
        <w:rPr>
          <w:rFonts w:ascii="Book Antiqua" w:eastAsia="等线" w:hAnsi="Book Antiqua" w:cs="Times New Roman"/>
          <w:kern w:val="2"/>
          <w:lang w:val="en-US" w:eastAsia="zh-CN"/>
        </w:rPr>
        <w:t>1922–</w:t>
      </w:r>
      <w:r w:rsidR="005A3E74" w:rsidRPr="00CE170C">
        <w:rPr>
          <w:rFonts w:ascii="Book Antiqua" w:eastAsia="等线" w:hAnsi="Book Antiqua" w:cs="Times New Roman"/>
          <w:kern w:val="2"/>
          <w:lang w:val="en-US" w:eastAsia="zh-CN"/>
        </w:rPr>
        <w:t>192</w:t>
      </w:r>
      <w:r w:rsidRPr="00CE170C">
        <w:rPr>
          <w:rFonts w:ascii="Book Antiqua" w:eastAsia="等线" w:hAnsi="Book Antiqua" w:cs="Times New Roman"/>
          <w:kern w:val="2"/>
          <w:lang w:val="en-US" w:eastAsia="zh-CN"/>
        </w:rPr>
        <w:t>3 [</w:t>
      </w:r>
      <w:r w:rsidR="005A3E74" w:rsidRPr="005A3E74">
        <w:rPr>
          <w:rFonts w:ascii="Book Antiqua" w:eastAsia="等线" w:hAnsi="Book Antiqua" w:cs="Times New Roman"/>
          <w:kern w:val="2"/>
          <w:lang w:val="en-US" w:eastAsia="zh-CN"/>
        </w:rPr>
        <w:t>PMID: 17909900</w:t>
      </w:r>
      <w:r w:rsidR="005A3E74">
        <w:rPr>
          <w:rFonts w:ascii="Book Antiqua" w:eastAsia="等线" w:hAnsi="Book Antiqua" w:cs="Times New Roman"/>
          <w:kern w:val="2"/>
          <w:lang w:val="en-US" w:eastAsia="zh-CN"/>
        </w:rPr>
        <w:t xml:space="preserve"> </w:t>
      </w:r>
      <w:r w:rsidRPr="00CE170C">
        <w:rPr>
          <w:rFonts w:ascii="Book Antiqua" w:eastAsia="等线" w:hAnsi="Book Antiqua" w:cs="Times New Roman"/>
          <w:kern w:val="2"/>
          <w:lang w:val="en-US" w:eastAsia="zh-CN"/>
        </w:rPr>
        <w:t>DOI: 10.1007/s00464-007-9540-1]</w:t>
      </w:r>
    </w:p>
    <w:p w14:paraId="57494DA8" w14:textId="77777777" w:rsidR="00CE170C" w:rsidRPr="00CE170C" w:rsidRDefault="00CE170C" w:rsidP="00CE170C">
      <w:pPr>
        <w:widowControl w:val="0"/>
        <w:spacing w:line="360" w:lineRule="auto"/>
        <w:jc w:val="both"/>
        <w:rPr>
          <w:rFonts w:ascii="Book Antiqua" w:eastAsia="等线" w:hAnsi="Book Antiqua" w:cs="Times New Roman"/>
          <w:kern w:val="2"/>
          <w:lang w:val="en-US" w:eastAsia="zh-CN"/>
        </w:rPr>
      </w:pPr>
      <w:r w:rsidRPr="00CE170C">
        <w:rPr>
          <w:rFonts w:ascii="Book Antiqua" w:eastAsia="等线" w:hAnsi="Book Antiqua" w:cs="Times New Roman"/>
          <w:kern w:val="2"/>
          <w:lang w:val="en-US" w:eastAsia="zh-CN"/>
        </w:rPr>
        <w:t xml:space="preserve">13 </w:t>
      </w:r>
      <w:r w:rsidRPr="00CE170C">
        <w:rPr>
          <w:rFonts w:ascii="Book Antiqua" w:eastAsia="等线" w:hAnsi="Book Antiqua" w:cs="Times New Roman"/>
          <w:b/>
          <w:kern w:val="2"/>
          <w:lang w:val="en-US" w:eastAsia="zh-CN"/>
        </w:rPr>
        <w:t>Thompson CC</w:t>
      </w:r>
      <w:r w:rsidRPr="00CE170C">
        <w:rPr>
          <w:rFonts w:ascii="Book Antiqua" w:eastAsia="等线" w:hAnsi="Book Antiqua" w:cs="Times New Roman"/>
          <w:kern w:val="2"/>
          <w:lang w:val="en-US" w:eastAsia="zh-CN"/>
        </w:rPr>
        <w:t xml:space="preserve">, Slattery J, Bundga ME, Lautz DB. Peroral endoscopic reduction of dilated gastrojejunal anastomosis after Roux-en-Y gastric bypass: a possible new option for patients with weight regain. </w:t>
      </w:r>
      <w:r w:rsidRPr="00CE170C">
        <w:rPr>
          <w:rFonts w:ascii="Book Antiqua" w:eastAsia="等线" w:hAnsi="Book Antiqua" w:cs="Times New Roman"/>
          <w:i/>
          <w:kern w:val="2"/>
          <w:lang w:val="en-US" w:eastAsia="zh-CN"/>
        </w:rPr>
        <w:t>Surg Endosc</w:t>
      </w:r>
      <w:r w:rsidRPr="00CE170C">
        <w:rPr>
          <w:rFonts w:ascii="Book Antiqua" w:eastAsia="等线" w:hAnsi="Book Antiqua" w:cs="Times New Roman"/>
          <w:kern w:val="2"/>
          <w:lang w:val="en-US" w:eastAsia="zh-CN"/>
        </w:rPr>
        <w:t xml:space="preserve"> 2006; </w:t>
      </w:r>
      <w:r w:rsidRPr="00CE170C">
        <w:rPr>
          <w:rFonts w:ascii="Book Antiqua" w:eastAsia="等线" w:hAnsi="Book Antiqua" w:cs="Times New Roman"/>
          <w:b/>
          <w:kern w:val="2"/>
          <w:lang w:val="en-US" w:eastAsia="zh-CN"/>
        </w:rPr>
        <w:t>20</w:t>
      </w:r>
      <w:r w:rsidRPr="00CE170C">
        <w:rPr>
          <w:rFonts w:ascii="Book Antiqua" w:eastAsia="等线" w:hAnsi="Book Antiqua" w:cs="Times New Roman"/>
          <w:kern w:val="2"/>
          <w:lang w:val="en-US" w:eastAsia="zh-CN"/>
        </w:rPr>
        <w:t>: 1744-1748 [PMID: 17024527 DOI: 10.1007/s00464-006-0045-0]</w:t>
      </w:r>
    </w:p>
    <w:p w14:paraId="3234FE5F" w14:textId="77777777" w:rsidR="00CE170C" w:rsidRPr="00CE170C" w:rsidRDefault="00CE170C" w:rsidP="00CE170C">
      <w:pPr>
        <w:widowControl w:val="0"/>
        <w:spacing w:line="360" w:lineRule="auto"/>
        <w:jc w:val="both"/>
        <w:rPr>
          <w:rFonts w:ascii="Book Antiqua" w:eastAsia="等线" w:hAnsi="Book Antiqua" w:cs="Times New Roman"/>
          <w:kern w:val="2"/>
          <w:lang w:val="en-US" w:eastAsia="zh-CN"/>
        </w:rPr>
      </w:pPr>
      <w:r w:rsidRPr="00CE170C">
        <w:rPr>
          <w:rFonts w:ascii="Book Antiqua" w:eastAsia="等线" w:hAnsi="Book Antiqua" w:cs="Times New Roman"/>
          <w:kern w:val="2"/>
          <w:lang w:val="en-US" w:eastAsia="zh-CN"/>
        </w:rPr>
        <w:t xml:space="preserve">14 </w:t>
      </w:r>
      <w:r w:rsidRPr="00CE170C">
        <w:rPr>
          <w:rFonts w:ascii="Book Antiqua" w:eastAsia="等线" w:hAnsi="Book Antiqua" w:cs="Times New Roman"/>
          <w:b/>
          <w:kern w:val="2"/>
          <w:lang w:val="en-US" w:eastAsia="zh-CN"/>
        </w:rPr>
        <w:t>Brunaldi VO</w:t>
      </w:r>
      <w:r w:rsidRPr="00CE170C">
        <w:rPr>
          <w:rFonts w:ascii="Book Antiqua" w:eastAsia="等线" w:hAnsi="Book Antiqua" w:cs="Times New Roman"/>
          <w:kern w:val="2"/>
          <w:lang w:val="en-US" w:eastAsia="zh-CN"/>
        </w:rPr>
        <w:t xml:space="preserve">, Jirapinyo P, de Moura DTH, Okazaki O, Bernardo WM, Galvão Neto M, Campos JM, Santo MA, de Moura EGH. Endoscopic Treatment of Weight Regain Following Roux-en-Y Gastric Bypass: a Systematic Review and Meta-analysis. </w:t>
      </w:r>
      <w:r w:rsidRPr="00CE170C">
        <w:rPr>
          <w:rFonts w:ascii="Book Antiqua" w:eastAsia="等线" w:hAnsi="Book Antiqua" w:cs="Times New Roman"/>
          <w:i/>
          <w:kern w:val="2"/>
          <w:lang w:val="en-US" w:eastAsia="zh-CN"/>
        </w:rPr>
        <w:t>Obes Surg</w:t>
      </w:r>
      <w:r w:rsidRPr="00CE170C">
        <w:rPr>
          <w:rFonts w:ascii="Book Antiqua" w:eastAsia="等线" w:hAnsi="Book Antiqua" w:cs="Times New Roman"/>
          <w:kern w:val="2"/>
          <w:lang w:val="en-US" w:eastAsia="zh-CN"/>
        </w:rPr>
        <w:t xml:space="preserve"> 2018; </w:t>
      </w:r>
      <w:r w:rsidRPr="00CE170C">
        <w:rPr>
          <w:rFonts w:ascii="Book Antiqua" w:eastAsia="等线" w:hAnsi="Book Antiqua" w:cs="Times New Roman"/>
          <w:b/>
          <w:kern w:val="2"/>
          <w:lang w:val="en-US" w:eastAsia="zh-CN"/>
        </w:rPr>
        <w:t>28</w:t>
      </w:r>
      <w:r w:rsidRPr="00CE170C">
        <w:rPr>
          <w:rFonts w:ascii="Book Antiqua" w:eastAsia="等线" w:hAnsi="Book Antiqua" w:cs="Times New Roman"/>
          <w:kern w:val="2"/>
          <w:lang w:val="en-US" w:eastAsia="zh-CN"/>
        </w:rPr>
        <w:t>: 266-276 [PMID: 29082456 DOI: 10.1007/s11695-017-2986-x]</w:t>
      </w:r>
    </w:p>
    <w:p w14:paraId="360F6245" w14:textId="77777777" w:rsidR="00CE170C" w:rsidRPr="00CE170C" w:rsidRDefault="00CE170C" w:rsidP="00CE170C">
      <w:pPr>
        <w:widowControl w:val="0"/>
        <w:spacing w:line="360" w:lineRule="auto"/>
        <w:jc w:val="both"/>
        <w:rPr>
          <w:rFonts w:ascii="Book Antiqua" w:eastAsia="等线" w:hAnsi="Book Antiqua" w:cs="Times New Roman"/>
          <w:kern w:val="2"/>
          <w:lang w:val="en-US" w:eastAsia="zh-CN"/>
        </w:rPr>
      </w:pPr>
      <w:r w:rsidRPr="00CE170C">
        <w:rPr>
          <w:rFonts w:ascii="Book Antiqua" w:eastAsia="等线" w:hAnsi="Book Antiqua" w:cs="Times New Roman"/>
          <w:kern w:val="2"/>
          <w:lang w:val="en-US" w:eastAsia="zh-CN"/>
        </w:rPr>
        <w:t xml:space="preserve">15 </w:t>
      </w:r>
      <w:r w:rsidRPr="00CE170C">
        <w:rPr>
          <w:rFonts w:ascii="Book Antiqua" w:eastAsia="等线" w:hAnsi="Book Antiqua" w:cs="Times New Roman"/>
          <w:b/>
          <w:kern w:val="2"/>
          <w:lang w:val="en-US" w:eastAsia="zh-CN"/>
        </w:rPr>
        <w:t>Baretta GA</w:t>
      </w:r>
      <w:r w:rsidRPr="00CE170C">
        <w:rPr>
          <w:rFonts w:ascii="Book Antiqua" w:eastAsia="等线" w:hAnsi="Book Antiqua" w:cs="Times New Roman"/>
          <w:kern w:val="2"/>
          <w:lang w:val="en-US" w:eastAsia="zh-CN"/>
        </w:rPr>
        <w:t xml:space="preserve">, Alhinho HC, Matias JE, Marchesini JB, de Lima JH, Empinotti C, Campos JM. Argon plasma coagulation of gastrojejunal anastomosis for weight regain after gastric bypass. </w:t>
      </w:r>
      <w:r w:rsidRPr="00CE170C">
        <w:rPr>
          <w:rFonts w:ascii="Book Antiqua" w:eastAsia="等线" w:hAnsi="Book Antiqua" w:cs="Times New Roman"/>
          <w:i/>
          <w:kern w:val="2"/>
          <w:lang w:val="en-US" w:eastAsia="zh-CN"/>
        </w:rPr>
        <w:t>Obes Surg</w:t>
      </w:r>
      <w:r w:rsidRPr="00CE170C">
        <w:rPr>
          <w:rFonts w:ascii="Book Antiqua" w:eastAsia="等线" w:hAnsi="Book Antiqua" w:cs="Times New Roman"/>
          <w:kern w:val="2"/>
          <w:lang w:val="en-US" w:eastAsia="zh-CN"/>
        </w:rPr>
        <w:t xml:space="preserve"> 2015; </w:t>
      </w:r>
      <w:r w:rsidRPr="00CE170C">
        <w:rPr>
          <w:rFonts w:ascii="Book Antiqua" w:eastAsia="等线" w:hAnsi="Book Antiqua" w:cs="Times New Roman"/>
          <w:b/>
          <w:kern w:val="2"/>
          <w:lang w:val="en-US" w:eastAsia="zh-CN"/>
        </w:rPr>
        <w:t>25</w:t>
      </w:r>
      <w:r w:rsidRPr="00CE170C">
        <w:rPr>
          <w:rFonts w:ascii="Book Antiqua" w:eastAsia="等线" w:hAnsi="Book Antiqua" w:cs="Times New Roman"/>
          <w:kern w:val="2"/>
          <w:lang w:val="en-US" w:eastAsia="zh-CN"/>
        </w:rPr>
        <w:t>: 72-79 [PMID: 25005812 DOI: 10.1007/s11695-014-1363-2]</w:t>
      </w:r>
    </w:p>
    <w:p w14:paraId="0739D027" w14:textId="77777777" w:rsidR="00CE170C" w:rsidRPr="00CE170C" w:rsidRDefault="00CE170C" w:rsidP="00CE170C">
      <w:pPr>
        <w:widowControl w:val="0"/>
        <w:spacing w:line="360" w:lineRule="auto"/>
        <w:jc w:val="both"/>
        <w:rPr>
          <w:rFonts w:ascii="Book Antiqua" w:eastAsia="等线" w:hAnsi="Book Antiqua" w:cs="Times New Roman"/>
          <w:kern w:val="2"/>
          <w:lang w:val="en-US" w:eastAsia="zh-CN"/>
        </w:rPr>
      </w:pPr>
      <w:r w:rsidRPr="00CE170C">
        <w:rPr>
          <w:rFonts w:ascii="Book Antiqua" w:eastAsia="等线" w:hAnsi="Book Antiqua" w:cs="Times New Roman"/>
          <w:kern w:val="2"/>
          <w:lang w:val="en-US" w:eastAsia="zh-CN"/>
        </w:rPr>
        <w:t xml:space="preserve">16 </w:t>
      </w:r>
      <w:r w:rsidRPr="00CE170C">
        <w:rPr>
          <w:rFonts w:ascii="Book Antiqua" w:eastAsia="等线" w:hAnsi="Book Antiqua" w:cs="Times New Roman"/>
          <w:b/>
          <w:kern w:val="2"/>
          <w:lang w:val="en-US" w:eastAsia="zh-CN"/>
        </w:rPr>
        <w:t>Sung JJ</w:t>
      </w:r>
      <w:r w:rsidRPr="00CE170C">
        <w:rPr>
          <w:rFonts w:ascii="Book Antiqua" w:eastAsia="等线" w:hAnsi="Book Antiqua" w:cs="Times New Roman"/>
          <w:kern w:val="2"/>
          <w:lang w:val="en-US" w:eastAsia="zh-CN"/>
        </w:rPr>
        <w:t xml:space="preserve">, Chiu PW, Chan FKL, Lau JY, Goh KL, Ho LH, Jung HY, Sollano JD, Gotoda T, Reddy N, Singh R, Sugano K, Wu KC, Wu CY, Bjorkman DJ, Jensen DM, Kuipers EJ, Lanas A. Asia-Pacific working group consensus on non-variceal upper gastrointestinal bleeding: an update 2018. </w:t>
      </w:r>
      <w:r w:rsidRPr="00CE170C">
        <w:rPr>
          <w:rFonts w:ascii="Book Antiqua" w:eastAsia="等线" w:hAnsi="Book Antiqua" w:cs="Times New Roman"/>
          <w:i/>
          <w:kern w:val="2"/>
          <w:lang w:val="en-US" w:eastAsia="zh-CN"/>
        </w:rPr>
        <w:t>Gut</w:t>
      </w:r>
      <w:r w:rsidRPr="00CE170C">
        <w:rPr>
          <w:rFonts w:ascii="Book Antiqua" w:eastAsia="等线" w:hAnsi="Book Antiqua" w:cs="Times New Roman"/>
          <w:kern w:val="2"/>
          <w:lang w:val="en-US" w:eastAsia="zh-CN"/>
        </w:rPr>
        <w:t xml:space="preserve"> 2018; </w:t>
      </w:r>
      <w:r w:rsidRPr="00CE170C">
        <w:rPr>
          <w:rFonts w:ascii="Book Antiqua" w:eastAsia="等线" w:hAnsi="Book Antiqua" w:cs="Times New Roman"/>
          <w:b/>
          <w:kern w:val="2"/>
          <w:lang w:val="en-US" w:eastAsia="zh-CN"/>
        </w:rPr>
        <w:t>67</w:t>
      </w:r>
      <w:r w:rsidRPr="00CE170C">
        <w:rPr>
          <w:rFonts w:ascii="Book Antiqua" w:eastAsia="等线" w:hAnsi="Book Antiqua" w:cs="Times New Roman"/>
          <w:kern w:val="2"/>
          <w:lang w:val="en-US" w:eastAsia="zh-CN"/>
        </w:rPr>
        <w:t>: 1757-1768 [PMID: 29691276 DOI: 10.1136/gutjnl-2018-316276]</w:t>
      </w:r>
    </w:p>
    <w:p w14:paraId="32235D43" w14:textId="6E382597" w:rsidR="005A3E74" w:rsidRDefault="00CE170C" w:rsidP="005A3E74">
      <w:pPr>
        <w:widowControl w:val="0"/>
        <w:spacing w:line="360" w:lineRule="auto"/>
        <w:jc w:val="both"/>
        <w:rPr>
          <w:rFonts w:ascii="Book Antiqua" w:eastAsia="等线" w:hAnsi="Book Antiqua" w:cs="Times New Roman"/>
          <w:kern w:val="2"/>
          <w:lang w:val="en-US" w:eastAsia="zh-CN"/>
        </w:rPr>
      </w:pPr>
      <w:r w:rsidRPr="00CE170C">
        <w:rPr>
          <w:rFonts w:ascii="Book Antiqua" w:eastAsia="等线" w:hAnsi="Book Antiqua" w:cs="Times New Roman"/>
          <w:kern w:val="2"/>
          <w:lang w:val="en-US" w:eastAsia="zh-CN"/>
        </w:rPr>
        <w:lastRenderedPageBreak/>
        <w:t xml:space="preserve">17 </w:t>
      </w:r>
      <w:r w:rsidRPr="00CE170C">
        <w:rPr>
          <w:rFonts w:ascii="Book Antiqua" w:eastAsia="等线" w:hAnsi="Book Antiqua" w:cs="Times New Roman"/>
          <w:b/>
          <w:kern w:val="2"/>
          <w:lang w:val="en-US" w:eastAsia="zh-CN"/>
        </w:rPr>
        <w:t>Hagel AF</w:t>
      </w:r>
      <w:r w:rsidRPr="00CE170C">
        <w:rPr>
          <w:rFonts w:ascii="Book Antiqua" w:eastAsia="等线" w:hAnsi="Book Antiqua" w:cs="Times New Roman"/>
          <w:kern w:val="2"/>
          <w:lang w:val="en-US" w:eastAsia="zh-CN"/>
        </w:rPr>
        <w:t xml:space="preserve">, Albrecht H, Nägel A, Vitali F, Vetter M, Dauth C, Neurath MF, Raithel M. The Application of Hemospray in Gastrointestinal Bleeding during Emergency Endoscopy. </w:t>
      </w:r>
      <w:r w:rsidRPr="00CE170C">
        <w:rPr>
          <w:rFonts w:ascii="Book Antiqua" w:eastAsia="等线" w:hAnsi="Book Antiqua" w:cs="Times New Roman"/>
          <w:i/>
          <w:kern w:val="2"/>
          <w:lang w:val="en-US" w:eastAsia="zh-CN"/>
        </w:rPr>
        <w:t>Gastroenterol Res Pract</w:t>
      </w:r>
      <w:r w:rsidRPr="00CE170C">
        <w:rPr>
          <w:rFonts w:ascii="Book Antiqua" w:eastAsia="等线" w:hAnsi="Book Antiqua" w:cs="Times New Roman"/>
          <w:kern w:val="2"/>
          <w:lang w:val="en-US" w:eastAsia="zh-CN"/>
        </w:rPr>
        <w:t xml:space="preserve"> 2017; </w:t>
      </w:r>
      <w:r w:rsidRPr="00CE170C">
        <w:rPr>
          <w:rFonts w:ascii="Book Antiqua" w:eastAsia="等线" w:hAnsi="Book Antiqua" w:cs="Times New Roman"/>
          <w:b/>
          <w:kern w:val="2"/>
          <w:lang w:val="en-US" w:eastAsia="zh-CN"/>
        </w:rPr>
        <w:t>2017</w:t>
      </w:r>
      <w:r w:rsidRPr="00CE170C">
        <w:rPr>
          <w:rFonts w:ascii="Book Antiqua" w:eastAsia="等线" w:hAnsi="Book Antiqua" w:cs="Times New Roman"/>
          <w:kern w:val="2"/>
          <w:lang w:val="en-US" w:eastAsia="zh-CN"/>
        </w:rPr>
        <w:t>: 3083481 [PMID: 28232848 DOI: 10.1155/2017/3083481]</w:t>
      </w:r>
    </w:p>
    <w:p w14:paraId="7B0708EA" w14:textId="35B45EEB" w:rsidR="00F201D2" w:rsidRDefault="00F201D2" w:rsidP="005A3E74">
      <w:pPr>
        <w:widowControl w:val="0"/>
        <w:spacing w:line="360" w:lineRule="auto"/>
        <w:jc w:val="both"/>
        <w:rPr>
          <w:rFonts w:ascii="Book Antiqua" w:eastAsia="等线" w:hAnsi="Book Antiqua" w:cs="Times New Roman"/>
          <w:kern w:val="2"/>
          <w:lang w:val="en-US" w:eastAsia="zh-CN"/>
        </w:rPr>
      </w:pPr>
    </w:p>
    <w:p w14:paraId="56534829" w14:textId="307ED173" w:rsidR="00F201D2" w:rsidRPr="00F201D2" w:rsidRDefault="00F201D2" w:rsidP="00F201D2">
      <w:pPr>
        <w:widowControl w:val="0"/>
        <w:spacing w:line="360" w:lineRule="auto"/>
        <w:jc w:val="right"/>
        <w:rPr>
          <w:rFonts w:ascii="Book Antiqua" w:hAnsi="Book Antiqua" w:cs="Courier New"/>
          <w:b/>
          <w:kern w:val="2"/>
          <w:lang w:val="en-US" w:eastAsia="zh-CN"/>
        </w:rPr>
      </w:pPr>
      <w:r w:rsidRPr="00F201D2">
        <w:rPr>
          <w:rFonts w:ascii="Book Antiqua" w:hAnsi="Book Antiqua" w:cs="Courier New"/>
          <w:b/>
          <w:kern w:val="2"/>
          <w:lang w:val="en-US" w:eastAsia="zh-CN"/>
        </w:rPr>
        <w:t xml:space="preserve">P-Reviewer: </w:t>
      </w:r>
      <w:r w:rsidR="00706108" w:rsidRPr="00706108">
        <w:rPr>
          <w:rFonts w:ascii="Book Antiqua" w:hAnsi="Book Antiqua" w:cs="Courier New"/>
          <w:color w:val="000000"/>
          <w:kern w:val="2"/>
          <w:lang w:val="en-US" w:eastAsia="zh-CN"/>
        </w:rPr>
        <w:t>Zielinski</w:t>
      </w:r>
      <w:r w:rsidR="00706108">
        <w:rPr>
          <w:rFonts w:ascii="Book Antiqua" w:hAnsi="Book Antiqua" w:cs="Courier New"/>
          <w:color w:val="000000"/>
          <w:kern w:val="2"/>
          <w:lang w:val="en-US" w:eastAsia="zh-CN"/>
        </w:rPr>
        <w:t xml:space="preserve"> J</w:t>
      </w:r>
      <w:r w:rsidRPr="00F201D2">
        <w:rPr>
          <w:rFonts w:ascii="Book Antiqua" w:hAnsi="Book Antiqua" w:cs="Courier New"/>
          <w:color w:val="000000"/>
          <w:kern w:val="2"/>
          <w:lang w:val="en-US" w:eastAsia="zh-CN"/>
        </w:rPr>
        <w:t xml:space="preserve"> </w:t>
      </w:r>
      <w:r w:rsidRPr="00F201D2">
        <w:rPr>
          <w:rFonts w:ascii="Book Antiqua" w:hAnsi="Book Antiqua" w:cs="Courier New"/>
          <w:b/>
          <w:kern w:val="2"/>
          <w:lang w:val="en-US" w:eastAsia="zh-CN"/>
        </w:rPr>
        <w:t xml:space="preserve">S-Editor: </w:t>
      </w:r>
      <w:r w:rsidRPr="00F201D2">
        <w:rPr>
          <w:rFonts w:ascii="Book Antiqua" w:hAnsi="Book Antiqua" w:cs="Courier New"/>
          <w:kern w:val="2"/>
          <w:lang w:val="en-US" w:eastAsia="zh-CN"/>
        </w:rPr>
        <w:t>Cui LJ</w:t>
      </w:r>
      <w:r w:rsidRPr="00F201D2">
        <w:rPr>
          <w:rFonts w:ascii="Book Antiqua" w:hAnsi="Book Antiqua" w:cs="Courier New"/>
          <w:b/>
          <w:kern w:val="2"/>
          <w:lang w:val="en-US" w:eastAsia="zh-CN"/>
        </w:rPr>
        <w:t xml:space="preserve"> L-Editor: E-Editor: </w:t>
      </w:r>
    </w:p>
    <w:p w14:paraId="54043618" w14:textId="77777777" w:rsidR="00F201D2" w:rsidRPr="00F201D2" w:rsidRDefault="00F201D2" w:rsidP="00F201D2">
      <w:pPr>
        <w:widowControl w:val="0"/>
        <w:spacing w:line="360" w:lineRule="auto"/>
        <w:jc w:val="both"/>
        <w:rPr>
          <w:rFonts w:ascii="Book Antiqua" w:hAnsi="Book Antiqua" w:cs="Courier New"/>
          <w:b/>
          <w:kern w:val="2"/>
          <w:lang w:val="en-US" w:eastAsia="zh-CN"/>
        </w:rPr>
      </w:pPr>
      <w:r w:rsidRPr="00F201D2">
        <w:rPr>
          <w:rFonts w:ascii="Book Antiqua" w:hAnsi="Book Antiqua" w:cs="Courier New"/>
          <w:b/>
          <w:kern w:val="2"/>
          <w:lang w:val="en-US" w:eastAsia="zh-CN"/>
        </w:rPr>
        <w:t xml:space="preserve"> </w:t>
      </w:r>
    </w:p>
    <w:p w14:paraId="409C1175" w14:textId="77777777" w:rsidR="00F201D2" w:rsidRPr="00F201D2" w:rsidRDefault="00F201D2" w:rsidP="00F201D2">
      <w:pPr>
        <w:snapToGrid w:val="0"/>
        <w:spacing w:line="360" w:lineRule="auto"/>
        <w:jc w:val="both"/>
        <w:rPr>
          <w:rFonts w:ascii="Book Antiqua" w:hAnsi="Book Antiqua" w:cs="Helvetica"/>
          <w:b/>
          <w:lang w:val="en-US" w:eastAsia="zh-CN"/>
        </w:rPr>
      </w:pPr>
      <w:r w:rsidRPr="00F201D2">
        <w:rPr>
          <w:rFonts w:ascii="Book Antiqua" w:hAnsi="Book Antiqua" w:cs="Helvetica"/>
          <w:b/>
          <w:lang w:val="en-US" w:eastAsia="zh-CN"/>
        </w:rPr>
        <w:t xml:space="preserve">Specialty type: </w:t>
      </w:r>
      <w:r w:rsidRPr="00F201D2">
        <w:rPr>
          <w:rFonts w:ascii="Book Antiqua" w:eastAsia="微软雅黑" w:hAnsi="Book Antiqua" w:cs="宋体"/>
          <w:lang w:val="en-US" w:eastAsia="zh-CN"/>
        </w:rPr>
        <w:t>Medicine, research and experimental</w:t>
      </w:r>
    </w:p>
    <w:p w14:paraId="3E568E12" w14:textId="0060CB54" w:rsidR="00F201D2" w:rsidRPr="00F201D2" w:rsidRDefault="00F201D2" w:rsidP="00F201D2">
      <w:pPr>
        <w:snapToGrid w:val="0"/>
        <w:spacing w:line="360" w:lineRule="auto"/>
        <w:jc w:val="both"/>
        <w:rPr>
          <w:rFonts w:ascii="Book Antiqua" w:hAnsi="Book Antiqua" w:cs="Helvetica"/>
          <w:b/>
          <w:lang w:val="en-US" w:eastAsia="zh-CN"/>
        </w:rPr>
      </w:pPr>
      <w:r w:rsidRPr="00F201D2">
        <w:rPr>
          <w:rFonts w:ascii="Book Antiqua" w:hAnsi="Book Antiqua" w:cs="Helvetica"/>
          <w:b/>
          <w:lang w:val="en-US" w:eastAsia="zh-CN"/>
        </w:rPr>
        <w:t xml:space="preserve">Country of origin: </w:t>
      </w:r>
      <w:r w:rsidR="00706108" w:rsidRPr="00706108">
        <w:rPr>
          <w:rFonts w:ascii="Book Antiqua" w:hAnsi="Book Antiqua" w:cs="Times New Roman"/>
          <w:lang w:val="en-US" w:eastAsia="zh-CN"/>
        </w:rPr>
        <w:t>United States</w:t>
      </w:r>
    </w:p>
    <w:p w14:paraId="199516D8" w14:textId="77777777" w:rsidR="00F201D2" w:rsidRPr="00F201D2" w:rsidRDefault="00F201D2" w:rsidP="00F201D2">
      <w:pPr>
        <w:snapToGrid w:val="0"/>
        <w:spacing w:line="360" w:lineRule="auto"/>
        <w:jc w:val="both"/>
        <w:rPr>
          <w:rFonts w:ascii="Book Antiqua" w:hAnsi="Book Antiqua" w:cs="Helvetica"/>
          <w:b/>
          <w:lang w:val="en-US" w:eastAsia="zh-CN"/>
        </w:rPr>
      </w:pPr>
      <w:r w:rsidRPr="00F201D2">
        <w:rPr>
          <w:rFonts w:ascii="Book Antiqua" w:hAnsi="Book Antiqua" w:cs="Helvetica"/>
          <w:b/>
          <w:lang w:val="en-US" w:eastAsia="zh-CN"/>
        </w:rPr>
        <w:t>Peer-review report classification</w:t>
      </w:r>
    </w:p>
    <w:p w14:paraId="079A08D4" w14:textId="77777777" w:rsidR="00F201D2" w:rsidRPr="00F201D2" w:rsidRDefault="00F201D2" w:rsidP="00F201D2">
      <w:pPr>
        <w:snapToGrid w:val="0"/>
        <w:spacing w:line="360" w:lineRule="auto"/>
        <w:jc w:val="both"/>
        <w:rPr>
          <w:rFonts w:ascii="Book Antiqua" w:hAnsi="Book Antiqua" w:cs="Helvetica"/>
          <w:lang w:val="en-US" w:eastAsia="zh-CN"/>
        </w:rPr>
      </w:pPr>
      <w:r w:rsidRPr="00F201D2">
        <w:rPr>
          <w:rFonts w:ascii="Book Antiqua" w:hAnsi="Book Antiqua" w:cs="Helvetica"/>
          <w:lang w:val="en-US" w:eastAsia="zh-CN"/>
        </w:rPr>
        <w:t>Grade A (Excellent): 0</w:t>
      </w:r>
    </w:p>
    <w:p w14:paraId="3B5174DF" w14:textId="77777777" w:rsidR="00F201D2" w:rsidRPr="00F201D2" w:rsidRDefault="00F201D2" w:rsidP="00F201D2">
      <w:pPr>
        <w:snapToGrid w:val="0"/>
        <w:spacing w:line="360" w:lineRule="auto"/>
        <w:jc w:val="both"/>
        <w:rPr>
          <w:rFonts w:ascii="Book Antiqua" w:hAnsi="Book Antiqua" w:cs="Helvetica"/>
          <w:lang w:val="en-US" w:eastAsia="zh-CN"/>
        </w:rPr>
      </w:pPr>
      <w:r w:rsidRPr="00F201D2">
        <w:rPr>
          <w:rFonts w:ascii="Book Antiqua" w:hAnsi="Book Antiqua" w:cs="Helvetica"/>
          <w:lang w:val="en-US" w:eastAsia="zh-CN"/>
        </w:rPr>
        <w:t>Grade B (Very good): B</w:t>
      </w:r>
    </w:p>
    <w:p w14:paraId="3EFD7045" w14:textId="77777777" w:rsidR="00F201D2" w:rsidRPr="00F201D2" w:rsidRDefault="00F201D2" w:rsidP="00F201D2">
      <w:pPr>
        <w:snapToGrid w:val="0"/>
        <w:spacing w:line="360" w:lineRule="auto"/>
        <w:jc w:val="both"/>
        <w:rPr>
          <w:rFonts w:ascii="Book Antiqua" w:hAnsi="Book Antiqua" w:cs="Helvetica"/>
          <w:lang w:val="en-US" w:eastAsia="zh-CN"/>
        </w:rPr>
      </w:pPr>
      <w:r w:rsidRPr="00F201D2">
        <w:rPr>
          <w:rFonts w:ascii="Book Antiqua" w:hAnsi="Book Antiqua" w:cs="Helvetica"/>
          <w:lang w:val="en-US" w:eastAsia="zh-CN"/>
        </w:rPr>
        <w:t>Grade C (Good): 0</w:t>
      </w:r>
    </w:p>
    <w:p w14:paraId="1BC8D811" w14:textId="77777777" w:rsidR="00F201D2" w:rsidRPr="00F201D2" w:rsidRDefault="00F201D2" w:rsidP="00F201D2">
      <w:pPr>
        <w:snapToGrid w:val="0"/>
        <w:spacing w:line="360" w:lineRule="auto"/>
        <w:jc w:val="both"/>
        <w:rPr>
          <w:rFonts w:ascii="Book Antiqua" w:hAnsi="Book Antiqua" w:cs="Helvetica"/>
          <w:lang w:val="en-US" w:eastAsia="zh-CN"/>
        </w:rPr>
      </w:pPr>
      <w:r w:rsidRPr="00F201D2">
        <w:rPr>
          <w:rFonts w:ascii="Book Antiqua" w:hAnsi="Book Antiqua" w:cs="Helvetica"/>
          <w:lang w:val="en-US" w:eastAsia="zh-CN"/>
        </w:rPr>
        <w:t xml:space="preserve">Grade D (Fair): 0 </w:t>
      </w:r>
    </w:p>
    <w:p w14:paraId="63AA2D05" w14:textId="6C74C69D" w:rsidR="00F201D2" w:rsidRPr="00933CB7" w:rsidRDefault="00F201D2" w:rsidP="00933CB7">
      <w:pPr>
        <w:autoSpaceDE w:val="0"/>
        <w:autoSpaceDN w:val="0"/>
        <w:adjustRightInd w:val="0"/>
        <w:spacing w:line="360" w:lineRule="auto"/>
        <w:jc w:val="both"/>
        <w:rPr>
          <w:rFonts w:ascii="Book Antiqua" w:hAnsi="Book Antiqua" w:cs="Times New Roman"/>
          <w:lang w:val="en-US" w:eastAsia="zh-CN"/>
        </w:rPr>
      </w:pPr>
      <w:r w:rsidRPr="00F201D2">
        <w:rPr>
          <w:rFonts w:ascii="Book Antiqua" w:hAnsi="Book Antiqua" w:cs="Helvetica"/>
          <w:lang w:val="en-US" w:eastAsia="zh-CN"/>
        </w:rPr>
        <w:t>Grade E (Poor): 0</w:t>
      </w:r>
    </w:p>
    <w:p w14:paraId="359B0485" w14:textId="77777777" w:rsidR="005A3E74" w:rsidRDefault="005A3E74">
      <w:pPr>
        <w:rPr>
          <w:rFonts w:ascii="Book Antiqua" w:eastAsia="等线" w:hAnsi="Book Antiqua" w:cs="Times New Roman"/>
          <w:kern w:val="2"/>
          <w:lang w:val="en-US" w:eastAsia="zh-CN"/>
        </w:rPr>
      </w:pPr>
      <w:r>
        <w:rPr>
          <w:rFonts w:ascii="Book Antiqua" w:eastAsia="等线" w:hAnsi="Book Antiqua" w:cs="Times New Roman"/>
          <w:kern w:val="2"/>
          <w:lang w:val="en-US" w:eastAsia="zh-CN"/>
        </w:rPr>
        <w:br w:type="page"/>
      </w:r>
    </w:p>
    <w:p w14:paraId="1B6F5371" w14:textId="11BDB37A" w:rsidR="002B6DB7" w:rsidRPr="00CE170C" w:rsidRDefault="002B6DB7" w:rsidP="005A3E74">
      <w:pPr>
        <w:widowControl w:val="0"/>
        <w:spacing w:line="360" w:lineRule="auto"/>
        <w:jc w:val="both"/>
        <w:rPr>
          <w:rFonts w:ascii="Book Antiqua" w:eastAsia="Times New Roman" w:hAnsi="Book Antiqua" w:cs="Arial"/>
        </w:rPr>
      </w:pPr>
      <w:r w:rsidRPr="00CE170C">
        <w:rPr>
          <w:rFonts w:ascii="Book Antiqua" w:eastAsia="Times New Roman" w:hAnsi="Book Antiqua" w:cs="Arial"/>
          <w:noProof/>
          <w:lang w:val="en-US" w:eastAsia="zh-CN"/>
        </w:rPr>
        <w:lastRenderedPageBreak/>
        <w:drawing>
          <wp:inline distT="0" distB="0" distL="0" distR="0" wp14:anchorId="6737A440" wp14:editId="1C47E868">
            <wp:extent cx="2818851" cy="2255081"/>
            <wp:effectExtent l="0" t="0" r="635"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8358" cy="2262687"/>
                    </a:xfrm>
                    <a:prstGeom prst="rect">
                      <a:avLst/>
                    </a:prstGeom>
                  </pic:spPr>
                </pic:pic>
              </a:graphicData>
            </a:graphic>
          </wp:inline>
        </w:drawing>
      </w:r>
    </w:p>
    <w:p w14:paraId="18E0CBED" w14:textId="1B5913D5" w:rsidR="002B6DB7" w:rsidRPr="00716EB4" w:rsidRDefault="002B6DB7" w:rsidP="00CE170C">
      <w:pPr>
        <w:autoSpaceDE w:val="0"/>
        <w:autoSpaceDN w:val="0"/>
        <w:adjustRightInd w:val="0"/>
        <w:snapToGrid w:val="0"/>
        <w:spacing w:line="360" w:lineRule="auto"/>
        <w:jc w:val="both"/>
        <w:rPr>
          <w:rFonts w:ascii="Book Antiqua" w:eastAsia="Times New Roman" w:hAnsi="Book Antiqua" w:cs="Arial"/>
          <w:b/>
          <w:lang w:val="en-US"/>
        </w:rPr>
      </w:pPr>
      <w:r w:rsidRPr="00716EB4">
        <w:rPr>
          <w:rFonts w:ascii="Book Antiqua" w:eastAsia="Times New Roman" w:hAnsi="Book Antiqua" w:cs="Arial"/>
          <w:b/>
          <w:lang w:val="en-US"/>
        </w:rPr>
        <w:t>Figure 1</w:t>
      </w:r>
      <w:r w:rsidR="005A3E74" w:rsidRPr="00716EB4">
        <w:rPr>
          <w:rFonts w:ascii="Book Antiqua" w:eastAsia="Times New Roman" w:hAnsi="Book Antiqua" w:cs="Arial"/>
          <w:b/>
          <w:lang w:val="en-US"/>
        </w:rPr>
        <w:t xml:space="preserve"> </w:t>
      </w:r>
      <w:r w:rsidRPr="00716EB4">
        <w:rPr>
          <w:rFonts w:ascii="Book Antiqua" w:eastAsia="Times New Roman" w:hAnsi="Book Antiqua" w:cs="Arial"/>
          <w:b/>
          <w:lang w:val="en-US"/>
        </w:rPr>
        <w:t xml:space="preserve">Dilated </w:t>
      </w:r>
      <w:r w:rsidR="00716EB4" w:rsidRPr="00716EB4">
        <w:rPr>
          <w:rFonts w:ascii="Book Antiqua" w:hAnsi="Book Antiqua"/>
          <w:b/>
          <w:lang w:val="en-US"/>
        </w:rPr>
        <w:t>gastric-jejunal anastomosis</w:t>
      </w:r>
      <w:r w:rsidRPr="00716EB4">
        <w:rPr>
          <w:rFonts w:ascii="Book Antiqua" w:eastAsia="Times New Roman" w:hAnsi="Book Antiqua" w:cs="Arial"/>
          <w:b/>
          <w:lang w:val="en-US"/>
        </w:rPr>
        <w:t xml:space="preserve"> prior to endoscopic treatment for weight regain</w:t>
      </w:r>
      <w:r w:rsidR="00716EB4" w:rsidRPr="00716EB4">
        <w:rPr>
          <w:rFonts w:ascii="Book Antiqua" w:eastAsia="Times New Roman" w:hAnsi="Book Antiqua" w:cs="Arial"/>
          <w:b/>
          <w:lang w:val="en-US"/>
        </w:rPr>
        <w:t>.</w:t>
      </w:r>
    </w:p>
    <w:p w14:paraId="39F504BB" w14:textId="77777777" w:rsidR="005A3E74" w:rsidRDefault="005A3E74">
      <w:pPr>
        <w:rPr>
          <w:rFonts w:ascii="Book Antiqua" w:eastAsia="Times New Roman" w:hAnsi="Book Antiqua" w:cs="Arial"/>
          <w:lang w:val="en-US"/>
        </w:rPr>
      </w:pPr>
      <w:r>
        <w:rPr>
          <w:rFonts w:ascii="Book Antiqua" w:eastAsia="Times New Roman" w:hAnsi="Book Antiqua" w:cs="Arial"/>
          <w:lang w:val="en-US"/>
        </w:rPr>
        <w:br w:type="page"/>
      </w:r>
    </w:p>
    <w:p w14:paraId="25770B32" w14:textId="1E12169E" w:rsidR="002B6DB7" w:rsidRPr="00CE170C" w:rsidRDefault="002B6DB7" w:rsidP="00716EB4">
      <w:pPr>
        <w:autoSpaceDE w:val="0"/>
        <w:autoSpaceDN w:val="0"/>
        <w:adjustRightInd w:val="0"/>
        <w:snapToGrid w:val="0"/>
        <w:spacing w:line="360" w:lineRule="auto"/>
        <w:jc w:val="center"/>
        <w:rPr>
          <w:rFonts w:ascii="Book Antiqua" w:eastAsia="Times New Roman" w:hAnsi="Book Antiqua" w:cs="Arial"/>
        </w:rPr>
      </w:pPr>
      <w:r w:rsidRPr="00CE170C">
        <w:rPr>
          <w:rFonts w:ascii="Book Antiqua" w:eastAsia="Times New Roman" w:hAnsi="Book Antiqua" w:cs="Arial"/>
          <w:noProof/>
          <w:lang w:val="en-US" w:eastAsia="zh-CN"/>
        </w:rPr>
        <w:lastRenderedPageBreak/>
        <w:drawing>
          <wp:inline distT="0" distB="0" distL="0" distR="0" wp14:anchorId="4425707C" wp14:editId="10746043">
            <wp:extent cx="2906716" cy="2272579"/>
            <wp:effectExtent l="0" t="0" r="1905"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6028" cy="2303314"/>
                    </a:xfrm>
                    <a:prstGeom prst="rect">
                      <a:avLst/>
                    </a:prstGeom>
                  </pic:spPr>
                </pic:pic>
              </a:graphicData>
            </a:graphic>
          </wp:inline>
        </w:drawing>
      </w:r>
    </w:p>
    <w:p w14:paraId="47D1A9BA" w14:textId="7B76F7EC" w:rsidR="005A3E74" w:rsidRPr="00716EB4" w:rsidRDefault="002B6DB7" w:rsidP="00CE170C">
      <w:pPr>
        <w:autoSpaceDE w:val="0"/>
        <w:autoSpaceDN w:val="0"/>
        <w:adjustRightInd w:val="0"/>
        <w:snapToGrid w:val="0"/>
        <w:spacing w:line="360" w:lineRule="auto"/>
        <w:jc w:val="both"/>
        <w:rPr>
          <w:rFonts w:ascii="Book Antiqua" w:eastAsia="Times New Roman" w:hAnsi="Book Antiqua" w:cs="Arial"/>
          <w:b/>
          <w:lang w:val="en-US"/>
        </w:rPr>
      </w:pPr>
      <w:r w:rsidRPr="00716EB4">
        <w:rPr>
          <w:rFonts w:ascii="Book Antiqua" w:eastAsia="Times New Roman" w:hAnsi="Book Antiqua" w:cs="Arial"/>
          <w:b/>
          <w:lang w:val="en-US"/>
        </w:rPr>
        <w:t>Figure 2</w:t>
      </w:r>
      <w:r w:rsidR="00716EB4">
        <w:rPr>
          <w:rFonts w:ascii="Book Antiqua" w:eastAsia="Times New Roman" w:hAnsi="Book Antiqua" w:cs="Arial"/>
          <w:b/>
          <w:lang w:val="en-US"/>
        </w:rPr>
        <w:t xml:space="preserve"> </w:t>
      </w:r>
      <w:r w:rsidR="00716EB4" w:rsidRPr="00716EB4">
        <w:rPr>
          <w:rFonts w:ascii="Book Antiqua" w:hAnsi="Book Antiqua"/>
          <w:b/>
          <w:lang w:val="en-US"/>
        </w:rPr>
        <w:t>Gastric-jejunal anastomosis</w:t>
      </w:r>
      <w:r w:rsidRPr="00716EB4">
        <w:rPr>
          <w:rFonts w:ascii="Book Antiqua" w:eastAsia="Times New Roman" w:hAnsi="Book Antiqua" w:cs="Arial"/>
          <w:b/>
          <w:lang w:val="en-US"/>
        </w:rPr>
        <w:t xml:space="preserve"> following </w:t>
      </w:r>
      <w:r w:rsidR="00716EB4" w:rsidRPr="00716EB4">
        <w:rPr>
          <w:rFonts w:ascii="Book Antiqua" w:hAnsi="Book Antiqua"/>
          <w:b/>
          <w:lang w:val="en-US"/>
        </w:rPr>
        <w:t>argon plasma coagulation</w:t>
      </w:r>
      <w:r w:rsidRPr="00716EB4">
        <w:rPr>
          <w:rFonts w:ascii="Book Antiqua" w:eastAsia="Times New Roman" w:hAnsi="Book Antiqua" w:cs="Arial"/>
          <w:b/>
          <w:lang w:val="en-US"/>
        </w:rPr>
        <w:t xml:space="preserve"> treatment for weight regain</w:t>
      </w:r>
      <w:r w:rsidR="00716EB4">
        <w:rPr>
          <w:rFonts w:ascii="Book Antiqua" w:eastAsia="Times New Roman" w:hAnsi="Book Antiqua" w:cs="Arial"/>
          <w:b/>
          <w:lang w:val="en-US"/>
        </w:rPr>
        <w:t>.</w:t>
      </w:r>
    </w:p>
    <w:p w14:paraId="4C284C25" w14:textId="77777777" w:rsidR="005A3E74" w:rsidRDefault="005A3E74">
      <w:pPr>
        <w:rPr>
          <w:rFonts w:ascii="Book Antiqua" w:eastAsia="Times New Roman" w:hAnsi="Book Antiqua" w:cs="Arial"/>
          <w:lang w:val="en-US"/>
        </w:rPr>
      </w:pPr>
      <w:r>
        <w:rPr>
          <w:rFonts w:ascii="Book Antiqua" w:eastAsia="Times New Roman" w:hAnsi="Book Antiqua" w:cs="Arial"/>
          <w:lang w:val="en-US"/>
        </w:rPr>
        <w:br w:type="page"/>
      </w:r>
    </w:p>
    <w:p w14:paraId="6D1551B8" w14:textId="77777777" w:rsidR="002B6DB7" w:rsidRPr="00CE170C" w:rsidRDefault="002B6DB7" w:rsidP="00CE170C">
      <w:pPr>
        <w:autoSpaceDE w:val="0"/>
        <w:autoSpaceDN w:val="0"/>
        <w:adjustRightInd w:val="0"/>
        <w:snapToGrid w:val="0"/>
        <w:spacing w:line="360" w:lineRule="auto"/>
        <w:jc w:val="both"/>
        <w:rPr>
          <w:rFonts w:ascii="Book Antiqua" w:eastAsia="Times New Roman" w:hAnsi="Book Antiqua" w:cs="Arial"/>
          <w:lang w:val="en-US"/>
        </w:rPr>
      </w:pPr>
    </w:p>
    <w:p w14:paraId="516929B9" w14:textId="77777777" w:rsidR="002B6DB7" w:rsidRPr="00CE170C" w:rsidRDefault="002B6DB7" w:rsidP="00CE170C">
      <w:pPr>
        <w:autoSpaceDE w:val="0"/>
        <w:autoSpaceDN w:val="0"/>
        <w:adjustRightInd w:val="0"/>
        <w:snapToGrid w:val="0"/>
        <w:spacing w:line="360" w:lineRule="auto"/>
        <w:jc w:val="center"/>
        <w:rPr>
          <w:rFonts w:ascii="Book Antiqua" w:eastAsia="Times New Roman" w:hAnsi="Book Antiqua" w:cs="Arial"/>
          <w:lang w:val="en-US"/>
        </w:rPr>
      </w:pPr>
    </w:p>
    <w:p w14:paraId="4A72804A" w14:textId="12660D2B" w:rsidR="002B6DB7" w:rsidRPr="00CE170C" w:rsidRDefault="002B6DB7" w:rsidP="00CE170C">
      <w:pPr>
        <w:autoSpaceDE w:val="0"/>
        <w:autoSpaceDN w:val="0"/>
        <w:adjustRightInd w:val="0"/>
        <w:snapToGrid w:val="0"/>
        <w:spacing w:line="360" w:lineRule="auto"/>
        <w:jc w:val="center"/>
        <w:rPr>
          <w:rFonts w:ascii="Book Antiqua" w:eastAsia="Times New Roman" w:hAnsi="Book Antiqua" w:cs="Arial"/>
        </w:rPr>
      </w:pPr>
      <w:r w:rsidRPr="00CE170C">
        <w:rPr>
          <w:rFonts w:ascii="Book Antiqua" w:eastAsia="Times New Roman" w:hAnsi="Book Antiqua" w:cs="Arial"/>
          <w:noProof/>
          <w:lang w:val="en-US" w:eastAsia="zh-CN"/>
        </w:rPr>
        <w:drawing>
          <wp:inline distT="0" distB="0" distL="0" distR="0" wp14:anchorId="544504AC" wp14:editId="42792CD1">
            <wp:extent cx="3327316" cy="2539269"/>
            <wp:effectExtent l="0" t="0" r="635" b="12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6418" cy="2553847"/>
                    </a:xfrm>
                    <a:prstGeom prst="rect">
                      <a:avLst/>
                    </a:prstGeom>
                  </pic:spPr>
                </pic:pic>
              </a:graphicData>
            </a:graphic>
          </wp:inline>
        </w:drawing>
      </w:r>
    </w:p>
    <w:p w14:paraId="25B067CF" w14:textId="5C7EBC4E" w:rsidR="002B6DB7" w:rsidRPr="007C4A3D" w:rsidRDefault="002B6DB7" w:rsidP="00CE170C">
      <w:pPr>
        <w:autoSpaceDE w:val="0"/>
        <w:autoSpaceDN w:val="0"/>
        <w:adjustRightInd w:val="0"/>
        <w:snapToGrid w:val="0"/>
        <w:spacing w:line="360" w:lineRule="auto"/>
        <w:jc w:val="both"/>
        <w:rPr>
          <w:rFonts w:ascii="Book Antiqua" w:hAnsi="Book Antiqua" w:cs="Arial"/>
          <w:b/>
          <w:lang w:val="en-US" w:eastAsia="zh-TW"/>
        </w:rPr>
      </w:pPr>
      <w:r w:rsidRPr="007C4A3D">
        <w:rPr>
          <w:rFonts w:ascii="Book Antiqua" w:hAnsi="Book Antiqua" w:cs="Arial"/>
          <w:b/>
          <w:lang w:val="en-US" w:eastAsia="zh-TW"/>
        </w:rPr>
        <w:t>Figure 3</w:t>
      </w:r>
      <w:r w:rsidR="007C4A3D" w:rsidRPr="007C4A3D">
        <w:rPr>
          <w:rFonts w:ascii="Book Antiqua" w:hAnsi="Book Antiqua" w:cs="Arial"/>
          <w:b/>
          <w:lang w:val="en-US" w:eastAsia="zh-TW"/>
        </w:rPr>
        <w:t xml:space="preserve"> </w:t>
      </w:r>
      <w:r w:rsidRPr="007C4A3D">
        <w:rPr>
          <w:rFonts w:ascii="Book Antiqua" w:hAnsi="Book Antiqua" w:cs="Arial"/>
          <w:b/>
          <w:lang w:val="en-US" w:eastAsia="zh-TW"/>
        </w:rPr>
        <w:t xml:space="preserve">Circumferential ulceration with one protruding vessel at the anastomotic site one day after </w:t>
      </w:r>
      <w:r w:rsidR="00716EB4" w:rsidRPr="007C4A3D">
        <w:rPr>
          <w:rFonts w:ascii="Book Antiqua" w:hAnsi="Book Antiqua"/>
          <w:b/>
          <w:lang w:val="en-US"/>
        </w:rPr>
        <w:t>argon plasma coagulation</w:t>
      </w:r>
      <w:r w:rsidR="007C4A3D" w:rsidRPr="007C4A3D">
        <w:rPr>
          <w:rFonts w:ascii="Book Antiqua" w:hAnsi="Book Antiqua"/>
          <w:b/>
          <w:lang w:val="en-US"/>
        </w:rPr>
        <w:t>.</w:t>
      </w:r>
    </w:p>
    <w:p w14:paraId="0BCD0DC4" w14:textId="77777777" w:rsidR="007C4A3D" w:rsidRDefault="007C4A3D">
      <w:pPr>
        <w:rPr>
          <w:rFonts w:ascii="Book Antiqua" w:hAnsi="Book Antiqua" w:cs="Arial"/>
          <w:lang w:val="en-US" w:eastAsia="zh-TW"/>
        </w:rPr>
      </w:pPr>
      <w:r>
        <w:rPr>
          <w:rFonts w:ascii="Book Antiqua" w:hAnsi="Book Antiqua" w:cs="Arial"/>
          <w:lang w:val="en-US" w:eastAsia="zh-TW"/>
        </w:rPr>
        <w:br w:type="page"/>
      </w:r>
    </w:p>
    <w:p w14:paraId="24E16A24" w14:textId="050AD654" w:rsidR="002B6DB7" w:rsidRPr="00CE170C" w:rsidRDefault="002B6DB7" w:rsidP="00CE170C">
      <w:pPr>
        <w:autoSpaceDE w:val="0"/>
        <w:autoSpaceDN w:val="0"/>
        <w:adjustRightInd w:val="0"/>
        <w:snapToGrid w:val="0"/>
        <w:spacing w:line="360" w:lineRule="auto"/>
        <w:jc w:val="center"/>
        <w:rPr>
          <w:rFonts w:ascii="Book Antiqua" w:eastAsia="Times New Roman" w:hAnsi="Book Antiqua" w:cs="Arial"/>
        </w:rPr>
      </w:pPr>
      <w:r w:rsidRPr="00CE170C">
        <w:rPr>
          <w:rFonts w:ascii="Book Antiqua" w:eastAsia="Times New Roman" w:hAnsi="Book Antiqua" w:cs="Arial"/>
          <w:noProof/>
          <w:lang w:val="en-US" w:eastAsia="zh-CN"/>
        </w:rPr>
        <w:lastRenderedPageBreak/>
        <w:drawing>
          <wp:inline distT="0" distB="0" distL="0" distR="0" wp14:anchorId="4E7880A7" wp14:editId="0C700A7B">
            <wp:extent cx="3520831" cy="25908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2202" cy="2599168"/>
                    </a:xfrm>
                    <a:prstGeom prst="rect">
                      <a:avLst/>
                    </a:prstGeom>
                  </pic:spPr>
                </pic:pic>
              </a:graphicData>
            </a:graphic>
          </wp:inline>
        </w:drawing>
      </w:r>
    </w:p>
    <w:p w14:paraId="76B1AF3B" w14:textId="35FA39AD" w:rsidR="002B6DB7" w:rsidRPr="007C4A3D" w:rsidRDefault="002B6DB7" w:rsidP="00CE170C">
      <w:pPr>
        <w:autoSpaceDE w:val="0"/>
        <w:autoSpaceDN w:val="0"/>
        <w:adjustRightInd w:val="0"/>
        <w:snapToGrid w:val="0"/>
        <w:spacing w:line="360" w:lineRule="auto"/>
        <w:jc w:val="center"/>
        <w:rPr>
          <w:rFonts w:ascii="Book Antiqua" w:hAnsi="Book Antiqua" w:cs="Arial"/>
          <w:b/>
          <w:lang w:val="en-US" w:eastAsia="zh-TW"/>
        </w:rPr>
      </w:pPr>
      <w:r w:rsidRPr="007C4A3D">
        <w:rPr>
          <w:rFonts w:ascii="Book Antiqua" w:hAnsi="Book Antiqua" w:cs="Arial"/>
          <w:b/>
          <w:lang w:val="en-US" w:eastAsia="zh-TW"/>
        </w:rPr>
        <w:t>Figure 4</w:t>
      </w:r>
      <w:r w:rsidR="007C4A3D">
        <w:rPr>
          <w:rFonts w:ascii="Book Antiqua" w:hAnsi="Book Antiqua" w:cs="Arial"/>
          <w:b/>
          <w:lang w:val="en-US" w:eastAsia="zh-TW"/>
        </w:rPr>
        <w:t xml:space="preserve"> </w:t>
      </w:r>
      <w:r w:rsidRPr="007C4A3D">
        <w:rPr>
          <w:rFonts w:ascii="Book Antiqua" w:hAnsi="Book Antiqua" w:cs="Arial"/>
          <w:b/>
          <w:lang w:val="en-US" w:eastAsia="zh-TW"/>
        </w:rPr>
        <w:t>Spurting vessel was noted after thermal therapy with a Coagrasper</w:t>
      </w:r>
      <w:r w:rsidR="007C4A3D" w:rsidRPr="007C4A3D">
        <w:rPr>
          <w:rFonts w:ascii="Book Antiqua" w:hAnsi="Book Antiqua" w:cs="Arial"/>
          <w:b/>
          <w:lang w:val="en-US" w:eastAsia="zh-TW"/>
        </w:rPr>
        <w:t>.</w:t>
      </w:r>
    </w:p>
    <w:p w14:paraId="5BD9DB61" w14:textId="77777777" w:rsidR="007C4A3D" w:rsidRDefault="007C4A3D">
      <w:pPr>
        <w:rPr>
          <w:rFonts w:ascii="Book Antiqua" w:hAnsi="Book Antiqua" w:cs="Arial"/>
          <w:lang w:val="en-US" w:eastAsia="zh-TW"/>
        </w:rPr>
      </w:pPr>
      <w:r>
        <w:rPr>
          <w:rFonts w:ascii="Book Antiqua" w:hAnsi="Book Antiqua" w:cs="Arial"/>
          <w:lang w:val="en-US" w:eastAsia="zh-TW"/>
        </w:rPr>
        <w:br w:type="page"/>
      </w:r>
    </w:p>
    <w:p w14:paraId="678CC2E4" w14:textId="5BDA9D4F" w:rsidR="002B6DB7" w:rsidRPr="00CE170C" w:rsidRDefault="002B6DB7" w:rsidP="007C4A3D">
      <w:pPr>
        <w:adjustRightInd w:val="0"/>
        <w:snapToGrid w:val="0"/>
        <w:spacing w:line="360" w:lineRule="auto"/>
        <w:jc w:val="center"/>
        <w:rPr>
          <w:rFonts w:ascii="Book Antiqua" w:hAnsi="Book Antiqua" w:cs="Arial"/>
        </w:rPr>
      </w:pPr>
      <w:r w:rsidRPr="00CE170C">
        <w:rPr>
          <w:rFonts w:ascii="Book Antiqua" w:hAnsi="Book Antiqua" w:cs="Arial"/>
          <w:noProof/>
          <w:lang w:val="en-US" w:eastAsia="zh-CN"/>
        </w:rPr>
        <w:lastRenderedPageBreak/>
        <w:drawing>
          <wp:inline distT="0" distB="0" distL="0" distR="0" wp14:anchorId="287EC113" wp14:editId="0EE113E1">
            <wp:extent cx="3637280" cy="2727960"/>
            <wp:effectExtent l="0" t="0" r="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9885" cy="2737414"/>
                    </a:xfrm>
                    <a:prstGeom prst="rect">
                      <a:avLst/>
                    </a:prstGeom>
                  </pic:spPr>
                </pic:pic>
              </a:graphicData>
            </a:graphic>
          </wp:inline>
        </w:drawing>
      </w:r>
    </w:p>
    <w:p w14:paraId="409FE588" w14:textId="4537CFC3" w:rsidR="00C93C7A" w:rsidRPr="00CE170C" w:rsidRDefault="002B6DB7" w:rsidP="007C4A3D">
      <w:pPr>
        <w:adjustRightInd w:val="0"/>
        <w:snapToGrid w:val="0"/>
        <w:spacing w:line="360" w:lineRule="auto"/>
        <w:jc w:val="both"/>
        <w:rPr>
          <w:rFonts w:ascii="Book Antiqua" w:hAnsi="Book Antiqua"/>
          <w:lang w:val="en-US"/>
        </w:rPr>
      </w:pPr>
      <w:r w:rsidRPr="007C4A3D">
        <w:rPr>
          <w:rFonts w:ascii="Book Antiqua" w:hAnsi="Book Antiqua" w:cs="Arial"/>
          <w:b/>
          <w:lang w:val="en-US" w:eastAsia="zh-TW"/>
        </w:rPr>
        <w:t>Figure 5</w:t>
      </w:r>
      <w:r w:rsidR="007C4A3D" w:rsidRPr="007C4A3D">
        <w:rPr>
          <w:rFonts w:ascii="Book Antiqua" w:hAnsi="Book Antiqua" w:cs="Arial"/>
          <w:b/>
          <w:lang w:val="en-US" w:eastAsia="zh-TW"/>
        </w:rPr>
        <w:t xml:space="preserve"> </w:t>
      </w:r>
      <w:r w:rsidRPr="007C4A3D">
        <w:rPr>
          <w:rFonts w:ascii="Book Antiqua" w:hAnsi="Book Antiqua" w:cs="Arial"/>
          <w:b/>
          <w:lang w:val="en-US" w:eastAsia="zh-TW"/>
        </w:rPr>
        <w:t>No residual bleeding following Hemospray</w:t>
      </w:r>
      <w:r w:rsidRPr="007C4A3D">
        <w:rPr>
          <w:rFonts w:ascii="Book Antiqua" w:hAnsi="Book Antiqua" w:cs="Arial"/>
          <w:b/>
          <w:color w:val="222222"/>
          <w:shd w:val="clear" w:color="auto" w:fill="FFFFFF"/>
          <w:lang w:val="en-US"/>
        </w:rPr>
        <w:t>®</w:t>
      </w:r>
      <w:r w:rsidRPr="007C4A3D">
        <w:rPr>
          <w:rFonts w:ascii="Book Antiqua" w:hAnsi="Book Antiqua" w:cs="Arial"/>
          <w:b/>
          <w:lang w:val="en-US" w:eastAsia="zh-TW"/>
        </w:rPr>
        <w:t xml:space="preserve"> with whitish material coverage the ulcer bed</w:t>
      </w:r>
      <w:r w:rsidR="007C4A3D">
        <w:rPr>
          <w:rFonts w:ascii="Book Antiqua" w:hAnsi="Book Antiqua" w:cs="Arial"/>
          <w:b/>
          <w:lang w:val="en-US" w:eastAsia="zh-TW"/>
        </w:rPr>
        <w:t>.</w:t>
      </w:r>
      <w:r w:rsidR="007C4A3D" w:rsidRPr="00CE170C">
        <w:rPr>
          <w:rFonts w:ascii="Book Antiqua" w:hAnsi="Book Antiqua"/>
          <w:lang w:val="en-US"/>
        </w:rPr>
        <w:t xml:space="preserve"> </w:t>
      </w:r>
    </w:p>
    <w:p w14:paraId="096C89B6" w14:textId="07B9AF14" w:rsidR="006E5EBF" w:rsidRPr="00CE170C" w:rsidRDefault="006E5EBF" w:rsidP="00CE170C">
      <w:pPr>
        <w:widowControl w:val="0"/>
        <w:autoSpaceDE w:val="0"/>
        <w:autoSpaceDN w:val="0"/>
        <w:adjustRightInd w:val="0"/>
        <w:snapToGrid w:val="0"/>
        <w:spacing w:line="360" w:lineRule="auto"/>
        <w:jc w:val="both"/>
        <w:rPr>
          <w:rFonts w:ascii="Book Antiqua" w:hAnsi="Book Antiqua"/>
          <w:lang w:val="en-US"/>
        </w:rPr>
      </w:pPr>
    </w:p>
    <w:sectPr w:rsidR="006E5EBF" w:rsidRPr="00CE170C" w:rsidSect="00FF52C8">
      <w:footerReference w:type="even" r:id="rId14"/>
      <w:footerReference w:type="default" r:id="rId15"/>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984531" w14:textId="77777777" w:rsidR="00D56473" w:rsidRDefault="00D56473" w:rsidP="001D2AD8">
      <w:r>
        <w:separator/>
      </w:r>
    </w:p>
  </w:endnote>
  <w:endnote w:type="continuationSeparator" w:id="0">
    <w:p w14:paraId="76514787" w14:textId="77777777" w:rsidR="00D56473" w:rsidRDefault="00D56473" w:rsidP="001D2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Garamond-Bold">
    <w:charset w:val="00"/>
    <w:family w:val="auto"/>
    <w:pitch w:val="default"/>
    <w:sig w:usb0="00000000" w:usb1="00000000" w:usb2="00000000" w:usb3="00000000" w:csb0="0000009F" w:csb1="00000000"/>
  </w:font>
  <w:font w:name="Yu Mincho">
    <w:altName w:val="Yu Gothic UI"/>
    <w:charset w:val="80"/>
    <w:family w:val="roman"/>
    <w:pitch w:val="variable"/>
    <w:sig w:usb0="800002E7" w:usb1="2AC7FCFF" w:usb2="00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3"/>
      </w:rPr>
      <w:id w:val="-2126152024"/>
      <w:docPartObj>
        <w:docPartGallery w:val="Page Numbers (Bottom of Page)"/>
        <w:docPartUnique/>
      </w:docPartObj>
    </w:sdtPr>
    <w:sdtEndPr>
      <w:rPr>
        <w:rStyle w:val="af3"/>
      </w:rPr>
    </w:sdtEndPr>
    <w:sdtContent>
      <w:p w14:paraId="3BB346C8" w14:textId="46C64DC8" w:rsidR="00307735" w:rsidRDefault="00307735" w:rsidP="00A524CE">
        <w:pPr>
          <w:pStyle w:val="af1"/>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end"/>
        </w:r>
      </w:p>
    </w:sdtContent>
  </w:sdt>
  <w:p w14:paraId="024C144C" w14:textId="77777777" w:rsidR="00307735" w:rsidRDefault="00307735" w:rsidP="00307735">
    <w:pPr>
      <w:pStyle w:val="a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3"/>
      </w:rPr>
      <w:id w:val="1066077094"/>
      <w:docPartObj>
        <w:docPartGallery w:val="Page Numbers (Bottom of Page)"/>
        <w:docPartUnique/>
      </w:docPartObj>
    </w:sdtPr>
    <w:sdtEndPr>
      <w:rPr>
        <w:rStyle w:val="af3"/>
      </w:rPr>
    </w:sdtEndPr>
    <w:sdtContent>
      <w:p w14:paraId="06CC9E55" w14:textId="52CCCE3F" w:rsidR="00307735" w:rsidRDefault="00307735" w:rsidP="00A524CE">
        <w:pPr>
          <w:pStyle w:val="af1"/>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separate"/>
        </w:r>
        <w:r w:rsidR="00B6640E">
          <w:rPr>
            <w:rStyle w:val="af3"/>
            <w:noProof/>
          </w:rPr>
          <w:t>18</w:t>
        </w:r>
        <w:r>
          <w:rPr>
            <w:rStyle w:val="af3"/>
          </w:rPr>
          <w:fldChar w:fldCharType="end"/>
        </w:r>
      </w:p>
    </w:sdtContent>
  </w:sdt>
  <w:p w14:paraId="3CB1A9D1" w14:textId="77777777" w:rsidR="00307735" w:rsidRDefault="00307735" w:rsidP="00307735">
    <w:pPr>
      <w:pStyle w:val="af1"/>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505F5A" w14:textId="77777777" w:rsidR="00D56473" w:rsidRDefault="00D56473" w:rsidP="001D2AD8">
      <w:r>
        <w:separator/>
      </w:r>
    </w:p>
  </w:footnote>
  <w:footnote w:type="continuationSeparator" w:id="0">
    <w:p w14:paraId="34B402EF" w14:textId="77777777" w:rsidR="00D56473" w:rsidRDefault="00D56473" w:rsidP="001D2AD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565"/>
    <w:multiLevelType w:val="hybridMultilevel"/>
    <w:tmpl w:val="E702D9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C82889"/>
    <w:multiLevelType w:val="hybridMultilevel"/>
    <w:tmpl w:val="31249E3C"/>
    <w:lvl w:ilvl="0" w:tplc="924E329C">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C1F006E"/>
    <w:multiLevelType w:val="hybridMultilevel"/>
    <w:tmpl w:val="274264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0A639F9"/>
    <w:multiLevelType w:val="hybridMultilevel"/>
    <w:tmpl w:val="77E03E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2095D44"/>
    <w:multiLevelType w:val="hybridMultilevel"/>
    <w:tmpl w:val="755A93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B411AEE"/>
    <w:multiLevelType w:val="multilevel"/>
    <w:tmpl w:val="9980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146FF3"/>
    <w:multiLevelType w:val="hybridMultilevel"/>
    <w:tmpl w:val="2B2ED650"/>
    <w:lvl w:ilvl="0" w:tplc="924E329C">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C084065"/>
    <w:multiLevelType w:val="hybridMultilevel"/>
    <w:tmpl w:val="54E2E9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1353F00"/>
    <w:multiLevelType w:val="hybridMultilevel"/>
    <w:tmpl w:val="453A0E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3777BF9"/>
    <w:multiLevelType w:val="hybridMultilevel"/>
    <w:tmpl w:val="BFA4B0E0"/>
    <w:lvl w:ilvl="0" w:tplc="B9F8DEAA">
      <w:numFmt w:val="bullet"/>
      <w:lvlText w:val="•"/>
      <w:lvlJc w:val="left"/>
      <w:pPr>
        <w:ind w:left="740" w:hanging="380"/>
      </w:pPr>
      <w:rPr>
        <w:rFonts w:ascii="Calibri" w:eastAsia="Arial"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7500946"/>
    <w:multiLevelType w:val="hybridMultilevel"/>
    <w:tmpl w:val="AFCA83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92717B2"/>
    <w:multiLevelType w:val="hybridMultilevel"/>
    <w:tmpl w:val="E3D27C5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E461C6B"/>
    <w:multiLevelType w:val="hybridMultilevel"/>
    <w:tmpl w:val="F8B6E3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2140196"/>
    <w:multiLevelType w:val="hybridMultilevel"/>
    <w:tmpl w:val="F57066E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8FB3ADA"/>
    <w:multiLevelType w:val="hybridMultilevel"/>
    <w:tmpl w:val="0FE884D6"/>
    <w:lvl w:ilvl="0" w:tplc="924E329C">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E2D7DEE"/>
    <w:multiLevelType w:val="hybridMultilevel"/>
    <w:tmpl w:val="E3FCF5CC"/>
    <w:lvl w:ilvl="0" w:tplc="924E329C">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A265DD0"/>
    <w:multiLevelType w:val="multilevel"/>
    <w:tmpl w:val="9FEA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13"/>
  </w:num>
  <w:num w:numId="4">
    <w:abstractNumId w:val="11"/>
  </w:num>
  <w:num w:numId="5">
    <w:abstractNumId w:val="0"/>
  </w:num>
  <w:num w:numId="6">
    <w:abstractNumId w:val="7"/>
  </w:num>
  <w:num w:numId="7">
    <w:abstractNumId w:val="3"/>
  </w:num>
  <w:num w:numId="8">
    <w:abstractNumId w:val="4"/>
  </w:num>
  <w:num w:numId="9">
    <w:abstractNumId w:val="1"/>
  </w:num>
  <w:num w:numId="10">
    <w:abstractNumId w:val="14"/>
  </w:num>
  <w:num w:numId="11">
    <w:abstractNumId w:val="6"/>
  </w:num>
  <w:num w:numId="12">
    <w:abstractNumId w:val="15"/>
  </w:num>
  <w:num w:numId="13">
    <w:abstractNumId w:val="2"/>
  </w:num>
  <w:num w:numId="14">
    <w:abstractNumId w:val="12"/>
  </w:num>
  <w:num w:numId="15">
    <w:abstractNumId w:val="9"/>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530"/>
    <w:rsid w:val="0000134C"/>
    <w:rsid w:val="00004509"/>
    <w:rsid w:val="00017558"/>
    <w:rsid w:val="00020E45"/>
    <w:rsid w:val="0002664D"/>
    <w:rsid w:val="00031A13"/>
    <w:rsid w:val="00032A57"/>
    <w:rsid w:val="00033B74"/>
    <w:rsid w:val="0004227D"/>
    <w:rsid w:val="00042C40"/>
    <w:rsid w:val="00050BD2"/>
    <w:rsid w:val="0005135E"/>
    <w:rsid w:val="00051F79"/>
    <w:rsid w:val="000525D4"/>
    <w:rsid w:val="000575D2"/>
    <w:rsid w:val="00062AE8"/>
    <w:rsid w:val="000642E7"/>
    <w:rsid w:val="00064AC3"/>
    <w:rsid w:val="00065BD2"/>
    <w:rsid w:val="00066330"/>
    <w:rsid w:val="00070532"/>
    <w:rsid w:val="00070CA5"/>
    <w:rsid w:val="000770BE"/>
    <w:rsid w:val="0008511A"/>
    <w:rsid w:val="00086987"/>
    <w:rsid w:val="0009147E"/>
    <w:rsid w:val="00091C0C"/>
    <w:rsid w:val="00094693"/>
    <w:rsid w:val="00097C6C"/>
    <w:rsid w:val="000A0D71"/>
    <w:rsid w:val="000B216C"/>
    <w:rsid w:val="000B5F71"/>
    <w:rsid w:val="000B61CC"/>
    <w:rsid w:val="000D35E2"/>
    <w:rsid w:val="000D481B"/>
    <w:rsid w:val="000D6F10"/>
    <w:rsid w:val="000E0136"/>
    <w:rsid w:val="000E0BAE"/>
    <w:rsid w:val="000E2310"/>
    <w:rsid w:val="000E6BFF"/>
    <w:rsid w:val="000F279A"/>
    <w:rsid w:val="0010598E"/>
    <w:rsid w:val="001102E7"/>
    <w:rsid w:val="00117228"/>
    <w:rsid w:val="00117A94"/>
    <w:rsid w:val="00120CF8"/>
    <w:rsid w:val="00120CF9"/>
    <w:rsid w:val="00120FA9"/>
    <w:rsid w:val="00122A6C"/>
    <w:rsid w:val="001312C9"/>
    <w:rsid w:val="001402DC"/>
    <w:rsid w:val="0014078D"/>
    <w:rsid w:val="00146A74"/>
    <w:rsid w:val="00146FE6"/>
    <w:rsid w:val="0015041D"/>
    <w:rsid w:val="00152530"/>
    <w:rsid w:val="00152F41"/>
    <w:rsid w:val="00153199"/>
    <w:rsid w:val="001621F6"/>
    <w:rsid w:val="001676A6"/>
    <w:rsid w:val="00170A2E"/>
    <w:rsid w:val="001738FB"/>
    <w:rsid w:val="00174623"/>
    <w:rsid w:val="001749B9"/>
    <w:rsid w:val="00174D34"/>
    <w:rsid w:val="00183D1C"/>
    <w:rsid w:val="00185494"/>
    <w:rsid w:val="00192EE0"/>
    <w:rsid w:val="001940E8"/>
    <w:rsid w:val="00194ED5"/>
    <w:rsid w:val="001A37BF"/>
    <w:rsid w:val="001A3B9D"/>
    <w:rsid w:val="001A53B3"/>
    <w:rsid w:val="001C21CF"/>
    <w:rsid w:val="001C2A57"/>
    <w:rsid w:val="001C44C7"/>
    <w:rsid w:val="001D2AD8"/>
    <w:rsid w:val="001D55DD"/>
    <w:rsid w:val="001D568A"/>
    <w:rsid w:val="001D73F1"/>
    <w:rsid w:val="001E02B9"/>
    <w:rsid w:val="001E07F6"/>
    <w:rsid w:val="001E1F38"/>
    <w:rsid w:val="001E369D"/>
    <w:rsid w:val="001E69F7"/>
    <w:rsid w:val="001E77EE"/>
    <w:rsid w:val="001F3338"/>
    <w:rsid w:val="001F47D9"/>
    <w:rsid w:val="001F4E00"/>
    <w:rsid w:val="0020234E"/>
    <w:rsid w:val="00204167"/>
    <w:rsid w:val="00213EDD"/>
    <w:rsid w:val="0021570C"/>
    <w:rsid w:val="00220530"/>
    <w:rsid w:val="00220A6A"/>
    <w:rsid w:val="00223BC3"/>
    <w:rsid w:val="00224174"/>
    <w:rsid w:val="002263E4"/>
    <w:rsid w:val="00232C21"/>
    <w:rsid w:val="00232DD0"/>
    <w:rsid w:val="00233FC7"/>
    <w:rsid w:val="00240779"/>
    <w:rsid w:val="00244940"/>
    <w:rsid w:val="00246217"/>
    <w:rsid w:val="00246974"/>
    <w:rsid w:val="00251AB3"/>
    <w:rsid w:val="00251C55"/>
    <w:rsid w:val="00251F55"/>
    <w:rsid w:val="002525C5"/>
    <w:rsid w:val="00253CC3"/>
    <w:rsid w:val="00255AC1"/>
    <w:rsid w:val="0026242F"/>
    <w:rsid w:val="00264FA8"/>
    <w:rsid w:val="0026605D"/>
    <w:rsid w:val="002677C6"/>
    <w:rsid w:val="00275622"/>
    <w:rsid w:val="00283E36"/>
    <w:rsid w:val="00296019"/>
    <w:rsid w:val="002A4C58"/>
    <w:rsid w:val="002B0258"/>
    <w:rsid w:val="002B26B1"/>
    <w:rsid w:val="002B30BF"/>
    <w:rsid w:val="002B3AA3"/>
    <w:rsid w:val="002B6A8A"/>
    <w:rsid w:val="002B6DB7"/>
    <w:rsid w:val="002C2BD8"/>
    <w:rsid w:val="002C5967"/>
    <w:rsid w:val="002C5A14"/>
    <w:rsid w:val="002C6CE8"/>
    <w:rsid w:val="002D10A3"/>
    <w:rsid w:val="002D2001"/>
    <w:rsid w:val="002D3C33"/>
    <w:rsid w:val="002E33BA"/>
    <w:rsid w:val="002E5155"/>
    <w:rsid w:val="002E7235"/>
    <w:rsid w:val="002E7A36"/>
    <w:rsid w:val="00303AA5"/>
    <w:rsid w:val="00304DAE"/>
    <w:rsid w:val="00305892"/>
    <w:rsid w:val="00305CC6"/>
    <w:rsid w:val="00307735"/>
    <w:rsid w:val="0031233C"/>
    <w:rsid w:val="00312C02"/>
    <w:rsid w:val="00320258"/>
    <w:rsid w:val="003213E6"/>
    <w:rsid w:val="00322D1B"/>
    <w:rsid w:val="00326784"/>
    <w:rsid w:val="00327A23"/>
    <w:rsid w:val="003311A4"/>
    <w:rsid w:val="00340F9E"/>
    <w:rsid w:val="00353376"/>
    <w:rsid w:val="00360AC3"/>
    <w:rsid w:val="00361596"/>
    <w:rsid w:val="00375F05"/>
    <w:rsid w:val="00380E29"/>
    <w:rsid w:val="00382E92"/>
    <w:rsid w:val="00386A01"/>
    <w:rsid w:val="00387991"/>
    <w:rsid w:val="0039060B"/>
    <w:rsid w:val="00397A5F"/>
    <w:rsid w:val="003A3D90"/>
    <w:rsid w:val="003A6A27"/>
    <w:rsid w:val="003B1DD6"/>
    <w:rsid w:val="003B4695"/>
    <w:rsid w:val="003B73CA"/>
    <w:rsid w:val="003C4604"/>
    <w:rsid w:val="003C78F5"/>
    <w:rsid w:val="003C7ADA"/>
    <w:rsid w:val="003D0946"/>
    <w:rsid w:val="003E3D42"/>
    <w:rsid w:val="003E7991"/>
    <w:rsid w:val="003F005B"/>
    <w:rsid w:val="00414F28"/>
    <w:rsid w:val="00416EB6"/>
    <w:rsid w:val="00425755"/>
    <w:rsid w:val="004306DC"/>
    <w:rsid w:val="00432AD0"/>
    <w:rsid w:val="00432BC5"/>
    <w:rsid w:val="004361C7"/>
    <w:rsid w:val="00437C8A"/>
    <w:rsid w:val="00437D47"/>
    <w:rsid w:val="00445D42"/>
    <w:rsid w:val="004463BA"/>
    <w:rsid w:val="0044672B"/>
    <w:rsid w:val="0045093A"/>
    <w:rsid w:val="004535AF"/>
    <w:rsid w:val="0045614B"/>
    <w:rsid w:val="00456D9D"/>
    <w:rsid w:val="0046074E"/>
    <w:rsid w:val="00464D5B"/>
    <w:rsid w:val="00465362"/>
    <w:rsid w:val="00465DAA"/>
    <w:rsid w:val="004670B6"/>
    <w:rsid w:val="00477C97"/>
    <w:rsid w:val="0048103F"/>
    <w:rsid w:val="00484C46"/>
    <w:rsid w:val="00485C99"/>
    <w:rsid w:val="00491712"/>
    <w:rsid w:val="00492D83"/>
    <w:rsid w:val="00493ECD"/>
    <w:rsid w:val="004A41F9"/>
    <w:rsid w:val="004A650E"/>
    <w:rsid w:val="004B2FD1"/>
    <w:rsid w:val="004B38E3"/>
    <w:rsid w:val="004B6478"/>
    <w:rsid w:val="004C2E07"/>
    <w:rsid w:val="004C4447"/>
    <w:rsid w:val="004C4771"/>
    <w:rsid w:val="004C5F3A"/>
    <w:rsid w:val="004C64E6"/>
    <w:rsid w:val="004C6ADE"/>
    <w:rsid w:val="004D1D7D"/>
    <w:rsid w:val="004D43BF"/>
    <w:rsid w:val="004D5457"/>
    <w:rsid w:val="004D65EE"/>
    <w:rsid w:val="004E4A52"/>
    <w:rsid w:val="004E54D7"/>
    <w:rsid w:val="004E5A4A"/>
    <w:rsid w:val="004F1633"/>
    <w:rsid w:val="004F24C7"/>
    <w:rsid w:val="004F5B28"/>
    <w:rsid w:val="004F70B3"/>
    <w:rsid w:val="00501934"/>
    <w:rsid w:val="00505440"/>
    <w:rsid w:val="00507C93"/>
    <w:rsid w:val="005110BA"/>
    <w:rsid w:val="00514ACC"/>
    <w:rsid w:val="00516774"/>
    <w:rsid w:val="005238FB"/>
    <w:rsid w:val="005242A4"/>
    <w:rsid w:val="00530483"/>
    <w:rsid w:val="005324F7"/>
    <w:rsid w:val="0054149D"/>
    <w:rsid w:val="00543895"/>
    <w:rsid w:val="00550401"/>
    <w:rsid w:val="0055119A"/>
    <w:rsid w:val="005517B0"/>
    <w:rsid w:val="00553279"/>
    <w:rsid w:val="0055333A"/>
    <w:rsid w:val="0055353D"/>
    <w:rsid w:val="005602FC"/>
    <w:rsid w:val="00570C38"/>
    <w:rsid w:val="005716FC"/>
    <w:rsid w:val="00573906"/>
    <w:rsid w:val="00577E5C"/>
    <w:rsid w:val="00581106"/>
    <w:rsid w:val="0058236F"/>
    <w:rsid w:val="005876BF"/>
    <w:rsid w:val="005922D9"/>
    <w:rsid w:val="005931EB"/>
    <w:rsid w:val="005A3E74"/>
    <w:rsid w:val="005A4018"/>
    <w:rsid w:val="005B502D"/>
    <w:rsid w:val="005C16C5"/>
    <w:rsid w:val="005C1F8B"/>
    <w:rsid w:val="005D0ECC"/>
    <w:rsid w:val="005D2788"/>
    <w:rsid w:val="005D529A"/>
    <w:rsid w:val="005E1B17"/>
    <w:rsid w:val="005E6366"/>
    <w:rsid w:val="005F3DD6"/>
    <w:rsid w:val="005F4A40"/>
    <w:rsid w:val="005F5347"/>
    <w:rsid w:val="006018EC"/>
    <w:rsid w:val="00603F4A"/>
    <w:rsid w:val="0061030A"/>
    <w:rsid w:val="00611A70"/>
    <w:rsid w:val="00613427"/>
    <w:rsid w:val="00615CBC"/>
    <w:rsid w:val="006240B2"/>
    <w:rsid w:val="006303A4"/>
    <w:rsid w:val="006366CB"/>
    <w:rsid w:val="006442BC"/>
    <w:rsid w:val="0064708C"/>
    <w:rsid w:val="00652ADA"/>
    <w:rsid w:val="00656794"/>
    <w:rsid w:val="00657978"/>
    <w:rsid w:val="00665C9E"/>
    <w:rsid w:val="00671888"/>
    <w:rsid w:val="0067262C"/>
    <w:rsid w:val="00681F05"/>
    <w:rsid w:val="00684948"/>
    <w:rsid w:val="0068541B"/>
    <w:rsid w:val="00686367"/>
    <w:rsid w:val="00690400"/>
    <w:rsid w:val="00697F2B"/>
    <w:rsid w:val="006A2794"/>
    <w:rsid w:val="006A635A"/>
    <w:rsid w:val="006A7BD6"/>
    <w:rsid w:val="006B072B"/>
    <w:rsid w:val="006B1123"/>
    <w:rsid w:val="006B4D09"/>
    <w:rsid w:val="006B72E4"/>
    <w:rsid w:val="006C166B"/>
    <w:rsid w:val="006C4922"/>
    <w:rsid w:val="006C4C62"/>
    <w:rsid w:val="006C5296"/>
    <w:rsid w:val="006C5B50"/>
    <w:rsid w:val="006D0EF3"/>
    <w:rsid w:val="006D1BB0"/>
    <w:rsid w:val="006D1EEE"/>
    <w:rsid w:val="006D2986"/>
    <w:rsid w:val="006D4050"/>
    <w:rsid w:val="006D441A"/>
    <w:rsid w:val="006D5413"/>
    <w:rsid w:val="006D62E4"/>
    <w:rsid w:val="006D68DA"/>
    <w:rsid w:val="006E1540"/>
    <w:rsid w:val="006E17ED"/>
    <w:rsid w:val="006E3842"/>
    <w:rsid w:val="006E5EBF"/>
    <w:rsid w:val="006E6A96"/>
    <w:rsid w:val="006F0E05"/>
    <w:rsid w:val="006F53DB"/>
    <w:rsid w:val="006F6F44"/>
    <w:rsid w:val="0070319F"/>
    <w:rsid w:val="00706108"/>
    <w:rsid w:val="0070648E"/>
    <w:rsid w:val="00712C56"/>
    <w:rsid w:val="0071646B"/>
    <w:rsid w:val="00716EB4"/>
    <w:rsid w:val="007300B0"/>
    <w:rsid w:val="00740472"/>
    <w:rsid w:val="00740777"/>
    <w:rsid w:val="0074485D"/>
    <w:rsid w:val="007473BA"/>
    <w:rsid w:val="00751D25"/>
    <w:rsid w:val="00755F1E"/>
    <w:rsid w:val="00756771"/>
    <w:rsid w:val="0075707D"/>
    <w:rsid w:val="00757A40"/>
    <w:rsid w:val="00767B28"/>
    <w:rsid w:val="00775349"/>
    <w:rsid w:val="007805DB"/>
    <w:rsid w:val="007834BF"/>
    <w:rsid w:val="00784754"/>
    <w:rsid w:val="007848D0"/>
    <w:rsid w:val="00793D2F"/>
    <w:rsid w:val="00796DF2"/>
    <w:rsid w:val="007A4083"/>
    <w:rsid w:val="007A41F9"/>
    <w:rsid w:val="007A60A8"/>
    <w:rsid w:val="007B123F"/>
    <w:rsid w:val="007B4E04"/>
    <w:rsid w:val="007B62AA"/>
    <w:rsid w:val="007C2AF7"/>
    <w:rsid w:val="007C3401"/>
    <w:rsid w:val="007C383F"/>
    <w:rsid w:val="007C4A3D"/>
    <w:rsid w:val="007D04A2"/>
    <w:rsid w:val="007D1F72"/>
    <w:rsid w:val="007E3193"/>
    <w:rsid w:val="007E5597"/>
    <w:rsid w:val="007E6DDD"/>
    <w:rsid w:val="007E73AA"/>
    <w:rsid w:val="007F25BF"/>
    <w:rsid w:val="007F25F3"/>
    <w:rsid w:val="007F35E9"/>
    <w:rsid w:val="007F6974"/>
    <w:rsid w:val="0080205A"/>
    <w:rsid w:val="008075A7"/>
    <w:rsid w:val="00811014"/>
    <w:rsid w:val="0081375C"/>
    <w:rsid w:val="00816A8E"/>
    <w:rsid w:val="008201F7"/>
    <w:rsid w:val="0082151F"/>
    <w:rsid w:val="00823B5E"/>
    <w:rsid w:val="00830D16"/>
    <w:rsid w:val="00834336"/>
    <w:rsid w:val="008347C9"/>
    <w:rsid w:val="00836DC1"/>
    <w:rsid w:val="0084150C"/>
    <w:rsid w:val="00846F74"/>
    <w:rsid w:val="00850B0F"/>
    <w:rsid w:val="00855DCB"/>
    <w:rsid w:val="00860C28"/>
    <w:rsid w:val="00863ECB"/>
    <w:rsid w:val="00865EFA"/>
    <w:rsid w:val="00865F1E"/>
    <w:rsid w:val="008705D3"/>
    <w:rsid w:val="0087373D"/>
    <w:rsid w:val="00874BAB"/>
    <w:rsid w:val="00877E05"/>
    <w:rsid w:val="00881B2E"/>
    <w:rsid w:val="0089162F"/>
    <w:rsid w:val="00891C29"/>
    <w:rsid w:val="00892C08"/>
    <w:rsid w:val="008933FE"/>
    <w:rsid w:val="008966DF"/>
    <w:rsid w:val="008A05B7"/>
    <w:rsid w:val="008A161C"/>
    <w:rsid w:val="008A16F3"/>
    <w:rsid w:val="008A2E78"/>
    <w:rsid w:val="008A5720"/>
    <w:rsid w:val="008B0ED1"/>
    <w:rsid w:val="008C1D9E"/>
    <w:rsid w:val="008C26A1"/>
    <w:rsid w:val="008C2DBC"/>
    <w:rsid w:val="008C403C"/>
    <w:rsid w:val="008D1E3D"/>
    <w:rsid w:val="008D24F6"/>
    <w:rsid w:val="008D7DA5"/>
    <w:rsid w:val="008E062A"/>
    <w:rsid w:val="008E7C52"/>
    <w:rsid w:val="008F7DBD"/>
    <w:rsid w:val="009041E1"/>
    <w:rsid w:val="00904D01"/>
    <w:rsid w:val="009051CD"/>
    <w:rsid w:val="00906C1A"/>
    <w:rsid w:val="0090781B"/>
    <w:rsid w:val="0091384E"/>
    <w:rsid w:val="00913896"/>
    <w:rsid w:val="00914984"/>
    <w:rsid w:val="0091523A"/>
    <w:rsid w:val="00917842"/>
    <w:rsid w:val="009208EE"/>
    <w:rsid w:val="00920E3C"/>
    <w:rsid w:val="00923B22"/>
    <w:rsid w:val="00926FEF"/>
    <w:rsid w:val="009319AF"/>
    <w:rsid w:val="00933CB7"/>
    <w:rsid w:val="00934947"/>
    <w:rsid w:val="0093544A"/>
    <w:rsid w:val="00935EAF"/>
    <w:rsid w:val="00937D1C"/>
    <w:rsid w:val="009461A9"/>
    <w:rsid w:val="0095361D"/>
    <w:rsid w:val="00953BBA"/>
    <w:rsid w:val="00955CAA"/>
    <w:rsid w:val="00962FD8"/>
    <w:rsid w:val="00963DFF"/>
    <w:rsid w:val="00964C69"/>
    <w:rsid w:val="00964F9B"/>
    <w:rsid w:val="00973809"/>
    <w:rsid w:val="00973D2D"/>
    <w:rsid w:val="00973F65"/>
    <w:rsid w:val="00975121"/>
    <w:rsid w:val="00975D06"/>
    <w:rsid w:val="009760E2"/>
    <w:rsid w:val="00977AFE"/>
    <w:rsid w:val="00983713"/>
    <w:rsid w:val="0098434B"/>
    <w:rsid w:val="00990265"/>
    <w:rsid w:val="0099378D"/>
    <w:rsid w:val="009A3429"/>
    <w:rsid w:val="009A46C0"/>
    <w:rsid w:val="009B5D09"/>
    <w:rsid w:val="009B5DB0"/>
    <w:rsid w:val="009B71DD"/>
    <w:rsid w:val="009B747A"/>
    <w:rsid w:val="009C03CC"/>
    <w:rsid w:val="009C21C9"/>
    <w:rsid w:val="009C2580"/>
    <w:rsid w:val="009C29F2"/>
    <w:rsid w:val="009E077E"/>
    <w:rsid w:val="009E1D8D"/>
    <w:rsid w:val="009E5789"/>
    <w:rsid w:val="009E5CE9"/>
    <w:rsid w:val="009E6385"/>
    <w:rsid w:val="009E6C52"/>
    <w:rsid w:val="009F4D2F"/>
    <w:rsid w:val="009F6D96"/>
    <w:rsid w:val="00A02B9B"/>
    <w:rsid w:val="00A053DF"/>
    <w:rsid w:val="00A15ECC"/>
    <w:rsid w:val="00A17CAC"/>
    <w:rsid w:val="00A21BD9"/>
    <w:rsid w:val="00A224E1"/>
    <w:rsid w:val="00A22F83"/>
    <w:rsid w:val="00A246A7"/>
    <w:rsid w:val="00A27D30"/>
    <w:rsid w:val="00A31584"/>
    <w:rsid w:val="00A332A0"/>
    <w:rsid w:val="00A36530"/>
    <w:rsid w:val="00A42BCD"/>
    <w:rsid w:val="00A51017"/>
    <w:rsid w:val="00A52CC5"/>
    <w:rsid w:val="00A571E2"/>
    <w:rsid w:val="00A62794"/>
    <w:rsid w:val="00A6641E"/>
    <w:rsid w:val="00A708B8"/>
    <w:rsid w:val="00A717F8"/>
    <w:rsid w:val="00A71CFB"/>
    <w:rsid w:val="00A75806"/>
    <w:rsid w:val="00A83AEE"/>
    <w:rsid w:val="00A855A8"/>
    <w:rsid w:val="00A8607F"/>
    <w:rsid w:val="00A87CC4"/>
    <w:rsid w:val="00A94D84"/>
    <w:rsid w:val="00AA31DB"/>
    <w:rsid w:val="00AB0F4C"/>
    <w:rsid w:val="00AB4BD6"/>
    <w:rsid w:val="00AB4F70"/>
    <w:rsid w:val="00AC4788"/>
    <w:rsid w:val="00AC696F"/>
    <w:rsid w:val="00AC75FA"/>
    <w:rsid w:val="00AD0ED3"/>
    <w:rsid w:val="00AD1040"/>
    <w:rsid w:val="00AD3AA5"/>
    <w:rsid w:val="00AD6D2E"/>
    <w:rsid w:val="00AE0081"/>
    <w:rsid w:val="00AF2F97"/>
    <w:rsid w:val="00AF2F98"/>
    <w:rsid w:val="00AF7B23"/>
    <w:rsid w:val="00B0552F"/>
    <w:rsid w:val="00B11BF2"/>
    <w:rsid w:val="00B12C1D"/>
    <w:rsid w:val="00B1368C"/>
    <w:rsid w:val="00B15DDB"/>
    <w:rsid w:val="00B16F11"/>
    <w:rsid w:val="00B17B0D"/>
    <w:rsid w:val="00B20E78"/>
    <w:rsid w:val="00B22D21"/>
    <w:rsid w:val="00B248EF"/>
    <w:rsid w:val="00B253E9"/>
    <w:rsid w:val="00B3010C"/>
    <w:rsid w:val="00B369D4"/>
    <w:rsid w:val="00B40C06"/>
    <w:rsid w:val="00B4285A"/>
    <w:rsid w:val="00B452DF"/>
    <w:rsid w:val="00B55371"/>
    <w:rsid w:val="00B57596"/>
    <w:rsid w:val="00B6640E"/>
    <w:rsid w:val="00B70EF9"/>
    <w:rsid w:val="00B74892"/>
    <w:rsid w:val="00B81860"/>
    <w:rsid w:val="00B83E96"/>
    <w:rsid w:val="00B87A52"/>
    <w:rsid w:val="00B92156"/>
    <w:rsid w:val="00B92371"/>
    <w:rsid w:val="00B95BBF"/>
    <w:rsid w:val="00B95C09"/>
    <w:rsid w:val="00BA616E"/>
    <w:rsid w:val="00BB0AC5"/>
    <w:rsid w:val="00BB5786"/>
    <w:rsid w:val="00BB5BE6"/>
    <w:rsid w:val="00BB6D48"/>
    <w:rsid w:val="00BB7A4C"/>
    <w:rsid w:val="00BC08FB"/>
    <w:rsid w:val="00BD429A"/>
    <w:rsid w:val="00BD6EE3"/>
    <w:rsid w:val="00BE254E"/>
    <w:rsid w:val="00BE5D5D"/>
    <w:rsid w:val="00BE7E9F"/>
    <w:rsid w:val="00BF152A"/>
    <w:rsid w:val="00BF4294"/>
    <w:rsid w:val="00C0706B"/>
    <w:rsid w:val="00C07AB2"/>
    <w:rsid w:val="00C14C2F"/>
    <w:rsid w:val="00C1578F"/>
    <w:rsid w:val="00C16371"/>
    <w:rsid w:val="00C16E2D"/>
    <w:rsid w:val="00C20A3D"/>
    <w:rsid w:val="00C258EC"/>
    <w:rsid w:val="00C30110"/>
    <w:rsid w:val="00C30685"/>
    <w:rsid w:val="00C318DE"/>
    <w:rsid w:val="00C33B6E"/>
    <w:rsid w:val="00C34CC0"/>
    <w:rsid w:val="00C357D7"/>
    <w:rsid w:val="00C52A50"/>
    <w:rsid w:val="00C54418"/>
    <w:rsid w:val="00C61F32"/>
    <w:rsid w:val="00C66153"/>
    <w:rsid w:val="00C67299"/>
    <w:rsid w:val="00C67BC8"/>
    <w:rsid w:val="00C74253"/>
    <w:rsid w:val="00C8192D"/>
    <w:rsid w:val="00C84D20"/>
    <w:rsid w:val="00C87E47"/>
    <w:rsid w:val="00C9197A"/>
    <w:rsid w:val="00C93C7A"/>
    <w:rsid w:val="00CA2C7D"/>
    <w:rsid w:val="00CA4456"/>
    <w:rsid w:val="00CA7BD2"/>
    <w:rsid w:val="00CB456E"/>
    <w:rsid w:val="00CB75F5"/>
    <w:rsid w:val="00CC24C9"/>
    <w:rsid w:val="00CC4321"/>
    <w:rsid w:val="00CC5FED"/>
    <w:rsid w:val="00CC6B25"/>
    <w:rsid w:val="00CC774F"/>
    <w:rsid w:val="00CD168A"/>
    <w:rsid w:val="00CD291D"/>
    <w:rsid w:val="00CD393E"/>
    <w:rsid w:val="00CD5775"/>
    <w:rsid w:val="00CE170C"/>
    <w:rsid w:val="00CE316C"/>
    <w:rsid w:val="00CE6D1C"/>
    <w:rsid w:val="00CF1257"/>
    <w:rsid w:val="00D00600"/>
    <w:rsid w:val="00D0127D"/>
    <w:rsid w:val="00D031BC"/>
    <w:rsid w:val="00D053E2"/>
    <w:rsid w:val="00D1178D"/>
    <w:rsid w:val="00D12998"/>
    <w:rsid w:val="00D12F0E"/>
    <w:rsid w:val="00D134FE"/>
    <w:rsid w:val="00D14400"/>
    <w:rsid w:val="00D2439D"/>
    <w:rsid w:val="00D2502E"/>
    <w:rsid w:val="00D27D42"/>
    <w:rsid w:val="00D32FB2"/>
    <w:rsid w:val="00D35E09"/>
    <w:rsid w:val="00D4184F"/>
    <w:rsid w:val="00D42D84"/>
    <w:rsid w:val="00D45738"/>
    <w:rsid w:val="00D5373F"/>
    <w:rsid w:val="00D56473"/>
    <w:rsid w:val="00D60C82"/>
    <w:rsid w:val="00D637DF"/>
    <w:rsid w:val="00D66335"/>
    <w:rsid w:val="00D67AA0"/>
    <w:rsid w:val="00D70806"/>
    <w:rsid w:val="00D7155C"/>
    <w:rsid w:val="00D741DF"/>
    <w:rsid w:val="00D807F2"/>
    <w:rsid w:val="00D867D7"/>
    <w:rsid w:val="00D870FE"/>
    <w:rsid w:val="00D9264F"/>
    <w:rsid w:val="00D93CB7"/>
    <w:rsid w:val="00D96FC8"/>
    <w:rsid w:val="00D97C40"/>
    <w:rsid w:val="00D97D38"/>
    <w:rsid w:val="00DA3DDE"/>
    <w:rsid w:val="00DA60A8"/>
    <w:rsid w:val="00DB232A"/>
    <w:rsid w:val="00DB3AE1"/>
    <w:rsid w:val="00DB772B"/>
    <w:rsid w:val="00DC43C5"/>
    <w:rsid w:val="00DC4C02"/>
    <w:rsid w:val="00DC4F3D"/>
    <w:rsid w:val="00DC50BE"/>
    <w:rsid w:val="00DC5FB8"/>
    <w:rsid w:val="00DC60ED"/>
    <w:rsid w:val="00DD403D"/>
    <w:rsid w:val="00DD4E29"/>
    <w:rsid w:val="00DD63AE"/>
    <w:rsid w:val="00DE1FE2"/>
    <w:rsid w:val="00DE49BB"/>
    <w:rsid w:val="00DF6106"/>
    <w:rsid w:val="00E02ABA"/>
    <w:rsid w:val="00E03432"/>
    <w:rsid w:val="00E05377"/>
    <w:rsid w:val="00E05B27"/>
    <w:rsid w:val="00E068C3"/>
    <w:rsid w:val="00E07062"/>
    <w:rsid w:val="00E10BBB"/>
    <w:rsid w:val="00E1163E"/>
    <w:rsid w:val="00E1255F"/>
    <w:rsid w:val="00E218B8"/>
    <w:rsid w:val="00E307D1"/>
    <w:rsid w:val="00E32DCE"/>
    <w:rsid w:val="00E37119"/>
    <w:rsid w:val="00E420AA"/>
    <w:rsid w:val="00E441CB"/>
    <w:rsid w:val="00E44653"/>
    <w:rsid w:val="00E56764"/>
    <w:rsid w:val="00E57D06"/>
    <w:rsid w:val="00E71644"/>
    <w:rsid w:val="00E722A8"/>
    <w:rsid w:val="00E72B78"/>
    <w:rsid w:val="00E736B6"/>
    <w:rsid w:val="00E8521A"/>
    <w:rsid w:val="00E86956"/>
    <w:rsid w:val="00E901E5"/>
    <w:rsid w:val="00E906B8"/>
    <w:rsid w:val="00E91099"/>
    <w:rsid w:val="00E910B7"/>
    <w:rsid w:val="00E95EBB"/>
    <w:rsid w:val="00EA3DD1"/>
    <w:rsid w:val="00EA4666"/>
    <w:rsid w:val="00EA533E"/>
    <w:rsid w:val="00EA7FD7"/>
    <w:rsid w:val="00EB0659"/>
    <w:rsid w:val="00EB1AFC"/>
    <w:rsid w:val="00EB2530"/>
    <w:rsid w:val="00EB4658"/>
    <w:rsid w:val="00EB6CAB"/>
    <w:rsid w:val="00EC3ED2"/>
    <w:rsid w:val="00EC480E"/>
    <w:rsid w:val="00EC52FC"/>
    <w:rsid w:val="00EC74F0"/>
    <w:rsid w:val="00ED15E5"/>
    <w:rsid w:val="00ED26A5"/>
    <w:rsid w:val="00ED27F9"/>
    <w:rsid w:val="00ED3E84"/>
    <w:rsid w:val="00ED52BA"/>
    <w:rsid w:val="00ED5428"/>
    <w:rsid w:val="00ED54D0"/>
    <w:rsid w:val="00ED6F2F"/>
    <w:rsid w:val="00EE114A"/>
    <w:rsid w:val="00EE1BC6"/>
    <w:rsid w:val="00EF3A81"/>
    <w:rsid w:val="00F07B59"/>
    <w:rsid w:val="00F13B4C"/>
    <w:rsid w:val="00F168F6"/>
    <w:rsid w:val="00F201D2"/>
    <w:rsid w:val="00F23BA5"/>
    <w:rsid w:val="00F24D4A"/>
    <w:rsid w:val="00F24E57"/>
    <w:rsid w:val="00F25BA8"/>
    <w:rsid w:val="00F25E92"/>
    <w:rsid w:val="00F3017F"/>
    <w:rsid w:val="00F32CFA"/>
    <w:rsid w:val="00F3314B"/>
    <w:rsid w:val="00F34D22"/>
    <w:rsid w:val="00F361A8"/>
    <w:rsid w:val="00F4025A"/>
    <w:rsid w:val="00F42B11"/>
    <w:rsid w:val="00F44C5A"/>
    <w:rsid w:val="00F45243"/>
    <w:rsid w:val="00F574EE"/>
    <w:rsid w:val="00F576E7"/>
    <w:rsid w:val="00F61488"/>
    <w:rsid w:val="00F63605"/>
    <w:rsid w:val="00F74E25"/>
    <w:rsid w:val="00F802E8"/>
    <w:rsid w:val="00F90745"/>
    <w:rsid w:val="00F914AC"/>
    <w:rsid w:val="00FA0BB8"/>
    <w:rsid w:val="00FA0D63"/>
    <w:rsid w:val="00FA4386"/>
    <w:rsid w:val="00FA48B6"/>
    <w:rsid w:val="00FA7335"/>
    <w:rsid w:val="00FC1DD9"/>
    <w:rsid w:val="00FC26D7"/>
    <w:rsid w:val="00FC4123"/>
    <w:rsid w:val="00FD029B"/>
    <w:rsid w:val="00FD3E52"/>
    <w:rsid w:val="00FD465A"/>
    <w:rsid w:val="00FD6CC0"/>
    <w:rsid w:val="00FE205A"/>
    <w:rsid w:val="00FE43B4"/>
    <w:rsid w:val="00FF33A2"/>
    <w:rsid w:val="00FF4611"/>
    <w:rsid w:val="00FF52C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BC059"/>
  <w15:chartTrackingRefBased/>
  <w15:docId w15:val="{14610ADA-A940-BB48-9633-A14A52AA5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宋体"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D54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D1EE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170A2E"/>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170A2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6D1EEE"/>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ED54D0"/>
    <w:pPr>
      <w:ind w:left="720"/>
      <w:contextualSpacing/>
    </w:pPr>
  </w:style>
  <w:style w:type="character" w:customStyle="1" w:styleId="10">
    <w:name w:val="标题 1 字符"/>
    <w:basedOn w:val="a0"/>
    <w:link w:val="1"/>
    <w:uiPriority w:val="9"/>
    <w:rsid w:val="00ED54D0"/>
    <w:rPr>
      <w:rFonts w:asciiTheme="majorHAnsi" w:eastAsiaTheme="majorEastAsia" w:hAnsiTheme="majorHAnsi" w:cstheme="majorBidi"/>
      <w:color w:val="2F5496" w:themeColor="accent1" w:themeShade="BF"/>
      <w:sz w:val="32"/>
      <w:szCs w:val="32"/>
    </w:rPr>
  </w:style>
  <w:style w:type="paragraph" w:customStyle="1" w:styleId="p1">
    <w:name w:val="p1"/>
    <w:basedOn w:val="a"/>
    <w:rsid w:val="00304DAE"/>
    <w:rPr>
      <w:rFonts w:ascii="Helvetica" w:hAnsi="Helvetica" w:cs="Times New Roman"/>
      <w:sz w:val="15"/>
      <w:szCs w:val="15"/>
      <w:lang w:eastAsia="pt-BR"/>
    </w:rPr>
  </w:style>
  <w:style w:type="character" w:customStyle="1" w:styleId="apple-converted-space">
    <w:name w:val="apple-converted-space"/>
    <w:basedOn w:val="a0"/>
    <w:rsid w:val="00304DAE"/>
  </w:style>
  <w:style w:type="character" w:customStyle="1" w:styleId="30">
    <w:name w:val="标题 3 字符"/>
    <w:basedOn w:val="a0"/>
    <w:link w:val="3"/>
    <w:uiPriority w:val="9"/>
    <w:rsid w:val="00170A2E"/>
    <w:rPr>
      <w:rFonts w:asciiTheme="majorHAnsi" w:eastAsiaTheme="majorEastAsia" w:hAnsiTheme="majorHAnsi" w:cstheme="majorBidi"/>
      <w:color w:val="1F3763" w:themeColor="accent1" w:themeShade="7F"/>
    </w:rPr>
  </w:style>
  <w:style w:type="character" w:customStyle="1" w:styleId="40">
    <w:name w:val="标题 4 字符"/>
    <w:basedOn w:val="a0"/>
    <w:link w:val="4"/>
    <w:uiPriority w:val="9"/>
    <w:rsid w:val="00170A2E"/>
    <w:rPr>
      <w:rFonts w:asciiTheme="majorHAnsi" w:eastAsiaTheme="majorEastAsia" w:hAnsiTheme="majorHAnsi" w:cstheme="majorBidi"/>
      <w:i/>
      <w:iCs/>
      <w:color w:val="2F5496" w:themeColor="accent1" w:themeShade="BF"/>
    </w:rPr>
  </w:style>
  <w:style w:type="character" w:styleId="a4">
    <w:name w:val="Hyperlink"/>
    <w:basedOn w:val="a0"/>
    <w:uiPriority w:val="99"/>
    <w:unhideWhenUsed/>
    <w:rsid w:val="00D66335"/>
    <w:rPr>
      <w:color w:val="0563C1" w:themeColor="hyperlink"/>
      <w:u w:val="single"/>
    </w:rPr>
  </w:style>
  <w:style w:type="character" w:customStyle="1" w:styleId="MenoPendente1">
    <w:name w:val="Menção Pendente1"/>
    <w:basedOn w:val="a0"/>
    <w:uiPriority w:val="99"/>
    <w:rsid w:val="00D66335"/>
    <w:rPr>
      <w:color w:val="808080"/>
      <w:shd w:val="clear" w:color="auto" w:fill="E6E6E6"/>
    </w:rPr>
  </w:style>
  <w:style w:type="paragraph" w:styleId="a5">
    <w:name w:val="Body Text"/>
    <w:basedOn w:val="a"/>
    <w:link w:val="a6"/>
    <w:uiPriority w:val="1"/>
    <w:qFormat/>
    <w:rsid w:val="00671888"/>
    <w:pPr>
      <w:widowControl w:val="0"/>
      <w:autoSpaceDE w:val="0"/>
      <w:autoSpaceDN w:val="0"/>
    </w:pPr>
    <w:rPr>
      <w:rFonts w:ascii="Arial" w:eastAsia="Arial" w:hAnsi="Arial" w:cs="Arial"/>
      <w:sz w:val="19"/>
      <w:szCs w:val="19"/>
      <w:lang w:val="en-US"/>
    </w:rPr>
  </w:style>
  <w:style w:type="character" w:customStyle="1" w:styleId="a6">
    <w:name w:val="正文文本 字符"/>
    <w:basedOn w:val="a0"/>
    <w:link w:val="a5"/>
    <w:uiPriority w:val="1"/>
    <w:rsid w:val="00671888"/>
    <w:rPr>
      <w:rFonts w:ascii="Arial" w:eastAsia="Arial" w:hAnsi="Arial" w:cs="Arial"/>
      <w:sz w:val="19"/>
      <w:szCs w:val="19"/>
      <w:lang w:val="en-US"/>
    </w:rPr>
  </w:style>
  <w:style w:type="paragraph" w:customStyle="1" w:styleId="Padro">
    <w:name w:val="Padrão"/>
    <w:rsid w:val="0054149D"/>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pt-BR"/>
    </w:rPr>
  </w:style>
  <w:style w:type="character" w:styleId="a7">
    <w:name w:val="annotation reference"/>
    <w:basedOn w:val="a0"/>
    <w:unhideWhenUsed/>
    <w:rsid w:val="001312C9"/>
    <w:rPr>
      <w:sz w:val="16"/>
      <w:szCs w:val="16"/>
    </w:rPr>
  </w:style>
  <w:style w:type="paragraph" w:styleId="a8">
    <w:name w:val="annotation text"/>
    <w:basedOn w:val="a"/>
    <w:link w:val="a9"/>
    <w:unhideWhenUsed/>
    <w:qFormat/>
    <w:rsid w:val="001312C9"/>
    <w:rPr>
      <w:rFonts w:ascii="Times New Roman" w:eastAsia="Times New Roman" w:hAnsi="Times New Roman" w:cs="Times New Roman"/>
      <w:sz w:val="20"/>
      <w:szCs w:val="20"/>
      <w:lang w:eastAsia="pt-BR"/>
    </w:rPr>
  </w:style>
  <w:style w:type="character" w:customStyle="1" w:styleId="a9">
    <w:name w:val="批注文字 字符"/>
    <w:basedOn w:val="a0"/>
    <w:link w:val="a8"/>
    <w:uiPriority w:val="99"/>
    <w:semiHidden/>
    <w:rsid w:val="001312C9"/>
    <w:rPr>
      <w:rFonts w:ascii="Times New Roman" w:eastAsia="Times New Roman" w:hAnsi="Times New Roman" w:cs="Times New Roman"/>
      <w:sz w:val="20"/>
      <w:szCs w:val="20"/>
      <w:lang w:eastAsia="pt-BR"/>
    </w:rPr>
  </w:style>
  <w:style w:type="paragraph" w:styleId="aa">
    <w:name w:val="Balloon Text"/>
    <w:basedOn w:val="a"/>
    <w:link w:val="ab"/>
    <w:uiPriority w:val="99"/>
    <w:semiHidden/>
    <w:unhideWhenUsed/>
    <w:rsid w:val="001312C9"/>
    <w:rPr>
      <w:rFonts w:ascii="Times New Roman" w:hAnsi="Times New Roman" w:cs="Times New Roman"/>
      <w:sz w:val="18"/>
      <w:szCs w:val="18"/>
    </w:rPr>
  </w:style>
  <w:style w:type="character" w:customStyle="1" w:styleId="ab">
    <w:name w:val="批注框文本 字符"/>
    <w:basedOn w:val="a0"/>
    <w:link w:val="aa"/>
    <w:uiPriority w:val="99"/>
    <w:semiHidden/>
    <w:rsid w:val="001312C9"/>
    <w:rPr>
      <w:rFonts w:ascii="Times New Roman" w:hAnsi="Times New Roman" w:cs="Times New Roman"/>
      <w:sz w:val="18"/>
      <w:szCs w:val="18"/>
    </w:rPr>
  </w:style>
  <w:style w:type="table" w:styleId="ac">
    <w:name w:val="Table Grid"/>
    <w:basedOn w:val="a1"/>
    <w:uiPriority w:val="39"/>
    <w:rsid w:val="00953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Grid Table 5 Dark Accent 1"/>
    <w:basedOn w:val="a1"/>
    <w:uiPriority w:val="50"/>
    <w:rsid w:val="00953B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5-3">
    <w:name w:val="Grid Table 5 Dark Accent 3"/>
    <w:basedOn w:val="a1"/>
    <w:uiPriority w:val="50"/>
    <w:rsid w:val="00953B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2-1">
    <w:name w:val="List Table 2 Accent 1"/>
    <w:basedOn w:val="a1"/>
    <w:uiPriority w:val="47"/>
    <w:rsid w:val="00953BBA"/>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21">
    <w:name w:val="List Table 2"/>
    <w:basedOn w:val="a1"/>
    <w:uiPriority w:val="47"/>
    <w:rsid w:val="00953BB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w:basedOn w:val="a1"/>
    <w:uiPriority w:val="49"/>
    <w:rsid w:val="00953BB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3">
    <w:name w:val="List Table 7 Colorful Accent 3"/>
    <w:basedOn w:val="a1"/>
    <w:uiPriority w:val="52"/>
    <w:rsid w:val="00953BBA"/>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4-1">
    <w:name w:val="Grid Table 4 Accent 1"/>
    <w:basedOn w:val="a1"/>
    <w:uiPriority w:val="49"/>
    <w:rsid w:val="00953BB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3-5">
    <w:name w:val="Grid Table 3 Accent 5"/>
    <w:basedOn w:val="a1"/>
    <w:uiPriority w:val="48"/>
    <w:rsid w:val="00953BB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11">
    <w:name w:val="Plain Table 1"/>
    <w:basedOn w:val="a1"/>
    <w:uiPriority w:val="41"/>
    <w:rsid w:val="00953BB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d">
    <w:name w:val="Grid Table Light"/>
    <w:basedOn w:val="a1"/>
    <w:uiPriority w:val="40"/>
    <w:rsid w:val="00953B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31">
    <w:name w:val="Plain Table 3"/>
    <w:basedOn w:val="a1"/>
    <w:uiPriority w:val="43"/>
    <w:rsid w:val="00953BB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5">
    <w:name w:val="Plain Table 5"/>
    <w:basedOn w:val="a1"/>
    <w:uiPriority w:val="45"/>
    <w:rsid w:val="00953BB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2">
    <w:name w:val="Grid Table 1 Light"/>
    <w:basedOn w:val="a1"/>
    <w:uiPriority w:val="46"/>
    <w:rsid w:val="00953BB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1"/>
    <w:uiPriority w:val="46"/>
    <w:rsid w:val="00953BB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Normal1">
    <w:name w:val="Table Normal1"/>
    <w:uiPriority w:val="2"/>
    <w:semiHidden/>
    <w:unhideWhenUsed/>
    <w:qFormat/>
    <w:rsid w:val="0045614B"/>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5614B"/>
    <w:pPr>
      <w:widowControl w:val="0"/>
      <w:autoSpaceDE w:val="0"/>
      <w:autoSpaceDN w:val="0"/>
      <w:spacing w:line="160" w:lineRule="exact"/>
    </w:pPr>
    <w:rPr>
      <w:rFonts w:ascii="Arial" w:eastAsia="Arial" w:hAnsi="Arial" w:cs="Arial"/>
      <w:sz w:val="22"/>
      <w:szCs w:val="22"/>
      <w:lang w:val="en-US"/>
    </w:rPr>
  </w:style>
  <w:style w:type="character" w:customStyle="1" w:styleId="Nenhum">
    <w:name w:val="Nenhum"/>
    <w:rsid w:val="00505440"/>
  </w:style>
  <w:style w:type="paragraph" w:styleId="ae">
    <w:name w:val="footnote text"/>
    <w:basedOn w:val="a"/>
    <w:link w:val="af"/>
    <w:uiPriority w:val="99"/>
    <w:semiHidden/>
    <w:unhideWhenUsed/>
    <w:rsid w:val="001D2AD8"/>
    <w:rPr>
      <w:sz w:val="20"/>
      <w:szCs w:val="20"/>
    </w:rPr>
  </w:style>
  <w:style w:type="character" w:customStyle="1" w:styleId="af">
    <w:name w:val="脚注文本 字符"/>
    <w:basedOn w:val="a0"/>
    <w:link w:val="ae"/>
    <w:uiPriority w:val="99"/>
    <w:semiHidden/>
    <w:rsid w:val="001D2AD8"/>
    <w:rPr>
      <w:sz w:val="20"/>
      <w:szCs w:val="20"/>
    </w:rPr>
  </w:style>
  <w:style w:type="character" w:styleId="af0">
    <w:name w:val="footnote reference"/>
    <w:basedOn w:val="a0"/>
    <w:uiPriority w:val="99"/>
    <w:semiHidden/>
    <w:unhideWhenUsed/>
    <w:rsid w:val="001D2AD8"/>
    <w:rPr>
      <w:vertAlign w:val="superscript"/>
    </w:rPr>
  </w:style>
  <w:style w:type="paragraph" w:styleId="af1">
    <w:name w:val="footer"/>
    <w:basedOn w:val="a"/>
    <w:link w:val="af2"/>
    <w:uiPriority w:val="99"/>
    <w:unhideWhenUsed/>
    <w:rsid w:val="004D43BF"/>
    <w:pPr>
      <w:tabs>
        <w:tab w:val="center" w:pos="4252"/>
        <w:tab w:val="right" w:pos="8504"/>
      </w:tabs>
    </w:pPr>
  </w:style>
  <w:style w:type="character" w:customStyle="1" w:styleId="af2">
    <w:name w:val="页脚 字符"/>
    <w:basedOn w:val="a0"/>
    <w:link w:val="af1"/>
    <w:uiPriority w:val="99"/>
    <w:rsid w:val="004D43BF"/>
  </w:style>
  <w:style w:type="character" w:styleId="af3">
    <w:name w:val="page number"/>
    <w:basedOn w:val="a0"/>
    <w:uiPriority w:val="99"/>
    <w:semiHidden/>
    <w:unhideWhenUsed/>
    <w:rsid w:val="004D43BF"/>
  </w:style>
  <w:style w:type="paragraph" w:styleId="af4">
    <w:name w:val="header"/>
    <w:basedOn w:val="a"/>
    <w:link w:val="af5"/>
    <w:uiPriority w:val="99"/>
    <w:unhideWhenUsed/>
    <w:rsid w:val="005D2788"/>
    <w:pPr>
      <w:pBdr>
        <w:bottom w:val="single" w:sz="6" w:space="1" w:color="auto"/>
      </w:pBdr>
      <w:tabs>
        <w:tab w:val="center" w:pos="4153"/>
        <w:tab w:val="right" w:pos="8306"/>
      </w:tabs>
      <w:snapToGrid w:val="0"/>
      <w:jc w:val="center"/>
    </w:pPr>
    <w:rPr>
      <w:sz w:val="18"/>
      <w:szCs w:val="18"/>
    </w:rPr>
  </w:style>
  <w:style w:type="character" w:customStyle="1" w:styleId="af5">
    <w:name w:val="页眉 字符"/>
    <w:basedOn w:val="a0"/>
    <w:link w:val="af4"/>
    <w:uiPriority w:val="99"/>
    <w:rsid w:val="005D2788"/>
    <w:rPr>
      <w:sz w:val="18"/>
      <w:szCs w:val="18"/>
    </w:rPr>
  </w:style>
  <w:style w:type="character" w:customStyle="1" w:styleId="Char">
    <w:name w:val="批注文字 Char"/>
    <w:locked/>
    <w:rsid w:val="005D2788"/>
    <w:rPr>
      <w:rFonts w:eastAsia="宋体"/>
      <w:sz w:val="24"/>
      <w:szCs w:val="24"/>
      <w:lang w:val="en-US" w:eastAsia="en-US" w:bidi="ar-SA"/>
    </w:rPr>
  </w:style>
  <w:style w:type="character" w:customStyle="1" w:styleId="labellist1">
    <w:name w:val="label_list1"/>
    <w:rsid w:val="005D2788"/>
  </w:style>
  <w:style w:type="paragraph" w:styleId="af6">
    <w:name w:val="annotation subject"/>
    <w:basedOn w:val="a8"/>
    <w:next w:val="a8"/>
    <w:link w:val="af7"/>
    <w:uiPriority w:val="99"/>
    <w:semiHidden/>
    <w:unhideWhenUsed/>
    <w:rsid w:val="00B12C1D"/>
    <w:rPr>
      <w:rFonts w:asciiTheme="minorHAnsi" w:eastAsia="宋体" w:hAnsiTheme="minorHAnsi" w:cstheme="minorBidi"/>
      <w:b/>
      <w:bCs/>
      <w:lang w:eastAsia="en-US"/>
    </w:rPr>
  </w:style>
  <w:style w:type="character" w:customStyle="1" w:styleId="af7">
    <w:name w:val="批注主题 字符"/>
    <w:basedOn w:val="a9"/>
    <w:link w:val="af6"/>
    <w:uiPriority w:val="99"/>
    <w:semiHidden/>
    <w:rsid w:val="00B12C1D"/>
    <w:rPr>
      <w:rFonts w:ascii="Times New Roman" w:eastAsia="Times New Roman" w:hAnsi="Times New Roman" w:cs="Times New Roman"/>
      <w:b/>
      <w:bCs/>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6736">
      <w:bodyDiv w:val="1"/>
      <w:marLeft w:val="0"/>
      <w:marRight w:val="0"/>
      <w:marTop w:val="0"/>
      <w:marBottom w:val="0"/>
      <w:divBdr>
        <w:top w:val="none" w:sz="0" w:space="0" w:color="auto"/>
        <w:left w:val="none" w:sz="0" w:space="0" w:color="auto"/>
        <w:bottom w:val="none" w:sz="0" w:space="0" w:color="auto"/>
        <w:right w:val="none" w:sz="0" w:space="0" w:color="auto"/>
      </w:divBdr>
    </w:div>
    <w:div w:id="147405960">
      <w:bodyDiv w:val="1"/>
      <w:marLeft w:val="0"/>
      <w:marRight w:val="0"/>
      <w:marTop w:val="0"/>
      <w:marBottom w:val="0"/>
      <w:divBdr>
        <w:top w:val="none" w:sz="0" w:space="0" w:color="auto"/>
        <w:left w:val="none" w:sz="0" w:space="0" w:color="auto"/>
        <w:bottom w:val="none" w:sz="0" w:space="0" w:color="auto"/>
        <w:right w:val="none" w:sz="0" w:space="0" w:color="auto"/>
      </w:divBdr>
    </w:div>
    <w:div w:id="185367110">
      <w:bodyDiv w:val="1"/>
      <w:marLeft w:val="0"/>
      <w:marRight w:val="0"/>
      <w:marTop w:val="0"/>
      <w:marBottom w:val="0"/>
      <w:divBdr>
        <w:top w:val="none" w:sz="0" w:space="0" w:color="auto"/>
        <w:left w:val="none" w:sz="0" w:space="0" w:color="auto"/>
        <w:bottom w:val="none" w:sz="0" w:space="0" w:color="auto"/>
        <w:right w:val="none" w:sz="0" w:space="0" w:color="auto"/>
      </w:divBdr>
    </w:div>
    <w:div w:id="206843272">
      <w:bodyDiv w:val="1"/>
      <w:marLeft w:val="0"/>
      <w:marRight w:val="0"/>
      <w:marTop w:val="0"/>
      <w:marBottom w:val="0"/>
      <w:divBdr>
        <w:top w:val="none" w:sz="0" w:space="0" w:color="auto"/>
        <w:left w:val="none" w:sz="0" w:space="0" w:color="auto"/>
        <w:bottom w:val="none" w:sz="0" w:space="0" w:color="auto"/>
        <w:right w:val="none" w:sz="0" w:space="0" w:color="auto"/>
      </w:divBdr>
    </w:div>
    <w:div w:id="256521794">
      <w:bodyDiv w:val="1"/>
      <w:marLeft w:val="0"/>
      <w:marRight w:val="0"/>
      <w:marTop w:val="0"/>
      <w:marBottom w:val="0"/>
      <w:divBdr>
        <w:top w:val="none" w:sz="0" w:space="0" w:color="auto"/>
        <w:left w:val="none" w:sz="0" w:space="0" w:color="auto"/>
        <w:bottom w:val="none" w:sz="0" w:space="0" w:color="auto"/>
        <w:right w:val="none" w:sz="0" w:space="0" w:color="auto"/>
      </w:divBdr>
    </w:div>
    <w:div w:id="301497398">
      <w:bodyDiv w:val="1"/>
      <w:marLeft w:val="0"/>
      <w:marRight w:val="0"/>
      <w:marTop w:val="0"/>
      <w:marBottom w:val="0"/>
      <w:divBdr>
        <w:top w:val="none" w:sz="0" w:space="0" w:color="auto"/>
        <w:left w:val="none" w:sz="0" w:space="0" w:color="auto"/>
        <w:bottom w:val="none" w:sz="0" w:space="0" w:color="auto"/>
        <w:right w:val="none" w:sz="0" w:space="0" w:color="auto"/>
      </w:divBdr>
    </w:div>
    <w:div w:id="321929835">
      <w:bodyDiv w:val="1"/>
      <w:marLeft w:val="0"/>
      <w:marRight w:val="0"/>
      <w:marTop w:val="0"/>
      <w:marBottom w:val="0"/>
      <w:divBdr>
        <w:top w:val="none" w:sz="0" w:space="0" w:color="auto"/>
        <w:left w:val="none" w:sz="0" w:space="0" w:color="auto"/>
        <w:bottom w:val="none" w:sz="0" w:space="0" w:color="auto"/>
        <w:right w:val="none" w:sz="0" w:space="0" w:color="auto"/>
      </w:divBdr>
    </w:div>
    <w:div w:id="364256196">
      <w:bodyDiv w:val="1"/>
      <w:marLeft w:val="0"/>
      <w:marRight w:val="0"/>
      <w:marTop w:val="0"/>
      <w:marBottom w:val="0"/>
      <w:divBdr>
        <w:top w:val="none" w:sz="0" w:space="0" w:color="auto"/>
        <w:left w:val="none" w:sz="0" w:space="0" w:color="auto"/>
        <w:bottom w:val="none" w:sz="0" w:space="0" w:color="auto"/>
        <w:right w:val="none" w:sz="0" w:space="0" w:color="auto"/>
      </w:divBdr>
    </w:div>
    <w:div w:id="366104215">
      <w:bodyDiv w:val="1"/>
      <w:marLeft w:val="0"/>
      <w:marRight w:val="0"/>
      <w:marTop w:val="0"/>
      <w:marBottom w:val="0"/>
      <w:divBdr>
        <w:top w:val="none" w:sz="0" w:space="0" w:color="auto"/>
        <w:left w:val="none" w:sz="0" w:space="0" w:color="auto"/>
        <w:bottom w:val="none" w:sz="0" w:space="0" w:color="auto"/>
        <w:right w:val="none" w:sz="0" w:space="0" w:color="auto"/>
      </w:divBdr>
    </w:div>
    <w:div w:id="383874445">
      <w:bodyDiv w:val="1"/>
      <w:marLeft w:val="0"/>
      <w:marRight w:val="0"/>
      <w:marTop w:val="0"/>
      <w:marBottom w:val="0"/>
      <w:divBdr>
        <w:top w:val="none" w:sz="0" w:space="0" w:color="auto"/>
        <w:left w:val="none" w:sz="0" w:space="0" w:color="auto"/>
        <w:bottom w:val="none" w:sz="0" w:space="0" w:color="auto"/>
        <w:right w:val="none" w:sz="0" w:space="0" w:color="auto"/>
      </w:divBdr>
    </w:div>
    <w:div w:id="517547980">
      <w:bodyDiv w:val="1"/>
      <w:marLeft w:val="0"/>
      <w:marRight w:val="0"/>
      <w:marTop w:val="0"/>
      <w:marBottom w:val="0"/>
      <w:divBdr>
        <w:top w:val="none" w:sz="0" w:space="0" w:color="auto"/>
        <w:left w:val="none" w:sz="0" w:space="0" w:color="auto"/>
        <w:bottom w:val="none" w:sz="0" w:space="0" w:color="auto"/>
        <w:right w:val="none" w:sz="0" w:space="0" w:color="auto"/>
      </w:divBdr>
    </w:div>
    <w:div w:id="539975365">
      <w:bodyDiv w:val="1"/>
      <w:marLeft w:val="0"/>
      <w:marRight w:val="0"/>
      <w:marTop w:val="0"/>
      <w:marBottom w:val="0"/>
      <w:divBdr>
        <w:top w:val="none" w:sz="0" w:space="0" w:color="auto"/>
        <w:left w:val="none" w:sz="0" w:space="0" w:color="auto"/>
        <w:bottom w:val="none" w:sz="0" w:space="0" w:color="auto"/>
        <w:right w:val="none" w:sz="0" w:space="0" w:color="auto"/>
      </w:divBdr>
    </w:div>
    <w:div w:id="564610773">
      <w:bodyDiv w:val="1"/>
      <w:marLeft w:val="0"/>
      <w:marRight w:val="0"/>
      <w:marTop w:val="0"/>
      <w:marBottom w:val="0"/>
      <w:divBdr>
        <w:top w:val="none" w:sz="0" w:space="0" w:color="auto"/>
        <w:left w:val="none" w:sz="0" w:space="0" w:color="auto"/>
        <w:bottom w:val="none" w:sz="0" w:space="0" w:color="auto"/>
        <w:right w:val="none" w:sz="0" w:space="0" w:color="auto"/>
      </w:divBdr>
    </w:div>
    <w:div w:id="721444274">
      <w:bodyDiv w:val="1"/>
      <w:marLeft w:val="0"/>
      <w:marRight w:val="0"/>
      <w:marTop w:val="0"/>
      <w:marBottom w:val="0"/>
      <w:divBdr>
        <w:top w:val="none" w:sz="0" w:space="0" w:color="auto"/>
        <w:left w:val="none" w:sz="0" w:space="0" w:color="auto"/>
        <w:bottom w:val="none" w:sz="0" w:space="0" w:color="auto"/>
        <w:right w:val="none" w:sz="0" w:space="0" w:color="auto"/>
      </w:divBdr>
    </w:div>
    <w:div w:id="772361122">
      <w:bodyDiv w:val="1"/>
      <w:marLeft w:val="0"/>
      <w:marRight w:val="0"/>
      <w:marTop w:val="0"/>
      <w:marBottom w:val="0"/>
      <w:divBdr>
        <w:top w:val="none" w:sz="0" w:space="0" w:color="auto"/>
        <w:left w:val="none" w:sz="0" w:space="0" w:color="auto"/>
        <w:bottom w:val="none" w:sz="0" w:space="0" w:color="auto"/>
        <w:right w:val="none" w:sz="0" w:space="0" w:color="auto"/>
      </w:divBdr>
    </w:div>
    <w:div w:id="1010790084">
      <w:bodyDiv w:val="1"/>
      <w:marLeft w:val="0"/>
      <w:marRight w:val="0"/>
      <w:marTop w:val="0"/>
      <w:marBottom w:val="0"/>
      <w:divBdr>
        <w:top w:val="none" w:sz="0" w:space="0" w:color="auto"/>
        <w:left w:val="none" w:sz="0" w:space="0" w:color="auto"/>
        <w:bottom w:val="none" w:sz="0" w:space="0" w:color="auto"/>
        <w:right w:val="none" w:sz="0" w:space="0" w:color="auto"/>
      </w:divBdr>
    </w:div>
    <w:div w:id="1082138014">
      <w:bodyDiv w:val="1"/>
      <w:marLeft w:val="0"/>
      <w:marRight w:val="0"/>
      <w:marTop w:val="0"/>
      <w:marBottom w:val="0"/>
      <w:divBdr>
        <w:top w:val="none" w:sz="0" w:space="0" w:color="auto"/>
        <w:left w:val="none" w:sz="0" w:space="0" w:color="auto"/>
        <w:bottom w:val="none" w:sz="0" w:space="0" w:color="auto"/>
        <w:right w:val="none" w:sz="0" w:space="0" w:color="auto"/>
      </w:divBdr>
    </w:div>
    <w:div w:id="1082336832">
      <w:bodyDiv w:val="1"/>
      <w:marLeft w:val="0"/>
      <w:marRight w:val="0"/>
      <w:marTop w:val="0"/>
      <w:marBottom w:val="0"/>
      <w:divBdr>
        <w:top w:val="none" w:sz="0" w:space="0" w:color="auto"/>
        <w:left w:val="none" w:sz="0" w:space="0" w:color="auto"/>
        <w:bottom w:val="none" w:sz="0" w:space="0" w:color="auto"/>
        <w:right w:val="none" w:sz="0" w:space="0" w:color="auto"/>
      </w:divBdr>
    </w:div>
    <w:div w:id="1176652736">
      <w:bodyDiv w:val="1"/>
      <w:marLeft w:val="0"/>
      <w:marRight w:val="0"/>
      <w:marTop w:val="0"/>
      <w:marBottom w:val="0"/>
      <w:divBdr>
        <w:top w:val="none" w:sz="0" w:space="0" w:color="auto"/>
        <w:left w:val="none" w:sz="0" w:space="0" w:color="auto"/>
        <w:bottom w:val="none" w:sz="0" w:space="0" w:color="auto"/>
        <w:right w:val="none" w:sz="0" w:space="0" w:color="auto"/>
      </w:divBdr>
    </w:div>
    <w:div w:id="1356886676">
      <w:bodyDiv w:val="1"/>
      <w:marLeft w:val="0"/>
      <w:marRight w:val="0"/>
      <w:marTop w:val="0"/>
      <w:marBottom w:val="0"/>
      <w:divBdr>
        <w:top w:val="none" w:sz="0" w:space="0" w:color="auto"/>
        <w:left w:val="none" w:sz="0" w:space="0" w:color="auto"/>
        <w:bottom w:val="none" w:sz="0" w:space="0" w:color="auto"/>
        <w:right w:val="none" w:sz="0" w:space="0" w:color="auto"/>
      </w:divBdr>
    </w:div>
    <w:div w:id="1394430120">
      <w:bodyDiv w:val="1"/>
      <w:marLeft w:val="0"/>
      <w:marRight w:val="0"/>
      <w:marTop w:val="0"/>
      <w:marBottom w:val="0"/>
      <w:divBdr>
        <w:top w:val="none" w:sz="0" w:space="0" w:color="auto"/>
        <w:left w:val="none" w:sz="0" w:space="0" w:color="auto"/>
        <w:bottom w:val="none" w:sz="0" w:space="0" w:color="auto"/>
        <w:right w:val="none" w:sz="0" w:space="0" w:color="auto"/>
      </w:divBdr>
    </w:div>
    <w:div w:id="1467239557">
      <w:bodyDiv w:val="1"/>
      <w:marLeft w:val="0"/>
      <w:marRight w:val="0"/>
      <w:marTop w:val="0"/>
      <w:marBottom w:val="0"/>
      <w:divBdr>
        <w:top w:val="none" w:sz="0" w:space="0" w:color="auto"/>
        <w:left w:val="none" w:sz="0" w:space="0" w:color="auto"/>
        <w:bottom w:val="none" w:sz="0" w:space="0" w:color="auto"/>
        <w:right w:val="none" w:sz="0" w:space="0" w:color="auto"/>
      </w:divBdr>
    </w:div>
    <w:div w:id="1498500645">
      <w:bodyDiv w:val="1"/>
      <w:marLeft w:val="0"/>
      <w:marRight w:val="0"/>
      <w:marTop w:val="0"/>
      <w:marBottom w:val="0"/>
      <w:divBdr>
        <w:top w:val="none" w:sz="0" w:space="0" w:color="auto"/>
        <w:left w:val="none" w:sz="0" w:space="0" w:color="auto"/>
        <w:bottom w:val="none" w:sz="0" w:space="0" w:color="auto"/>
        <w:right w:val="none" w:sz="0" w:space="0" w:color="auto"/>
      </w:divBdr>
    </w:div>
    <w:div w:id="1558471352">
      <w:bodyDiv w:val="1"/>
      <w:marLeft w:val="0"/>
      <w:marRight w:val="0"/>
      <w:marTop w:val="0"/>
      <w:marBottom w:val="0"/>
      <w:divBdr>
        <w:top w:val="none" w:sz="0" w:space="0" w:color="auto"/>
        <w:left w:val="none" w:sz="0" w:space="0" w:color="auto"/>
        <w:bottom w:val="none" w:sz="0" w:space="0" w:color="auto"/>
        <w:right w:val="none" w:sz="0" w:space="0" w:color="auto"/>
      </w:divBdr>
    </w:div>
    <w:div w:id="1564217839">
      <w:bodyDiv w:val="1"/>
      <w:marLeft w:val="0"/>
      <w:marRight w:val="0"/>
      <w:marTop w:val="0"/>
      <w:marBottom w:val="0"/>
      <w:divBdr>
        <w:top w:val="none" w:sz="0" w:space="0" w:color="auto"/>
        <w:left w:val="none" w:sz="0" w:space="0" w:color="auto"/>
        <w:bottom w:val="none" w:sz="0" w:space="0" w:color="auto"/>
        <w:right w:val="none" w:sz="0" w:space="0" w:color="auto"/>
      </w:divBdr>
    </w:div>
    <w:div w:id="1689018926">
      <w:bodyDiv w:val="1"/>
      <w:marLeft w:val="0"/>
      <w:marRight w:val="0"/>
      <w:marTop w:val="0"/>
      <w:marBottom w:val="0"/>
      <w:divBdr>
        <w:top w:val="none" w:sz="0" w:space="0" w:color="auto"/>
        <w:left w:val="none" w:sz="0" w:space="0" w:color="auto"/>
        <w:bottom w:val="none" w:sz="0" w:space="0" w:color="auto"/>
        <w:right w:val="none" w:sz="0" w:space="0" w:color="auto"/>
      </w:divBdr>
    </w:div>
    <w:div w:id="1706172650">
      <w:bodyDiv w:val="1"/>
      <w:marLeft w:val="0"/>
      <w:marRight w:val="0"/>
      <w:marTop w:val="0"/>
      <w:marBottom w:val="0"/>
      <w:divBdr>
        <w:top w:val="none" w:sz="0" w:space="0" w:color="auto"/>
        <w:left w:val="none" w:sz="0" w:space="0" w:color="auto"/>
        <w:bottom w:val="none" w:sz="0" w:space="0" w:color="auto"/>
        <w:right w:val="none" w:sz="0" w:space="0" w:color="auto"/>
      </w:divBdr>
    </w:div>
    <w:div w:id="1714965943">
      <w:bodyDiv w:val="1"/>
      <w:marLeft w:val="0"/>
      <w:marRight w:val="0"/>
      <w:marTop w:val="0"/>
      <w:marBottom w:val="0"/>
      <w:divBdr>
        <w:top w:val="none" w:sz="0" w:space="0" w:color="auto"/>
        <w:left w:val="none" w:sz="0" w:space="0" w:color="auto"/>
        <w:bottom w:val="none" w:sz="0" w:space="0" w:color="auto"/>
        <w:right w:val="none" w:sz="0" w:space="0" w:color="auto"/>
      </w:divBdr>
    </w:div>
    <w:div w:id="1913663386">
      <w:bodyDiv w:val="1"/>
      <w:marLeft w:val="0"/>
      <w:marRight w:val="0"/>
      <w:marTop w:val="0"/>
      <w:marBottom w:val="0"/>
      <w:divBdr>
        <w:top w:val="none" w:sz="0" w:space="0" w:color="auto"/>
        <w:left w:val="none" w:sz="0" w:space="0" w:color="auto"/>
        <w:bottom w:val="none" w:sz="0" w:space="0" w:color="auto"/>
        <w:right w:val="none" w:sz="0" w:space="0" w:color="auto"/>
      </w:divBdr>
    </w:div>
    <w:div w:id="2138448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Classificação por Título"/>
</file>

<file path=customXml/itemProps1.xml><?xml version="1.0" encoding="utf-8"?>
<ds:datastoreItem xmlns:ds="http://schemas.openxmlformats.org/officeDocument/2006/customXml" ds:itemID="{BDAF9210-E948-4B83-B40F-14EF6160F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11361</Words>
  <Characters>64761</Characters>
  <Application>Microsoft Office Word</Application>
  <DocSecurity>0</DocSecurity>
  <Lines>539</Lines>
  <Paragraphs>151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Microsoft Office</dc:creator>
  <cp:keywords/>
  <dc:description/>
  <cp:lastModifiedBy>HP</cp:lastModifiedBy>
  <cp:revision>2</cp:revision>
  <dcterms:created xsi:type="dcterms:W3CDTF">2019-07-19T22:31:00Z</dcterms:created>
  <dcterms:modified xsi:type="dcterms:W3CDTF">2019-07-19T22:31:00Z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http://www.zotero.org/styles/chicago-fullnote-bibliography</vt:lpwstr>
  </property>
  <property fmtid="{D5CDD505-2E9C-101B-9397-08002B2CF9AE}" pid="5" name="Mendeley Recent Style Name 1_1">
    <vt:lpwstr>Chicago Manual of Style 17th edition (full note)</vt:lpwstr>
  </property>
  <property fmtid="{D5CDD505-2E9C-101B-9397-08002B2CF9AE}" pid="6" name="Mendeley Recent Style Id 2_1">
    <vt:lpwstr>http://www.zotero.org/styles/endoscopy</vt:lpwstr>
  </property>
  <property fmtid="{D5CDD505-2E9C-101B-9397-08002B2CF9AE}" pid="7" name="Mendeley Recent Style Name 2_1">
    <vt:lpwstr>Endoscopy</vt:lpwstr>
  </property>
  <property fmtid="{D5CDD505-2E9C-101B-9397-08002B2CF9AE}" pid="8" name="Mendeley Recent Style Id 3_1">
    <vt:lpwstr>http://www.zotero.org/styles/endoscopy-international-open</vt:lpwstr>
  </property>
  <property fmtid="{D5CDD505-2E9C-101B-9397-08002B2CF9AE}" pid="9" name="Mendeley Recent Style Name 3_1">
    <vt:lpwstr>Endoscopy International Open</vt:lpwstr>
  </property>
  <property fmtid="{D5CDD505-2E9C-101B-9397-08002B2CF9AE}" pid="10" name="Mendeley Recent Style Id 4_1">
    <vt:lpwstr>http://www.zotero.org/styles/gastrointestinal-endoscopy</vt:lpwstr>
  </property>
  <property fmtid="{D5CDD505-2E9C-101B-9397-08002B2CF9AE}" pid="11" name="Mendeley Recent Style Name 4_1">
    <vt:lpwstr>Gastrointestinal Endoscopy</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http://www.zotero.org/styles/nature-no-et-al</vt:lpwstr>
  </property>
  <property fmtid="{D5CDD505-2E9C-101B-9397-08002B2CF9AE}" pid="15" name="Mendeley Recent Style Name 6_1">
    <vt:lpwstr>Nature (no "et al.")</vt:lpwstr>
  </property>
  <property fmtid="{D5CDD505-2E9C-101B-9397-08002B2CF9AE}" pid="16" name="Mendeley Recent Style Id 7_1">
    <vt:lpwstr>http://www.zotero.org/styles/surgical-endoscopy</vt:lpwstr>
  </property>
  <property fmtid="{D5CDD505-2E9C-101B-9397-08002B2CF9AE}" pid="17" name="Mendeley Recent Style Name 7_1">
    <vt:lpwstr>Surgical Endoscopy</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y fmtid="{D5CDD505-2E9C-101B-9397-08002B2CF9AE}" pid="22" name="Mendeley Document_1">
    <vt:lpwstr>True</vt:lpwstr>
  </property>
  <property fmtid="{D5CDD505-2E9C-101B-9397-08002B2CF9AE}" pid="23" name="Mendeley Unique User Id_1">
    <vt:lpwstr>8939e676-c892-3e2d-9991-ddd80c921c92</vt:lpwstr>
  </property>
  <property fmtid="{D5CDD505-2E9C-101B-9397-08002B2CF9AE}" pid="24" name="Mendeley Citation Style_1">
    <vt:lpwstr>http://www.zotero.org/styles/world-journal-of-gastroenterology</vt:lpwstr>
  </property>
</Properties>
</file>