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02E5E" w14:textId="02B9D002" w:rsidR="009F3E61" w:rsidRPr="000946AD" w:rsidRDefault="009F3E61" w:rsidP="00F45082">
      <w:pPr>
        <w:spacing w:line="360" w:lineRule="auto"/>
        <w:jc w:val="both"/>
        <w:rPr>
          <w:rStyle w:val="Ninguno"/>
          <w:rFonts w:ascii="Book Antiqua" w:hAnsi="Book Antiqua"/>
          <w:b/>
          <w:bCs/>
        </w:rPr>
      </w:pPr>
      <w:r w:rsidRPr="000946AD">
        <w:rPr>
          <w:rStyle w:val="Ninguno"/>
          <w:rFonts w:ascii="Book Antiqua" w:hAnsi="Book Antiqua"/>
          <w:b/>
          <w:bCs/>
        </w:rPr>
        <w:t xml:space="preserve">Name of Journal: </w:t>
      </w:r>
      <w:r w:rsidR="000B2C5F" w:rsidRPr="000946AD">
        <w:rPr>
          <w:rStyle w:val="Ninguno"/>
          <w:rFonts w:ascii="Book Antiqua" w:hAnsi="Book Antiqua"/>
          <w:b/>
          <w:bCs/>
          <w:i/>
          <w:iCs/>
        </w:rPr>
        <w:t>World Journal of Clinical Cases</w:t>
      </w:r>
    </w:p>
    <w:p w14:paraId="39E4A4D6" w14:textId="2D5726C9" w:rsidR="009F3E61" w:rsidRPr="000946AD" w:rsidRDefault="009F3E61" w:rsidP="00F45082">
      <w:pPr>
        <w:spacing w:line="360" w:lineRule="auto"/>
        <w:jc w:val="both"/>
        <w:rPr>
          <w:rStyle w:val="Ninguno"/>
          <w:rFonts w:ascii="Book Antiqua" w:hAnsi="Book Antiqua"/>
          <w:b/>
          <w:bCs/>
        </w:rPr>
      </w:pPr>
      <w:r w:rsidRPr="000946AD">
        <w:rPr>
          <w:rStyle w:val="Ninguno"/>
          <w:rFonts w:ascii="Book Antiqua" w:hAnsi="Book Antiqua"/>
          <w:b/>
          <w:bCs/>
        </w:rPr>
        <w:t xml:space="preserve">Manuscript NO: </w:t>
      </w:r>
      <w:r w:rsidR="00461100" w:rsidRPr="000946AD">
        <w:rPr>
          <w:rStyle w:val="Ninguno"/>
          <w:rFonts w:ascii="Book Antiqua" w:hAnsi="Book Antiqua"/>
          <w:b/>
          <w:bCs/>
        </w:rPr>
        <w:t>47934</w:t>
      </w:r>
    </w:p>
    <w:p w14:paraId="4CC73F2A" w14:textId="6B7D1D94" w:rsidR="0007436B" w:rsidRPr="000946AD" w:rsidRDefault="00761145" w:rsidP="00F45082">
      <w:pPr>
        <w:spacing w:line="360" w:lineRule="auto"/>
        <w:jc w:val="both"/>
        <w:rPr>
          <w:rStyle w:val="Ninguno"/>
          <w:rFonts w:ascii="Book Antiqua" w:eastAsia="Book Antiqua" w:hAnsi="Book Antiqua" w:cs="Book Antiqua"/>
          <w:b/>
          <w:bCs/>
        </w:rPr>
      </w:pPr>
      <w:r w:rsidRPr="000946AD">
        <w:rPr>
          <w:rStyle w:val="Ninguno"/>
          <w:rFonts w:ascii="Book Antiqua" w:hAnsi="Book Antiqua"/>
          <w:b/>
          <w:bCs/>
        </w:rPr>
        <w:t>Manuscript Type: ORIGINAL ARTICLE</w:t>
      </w:r>
    </w:p>
    <w:p w14:paraId="12CF0614" w14:textId="77777777" w:rsidR="0007436B" w:rsidRPr="00F45082"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2B28DC3F" w14:textId="77777777" w:rsidR="0007436B" w:rsidRPr="000946AD" w:rsidRDefault="00761145" w:rsidP="00F45082">
      <w:pPr>
        <w:pStyle w:val="CuerpoA"/>
        <w:spacing w:line="360" w:lineRule="auto"/>
        <w:jc w:val="both"/>
        <w:rPr>
          <w:rStyle w:val="Ninguno"/>
          <w:rFonts w:ascii="Book Antiqua" w:eastAsia="宋体" w:hAnsi="Book Antiqua" w:cs="宋体"/>
          <w:b/>
          <w:bCs/>
          <w:i/>
          <w:iCs/>
          <w:sz w:val="24"/>
          <w:szCs w:val="24"/>
        </w:rPr>
      </w:pPr>
      <w:r w:rsidRPr="000946AD">
        <w:rPr>
          <w:rStyle w:val="Ninguno"/>
          <w:rFonts w:ascii="Book Antiqua" w:hAnsi="Book Antiqua"/>
          <w:b/>
          <w:bCs/>
          <w:i/>
          <w:iCs/>
          <w:sz w:val="24"/>
          <w:szCs w:val="24"/>
        </w:rPr>
        <w:t xml:space="preserve">Retrospective study </w:t>
      </w:r>
    </w:p>
    <w:p w14:paraId="59963274"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Predictors of dehydration and acute renal failure in patients with diverting loop ileostomy creation after colorectal surgery</w:t>
      </w:r>
    </w:p>
    <w:p w14:paraId="721A769C"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7C454324" w14:textId="71D5708E"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Vergara-Fernández O </w:t>
      </w:r>
      <w:r w:rsidR="00C64FF9" w:rsidRPr="000946AD">
        <w:rPr>
          <w:rStyle w:val="Ninguno"/>
          <w:rFonts w:ascii="Book Antiqua" w:hAnsi="Book Antiqua"/>
          <w:i/>
          <w:iCs/>
          <w:sz w:val="24"/>
          <w:szCs w:val="24"/>
        </w:rPr>
        <w:t>et al</w:t>
      </w:r>
      <w:r w:rsidR="005F32F0" w:rsidRPr="000946AD">
        <w:rPr>
          <w:rStyle w:val="Ninguno"/>
          <w:rFonts w:ascii="Book Antiqua" w:hAnsi="Book Antiqua"/>
          <w:i/>
          <w:iCs/>
          <w:sz w:val="24"/>
          <w:szCs w:val="24"/>
        </w:rPr>
        <w:t>.</w:t>
      </w:r>
      <w:r w:rsidRPr="000946AD">
        <w:rPr>
          <w:rStyle w:val="Ninguno"/>
          <w:rFonts w:ascii="Book Antiqua" w:hAnsi="Book Antiqua"/>
          <w:sz w:val="24"/>
          <w:szCs w:val="24"/>
        </w:rPr>
        <w:t xml:space="preserve"> Dehydration in diverting loop ileostomy</w:t>
      </w:r>
    </w:p>
    <w:p w14:paraId="082DC1AE"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5E6BDE97"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Omar Vergara-Fernández, Mario Trejo-Ávila, Oscar Santes, Danilo Solórzano-Vicuña, Noel Salgado-Nesme</w:t>
      </w:r>
    </w:p>
    <w:p w14:paraId="6B473167"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53F2180"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Omar Vergara-Fernández, Mario Trejo-Ávila, Oscar Santes, Danilo Solórzano-Vicuña, Noel Salgado-Nesme, </w:t>
      </w:r>
      <w:r w:rsidRPr="000946AD">
        <w:rPr>
          <w:rStyle w:val="Ninguno"/>
          <w:rFonts w:ascii="Book Antiqua" w:hAnsi="Book Antiqua"/>
          <w:sz w:val="24"/>
          <w:szCs w:val="24"/>
        </w:rPr>
        <w:t xml:space="preserve">Department of Colorectal Surgery, </w:t>
      </w:r>
      <w:r w:rsidRPr="000946AD">
        <w:rPr>
          <w:rStyle w:val="Ninguno"/>
          <w:rFonts w:ascii="Book Antiqua" w:hAnsi="Book Antiqua"/>
          <w:sz w:val="24"/>
          <w:szCs w:val="24"/>
          <w:lang w:val="pt-PT"/>
        </w:rPr>
        <w:t>Instituto Nacional de Ciencias M</w:t>
      </w:r>
      <w:r w:rsidRPr="000946AD">
        <w:rPr>
          <w:rStyle w:val="Ninguno"/>
          <w:rFonts w:ascii="Book Antiqua" w:hAnsi="Book Antiqua"/>
          <w:sz w:val="24"/>
          <w:szCs w:val="24"/>
          <w:lang w:val="fr-FR"/>
        </w:rPr>
        <w:t>é</w:t>
      </w:r>
      <w:r w:rsidRPr="000946AD">
        <w:rPr>
          <w:rStyle w:val="Ninguno"/>
          <w:rFonts w:ascii="Book Antiqua" w:hAnsi="Book Antiqua"/>
          <w:sz w:val="24"/>
          <w:szCs w:val="24"/>
        </w:rPr>
        <w:t>dicas y Nutrición “</w:t>
      </w:r>
      <w:r w:rsidRPr="000946AD">
        <w:rPr>
          <w:rStyle w:val="Ninguno"/>
          <w:rFonts w:ascii="Book Antiqua" w:hAnsi="Book Antiqua"/>
          <w:sz w:val="24"/>
          <w:szCs w:val="24"/>
          <w:lang w:val="pt-PT"/>
        </w:rPr>
        <w:t>Salvador Zubir</w:t>
      </w:r>
      <w:r w:rsidRPr="000946AD">
        <w:rPr>
          <w:rStyle w:val="Ninguno"/>
          <w:rFonts w:ascii="Book Antiqua" w:hAnsi="Book Antiqua"/>
          <w:sz w:val="24"/>
          <w:szCs w:val="24"/>
        </w:rPr>
        <w:t>án”,</w:t>
      </w:r>
      <w:r w:rsidRPr="000946AD">
        <w:rPr>
          <w:rStyle w:val="Ninguno"/>
          <w:rFonts w:ascii="Book Antiqua" w:hAnsi="Book Antiqua"/>
          <w:sz w:val="24"/>
          <w:szCs w:val="24"/>
          <w:lang w:val="nl-NL"/>
        </w:rPr>
        <w:t xml:space="preserve"> Mexico City 14080, Mexico</w:t>
      </w:r>
    </w:p>
    <w:p w14:paraId="01F4E054"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A4EAC2A" w14:textId="77777777" w:rsidR="0007436B" w:rsidRPr="000946AD" w:rsidRDefault="00761145" w:rsidP="00F45082">
      <w:pPr>
        <w:pStyle w:val="BodyA"/>
        <w:spacing w:line="360" w:lineRule="auto"/>
        <w:jc w:val="both"/>
        <w:rPr>
          <w:rStyle w:val="Ninguno"/>
          <w:rFonts w:ascii="Book Antiqua" w:eastAsia="Book Antiqua" w:hAnsi="Book Antiqua" w:cs="Book Antiqua"/>
          <w:b/>
          <w:bCs/>
          <w:color w:val="222222"/>
          <w:sz w:val="24"/>
          <w:szCs w:val="24"/>
          <w:u w:color="222222"/>
        </w:rPr>
      </w:pPr>
      <w:r w:rsidRPr="000946AD">
        <w:rPr>
          <w:rStyle w:val="Ninguno"/>
          <w:rFonts w:ascii="Book Antiqua" w:hAnsi="Book Antiqua"/>
          <w:b/>
          <w:bCs/>
          <w:color w:val="222222"/>
          <w:sz w:val="24"/>
          <w:szCs w:val="24"/>
          <w:u w:color="222222"/>
        </w:rPr>
        <w:t xml:space="preserve">ORCID number: </w:t>
      </w:r>
      <w:r w:rsidRPr="000946AD">
        <w:rPr>
          <w:rStyle w:val="Ninguno"/>
          <w:rFonts w:ascii="Book Antiqua" w:hAnsi="Book Antiqua"/>
          <w:color w:val="222222"/>
          <w:sz w:val="24"/>
          <w:szCs w:val="24"/>
          <w:u w:color="222222"/>
          <w:lang w:val="es-ES_tradnl"/>
        </w:rPr>
        <w:t xml:space="preserve">Omar Vergara-Fernández (0000-0002-1990-2480); </w:t>
      </w:r>
      <w:r w:rsidRPr="000946AD">
        <w:rPr>
          <w:rStyle w:val="Ninguno"/>
          <w:rFonts w:ascii="Book Antiqua" w:hAnsi="Book Antiqua"/>
          <w:sz w:val="24"/>
          <w:szCs w:val="24"/>
          <w:lang w:val="es-ES_tradnl"/>
        </w:rPr>
        <w:t>Mario Trejo-Avila (0000-0001-9249-3321); Oscar Santes (0000-0002-6393-4607); Danilo Solórzano-Vicuña (0000-0003-4801-1414); Noel Salgado-Nesme (0000-0002-3559-5070).</w:t>
      </w:r>
    </w:p>
    <w:p w14:paraId="272FA333"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6994A122"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Author contributions:</w:t>
      </w:r>
      <w:r w:rsidRPr="000946AD">
        <w:rPr>
          <w:rStyle w:val="Ninguno"/>
          <w:rFonts w:ascii="Book Antiqua" w:hAnsi="Book Antiqua"/>
          <w:sz w:val="24"/>
          <w:szCs w:val="24"/>
        </w:rPr>
        <w:t xml:space="preserve"> Omar Vergara-Fernández, and Mario Trejo-Avila designed this work, collected and interpreted the data, and drafted the manuscript. Mario Trejo-Avila performed statistical analyses. Oscar Santes, Danilo Solórzano-Vicuña, Noel Salgado-Nesme contributed to study concept, critically revised the manuscript, and performed overall supervision. All authors contributed to the final approval of the manuscript. </w:t>
      </w:r>
    </w:p>
    <w:p w14:paraId="05F68BBE" w14:textId="77777777" w:rsidR="0007436B" w:rsidRPr="000946AD" w:rsidRDefault="0007436B"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宋体" w:hAnsi="Book Antiqua" w:cs="宋体"/>
          <w:sz w:val="24"/>
          <w:szCs w:val="24"/>
          <w:lang w:val="zh-TW" w:eastAsia="zh-TW"/>
        </w:rPr>
      </w:pPr>
    </w:p>
    <w:p w14:paraId="5E5BAB33" w14:textId="77777777" w:rsidR="0007436B" w:rsidRPr="000946AD" w:rsidRDefault="00761145"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Institutional review board statement:</w:t>
      </w:r>
      <w:r w:rsidRPr="000946AD">
        <w:rPr>
          <w:rStyle w:val="Ninguno"/>
          <w:rFonts w:ascii="Book Antiqua" w:hAnsi="Book Antiqua"/>
          <w:sz w:val="24"/>
          <w:szCs w:val="24"/>
        </w:rPr>
        <w:t xml:space="preserve"> This study was approved by the Institutional Review Board of the hospital. </w:t>
      </w:r>
    </w:p>
    <w:p w14:paraId="7DC39FB0" w14:textId="77777777" w:rsidR="0007436B" w:rsidRPr="000946AD" w:rsidRDefault="0007436B"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b/>
          <w:bCs/>
          <w:sz w:val="24"/>
          <w:szCs w:val="24"/>
        </w:rPr>
      </w:pPr>
    </w:p>
    <w:p w14:paraId="54D20CCF" w14:textId="77777777" w:rsidR="0007436B" w:rsidRPr="000946AD" w:rsidRDefault="00761145"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Informed consent statement:  </w:t>
      </w:r>
      <w:r w:rsidRPr="000946AD">
        <w:rPr>
          <w:rStyle w:val="Ninguno"/>
          <w:rFonts w:ascii="Book Antiqua" w:hAnsi="Book Antiqua"/>
          <w:sz w:val="24"/>
          <w:szCs w:val="24"/>
        </w:rPr>
        <w:t xml:space="preserve">Patients were not required to give informed consent to the study because the analysis used anonymous clinical data that were obtained after each patient agreed to treatment by written consent. </w:t>
      </w:r>
    </w:p>
    <w:p w14:paraId="1942545E" w14:textId="77777777" w:rsidR="0007436B" w:rsidRPr="000946AD" w:rsidRDefault="0007436B"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b/>
          <w:bCs/>
          <w:sz w:val="24"/>
          <w:szCs w:val="24"/>
        </w:rPr>
      </w:pPr>
    </w:p>
    <w:p w14:paraId="20AB5498" w14:textId="77777777" w:rsidR="0007436B" w:rsidRPr="000946AD" w:rsidRDefault="00761145"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Conflict-of-interest statement: </w:t>
      </w:r>
      <w:r w:rsidRPr="000946AD">
        <w:rPr>
          <w:rStyle w:val="Ninguno"/>
          <w:rFonts w:ascii="Book Antiqua" w:hAnsi="Book Antiqua"/>
          <w:sz w:val="24"/>
          <w:szCs w:val="24"/>
        </w:rPr>
        <w:t xml:space="preserve">The authors deny any conflict of interest related to this article. </w:t>
      </w:r>
    </w:p>
    <w:p w14:paraId="67D918C4"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0E981755"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 xml:space="preserve">Data sharing statement: </w:t>
      </w:r>
      <w:r w:rsidRPr="000946AD">
        <w:rPr>
          <w:rStyle w:val="Ninguno"/>
          <w:rFonts w:ascii="Book Antiqua" w:hAnsi="Book Antiqua"/>
          <w:sz w:val="24"/>
          <w:szCs w:val="24"/>
        </w:rPr>
        <w:t xml:space="preserve">No additional data are available. </w:t>
      </w:r>
    </w:p>
    <w:p w14:paraId="7BC3E294" w14:textId="3568ADF8" w:rsidR="0007436B" w:rsidRPr="000946AD" w:rsidRDefault="0007436B" w:rsidP="00F45082">
      <w:pPr>
        <w:pStyle w:val="CuerpoA"/>
        <w:spacing w:line="360" w:lineRule="auto"/>
        <w:jc w:val="both"/>
        <w:rPr>
          <w:rStyle w:val="Ninguno"/>
          <w:rFonts w:ascii="Book Antiqua" w:eastAsiaTheme="minorEastAsia" w:hAnsi="Book Antiqua" w:cs="Book Antiqua"/>
          <w:sz w:val="24"/>
          <w:szCs w:val="24"/>
        </w:rPr>
      </w:pPr>
    </w:p>
    <w:p w14:paraId="1BE447F0" w14:textId="5A4EF9F3" w:rsidR="00127841" w:rsidRPr="000946AD" w:rsidRDefault="00127841" w:rsidP="00F45082">
      <w:pPr>
        <w:pBdr>
          <w:top w:val="none" w:sz="0" w:space="0" w:color="auto"/>
          <w:left w:val="none" w:sz="0" w:space="0" w:color="auto"/>
          <w:bottom w:val="none" w:sz="0" w:space="0" w:color="auto"/>
          <w:right w:val="none" w:sz="0" w:space="0" w:color="auto"/>
        </w:pBdr>
        <w:spacing w:line="360" w:lineRule="auto"/>
        <w:jc w:val="both"/>
        <w:rPr>
          <w:rFonts w:ascii="Book Antiqua" w:hAnsi="Book Antiqua"/>
        </w:rPr>
      </w:pPr>
      <w:bookmarkStart w:id="0" w:name="OLE_LINK507"/>
      <w:bookmarkStart w:id="1" w:name="OLE_LINK506"/>
      <w:bookmarkStart w:id="2" w:name="OLE_LINK496"/>
      <w:bookmarkStart w:id="3" w:name="OLE_LINK479"/>
      <w:bookmarkStart w:id="4" w:name="OLE_LINK1"/>
      <w:r w:rsidRPr="000946AD">
        <w:rPr>
          <w:rFonts w:ascii="Book Antiqua" w:hAnsi="Book Antiqua"/>
          <w:b/>
        </w:rPr>
        <w:t xml:space="preserve">Open-Access: </w:t>
      </w:r>
      <w:r w:rsidRPr="000946A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p w14:paraId="7C4B62C6" w14:textId="77777777" w:rsidR="00127841" w:rsidRPr="000946AD" w:rsidRDefault="00127841" w:rsidP="00F45082">
      <w:pPr>
        <w:spacing w:line="360" w:lineRule="auto"/>
        <w:rPr>
          <w:rFonts w:ascii="Book Antiqua" w:hAnsi="Book Antiqua"/>
          <w:b/>
        </w:rPr>
      </w:pPr>
    </w:p>
    <w:p w14:paraId="1FA87212" w14:textId="1A3ADB97" w:rsidR="00127841" w:rsidRPr="000946AD" w:rsidRDefault="00127841" w:rsidP="00F45082">
      <w:pPr>
        <w:spacing w:line="360" w:lineRule="auto"/>
        <w:rPr>
          <w:rFonts w:ascii="Book Antiqua" w:hAnsi="Book Antiqua"/>
        </w:rPr>
      </w:pPr>
      <w:r w:rsidRPr="000946AD">
        <w:rPr>
          <w:rFonts w:ascii="Book Antiqua" w:hAnsi="Book Antiqua"/>
          <w:b/>
        </w:rPr>
        <w:t xml:space="preserve">Manuscript source: </w:t>
      </w:r>
      <w:r w:rsidR="007D4AE4" w:rsidRPr="007D4AE4">
        <w:rPr>
          <w:rFonts w:ascii="Book Antiqua" w:hAnsi="Book Antiqua"/>
        </w:rPr>
        <w:t>Invited Manuscript</w:t>
      </w:r>
    </w:p>
    <w:p w14:paraId="0BE6DFEF" w14:textId="77777777" w:rsidR="00127841" w:rsidRPr="000946AD" w:rsidRDefault="00127841" w:rsidP="00F45082">
      <w:pPr>
        <w:pStyle w:val="CuerpoA"/>
        <w:spacing w:line="360" w:lineRule="auto"/>
        <w:jc w:val="both"/>
        <w:rPr>
          <w:rStyle w:val="Ninguno"/>
          <w:rFonts w:ascii="Book Antiqua" w:eastAsiaTheme="minorEastAsia" w:hAnsi="Book Antiqua" w:cs="Book Antiqua"/>
          <w:sz w:val="24"/>
          <w:szCs w:val="24"/>
          <w:lang w:val="en-US"/>
        </w:rPr>
      </w:pPr>
    </w:p>
    <w:p w14:paraId="24D84BA4" w14:textId="6F9137AF"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 xml:space="preserve">Corresponding author: </w:t>
      </w:r>
      <w:r w:rsidRPr="000946AD">
        <w:rPr>
          <w:rStyle w:val="Ninguno"/>
          <w:rFonts w:ascii="Book Antiqua" w:hAnsi="Book Antiqua"/>
          <w:sz w:val="24"/>
          <w:szCs w:val="24"/>
        </w:rPr>
        <w:t xml:space="preserve"> </w:t>
      </w:r>
      <w:r w:rsidRPr="000946AD">
        <w:rPr>
          <w:rStyle w:val="Ninguno"/>
          <w:rFonts w:ascii="Book Antiqua" w:hAnsi="Book Antiqua"/>
          <w:b/>
          <w:bCs/>
          <w:sz w:val="24"/>
          <w:szCs w:val="24"/>
        </w:rPr>
        <w:t xml:space="preserve">Mario Trejo-Avila, MD, </w:t>
      </w:r>
      <w:r w:rsidRPr="000946AD">
        <w:rPr>
          <w:rStyle w:val="Ninguno"/>
          <w:rFonts w:ascii="Book Antiqua" w:hAnsi="Book Antiqua"/>
          <w:sz w:val="24"/>
          <w:szCs w:val="24"/>
        </w:rPr>
        <w:t>Department of Colorectal Surgery, Instituto Nacional de Ciencias Medicas y Nutrición “</w:t>
      </w:r>
      <w:r w:rsidRPr="000946AD">
        <w:rPr>
          <w:rStyle w:val="Ninguno"/>
          <w:rFonts w:ascii="Book Antiqua" w:hAnsi="Book Antiqua"/>
          <w:sz w:val="24"/>
          <w:szCs w:val="24"/>
          <w:lang w:val="pt-PT"/>
        </w:rPr>
        <w:t>Salvador Zubir</w:t>
      </w:r>
      <w:r w:rsidRPr="000946AD">
        <w:rPr>
          <w:rStyle w:val="Ninguno"/>
          <w:rFonts w:ascii="Book Antiqua" w:hAnsi="Book Antiqua"/>
          <w:sz w:val="24"/>
          <w:szCs w:val="24"/>
        </w:rPr>
        <w:t>án”. Vasco de Quiroga, 15, Seccio</w:t>
      </w:r>
      <w:r w:rsidR="009127A1">
        <w:rPr>
          <w:rStyle w:val="Ninguno"/>
          <w:rFonts w:ascii="Book Antiqua" w:hAnsi="Book Antiqua"/>
          <w:sz w:val="24"/>
          <w:szCs w:val="24"/>
        </w:rPr>
        <w:t>’</w:t>
      </w:r>
      <w:r w:rsidRPr="000946AD">
        <w:rPr>
          <w:rStyle w:val="Ninguno"/>
          <w:rFonts w:ascii="Book Antiqua" w:hAnsi="Book Antiqua"/>
          <w:sz w:val="24"/>
          <w:szCs w:val="24"/>
        </w:rPr>
        <w:t xml:space="preserve">n XVI, Tlalpan 14080, Mexico City, Mexico. </w:t>
      </w:r>
      <w:r w:rsidRPr="000946AD">
        <w:rPr>
          <w:rStyle w:val="Hyperlink0"/>
          <w:b w:val="0"/>
          <w:bCs w:val="0"/>
          <w:color w:val="000000" w:themeColor="text1"/>
          <w:u w:val="none"/>
        </w:rPr>
        <w:t>mario.trejo.avila@gmail.com</w:t>
      </w:r>
      <w:r w:rsidRPr="000946AD">
        <w:rPr>
          <w:rStyle w:val="Ninguno"/>
          <w:rFonts w:ascii="Book Antiqua" w:eastAsia="Book Antiqua" w:hAnsi="Book Antiqua" w:cs="Book Antiqua"/>
          <w:sz w:val="24"/>
          <w:szCs w:val="24"/>
        </w:rPr>
        <w:t xml:space="preserve"> </w:t>
      </w:r>
    </w:p>
    <w:p w14:paraId="18DAA06E" w14:textId="50BCBCB0" w:rsidR="0007436B" w:rsidRPr="000946AD" w:rsidRDefault="00761145" w:rsidP="00F45082">
      <w:pPr>
        <w:pStyle w:val="CuerpoA"/>
        <w:spacing w:line="360" w:lineRule="auto"/>
        <w:jc w:val="both"/>
        <w:rPr>
          <w:rStyle w:val="Ninguno"/>
          <w:rFonts w:ascii="Book Antiqua" w:hAnsi="Book Antiqua"/>
          <w:sz w:val="24"/>
          <w:szCs w:val="24"/>
        </w:rPr>
      </w:pPr>
      <w:r w:rsidRPr="000946AD">
        <w:rPr>
          <w:rStyle w:val="Ninguno"/>
          <w:rFonts w:ascii="Book Antiqua" w:hAnsi="Book Antiqua"/>
          <w:b/>
          <w:bCs/>
          <w:sz w:val="24"/>
          <w:szCs w:val="24"/>
        </w:rPr>
        <w:t>Telephone:</w:t>
      </w:r>
      <w:r w:rsidRPr="000946AD">
        <w:rPr>
          <w:rStyle w:val="Ninguno"/>
          <w:rFonts w:ascii="Book Antiqua" w:hAnsi="Book Antiqua"/>
          <w:sz w:val="24"/>
          <w:szCs w:val="24"/>
        </w:rPr>
        <w:t xml:space="preserve"> +52</w:t>
      </w:r>
      <w:r w:rsidR="00BE2F38" w:rsidRPr="000946AD">
        <w:rPr>
          <w:rStyle w:val="Ninguno"/>
          <w:rFonts w:ascii="Book Antiqua" w:hAnsi="Book Antiqua"/>
          <w:sz w:val="24"/>
          <w:szCs w:val="24"/>
        </w:rPr>
        <w:t>-</w:t>
      </w:r>
      <w:r w:rsidRPr="000946AD">
        <w:rPr>
          <w:rStyle w:val="Ninguno"/>
          <w:rFonts w:ascii="Book Antiqua" w:hAnsi="Book Antiqua"/>
          <w:sz w:val="24"/>
          <w:szCs w:val="24"/>
        </w:rPr>
        <w:t>15</w:t>
      </w:r>
      <w:r w:rsidR="00BE2F38" w:rsidRPr="000946AD">
        <w:rPr>
          <w:rStyle w:val="Ninguno"/>
          <w:rFonts w:ascii="Book Antiqua" w:hAnsi="Book Antiqua"/>
          <w:sz w:val="24"/>
          <w:szCs w:val="24"/>
        </w:rPr>
        <w:t>-</w:t>
      </w:r>
      <w:r w:rsidRPr="000946AD">
        <w:rPr>
          <w:rStyle w:val="Ninguno"/>
          <w:rFonts w:ascii="Book Antiqua" w:hAnsi="Book Antiqua"/>
          <w:sz w:val="24"/>
          <w:szCs w:val="24"/>
        </w:rPr>
        <w:t>4870900</w:t>
      </w:r>
      <w:r w:rsidR="00BE2F38" w:rsidRPr="000946AD">
        <w:rPr>
          <w:rStyle w:val="Ninguno"/>
          <w:rFonts w:ascii="Book Antiqua" w:hAnsi="Book Antiqua"/>
          <w:sz w:val="24"/>
          <w:szCs w:val="24"/>
        </w:rPr>
        <w:t>-</w:t>
      </w:r>
      <w:r w:rsidRPr="000946AD">
        <w:rPr>
          <w:rStyle w:val="Ninguno"/>
          <w:rFonts w:ascii="Book Antiqua" w:hAnsi="Book Antiqua"/>
          <w:sz w:val="24"/>
          <w:szCs w:val="24"/>
        </w:rPr>
        <w:t>2142</w:t>
      </w:r>
    </w:p>
    <w:p w14:paraId="488E1BBD" w14:textId="77777777" w:rsidR="00390AE8" w:rsidRPr="000946AD" w:rsidRDefault="00390AE8" w:rsidP="00F45082">
      <w:pPr>
        <w:pStyle w:val="CuerpoA"/>
        <w:spacing w:line="360" w:lineRule="auto"/>
        <w:jc w:val="both"/>
        <w:rPr>
          <w:rStyle w:val="Ninguno"/>
          <w:rFonts w:ascii="Book Antiqua" w:eastAsia="Book Antiqua" w:hAnsi="Book Antiqua" w:cs="Book Antiqua"/>
          <w:b/>
          <w:bCs/>
          <w:sz w:val="24"/>
          <w:szCs w:val="24"/>
        </w:rPr>
      </w:pPr>
    </w:p>
    <w:p w14:paraId="2F659023" w14:textId="60914CD5"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 xml:space="preserve">Received: </w:t>
      </w:r>
      <w:r w:rsidR="00AD4065" w:rsidRPr="000946AD">
        <w:rPr>
          <w:rStyle w:val="Ninguno"/>
          <w:rFonts w:ascii="Book Antiqua" w:eastAsia="Book Antiqua" w:hAnsi="Book Antiqua" w:cs="Book Antiqua"/>
          <w:sz w:val="24"/>
          <w:szCs w:val="24"/>
        </w:rPr>
        <w:t>April 6</w:t>
      </w:r>
      <w:r w:rsidRPr="000946AD">
        <w:rPr>
          <w:rStyle w:val="Ninguno"/>
          <w:rFonts w:ascii="Book Antiqua" w:eastAsia="Book Antiqua" w:hAnsi="Book Antiqua" w:cs="Book Antiqua"/>
          <w:sz w:val="24"/>
          <w:szCs w:val="24"/>
        </w:rPr>
        <w:t>, 2019</w:t>
      </w:r>
    </w:p>
    <w:p w14:paraId="6657566B" w14:textId="48E6283F"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 xml:space="preserve">Peer-review started: </w:t>
      </w:r>
      <w:r w:rsidR="00C212D4" w:rsidRPr="000946AD">
        <w:rPr>
          <w:rStyle w:val="Ninguno"/>
          <w:rFonts w:ascii="Book Antiqua" w:eastAsia="Book Antiqua" w:hAnsi="Book Antiqua" w:cs="Book Antiqua"/>
          <w:sz w:val="24"/>
          <w:szCs w:val="24"/>
        </w:rPr>
        <w:t>April 8</w:t>
      </w:r>
      <w:r w:rsidRPr="000946AD">
        <w:rPr>
          <w:rStyle w:val="Ninguno"/>
          <w:rFonts w:ascii="Book Antiqua" w:eastAsia="Book Antiqua" w:hAnsi="Book Antiqua" w:cs="Book Antiqua"/>
          <w:sz w:val="24"/>
          <w:szCs w:val="24"/>
        </w:rPr>
        <w:t>, 2019</w:t>
      </w:r>
    </w:p>
    <w:p w14:paraId="3F9B408E" w14:textId="3B0A578D"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 xml:space="preserve">First decision: </w:t>
      </w:r>
      <w:r w:rsidRPr="000946AD">
        <w:rPr>
          <w:rStyle w:val="Ninguno"/>
          <w:rFonts w:ascii="Book Antiqua" w:eastAsia="Book Antiqua" w:hAnsi="Book Antiqua" w:cs="Book Antiqua"/>
          <w:sz w:val="24"/>
          <w:szCs w:val="24"/>
        </w:rPr>
        <w:t>Ma</w:t>
      </w:r>
      <w:r w:rsidR="008C195B" w:rsidRPr="000946AD">
        <w:rPr>
          <w:rStyle w:val="Ninguno"/>
          <w:rFonts w:ascii="Book Antiqua" w:eastAsia="Book Antiqua" w:hAnsi="Book Antiqua" w:cs="Book Antiqua"/>
          <w:sz w:val="24"/>
          <w:szCs w:val="24"/>
        </w:rPr>
        <w:t>y</w:t>
      </w:r>
      <w:r w:rsidRPr="000946AD">
        <w:rPr>
          <w:rStyle w:val="Ninguno"/>
          <w:rFonts w:ascii="Book Antiqua" w:eastAsia="Book Antiqua" w:hAnsi="Book Antiqua" w:cs="Book Antiqua"/>
          <w:sz w:val="24"/>
          <w:szCs w:val="24"/>
        </w:rPr>
        <w:t xml:space="preserve"> </w:t>
      </w:r>
      <w:r w:rsidR="008C195B" w:rsidRPr="000946AD">
        <w:rPr>
          <w:rStyle w:val="Ninguno"/>
          <w:rFonts w:ascii="Book Antiqua" w:eastAsia="Book Antiqua" w:hAnsi="Book Antiqua" w:cs="Book Antiqua"/>
          <w:sz w:val="24"/>
          <w:szCs w:val="24"/>
        </w:rPr>
        <w:t>31</w:t>
      </w:r>
      <w:r w:rsidRPr="000946AD">
        <w:rPr>
          <w:rStyle w:val="Ninguno"/>
          <w:rFonts w:ascii="Book Antiqua" w:eastAsia="Book Antiqua" w:hAnsi="Book Antiqua" w:cs="Book Antiqua"/>
          <w:sz w:val="24"/>
          <w:szCs w:val="24"/>
        </w:rPr>
        <w:t>, 2019</w:t>
      </w:r>
    </w:p>
    <w:p w14:paraId="420860D3" w14:textId="7C67C501"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 xml:space="preserve">Revised: </w:t>
      </w:r>
      <w:r w:rsidR="004C5456" w:rsidRPr="000946AD">
        <w:rPr>
          <w:rStyle w:val="Ninguno"/>
          <w:rFonts w:ascii="Book Antiqua" w:eastAsia="Book Antiqua" w:hAnsi="Book Antiqua" w:cs="Book Antiqua"/>
          <w:sz w:val="24"/>
          <w:szCs w:val="24"/>
        </w:rPr>
        <w:t>June 1</w:t>
      </w:r>
      <w:r w:rsidR="00690857" w:rsidRPr="000946AD">
        <w:rPr>
          <w:rStyle w:val="Ninguno"/>
          <w:rFonts w:ascii="Book Antiqua" w:eastAsia="Book Antiqua" w:hAnsi="Book Antiqua" w:cs="Book Antiqua"/>
          <w:sz w:val="24"/>
          <w:szCs w:val="24"/>
        </w:rPr>
        <w:t>7</w:t>
      </w:r>
      <w:r w:rsidR="004C5456" w:rsidRPr="000946AD">
        <w:rPr>
          <w:rStyle w:val="Ninguno"/>
          <w:rFonts w:ascii="Book Antiqua" w:eastAsia="Book Antiqua" w:hAnsi="Book Antiqua" w:cs="Book Antiqua"/>
          <w:sz w:val="24"/>
          <w:szCs w:val="24"/>
        </w:rPr>
        <w:t>, 2019</w:t>
      </w:r>
    </w:p>
    <w:p w14:paraId="5677654E" w14:textId="2612FA92"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Accepted:</w:t>
      </w:r>
      <w:r w:rsidR="006D5C71" w:rsidRPr="006D5C71">
        <w:t xml:space="preserve"> </w:t>
      </w:r>
      <w:r w:rsidR="006D5C71" w:rsidRPr="006D5C71">
        <w:rPr>
          <w:rStyle w:val="Ninguno"/>
          <w:rFonts w:ascii="Book Antiqua" w:eastAsia="Book Antiqua" w:hAnsi="Book Antiqua" w:cs="Book Antiqua"/>
          <w:sz w:val="24"/>
          <w:szCs w:val="24"/>
        </w:rPr>
        <w:t>June 26, 2019</w:t>
      </w:r>
      <w:r w:rsidRPr="000946AD">
        <w:rPr>
          <w:rStyle w:val="Ninguno"/>
          <w:rFonts w:ascii="Book Antiqua" w:eastAsia="Book Antiqua" w:hAnsi="Book Antiqua" w:cs="Book Antiqua"/>
          <w:b/>
          <w:bCs/>
          <w:sz w:val="24"/>
          <w:szCs w:val="24"/>
        </w:rPr>
        <w:t xml:space="preserve"> </w:t>
      </w:r>
    </w:p>
    <w:p w14:paraId="3D763555" w14:textId="7242A3B0"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Article in press:</w:t>
      </w:r>
      <w:r w:rsidR="005736DF" w:rsidRPr="005736DF">
        <w:rPr>
          <w:rStyle w:val="Ninguno"/>
          <w:rFonts w:ascii="Book Antiqua" w:eastAsia="Book Antiqua" w:hAnsi="Book Antiqua" w:cs="Book Antiqua"/>
          <w:sz w:val="24"/>
          <w:szCs w:val="24"/>
        </w:rPr>
        <w:t xml:space="preserve"> </w:t>
      </w:r>
      <w:r w:rsidR="005736DF" w:rsidRPr="006D5C71">
        <w:rPr>
          <w:rStyle w:val="Ninguno"/>
          <w:rFonts w:ascii="Book Antiqua" w:eastAsia="Book Antiqua" w:hAnsi="Book Antiqua" w:cs="Book Antiqua"/>
          <w:sz w:val="24"/>
          <w:szCs w:val="24"/>
        </w:rPr>
        <w:t>June 26, 2019</w:t>
      </w:r>
    </w:p>
    <w:p w14:paraId="739F8B8B" w14:textId="207D0F34" w:rsidR="00BE2F3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Published online:</w:t>
      </w:r>
      <w:r w:rsidR="005736DF" w:rsidRPr="005736DF">
        <w:rPr>
          <w:rStyle w:val="Ninguno"/>
          <w:rFonts w:ascii="Book Antiqua" w:eastAsia="Book Antiqua" w:hAnsi="Book Antiqua" w:cs="Book Antiqua"/>
          <w:sz w:val="24"/>
          <w:szCs w:val="24"/>
        </w:rPr>
        <w:t xml:space="preserve"> </w:t>
      </w:r>
      <w:r w:rsidR="005736DF" w:rsidRPr="006D5C71">
        <w:rPr>
          <w:rStyle w:val="Ninguno"/>
          <w:rFonts w:ascii="Book Antiqua" w:eastAsia="Book Antiqua" w:hAnsi="Book Antiqua" w:cs="Book Antiqua"/>
          <w:sz w:val="24"/>
          <w:szCs w:val="24"/>
        </w:rPr>
        <w:t>Ju</w:t>
      </w:r>
      <w:r w:rsidR="005736DF">
        <w:rPr>
          <w:rStyle w:val="Ninguno"/>
          <w:rFonts w:ascii="Book Antiqua" w:eastAsiaTheme="minorEastAsia" w:hAnsi="Book Antiqua" w:cs="Book Antiqua" w:hint="eastAsia"/>
          <w:sz w:val="24"/>
          <w:szCs w:val="24"/>
        </w:rPr>
        <w:t>ly</w:t>
      </w:r>
      <w:r w:rsidR="005736DF" w:rsidRPr="006D5C71">
        <w:rPr>
          <w:rStyle w:val="Ninguno"/>
          <w:rFonts w:ascii="Book Antiqua" w:eastAsia="Book Antiqua" w:hAnsi="Book Antiqua" w:cs="Book Antiqua"/>
          <w:sz w:val="24"/>
          <w:szCs w:val="24"/>
        </w:rPr>
        <w:t xml:space="preserve"> 26, 2019</w:t>
      </w:r>
    </w:p>
    <w:p w14:paraId="16496B3D"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71CFD7C2"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2DDAC30" w14:textId="135A2614" w:rsidR="0007436B" w:rsidRPr="000946AD" w:rsidRDefault="00761145" w:rsidP="00F45082">
      <w:pPr>
        <w:pStyle w:val="CuerpoA"/>
        <w:spacing w:line="360" w:lineRule="auto"/>
        <w:jc w:val="both"/>
        <w:rPr>
          <w:rStyle w:val="Ninguno"/>
          <w:rFonts w:ascii="Book Antiqua" w:eastAsiaTheme="minorEastAsia" w:hAnsi="Book Antiqua" w:cs="Book Antiqua"/>
          <w:b/>
          <w:bCs/>
          <w:sz w:val="24"/>
          <w:szCs w:val="24"/>
        </w:rPr>
      </w:pPr>
      <w:r w:rsidRPr="000946AD">
        <w:rPr>
          <w:rStyle w:val="Ninguno"/>
          <w:rFonts w:ascii="Book Antiqua" w:hAnsi="Book Antiqua"/>
          <w:b/>
          <w:bCs/>
          <w:sz w:val="24"/>
          <w:szCs w:val="24"/>
        </w:rPr>
        <w:t>Abstract</w:t>
      </w:r>
    </w:p>
    <w:p w14:paraId="2D237080"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 xml:space="preserve">BACKGROUND </w:t>
      </w:r>
    </w:p>
    <w:p w14:paraId="439FA7C8"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Despite the potential benefits of fecal diversion after low pelvic anastomosis in colorectal surgery, diverting loop ileostomy construction is related to significant rates of complications.</w:t>
      </w:r>
    </w:p>
    <w:p w14:paraId="5EF46FDB"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62741A58"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AIM</w:t>
      </w:r>
    </w:p>
    <w:p w14:paraId="1B23907E"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To determine potential predictors of high output related complications in patients with diverting loop ileostomy creation after colorectal surgery.</w:t>
      </w:r>
    </w:p>
    <w:p w14:paraId="3E6AE22D"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573BF3A" w14:textId="77777777" w:rsidR="0007436B" w:rsidRPr="000946AD" w:rsidRDefault="00761145" w:rsidP="00F45082">
      <w:pPr>
        <w:pStyle w:val="CuerpoA"/>
        <w:spacing w:line="360" w:lineRule="auto"/>
        <w:jc w:val="both"/>
        <w:rPr>
          <w:rStyle w:val="Ninguno"/>
          <w:rFonts w:ascii="Book Antiqua" w:eastAsia="Book Antiqua" w:hAnsi="Book Antiqua" w:cs="Book Antiqua"/>
          <w:i/>
          <w:iCs/>
          <w:sz w:val="24"/>
          <w:szCs w:val="24"/>
        </w:rPr>
      </w:pPr>
      <w:r w:rsidRPr="000946AD">
        <w:rPr>
          <w:rStyle w:val="Ninguno"/>
          <w:rFonts w:ascii="Book Antiqua" w:hAnsi="Book Antiqua"/>
          <w:b/>
          <w:bCs/>
          <w:i/>
          <w:iCs/>
          <w:sz w:val="24"/>
          <w:szCs w:val="24"/>
        </w:rPr>
        <w:t>METHODS</w:t>
      </w:r>
    </w:p>
    <w:p w14:paraId="647BD69B"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Patients who underwent open and laparoscopic colorectal surgery requiring a diverting loop ileostomy from January 2010 to March 2018 were retrospectively analyzed. We included patients older than 18 years, who underwent colorectal surgery with primary low pelvic anastomosis, and with the creation of a diverting loop ileostomy, at elective or emergency settings for the treatment of benign or malignant conditions. Univariate and multivariate logistic regression analysis was used to determine the effect of the potential predictors on the rate of high output related complications. The high output related complications were dehydration and acute renal failure that required visits to the emergency department and hospitalizations.</w:t>
      </w:r>
    </w:p>
    <w:p w14:paraId="7DE4DD89"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5013B9D1"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RESULTS</w:t>
      </w:r>
    </w:p>
    <w:p w14:paraId="1FCC7A3E" w14:textId="65AAF786"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Of the 102 patients included in the study, 23.5% (</w:t>
      </w:r>
      <w:r w:rsidRPr="000946AD">
        <w:rPr>
          <w:rStyle w:val="Ninguno"/>
          <w:rFonts w:ascii="Book Antiqua" w:hAnsi="Book Antiqua"/>
          <w:i/>
          <w:iCs/>
          <w:sz w:val="24"/>
          <w:szCs w:val="24"/>
        </w:rPr>
        <w:t>n</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24) suffered high output related complications. In this group of patients at least one visit to the emergency department (mean 1.6), and at least one readmission to the hospital was needed. The factors associated with high-output ileostomy, in the univariate analysis, were: urgent surgical intervention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2.6;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0.047), the development of postoperative complications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3;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0.024), have ulcerative colitis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4.8;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0.017), use of steroids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4.3;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0.010), mean output at discharge greater than 1000 m</w:t>
      </w:r>
      <w:r w:rsidRPr="000946AD">
        <w:rPr>
          <w:rStyle w:val="Ninguno"/>
          <w:rFonts w:ascii="Book Antiqua" w:hAnsi="Book Antiqua"/>
          <w:caps/>
          <w:sz w:val="24"/>
          <w:szCs w:val="24"/>
        </w:rPr>
        <w:t>l</w:t>
      </w:r>
      <w:r w:rsidRPr="000946AD">
        <w:rPr>
          <w:rStyle w:val="Ninguno"/>
          <w:rFonts w:ascii="Book Antiqua" w:hAnsi="Book Antiqua"/>
          <w:sz w:val="24"/>
          <w:szCs w:val="24"/>
        </w:rPr>
        <w:t>/24 h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3.2;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0.016), and use of loperamide  at discharge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 2.8;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0.032). Multivariate logistic regression analysis identified two independent risk factors for high output related complications: ulcerative colitis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7.6 (</w:t>
      </w:r>
      <w:r w:rsidR="00C64FF9" w:rsidRPr="000946AD">
        <w:rPr>
          <w:rStyle w:val="Ninguno"/>
          <w:rFonts w:ascii="Book Antiqua" w:hAnsi="Book Antiqua"/>
          <w:sz w:val="24"/>
          <w:szCs w:val="24"/>
        </w:rPr>
        <w:t>95%CI:</w:t>
      </w:r>
      <w:r w:rsidRPr="000946AD">
        <w:rPr>
          <w:rStyle w:val="Ninguno"/>
          <w:rFonts w:ascii="Book Antiqua" w:hAnsi="Book Antiqua"/>
          <w:sz w:val="24"/>
          <w:szCs w:val="24"/>
        </w:rPr>
        <w:t xml:space="preserve"> 1.81-31.95); </w:t>
      </w:r>
      <w:r w:rsidR="00560D71" w:rsidRPr="000946AD">
        <w:rPr>
          <w:rStyle w:val="Ninguno"/>
          <w:rFonts w:ascii="Book Antiqua" w:hAnsi="Book Antiqua"/>
          <w:i/>
          <w:iCs/>
          <w:caps/>
          <w:sz w:val="24"/>
          <w:szCs w:val="24"/>
        </w:rPr>
        <w:t>p =</w:t>
      </w:r>
      <w:r w:rsidRPr="000946AD">
        <w:rPr>
          <w:rStyle w:val="Ninguno"/>
          <w:rFonts w:ascii="Book Antiqua" w:hAnsi="Book Antiqua"/>
          <w:sz w:val="24"/>
          <w:szCs w:val="24"/>
        </w:rPr>
        <w:t xml:space="preserve"> 0.006], and ileostomy output at discharge ≥</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1000 mL/24 h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 3.3 (1.18-9.37); </w:t>
      </w:r>
      <w:r w:rsidR="00560D71" w:rsidRPr="000946AD">
        <w:rPr>
          <w:rStyle w:val="Ninguno"/>
          <w:rFonts w:ascii="Book Antiqua" w:hAnsi="Book Antiqua"/>
          <w:i/>
          <w:iCs/>
          <w:caps/>
          <w:sz w:val="24"/>
          <w:szCs w:val="24"/>
        </w:rPr>
        <w:t>p =</w:t>
      </w:r>
      <w:r w:rsidRPr="000946AD">
        <w:rPr>
          <w:rStyle w:val="Ninguno"/>
          <w:rFonts w:ascii="Book Antiqua" w:hAnsi="Book Antiqua"/>
          <w:sz w:val="24"/>
          <w:szCs w:val="24"/>
        </w:rPr>
        <w:t xml:space="preserve"> 0.023].</w:t>
      </w:r>
    </w:p>
    <w:p w14:paraId="027A64E9"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2C7DDD97"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CONCLUSION</w:t>
      </w:r>
    </w:p>
    <w:p w14:paraId="73AAC45E"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In our study, patients with ulcerative colitis and those with an ileostomy output above 1000 m</w:t>
      </w:r>
      <w:r w:rsidRPr="000946AD">
        <w:rPr>
          <w:rStyle w:val="Ninguno"/>
          <w:rFonts w:ascii="Book Antiqua" w:hAnsi="Book Antiqua"/>
          <w:caps/>
          <w:sz w:val="24"/>
          <w:szCs w:val="24"/>
        </w:rPr>
        <w:t>l</w:t>
      </w:r>
      <w:r w:rsidRPr="000946AD">
        <w:rPr>
          <w:rStyle w:val="Ninguno"/>
          <w:rFonts w:ascii="Book Antiqua" w:hAnsi="Book Antiqua"/>
          <w:sz w:val="24"/>
          <w:szCs w:val="24"/>
        </w:rPr>
        <w:t>/24 h at discharge, were at increased risk of high output related complications.</w:t>
      </w:r>
    </w:p>
    <w:p w14:paraId="793C4B2C"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191CCF19" w14:textId="00176B58"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 xml:space="preserve">Key words: </w:t>
      </w:r>
      <w:r w:rsidRPr="000946AD">
        <w:rPr>
          <w:rStyle w:val="Ninguno"/>
          <w:rFonts w:ascii="Book Antiqua" w:hAnsi="Book Antiqua"/>
          <w:sz w:val="24"/>
          <w:szCs w:val="24"/>
        </w:rPr>
        <w:t xml:space="preserve">Loop ileostomy; </w:t>
      </w:r>
      <w:r w:rsidR="00F45FAA" w:rsidRPr="000946AD">
        <w:rPr>
          <w:rStyle w:val="Ninguno"/>
          <w:rFonts w:ascii="Book Antiqua" w:hAnsi="Book Antiqua"/>
          <w:sz w:val="24"/>
          <w:szCs w:val="24"/>
        </w:rPr>
        <w:t>High</w:t>
      </w:r>
      <w:r w:rsidRPr="000946AD">
        <w:rPr>
          <w:rStyle w:val="Ninguno"/>
          <w:rFonts w:ascii="Book Antiqua" w:hAnsi="Book Antiqua"/>
          <w:sz w:val="24"/>
          <w:szCs w:val="24"/>
        </w:rPr>
        <w:t xml:space="preserve">-output ileostomy; </w:t>
      </w:r>
      <w:r w:rsidR="00F45FAA" w:rsidRPr="000946AD">
        <w:rPr>
          <w:rStyle w:val="Ninguno"/>
          <w:rFonts w:ascii="Book Antiqua" w:hAnsi="Book Antiqua"/>
          <w:sz w:val="24"/>
          <w:szCs w:val="24"/>
        </w:rPr>
        <w:t xml:space="preserve">Loop </w:t>
      </w:r>
      <w:r w:rsidRPr="000946AD">
        <w:rPr>
          <w:rStyle w:val="Ninguno"/>
          <w:rFonts w:ascii="Book Antiqua" w:hAnsi="Book Antiqua"/>
          <w:sz w:val="24"/>
          <w:szCs w:val="24"/>
        </w:rPr>
        <w:t xml:space="preserve">ileostomy complications; </w:t>
      </w:r>
      <w:r w:rsidR="00F45FAA" w:rsidRPr="000946AD">
        <w:rPr>
          <w:rStyle w:val="Ninguno"/>
          <w:rFonts w:ascii="Book Antiqua" w:hAnsi="Book Antiqua"/>
          <w:sz w:val="24"/>
          <w:szCs w:val="24"/>
        </w:rPr>
        <w:t>Dehydration</w:t>
      </w:r>
      <w:r w:rsidRPr="000946AD">
        <w:rPr>
          <w:rStyle w:val="Ninguno"/>
          <w:rFonts w:ascii="Book Antiqua" w:hAnsi="Book Antiqua"/>
          <w:sz w:val="24"/>
          <w:szCs w:val="24"/>
        </w:rPr>
        <w:t xml:space="preserve">; </w:t>
      </w:r>
      <w:r w:rsidR="00F45FAA" w:rsidRPr="000946AD">
        <w:rPr>
          <w:rStyle w:val="Ninguno"/>
          <w:rFonts w:ascii="Book Antiqua" w:hAnsi="Book Antiqua"/>
          <w:sz w:val="24"/>
          <w:szCs w:val="24"/>
        </w:rPr>
        <w:t xml:space="preserve">Colorectal </w:t>
      </w:r>
      <w:r w:rsidRPr="000946AD">
        <w:rPr>
          <w:rStyle w:val="Ninguno"/>
          <w:rFonts w:ascii="Book Antiqua" w:hAnsi="Book Antiqua"/>
          <w:sz w:val="24"/>
          <w:szCs w:val="24"/>
        </w:rPr>
        <w:t>surgery</w:t>
      </w:r>
    </w:p>
    <w:p w14:paraId="0141AC28" w14:textId="1D7DBEA0" w:rsidR="0007436B" w:rsidRPr="000946AD" w:rsidRDefault="0007436B" w:rsidP="00F45082">
      <w:pPr>
        <w:pStyle w:val="CuerpoA"/>
        <w:spacing w:line="360" w:lineRule="auto"/>
        <w:jc w:val="both"/>
        <w:rPr>
          <w:rStyle w:val="Ninguno"/>
          <w:rFonts w:ascii="Book Antiqua" w:eastAsiaTheme="minorEastAsia" w:hAnsi="Book Antiqua" w:cs="Book Antiqua"/>
          <w:b/>
          <w:bCs/>
          <w:sz w:val="24"/>
          <w:szCs w:val="24"/>
        </w:rPr>
      </w:pPr>
    </w:p>
    <w:p w14:paraId="4EDAF8F1" w14:textId="77777777" w:rsidR="00283D0B" w:rsidRPr="000946AD" w:rsidRDefault="00283D0B" w:rsidP="00F45082">
      <w:pPr>
        <w:autoSpaceDE w:val="0"/>
        <w:autoSpaceDN w:val="0"/>
        <w:adjustRightInd w:val="0"/>
        <w:snapToGrid w:val="0"/>
        <w:spacing w:line="360" w:lineRule="auto"/>
        <w:rPr>
          <w:rFonts w:ascii="Book Antiqua" w:hAnsi="Book Antiqua"/>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0946AD">
        <w:rPr>
          <w:rFonts w:ascii="Book Antiqua" w:hAnsi="Book Antiqua"/>
          <w:b/>
          <w:lang w:val="en-GB"/>
        </w:rPr>
        <w:t xml:space="preserve">© </w:t>
      </w:r>
      <w:r w:rsidRPr="000946AD">
        <w:rPr>
          <w:rFonts w:ascii="Book Antiqua" w:eastAsia="AdvTimes" w:hAnsi="Book Antiqua" w:cs="AdvTimes"/>
          <w:b/>
        </w:rPr>
        <w:t>The Author(s) 201</w:t>
      </w:r>
      <w:r w:rsidRPr="000946AD">
        <w:rPr>
          <w:rFonts w:ascii="Book Antiqua" w:hAnsi="Book Antiqua" w:cs="AdvTimes"/>
          <w:b/>
        </w:rPr>
        <w:t>9</w:t>
      </w:r>
      <w:r w:rsidRPr="000946AD">
        <w:rPr>
          <w:rFonts w:ascii="Book Antiqua" w:eastAsia="AdvTimes" w:hAnsi="Book Antiqua" w:cs="AdvTimes"/>
        </w:rPr>
        <w:t xml:space="preserve"> Published by </w:t>
      </w:r>
      <w:r w:rsidRPr="000946AD">
        <w:rPr>
          <w:rFonts w:ascii="Book Antiqua" w:hAnsi="Book Antiqua"/>
          <w:lang w:val="en-GB"/>
        </w:rPr>
        <w:t>Baishideng Publishing Group Inc.</w:t>
      </w:r>
      <w:r w:rsidRPr="000946AD">
        <w:rPr>
          <w:rFonts w:ascii="Book Antiqua" w:hAnsi="Book Antiqua"/>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C06C7AE" w14:textId="77777777" w:rsidR="00F45FAA" w:rsidRPr="000946AD" w:rsidRDefault="00F45FAA" w:rsidP="00F45082">
      <w:pPr>
        <w:pStyle w:val="CuerpoA"/>
        <w:spacing w:line="360" w:lineRule="auto"/>
        <w:jc w:val="both"/>
        <w:rPr>
          <w:rStyle w:val="Ninguno"/>
          <w:rFonts w:ascii="Book Antiqua" w:eastAsiaTheme="minorEastAsia" w:hAnsi="Book Antiqua" w:cs="Book Antiqua"/>
          <w:b/>
          <w:bCs/>
          <w:sz w:val="24"/>
          <w:szCs w:val="24"/>
        </w:rPr>
      </w:pPr>
    </w:p>
    <w:p w14:paraId="027F8389" w14:textId="48380E2C"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Core tip: </w:t>
      </w:r>
      <w:r w:rsidRPr="000946AD">
        <w:rPr>
          <w:rStyle w:val="Ninguno"/>
          <w:rFonts w:ascii="Book Antiqua" w:hAnsi="Book Antiqua"/>
          <w:sz w:val="24"/>
          <w:szCs w:val="24"/>
        </w:rPr>
        <w:t>In this retrospective study involving 102 patients who underwent colorectal surgery resections with primary low pelvic anastomosis and with the creation of a diverting loop ileostomy for the treatment of benign and malignant conditions, we evaluated the risk factors for high output related complications. The high output related complications were dehydration and acute renal failure that required visits to the emergency department and hospitalizations. We found that patients with ulcerative colitis and those with an ileostomy output above 1000 m</w:t>
      </w:r>
      <w:r w:rsidRPr="000946AD">
        <w:rPr>
          <w:rStyle w:val="Ninguno"/>
          <w:rFonts w:ascii="Book Antiqua" w:hAnsi="Book Antiqua"/>
          <w:caps/>
          <w:sz w:val="24"/>
          <w:szCs w:val="24"/>
        </w:rPr>
        <w:t>l</w:t>
      </w:r>
      <w:r w:rsidRPr="000946AD">
        <w:rPr>
          <w:rStyle w:val="Ninguno"/>
          <w:rFonts w:ascii="Book Antiqua" w:hAnsi="Book Antiqua"/>
          <w:sz w:val="24"/>
          <w:szCs w:val="24"/>
        </w:rPr>
        <w:t>/24 h at the moment of discharge, were at increased risk of high output related complications.</w:t>
      </w:r>
    </w:p>
    <w:p w14:paraId="70E5CCB3"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71BC4ED2" w14:textId="3EE8AFA7" w:rsidR="005736DF" w:rsidRPr="0018688C" w:rsidRDefault="005736DF" w:rsidP="005736DF">
      <w:pPr>
        <w:spacing w:line="360" w:lineRule="auto"/>
        <w:jc w:val="both"/>
        <w:rPr>
          <w:rFonts w:ascii="Book Antiqua" w:hAnsi="Book Antiqua"/>
          <w:iCs/>
        </w:rPr>
      </w:pPr>
      <w:bookmarkStart w:id="140" w:name="OLE_LINK2"/>
      <w:r w:rsidRPr="0018688C">
        <w:rPr>
          <w:rFonts w:ascii="Book Antiqua" w:hAnsi="Book Antiqua" w:cs="Calibri Light"/>
          <w:b/>
        </w:rPr>
        <w:t>Citation:</w:t>
      </w:r>
      <w:r>
        <w:rPr>
          <w:rFonts w:ascii="Book Antiqua" w:hAnsi="Book Antiqua" w:cs="Calibri Light" w:hint="eastAsia"/>
          <w:b/>
        </w:rPr>
        <w:t xml:space="preserve"> </w:t>
      </w:r>
      <w:r w:rsidR="00761145" w:rsidRPr="000946AD">
        <w:rPr>
          <w:rStyle w:val="Ninguno"/>
          <w:rFonts w:ascii="Book Antiqua" w:hAnsi="Book Antiqua"/>
        </w:rPr>
        <w:t xml:space="preserve">Vergara-Fernández O, Trejo-Ávila M, Santes O, Solórzano-Vicuña D, Salgado-Nesme N. </w:t>
      </w:r>
      <w:r w:rsidR="00283D0B" w:rsidRPr="000946AD">
        <w:rPr>
          <w:rStyle w:val="Ninguno"/>
          <w:rFonts w:ascii="Book Antiqua" w:hAnsi="Book Antiqua"/>
        </w:rPr>
        <w:t xml:space="preserve">Predictors of dehydration and acute renal failure in patients with diverting loop ileostomy creation after colorectal surgery. </w:t>
      </w:r>
      <w:r w:rsidR="00D82BBF" w:rsidRPr="000946AD">
        <w:rPr>
          <w:rStyle w:val="Ninguno"/>
          <w:rFonts w:ascii="Book Antiqua" w:hAnsi="Book Antiqua"/>
          <w:i/>
          <w:iCs/>
        </w:rPr>
        <w:t>World J Clin Cases</w:t>
      </w:r>
      <w:r w:rsidR="00D82BBF" w:rsidRPr="000946AD">
        <w:rPr>
          <w:rStyle w:val="Ninguno"/>
          <w:rFonts w:ascii="Book Antiqua" w:hAnsi="Book Antiqua"/>
        </w:rPr>
        <w:t xml:space="preserve"> </w:t>
      </w:r>
      <w:r w:rsidRPr="0018688C">
        <w:rPr>
          <w:rFonts w:ascii="Book Antiqua" w:hAnsi="Book Antiqua"/>
          <w:iCs/>
        </w:rPr>
        <w:t>2019; 7(</w:t>
      </w:r>
      <w:r>
        <w:rPr>
          <w:rFonts w:ascii="Book Antiqua" w:hAnsi="Book Antiqua" w:hint="eastAsia"/>
          <w:iCs/>
        </w:rPr>
        <w:t>14</w:t>
      </w:r>
      <w:r w:rsidRPr="0018688C">
        <w:rPr>
          <w:rFonts w:ascii="Book Antiqua" w:hAnsi="Book Antiqua"/>
          <w:iCs/>
        </w:rPr>
        <w:t xml:space="preserve">): </w:t>
      </w:r>
      <w:r>
        <w:rPr>
          <w:rFonts w:ascii="Book Antiqua" w:hAnsi="Book Antiqua" w:hint="eastAsia"/>
          <w:iCs/>
        </w:rPr>
        <w:t>18</w:t>
      </w:r>
      <w:r>
        <w:rPr>
          <w:rFonts w:ascii="Book Antiqua" w:hAnsi="Book Antiqua" w:hint="eastAsia"/>
          <w:iCs/>
        </w:rPr>
        <w:t>05</w:t>
      </w:r>
      <w:r w:rsidRPr="0018688C">
        <w:rPr>
          <w:rFonts w:ascii="Book Antiqua" w:hAnsi="Book Antiqua"/>
          <w:iCs/>
        </w:rPr>
        <w:t>-</w:t>
      </w:r>
      <w:r>
        <w:rPr>
          <w:rFonts w:ascii="Book Antiqua" w:hAnsi="Book Antiqua" w:hint="eastAsia"/>
          <w:iCs/>
        </w:rPr>
        <w:t>18</w:t>
      </w:r>
      <w:r>
        <w:rPr>
          <w:rFonts w:ascii="Book Antiqua" w:hAnsi="Book Antiqua" w:hint="eastAsia"/>
          <w:iCs/>
        </w:rPr>
        <w:t>13</w:t>
      </w:r>
      <w:r w:rsidRPr="0018688C">
        <w:rPr>
          <w:rFonts w:ascii="Book Antiqua" w:hAnsi="Book Antiqua"/>
          <w:iCs/>
        </w:rPr>
        <w:t xml:space="preserve"> </w:t>
      </w:r>
    </w:p>
    <w:p w14:paraId="6028C965" w14:textId="27BEE319" w:rsidR="005736DF" w:rsidRPr="0018688C" w:rsidRDefault="005736DF" w:rsidP="005736DF">
      <w:pPr>
        <w:spacing w:line="360" w:lineRule="auto"/>
        <w:jc w:val="both"/>
        <w:rPr>
          <w:rFonts w:ascii="Book Antiqua" w:hAnsi="Book Antiqua"/>
          <w:iCs/>
        </w:rPr>
      </w:pPr>
      <w:r w:rsidRPr="0018688C">
        <w:rPr>
          <w:rFonts w:ascii="Book Antiqua" w:hAnsi="Book Antiqua"/>
          <w:b/>
          <w:iCs/>
        </w:rPr>
        <w:t>URL:</w:t>
      </w:r>
      <w:r w:rsidRPr="0018688C">
        <w:rPr>
          <w:rFonts w:ascii="Book Antiqua" w:hAnsi="Book Antiqua"/>
          <w:iCs/>
        </w:rPr>
        <w:t xml:space="preserve"> https://www.wjgnet.com/2307-8960/full/v7/i</w:t>
      </w:r>
      <w:r>
        <w:rPr>
          <w:rFonts w:ascii="Book Antiqua" w:hAnsi="Book Antiqua" w:hint="eastAsia"/>
          <w:iCs/>
        </w:rPr>
        <w:t>14</w:t>
      </w:r>
      <w:r w:rsidRPr="0018688C">
        <w:rPr>
          <w:rFonts w:ascii="Book Antiqua" w:hAnsi="Book Antiqua"/>
          <w:iCs/>
        </w:rPr>
        <w:t>/</w:t>
      </w:r>
      <w:r>
        <w:rPr>
          <w:rFonts w:ascii="Book Antiqua" w:hAnsi="Book Antiqua" w:hint="eastAsia"/>
          <w:iCs/>
        </w:rPr>
        <w:t>18</w:t>
      </w:r>
      <w:r>
        <w:rPr>
          <w:rFonts w:ascii="Book Antiqua" w:hAnsi="Book Antiqua" w:hint="eastAsia"/>
          <w:iCs/>
        </w:rPr>
        <w:t>05</w:t>
      </w:r>
      <w:r w:rsidRPr="0018688C">
        <w:rPr>
          <w:rFonts w:ascii="Book Antiqua" w:hAnsi="Book Antiqua"/>
          <w:iCs/>
        </w:rPr>
        <w:t xml:space="preserve">.htm  </w:t>
      </w:r>
    </w:p>
    <w:p w14:paraId="643EB7FE" w14:textId="12B5FB54" w:rsidR="0007436B" w:rsidRPr="005736DF" w:rsidRDefault="005736DF" w:rsidP="005736DF">
      <w:pPr>
        <w:pStyle w:val="CuerpoA"/>
        <w:spacing w:line="360" w:lineRule="auto"/>
        <w:jc w:val="both"/>
        <w:rPr>
          <w:rStyle w:val="Ninguno"/>
          <w:rFonts w:ascii="Book Antiqua" w:eastAsiaTheme="minorEastAsia" w:hAnsi="Book Antiqua" w:cs="Book Antiqua"/>
          <w:sz w:val="24"/>
          <w:szCs w:val="24"/>
        </w:rPr>
      </w:pPr>
      <w:r w:rsidRPr="0018688C">
        <w:rPr>
          <w:rFonts w:ascii="Book Antiqua" w:hAnsi="Book Antiqua"/>
          <w:b/>
          <w:iCs/>
          <w:sz w:val="24"/>
          <w:szCs w:val="24"/>
        </w:rPr>
        <w:t>DOI:</w:t>
      </w:r>
      <w:r w:rsidRPr="0018688C">
        <w:rPr>
          <w:rFonts w:ascii="Book Antiqua" w:hAnsi="Book Antiqua"/>
          <w:iCs/>
          <w:sz w:val="24"/>
          <w:szCs w:val="24"/>
        </w:rPr>
        <w:t xml:space="preserve"> https://dx.doi.org/10.12998/wjcc.v7.i</w:t>
      </w:r>
      <w:r>
        <w:rPr>
          <w:rFonts w:ascii="Book Antiqua" w:hAnsi="Book Antiqua" w:hint="eastAsia"/>
          <w:iCs/>
          <w:sz w:val="24"/>
          <w:szCs w:val="24"/>
        </w:rPr>
        <w:t>14</w:t>
      </w:r>
      <w:r w:rsidRPr="0018688C">
        <w:rPr>
          <w:rFonts w:ascii="Book Antiqua" w:hAnsi="Book Antiqua"/>
          <w:iCs/>
          <w:sz w:val="24"/>
          <w:szCs w:val="24"/>
        </w:rPr>
        <w:t>.</w:t>
      </w:r>
      <w:r>
        <w:rPr>
          <w:rFonts w:ascii="Book Antiqua" w:hAnsi="Book Antiqua" w:hint="eastAsia"/>
          <w:iCs/>
          <w:sz w:val="24"/>
          <w:szCs w:val="24"/>
        </w:rPr>
        <w:t>18</w:t>
      </w:r>
      <w:r>
        <w:rPr>
          <w:rFonts w:ascii="Book Antiqua" w:eastAsiaTheme="minorEastAsia" w:hAnsi="Book Antiqua" w:hint="eastAsia"/>
          <w:iCs/>
          <w:sz w:val="24"/>
          <w:szCs w:val="24"/>
        </w:rPr>
        <w:t>05</w:t>
      </w:r>
    </w:p>
    <w:bookmarkEnd w:id="140"/>
    <w:p w14:paraId="189904B5" w14:textId="77777777" w:rsidR="0007436B" w:rsidRPr="000946AD" w:rsidRDefault="0007436B" w:rsidP="00F45082">
      <w:pPr>
        <w:pStyle w:val="CuerpoA"/>
        <w:spacing w:line="360" w:lineRule="auto"/>
        <w:jc w:val="both"/>
        <w:rPr>
          <w:rStyle w:val="Ninguno"/>
          <w:rFonts w:ascii="Book Antiqua" w:eastAsiaTheme="minorEastAsia" w:hAnsi="Book Antiqua" w:cs="Book Antiqua"/>
          <w:sz w:val="24"/>
          <w:szCs w:val="24"/>
        </w:rPr>
      </w:pPr>
    </w:p>
    <w:p w14:paraId="73735692" w14:textId="24594C9E" w:rsidR="0007436B" w:rsidRPr="005736DF" w:rsidRDefault="005736DF" w:rsidP="00F45082">
      <w:pPr>
        <w:pStyle w:val="CuerpoA"/>
        <w:spacing w:line="360" w:lineRule="auto"/>
        <w:jc w:val="both"/>
        <w:rPr>
          <w:rStyle w:val="Ninguno"/>
          <w:rFonts w:ascii="Book Antiqua" w:eastAsiaTheme="minorEastAsia" w:hAnsi="Book Antiqua" w:cs="Book Antiqua" w:hint="eastAsia"/>
          <w:b/>
          <w:bCs/>
          <w:sz w:val="24"/>
          <w:szCs w:val="24"/>
        </w:rPr>
      </w:pPr>
      <w:r>
        <w:rPr>
          <w:rStyle w:val="Ninguno"/>
          <w:rFonts w:ascii="Book Antiqua" w:hAnsi="Book Antiqua"/>
          <w:b/>
          <w:bCs/>
          <w:sz w:val="24"/>
          <w:szCs w:val="24"/>
        </w:rPr>
        <w:t>INTRODUCTION</w:t>
      </w:r>
    </w:p>
    <w:p w14:paraId="185CF47B"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Diverting loop ileostomy is commonly performed to protect a distal anastomosis when there is a high risk of anastomotic leakage</w:t>
      </w:r>
      <w:r w:rsidRPr="000946AD">
        <w:rPr>
          <w:rStyle w:val="Ninguno"/>
          <w:rFonts w:ascii="Book Antiqua" w:hAnsi="Book Antiqua"/>
          <w:sz w:val="24"/>
          <w:szCs w:val="24"/>
          <w:vertAlign w:val="superscript"/>
          <w:lang w:val="en-US"/>
        </w:rPr>
        <w:t>[1,2]</w:t>
      </w:r>
      <w:r w:rsidRPr="000946AD">
        <w:rPr>
          <w:rStyle w:val="Ninguno"/>
          <w:rFonts w:ascii="Book Antiqua" w:hAnsi="Book Antiqua"/>
          <w:sz w:val="24"/>
          <w:szCs w:val="24"/>
          <w:lang w:val="en-US"/>
        </w:rPr>
        <w:t>. Although fecal diversion does not prevent an anastomotic leak, it decreases the mortality and morbidity associated with this condition</w:t>
      </w:r>
      <w:r w:rsidRPr="000946AD">
        <w:rPr>
          <w:rStyle w:val="Ninguno"/>
          <w:rFonts w:ascii="Book Antiqua" w:hAnsi="Book Antiqua"/>
          <w:sz w:val="24"/>
          <w:szCs w:val="24"/>
          <w:vertAlign w:val="superscript"/>
        </w:rPr>
        <w:t>[3]</w:t>
      </w:r>
      <w:r w:rsidRPr="000946AD">
        <w:rPr>
          <w:rStyle w:val="Ninguno"/>
          <w:rFonts w:ascii="Book Antiqua" w:hAnsi="Book Antiqua"/>
          <w:sz w:val="24"/>
          <w:szCs w:val="24"/>
          <w:lang w:val="en-US"/>
        </w:rPr>
        <w:t>.</w:t>
      </w:r>
    </w:p>
    <w:p w14:paraId="411BE45B" w14:textId="15FF6148"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Despite the potential benefits of fecal diversion, loop ileostomy construction is related to significant complications, with an incidence rate of 20</w:t>
      </w:r>
      <w:r w:rsidR="00C64FF9"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60%</w:t>
      </w:r>
      <w:r w:rsidRPr="000946AD">
        <w:rPr>
          <w:rStyle w:val="Ninguno"/>
          <w:rFonts w:ascii="Book Antiqua" w:hAnsi="Book Antiqua"/>
          <w:sz w:val="24"/>
          <w:szCs w:val="24"/>
          <w:vertAlign w:val="superscript"/>
        </w:rPr>
        <w:t>[4]</w:t>
      </w:r>
      <w:r w:rsidRPr="000946AD">
        <w:rPr>
          <w:rStyle w:val="Ninguno"/>
          <w:rFonts w:ascii="Book Antiqua" w:hAnsi="Book Antiqua"/>
          <w:sz w:val="24"/>
          <w:szCs w:val="24"/>
          <w:lang w:val="en-US"/>
        </w:rPr>
        <w:t>. Patients with a diverting loop ileostomy will require an additional operation to take down the ostomy and may develop small bowel obstructions, parastomal hernia, stoma stenosis, stoma retraction or prolapse, skin problems, dehydration, electrolyte abnormalities, and acute kidney injury due to a high-output stoma</w:t>
      </w:r>
      <w:r w:rsidRPr="000946AD">
        <w:rPr>
          <w:rStyle w:val="Ninguno"/>
          <w:rFonts w:ascii="Book Antiqua" w:hAnsi="Book Antiqua"/>
          <w:sz w:val="24"/>
          <w:szCs w:val="24"/>
          <w:vertAlign w:val="superscript"/>
        </w:rPr>
        <w:t>[3-5]</w:t>
      </w:r>
      <w:r w:rsidRPr="000946AD">
        <w:rPr>
          <w:rStyle w:val="Ninguno"/>
          <w:rFonts w:ascii="Book Antiqua" w:hAnsi="Book Antiqua"/>
          <w:sz w:val="24"/>
          <w:szCs w:val="24"/>
          <w:lang w:val="en-US"/>
        </w:rPr>
        <w:t>. Patients with ileostomies represent the group with the highest readmission rates after a colorectal procedure</w:t>
      </w:r>
      <w:r w:rsidRPr="000946AD">
        <w:rPr>
          <w:rStyle w:val="Ninguno"/>
          <w:rFonts w:ascii="Book Antiqua" w:hAnsi="Book Antiqua"/>
          <w:sz w:val="24"/>
          <w:szCs w:val="24"/>
          <w:vertAlign w:val="superscript"/>
        </w:rPr>
        <w:t>[6]</w:t>
      </w:r>
      <w:r w:rsidRPr="000946AD">
        <w:rPr>
          <w:rStyle w:val="Ninguno"/>
          <w:rFonts w:ascii="Book Antiqua" w:hAnsi="Book Antiqua"/>
          <w:sz w:val="24"/>
          <w:szCs w:val="24"/>
          <w:lang w:val="en-US"/>
        </w:rPr>
        <w:t>. Hospital readmissions and visits to the emergency department put patients at risk for morbidity (</w:t>
      </w:r>
      <w:r w:rsidRPr="000946AD">
        <w:rPr>
          <w:rStyle w:val="Ninguno"/>
          <w:rFonts w:ascii="Book Antiqua" w:hAnsi="Book Antiqua"/>
          <w:i/>
          <w:iCs/>
          <w:sz w:val="24"/>
          <w:szCs w:val="24"/>
          <w:lang w:val="en-US"/>
        </w:rPr>
        <w:t>e.g.</w:t>
      </w:r>
      <w:r w:rsidRPr="000946AD">
        <w:rPr>
          <w:rStyle w:val="Ninguno"/>
          <w:rFonts w:ascii="Book Antiqua" w:hAnsi="Book Antiqua"/>
          <w:sz w:val="24"/>
          <w:szCs w:val="24"/>
          <w:lang w:val="en-US"/>
        </w:rPr>
        <w:t>, nosocomial infections) and raise health care costs associated with these procedures</w:t>
      </w:r>
      <w:r w:rsidRPr="000946AD">
        <w:rPr>
          <w:rStyle w:val="Ninguno"/>
          <w:rFonts w:ascii="Book Antiqua" w:hAnsi="Book Antiqua"/>
          <w:sz w:val="24"/>
          <w:szCs w:val="24"/>
          <w:vertAlign w:val="superscript"/>
        </w:rPr>
        <w:t>[7]</w:t>
      </w:r>
      <w:r w:rsidRPr="000946AD">
        <w:rPr>
          <w:rStyle w:val="Ninguno"/>
          <w:rFonts w:ascii="Book Antiqua" w:hAnsi="Book Antiqua"/>
          <w:sz w:val="24"/>
          <w:szCs w:val="24"/>
          <w:lang w:val="en-US"/>
        </w:rPr>
        <w:t>. In patients with a small bowel stoma, dehydration and related complications are the most frequent cause of hospital readmissions in the first 3 wk following surgery, reported in up to 40% of cases, at least a third of which require long-term treatment</w:t>
      </w:r>
      <w:r w:rsidRPr="000946AD">
        <w:rPr>
          <w:rStyle w:val="Ninguno"/>
          <w:rFonts w:ascii="Book Antiqua" w:hAnsi="Book Antiqua"/>
          <w:sz w:val="24"/>
          <w:szCs w:val="24"/>
          <w:vertAlign w:val="superscript"/>
        </w:rPr>
        <w:t>[6-10]</w:t>
      </w:r>
      <w:r w:rsidRPr="000946AD">
        <w:rPr>
          <w:rStyle w:val="Ninguno"/>
          <w:rFonts w:ascii="Book Antiqua" w:hAnsi="Book Antiqua"/>
          <w:sz w:val="24"/>
          <w:szCs w:val="24"/>
          <w:lang w:val="en-US"/>
        </w:rPr>
        <w:t>.</w:t>
      </w:r>
    </w:p>
    <w:p w14:paraId="345F1A01"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majority of studies reporting high-output complications include in the analysis terminal ileostomies and diverting loop ileostomies</w:t>
      </w:r>
      <w:r w:rsidRPr="000946AD">
        <w:rPr>
          <w:rStyle w:val="Ninguno"/>
          <w:rFonts w:ascii="Book Antiqua" w:hAnsi="Book Antiqua"/>
          <w:sz w:val="24"/>
          <w:szCs w:val="24"/>
          <w:vertAlign w:val="superscript"/>
        </w:rPr>
        <w:t>[6-11]</w:t>
      </w:r>
      <w:r w:rsidRPr="000946AD">
        <w:rPr>
          <w:rStyle w:val="Ninguno"/>
          <w:rFonts w:ascii="Book Antiqua" w:hAnsi="Book Antiqua"/>
          <w:sz w:val="24"/>
          <w:szCs w:val="24"/>
          <w:lang w:val="en-US"/>
        </w:rPr>
        <w:t>. Due to the increased use of protective or diverting loop ileostomies in open and laparoscopic colorectal surgery and because there is a lack of articles analyzing the risk of readmission focusing only on this population, we decided to analyze this group of patients. The aim of the study was to determine the potential clinical predictors of high output-related complications (dehydration and acute renal failure) in patients with diverting loop ileostomy creation after open and laparoscopic colorectal surgery.</w:t>
      </w:r>
    </w:p>
    <w:p w14:paraId="3F75641E"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158E9EE1"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lang w:val="en-US"/>
        </w:rPr>
      </w:pPr>
      <w:r w:rsidRPr="000946AD">
        <w:rPr>
          <w:rStyle w:val="Ninguno"/>
          <w:rFonts w:ascii="Book Antiqua" w:hAnsi="Book Antiqua"/>
          <w:b/>
          <w:bCs/>
          <w:sz w:val="24"/>
          <w:szCs w:val="24"/>
          <w:lang w:val="en-US"/>
        </w:rPr>
        <w:t>MATERIALS AND METHODS</w:t>
      </w:r>
    </w:p>
    <w:p w14:paraId="7982307E"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From January 2010 to March 2018, all patients who underwent colorectal surgery requiring a diverting loop ileostomy at Instituto Nacional de Ciencias Médicas y Nutrición “Salvador Zubirán” in Mexico City, Mexico, were included. Data for these patients were retrospectively retrieved and analyzed. This study was conducted in accordance with local audit and governance protocols.</w:t>
      </w:r>
    </w:p>
    <w:p w14:paraId="128B4DC8"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We included patients older than 18 years who underwent benign or malignant colorectal surgery with a primary low pelvic anastomosis, with the creation of a diverting loop ileostomy in elective or emergency settings. An index surgery was defined as the operation in which a colon or rectal resection, primary anastomosis, and diverting loop ileostomy were performed. In all patients, the diverting loop ileostomies were pe</w:t>
      </w:r>
      <w:r w:rsidRPr="000946AD">
        <w:rPr>
          <w:rStyle w:val="Ninguno"/>
          <w:rFonts w:ascii="Book Antiqua" w:hAnsi="Book Antiqua"/>
          <w:sz w:val="24"/>
          <w:szCs w:val="24"/>
          <w:lang w:val="en-US"/>
        </w:rPr>
        <w:t>r</w:t>
      </w:r>
      <w:r w:rsidRPr="000946AD">
        <w:rPr>
          <w:rStyle w:val="Ninguno"/>
          <w:rFonts w:ascii="Book Antiqua" w:hAnsi="Book Antiqua"/>
          <w:sz w:val="24"/>
          <w:szCs w:val="24"/>
          <w:lang w:val="en-US"/>
        </w:rPr>
        <w:t>formed at a distance of 15 to 30 cm from the ileocecal valve. Patients who had diverting loop ileostomy not related to colorectal diseases and those with incomplete data were excluded.</w:t>
      </w:r>
    </w:p>
    <w:p w14:paraId="0533BCD0" w14:textId="0C7D52CE"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Demographic information was categorized as follows: sex (female and male), age (&lt;</w:t>
      </w:r>
      <w:r w:rsidR="005E4EDA"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59 or ≥</w:t>
      </w:r>
      <w:r w:rsidR="005E4EDA"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60 years), and body mass index (BMI &lt;</w:t>
      </w:r>
      <w:r w:rsidR="005E4EDA"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29.9 or ≥</w:t>
      </w:r>
      <w:r w:rsidR="005E4EDA"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30 kg/m</w:t>
      </w:r>
      <w:r w:rsidRPr="000946AD">
        <w:rPr>
          <w:rStyle w:val="Ninguno"/>
          <w:rFonts w:ascii="Book Antiqua" w:hAnsi="Book Antiqua"/>
          <w:sz w:val="24"/>
          <w:szCs w:val="24"/>
          <w:vertAlign w:val="superscript"/>
          <w:lang w:val="en-US"/>
        </w:rPr>
        <w:t>2</w:t>
      </w:r>
      <w:r w:rsidRPr="000946AD">
        <w:rPr>
          <w:rStyle w:val="Ninguno"/>
          <w:rFonts w:ascii="Book Antiqua" w:hAnsi="Book Antiqua"/>
          <w:sz w:val="24"/>
          <w:szCs w:val="24"/>
          <w:lang w:val="en-US"/>
        </w:rPr>
        <w:t>). Comorbidity was assessed using the Charlson Comorbidity Index (CCI)</w:t>
      </w:r>
      <w:r w:rsidRPr="000946AD">
        <w:rPr>
          <w:rStyle w:val="Ninguno"/>
          <w:rFonts w:ascii="Book Antiqua" w:hAnsi="Book Antiqua"/>
          <w:sz w:val="24"/>
          <w:szCs w:val="24"/>
          <w:vertAlign w:val="superscript"/>
        </w:rPr>
        <w:t>[12]</w:t>
      </w:r>
      <w:r w:rsidRPr="000946AD">
        <w:rPr>
          <w:rStyle w:val="Ninguno"/>
          <w:rFonts w:ascii="Book Antiqua" w:hAnsi="Book Antiqua"/>
          <w:sz w:val="24"/>
          <w:szCs w:val="24"/>
          <w:lang w:val="en-US"/>
        </w:rPr>
        <w:t>. Other variables examined were tobacco use, previous treatments (systemic steroids, immunomodulators, TNF inhibitor drugs, radiotherapy, or chemotherapy), and history of previous abdominal surgeries. The drugs classified as immunomodulators were azathioprine, methotrexate, and mycophenolate mofetil. Variables regarding index surgery were the type of operation (elective or urgent; laparoscopic or open), complications unrelated to the ileostomy, and reintervention. The mean ostomy output at the moment of discharge was analyzed as less than 1000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/24 h, and equal to or greater than 1000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/24 h. Information on the use of loperamide at discharge was collected. All patients underwent loop ileostomy closure, which was cataloged for statistical purposes in less or more than 3 mo.</w:t>
      </w:r>
    </w:p>
    <w:p w14:paraId="09940406" w14:textId="339471E0"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Two groups of patients were formed: those who did not have high-output-related complications after discharge (N-HORC: non-high-output-related complications group) and those who did have high-output-related complications (HORC: high-output-related complications group). The high-output-related complications included in the study were dehydration with electrolyte disturbances and acute renal failure. </w:t>
      </w:r>
      <w:r w:rsidRPr="000946AD">
        <w:rPr>
          <w:rStyle w:val="Ninguno"/>
          <w:rFonts w:ascii="Book Antiqua" w:hAnsi="Book Antiqua"/>
          <w:sz w:val="24"/>
          <w:szCs w:val="24"/>
        </w:rPr>
        <w:t>Ileostomy high-output was defined as more than 1500 m</w:t>
      </w:r>
      <w:r w:rsidRPr="000946AD">
        <w:rPr>
          <w:rStyle w:val="Ninguno"/>
          <w:rFonts w:ascii="Book Antiqua" w:hAnsi="Book Antiqua"/>
          <w:caps/>
          <w:sz w:val="24"/>
          <w:szCs w:val="24"/>
        </w:rPr>
        <w:t>l</w:t>
      </w:r>
      <w:r w:rsidRPr="000946AD">
        <w:rPr>
          <w:rStyle w:val="Ninguno"/>
          <w:rFonts w:ascii="Book Antiqua" w:hAnsi="Book Antiqua"/>
          <w:sz w:val="24"/>
          <w:szCs w:val="24"/>
        </w:rPr>
        <w:t xml:space="preserve"> in 24 h, at the moment of emergency department visit or readmission in the HORC group</w:t>
      </w:r>
      <w:r w:rsidRPr="000946AD">
        <w:rPr>
          <w:rStyle w:val="Ninguno"/>
          <w:rFonts w:ascii="Book Antiqua" w:hAnsi="Book Antiqua"/>
          <w:sz w:val="24"/>
          <w:szCs w:val="24"/>
          <w:vertAlign w:val="superscript"/>
        </w:rPr>
        <w:t>[6]</w:t>
      </w:r>
      <w:r w:rsidRPr="000946AD">
        <w:rPr>
          <w:rStyle w:val="Ninguno"/>
          <w:rFonts w:ascii="Book Antiqua" w:hAnsi="Book Antiqua"/>
          <w:sz w:val="24"/>
          <w:szCs w:val="24"/>
        </w:rPr>
        <w:t>. Patients in the N-HORC had an  output of less than 1500 m</w:t>
      </w:r>
      <w:r w:rsidRPr="000946AD">
        <w:rPr>
          <w:rStyle w:val="Ninguno"/>
          <w:rFonts w:ascii="Book Antiqua" w:hAnsi="Book Antiqua"/>
          <w:caps/>
          <w:sz w:val="24"/>
          <w:szCs w:val="24"/>
        </w:rPr>
        <w:t xml:space="preserve">l </w:t>
      </w:r>
      <w:r w:rsidRPr="000946AD">
        <w:rPr>
          <w:rStyle w:val="Ninguno"/>
          <w:rFonts w:ascii="Book Antiqua" w:hAnsi="Book Antiqua"/>
          <w:sz w:val="24"/>
          <w:szCs w:val="24"/>
        </w:rPr>
        <w:t xml:space="preserve">in 24 h during their follow-up and did not required emergency department visit nor readmissions. </w:t>
      </w:r>
      <w:r w:rsidRPr="000946AD">
        <w:rPr>
          <w:rStyle w:val="Ninguno"/>
          <w:rFonts w:ascii="Book Antiqua" w:hAnsi="Book Antiqua"/>
          <w:sz w:val="24"/>
          <w:szCs w:val="24"/>
          <w:lang w:val="en-US"/>
        </w:rPr>
        <w:t xml:space="preserve">We employed an operational definition of dehydration proposed by Fish </w:t>
      </w:r>
      <w:r w:rsidR="00C64FF9" w:rsidRPr="000946AD">
        <w:rPr>
          <w:rStyle w:val="Ninguno"/>
          <w:rFonts w:ascii="Book Antiqua" w:hAnsi="Book Antiqua"/>
          <w:i/>
          <w:iCs/>
          <w:sz w:val="24"/>
          <w:szCs w:val="24"/>
          <w:lang w:val="en-US"/>
        </w:rPr>
        <w:t>et al</w:t>
      </w:r>
      <w:r w:rsidRPr="000946AD">
        <w:rPr>
          <w:rStyle w:val="Ninguno"/>
          <w:rFonts w:ascii="Book Antiqua" w:hAnsi="Book Antiqua"/>
          <w:sz w:val="24"/>
          <w:szCs w:val="24"/>
          <w:vertAlign w:val="superscript"/>
        </w:rPr>
        <w:t>[9]</w:t>
      </w:r>
      <w:r w:rsidRPr="000946AD">
        <w:rPr>
          <w:rStyle w:val="Ninguno"/>
          <w:rFonts w:ascii="Book Antiqua" w:hAnsi="Book Antiqua"/>
          <w:sz w:val="24"/>
          <w:szCs w:val="24"/>
          <w:lang w:val="en-US"/>
        </w:rPr>
        <w:t>, where clinical criteria or objective signs could support the diagnosis at the time of readmission. Electrolyte imbalances included hypo- or hypernatremia, hypo- or hyperkalemia, hypo- or hypermagnesemia, and hypo- or hyperchloremia. Acute renal failure was diagnosed following the Acute Kidney Injury Network consensus definitions</w:t>
      </w:r>
      <w:r w:rsidRPr="000946AD">
        <w:rPr>
          <w:rStyle w:val="Ninguno"/>
          <w:rFonts w:ascii="Book Antiqua" w:hAnsi="Book Antiqua"/>
          <w:sz w:val="24"/>
          <w:szCs w:val="24"/>
          <w:vertAlign w:val="superscript"/>
        </w:rPr>
        <w:t>[11]</w:t>
      </w:r>
      <w:r w:rsidRPr="000946AD">
        <w:rPr>
          <w:rStyle w:val="Ninguno"/>
          <w:rFonts w:ascii="Book Antiqua" w:hAnsi="Book Antiqua"/>
          <w:sz w:val="24"/>
          <w:szCs w:val="24"/>
          <w:lang w:val="en-US"/>
        </w:rPr>
        <w:t>.</w:t>
      </w:r>
    </w:p>
    <w:p w14:paraId="3AB8A60F"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In the HORC group, the time from the index surgery to the first visit to the emergency department or readmission, as well as the number of visits to the emergency department or readmissions, were registered. Patients who visited the emergency department (due to a high-output loop ileostomy) and received intravenous hydration but were subsequently discharged not requiring admission to the hospital were also included in this group (HORC). Data regarding high-output-related complications were retrieved and registered from discharge until the elective loop ileostomy closure was pe</w:t>
      </w:r>
      <w:r w:rsidRPr="000946AD">
        <w:rPr>
          <w:rStyle w:val="Ninguno"/>
          <w:rFonts w:ascii="Book Antiqua" w:hAnsi="Book Antiqua"/>
          <w:sz w:val="24"/>
          <w:szCs w:val="24"/>
          <w:lang w:val="en-US"/>
        </w:rPr>
        <w:t>r</w:t>
      </w:r>
      <w:r w:rsidRPr="000946AD">
        <w:rPr>
          <w:rStyle w:val="Ninguno"/>
          <w:rFonts w:ascii="Book Antiqua" w:hAnsi="Book Antiqua"/>
          <w:sz w:val="24"/>
          <w:szCs w:val="24"/>
          <w:lang w:val="en-US"/>
        </w:rPr>
        <w:t>formed.</w:t>
      </w:r>
    </w:p>
    <w:p w14:paraId="58C763EA"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617BAAE5" w14:textId="73C1E0D1" w:rsidR="0007436B" w:rsidRPr="000946AD" w:rsidRDefault="00761145" w:rsidP="00F45082">
      <w:pPr>
        <w:pStyle w:val="CuerpoA"/>
        <w:spacing w:line="360" w:lineRule="auto"/>
        <w:jc w:val="both"/>
        <w:rPr>
          <w:rStyle w:val="Ninguno"/>
          <w:rFonts w:ascii="Book Antiqua" w:eastAsiaTheme="minorEastAsia" w:hAnsi="Book Antiqua" w:cs="Book Antiqua"/>
          <w:b/>
          <w:bCs/>
          <w:i/>
          <w:iCs/>
          <w:sz w:val="24"/>
          <w:szCs w:val="24"/>
          <w:lang w:val="en-US"/>
        </w:rPr>
      </w:pPr>
      <w:r w:rsidRPr="000946AD">
        <w:rPr>
          <w:rStyle w:val="Ninguno"/>
          <w:rFonts w:ascii="Book Antiqua" w:hAnsi="Book Antiqua"/>
          <w:b/>
          <w:bCs/>
          <w:i/>
          <w:iCs/>
          <w:sz w:val="24"/>
          <w:szCs w:val="24"/>
          <w:lang w:val="en-US"/>
        </w:rPr>
        <w:t xml:space="preserve">Statistical </w:t>
      </w:r>
      <w:r w:rsidR="005E4EDA" w:rsidRPr="000946AD">
        <w:rPr>
          <w:rStyle w:val="Ninguno"/>
          <w:rFonts w:ascii="Book Antiqua" w:hAnsi="Book Antiqua"/>
          <w:b/>
          <w:bCs/>
          <w:i/>
          <w:iCs/>
          <w:sz w:val="24"/>
          <w:szCs w:val="24"/>
          <w:lang w:val="en-US"/>
        </w:rPr>
        <w:t>analysis</w:t>
      </w:r>
    </w:p>
    <w:p w14:paraId="6057F6EB" w14:textId="5D8E319A"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All the data were collected retrospectively in a digital database. Categorical data were presented as totals (</w:t>
      </w:r>
      <w:r w:rsidRPr="000946AD">
        <w:rPr>
          <w:rStyle w:val="Ninguno"/>
          <w:rFonts w:ascii="Book Antiqua" w:hAnsi="Book Antiqua"/>
          <w:i/>
          <w:iCs/>
          <w:sz w:val="24"/>
          <w:szCs w:val="24"/>
          <w:lang w:val="en-US"/>
        </w:rPr>
        <w:t>n</w:t>
      </w:r>
      <w:r w:rsidRPr="000946AD">
        <w:rPr>
          <w:rStyle w:val="Ninguno"/>
          <w:rFonts w:ascii="Book Antiqua" w:hAnsi="Book Antiqua"/>
          <w:sz w:val="24"/>
          <w:szCs w:val="24"/>
          <w:lang w:val="en-US"/>
        </w:rPr>
        <w:t xml:space="preserve">) and proportions as percentages (%). Categorical data were compared using the </w:t>
      </w:r>
      <w:bookmarkStart w:id="141" w:name="OLE_LINK7"/>
      <w:bookmarkStart w:id="142" w:name="OLE_LINK8"/>
      <w:r w:rsidR="000245E5" w:rsidRPr="000946AD">
        <w:rPr>
          <w:rFonts w:ascii="Book Antiqua" w:hAnsi="Book Antiqua"/>
          <w:i/>
          <w:sz w:val="24"/>
          <w:szCs w:val="24"/>
        </w:rPr>
        <w:t></w:t>
      </w:r>
      <w:r w:rsidR="000245E5" w:rsidRPr="000946AD">
        <w:rPr>
          <w:rFonts w:ascii="Book Antiqua" w:hAnsi="Book Antiqua"/>
          <w:sz w:val="24"/>
          <w:szCs w:val="24"/>
          <w:vertAlign w:val="superscript"/>
        </w:rPr>
        <w:t>2</w:t>
      </w:r>
      <w:bookmarkEnd w:id="141"/>
      <w:bookmarkEnd w:id="142"/>
      <w:r w:rsidRPr="000946AD">
        <w:rPr>
          <w:rStyle w:val="Ninguno"/>
          <w:rFonts w:ascii="Book Antiqua" w:hAnsi="Book Antiqua"/>
          <w:sz w:val="24"/>
          <w:szCs w:val="24"/>
          <w:lang w:val="en-US"/>
        </w:rPr>
        <w:t xml:space="preserve"> test or Fisher´s exact test (analyzing patients in two groups: HORC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N-HORC groups). All the tests were two-sided and used an alpha of 0.05.</w:t>
      </w:r>
    </w:p>
    <w:p w14:paraId="29A88C82" w14:textId="12A35E73"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Univariate binomial logistic regression analysis was performed. All the variables with a </w:t>
      </w:r>
      <w:r w:rsidRPr="000946AD">
        <w:rPr>
          <w:rStyle w:val="Ninguno"/>
          <w:rFonts w:ascii="Book Antiqua" w:hAnsi="Book Antiqua"/>
          <w:i/>
          <w:iCs/>
          <w:caps/>
          <w:sz w:val="24"/>
          <w:szCs w:val="24"/>
          <w:lang w:val="en-US"/>
        </w:rPr>
        <w:t>p</w:t>
      </w:r>
      <w:r w:rsidRPr="000946AD">
        <w:rPr>
          <w:rStyle w:val="Ninguno"/>
          <w:rFonts w:ascii="Book Antiqua" w:hAnsi="Book Antiqua"/>
          <w:sz w:val="24"/>
          <w:szCs w:val="24"/>
          <w:lang w:val="en-US"/>
        </w:rPr>
        <w:t>-value less than 0.05 in the univariate analysis were considered potential risk factors (predictors of high-output-related complications) and were entered manually into the multivariate backward logistic regression analysis. The variables representing the lowest risk for each complication were considered to be the reference group (OR</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1.0). Odds ratios and 95% confidence intervals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were calculated. All the </w:t>
      </w:r>
      <w:r w:rsidRPr="000946AD">
        <w:rPr>
          <w:rStyle w:val="Ninguno"/>
          <w:rFonts w:ascii="Book Antiqua" w:hAnsi="Book Antiqua"/>
          <w:i/>
          <w:iCs/>
          <w:caps/>
          <w:sz w:val="24"/>
          <w:szCs w:val="24"/>
          <w:lang w:val="en-US"/>
        </w:rPr>
        <w:t>p</w:t>
      </w:r>
      <w:r w:rsidRPr="000946AD">
        <w:rPr>
          <w:rStyle w:val="Ninguno"/>
          <w:rFonts w:ascii="Book Antiqua" w:hAnsi="Book Antiqua"/>
          <w:sz w:val="24"/>
          <w:szCs w:val="24"/>
          <w:lang w:val="en-US"/>
        </w:rPr>
        <w:t xml:space="preserve">-values were 2-tailed, and a </w:t>
      </w:r>
      <w:r w:rsidRPr="000946AD">
        <w:rPr>
          <w:rStyle w:val="Ninguno"/>
          <w:rFonts w:ascii="Book Antiqua" w:hAnsi="Book Antiqua"/>
          <w:i/>
          <w:iCs/>
          <w:caps/>
          <w:sz w:val="24"/>
          <w:szCs w:val="24"/>
          <w:lang w:val="en-US"/>
        </w:rPr>
        <w:t>p</w:t>
      </w:r>
      <w:r w:rsidRPr="000946AD">
        <w:rPr>
          <w:rStyle w:val="Ninguno"/>
          <w:rFonts w:ascii="Book Antiqua" w:hAnsi="Book Antiqua"/>
          <w:sz w:val="24"/>
          <w:szCs w:val="24"/>
          <w:lang w:val="en-US"/>
        </w:rPr>
        <w:t>-value &lt;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0.05 was considered statistically significant. All the data were analyzed using SPSS statistic Version 22.0 (IBM Corporation, Armonk, New York, NY).</w:t>
      </w:r>
    </w:p>
    <w:p w14:paraId="422329B9"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5A047785"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lang w:val="en-US"/>
        </w:rPr>
      </w:pPr>
      <w:r w:rsidRPr="000946AD">
        <w:rPr>
          <w:rStyle w:val="Ninguno"/>
          <w:rFonts w:ascii="Book Antiqua" w:hAnsi="Book Antiqua"/>
          <w:b/>
          <w:bCs/>
          <w:sz w:val="24"/>
          <w:szCs w:val="24"/>
          <w:lang w:val="en-US"/>
        </w:rPr>
        <w:t>RESULTS</w:t>
      </w:r>
    </w:p>
    <w:p w14:paraId="18FEC510" w14:textId="4C7BE006"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Our selection criteria yielded 102 cases of patients with a diverting loop ileostomy after open and laparoscopic colorectal surgery. We found 78 (76.5%) patients without high-output-related complications (N-HORC) and 24 (23.5%) patients with high-output-related complications (HORC). The patient characteristics are described in</w:t>
      </w:r>
      <w:r w:rsidRPr="000946AD">
        <w:rPr>
          <w:rStyle w:val="Ninguno"/>
          <w:rFonts w:ascii="Book Antiqua" w:hAnsi="Book Antiqua"/>
          <w:b/>
          <w:bCs/>
          <w:sz w:val="24"/>
          <w:szCs w:val="24"/>
          <w:lang w:val="en-US"/>
        </w:rPr>
        <w:t xml:space="preserve"> </w:t>
      </w:r>
      <w:r w:rsidRPr="000946AD">
        <w:rPr>
          <w:rStyle w:val="Ninguno"/>
          <w:rFonts w:ascii="Book Antiqua" w:hAnsi="Book Antiqua"/>
          <w:sz w:val="24"/>
          <w:szCs w:val="24"/>
          <w:lang w:val="en-US"/>
        </w:rPr>
        <w:t>Table 1. No differences were found regarding sex, age, BMI, or comorbidities. The frequency of a preoperative colorectal diagnosis was similar in both groups, except for ulcerative colitis, which was more frequent in the HORC group (6.4</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25%,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0.010). Regarding previous medical treatments, the use of steroids (10.3</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33.3%,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0.007) and i</w:t>
      </w:r>
      <w:r w:rsidRPr="000946AD">
        <w:rPr>
          <w:rStyle w:val="Ninguno"/>
          <w:rFonts w:ascii="Book Antiqua" w:hAnsi="Book Antiqua"/>
          <w:sz w:val="24"/>
          <w:szCs w:val="24"/>
          <w:lang w:val="en-US"/>
        </w:rPr>
        <w:t>m</w:t>
      </w:r>
      <w:r w:rsidRPr="000946AD">
        <w:rPr>
          <w:rStyle w:val="Ninguno"/>
          <w:rFonts w:ascii="Book Antiqua" w:hAnsi="Book Antiqua"/>
          <w:sz w:val="24"/>
          <w:szCs w:val="24"/>
          <w:lang w:val="en-US"/>
        </w:rPr>
        <w:t>munomodulators (2.6</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12.5%,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0.049) was significantly more frequent in the HORC group.</w:t>
      </w:r>
    </w:p>
    <w:p w14:paraId="636700A7" w14:textId="63E1BCD0"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Index colorectal surgery was performed more frequently in the elective setting in both groups, with no difference in the type of operation (open or laparoscopic) or in the rate of reintervention. The rate of postoperative morbidity related to the index colorectal surgery was higher in the HORC group (21.8</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45.8%,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0.021).</w:t>
      </w:r>
    </w:p>
    <w:p w14:paraId="2F0FEC35" w14:textId="75CB5B86"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At discharge an ileostomy output greater than 1000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 xml:space="preserve"> was associated with the development of an output &gt;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1500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 xml:space="preserve">/24 with concurrent acute renal failure or electrolyte imbalance </w:t>
      </w:r>
      <w:r w:rsidRPr="000946AD">
        <w:rPr>
          <w:rStyle w:val="Ninguno"/>
          <w:rFonts w:ascii="Book Antiqua" w:hAnsi="Book Antiqua"/>
          <w:sz w:val="24"/>
          <w:szCs w:val="24"/>
        </w:rPr>
        <w:t xml:space="preserve">during follow-up in 54.2% of patients in the HORC group. In the N-HORC, 26.9% of patients were discharged with an output greater than 1000 ml, but patients in this group tended to normalize output and did not develop high output nor complications during follow-up. </w:t>
      </w:r>
    </w:p>
    <w:p w14:paraId="10E57AE2" w14:textId="143191DB"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use of loperamide was more frequent in the HORC than in the N-HORC (62.5</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37.2%,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0.029). Patients with high-output-related complications had a mean of 1.6 visits to the emergency department and at least one readmission to the hospital (see Table 2). The rates of acute renal failure and dehydration with electrolyte imbalances were 75% and 79.2%, respectively.</w:t>
      </w:r>
    </w:p>
    <w:p w14:paraId="1C9426B1" w14:textId="20828706"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univariate and multivariate results are summarized in Table 3. Index colorectal surgery performed as an emergency, the presence of complications following the index surgery, diagnosis of ulcerative colitis, previous treatment with immunomodulators and steroids, daily in-hospital ileostomy output of more than 1000 mL/24 h, and discharge with loperamide were considered potential risk factors for the occurrence of high-output related complications. Multivariate logistic regression analysis identified two independent risk factors for high-output-related complications: the preoperative diagnosis of ulcerative colitis [OR</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 7.6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1.81-31.95); </w:t>
      </w:r>
      <w:r w:rsidR="00560D71" w:rsidRPr="000946AD">
        <w:rPr>
          <w:rStyle w:val="Ninguno"/>
          <w:rFonts w:ascii="Book Antiqua" w:hAnsi="Book Antiqua"/>
          <w:i/>
          <w:iCs/>
          <w:caps/>
          <w:sz w:val="24"/>
          <w:szCs w:val="24"/>
          <w:lang w:val="en-US"/>
        </w:rPr>
        <w:t>p =</w:t>
      </w:r>
      <w:r w:rsidRPr="000946AD">
        <w:rPr>
          <w:rStyle w:val="Ninguno"/>
          <w:rFonts w:ascii="Book Antiqua" w:hAnsi="Book Antiqua"/>
          <w:sz w:val="24"/>
          <w:szCs w:val="24"/>
          <w:lang w:val="en-US"/>
        </w:rPr>
        <w:t xml:space="preserve"> 0.006], and daily in-hospital ileostomy output ≥</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1000 mL/24 h [OR</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 xml:space="preserve">= 3.3 (1.18-9.37); </w:t>
      </w:r>
      <w:r w:rsidR="00560D71" w:rsidRPr="000946AD">
        <w:rPr>
          <w:rStyle w:val="Ninguno"/>
          <w:rFonts w:ascii="Book Antiqua" w:hAnsi="Book Antiqua"/>
          <w:i/>
          <w:iCs/>
          <w:caps/>
          <w:sz w:val="24"/>
          <w:szCs w:val="24"/>
          <w:lang w:val="en-US"/>
        </w:rPr>
        <w:t>p =</w:t>
      </w:r>
      <w:r w:rsidRPr="000946AD">
        <w:rPr>
          <w:rStyle w:val="Ninguno"/>
          <w:rFonts w:ascii="Book Antiqua" w:hAnsi="Book Antiqua"/>
          <w:sz w:val="24"/>
          <w:szCs w:val="24"/>
          <w:lang w:val="en-US"/>
        </w:rPr>
        <w:t xml:space="preserve"> 0.023].</w:t>
      </w:r>
    </w:p>
    <w:p w14:paraId="7A9D0C32"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75E9C755"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lang w:val="en-US"/>
        </w:rPr>
      </w:pPr>
      <w:r w:rsidRPr="000946AD">
        <w:rPr>
          <w:rStyle w:val="Ninguno"/>
          <w:rFonts w:ascii="Book Antiqua" w:hAnsi="Book Antiqua"/>
          <w:b/>
          <w:bCs/>
          <w:sz w:val="24"/>
          <w:szCs w:val="24"/>
          <w:lang w:val="en-US"/>
        </w:rPr>
        <w:t>DISCUSSION</w:t>
      </w:r>
    </w:p>
    <w:p w14:paraId="68F03665"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In this retrospective study, we found that 23.5% of patients with diverting loop ileostomy creation after open or laparoscopic colorectal surgery suffered from high-output-related complications, namely dehydration with electrolyte imbalances and acute renal failure. In this group of patients, at least one visit to the emergency department for evaluation and at least one readmission to the hospital was needed. Despite the pote</w:t>
      </w:r>
      <w:r w:rsidRPr="000946AD">
        <w:rPr>
          <w:rStyle w:val="Ninguno"/>
          <w:rFonts w:ascii="Book Antiqua" w:hAnsi="Book Antiqua"/>
          <w:sz w:val="24"/>
          <w:szCs w:val="24"/>
          <w:lang w:val="en-US"/>
        </w:rPr>
        <w:t>n</w:t>
      </w:r>
      <w:r w:rsidRPr="000946AD">
        <w:rPr>
          <w:rStyle w:val="Ninguno"/>
          <w:rFonts w:ascii="Book Antiqua" w:hAnsi="Book Antiqua"/>
          <w:sz w:val="24"/>
          <w:szCs w:val="24"/>
          <w:lang w:val="en-US"/>
        </w:rPr>
        <w:t>tial advantages of a diverting loop ileostomy, surgeons should take into account the high rate of morbidity associated with this procedure.</w:t>
      </w:r>
    </w:p>
    <w:p w14:paraId="23D871D0" w14:textId="44946534"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There is a trend toward sphincter-sparing procedures with the use of very low pelvic anastomoses in colorectal surgery</w:t>
      </w:r>
      <w:r w:rsidRPr="000946AD">
        <w:rPr>
          <w:rStyle w:val="Ninguno"/>
          <w:rFonts w:ascii="Book Antiqua" w:hAnsi="Book Antiqua"/>
          <w:sz w:val="24"/>
          <w:szCs w:val="24"/>
          <w:vertAlign w:val="superscript"/>
        </w:rPr>
        <w:t>[13]</w:t>
      </w:r>
      <w:r w:rsidRPr="000946AD">
        <w:rPr>
          <w:rStyle w:val="Ninguno"/>
          <w:rFonts w:ascii="Book Antiqua" w:hAnsi="Book Antiqua"/>
          <w:sz w:val="24"/>
          <w:szCs w:val="24"/>
          <w:lang w:val="en-US"/>
        </w:rPr>
        <w:t>. The most dreaded complication of a low pelvic anastomosis is an anastomotic leak. Anastomotic leakage could result in generalized peritonitis, pelvic abscess, prolonged length of hospital stay, decreased quality of life, cancer recurrence and higher mortality</w:t>
      </w:r>
      <w:r w:rsidRPr="000946AD">
        <w:rPr>
          <w:rStyle w:val="Ninguno"/>
          <w:rFonts w:ascii="Book Antiqua" w:hAnsi="Book Antiqua"/>
          <w:sz w:val="24"/>
          <w:szCs w:val="24"/>
          <w:vertAlign w:val="superscript"/>
        </w:rPr>
        <w:t>[1,14,15]</w:t>
      </w:r>
      <w:r w:rsidRPr="000946AD">
        <w:rPr>
          <w:rStyle w:val="Ninguno"/>
          <w:rFonts w:ascii="Book Antiqua" w:hAnsi="Book Antiqua"/>
          <w:sz w:val="24"/>
          <w:szCs w:val="24"/>
          <w:lang w:val="en-US"/>
        </w:rPr>
        <w:t>. Fecal diversion is aimed at minimizing these complications</w:t>
      </w:r>
      <w:r w:rsidRPr="000946AD">
        <w:rPr>
          <w:rStyle w:val="Ninguno"/>
          <w:rFonts w:ascii="Book Antiqua" w:hAnsi="Book Antiqua"/>
          <w:sz w:val="24"/>
          <w:szCs w:val="24"/>
          <w:vertAlign w:val="superscript"/>
        </w:rPr>
        <w:t>[1,14]</w:t>
      </w:r>
      <w:r w:rsidRPr="000946AD">
        <w:rPr>
          <w:rStyle w:val="Ninguno"/>
          <w:rFonts w:ascii="Book Antiqua" w:hAnsi="Book Antiqua"/>
          <w:sz w:val="24"/>
          <w:szCs w:val="24"/>
          <w:lang w:val="en-US"/>
        </w:rPr>
        <w:t>. The absence of a diverting stoma in low anterior resection is associated with a higher rate of anastomotic leakage</w:t>
      </w:r>
      <w:r w:rsidRPr="000946AD">
        <w:rPr>
          <w:rStyle w:val="Ninguno"/>
          <w:rFonts w:ascii="Book Antiqua" w:hAnsi="Book Antiqua"/>
          <w:sz w:val="24"/>
          <w:szCs w:val="24"/>
          <w:vertAlign w:val="superscript"/>
        </w:rPr>
        <w:t>[16]</w:t>
      </w:r>
      <w:r w:rsidRPr="000946AD">
        <w:rPr>
          <w:rStyle w:val="Ninguno"/>
          <w:rFonts w:ascii="Book Antiqua" w:hAnsi="Book Antiqua"/>
          <w:sz w:val="24"/>
          <w:szCs w:val="24"/>
          <w:lang w:val="en-US"/>
        </w:rPr>
        <w:t>. For ultra-low resections with subsequent coloanal anastomosis, a diverting ostomy is almost always constructed</w:t>
      </w:r>
      <w:r w:rsidRPr="000946AD">
        <w:rPr>
          <w:rStyle w:val="Ninguno"/>
          <w:rFonts w:ascii="Book Antiqua" w:hAnsi="Book Antiqua"/>
          <w:sz w:val="24"/>
          <w:szCs w:val="24"/>
          <w:vertAlign w:val="superscript"/>
        </w:rPr>
        <w:t>[3]</w:t>
      </w:r>
      <w:r w:rsidRPr="000946AD">
        <w:rPr>
          <w:rStyle w:val="Ninguno"/>
          <w:rFonts w:ascii="Book Antiqua" w:hAnsi="Book Antiqua"/>
          <w:sz w:val="24"/>
          <w:szCs w:val="24"/>
          <w:lang w:val="en-US"/>
        </w:rPr>
        <w:t>. The incidence of anastomotic leakage after colorectal surgery ranges from 1</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25%</w:t>
      </w:r>
      <w:r w:rsidRPr="000946AD">
        <w:rPr>
          <w:rStyle w:val="Ninguno"/>
          <w:rFonts w:ascii="Book Antiqua" w:hAnsi="Book Antiqua"/>
          <w:sz w:val="24"/>
          <w:szCs w:val="24"/>
          <w:vertAlign w:val="superscript"/>
        </w:rPr>
        <w:t>[13,17]</w:t>
      </w:r>
      <w:r w:rsidRPr="000946AD">
        <w:rPr>
          <w:rStyle w:val="Ninguno"/>
          <w:rFonts w:ascii="Book Antiqua" w:hAnsi="Book Antiqua"/>
          <w:sz w:val="24"/>
          <w:szCs w:val="24"/>
          <w:lang w:val="en-US"/>
        </w:rPr>
        <w:t>, and mortality ranges from 6</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22%</w:t>
      </w:r>
      <w:r w:rsidRPr="000946AD">
        <w:rPr>
          <w:rStyle w:val="Ninguno"/>
          <w:rFonts w:ascii="Book Antiqua" w:hAnsi="Book Antiqua"/>
          <w:sz w:val="24"/>
          <w:szCs w:val="24"/>
          <w:vertAlign w:val="superscript"/>
        </w:rPr>
        <w:t>[18]</w:t>
      </w:r>
      <w:r w:rsidRPr="000946AD">
        <w:rPr>
          <w:rStyle w:val="Ninguno"/>
          <w:rFonts w:ascii="Book Antiqua" w:hAnsi="Book Antiqua"/>
          <w:sz w:val="24"/>
          <w:szCs w:val="24"/>
          <w:lang w:val="en-US"/>
        </w:rPr>
        <w:t>.</w:t>
      </w:r>
    </w:p>
    <w:p w14:paraId="3C5C2E78" w14:textId="262FD3D2"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benefits of a diverting loop ileostomy should be contrasted with the potential of complications. We found in our study that 23.5% of the patients who underwent a diverting loop ileostomy after an open or laparoscopic colorectal procedure presented at least one visit to the emergency department and at least one readmission to the hospital due to high-output-related complications. Similar rates of readmission have been previously published</w:t>
      </w:r>
      <w:r w:rsidRPr="000946AD">
        <w:rPr>
          <w:rStyle w:val="Ninguno"/>
          <w:rFonts w:ascii="Book Antiqua" w:hAnsi="Book Antiqua"/>
          <w:sz w:val="24"/>
          <w:szCs w:val="24"/>
          <w:vertAlign w:val="superscript"/>
        </w:rPr>
        <w:t>[4,6,9,19]</w:t>
      </w:r>
      <w:r w:rsidRPr="000946AD">
        <w:rPr>
          <w:rStyle w:val="Ninguno"/>
          <w:rFonts w:ascii="Book Antiqua" w:hAnsi="Book Antiqua"/>
          <w:sz w:val="24"/>
          <w:szCs w:val="24"/>
          <w:lang w:val="en-US"/>
        </w:rPr>
        <w:t>. The all-cause readmission rate of patients with ileostomy (including both terminal and loop ileostomies) is 28</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35%, with dehydration being the most common reason for readmission</w:t>
      </w:r>
      <w:r w:rsidRPr="000946AD">
        <w:rPr>
          <w:rStyle w:val="Ninguno"/>
          <w:rFonts w:ascii="Book Antiqua" w:hAnsi="Book Antiqua"/>
          <w:sz w:val="24"/>
          <w:szCs w:val="24"/>
          <w:vertAlign w:val="superscript"/>
        </w:rPr>
        <w:t>[4,6,9,19]</w:t>
      </w:r>
      <w:r w:rsidRPr="000946AD">
        <w:rPr>
          <w:rStyle w:val="Ninguno"/>
          <w:rFonts w:ascii="Book Antiqua" w:hAnsi="Book Antiqua"/>
          <w:sz w:val="24"/>
          <w:szCs w:val="24"/>
          <w:lang w:val="en-US"/>
        </w:rPr>
        <w:t>. Dehydration in patients with ileostomies is associated with longer, later, and multiple readmissions as well as additional morbidity</w:t>
      </w:r>
      <w:r w:rsidRPr="000946AD">
        <w:rPr>
          <w:rStyle w:val="Ninguno"/>
          <w:rFonts w:ascii="Book Antiqua" w:hAnsi="Book Antiqua"/>
          <w:sz w:val="24"/>
          <w:szCs w:val="24"/>
          <w:vertAlign w:val="superscript"/>
        </w:rPr>
        <w:t>[9]</w:t>
      </w:r>
      <w:r w:rsidRPr="000946AD">
        <w:rPr>
          <w:rStyle w:val="Ninguno"/>
          <w:rFonts w:ascii="Book Antiqua" w:hAnsi="Book Antiqua"/>
          <w:sz w:val="24"/>
          <w:szCs w:val="24"/>
          <w:lang w:val="en-US"/>
        </w:rPr>
        <w:t>. It is essential to consider the fact that readmission rates are a measure of surgical quality</w:t>
      </w:r>
      <w:r w:rsidRPr="000946AD">
        <w:rPr>
          <w:rStyle w:val="Ninguno"/>
          <w:rFonts w:ascii="Book Antiqua" w:hAnsi="Book Antiqua"/>
          <w:sz w:val="24"/>
          <w:szCs w:val="24"/>
          <w:vertAlign w:val="superscript"/>
        </w:rPr>
        <w:t>[20]</w:t>
      </w:r>
      <w:r w:rsidRPr="000946AD">
        <w:rPr>
          <w:rStyle w:val="Ninguno"/>
          <w:rFonts w:ascii="Book Antiqua" w:hAnsi="Book Antiqua"/>
          <w:sz w:val="24"/>
          <w:szCs w:val="24"/>
          <w:lang w:val="en-US"/>
        </w:rPr>
        <w:t>.</w:t>
      </w:r>
    </w:p>
    <w:p w14:paraId="376F89B6" w14:textId="413E8148"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In a recent study, the presence of ileostomy high-output at any time during the index admission was associated with a 3-fold increased risk of readmission for dehydration</w:t>
      </w:r>
      <w:r w:rsidRPr="000946AD">
        <w:rPr>
          <w:rStyle w:val="Ninguno"/>
          <w:rFonts w:ascii="Book Antiqua" w:hAnsi="Book Antiqua"/>
          <w:sz w:val="24"/>
          <w:szCs w:val="24"/>
          <w:vertAlign w:val="superscript"/>
        </w:rPr>
        <w:t>[6]</w:t>
      </w:r>
      <w:r w:rsidRPr="000946AD">
        <w:rPr>
          <w:rStyle w:val="Ninguno"/>
          <w:rFonts w:ascii="Book Antiqua" w:hAnsi="Book Antiqua"/>
          <w:sz w:val="24"/>
          <w:szCs w:val="24"/>
          <w:lang w:val="en-US"/>
        </w:rPr>
        <w:t>. We found a similar 3.3-fold increased risk of presenting a high-output-related complication (either dehydration or acute renal failure) in patients with more than 1000 mL/24 h the day of discharge. Loperamide reduces the daily output and decreases the losses of sodium and potassium in patients with an ileostomy</w:t>
      </w:r>
      <w:r w:rsidRPr="000946AD">
        <w:rPr>
          <w:rStyle w:val="Ninguno"/>
          <w:rFonts w:ascii="Book Antiqua" w:hAnsi="Book Antiqua"/>
          <w:sz w:val="24"/>
          <w:szCs w:val="24"/>
          <w:vertAlign w:val="superscript"/>
        </w:rPr>
        <w:t>[21]</w:t>
      </w:r>
      <w:r w:rsidRPr="000946AD">
        <w:rPr>
          <w:rStyle w:val="Ninguno"/>
          <w:rFonts w:ascii="Book Antiqua" w:hAnsi="Book Antiqua"/>
          <w:sz w:val="24"/>
          <w:szCs w:val="24"/>
          <w:lang w:val="en-US"/>
        </w:rPr>
        <w:t>. The use of loperamide was a</w:t>
      </w:r>
      <w:r w:rsidRPr="000946AD">
        <w:rPr>
          <w:rStyle w:val="Ninguno"/>
          <w:rFonts w:ascii="Book Antiqua" w:hAnsi="Book Antiqua"/>
          <w:sz w:val="24"/>
          <w:szCs w:val="24"/>
          <w:lang w:val="en-US"/>
        </w:rPr>
        <w:t>s</w:t>
      </w:r>
      <w:r w:rsidRPr="000946AD">
        <w:rPr>
          <w:rStyle w:val="Ninguno"/>
          <w:rFonts w:ascii="Book Antiqua" w:hAnsi="Book Antiqua"/>
          <w:sz w:val="24"/>
          <w:szCs w:val="24"/>
          <w:lang w:val="en-US"/>
        </w:rPr>
        <w:t>sociated with a greater incidence of complications and hospital readmissions (OR</w:t>
      </w:r>
      <w:r w:rsidR="00902279" w:rsidRPr="000946AD">
        <w:rPr>
          <w:rStyle w:val="Ninguno"/>
          <w:rFonts w:ascii="Book Antiqua" w:hAnsi="Book Antiqua"/>
          <w:sz w:val="24"/>
          <w:szCs w:val="24"/>
          <w:lang w:val="en-US"/>
        </w:rPr>
        <w:t xml:space="preserve"> = </w:t>
      </w:r>
      <w:r w:rsidRPr="000946AD">
        <w:rPr>
          <w:rStyle w:val="Ninguno"/>
          <w:rFonts w:ascii="Book Antiqua" w:hAnsi="Book Antiqua"/>
          <w:sz w:val="24"/>
          <w:szCs w:val="24"/>
          <w:lang w:val="en-US"/>
        </w:rPr>
        <w:t xml:space="preserve">2.8,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1.09-7.24). This may reflect the difficulties in controlling the output in this group of patients shortly after surgery.</w:t>
      </w:r>
    </w:p>
    <w:p w14:paraId="00D7768C" w14:textId="331635A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A high-output stoma is characterized by an increased loss of water and sodium, which may produce dehydration, hyponatremia, hypomagnesemia, and hyperaldost</w:t>
      </w:r>
      <w:r w:rsidRPr="000946AD">
        <w:rPr>
          <w:rStyle w:val="Ninguno"/>
          <w:rFonts w:ascii="Book Antiqua" w:hAnsi="Book Antiqua"/>
          <w:sz w:val="24"/>
          <w:szCs w:val="24"/>
          <w:lang w:val="en-US"/>
        </w:rPr>
        <w:t>e</w:t>
      </w:r>
      <w:r w:rsidRPr="000946AD">
        <w:rPr>
          <w:rStyle w:val="Ninguno"/>
          <w:rFonts w:ascii="Book Antiqua" w:hAnsi="Book Antiqua"/>
          <w:sz w:val="24"/>
          <w:szCs w:val="24"/>
          <w:lang w:val="en-US"/>
        </w:rPr>
        <w:t>ronism</w:t>
      </w:r>
      <w:r w:rsidRPr="000946AD">
        <w:rPr>
          <w:rStyle w:val="Ninguno"/>
          <w:rFonts w:ascii="Book Antiqua" w:hAnsi="Book Antiqua"/>
          <w:sz w:val="24"/>
          <w:szCs w:val="24"/>
          <w:vertAlign w:val="superscript"/>
        </w:rPr>
        <w:t>[4]</w:t>
      </w:r>
      <w:r w:rsidRPr="000946AD">
        <w:rPr>
          <w:rStyle w:val="Ninguno"/>
          <w:rFonts w:ascii="Book Antiqua" w:hAnsi="Book Antiqua"/>
          <w:sz w:val="24"/>
          <w:szCs w:val="24"/>
          <w:lang w:val="en-US"/>
        </w:rPr>
        <w:t>. In patients with normal preoperative glomerular filtration rates, approximat</w:t>
      </w:r>
      <w:r w:rsidRPr="000946AD">
        <w:rPr>
          <w:rStyle w:val="Ninguno"/>
          <w:rFonts w:ascii="Book Antiqua" w:hAnsi="Book Antiqua"/>
          <w:sz w:val="24"/>
          <w:szCs w:val="24"/>
          <w:lang w:val="en-US"/>
        </w:rPr>
        <w:t>e</w:t>
      </w:r>
      <w:r w:rsidRPr="000946AD">
        <w:rPr>
          <w:rStyle w:val="Ninguno"/>
          <w:rFonts w:ascii="Book Antiqua" w:hAnsi="Book Antiqua"/>
          <w:sz w:val="24"/>
          <w:szCs w:val="24"/>
          <w:lang w:val="en-US"/>
        </w:rPr>
        <w:t>ly 20% show significant reductions in glomerular filtration rates after ileostomy cre</w:t>
      </w:r>
      <w:r w:rsidRPr="000946AD">
        <w:rPr>
          <w:rStyle w:val="Ninguno"/>
          <w:rFonts w:ascii="Book Antiqua" w:hAnsi="Book Antiqua"/>
          <w:sz w:val="24"/>
          <w:szCs w:val="24"/>
          <w:lang w:val="en-US"/>
        </w:rPr>
        <w:t>a</w:t>
      </w:r>
      <w:r w:rsidRPr="000946AD">
        <w:rPr>
          <w:rStyle w:val="Ninguno"/>
          <w:rFonts w:ascii="Book Antiqua" w:hAnsi="Book Antiqua"/>
          <w:sz w:val="24"/>
          <w:szCs w:val="24"/>
          <w:lang w:val="en-US"/>
        </w:rPr>
        <w:t>tion, and some patients require hospitalization for IV fluid hydration</w:t>
      </w:r>
      <w:r w:rsidRPr="000946AD">
        <w:rPr>
          <w:rStyle w:val="Ninguno"/>
          <w:rFonts w:ascii="Book Antiqua" w:hAnsi="Book Antiqua"/>
          <w:sz w:val="24"/>
          <w:szCs w:val="24"/>
          <w:vertAlign w:val="superscript"/>
        </w:rPr>
        <w:t>[7,10]</w:t>
      </w:r>
      <w:r w:rsidRPr="000946AD">
        <w:rPr>
          <w:rStyle w:val="Ninguno"/>
          <w:rFonts w:ascii="Book Antiqua" w:hAnsi="Book Antiqua"/>
          <w:sz w:val="24"/>
          <w:szCs w:val="24"/>
          <w:lang w:val="en-US"/>
        </w:rPr>
        <w:t>. Impairment of renal function was evident in 75% of our patients who presented with high-output-related complications, all of whom required admission to the hospital for IV fluid h</w:t>
      </w:r>
      <w:r w:rsidRPr="000946AD">
        <w:rPr>
          <w:rStyle w:val="Ninguno"/>
          <w:rFonts w:ascii="Book Antiqua" w:hAnsi="Book Antiqua"/>
          <w:sz w:val="24"/>
          <w:szCs w:val="24"/>
          <w:lang w:val="en-US"/>
        </w:rPr>
        <w:t>y</w:t>
      </w:r>
      <w:r w:rsidRPr="000946AD">
        <w:rPr>
          <w:rStyle w:val="Ninguno"/>
          <w:rFonts w:ascii="Book Antiqua" w:hAnsi="Book Antiqua"/>
          <w:sz w:val="24"/>
          <w:szCs w:val="24"/>
          <w:lang w:val="en-US"/>
        </w:rPr>
        <w:t>dration.</w:t>
      </w:r>
    </w:p>
    <w:p w14:paraId="386B73D5" w14:textId="16D9376B"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identification of patients at risk of developing high ileostomy output and its r</w:t>
      </w:r>
      <w:r w:rsidRPr="000946AD">
        <w:rPr>
          <w:rStyle w:val="Ninguno"/>
          <w:rFonts w:ascii="Book Antiqua" w:hAnsi="Book Antiqua"/>
          <w:sz w:val="24"/>
          <w:szCs w:val="24"/>
          <w:lang w:val="en-US"/>
        </w:rPr>
        <w:t>e</w:t>
      </w:r>
      <w:r w:rsidRPr="000946AD">
        <w:rPr>
          <w:rStyle w:val="Ninguno"/>
          <w:rFonts w:ascii="Book Antiqua" w:hAnsi="Book Antiqua"/>
          <w:sz w:val="24"/>
          <w:szCs w:val="24"/>
          <w:lang w:val="en-US"/>
        </w:rPr>
        <w:t>lated complications is of paramount importance to implement interventions to decrease readmissions</w:t>
      </w:r>
      <w:r w:rsidRPr="000946AD">
        <w:rPr>
          <w:rStyle w:val="Ninguno"/>
          <w:rFonts w:ascii="Book Antiqua" w:hAnsi="Book Antiqua"/>
          <w:sz w:val="24"/>
          <w:szCs w:val="24"/>
          <w:vertAlign w:val="superscript"/>
        </w:rPr>
        <w:t>[6]</w:t>
      </w:r>
      <w:r w:rsidRPr="000946AD">
        <w:rPr>
          <w:rStyle w:val="Ninguno"/>
          <w:rFonts w:ascii="Book Antiqua" w:hAnsi="Book Antiqua"/>
          <w:sz w:val="24"/>
          <w:szCs w:val="24"/>
          <w:lang w:val="en-US"/>
        </w:rPr>
        <w:t>. In our institution, diverting loop ileostomies are performed at a di</w:t>
      </w:r>
      <w:r w:rsidRPr="000946AD">
        <w:rPr>
          <w:rStyle w:val="Ninguno"/>
          <w:rFonts w:ascii="Book Antiqua" w:hAnsi="Book Antiqua"/>
          <w:sz w:val="24"/>
          <w:szCs w:val="24"/>
          <w:lang w:val="en-US"/>
        </w:rPr>
        <w:t>s</w:t>
      </w:r>
      <w:r w:rsidRPr="000946AD">
        <w:rPr>
          <w:rStyle w:val="Ninguno"/>
          <w:rFonts w:ascii="Book Antiqua" w:hAnsi="Book Antiqua"/>
          <w:sz w:val="24"/>
          <w:szCs w:val="24"/>
          <w:lang w:val="en-US"/>
        </w:rPr>
        <w:t>tance of 30-15 cm from the ileocecal valve. Some recognized causes of high output are proximal stomas, intraabdominal sepsis, enteritis, intermittent bowel obstruction, less than 200 cm of small bowel length, recurrent disease in the remaining bowel (</w:t>
      </w:r>
      <w:r w:rsidRPr="000946AD">
        <w:rPr>
          <w:rStyle w:val="Ninguno"/>
          <w:rFonts w:ascii="Book Antiqua" w:hAnsi="Book Antiqua"/>
          <w:i/>
          <w:iCs/>
          <w:sz w:val="24"/>
          <w:szCs w:val="24"/>
          <w:lang w:val="en-US"/>
        </w:rPr>
        <w:t>e.g.</w:t>
      </w:r>
      <w:r w:rsidRPr="000946AD">
        <w:rPr>
          <w:rStyle w:val="Ninguno"/>
          <w:rFonts w:ascii="Book Antiqua" w:hAnsi="Book Antiqua"/>
          <w:sz w:val="24"/>
          <w:szCs w:val="24"/>
          <w:lang w:val="en-US"/>
        </w:rPr>
        <w:t>, i</w:t>
      </w:r>
      <w:r w:rsidRPr="000946AD">
        <w:rPr>
          <w:rStyle w:val="Ninguno"/>
          <w:rFonts w:ascii="Book Antiqua" w:hAnsi="Book Antiqua"/>
          <w:sz w:val="24"/>
          <w:szCs w:val="24"/>
          <w:lang w:val="en-US"/>
        </w:rPr>
        <w:t>n</w:t>
      </w:r>
      <w:r w:rsidRPr="000946AD">
        <w:rPr>
          <w:rStyle w:val="Ninguno"/>
          <w:rFonts w:ascii="Book Antiqua" w:hAnsi="Book Antiqua"/>
          <w:sz w:val="24"/>
          <w:szCs w:val="24"/>
          <w:lang w:val="en-US"/>
        </w:rPr>
        <w:t>flammatory bowel disease or radiation enteritis), bacterial overgrowth, and medications</w:t>
      </w:r>
      <w:r w:rsidRPr="000946AD">
        <w:rPr>
          <w:rStyle w:val="Ninguno"/>
          <w:rFonts w:ascii="Book Antiqua" w:hAnsi="Book Antiqua"/>
          <w:sz w:val="24"/>
          <w:szCs w:val="24"/>
          <w:vertAlign w:val="superscript"/>
        </w:rPr>
        <w:t>[4,10]</w:t>
      </w:r>
      <w:r w:rsidRPr="000946AD">
        <w:rPr>
          <w:rStyle w:val="Ninguno"/>
          <w:rFonts w:ascii="Book Antiqua" w:hAnsi="Book Antiqua"/>
          <w:sz w:val="24"/>
          <w:szCs w:val="24"/>
          <w:lang w:val="en-US"/>
        </w:rPr>
        <w:t>. In our study, patients with ulcerative colitis had a 7.6-fold increased risk of presenting with high-output complications.</w:t>
      </w:r>
    </w:p>
    <w:p w14:paraId="0D479763" w14:textId="79ADAD2B"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In a recent study, Chen </w:t>
      </w:r>
      <w:r w:rsidR="00C64FF9" w:rsidRPr="000946AD">
        <w:rPr>
          <w:rStyle w:val="Ninguno"/>
          <w:rFonts w:ascii="Book Antiqua" w:hAnsi="Book Antiqua"/>
          <w:i/>
          <w:iCs/>
          <w:sz w:val="24"/>
          <w:szCs w:val="24"/>
          <w:lang w:val="en-US"/>
        </w:rPr>
        <w:t>et al</w:t>
      </w:r>
      <w:r w:rsidRPr="000946AD">
        <w:rPr>
          <w:rStyle w:val="Ninguno"/>
          <w:rFonts w:ascii="Book Antiqua" w:hAnsi="Book Antiqua"/>
          <w:sz w:val="24"/>
          <w:szCs w:val="24"/>
          <w:vertAlign w:val="superscript"/>
          <w:lang w:val="en-US"/>
        </w:rPr>
        <w:t>[21]</w:t>
      </w:r>
      <w:r w:rsidRPr="000946AD">
        <w:rPr>
          <w:rStyle w:val="Ninguno"/>
          <w:rFonts w:ascii="Book Antiqua" w:hAnsi="Book Antiqua"/>
          <w:sz w:val="24"/>
          <w:szCs w:val="24"/>
          <w:lang w:val="en-US"/>
        </w:rPr>
        <w:t>, developed the so-called “Dehydration Readmission After Ileostomy Prediction Scoring System”. They found seven predictors, based on the American College of Surgeons National Surgical Quality Improvement Program dat</w:t>
      </w:r>
      <w:r w:rsidRPr="000946AD">
        <w:rPr>
          <w:rStyle w:val="Ninguno"/>
          <w:rFonts w:ascii="Book Antiqua" w:hAnsi="Book Antiqua"/>
          <w:sz w:val="24"/>
          <w:szCs w:val="24"/>
          <w:lang w:val="en-US"/>
        </w:rPr>
        <w:t>a</w:t>
      </w:r>
      <w:r w:rsidRPr="000946AD">
        <w:rPr>
          <w:rStyle w:val="Ninguno"/>
          <w:rFonts w:ascii="Book Antiqua" w:hAnsi="Book Antiqua"/>
          <w:sz w:val="24"/>
          <w:szCs w:val="24"/>
          <w:lang w:val="en-US"/>
        </w:rPr>
        <w:t>base, and they assigned different points for each predictor: ASA class III (4 points), f</w:t>
      </w:r>
      <w:r w:rsidRPr="000946AD">
        <w:rPr>
          <w:rStyle w:val="Ninguno"/>
          <w:rFonts w:ascii="Book Antiqua" w:hAnsi="Book Antiqua"/>
          <w:sz w:val="24"/>
          <w:szCs w:val="24"/>
          <w:lang w:val="en-US"/>
        </w:rPr>
        <w:t>e</w:t>
      </w:r>
      <w:r w:rsidRPr="000946AD">
        <w:rPr>
          <w:rStyle w:val="Ninguno"/>
          <w:rFonts w:ascii="Book Antiqua" w:hAnsi="Book Antiqua"/>
          <w:sz w:val="24"/>
          <w:szCs w:val="24"/>
          <w:lang w:val="en-US"/>
        </w:rPr>
        <w:t>male sex (5 points), IPAA (4 points), age ≥</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65 years (5 points), shortened length of stay (5 points), ASA class I to II with IBD (7 points), and hypertension (9 points). Patients with &gt;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15 points are at increased risk for readmission for dehydration. In our study, we found a high prevalence of the previously mentioned predictors in the patients who were readmitted: 33.3% were ASA class III, 50% were females, 25% required an IPAA, 41.7% were &gt;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65 years, 25% had ulcerative colitis, and 29.2% of patients had hyperte</w:t>
      </w:r>
      <w:r w:rsidRPr="000946AD">
        <w:rPr>
          <w:rStyle w:val="Ninguno"/>
          <w:rFonts w:ascii="Book Antiqua" w:hAnsi="Book Antiqua"/>
          <w:sz w:val="24"/>
          <w:szCs w:val="24"/>
          <w:lang w:val="en-US"/>
        </w:rPr>
        <w:t>n</w:t>
      </w:r>
      <w:r w:rsidRPr="000946AD">
        <w:rPr>
          <w:rStyle w:val="Ninguno"/>
          <w:rFonts w:ascii="Book Antiqua" w:hAnsi="Book Antiqua"/>
          <w:sz w:val="24"/>
          <w:szCs w:val="24"/>
          <w:lang w:val="en-US"/>
        </w:rPr>
        <w:t>sion.</w:t>
      </w:r>
    </w:p>
    <w:p w14:paraId="7A4A9E8C" w14:textId="77CCD5F0"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Patients with an ileostomy warrant special attention, and preventing dehydration represents an opportunity to improve outcomes</w:t>
      </w:r>
      <w:r w:rsidRPr="000946AD">
        <w:rPr>
          <w:rStyle w:val="Ninguno"/>
          <w:rFonts w:ascii="Book Antiqua" w:hAnsi="Book Antiqua"/>
          <w:sz w:val="24"/>
          <w:szCs w:val="24"/>
          <w:vertAlign w:val="superscript"/>
        </w:rPr>
        <w:t>[9]</w:t>
      </w:r>
      <w:r w:rsidRPr="000946AD">
        <w:rPr>
          <w:rStyle w:val="Ninguno"/>
          <w:rFonts w:ascii="Book Antiqua" w:hAnsi="Book Antiqua"/>
          <w:sz w:val="24"/>
          <w:szCs w:val="24"/>
          <w:lang w:val="en-US"/>
        </w:rPr>
        <w:t>. After the creation of a diverting loop ileostomy, the aim is to close it within 8-12 wk</w:t>
      </w:r>
      <w:r w:rsidRPr="000946AD">
        <w:rPr>
          <w:rStyle w:val="Ninguno"/>
          <w:rFonts w:ascii="Book Antiqua" w:hAnsi="Book Antiqua"/>
          <w:sz w:val="24"/>
          <w:szCs w:val="24"/>
          <w:vertAlign w:val="superscript"/>
        </w:rPr>
        <w:t>[22-24]</w:t>
      </w:r>
      <w:r w:rsidRPr="000946AD">
        <w:rPr>
          <w:rStyle w:val="Ninguno"/>
          <w:rFonts w:ascii="Book Antiqua" w:hAnsi="Book Antiqua"/>
          <w:sz w:val="24"/>
          <w:szCs w:val="24"/>
          <w:lang w:val="en-US"/>
        </w:rPr>
        <w:t>. Although the objective is to close all diverting loop ileostomies, the reversal percentage ranges from 75</w:t>
      </w:r>
      <w:r w:rsidR="00E01A49"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86%</w:t>
      </w:r>
      <w:r w:rsidRPr="000946AD">
        <w:rPr>
          <w:rStyle w:val="Ninguno"/>
          <w:rFonts w:ascii="Book Antiqua" w:hAnsi="Book Antiqua"/>
          <w:sz w:val="24"/>
          <w:szCs w:val="24"/>
          <w:vertAlign w:val="superscript"/>
        </w:rPr>
        <w:t>[22-27]</w:t>
      </w:r>
      <w:r w:rsidRPr="000946AD">
        <w:rPr>
          <w:rStyle w:val="Ninguno"/>
          <w:rFonts w:ascii="Book Antiqua" w:hAnsi="Book Antiqua"/>
          <w:sz w:val="24"/>
          <w:szCs w:val="24"/>
          <w:lang w:val="en-US"/>
        </w:rPr>
        <w:t xml:space="preserve">. Chun </w:t>
      </w:r>
      <w:r w:rsidR="00C64FF9" w:rsidRPr="000946AD">
        <w:rPr>
          <w:rStyle w:val="Ninguno"/>
          <w:rFonts w:ascii="Book Antiqua" w:hAnsi="Book Antiqua"/>
          <w:i/>
          <w:iCs/>
          <w:sz w:val="24"/>
          <w:szCs w:val="24"/>
          <w:lang w:val="en-US"/>
        </w:rPr>
        <w:t>et al</w:t>
      </w:r>
      <w:r w:rsidRPr="000946AD">
        <w:rPr>
          <w:rStyle w:val="Ninguno"/>
          <w:rFonts w:ascii="Book Antiqua" w:hAnsi="Book Antiqua"/>
          <w:sz w:val="24"/>
          <w:szCs w:val="24"/>
          <w:vertAlign w:val="superscript"/>
          <w:lang w:val="en-US"/>
        </w:rPr>
        <w:t>[26]</w:t>
      </w:r>
      <w:r w:rsidRPr="000946AD">
        <w:rPr>
          <w:rStyle w:val="Ninguno"/>
          <w:rFonts w:ascii="Book Antiqua" w:hAnsi="Book Antiqua"/>
          <w:sz w:val="24"/>
          <w:szCs w:val="24"/>
          <w:lang w:val="en-US"/>
        </w:rPr>
        <w:t xml:space="preserve">, reported that in 23.6% of patients, the ileostomy was not closed, with obesity (OR </w:t>
      </w:r>
      <w:r w:rsidR="003C1F96"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 xml:space="preserve">4.61,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1.14–18.54) and smoking (</w:t>
      </w:r>
      <w:r w:rsidR="00B54520" w:rsidRPr="000946AD">
        <w:rPr>
          <w:rStyle w:val="Ninguno"/>
          <w:rFonts w:ascii="Book Antiqua" w:hAnsi="Book Antiqua"/>
          <w:sz w:val="24"/>
          <w:szCs w:val="24"/>
          <w:lang w:val="en-US"/>
        </w:rPr>
        <w:t xml:space="preserve">OR = </w:t>
      </w:r>
      <w:r w:rsidRPr="000946AD">
        <w:rPr>
          <w:rStyle w:val="Ninguno"/>
          <w:rFonts w:ascii="Book Antiqua" w:hAnsi="Book Antiqua"/>
          <w:sz w:val="24"/>
          <w:szCs w:val="24"/>
          <w:lang w:val="en-US"/>
        </w:rPr>
        <w:t xml:space="preserve">4.47,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1.43–13.98) being risk factors for non-closure. Therefore, there should be a focus on the prevention of high output (and subsequently the readmission rates) until the loop ileostomy can be closed. We found in our study that the mean time from discharge after index surgery to the first visit to the emergency department was 78.3 d. This time-lapse is essential because the majority of our patients (overall 84.3%) had to wait more than three months to have their ileostomy closed.</w:t>
      </w:r>
    </w:p>
    <w:p w14:paraId="7FC5AA78" w14:textId="38EF25CB"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Several ileostomy care pathways have been implemented and reported with the pu</w:t>
      </w:r>
      <w:r w:rsidRPr="000946AD">
        <w:rPr>
          <w:rStyle w:val="Ninguno"/>
          <w:rFonts w:ascii="Book Antiqua" w:hAnsi="Book Antiqua"/>
          <w:sz w:val="24"/>
          <w:szCs w:val="24"/>
          <w:lang w:val="en-US"/>
        </w:rPr>
        <w:t>r</w:t>
      </w:r>
      <w:r w:rsidRPr="000946AD">
        <w:rPr>
          <w:rStyle w:val="Ninguno"/>
          <w:rFonts w:ascii="Book Antiqua" w:hAnsi="Book Antiqua"/>
          <w:sz w:val="24"/>
          <w:szCs w:val="24"/>
          <w:lang w:val="en-US"/>
        </w:rPr>
        <w:t>pose of reducing readmissions due to dehydration</w:t>
      </w:r>
      <w:r w:rsidRPr="000946AD">
        <w:rPr>
          <w:rStyle w:val="Ninguno"/>
          <w:rFonts w:ascii="Book Antiqua" w:hAnsi="Book Antiqua"/>
          <w:sz w:val="24"/>
          <w:szCs w:val="24"/>
          <w:vertAlign w:val="superscript"/>
        </w:rPr>
        <w:t>[19]</w:t>
      </w:r>
      <w:r w:rsidRPr="000946AD">
        <w:rPr>
          <w:rStyle w:val="Ninguno"/>
          <w:rFonts w:ascii="Book Antiqua" w:hAnsi="Book Antiqua"/>
          <w:sz w:val="24"/>
          <w:szCs w:val="24"/>
          <w:lang w:val="en-US"/>
        </w:rPr>
        <w:t xml:space="preserve">. For example, Nagle </w:t>
      </w:r>
      <w:r w:rsidR="00C64FF9" w:rsidRPr="000946AD">
        <w:rPr>
          <w:rStyle w:val="Ninguno"/>
          <w:rFonts w:ascii="Book Antiqua" w:hAnsi="Book Antiqua"/>
          <w:i/>
          <w:iCs/>
          <w:sz w:val="24"/>
          <w:szCs w:val="24"/>
          <w:lang w:val="en-US"/>
        </w:rPr>
        <w:t>et al</w:t>
      </w:r>
      <w:r w:rsidRPr="000946AD">
        <w:rPr>
          <w:rStyle w:val="Ninguno"/>
          <w:rFonts w:ascii="Book Antiqua" w:hAnsi="Book Antiqua"/>
          <w:sz w:val="24"/>
          <w:szCs w:val="24"/>
          <w:vertAlign w:val="superscript"/>
          <w:lang w:val="en-US"/>
        </w:rPr>
        <w:t>[19]</w:t>
      </w:r>
      <w:r w:rsidRPr="000946AD">
        <w:rPr>
          <w:rStyle w:val="Ninguno"/>
          <w:rFonts w:ascii="Book Antiqua" w:hAnsi="Book Antiqua"/>
          <w:sz w:val="24"/>
          <w:szCs w:val="24"/>
          <w:lang w:val="en-US"/>
        </w:rPr>
        <w:t>, r</w:t>
      </w:r>
      <w:r w:rsidRPr="000946AD">
        <w:rPr>
          <w:rStyle w:val="Ninguno"/>
          <w:rFonts w:ascii="Book Antiqua" w:hAnsi="Book Antiqua"/>
          <w:sz w:val="24"/>
          <w:szCs w:val="24"/>
          <w:lang w:val="en-US"/>
        </w:rPr>
        <w:t>e</w:t>
      </w:r>
      <w:r w:rsidRPr="000946AD">
        <w:rPr>
          <w:rStyle w:val="Ninguno"/>
          <w:rFonts w:ascii="Book Antiqua" w:hAnsi="Book Antiqua"/>
          <w:sz w:val="24"/>
          <w:szCs w:val="24"/>
          <w:lang w:val="en-US"/>
        </w:rPr>
        <w:t>ported decreased hospital readmissions (the readmission rate for dehydration dropped from 15.5</w:t>
      </w:r>
      <w:r w:rsidR="00130930"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0%) with the “ileostomy pathway” that included a set of patient educ</w:t>
      </w:r>
      <w:r w:rsidRPr="000946AD">
        <w:rPr>
          <w:rStyle w:val="Ninguno"/>
          <w:rFonts w:ascii="Book Antiqua" w:hAnsi="Book Antiqua"/>
          <w:sz w:val="24"/>
          <w:szCs w:val="24"/>
          <w:lang w:val="en-US"/>
        </w:rPr>
        <w:t>a</w:t>
      </w:r>
      <w:r w:rsidRPr="000946AD">
        <w:rPr>
          <w:rStyle w:val="Ninguno"/>
          <w:rFonts w:ascii="Book Antiqua" w:hAnsi="Book Antiqua"/>
          <w:sz w:val="24"/>
          <w:szCs w:val="24"/>
          <w:lang w:val="en-US"/>
        </w:rPr>
        <w:t>tion tools throughout the perioperative process with post-discharge tracking of intake and output.</w:t>
      </w:r>
    </w:p>
    <w:p w14:paraId="242F7A9F"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Although many studies have identified predictors of morbidity and readmission, many risk factors are non modifiable, such as age, sex and comorbidities</w:t>
      </w:r>
      <w:r w:rsidRPr="000946AD">
        <w:rPr>
          <w:rStyle w:val="Ninguno"/>
          <w:rFonts w:ascii="Book Antiqua" w:hAnsi="Book Antiqua"/>
          <w:sz w:val="24"/>
          <w:szCs w:val="24"/>
          <w:vertAlign w:val="superscript"/>
        </w:rPr>
        <w:t>[6-9]</w:t>
      </w:r>
      <w:r w:rsidRPr="000946AD">
        <w:rPr>
          <w:rStyle w:val="Ninguno"/>
          <w:rFonts w:ascii="Book Antiqua" w:hAnsi="Book Antiqua"/>
          <w:sz w:val="24"/>
          <w:szCs w:val="24"/>
          <w:lang w:val="en-US"/>
        </w:rPr>
        <w:t>. Aside from the protocols that we can implement to reduce readmissions, we should possibly focus on the selection of patients who would benefit the most with the construction of a d</w:t>
      </w:r>
      <w:r w:rsidRPr="000946AD">
        <w:rPr>
          <w:rStyle w:val="Ninguno"/>
          <w:rFonts w:ascii="Book Antiqua" w:hAnsi="Book Antiqua"/>
          <w:sz w:val="24"/>
          <w:szCs w:val="24"/>
          <w:lang w:val="en-US"/>
        </w:rPr>
        <w:t>i</w:t>
      </w:r>
      <w:r w:rsidRPr="000946AD">
        <w:rPr>
          <w:rStyle w:val="Ninguno"/>
          <w:rFonts w:ascii="Book Antiqua" w:hAnsi="Book Antiqua"/>
          <w:sz w:val="24"/>
          <w:szCs w:val="24"/>
          <w:lang w:val="en-US"/>
        </w:rPr>
        <w:t>verting loop ileostomy and define the minimal time in which the patients could have their ostomies closed to reduce the time-at-risk for developing complications. More studies are needed to answer these questions.</w:t>
      </w:r>
    </w:p>
    <w:p w14:paraId="6283CAE3"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limitations of our study are largely attributable to the sample size and retrospe</w:t>
      </w:r>
      <w:r w:rsidRPr="000946AD">
        <w:rPr>
          <w:rStyle w:val="Ninguno"/>
          <w:rFonts w:ascii="Book Antiqua" w:hAnsi="Book Antiqua"/>
          <w:sz w:val="24"/>
          <w:szCs w:val="24"/>
          <w:lang w:val="en-US"/>
        </w:rPr>
        <w:t>c</w:t>
      </w:r>
      <w:r w:rsidRPr="000946AD">
        <w:rPr>
          <w:rStyle w:val="Ninguno"/>
          <w:rFonts w:ascii="Book Antiqua" w:hAnsi="Book Antiqua"/>
          <w:sz w:val="24"/>
          <w:szCs w:val="24"/>
          <w:lang w:val="en-US"/>
        </w:rPr>
        <w:t>tive design. The single institutional nature of our investigation is prone to selection bias. The sample size could represent a risk of bias for a multivariate analysis, which could lead to underestimation of the independent variables. However, we consider that this study provides evidence of different risk factors associated with high-output-related complications that should be weighed at the time of diverting loop ileostomy constru</w:t>
      </w:r>
      <w:r w:rsidRPr="000946AD">
        <w:rPr>
          <w:rStyle w:val="Ninguno"/>
          <w:rFonts w:ascii="Book Antiqua" w:hAnsi="Book Antiqua"/>
          <w:sz w:val="24"/>
          <w:szCs w:val="24"/>
          <w:lang w:val="en-US"/>
        </w:rPr>
        <w:t>c</w:t>
      </w:r>
      <w:r w:rsidRPr="000946AD">
        <w:rPr>
          <w:rStyle w:val="Ninguno"/>
          <w:rFonts w:ascii="Book Antiqua" w:hAnsi="Book Antiqua"/>
          <w:sz w:val="24"/>
          <w:szCs w:val="24"/>
          <w:lang w:val="en-US"/>
        </w:rPr>
        <w:t>tion. These data can be used by colorectal and general surgeons for surgical decision-making and counseling patients on the pros and cons of diverting loop ileostomy after open and laparoscopic colorectal surgery.</w:t>
      </w:r>
    </w:p>
    <w:p w14:paraId="12644C3E"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b/>
          <w:bCs/>
          <w:sz w:val="24"/>
          <w:szCs w:val="24"/>
          <w:lang w:val="en-US"/>
        </w:rPr>
      </w:pPr>
      <w:r w:rsidRPr="000946AD">
        <w:rPr>
          <w:rStyle w:val="Ninguno"/>
          <w:rFonts w:ascii="Book Antiqua" w:hAnsi="Book Antiqua"/>
          <w:sz w:val="24"/>
          <w:szCs w:val="24"/>
          <w:lang w:val="en-US"/>
        </w:rPr>
        <w:t>In our study, 23.5% of patients who required diverting loop ileostomy creation after open or laparoscopic colorectal surgery suffered from high-output-related complic</w:t>
      </w:r>
      <w:r w:rsidRPr="000946AD">
        <w:rPr>
          <w:rStyle w:val="Ninguno"/>
          <w:rFonts w:ascii="Book Antiqua" w:hAnsi="Book Antiqua"/>
          <w:sz w:val="24"/>
          <w:szCs w:val="24"/>
          <w:lang w:val="en-US"/>
        </w:rPr>
        <w:t>a</w:t>
      </w:r>
      <w:r w:rsidRPr="000946AD">
        <w:rPr>
          <w:rStyle w:val="Ninguno"/>
          <w:rFonts w:ascii="Book Antiqua" w:hAnsi="Book Antiqua"/>
          <w:sz w:val="24"/>
          <w:szCs w:val="24"/>
          <w:lang w:val="en-US"/>
        </w:rPr>
        <w:t>tions, namely dehydration with electrolyte imbalances and acute renal failure. In this group of patients, at least one visit to the emergency department for evaluation and at least one readmission to the hospital was needed. Patients with ulcerative colitis and those who were discharged after index surgery with a daily in-hospital ileostomy ou</w:t>
      </w:r>
      <w:r w:rsidRPr="000946AD">
        <w:rPr>
          <w:rStyle w:val="Ninguno"/>
          <w:rFonts w:ascii="Book Antiqua" w:hAnsi="Book Antiqua"/>
          <w:sz w:val="24"/>
          <w:szCs w:val="24"/>
          <w:lang w:val="en-US"/>
        </w:rPr>
        <w:t>t</w:t>
      </w:r>
      <w:r w:rsidRPr="000946AD">
        <w:rPr>
          <w:rStyle w:val="Ninguno"/>
          <w:rFonts w:ascii="Book Antiqua" w:hAnsi="Book Antiqua"/>
          <w:sz w:val="24"/>
          <w:szCs w:val="24"/>
          <w:lang w:val="en-US"/>
        </w:rPr>
        <w:t>put of more than 1000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 xml:space="preserve"> were at increased risk for high-output related complications.</w:t>
      </w:r>
    </w:p>
    <w:p w14:paraId="6762FA9E"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Despite the potential benefits of fecal diversion after low pelvic anastomosis in col</w:t>
      </w:r>
      <w:r w:rsidRPr="000946AD">
        <w:rPr>
          <w:rStyle w:val="Ninguno"/>
          <w:rFonts w:ascii="Book Antiqua" w:hAnsi="Book Antiqua"/>
          <w:sz w:val="24"/>
          <w:szCs w:val="24"/>
          <w:lang w:val="en-US"/>
        </w:rPr>
        <w:t>o</w:t>
      </w:r>
      <w:r w:rsidRPr="000946AD">
        <w:rPr>
          <w:rStyle w:val="Ninguno"/>
          <w:rFonts w:ascii="Book Antiqua" w:hAnsi="Book Antiqua"/>
          <w:sz w:val="24"/>
          <w:szCs w:val="24"/>
          <w:lang w:val="en-US"/>
        </w:rPr>
        <w:t>rectal surgery, diverting loop ileostomy construction is related to significant rates of complications.</w:t>
      </w:r>
    </w:p>
    <w:p w14:paraId="5B356B38"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lang w:val="en-US"/>
        </w:rPr>
      </w:pPr>
    </w:p>
    <w:p w14:paraId="7F9D1805" w14:textId="1A086966" w:rsidR="0007436B" w:rsidRPr="000946AD" w:rsidRDefault="00761145" w:rsidP="00F45082">
      <w:pPr>
        <w:pStyle w:val="CuerpoA"/>
        <w:spacing w:line="360" w:lineRule="auto"/>
        <w:jc w:val="both"/>
        <w:rPr>
          <w:rStyle w:val="Ninguno"/>
          <w:rFonts w:ascii="Book Antiqua" w:eastAsiaTheme="minorEastAsia" w:hAnsi="Book Antiqua" w:cs="Book Antiqua"/>
          <w:b/>
          <w:bCs/>
          <w:sz w:val="24"/>
          <w:szCs w:val="24"/>
        </w:rPr>
      </w:pPr>
      <w:r w:rsidRPr="000946AD">
        <w:rPr>
          <w:rStyle w:val="Ninguno"/>
          <w:rFonts w:ascii="Book Antiqua" w:hAnsi="Book Antiqua"/>
          <w:b/>
          <w:bCs/>
          <w:sz w:val="24"/>
          <w:szCs w:val="24"/>
        </w:rPr>
        <w:t>ARTICLE HIGHLIGHTS</w:t>
      </w:r>
    </w:p>
    <w:p w14:paraId="48AF7446"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 xml:space="preserve">Research background </w:t>
      </w:r>
    </w:p>
    <w:p w14:paraId="0E0C7008"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Despite the potential benefits of fecal diversion after low pelvic anastomosis in colorectal surgery, diverting loop ileostomy construction is related to significant rates of complications.</w:t>
      </w:r>
    </w:p>
    <w:p w14:paraId="0E32AB24"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48DC3B73"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 xml:space="preserve">Research motivation </w:t>
      </w:r>
    </w:p>
    <w:p w14:paraId="43E18D88"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T</w:t>
      </w:r>
      <w:r w:rsidRPr="000946AD">
        <w:rPr>
          <w:rStyle w:val="Ninguno"/>
          <w:rFonts w:ascii="Book Antiqua" w:eastAsia="Souvenir Lt BT" w:hAnsi="Book Antiqua" w:cs="Souvenir Lt BT"/>
          <w:sz w:val="24"/>
          <w:szCs w:val="24"/>
        </w:rPr>
        <w:t>here is a lack of articles analyzing the risk of complications related to high output complications focusing only in this population (patients with diverting loop ileostomies).</w:t>
      </w:r>
    </w:p>
    <w:p w14:paraId="3EFF83AE"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6B6B8BEA"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objectives</w:t>
      </w:r>
    </w:p>
    <w:p w14:paraId="17E38AD1"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Our main purpose was to determine potential predictors of high output related complications in patients with diverting loop ileostomy creation after colorectal surgery.</w:t>
      </w:r>
    </w:p>
    <w:p w14:paraId="0F5142AE"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3B77BD04"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methods</w:t>
      </w:r>
    </w:p>
    <w:p w14:paraId="7B9B17F1"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Patients who underwent open and laparoscopic colorectal surgery requiring a diverting loop ileostomy from January 2010 to March 2018 were retrospectively analyzed. Univariate and multivariate logistic regression analysis was used to determine the effect of the potential predictors on the rate of high output related complications. </w:t>
      </w:r>
    </w:p>
    <w:p w14:paraId="07F2826C"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7D822519"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results</w:t>
      </w:r>
    </w:p>
    <w:p w14:paraId="04D6354F" w14:textId="3808276D"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Of the 102 patients included in the study, 23.5% (</w:t>
      </w:r>
      <w:r w:rsidRPr="000946AD">
        <w:rPr>
          <w:rStyle w:val="Ninguno"/>
          <w:rFonts w:ascii="Book Antiqua" w:hAnsi="Book Antiqua"/>
          <w:i/>
          <w:iCs/>
          <w:sz w:val="24"/>
          <w:szCs w:val="24"/>
        </w:rPr>
        <w:t>n</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24) suffered high output related complications. In this group of patients at least one visit to the emergency department (mean 1.6), and at least one readmission to the hospital was needed. The factors associated with high-output ileostomy, in the univariate analysis, were: urgent surgical intervention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0.047), the development of postoperative complications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0.024), ulcerative colitis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0.017), use of steroids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0.010), mean output at discharge greater than 1000 m</w:t>
      </w:r>
      <w:r w:rsidRPr="000946AD">
        <w:rPr>
          <w:rStyle w:val="Ninguno"/>
          <w:rFonts w:ascii="Book Antiqua" w:hAnsi="Book Antiqua"/>
          <w:caps/>
          <w:sz w:val="24"/>
          <w:szCs w:val="24"/>
        </w:rPr>
        <w:t>l</w:t>
      </w:r>
      <w:r w:rsidRPr="000946AD">
        <w:rPr>
          <w:rStyle w:val="Ninguno"/>
          <w:rFonts w:ascii="Book Antiqua" w:hAnsi="Book Antiqua"/>
          <w:sz w:val="24"/>
          <w:szCs w:val="24"/>
        </w:rPr>
        <w:t>/24 h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0.016), and use of loperamide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0.032). Multivariate logistic regression analysis identified two independent risk factors for high output related complications: ulcerative colitis [OR</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 7.6 (</w:t>
      </w:r>
      <w:r w:rsidR="00C64FF9" w:rsidRPr="000946AD">
        <w:rPr>
          <w:rStyle w:val="Ninguno"/>
          <w:rFonts w:ascii="Book Antiqua" w:hAnsi="Book Antiqua"/>
          <w:sz w:val="24"/>
          <w:szCs w:val="24"/>
        </w:rPr>
        <w:t>95%CI:</w:t>
      </w:r>
      <w:r w:rsidRPr="000946AD">
        <w:rPr>
          <w:rStyle w:val="Ninguno"/>
          <w:rFonts w:ascii="Book Antiqua" w:hAnsi="Book Antiqua"/>
          <w:sz w:val="24"/>
          <w:szCs w:val="24"/>
        </w:rPr>
        <w:t xml:space="preserve"> 1.81-31.95); </w:t>
      </w:r>
      <w:r w:rsidR="00560D71" w:rsidRPr="000946AD">
        <w:rPr>
          <w:rStyle w:val="Ninguno"/>
          <w:rFonts w:ascii="Book Antiqua" w:hAnsi="Book Antiqua"/>
          <w:i/>
          <w:iCs/>
          <w:caps/>
          <w:sz w:val="24"/>
          <w:szCs w:val="24"/>
        </w:rPr>
        <w:t>p =</w:t>
      </w:r>
      <w:r w:rsidRPr="000946AD">
        <w:rPr>
          <w:rStyle w:val="Ninguno"/>
          <w:rFonts w:ascii="Book Antiqua" w:hAnsi="Book Antiqua"/>
          <w:sz w:val="24"/>
          <w:szCs w:val="24"/>
        </w:rPr>
        <w:t xml:space="preserve"> 0.006], and ileostomy output at discharge ≥</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1000 mL/24 h  [OR</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 3.3 (1.18-9.37); </w:t>
      </w:r>
      <w:r w:rsidR="00560D71" w:rsidRPr="000946AD">
        <w:rPr>
          <w:rStyle w:val="Ninguno"/>
          <w:rFonts w:ascii="Book Antiqua" w:hAnsi="Book Antiqua"/>
          <w:i/>
          <w:iCs/>
          <w:caps/>
          <w:sz w:val="24"/>
          <w:szCs w:val="24"/>
        </w:rPr>
        <w:t>p =</w:t>
      </w:r>
      <w:r w:rsidRPr="000946AD">
        <w:rPr>
          <w:rStyle w:val="Ninguno"/>
          <w:rFonts w:ascii="Book Antiqua" w:hAnsi="Book Antiqua"/>
          <w:sz w:val="24"/>
          <w:szCs w:val="24"/>
        </w:rPr>
        <w:t xml:space="preserve"> 0.023].</w:t>
      </w:r>
    </w:p>
    <w:p w14:paraId="28C7C9AE"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1390D19C"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conclusions</w:t>
      </w:r>
    </w:p>
    <w:p w14:paraId="35C60665"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Patients with ulcerative colitis and those with an ileostomy output above 1000 m</w:t>
      </w:r>
      <w:r w:rsidRPr="000946AD">
        <w:rPr>
          <w:rStyle w:val="Ninguno"/>
          <w:rFonts w:ascii="Book Antiqua" w:hAnsi="Book Antiqua"/>
          <w:caps/>
          <w:sz w:val="24"/>
          <w:szCs w:val="24"/>
        </w:rPr>
        <w:t>l</w:t>
      </w:r>
      <w:r w:rsidRPr="000946AD">
        <w:rPr>
          <w:rStyle w:val="Ninguno"/>
          <w:rFonts w:ascii="Book Antiqua" w:hAnsi="Book Antiqua"/>
          <w:sz w:val="24"/>
          <w:szCs w:val="24"/>
        </w:rPr>
        <w:t>/24 h at discharge, were at increased risk of high output complications.</w:t>
      </w:r>
    </w:p>
    <w:p w14:paraId="08F0176D"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7DBF760E" w14:textId="15DD6B6F"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perspectives</w:t>
      </w:r>
    </w:p>
    <w:p w14:paraId="3520DF89"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This article reflects that d</w:t>
      </w:r>
      <w:r w:rsidRPr="000946AD">
        <w:rPr>
          <w:rStyle w:val="Ninguno"/>
          <w:rFonts w:ascii="Book Antiqua" w:eastAsia="Souvenir Lt BT" w:hAnsi="Book Antiqua" w:cs="Souvenir Lt BT"/>
          <w:sz w:val="24"/>
          <w:szCs w:val="24"/>
        </w:rPr>
        <w:t>iverting loop ileostomy has become a surgical technique commonly employed after open and laparoscopic colorectal resections with low pelvic anastomosis. Despite the frequency of the employment of this technique, there is a lack of articles analyzing the risk of readmission focusing only in this population.  Our results support that not only patients with terminal ileostomies, but also patients with diverting loop ileostomy represent a high risk group for presenting to the emergency department with dehydration and acute renal failure.</w:t>
      </w:r>
    </w:p>
    <w:p w14:paraId="5ACA77AF" w14:textId="77777777" w:rsidR="0007436B" w:rsidRPr="000946AD" w:rsidRDefault="0007436B" w:rsidP="00F45082">
      <w:pPr>
        <w:pStyle w:val="CuerpoA"/>
        <w:spacing w:line="360" w:lineRule="auto"/>
        <w:jc w:val="both"/>
        <w:rPr>
          <w:rStyle w:val="Ninguno"/>
          <w:rFonts w:ascii="Book Antiqua" w:eastAsiaTheme="minorEastAsia" w:hAnsi="Book Antiqua" w:cs="Book Antiqua"/>
          <w:b/>
          <w:bCs/>
          <w:sz w:val="24"/>
          <w:szCs w:val="24"/>
        </w:rPr>
      </w:pPr>
    </w:p>
    <w:p w14:paraId="245E639F" w14:textId="5707CC0D" w:rsidR="0007436B" w:rsidRDefault="00761145" w:rsidP="00F45082">
      <w:pPr>
        <w:pStyle w:val="CuerpoA"/>
        <w:spacing w:line="360" w:lineRule="auto"/>
        <w:jc w:val="both"/>
        <w:rPr>
          <w:rStyle w:val="Ninguno"/>
          <w:rFonts w:ascii="Book Antiqua" w:hAnsi="Book Antiqua"/>
          <w:b/>
          <w:bCs/>
          <w:sz w:val="24"/>
          <w:szCs w:val="24"/>
        </w:rPr>
      </w:pPr>
      <w:r w:rsidRPr="000946AD">
        <w:rPr>
          <w:rStyle w:val="Ninguno"/>
          <w:rFonts w:ascii="Book Antiqua" w:hAnsi="Book Antiqua"/>
          <w:b/>
          <w:bCs/>
          <w:sz w:val="24"/>
          <w:szCs w:val="24"/>
        </w:rPr>
        <w:t>REFERENCES</w:t>
      </w:r>
    </w:p>
    <w:p w14:paraId="51EABB35"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 </w:t>
      </w:r>
      <w:r w:rsidRPr="00CF5AD1">
        <w:rPr>
          <w:rFonts w:ascii="Book Antiqua" w:eastAsia="等线" w:hAnsi="Book Antiqua" w:cs="Times New Roman"/>
          <w:b/>
          <w:color w:val="auto"/>
          <w:kern w:val="2"/>
          <w:bdr w:val="none" w:sz="0" w:space="0" w:color="auto"/>
        </w:rPr>
        <w:t>Sharma A</w:t>
      </w:r>
      <w:r w:rsidRPr="00CF5AD1">
        <w:rPr>
          <w:rFonts w:ascii="Book Antiqua" w:eastAsia="等线" w:hAnsi="Book Antiqua" w:cs="Times New Roman"/>
          <w:color w:val="auto"/>
          <w:kern w:val="2"/>
          <w:bdr w:val="none" w:sz="0" w:space="0" w:color="auto"/>
        </w:rPr>
        <w:t xml:space="preserve">, Deeb AP, Rickles AS, Iannuzzi JC, Monson JR, Fleming FJ. Closure of defunctioning loop ileostomy is associated with considerable morbidity. </w:t>
      </w:r>
      <w:r w:rsidRPr="00CF5AD1">
        <w:rPr>
          <w:rFonts w:ascii="Book Antiqua" w:eastAsia="等线" w:hAnsi="Book Antiqua" w:cs="Times New Roman"/>
          <w:i/>
          <w:color w:val="auto"/>
          <w:kern w:val="2"/>
          <w:bdr w:val="none" w:sz="0" w:space="0" w:color="auto"/>
        </w:rPr>
        <w:t>Colorectal Dis</w:t>
      </w:r>
      <w:r w:rsidRPr="00CF5AD1">
        <w:rPr>
          <w:rFonts w:ascii="Book Antiqua" w:eastAsia="等线" w:hAnsi="Book Antiqua" w:cs="Times New Roman"/>
          <w:color w:val="auto"/>
          <w:kern w:val="2"/>
          <w:bdr w:val="none" w:sz="0" w:space="0" w:color="auto"/>
        </w:rPr>
        <w:t xml:space="preserve"> 2013; </w:t>
      </w:r>
      <w:r w:rsidRPr="00CF5AD1">
        <w:rPr>
          <w:rFonts w:ascii="Book Antiqua" w:eastAsia="等线" w:hAnsi="Book Antiqua" w:cs="Times New Roman"/>
          <w:b/>
          <w:color w:val="auto"/>
          <w:kern w:val="2"/>
          <w:bdr w:val="none" w:sz="0" w:space="0" w:color="auto"/>
        </w:rPr>
        <w:t>15</w:t>
      </w:r>
      <w:r w:rsidRPr="00CF5AD1">
        <w:rPr>
          <w:rFonts w:ascii="Book Antiqua" w:eastAsia="等线" w:hAnsi="Book Antiqua" w:cs="Times New Roman"/>
          <w:color w:val="auto"/>
          <w:kern w:val="2"/>
          <w:bdr w:val="none" w:sz="0" w:space="0" w:color="auto"/>
        </w:rPr>
        <w:t>: 458-462 [PMID: 22974343 DOI: 10.1111/codi.12029]</w:t>
      </w:r>
    </w:p>
    <w:p w14:paraId="351CB812"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 </w:t>
      </w:r>
      <w:r w:rsidRPr="00CF5AD1">
        <w:rPr>
          <w:rFonts w:ascii="Book Antiqua" w:eastAsia="等线" w:hAnsi="Book Antiqua" w:cs="Times New Roman"/>
          <w:b/>
          <w:color w:val="auto"/>
          <w:kern w:val="2"/>
          <w:bdr w:val="none" w:sz="0" w:space="0" w:color="auto"/>
        </w:rPr>
        <w:t>Alberts JC</w:t>
      </w:r>
      <w:r w:rsidRPr="00CF5AD1">
        <w:rPr>
          <w:rFonts w:ascii="Book Antiqua" w:eastAsia="等线" w:hAnsi="Book Antiqua" w:cs="Times New Roman"/>
          <w:color w:val="auto"/>
          <w:kern w:val="2"/>
          <w:bdr w:val="none" w:sz="0" w:space="0" w:color="auto"/>
        </w:rPr>
        <w:t xml:space="preserve">, Parvaiz A, Moran BJ. Predicting risk and diminishing the consequences of anastomotic dehiscence following rectal resection. </w:t>
      </w:r>
      <w:r w:rsidRPr="00CF5AD1">
        <w:rPr>
          <w:rFonts w:ascii="Book Antiqua" w:eastAsia="等线" w:hAnsi="Book Antiqua" w:cs="Times New Roman"/>
          <w:i/>
          <w:color w:val="auto"/>
          <w:kern w:val="2"/>
          <w:bdr w:val="none" w:sz="0" w:space="0" w:color="auto"/>
        </w:rPr>
        <w:t>Colorectal Dis</w:t>
      </w:r>
      <w:r w:rsidRPr="00CF5AD1">
        <w:rPr>
          <w:rFonts w:ascii="Book Antiqua" w:eastAsia="等线" w:hAnsi="Book Antiqua" w:cs="Times New Roman"/>
          <w:color w:val="auto"/>
          <w:kern w:val="2"/>
          <w:bdr w:val="none" w:sz="0" w:space="0" w:color="auto"/>
        </w:rPr>
        <w:t xml:space="preserve"> 2003; </w:t>
      </w:r>
      <w:r w:rsidRPr="00CF5AD1">
        <w:rPr>
          <w:rFonts w:ascii="Book Antiqua" w:eastAsia="等线" w:hAnsi="Book Antiqua" w:cs="Times New Roman"/>
          <w:b/>
          <w:color w:val="auto"/>
          <w:kern w:val="2"/>
          <w:bdr w:val="none" w:sz="0" w:space="0" w:color="auto"/>
        </w:rPr>
        <w:t>5</w:t>
      </w:r>
      <w:r w:rsidRPr="00CF5AD1">
        <w:rPr>
          <w:rFonts w:ascii="Book Antiqua" w:eastAsia="等线" w:hAnsi="Book Antiqua" w:cs="Times New Roman"/>
          <w:color w:val="auto"/>
          <w:kern w:val="2"/>
          <w:bdr w:val="none" w:sz="0" w:space="0" w:color="auto"/>
        </w:rPr>
        <w:t>: 478-482 [PMID: 12925084]</w:t>
      </w:r>
    </w:p>
    <w:p w14:paraId="29CE5FE2"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3 </w:t>
      </w:r>
      <w:r w:rsidRPr="00CF5AD1">
        <w:rPr>
          <w:rFonts w:ascii="Book Antiqua" w:eastAsia="等线" w:hAnsi="Book Antiqua" w:cs="Times New Roman"/>
          <w:b/>
          <w:color w:val="auto"/>
          <w:kern w:val="2"/>
          <w:bdr w:val="none" w:sz="0" w:space="0" w:color="auto"/>
        </w:rPr>
        <w:t>Lightner AL</w:t>
      </w:r>
      <w:r w:rsidRPr="00CF5AD1">
        <w:rPr>
          <w:rFonts w:ascii="Book Antiqua" w:eastAsia="等线" w:hAnsi="Book Antiqua" w:cs="Times New Roman"/>
          <w:color w:val="auto"/>
          <w:kern w:val="2"/>
          <w:bdr w:val="none" w:sz="0" w:space="0" w:color="auto"/>
        </w:rPr>
        <w:t xml:space="preserve">, Pemberton JH. The Role of Temporary Fecal Diversion. </w:t>
      </w:r>
      <w:r w:rsidRPr="00CF5AD1">
        <w:rPr>
          <w:rFonts w:ascii="Book Antiqua" w:eastAsia="等线" w:hAnsi="Book Antiqua" w:cs="Times New Roman"/>
          <w:i/>
          <w:color w:val="auto"/>
          <w:kern w:val="2"/>
          <w:bdr w:val="none" w:sz="0" w:space="0" w:color="auto"/>
        </w:rPr>
        <w:t>Clin Colon Rectal Surg</w:t>
      </w:r>
      <w:r w:rsidRPr="00CF5AD1">
        <w:rPr>
          <w:rFonts w:ascii="Book Antiqua" w:eastAsia="等线" w:hAnsi="Book Antiqua" w:cs="Times New Roman"/>
          <w:color w:val="auto"/>
          <w:kern w:val="2"/>
          <w:bdr w:val="none" w:sz="0" w:space="0" w:color="auto"/>
        </w:rPr>
        <w:t xml:space="preserve"> 2017; </w:t>
      </w:r>
      <w:r w:rsidRPr="00CF5AD1">
        <w:rPr>
          <w:rFonts w:ascii="Book Antiqua" w:eastAsia="等线" w:hAnsi="Book Antiqua" w:cs="Times New Roman"/>
          <w:b/>
          <w:color w:val="auto"/>
          <w:kern w:val="2"/>
          <w:bdr w:val="none" w:sz="0" w:space="0" w:color="auto"/>
        </w:rPr>
        <w:t>30</w:t>
      </w:r>
      <w:r w:rsidRPr="00CF5AD1">
        <w:rPr>
          <w:rFonts w:ascii="Book Antiqua" w:eastAsia="等线" w:hAnsi="Book Antiqua" w:cs="Times New Roman"/>
          <w:color w:val="auto"/>
          <w:kern w:val="2"/>
          <w:bdr w:val="none" w:sz="0" w:space="0" w:color="auto"/>
        </w:rPr>
        <w:t>: 178-183 [PMID: 28684935 DOI: 10.1055/s-0037-1598158]</w:t>
      </w:r>
    </w:p>
    <w:p w14:paraId="6D4136AB"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4 </w:t>
      </w:r>
      <w:r w:rsidRPr="00CF5AD1">
        <w:rPr>
          <w:rFonts w:ascii="Book Antiqua" w:eastAsia="等线" w:hAnsi="Book Antiqua" w:cs="Times New Roman"/>
          <w:b/>
          <w:color w:val="auto"/>
          <w:kern w:val="2"/>
          <w:bdr w:val="none" w:sz="0" w:space="0" w:color="auto"/>
        </w:rPr>
        <w:t>Hayden DM</w:t>
      </w:r>
      <w:r w:rsidRPr="00CF5AD1">
        <w:rPr>
          <w:rFonts w:ascii="Book Antiqua" w:eastAsia="等线" w:hAnsi="Book Antiqua" w:cs="Times New Roman"/>
          <w:color w:val="auto"/>
          <w:kern w:val="2"/>
          <w:bdr w:val="none" w:sz="0" w:space="0" w:color="auto"/>
        </w:rPr>
        <w:t xml:space="preserve">, Pinzon MC, Francescatti AB, Edquist SC, Malczewski MR, Jolley JM, Brand MI, Saclarides TJ. Hospital readmission for fluid and electrolyte abnormalities following ileostomy construction: preventable or unpredictable? </w:t>
      </w:r>
      <w:r w:rsidRPr="00CF5AD1">
        <w:rPr>
          <w:rFonts w:ascii="Book Antiqua" w:eastAsia="等线" w:hAnsi="Book Antiqua" w:cs="Times New Roman"/>
          <w:i/>
          <w:color w:val="auto"/>
          <w:kern w:val="2"/>
          <w:bdr w:val="none" w:sz="0" w:space="0" w:color="auto"/>
        </w:rPr>
        <w:t>J Gastrointest Surg</w:t>
      </w:r>
      <w:r w:rsidRPr="00CF5AD1">
        <w:rPr>
          <w:rFonts w:ascii="Book Antiqua" w:eastAsia="等线" w:hAnsi="Book Antiqua" w:cs="Times New Roman"/>
          <w:color w:val="auto"/>
          <w:kern w:val="2"/>
          <w:bdr w:val="none" w:sz="0" w:space="0" w:color="auto"/>
        </w:rPr>
        <w:t xml:space="preserve"> 2013; </w:t>
      </w:r>
      <w:r w:rsidRPr="00CF5AD1">
        <w:rPr>
          <w:rFonts w:ascii="Book Antiqua" w:eastAsia="等线" w:hAnsi="Book Antiqua" w:cs="Times New Roman"/>
          <w:b/>
          <w:color w:val="auto"/>
          <w:kern w:val="2"/>
          <w:bdr w:val="none" w:sz="0" w:space="0" w:color="auto"/>
        </w:rPr>
        <w:t>17</w:t>
      </w:r>
      <w:r w:rsidRPr="00CF5AD1">
        <w:rPr>
          <w:rFonts w:ascii="Book Antiqua" w:eastAsia="等线" w:hAnsi="Book Antiqua" w:cs="Times New Roman"/>
          <w:color w:val="auto"/>
          <w:kern w:val="2"/>
          <w:bdr w:val="none" w:sz="0" w:space="0" w:color="auto"/>
        </w:rPr>
        <w:t>: 298-303 [PMID: 23192425 DOI: 10.1007/s11605-012-2073-5]</w:t>
      </w:r>
    </w:p>
    <w:p w14:paraId="79DB2897"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5 </w:t>
      </w:r>
      <w:r w:rsidRPr="00CF5AD1">
        <w:rPr>
          <w:rFonts w:ascii="Book Antiqua" w:eastAsia="等线" w:hAnsi="Book Antiqua" w:cs="Times New Roman"/>
          <w:b/>
          <w:color w:val="auto"/>
          <w:kern w:val="2"/>
          <w:bdr w:val="none" w:sz="0" w:space="0" w:color="auto"/>
        </w:rPr>
        <w:t>Bhangu A</w:t>
      </w:r>
      <w:r w:rsidRPr="00CF5AD1">
        <w:rPr>
          <w:rFonts w:ascii="Book Antiqua" w:eastAsia="等线" w:hAnsi="Book Antiqua" w:cs="Times New Roman"/>
          <w:color w:val="auto"/>
          <w:kern w:val="2"/>
          <w:bdr w:val="none" w:sz="0" w:space="0" w:color="auto"/>
        </w:rPr>
        <w:t xml:space="preserve">, Nepogodiev D, Futaba K; West Midlands Research Collaborative. Systematic review and meta-analysis of the incidence of incisional hernia at the site of stoma closure. </w:t>
      </w:r>
      <w:r w:rsidRPr="00CF5AD1">
        <w:rPr>
          <w:rFonts w:ascii="Book Antiqua" w:eastAsia="等线" w:hAnsi="Book Antiqua" w:cs="Times New Roman"/>
          <w:i/>
          <w:color w:val="auto"/>
          <w:kern w:val="2"/>
          <w:bdr w:val="none" w:sz="0" w:space="0" w:color="auto"/>
        </w:rPr>
        <w:t>World J Surg</w:t>
      </w:r>
      <w:r w:rsidRPr="00CF5AD1">
        <w:rPr>
          <w:rFonts w:ascii="Book Antiqua" w:eastAsia="等线" w:hAnsi="Book Antiqua" w:cs="Times New Roman"/>
          <w:color w:val="auto"/>
          <w:kern w:val="2"/>
          <w:bdr w:val="none" w:sz="0" w:space="0" w:color="auto"/>
        </w:rPr>
        <w:t xml:space="preserve"> 2012; </w:t>
      </w:r>
      <w:r w:rsidRPr="00CF5AD1">
        <w:rPr>
          <w:rFonts w:ascii="Book Antiqua" w:eastAsia="等线" w:hAnsi="Book Antiqua" w:cs="Times New Roman"/>
          <w:b/>
          <w:color w:val="auto"/>
          <w:kern w:val="2"/>
          <w:bdr w:val="none" w:sz="0" w:space="0" w:color="auto"/>
        </w:rPr>
        <w:t>36</w:t>
      </w:r>
      <w:r w:rsidRPr="00CF5AD1">
        <w:rPr>
          <w:rFonts w:ascii="Book Antiqua" w:eastAsia="等线" w:hAnsi="Book Antiqua" w:cs="Times New Roman"/>
          <w:color w:val="auto"/>
          <w:kern w:val="2"/>
          <w:bdr w:val="none" w:sz="0" w:space="0" w:color="auto"/>
        </w:rPr>
        <w:t>: 973-983 [PMID: 22362042 DOI: 10.1007/s00268-012-1474-7]</w:t>
      </w:r>
    </w:p>
    <w:p w14:paraId="67B12D67"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6 </w:t>
      </w:r>
      <w:r w:rsidRPr="00CF5AD1">
        <w:rPr>
          <w:rFonts w:ascii="Book Antiqua" w:eastAsia="等线" w:hAnsi="Book Antiqua" w:cs="Times New Roman"/>
          <w:b/>
          <w:color w:val="auto"/>
          <w:kern w:val="2"/>
          <w:bdr w:val="none" w:sz="0" w:space="0" w:color="auto"/>
        </w:rPr>
        <w:t>Justiniano CF</w:t>
      </w:r>
      <w:r w:rsidRPr="00CF5AD1">
        <w:rPr>
          <w:rFonts w:ascii="Book Antiqua" w:eastAsia="等线" w:hAnsi="Book Antiqua" w:cs="Times New Roman"/>
          <w:color w:val="auto"/>
          <w:kern w:val="2"/>
          <w:bdr w:val="none" w:sz="0" w:space="0" w:color="auto"/>
        </w:rPr>
        <w:t xml:space="preserve">, Temple LK, Swanger AA, Xu Z, Speranza JR, Cellini C, Salloum RM, Fleming FJ. Readmissions With Dehydration After Ileostomy Creation: Rethinking Risk Factors. </w:t>
      </w:r>
      <w:r w:rsidRPr="00CF5AD1">
        <w:rPr>
          <w:rFonts w:ascii="Book Antiqua" w:eastAsia="等线" w:hAnsi="Book Antiqua" w:cs="Times New Roman"/>
          <w:i/>
          <w:color w:val="auto"/>
          <w:kern w:val="2"/>
          <w:bdr w:val="none" w:sz="0" w:space="0" w:color="auto"/>
        </w:rPr>
        <w:t>Dis Colon Rectum</w:t>
      </w:r>
      <w:r w:rsidRPr="00CF5AD1">
        <w:rPr>
          <w:rFonts w:ascii="Book Antiqua" w:eastAsia="等线" w:hAnsi="Book Antiqua" w:cs="Times New Roman"/>
          <w:color w:val="auto"/>
          <w:kern w:val="2"/>
          <w:bdr w:val="none" w:sz="0" w:space="0" w:color="auto"/>
        </w:rPr>
        <w:t xml:space="preserve"> 2018; </w:t>
      </w:r>
      <w:r w:rsidRPr="00CF5AD1">
        <w:rPr>
          <w:rFonts w:ascii="Book Antiqua" w:eastAsia="等线" w:hAnsi="Book Antiqua" w:cs="Times New Roman"/>
          <w:b/>
          <w:color w:val="auto"/>
          <w:kern w:val="2"/>
          <w:bdr w:val="none" w:sz="0" w:space="0" w:color="auto"/>
        </w:rPr>
        <w:t>61</w:t>
      </w:r>
      <w:r w:rsidRPr="00CF5AD1">
        <w:rPr>
          <w:rFonts w:ascii="Book Antiqua" w:eastAsia="等线" w:hAnsi="Book Antiqua" w:cs="Times New Roman"/>
          <w:color w:val="auto"/>
          <w:kern w:val="2"/>
          <w:bdr w:val="none" w:sz="0" w:space="0" w:color="auto"/>
        </w:rPr>
        <w:t>: 1297-1305 [PMID: 30239391 DOI: 10.1097/DCR.0000000000001137]</w:t>
      </w:r>
    </w:p>
    <w:p w14:paraId="1327AEB3"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7 </w:t>
      </w:r>
      <w:r w:rsidRPr="00CF5AD1">
        <w:rPr>
          <w:rFonts w:ascii="Book Antiqua" w:eastAsia="等线" w:hAnsi="Book Antiqua" w:cs="Times New Roman"/>
          <w:b/>
          <w:color w:val="auto"/>
          <w:kern w:val="2"/>
          <w:bdr w:val="none" w:sz="0" w:space="0" w:color="auto"/>
        </w:rPr>
        <w:t>Shaffer VO</w:t>
      </w:r>
      <w:r w:rsidRPr="00CF5AD1">
        <w:rPr>
          <w:rFonts w:ascii="Book Antiqua" w:eastAsia="等线" w:hAnsi="Book Antiqua" w:cs="Times New Roman"/>
          <w:color w:val="auto"/>
          <w:kern w:val="2"/>
          <w:bdr w:val="none" w:sz="0" w:space="0" w:color="auto"/>
        </w:rPr>
        <w:t>, Owi T, Kumarusamy MA, Sullivan PS, Srinivasan JK, Maithel SK, Staley CA, Sweeney JF, Esper G. Decreasing Hospital Readmission in Ileostomy Patients: R</w:t>
      </w:r>
      <w:r w:rsidRPr="00CF5AD1">
        <w:rPr>
          <w:rFonts w:ascii="Book Antiqua" w:eastAsia="等线" w:hAnsi="Book Antiqua" w:cs="Times New Roman"/>
          <w:color w:val="auto"/>
          <w:kern w:val="2"/>
          <w:bdr w:val="none" w:sz="0" w:space="0" w:color="auto"/>
        </w:rPr>
        <w:t>e</w:t>
      </w:r>
      <w:r w:rsidRPr="00CF5AD1">
        <w:rPr>
          <w:rFonts w:ascii="Book Antiqua" w:eastAsia="等线" w:hAnsi="Book Antiqua" w:cs="Times New Roman"/>
          <w:color w:val="auto"/>
          <w:kern w:val="2"/>
          <w:bdr w:val="none" w:sz="0" w:space="0" w:color="auto"/>
        </w:rPr>
        <w:t xml:space="preserve">sults of Novel Pilot Program. </w:t>
      </w:r>
      <w:r w:rsidRPr="00CF5AD1">
        <w:rPr>
          <w:rFonts w:ascii="Book Antiqua" w:eastAsia="等线" w:hAnsi="Book Antiqua" w:cs="Times New Roman"/>
          <w:i/>
          <w:color w:val="auto"/>
          <w:kern w:val="2"/>
          <w:bdr w:val="none" w:sz="0" w:space="0" w:color="auto"/>
        </w:rPr>
        <w:t>J Am Coll Surg</w:t>
      </w:r>
      <w:r w:rsidRPr="00CF5AD1">
        <w:rPr>
          <w:rFonts w:ascii="Book Antiqua" w:eastAsia="等线" w:hAnsi="Book Antiqua" w:cs="Times New Roman"/>
          <w:color w:val="auto"/>
          <w:kern w:val="2"/>
          <w:bdr w:val="none" w:sz="0" w:space="0" w:color="auto"/>
        </w:rPr>
        <w:t xml:space="preserve"> 2017; </w:t>
      </w:r>
      <w:r w:rsidRPr="00CF5AD1">
        <w:rPr>
          <w:rFonts w:ascii="Book Antiqua" w:eastAsia="等线" w:hAnsi="Book Antiqua" w:cs="Times New Roman"/>
          <w:b/>
          <w:color w:val="auto"/>
          <w:kern w:val="2"/>
          <w:bdr w:val="none" w:sz="0" w:space="0" w:color="auto"/>
        </w:rPr>
        <w:t>224</w:t>
      </w:r>
      <w:r w:rsidRPr="00CF5AD1">
        <w:rPr>
          <w:rFonts w:ascii="Book Antiqua" w:eastAsia="等线" w:hAnsi="Book Antiqua" w:cs="Times New Roman"/>
          <w:color w:val="auto"/>
          <w:kern w:val="2"/>
          <w:bdr w:val="none" w:sz="0" w:space="0" w:color="auto"/>
        </w:rPr>
        <w:t>: 425-430 [PMID: 28232058 DOI: 10.1016/j.jamcollsurg.2016.12.030]</w:t>
      </w:r>
    </w:p>
    <w:p w14:paraId="7465BA2D"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8 </w:t>
      </w:r>
      <w:r w:rsidRPr="00CF5AD1">
        <w:rPr>
          <w:rFonts w:ascii="Book Antiqua" w:eastAsia="等线" w:hAnsi="Book Antiqua" w:cs="Times New Roman"/>
          <w:b/>
          <w:color w:val="auto"/>
          <w:kern w:val="2"/>
          <w:bdr w:val="none" w:sz="0" w:space="0" w:color="auto"/>
        </w:rPr>
        <w:t>Messaris E</w:t>
      </w:r>
      <w:r w:rsidRPr="00CF5AD1">
        <w:rPr>
          <w:rFonts w:ascii="Book Antiqua" w:eastAsia="等线" w:hAnsi="Book Antiqua" w:cs="Times New Roman"/>
          <w:color w:val="auto"/>
          <w:kern w:val="2"/>
          <w:bdr w:val="none" w:sz="0" w:space="0" w:color="auto"/>
        </w:rPr>
        <w:t>, Sehgal R, Deiling S, Koltun WA, Stewart D, McKenna K, Poritz LS. Deh</w:t>
      </w:r>
      <w:r w:rsidRPr="00CF5AD1">
        <w:rPr>
          <w:rFonts w:ascii="Book Antiqua" w:eastAsia="等线" w:hAnsi="Book Antiqua" w:cs="Times New Roman"/>
          <w:color w:val="auto"/>
          <w:kern w:val="2"/>
          <w:bdr w:val="none" w:sz="0" w:space="0" w:color="auto"/>
        </w:rPr>
        <w:t>y</w:t>
      </w:r>
      <w:r w:rsidRPr="00CF5AD1">
        <w:rPr>
          <w:rFonts w:ascii="Book Antiqua" w:eastAsia="等线" w:hAnsi="Book Antiqua" w:cs="Times New Roman"/>
          <w:color w:val="auto"/>
          <w:kern w:val="2"/>
          <w:bdr w:val="none" w:sz="0" w:space="0" w:color="auto"/>
        </w:rPr>
        <w:t>dration is the most common indication for readmission after diverting ileostomy cre</w:t>
      </w:r>
      <w:r w:rsidRPr="00CF5AD1">
        <w:rPr>
          <w:rFonts w:ascii="Book Antiqua" w:eastAsia="等线" w:hAnsi="Book Antiqua" w:cs="Times New Roman"/>
          <w:color w:val="auto"/>
          <w:kern w:val="2"/>
          <w:bdr w:val="none" w:sz="0" w:space="0" w:color="auto"/>
        </w:rPr>
        <w:t>a</w:t>
      </w:r>
      <w:r w:rsidRPr="00CF5AD1">
        <w:rPr>
          <w:rFonts w:ascii="Book Antiqua" w:eastAsia="等线" w:hAnsi="Book Antiqua" w:cs="Times New Roman"/>
          <w:color w:val="auto"/>
          <w:kern w:val="2"/>
          <w:bdr w:val="none" w:sz="0" w:space="0" w:color="auto"/>
        </w:rPr>
        <w:t xml:space="preserve">tion. </w:t>
      </w:r>
      <w:r w:rsidRPr="00CF5AD1">
        <w:rPr>
          <w:rFonts w:ascii="Book Antiqua" w:eastAsia="等线" w:hAnsi="Book Antiqua" w:cs="Times New Roman"/>
          <w:i/>
          <w:color w:val="auto"/>
          <w:kern w:val="2"/>
          <w:bdr w:val="none" w:sz="0" w:space="0" w:color="auto"/>
        </w:rPr>
        <w:t>Dis Colon Rectum</w:t>
      </w:r>
      <w:r w:rsidRPr="00CF5AD1">
        <w:rPr>
          <w:rFonts w:ascii="Book Antiqua" w:eastAsia="等线" w:hAnsi="Book Antiqua" w:cs="Times New Roman"/>
          <w:color w:val="auto"/>
          <w:kern w:val="2"/>
          <w:bdr w:val="none" w:sz="0" w:space="0" w:color="auto"/>
        </w:rPr>
        <w:t xml:space="preserve"> 2012; </w:t>
      </w:r>
      <w:r w:rsidRPr="00CF5AD1">
        <w:rPr>
          <w:rFonts w:ascii="Book Antiqua" w:eastAsia="等线" w:hAnsi="Book Antiqua" w:cs="Times New Roman"/>
          <w:b/>
          <w:color w:val="auto"/>
          <w:kern w:val="2"/>
          <w:bdr w:val="none" w:sz="0" w:space="0" w:color="auto"/>
        </w:rPr>
        <w:t>55</w:t>
      </w:r>
      <w:r w:rsidRPr="00CF5AD1">
        <w:rPr>
          <w:rFonts w:ascii="Book Antiqua" w:eastAsia="等线" w:hAnsi="Book Antiqua" w:cs="Times New Roman"/>
          <w:color w:val="auto"/>
          <w:kern w:val="2"/>
          <w:bdr w:val="none" w:sz="0" w:space="0" w:color="auto"/>
        </w:rPr>
        <w:t>: 175-180 [PMID: 22228161 DOI: 10.1097/DCR.0b013e31823d0ec5]</w:t>
      </w:r>
    </w:p>
    <w:p w14:paraId="7DA4568A"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9 </w:t>
      </w:r>
      <w:r w:rsidRPr="00CF5AD1">
        <w:rPr>
          <w:rFonts w:ascii="Book Antiqua" w:eastAsia="等线" w:hAnsi="Book Antiqua" w:cs="Times New Roman"/>
          <w:b/>
          <w:color w:val="auto"/>
          <w:kern w:val="2"/>
          <w:bdr w:val="none" w:sz="0" w:space="0" w:color="auto"/>
        </w:rPr>
        <w:t>Fish DR</w:t>
      </w:r>
      <w:r w:rsidRPr="00CF5AD1">
        <w:rPr>
          <w:rFonts w:ascii="Book Antiqua" w:eastAsia="等线" w:hAnsi="Book Antiqua" w:cs="Times New Roman"/>
          <w:color w:val="auto"/>
          <w:kern w:val="2"/>
          <w:bdr w:val="none" w:sz="0" w:space="0" w:color="auto"/>
        </w:rPr>
        <w:t xml:space="preserve">, Mancuso CA, Garcia-Aguilar JE, Lee SW, Nash GM, Sonoda T, Charlson ME, Temple LK. Readmission After Ileostomy Creation: Retrospective Review of a Common and Significant Event. </w:t>
      </w:r>
      <w:r w:rsidRPr="00CF5AD1">
        <w:rPr>
          <w:rFonts w:ascii="Book Antiqua" w:eastAsia="等线" w:hAnsi="Book Antiqua" w:cs="Times New Roman"/>
          <w:i/>
          <w:color w:val="auto"/>
          <w:kern w:val="2"/>
          <w:bdr w:val="none" w:sz="0" w:space="0" w:color="auto"/>
        </w:rPr>
        <w:t>Ann Surg</w:t>
      </w:r>
      <w:r w:rsidRPr="00CF5AD1">
        <w:rPr>
          <w:rFonts w:ascii="Book Antiqua" w:eastAsia="等线" w:hAnsi="Book Antiqua" w:cs="Times New Roman"/>
          <w:color w:val="auto"/>
          <w:kern w:val="2"/>
          <w:bdr w:val="none" w:sz="0" w:space="0" w:color="auto"/>
        </w:rPr>
        <w:t xml:space="preserve"> 2017; </w:t>
      </w:r>
      <w:r w:rsidRPr="00CF5AD1">
        <w:rPr>
          <w:rFonts w:ascii="Book Antiqua" w:eastAsia="等线" w:hAnsi="Book Antiqua" w:cs="Times New Roman"/>
          <w:b/>
          <w:color w:val="auto"/>
          <w:kern w:val="2"/>
          <w:bdr w:val="none" w:sz="0" w:space="0" w:color="auto"/>
        </w:rPr>
        <w:t>265</w:t>
      </w:r>
      <w:r w:rsidRPr="00CF5AD1">
        <w:rPr>
          <w:rFonts w:ascii="Book Antiqua" w:eastAsia="等线" w:hAnsi="Book Antiqua" w:cs="Times New Roman"/>
          <w:color w:val="auto"/>
          <w:kern w:val="2"/>
          <w:bdr w:val="none" w:sz="0" w:space="0" w:color="auto"/>
        </w:rPr>
        <w:t>: 379-387 [PMID: 28059966 DOI: 10.1097/SLA.0000000000001683]</w:t>
      </w:r>
    </w:p>
    <w:p w14:paraId="2498F8A0"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10 </w:t>
      </w:r>
      <w:r w:rsidRPr="00CF5AD1">
        <w:rPr>
          <w:rFonts w:ascii="Book Antiqua" w:eastAsia="等线" w:hAnsi="Book Antiqua" w:cs="Times New Roman"/>
          <w:b/>
          <w:color w:val="auto"/>
          <w:kern w:val="2"/>
          <w:bdr w:val="none" w:sz="0" w:space="0" w:color="auto"/>
        </w:rPr>
        <w:t>Baker ML</w:t>
      </w:r>
      <w:r w:rsidRPr="00CF5AD1">
        <w:rPr>
          <w:rFonts w:ascii="Book Antiqua" w:eastAsia="等线" w:hAnsi="Book Antiqua" w:cs="Times New Roman"/>
          <w:color w:val="auto"/>
          <w:kern w:val="2"/>
          <w:bdr w:val="none" w:sz="0" w:space="0" w:color="auto"/>
        </w:rPr>
        <w:t xml:space="preserve">, Williams RN, Nightingale JM. Causes and management of a high-output stoma. </w:t>
      </w:r>
      <w:r w:rsidRPr="00CF5AD1">
        <w:rPr>
          <w:rFonts w:ascii="Book Antiqua" w:eastAsia="等线" w:hAnsi="Book Antiqua" w:cs="Times New Roman"/>
          <w:i/>
          <w:color w:val="auto"/>
          <w:kern w:val="2"/>
          <w:bdr w:val="none" w:sz="0" w:space="0" w:color="auto"/>
        </w:rPr>
        <w:t>Colorectal Dis</w:t>
      </w:r>
      <w:r w:rsidRPr="00CF5AD1">
        <w:rPr>
          <w:rFonts w:ascii="Book Antiqua" w:eastAsia="等线" w:hAnsi="Book Antiqua" w:cs="Times New Roman"/>
          <w:color w:val="auto"/>
          <w:kern w:val="2"/>
          <w:bdr w:val="none" w:sz="0" w:space="0" w:color="auto"/>
        </w:rPr>
        <w:t xml:space="preserve"> 2011; </w:t>
      </w:r>
      <w:r w:rsidRPr="00CF5AD1">
        <w:rPr>
          <w:rFonts w:ascii="Book Antiqua" w:eastAsia="等线" w:hAnsi="Book Antiqua" w:cs="Times New Roman"/>
          <w:b/>
          <w:color w:val="auto"/>
          <w:kern w:val="2"/>
          <w:bdr w:val="none" w:sz="0" w:space="0" w:color="auto"/>
        </w:rPr>
        <w:t>13</w:t>
      </w:r>
      <w:r w:rsidRPr="00CF5AD1">
        <w:rPr>
          <w:rFonts w:ascii="Book Antiqua" w:eastAsia="等线" w:hAnsi="Book Antiqua" w:cs="Times New Roman"/>
          <w:color w:val="auto"/>
          <w:kern w:val="2"/>
          <w:bdr w:val="none" w:sz="0" w:space="0" w:color="auto"/>
        </w:rPr>
        <w:t>: 191-197 [PMID: 19888956 DOI: 10.1111/j.1463-1318.2009.02107.x]</w:t>
      </w:r>
    </w:p>
    <w:p w14:paraId="1B86DBC8"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11 </w:t>
      </w:r>
      <w:r w:rsidRPr="00CF5AD1">
        <w:rPr>
          <w:rFonts w:ascii="Book Antiqua" w:eastAsia="等线" w:hAnsi="Book Antiqua" w:cs="Times New Roman"/>
          <w:b/>
          <w:color w:val="auto"/>
          <w:kern w:val="2"/>
          <w:bdr w:val="none" w:sz="0" w:space="0" w:color="auto"/>
        </w:rPr>
        <w:t>Paquette IM</w:t>
      </w:r>
      <w:r w:rsidRPr="00CF5AD1">
        <w:rPr>
          <w:rFonts w:ascii="Book Antiqua" w:eastAsia="等线" w:hAnsi="Book Antiqua" w:cs="Times New Roman"/>
          <w:color w:val="auto"/>
          <w:kern w:val="2"/>
          <w:bdr w:val="none" w:sz="0" w:space="0" w:color="auto"/>
        </w:rPr>
        <w:t>, Solan P, Rafferty JF, Ferguson MA, Davis BR. Readmission for deh</w:t>
      </w:r>
      <w:r w:rsidRPr="00CF5AD1">
        <w:rPr>
          <w:rFonts w:ascii="Book Antiqua" w:eastAsia="等线" w:hAnsi="Book Antiqua" w:cs="Times New Roman"/>
          <w:color w:val="auto"/>
          <w:kern w:val="2"/>
          <w:bdr w:val="none" w:sz="0" w:space="0" w:color="auto"/>
        </w:rPr>
        <w:t>y</w:t>
      </w:r>
      <w:r w:rsidRPr="00CF5AD1">
        <w:rPr>
          <w:rFonts w:ascii="Book Antiqua" w:eastAsia="等线" w:hAnsi="Book Antiqua" w:cs="Times New Roman"/>
          <w:color w:val="auto"/>
          <w:kern w:val="2"/>
          <w:bdr w:val="none" w:sz="0" w:space="0" w:color="auto"/>
        </w:rPr>
        <w:t xml:space="preserve">dration or renal failure after ileostomy creation. </w:t>
      </w:r>
      <w:r w:rsidRPr="00CF5AD1">
        <w:rPr>
          <w:rFonts w:ascii="Book Antiqua" w:eastAsia="等线" w:hAnsi="Book Antiqua" w:cs="Times New Roman"/>
          <w:i/>
          <w:color w:val="auto"/>
          <w:kern w:val="2"/>
          <w:bdr w:val="none" w:sz="0" w:space="0" w:color="auto"/>
        </w:rPr>
        <w:t>Dis Colon Rectum</w:t>
      </w:r>
      <w:r w:rsidRPr="00CF5AD1">
        <w:rPr>
          <w:rFonts w:ascii="Book Antiqua" w:eastAsia="等线" w:hAnsi="Book Antiqua" w:cs="Times New Roman"/>
          <w:color w:val="auto"/>
          <w:kern w:val="2"/>
          <w:bdr w:val="none" w:sz="0" w:space="0" w:color="auto"/>
        </w:rPr>
        <w:t xml:space="preserve"> 2013; </w:t>
      </w:r>
      <w:r w:rsidRPr="00CF5AD1">
        <w:rPr>
          <w:rFonts w:ascii="Book Antiqua" w:eastAsia="等线" w:hAnsi="Book Antiqua" w:cs="Times New Roman"/>
          <w:b/>
          <w:color w:val="auto"/>
          <w:kern w:val="2"/>
          <w:bdr w:val="none" w:sz="0" w:space="0" w:color="auto"/>
        </w:rPr>
        <w:t>56</w:t>
      </w:r>
      <w:r w:rsidRPr="00CF5AD1">
        <w:rPr>
          <w:rFonts w:ascii="Book Antiqua" w:eastAsia="等线" w:hAnsi="Book Antiqua" w:cs="Times New Roman"/>
          <w:color w:val="auto"/>
          <w:kern w:val="2"/>
          <w:bdr w:val="none" w:sz="0" w:space="0" w:color="auto"/>
        </w:rPr>
        <w:t>: 974-979 [PMID: 23838866 DOI: 10.1097/DCR.0b013e31828d02ba]</w:t>
      </w:r>
    </w:p>
    <w:p w14:paraId="1FAA5057"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12 </w:t>
      </w:r>
      <w:r w:rsidRPr="00CF5AD1">
        <w:rPr>
          <w:rFonts w:ascii="Book Antiqua" w:eastAsia="等线" w:hAnsi="Book Antiqua" w:cs="Times New Roman"/>
          <w:b/>
          <w:color w:val="auto"/>
          <w:kern w:val="2"/>
          <w:bdr w:val="none" w:sz="0" w:space="0" w:color="auto"/>
        </w:rPr>
        <w:t>Charlson M</w:t>
      </w:r>
      <w:r w:rsidRPr="00CF5AD1">
        <w:rPr>
          <w:rFonts w:ascii="Book Antiqua" w:eastAsia="等线" w:hAnsi="Book Antiqua" w:cs="Times New Roman"/>
          <w:color w:val="auto"/>
          <w:kern w:val="2"/>
          <w:bdr w:val="none" w:sz="0" w:space="0" w:color="auto"/>
        </w:rPr>
        <w:t>, Szatrowski TP, Peterson J, Gold J. Validation of a combined comorbid</w:t>
      </w:r>
      <w:r w:rsidRPr="00CF5AD1">
        <w:rPr>
          <w:rFonts w:ascii="Book Antiqua" w:eastAsia="等线" w:hAnsi="Book Antiqua" w:cs="Times New Roman"/>
          <w:color w:val="auto"/>
          <w:kern w:val="2"/>
          <w:bdr w:val="none" w:sz="0" w:space="0" w:color="auto"/>
        </w:rPr>
        <w:t>i</w:t>
      </w:r>
      <w:r w:rsidRPr="00CF5AD1">
        <w:rPr>
          <w:rFonts w:ascii="Book Antiqua" w:eastAsia="等线" w:hAnsi="Book Antiqua" w:cs="Times New Roman"/>
          <w:color w:val="auto"/>
          <w:kern w:val="2"/>
          <w:bdr w:val="none" w:sz="0" w:space="0" w:color="auto"/>
        </w:rPr>
        <w:t xml:space="preserve">ty index. </w:t>
      </w:r>
      <w:r w:rsidRPr="00CF5AD1">
        <w:rPr>
          <w:rFonts w:ascii="Book Antiqua" w:eastAsia="等线" w:hAnsi="Book Antiqua" w:cs="Times New Roman"/>
          <w:i/>
          <w:color w:val="auto"/>
          <w:kern w:val="2"/>
          <w:bdr w:val="none" w:sz="0" w:space="0" w:color="auto"/>
        </w:rPr>
        <w:t>J Clin Epidemiol</w:t>
      </w:r>
      <w:r w:rsidRPr="00CF5AD1">
        <w:rPr>
          <w:rFonts w:ascii="Book Antiqua" w:eastAsia="等线" w:hAnsi="Book Antiqua" w:cs="Times New Roman"/>
          <w:color w:val="auto"/>
          <w:kern w:val="2"/>
          <w:bdr w:val="none" w:sz="0" w:space="0" w:color="auto"/>
        </w:rPr>
        <w:t xml:space="preserve"> 1994; </w:t>
      </w:r>
      <w:r w:rsidRPr="00CF5AD1">
        <w:rPr>
          <w:rFonts w:ascii="Book Antiqua" w:eastAsia="等线" w:hAnsi="Book Antiqua" w:cs="Times New Roman"/>
          <w:b/>
          <w:color w:val="auto"/>
          <w:kern w:val="2"/>
          <w:bdr w:val="none" w:sz="0" w:space="0" w:color="auto"/>
        </w:rPr>
        <w:t>47</w:t>
      </w:r>
      <w:r w:rsidRPr="00CF5AD1">
        <w:rPr>
          <w:rFonts w:ascii="Book Antiqua" w:eastAsia="等线" w:hAnsi="Book Antiqua" w:cs="Times New Roman"/>
          <w:color w:val="auto"/>
          <w:kern w:val="2"/>
          <w:bdr w:val="none" w:sz="0" w:space="0" w:color="auto"/>
        </w:rPr>
        <w:t>: 1245-1251 [PMID: 7722560]</w:t>
      </w:r>
    </w:p>
    <w:p w14:paraId="63D8D46C"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13 </w:t>
      </w:r>
      <w:r w:rsidRPr="00CF5AD1">
        <w:rPr>
          <w:rFonts w:ascii="Book Antiqua" w:eastAsia="等线" w:hAnsi="Book Antiqua" w:cs="Times New Roman"/>
          <w:b/>
          <w:color w:val="auto"/>
          <w:kern w:val="2"/>
          <w:bdr w:val="none" w:sz="0" w:space="0" w:color="auto"/>
        </w:rPr>
        <w:t>Hanna MH</w:t>
      </w:r>
      <w:r w:rsidRPr="00CF5AD1">
        <w:rPr>
          <w:rFonts w:ascii="Book Antiqua" w:eastAsia="等线" w:hAnsi="Book Antiqua" w:cs="Times New Roman"/>
          <w:color w:val="auto"/>
          <w:kern w:val="2"/>
          <w:bdr w:val="none" w:sz="0" w:space="0" w:color="auto"/>
        </w:rPr>
        <w:t xml:space="preserve">, Vinci A, Pigazzi A. Diverting ileostomy in colorectal surgery: when is it necessary? </w:t>
      </w:r>
      <w:r w:rsidRPr="00CF5AD1">
        <w:rPr>
          <w:rFonts w:ascii="Book Antiqua" w:eastAsia="等线" w:hAnsi="Book Antiqua" w:cs="Times New Roman"/>
          <w:i/>
          <w:color w:val="auto"/>
          <w:kern w:val="2"/>
          <w:bdr w:val="none" w:sz="0" w:space="0" w:color="auto"/>
        </w:rPr>
        <w:t>Langenbecks Arch Surg</w:t>
      </w:r>
      <w:r w:rsidRPr="00CF5AD1">
        <w:rPr>
          <w:rFonts w:ascii="Book Antiqua" w:eastAsia="等线" w:hAnsi="Book Antiqua" w:cs="Times New Roman"/>
          <w:color w:val="auto"/>
          <w:kern w:val="2"/>
          <w:bdr w:val="none" w:sz="0" w:space="0" w:color="auto"/>
        </w:rPr>
        <w:t xml:space="preserve"> 2015; </w:t>
      </w:r>
      <w:r w:rsidRPr="00CF5AD1">
        <w:rPr>
          <w:rFonts w:ascii="Book Antiqua" w:eastAsia="等线" w:hAnsi="Book Antiqua" w:cs="Times New Roman"/>
          <w:b/>
          <w:color w:val="auto"/>
          <w:kern w:val="2"/>
          <w:bdr w:val="none" w:sz="0" w:space="0" w:color="auto"/>
        </w:rPr>
        <w:t>400</w:t>
      </w:r>
      <w:r w:rsidRPr="00CF5AD1">
        <w:rPr>
          <w:rFonts w:ascii="Book Antiqua" w:eastAsia="等线" w:hAnsi="Book Antiqua" w:cs="Times New Roman"/>
          <w:color w:val="auto"/>
          <w:kern w:val="2"/>
          <w:bdr w:val="none" w:sz="0" w:space="0" w:color="auto"/>
        </w:rPr>
        <w:t>: 145-152 [PMID: 25633276 DOI: 10.1007/s00423-015-1275-1]</w:t>
      </w:r>
    </w:p>
    <w:p w14:paraId="105A23A1"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14 </w:t>
      </w:r>
      <w:r w:rsidRPr="00CF5AD1">
        <w:rPr>
          <w:rFonts w:ascii="Book Antiqua" w:eastAsia="等线" w:hAnsi="Book Antiqua" w:cs="Times New Roman"/>
          <w:b/>
          <w:color w:val="auto"/>
          <w:kern w:val="2"/>
          <w:bdr w:val="none" w:sz="0" w:space="0" w:color="auto"/>
        </w:rPr>
        <w:t>Man VC</w:t>
      </w:r>
      <w:r w:rsidRPr="00CF5AD1">
        <w:rPr>
          <w:rFonts w:ascii="Book Antiqua" w:eastAsia="等线" w:hAnsi="Book Antiqua" w:cs="Times New Roman"/>
          <w:color w:val="auto"/>
          <w:kern w:val="2"/>
          <w:bdr w:val="none" w:sz="0" w:space="0" w:color="auto"/>
        </w:rPr>
        <w:t xml:space="preserve">, Choi HK, Law WL, Foo DC. Morbidities after closure of ileostomy: analysis of risk factors. </w:t>
      </w:r>
      <w:r w:rsidRPr="00CF5AD1">
        <w:rPr>
          <w:rFonts w:ascii="Book Antiqua" w:eastAsia="等线" w:hAnsi="Book Antiqua" w:cs="Times New Roman"/>
          <w:i/>
          <w:color w:val="auto"/>
          <w:kern w:val="2"/>
          <w:bdr w:val="none" w:sz="0" w:space="0" w:color="auto"/>
        </w:rPr>
        <w:t>Int J Colorectal Dis</w:t>
      </w:r>
      <w:r w:rsidRPr="00CF5AD1">
        <w:rPr>
          <w:rFonts w:ascii="Book Antiqua" w:eastAsia="等线" w:hAnsi="Book Antiqua" w:cs="Times New Roman"/>
          <w:color w:val="auto"/>
          <w:kern w:val="2"/>
          <w:bdr w:val="none" w:sz="0" w:space="0" w:color="auto"/>
        </w:rPr>
        <w:t xml:space="preserve"> 2016; </w:t>
      </w:r>
      <w:r w:rsidRPr="00CF5AD1">
        <w:rPr>
          <w:rFonts w:ascii="Book Antiqua" w:eastAsia="等线" w:hAnsi="Book Antiqua" w:cs="Times New Roman"/>
          <w:b/>
          <w:color w:val="auto"/>
          <w:kern w:val="2"/>
          <w:bdr w:val="none" w:sz="0" w:space="0" w:color="auto"/>
        </w:rPr>
        <w:t>31</w:t>
      </w:r>
      <w:r w:rsidRPr="00CF5AD1">
        <w:rPr>
          <w:rFonts w:ascii="Book Antiqua" w:eastAsia="等线" w:hAnsi="Book Antiqua" w:cs="Times New Roman"/>
          <w:color w:val="auto"/>
          <w:kern w:val="2"/>
          <w:bdr w:val="none" w:sz="0" w:space="0" w:color="auto"/>
        </w:rPr>
        <w:t>: 51-57 [PMID: 26245947 DOI: 10.1007/s00384-015-2327-2]</w:t>
      </w:r>
    </w:p>
    <w:p w14:paraId="6D159CA5"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15 </w:t>
      </w:r>
      <w:r w:rsidRPr="00CF5AD1">
        <w:rPr>
          <w:rFonts w:ascii="Book Antiqua" w:eastAsia="等线" w:hAnsi="Book Antiqua" w:cs="Times New Roman"/>
          <w:b/>
          <w:color w:val="auto"/>
          <w:kern w:val="2"/>
          <w:bdr w:val="none" w:sz="0" w:space="0" w:color="auto"/>
        </w:rPr>
        <w:t>Mirnezami A</w:t>
      </w:r>
      <w:r w:rsidRPr="00CF5AD1">
        <w:rPr>
          <w:rFonts w:ascii="Book Antiqua" w:eastAsia="等线" w:hAnsi="Book Antiqua" w:cs="Times New Roman"/>
          <w:color w:val="auto"/>
          <w:kern w:val="2"/>
          <w:bdr w:val="none" w:sz="0" w:space="0" w:color="auto"/>
        </w:rPr>
        <w:t>, Mirnezami R, Chandrakumaran K, Sasapu K, Sagar P, Finan P. I</w:t>
      </w:r>
      <w:r w:rsidRPr="00CF5AD1">
        <w:rPr>
          <w:rFonts w:ascii="Book Antiqua" w:eastAsia="等线" w:hAnsi="Book Antiqua" w:cs="Times New Roman"/>
          <w:color w:val="auto"/>
          <w:kern w:val="2"/>
          <w:bdr w:val="none" w:sz="0" w:space="0" w:color="auto"/>
        </w:rPr>
        <w:t>n</w:t>
      </w:r>
      <w:r w:rsidRPr="00CF5AD1">
        <w:rPr>
          <w:rFonts w:ascii="Book Antiqua" w:eastAsia="等线" w:hAnsi="Book Antiqua" w:cs="Times New Roman"/>
          <w:color w:val="auto"/>
          <w:kern w:val="2"/>
          <w:bdr w:val="none" w:sz="0" w:space="0" w:color="auto"/>
        </w:rPr>
        <w:t>creased local recurrence and reduced survival from colorectal cancer following anast</w:t>
      </w:r>
      <w:r w:rsidRPr="00CF5AD1">
        <w:rPr>
          <w:rFonts w:ascii="Book Antiqua" w:eastAsia="等线" w:hAnsi="Book Antiqua" w:cs="Times New Roman"/>
          <w:color w:val="auto"/>
          <w:kern w:val="2"/>
          <w:bdr w:val="none" w:sz="0" w:space="0" w:color="auto"/>
        </w:rPr>
        <w:t>o</w:t>
      </w:r>
      <w:r w:rsidRPr="00CF5AD1">
        <w:rPr>
          <w:rFonts w:ascii="Book Antiqua" w:eastAsia="等线" w:hAnsi="Book Antiqua" w:cs="Times New Roman"/>
          <w:color w:val="auto"/>
          <w:kern w:val="2"/>
          <w:bdr w:val="none" w:sz="0" w:space="0" w:color="auto"/>
        </w:rPr>
        <w:t xml:space="preserve">motic leak: systematic review and meta-analysis. </w:t>
      </w:r>
      <w:r w:rsidRPr="00CF5AD1">
        <w:rPr>
          <w:rFonts w:ascii="Book Antiqua" w:eastAsia="等线" w:hAnsi="Book Antiqua" w:cs="Times New Roman"/>
          <w:i/>
          <w:color w:val="auto"/>
          <w:kern w:val="2"/>
          <w:bdr w:val="none" w:sz="0" w:space="0" w:color="auto"/>
        </w:rPr>
        <w:t>Ann Surg</w:t>
      </w:r>
      <w:r w:rsidRPr="00CF5AD1">
        <w:rPr>
          <w:rFonts w:ascii="Book Antiqua" w:eastAsia="等线" w:hAnsi="Book Antiqua" w:cs="Times New Roman"/>
          <w:color w:val="auto"/>
          <w:kern w:val="2"/>
          <w:bdr w:val="none" w:sz="0" w:space="0" w:color="auto"/>
        </w:rPr>
        <w:t xml:space="preserve"> 2011; </w:t>
      </w:r>
      <w:r w:rsidRPr="00CF5AD1">
        <w:rPr>
          <w:rFonts w:ascii="Book Antiqua" w:eastAsia="等线" w:hAnsi="Book Antiqua" w:cs="Times New Roman"/>
          <w:b/>
          <w:color w:val="auto"/>
          <w:kern w:val="2"/>
          <w:bdr w:val="none" w:sz="0" w:space="0" w:color="auto"/>
        </w:rPr>
        <w:t>253</w:t>
      </w:r>
      <w:r w:rsidRPr="00CF5AD1">
        <w:rPr>
          <w:rFonts w:ascii="Book Antiqua" w:eastAsia="等线" w:hAnsi="Book Antiqua" w:cs="Times New Roman"/>
          <w:color w:val="auto"/>
          <w:kern w:val="2"/>
          <w:bdr w:val="none" w:sz="0" w:space="0" w:color="auto"/>
        </w:rPr>
        <w:t>: 890-899 [PMID: 21394013 DOI: 10.1097/SLA.0b013e3182128929]</w:t>
      </w:r>
    </w:p>
    <w:p w14:paraId="712758E1"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16 </w:t>
      </w:r>
      <w:r w:rsidRPr="00CF5AD1">
        <w:rPr>
          <w:rFonts w:ascii="Book Antiqua" w:eastAsia="等线" w:hAnsi="Book Antiqua" w:cs="Times New Roman"/>
          <w:b/>
          <w:color w:val="auto"/>
          <w:kern w:val="2"/>
          <w:bdr w:val="none" w:sz="0" w:space="0" w:color="auto"/>
        </w:rPr>
        <w:t>Gu WL</w:t>
      </w:r>
      <w:r w:rsidRPr="00CF5AD1">
        <w:rPr>
          <w:rFonts w:ascii="Book Antiqua" w:eastAsia="等线" w:hAnsi="Book Antiqua" w:cs="Times New Roman"/>
          <w:color w:val="auto"/>
          <w:kern w:val="2"/>
          <w:bdr w:val="none" w:sz="0" w:space="0" w:color="auto"/>
        </w:rPr>
        <w:t xml:space="preserve">, Wu SW. Meta-analysis of defunctioning stoma in low anterior resection with total mesorectal excision for rectal cancer: evidence based on thirteen studies. </w:t>
      </w:r>
      <w:r w:rsidRPr="00CF5AD1">
        <w:rPr>
          <w:rFonts w:ascii="Book Antiqua" w:eastAsia="等线" w:hAnsi="Book Antiqua" w:cs="Times New Roman"/>
          <w:i/>
          <w:color w:val="auto"/>
          <w:kern w:val="2"/>
          <w:bdr w:val="none" w:sz="0" w:space="0" w:color="auto"/>
        </w:rPr>
        <w:t>World J Surg Oncol</w:t>
      </w:r>
      <w:r w:rsidRPr="00CF5AD1">
        <w:rPr>
          <w:rFonts w:ascii="Book Antiqua" w:eastAsia="等线" w:hAnsi="Book Antiqua" w:cs="Times New Roman"/>
          <w:color w:val="auto"/>
          <w:kern w:val="2"/>
          <w:bdr w:val="none" w:sz="0" w:space="0" w:color="auto"/>
        </w:rPr>
        <w:t xml:space="preserve"> 2015; </w:t>
      </w:r>
      <w:r w:rsidRPr="00CF5AD1">
        <w:rPr>
          <w:rFonts w:ascii="Book Antiqua" w:eastAsia="等线" w:hAnsi="Book Antiqua" w:cs="Times New Roman"/>
          <w:b/>
          <w:color w:val="auto"/>
          <w:kern w:val="2"/>
          <w:bdr w:val="none" w:sz="0" w:space="0" w:color="auto"/>
        </w:rPr>
        <w:t>13</w:t>
      </w:r>
      <w:r w:rsidRPr="00CF5AD1">
        <w:rPr>
          <w:rFonts w:ascii="Book Antiqua" w:eastAsia="等线" w:hAnsi="Book Antiqua" w:cs="Times New Roman"/>
          <w:color w:val="auto"/>
          <w:kern w:val="2"/>
          <w:bdr w:val="none" w:sz="0" w:space="0" w:color="auto"/>
        </w:rPr>
        <w:t>: 9 [PMID: 25617234 DOI: 10.1186/s12957-014-0417-1]</w:t>
      </w:r>
    </w:p>
    <w:p w14:paraId="0D89A228"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17 </w:t>
      </w:r>
      <w:r w:rsidRPr="00CF5AD1">
        <w:rPr>
          <w:rFonts w:ascii="Book Antiqua" w:eastAsia="等线" w:hAnsi="Book Antiqua" w:cs="Times New Roman"/>
          <w:b/>
          <w:color w:val="auto"/>
          <w:kern w:val="2"/>
          <w:bdr w:val="none" w:sz="0" w:space="0" w:color="auto"/>
        </w:rPr>
        <w:t>Paun BC</w:t>
      </w:r>
      <w:r w:rsidRPr="00CF5AD1">
        <w:rPr>
          <w:rFonts w:ascii="Book Antiqua" w:eastAsia="等线" w:hAnsi="Book Antiqua" w:cs="Times New Roman"/>
          <w:color w:val="auto"/>
          <w:kern w:val="2"/>
          <w:bdr w:val="none" w:sz="0" w:space="0" w:color="auto"/>
        </w:rPr>
        <w:t>, Cassie S, MacLean AR, Dixon E, Buie WD. Postoperative complications fo</w:t>
      </w:r>
      <w:r w:rsidRPr="00CF5AD1">
        <w:rPr>
          <w:rFonts w:ascii="Book Antiqua" w:eastAsia="等线" w:hAnsi="Book Antiqua" w:cs="Times New Roman"/>
          <w:color w:val="auto"/>
          <w:kern w:val="2"/>
          <w:bdr w:val="none" w:sz="0" w:space="0" w:color="auto"/>
        </w:rPr>
        <w:t>l</w:t>
      </w:r>
      <w:r w:rsidRPr="00CF5AD1">
        <w:rPr>
          <w:rFonts w:ascii="Book Antiqua" w:eastAsia="等线" w:hAnsi="Book Antiqua" w:cs="Times New Roman"/>
          <w:color w:val="auto"/>
          <w:kern w:val="2"/>
          <w:bdr w:val="none" w:sz="0" w:space="0" w:color="auto"/>
        </w:rPr>
        <w:t xml:space="preserve">lowing surgery for rectal cancer. </w:t>
      </w:r>
      <w:r w:rsidRPr="00CF5AD1">
        <w:rPr>
          <w:rFonts w:ascii="Book Antiqua" w:eastAsia="等线" w:hAnsi="Book Antiqua" w:cs="Times New Roman"/>
          <w:i/>
          <w:color w:val="auto"/>
          <w:kern w:val="2"/>
          <w:bdr w:val="none" w:sz="0" w:space="0" w:color="auto"/>
        </w:rPr>
        <w:t>Ann Surg</w:t>
      </w:r>
      <w:r w:rsidRPr="00CF5AD1">
        <w:rPr>
          <w:rFonts w:ascii="Book Antiqua" w:eastAsia="等线" w:hAnsi="Book Antiqua" w:cs="Times New Roman"/>
          <w:color w:val="auto"/>
          <w:kern w:val="2"/>
          <w:bdr w:val="none" w:sz="0" w:space="0" w:color="auto"/>
        </w:rPr>
        <w:t xml:space="preserve"> 2010; </w:t>
      </w:r>
      <w:r w:rsidRPr="00CF5AD1">
        <w:rPr>
          <w:rFonts w:ascii="Book Antiqua" w:eastAsia="等线" w:hAnsi="Book Antiqua" w:cs="Times New Roman"/>
          <w:b/>
          <w:color w:val="auto"/>
          <w:kern w:val="2"/>
          <w:bdr w:val="none" w:sz="0" w:space="0" w:color="auto"/>
        </w:rPr>
        <w:t>251</w:t>
      </w:r>
      <w:r w:rsidRPr="00CF5AD1">
        <w:rPr>
          <w:rFonts w:ascii="Book Antiqua" w:eastAsia="等线" w:hAnsi="Book Antiqua" w:cs="Times New Roman"/>
          <w:color w:val="auto"/>
          <w:kern w:val="2"/>
          <w:bdr w:val="none" w:sz="0" w:space="0" w:color="auto"/>
        </w:rPr>
        <w:t>: 807-818 [PMID: 20395841 DOI: 10.1097/SLA.0b013e3181dae4ed]</w:t>
      </w:r>
    </w:p>
    <w:p w14:paraId="741E9A17"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18 </w:t>
      </w:r>
      <w:r w:rsidRPr="00CF5AD1">
        <w:rPr>
          <w:rFonts w:ascii="Book Antiqua" w:eastAsia="等线" w:hAnsi="Book Antiqua" w:cs="Times New Roman"/>
          <w:b/>
          <w:color w:val="auto"/>
          <w:kern w:val="2"/>
          <w:bdr w:val="none" w:sz="0" w:space="0" w:color="auto"/>
        </w:rPr>
        <w:t>Rullier E</w:t>
      </w:r>
      <w:r w:rsidRPr="00CF5AD1">
        <w:rPr>
          <w:rFonts w:ascii="Book Antiqua" w:eastAsia="等线" w:hAnsi="Book Antiqua" w:cs="Times New Roman"/>
          <w:color w:val="auto"/>
          <w:kern w:val="2"/>
          <w:bdr w:val="none" w:sz="0" w:space="0" w:color="auto"/>
        </w:rPr>
        <w:t>, Laurent C, Garrelon JL, Michel P, Saric J, Parneix M. Risk factors for ana</w:t>
      </w:r>
      <w:r w:rsidRPr="00CF5AD1">
        <w:rPr>
          <w:rFonts w:ascii="Book Antiqua" w:eastAsia="等线" w:hAnsi="Book Antiqua" w:cs="Times New Roman"/>
          <w:color w:val="auto"/>
          <w:kern w:val="2"/>
          <w:bdr w:val="none" w:sz="0" w:space="0" w:color="auto"/>
        </w:rPr>
        <w:t>s</w:t>
      </w:r>
      <w:r w:rsidRPr="00CF5AD1">
        <w:rPr>
          <w:rFonts w:ascii="Book Antiqua" w:eastAsia="等线" w:hAnsi="Book Antiqua" w:cs="Times New Roman"/>
          <w:color w:val="auto"/>
          <w:kern w:val="2"/>
          <w:bdr w:val="none" w:sz="0" w:space="0" w:color="auto"/>
        </w:rPr>
        <w:t xml:space="preserve">tomotic leakage after resection of rectal cancer. </w:t>
      </w:r>
      <w:r w:rsidRPr="00CF5AD1">
        <w:rPr>
          <w:rFonts w:ascii="Book Antiqua" w:eastAsia="等线" w:hAnsi="Book Antiqua" w:cs="Times New Roman"/>
          <w:i/>
          <w:color w:val="auto"/>
          <w:kern w:val="2"/>
          <w:bdr w:val="none" w:sz="0" w:space="0" w:color="auto"/>
        </w:rPr>
        <w:t>Br J Surg</w:t>
      </w:r>
      <w:r w:rsidRPr="00CF5AD1">
        <w:rPr>
          <w:rFonts w:ascii="Book Antiqua" w:eastAsia="等线" w:hAnsi="Book Antiqua" w:cs="Times New Roman"/>
          <w:color w:val="auto"/>
          <w:kern w:val="2"/>
          <w:bdr w:val="none" w:sz="0" w:space="0" w:color="auto"/>
        </w:rPr>
        <w:t xml:space="preserve"> 1998; </w:t>
      </w:r>
      <w:r w:rsidRPr="00CF5AD1">
        <w:rPr>
          <w:rFonts w:ascii="Book Antiqua" w:eastAsia="等线" w:hAnsi="Book Antiqua" w:cs="Times New Roman"/>
          <w:b/>
          <w:color w:val="auto"/>
          <w:kern w:val="2"/>
          <w:bdr w:val="none" w:sz="0" w:space="0" w:color="auto"/>
        </w:rPr>
        <w:t>85</w:t>
      </w:r>
      <w:r w:rsidRPr="00CF5AD1">
        <w:rPr>
          <w:rFonts w:ascii="Book Antiqua" w:eastAsia="等线" w:hAnsi="Book Antiqua" w:cs="Times New Roman"/>
          <w:color w:val="auto"/>
          <w:kern w:val="2"/>
          <w:bdr w:val="none" w:sz="0" w:space="0" w:color="auto"/>
        </w:rPr>
        <w:t>: 355-358 [PMID: 9529492 DOI: 10.1046/j.1365-2168.1998.00615.x]</w:t>
      </w:r>
    </w:p>
    <w:p w14:paraId="550A6216"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19 </w:t>
      </w:r>
      <w:r w:rsidRPr="00CF5AD1">
        <w:rPr>
          <w:rFonts w:ascii="Book Antiqua" w:eastAsia="等线" w:hAnsi="Book Antiqua" w:cs="Times New Roman"/>
          <w:b/>
          <w:color w:val="auto"/>
          <w:kern w:val="2"/>
          <w:bdr w:val="none" w:sz="0" w:space="0" w:color="auto"/>
        </w:rPr>
        <w:t>Nagle D</w:t>
      </w:r>
      <w:r w:rsidRPr="00CF5AD1">
        <w:rPr>
          <w:rFonts w:ascii="Book Antiqua" w:eastAsia="等线" w:hAnsi="Book Antiqua" w:cs="Times New Roman"/>
          <w:color w:val="auto"/>
          <w:kern w:val="2"/>
          <w:bdr w:val="none" w:sz="0" w:space="0" w:color="auto"/>
        </w:rPr>
        <w:t xml:space="preserve">, Pare T, Keenan E, Marcet K, Tizio S, Poylin V. Ileostomy pathway virtually eliminates readmissions for dehydration in new ostomates. </w:t>
      </w:r>
      <w:r w:rsidRPr="00CF5AD1">
        <w:rPr>
          <w:rFonts w:ascii="Book Antiqua" w:eastAsia="等线" w:hAnsi="Book Antiqua" w:cs="Times New Roman"/>
          <w:i/>
          <w:color w:val="auto"/>
          <w:kern w:val="2"/>
          <w:bdr w:val="none" w:sz="0" w:space="0" w:color="auto"/>
        </w:rPr>
        <w:t>Dis Colon Rectum</w:t>
      </w:r>
      <w:r w:rsidRPr="00CF5AD1">
        <w:rPr>
          <w:rFonts w:ascii="Book Antiqua" w:eastAsia="等线" w:hAnsi="Book Antiqua" w:cs="Times New Roman"/>
          <w:color w:val="auto"/>
          <w:kern w:val="2"/>
          <w:bdr w:val="none" w:sz="0" w:space="0" w:color="auto"/>
        </w:rPr>
        <w:t xml:space="preserve"> 2012; </w:t>
      </w:r>
      <w:r w:rsidRPr="00CF5AD1">
        <w:rPr>
          <w:rFonts w:ascii="Book Antiqua" w:eastAsia="等线" w:hAnsi="Book Antiqua" w:cs="Times New Roman"/>
          <w:b/>
          <w:color w:val="auto"/>
          <w:kern w:val="2"/>
          <w:bdr w:val="none" w:sz="0" w:space="0" w:color="auto"/>
        </w:rPr>
        <w:t>55</w:t>
      </w:r>
      <w:r w:rsidRPr="00CF5AD1">
        <w:rPr>
          <w:rFonts w:ascii="Book Antiqua" w:eastAsia="等线" w:hAnsi="Book Antiqua" w:cs="Times New Roman"/>
          <w:color w:val="auto"/>
          <w:kern w:val="2"/>
          <w:bdr w:val="none" w:sz="0" w:space="0" w:color="auto"/>
        </w:rPr>
        <w:t>: 1266-1272 [PMID: 23135585 DOI: 10.1097/DCR.0b013e31827080c1]</w:t>
      </w:r>
    </w:p>
    <w:p w14:paraId="0A61B80B"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20 </w:t>
      </w:r>
      <w:r w:rsidRPr="00CF5AD1">
        <w:rPr>
          <w:rFonts w:ascii="Book Antiqua" w:eastAsia="等线" w:hAnsi="Book Antiqua" w:cs="Times New Roman"/>
          <w:b/>
          <w:color w:val="auto"/>
          <w:kern w:val="2"/>
          <w:bdr w:val="none" w:sz="0" w:space="0" w:color="auto"/>
        </w:rPr>
        <w:t>Bliss LA</w:t>
      </w:r>
      <w:r w:rsidRPr="00CF5AD1">
        <w:rPr>
          <w:rFonts w:ascii="Book Antiqua" w:eastAsia="等线" w:hAnsi="Book Antiqua" w:cs="Times New Roman"/>
          <w:color w:val="auto"/>
          <w:kern w:val="2"/>
          <w:bdr w:val="none" w:sz="0" w:space="0" w:color="auto"/>
        </w:rPr>
        <w:t>, Maguire LH, Chau Z, Yang CJ, Nagle DA, Chan AT, Tseng JF. Readmission After Resections of the Colon and Rectum: Predictors of a Costly and Common Ou</w:t>
      </w:r>
      <w:r w:rsidRPr="00CF5AD1">
        <w:rPr>
          <w:rFonts w:ascii="Book Antiqua" w:eastAsia="等线" w:hAnsi="Book Antiqua" w:cs="Times New Roman"/>
          <w:color w:val="auto"/>
          <w:kern w:val="2"/>
          <w:bdr w:val="none" w:sz="0" w:space="0" w:color="auto"/>
        </w:rPr>
        <w:t>t</w:t>
      </w:r>
      <w:r w:rsidRPr="00CF5AD1">
        <w:rPr>
          <w:rFonts w:ascii="Book Antiqua" w:eastAsia="等线" w:hAnsi="Book Antiqua" w:cs="Times New Roman"/>
          <w:color w:val="auto"/>
          <w:kern w:val="2"/>
          <w:bdr w:val="none" w:sz="0" w:space="0" w:color="auto"/>
        </w:rPr>
        <w:t xml:space="preserve">come. </w:t>
      </w:r>
      <w:r w:rsidRPr="00CF5AD1">
        <w:rPr>
          <w:rFonts w:ascii="Book Antiqua" w:eastAsia="等线" w:hAnsi="Book Antiqua" w:cs="Times New Roman"/>
          <w:i/>
          <w:color w:val="auto"/>
          <w:kern w:val="2"/>
          <w:bdr w:val="none" w:sz="0" w:space="0" w:color="auto"/>
        </w:rPr>
        <w:t>Dis Colon Rectum</w:t>
      </w:r>
      <w:r w:rsidRPr="00CF5AD1">
        <w:rPr>
          <w:rFonts w:ascii="Book Antiqua" w:eastAsia="等线" w:hAnsi="Book Antiqua" w:cs="Times New Roman"/>
          <w:color w:val="auto"/>
          <w:kern w:val="2"/>
          <w:bdr w:val="none" w:sz="0" w:space="0" w:color="auto"/>
        </w:rPr>
        <w:t xml:space="preserve"> 2015; </w:t>
      </w:r>
      <w:r w:rsidRPr="00CF5AD1">
        <w:rPr>
          <w:rFonts w:ascii="Book Antiqua" w:eastAsia="等线" w:hAnsi="Book Antiqua" w:cs="Times New Roman"/>
          <w:b/>
          <w:color w:val="auto"/>
          <w:kern w:val="2"/>
          <w:bdr w:val="none" w:sz="0" w:space="0" w:color="auto"/>
        </w:rPr>
        <w:t>58</w:t>
      </w:r>
      <w:r w:rsidRPr="00CF5AD1">
        <w:rPr>
          <w:rFonts w:ascii="Book Antiqua" w:eastAsia="等线" w:hAnsi="Book Antiqua" w:cs="Times New Roman"/>
          <w:color w:val="auto"/>
          <w:kern w:val="2"/>
          <w:bdr w:val="none" w:sz="0" w:space="0" w:color="auto"/>
        </w:rPr>
        <w:t>: 1164-1173 [PMID: 26544814 DOI: 10.1097/DCR.0000000000000433]</w:t>
      </w:r>
    </w:p>
    <w:p w14:paraId="61DE2D80"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21 </w:t>
      </w:r>
      <w:r w:rsidRPr="00CF5AD1">
        <w:rPr>
          <w:rFonts w:ascii="Book Antiqua" w:eastAsia="等线" w:hAnsi="Book Antiqua" w:cs="Times New Roman"/>
          <w:b/>
          <w:color w:val="auto"/>
          <w:kern w:val="2"/>
          <w:bdr w:val="none" w:sz="0" w:space="0" w:color="auto"/>
        </w:rPr>
        <w:t>Chen SY</w:t>
      </w:r>
      <w:r w:rsidRPr="00CF5AD1">
        <w:rPr>
          <w:rFonts w:ascii="Book Antiqua" w:eastAsia="等线" w:hAnsi="Book Antiqua" w:cs="Times New Roman"/>
          <w:color w:val="auto"/>
          <w:kern w:val="2"/>
          <w:bdr w:val="none" w:sz="0" w:space="0" w:color="auto"/>
        </w:rPr>
        <w:t xml:space="preserve">, Stem M, Cerullo M, Canner JK, Gearhart SL, Safar B, Fang SH, Efron JE. Predicting the Risk of Readmission From Dehydration After Ileostomy Formation: The Dehydration Readmission After Ileostomy Prediction Score. </w:t>
      </w:r>
      <w:r w:rsidRPr="00CF5AD1">
        <w:rPr>
          <w:rFonts w:ascii="Book Antiqua" w:eastAsia="等线" w:hAnsi="Book Antiqua" w:cs="Times New Roman"/>
          <w:i/>
          <w:color w:val="auto"/>
          <w:kern w:val="2"/>
          <w:bdr w:val="none" w:sz="0" w:space="0" w:color="auto"/>
        </w:rPr>
        <w:t>Dis Colon Rectum</w:t>
      </w:r>
      <w:r w:rsidRPr="00CF5AD1">
        <w:rPr>
          <w:rFonts w:ascii="Book Antiqua" w:eastAsia="等线" w:hAnsi="Book Antiqua" w:cs="Times New Roman"/>
          <w:color w:val="auto"/>
          <w:kern w:val="2"/>
          <w:bdr w:val="none" w:sz="0" w:space="0" w:color="auto"/>
        </w:rPr>
        <w:t xml:space="preserve"> 2018; </w:t>
      </w:r>
      <w:r w:rsidRPr="00CF5AD1">
        <w:rPr>
          <w:rFonts w:ascii="Book Antiqua" w:eastAsia="等线" w:hAnsi="Book Antiqua" w:cs="Times New Roman"/>
          <w:b/>
          <w:color w:val="auto"/>
          <w:kern w:val="2"/>
          <w:bdr w:val="none" w:sz="0" w:space="0" w:color="auto"/>
        </w:rPr>
        <w:t>61</w:t>
      </w:r>
      <w:r w:rsidRPr="00CF5AD1">
        <w:rPr>
          <w:rFonts w:ascii="Book Antiqua" w:eastAsia="等线" w:hAnsi="Book Antiqua" w:cs="Times New Roman"/>
          <w:color w:val="auto"/>
          <w:kern w:val="2"/>
          <w:bdr w:val="none" w:sz="0" w:space="0" w:color="auto"/>
        </w:rPr>
        <w:t>: 1410-1417 [PMID: 30303886 DOI: 10.1097/DCR.0000000000001217]</w:t>
      </w:r>
    </w:p>
    <w:p w14:paraId="2384677C"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22 </w:t>
      </w:r>
      <w:r w:rsidRPr="00CF5AD1">
        <w:rPr>
          <w:rFonts w:ascii="Book Antiqua" w:eastAsia="等线" w:hAnsi="Book Antiqua" w:cs="Times New Roman"/>
          <w:b/>
          <w:color w:val="auto"/>
          <w:kern w:val="2"/>
          <w:bdr w:val="none" w:sz="0" w:space="0" w:color="auto"/>
        </w:rPr>
        <w:t>King RF</w:t>
      </w:r>
      <w:r w:rsidRPr="00CF5AD1">
        <w:rPr>
          <w:rFonts w:ascii="Book Antiqua" w:eastAsia="等线" w:hAnsi="Book Antiqua" w:cs="Times New Roman"/>
          <w:color w:val="auto"/>
          <w:kern w:val="2"/>
          <w:bdr w:val="none" w:sz="0" w:space="0" w:color="auto"/>
        </w:rPr>
        <w:t xml:space="preserve">, Norton T, Hill GL. A double-blind crossover study of the effect of loperamide hydrochloride and codeine phosphate on ileostomy output. </w:t>
      </w:r>
      <w:r w:rsidRPr="00CF5AD1">
        <w:rPr>
          <w:rFonts w:ascii="Book Antiqua" w:eastAsia="等线" w:hAnsi="Book Antiqua" w:cs="Times New Roman"/>
          <w:i/>
          <w:color w:val="auto"/>
          <w:kern w:val="2"/>
          <w:bdr w:val="none" w:sz="0" w:space="0" w:color="auto"/>
        </w:rPr>
        <w:t>Aust N Z J Surg</w:t>
      </w:r>
      <w:r w:rsidRPr="00CF5AD1">
        <w:rPr>
          <w:rFonts w:ascii="Book Antiqua" w:eastAsia="等线" w:hAnsi="Book Antiqua" w:cs="Times New Roman"/>
          <w:color w:val="auto"/>
          <w:kern w:val="2"/>
          <w:bdr w:val="none" w:sz="0" w:space="0" w:color="auto"/>
        </w:rPr>
        <w:t xml:space="preserve"> 1982; </w:t>
      </w:r>
      <w:r w:rsidRPr="00CF5AD1">
        <w:rPr>
          <w:rFonts w:ascii="Book Antiqua" w:eastAsia="等线" w:hAnsi="Book Antiqua" w:cs="Times New Roman"/>
          <w:b/>
          <w:color w:val="auto"/>
          <w:kern w:val="2"/>
          <w:bdr w:val="none" w:sz="0" w:space="0" w:color="auto"/>
        </w:rPr>
        <w:t>52</w:t>
      </w:r>
      <w:r w:rsidRPr="00CF5AD1">
        <w:rPr>
          <w:rFonts w:ascii="Book Antiqua" w:eastAsia="等线" w:hAnsi="Book Antiqua" w:cs="Times New Roman"/>
          <w:color w:val="auto"/>
          <w:kern w:val="2"/>
          <w:bdr w:val="none" w:sz="0" w:space="0" w:color="auto"/>
        </w:rPr>
        <w:t>: 121-124 [PMID: 7044361]</w:t>
      </w:r>
    </w:p>
    <w:p w14:paraId="2982CDAD"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23 </w:t>
      </w:r>
      <w:r w:rsidRPr="00CF5AD1">
        <w:rPr>
          <w:rFonts w:ascii="Book Antiqua" w:eastAsia="等线" w:hAnsi="Book Antiqua" w:cs="Times New Roman"/>
          <w:b/>
          <w:color w:val="auto"/>
          <w:kern w:val="2"/>
          <w:bdr w:val="none" w:sz="0" w:space="0" w:color="auto"/>
        </w:rPr>
        <w:t>Gessler B</w:t>
      </w:r>
      <w:r w:rsidRPr="00CF5AD1">
        <w:rPr>
          <w:rFonts w:ascii="Book Antiqua" w:eastAsia="等线" w:hAnsi="Book Antiqua" w:cs="Times New Roman"/>
          <w:color w:val="auto"/>
          <w:kern w:val="2"/>
          <w:bdr w:val="none" w:sz="0" w:space="0" w:color="auto"/>
        </w:rPr>
        <w:t xml:space="preserve">, Haglind E, Angenete E. Loop ileostomies in colorectal cancer patients--morbidity and risk factors for nonreversal. </w:t>
      </w:r>
      <w:r w:rsidRPr="00CF5AD1">
        <w:rPr>
          <w:rFonts w:ascii="Book Antiqua" w:eastAsia="等线" w:hAnsi="Book Antiqua" w:cs="Times New Roman"/>
          <w:i/>
          <w:color w:val="auto"/>
          <w:kern w:val="2"/>
          <w:bdr w:val="none" w:sz="0" w:space="0" w:color="auto"/>
        </w:rPr>
        <w:t>J Surg Res</w:t>
      </w:r>
      <w:r w:rsidRPr="00CF5AD1">
        <w:rPr>
          <w:rFonts w:ascii="Book Antiqua" w:eastAsia="等线" w:hAnsi="Book Antiqua" w:cs="Times New Roman"/>
          <w:color w:val="auto"/>
          <w:kern w:val="2"/>
          <w:bdr w:val="none" w:sz="0" w:space="0" w:color="auto"/>
        </w:rPr>
        <w:t xml:space="preserve"> 2012; </w:t>
      </w:r>
      <w:r w:rsidRPr="00CF5AD1">
        <w:rPr>
          <w:rFonts w:ascii="Book Antiqua" w:eastAsia="等线" w:hAnsi="Book Antiqua" w:cs="Times New Roman"/>
          <w:b/>
          <w:color w:val="auto"/>
          <w:kern w:val="2"/>
          <w:bdr w:val="none" w:sz="0" w:space="0" w:color="auto"/>
        </w:rPr>
        <w:t>178</w:t>
      </w:r>
      <w:r w:rsidRPr="00CF5AD1">
        <w:rPr>
          <w:rFonts w:ascii="Book Antiqua" w:eastAsia="等线" w:hAnsi="Book Antiqua" w:cs="Times New Roman"/>
          <w:color w:val="auto"/>
          <w:kern w:val="2"/>
          <w:bdr w:val="none" w:sz="0" w:space="0" w:color="auto"/>
        </w:rPr>
        <w:t>: 708-714 [PMID: 22940030 DOI: 10.1016/j.jss.2012.08.018]</w:t>
      </w:r>
    </w:p>
    <w:p w14:paraId="1A192038"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24 </w:t>
      </w:r>
      <w:r w:rsidRPr="00CF5AD1">
        <w:rPr>
          <w:rFonts w:ascii="Book Antiqua" w:eastAsia="等线" w:hAnsi="Book Antiqua" w:cs="Times New Roman"/>
          <w:b/>
          <w:color w:val="auto"/>
          <w:kern w:val="2"/>
          <w:bdr w:val="none" w:sz="0" w:space="0" w:color="auto"/>
        </w:rPr>
        <w:t>D'Haeninck A</w:t>
      </w:r>
      <w:r w:rsidRPr="00CF5AD1">
        <w:rPr>
          <w:rFonts w:ascii="Book Antiqua" w:eastAsia="等线" w:hAnsi="Book Antiqua" w:cs="Times New Roman"/>
          <w:color w:val="auto"/>
          <w:kern w:val="2"/>
          <w:bdr w:val="none" w:sz="0" w:space="0" w:color="auto"/>
        </w:rPr>
        <w:t xml:space="preserve">, Wolthuis AM, Penninckx F, D'Hondt M, D'Hoore A. Morbidity after closure of a defunctioning loop ileostomy. </w:t>
      </w:r>
      <w:r w:rsidRPr="00CF5AD1">
        <w:rPr>
          <w:rFonts w:ascii="Book Antiqua" w:eastAsia="等线" w:hAnsi="Book Antiqua" w:cs="Times New Roman"/>
          <w:i/>
          <w:color w:val="auto"/>
          <w:kern w:val="2"/>
          <w:bdr w:val="none" w:sz="0" w:space="0" w:color="auto"/>
        </w:rPr>
        <w:t>Acta Chir Belg</w:t>
      </w:r>
      <w:r w:rsidRPr="00CF5AD1">
        <w:rPr>
          <w:rFonts w:ascii="Book Antiqua" w:eastAsia="等线" w:hAnsi="Book Antiqua" w:cs="Times New Roman"/>
          <w:color w:val="auto"/>
          <w:kern w:val="2"/>
          <w:bdr w:val="none" w:sz="0" w:space="0" w:color="auto"/>
        </w:rPr>
        <w:t xml:space="preserve"> 2011; </w:t>
      </w:r>
      <w:r w:rsidRPr="00CF5AD1">
        <w:rPr>
          <w:rFonts w:ascii="Book Antiqua" w:eastAsia="等线" w:hAnsi="Book Antiqua" w:cs="Times New Roman"/>
          <w:b/>
          <w:color w:val="auto"/>
          <w:kern w:val="2"/>
          <w:bdr w:val="none" w:sz="0" w:space="0" w:color="auto"/>
        </w:rPr>
        <w:t>111</w:t>
      </w:r>
      <w:r w:rsidRPr="00CF5AD1">
        <w:rPr>
          <w:rFonts w:ascii="Book Antiqua" w:eastAsia="等线" w:hAnsi="Book Antiqua" w:cs="Times New Roman"/>
          <w:color w:val="auto"/>
          <w:kern w:val="2"/>
          <w:bdr w:val="none" w:sz="0" w:space="0" w:color="auto"/>
        </w:rPr>
        <w:t>: 136-141 [PMID: 21780519]</w:t>
      </w:r>
    </w:p>
    <w:p w14:paraId="50F5CAED"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25 </w:t>
      </w:r>
      <w:r w:rsidRPr="00CF5AD1">
        <w:rPr>
          <w:rFonts w:ascii="Book Antiqua" w:eastAsia="等线" w:hAnsi="Book Antiqua" w:cs="Times New Roman"/>
          <w:b/>
          <w:color w:val="auto"/>
          <w:kern w:val="2"/>
          <w:bdr w:val="none" w:sz="0" w:space="0" w:color="auto"/>
        </w:rPr>
        <w:t>Mala T</w:t>
      </w:r>
      <w:r w:rsidRPr="00CF5AD1">
        <w:rPr>
          <w:rFonts w:ascii="Book Antiqua" w:eastAsia="等线" w:hAnsi="Book Antiqua" w:cs="Times New Roman"/>
          <w:color w:val="auto"/>
          <w:kern w:val="2"/>
          <w:bdr w:val="none" w:sz="0" w:space="0" w:color="auto"/>
        </w:rPr>
        <w:t xml:space="preserve">, Nesbakken A. Morbidity related to the use of a protective stoma in anterior resection for rectal cancer. </w:t>
      </w:r>
      <w:r w:rsidRPr="00CF5AD1">
        <w:rPr>
          <w:rFonts w:ascii="Book Antiqua" w:eastAsia="等线" w:hAnsi="Book Antiqua" w:cs="Times New Roman"/>
          <w:i/>
          <w:color w:val="auto"/>
          <w:kern w:val="2"/>
          <w:bdr w:val="none" w:sz="0" w:space="0" w:color="auto"/>
        </w:rPr>
        <w:t>Colorectal Dis</w:t>
      </w:r>
      <w:r w:rsidRPr="00CF5AD1">
        <w:rPr>
          <w:rFonts w:ascii="Book Antiqua" w:eastAsia="等线" w:hAnsi="Book Antiqua" w:cs="Times New Roman"/>
          <w:color w:val="auto"/>
          <w:kern w:val="2"/>
          <w:bdr w:val="none" w:sz="0" w:space="0" w:color="auto"/>
        </w:rPr>
        <w:t xml:space="preserve"> 2008; </w:t>
      </w:r>
      <w:r w:rsidRPr="00CF5AD1">
        <w:rPr>
          <w:rFonts w:ascii="Book Antiqua" w:eastAsia="等线" w:hAnsi="Book Antiqua" w:cs="Times New Roman"/>
          <w:b/>
          <w:color w:val="auto"/>
          <w:kern w:val="2"/>
          <w:bdr w:val="none" w:sz="0" w:space="0" w:color="auto"/>
        </w:rPr>
        <w:t>10</w:t>
      </w:r>
      <w:r w:rsidRPr="00CF5AD1">
        <w:rPr>
          <w:rFonts w:ascii="Book Antiqua" w:eastAsia="等线" w:hAnsi="Book Antiqua" w:cs="Times New Roman"/>
          <w:color w:val="auto"/>
          <w:kern w:val="2"/>
          <w:bdr w:val="none" w:sz="0" w:space="0" w:color="auto"/>
        </w:rPr>
        <w:t>: 785-788 [PMID: 18190612 DOI: 10.1111/j.1463-1318.2007.01456.x]</w:t>
      </w:r>
    </w:p>
    <w:p w14:paraId="0076C3FD"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26 </w:t>
      </w:r>
      <w:r w:rsidRPr="00CF5AD1">
        <w:rPr>
          <w:rFonts w:ascii="Book Antiqua" w:eastAsia="等线" w:hAnsi="Book Antiqua" w:cs="Times New Roman"/>
          <w:b/>
          <w:color w:val="auto"/>
          <w:kern w:val="2"/>
          <w:bdr w:val="none" w:sz="0" w:space="0" w:color="auto"/>
        </w:rPr>
        <w:t>Chun LJ</w:t>
      </w:r>
      <w:r w:rsidRPr="00CF5AD1">
        <w:rPr>
          <w:rFonts w:ascii="Book Antiqua" w:eastAsia="等线" w:hAnsi="Book Antiqua" w:cs="Times New Roman"/>
          <w:color w:val="auto"/>
          <w:kern w:val="2"/>
          <w:bdr w:val="none" w:sz="0" w:space="0" w:color="auto"/>
        </w:rPr>
        <w:t xml:space="preserve">, Haigh PI, Tam MS, Abbas MA. Defunctioning loop ileostomy for pelvic anastomoses:  predictors of morbidity and nonclosure. </w:t>
      </w:r>
      <w:r w:rsidRPr="00CF5AD1">
        <w:rPr>
          <w:rFonts w:ascii="Book Antiqua" w:eastAsia="等线" w:hAnsi="Book Antiqua" w:cs="Times New Roman"/>
          <w:i/>
          <w:color w:val="auto"/>
          <w:kern w:val="2"/>
          <w:bdr w:val="none" w:sz="0" w:space="0" w:color="auto"/>
        </w:rPr>
        <w:t>Dis Colon Rectum</w:t>
      </w:r>
      <w:r w:rsidRPr="00CF5AD1">
        <w:rPr>
          <w:rFonts w:ascii="Book Antiqua" w:eastAsia="等线" w:hAnsi="Book Antiqua" w:cs="Times New Roman"/>
          <w:color w:val="auto"/>
          <w:kern w:val="2"/>
          <w:bdr w:val="none" w:sz="0" w:space="0" w:color="auto"/>
        </w:rPr>
        <w:t xml:space="preserve"> 2012; </w:t>
      </w:r>
      <w:r w:rsidRPr="00CF5AD1">
        <w:rPr>
          <w:rFonts w:ascii="Book Antiqua" w:eastAsia="等线" w:hAnsi="Book Antiqua" w:cs="Times New Roman"/>
          <w:b/>
          <w:color w:val="auto"/>
          <w:kern w:val="2"/>
          <w:bdr w:val="none" w:sz="0" w:space="0" w:color="auto"/>
        </w:rPr>
        <w:t>55</w:t>
      </w:r>
      <w:r w:rsidRPr="00CF5AD1">
        <w:rPr>
          <w:rFonts w:ascii="Book Antiqua" w:eastAsia="等线" w:hAnsi="Book Antiqua" w:cs="Times New Roman"/>
          <w:color w:val="auto"/>
          <w:kern w:val="2"/>
          <w:bdr w:val="none" w:sz="0" w:space="0" w:color="auto"/>
        </w:rPr>
        <w:t>: 167-174 [PMID: 22228160 DOI: 10.1097/DCR.0b013e31823a9761]</w:t>
      </w:r>
    </w:p>
    <w:p w14:paraId="674964E0"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CF5AD1">
        <w:rPr>
          <w:rFonts w:ascii="Book Antiqua" w:eastAsia="等线" w:hAnsi="Book Antiqua" w:cs="Times New Roman"/>
          <w:color w:val="auto"/>
          <w:kern w:val="2"/>
          <w:bdr w:val="none" w:sz="0" w:space="0" w:color="auto"/>
        </w:rPr>
        <w:t xml:space="preserve">27 </w:t>
      </w:r>
      <w:r w:rsidRPr="00CF5AD1">
        <w:rPr>
          <w:rFonts w:ascii="Book Antiqua" w:eastAsia="等线" w:hAnsi="Book Antiqua" w:cs="Times New Roman"/>
          <w:b/>
          <w:color w:val="auto"/>
          <w:kern w:val="2"/>
          <w:bdr w:val="none" w:sz="0" w:space="0" w:color="auto"/>
        </w:rPr>
        <w:t>Hallböök O</w:t>
      </w:r>
      <w:r w:rsidRPr="00CF5AD1">
        <w:rPr>
          <w:rFonts w:ascii="Book Antiqua" w:eastAsia="等线" w:hAnsi="Book Antiqua" w:cs="Times New Roman"/>
          <w:color w:val="auto"/>
          <w:kern w:val="2"/>
          <w:bdr w:val="none" w:sz="0" w:space="0" w:color="auto"/>
        </w:rPr>
        <w:t>, Matthiessen P, Leinsköld T, Nyström PO, Sjödahl R. Safety of the te</w:t>
      </w:r>
      <w:r w:rsidRPr="00CF5AD1">
        <w:rPr>
          <w:rFonts w:ascii="Book Antiqua" w:eastAsia="等线" w:hAnsi="Book Antiqua" w:cs="Times New Roman"/>
          <w:color w:val="auto"/>
          <w:kern w:val="2"/>
          <w:bdr w:val="none" w:sz="0" w:space="0" w:color="auto"/>
        </w:rPr>
        <w:t>m</w:t>
      </w:r>
      <w:r w:rsidRPr="00CF5AD1">
        <w:rPr>
          <w:rFonts w:ascii="Book Antiqua" w:eastAsia="等线" w:hAnsi="Book Antiqua" w:cs="Times New Roman"/>
          <w:color w:val="auto"/>
          <w:kern w:val="2"/>
          <w:bdr w:val="none" w:sz="0" w:space="0" w:color="auto"/>
        </w:rPr>
        <w:t xml:space="preserve">porary loop ileostomy. </w:t>
      </w:r>
      <w:r w:rsidRPr="00CF5AD1">
        <w:rPr>
          <w:rFonts w:ascii="Book Antiqua" w:eastAsia="等线" w:hAnsi="Book Antiqua" w:cs="Times New Roman"/>
          <w:i/>
          <w:color w:val="auto"/>
          <w:kern w:val="2"/>
          <w:bdr w:val="none" w:sz="0" w:space="0" w:color="auto"/>
        </w:rPr>
        <w:t>Colorectal Dis</w:t>
      </w:r>
      <w:r w:rsidRPr="00CF5AD1">
        <w:rPr>
          <w:rFonts w:ascii="Book Antiqua" w:eastAsia="等线" w:hAnsi="Book Antiqua" w:cs="Times New Roman"/>
          <w:color w:val="auto"/>
          <w:kern w:val="2"/>
          <w:bdr w:val="none" w:sz="0" w:space="0" w:color="auto"/>
        </w:rPr>
        <w:t xml:space="preserve"> 2002; </w:t>
      </w:r>
      <w:r w:rsidRPr="00CF5AD1">
        <w:rPr>
          <w:rFonts w:ascii="Book Antiqua" w:eastAsia="等线" w:hAnsi="Book Antiqua" w:cs="Times New Roman"/>
          <w:b/>
          <w:color w:val="auto"/>
          <w:kern w:val="2"/>
          <w:bdr w:val="none" w:sz="0" w:space="0" w:color="auto"/>
        </w:rPr>
        <w:t>4</w:t>
      </w:r>
      <w:r w:rsidRPr="00CF5AD1">
        <w:rPr>
          <w:rFonts w:ascii="Book Antiqua" w:eastAsia="等线" w:hAnsi="Book Antiqua" w:cs="Times New Roman"/>
          <w:color w:val="auto"/>
          <w:kern w:val="2"/>
          <w:bdr w:val="none" w:sz="0" w:space="0" w:color="auto"/>
        </w:rPr>
        <w:t>: 361-364 [PMID: 12780582]</w:t>
      </w:r>
    </w:p>
    <w:p w14:paraId="4312868C" w14:textId="22CE892A" w:rsidR="00E167E4" w:rsidRDefault="00E167E4" w:rsidP="005736DF">
      <w:pPr>
        <w:suppressAutoHyphens/>
        <w:wordWrap w:val="0"/>
        <w:spacing w:line="360" w:lineRule="auto"/>
        <w:jc w:val="right"/>
        <w:rPr>
          <w:rFonts w:ascii="Book Antiqua" w:hAnsi="Book Antiqua" w:cs="Mangal"/>
          <w:b/>
          <w:bCs/>
          <w:lang w:val="it-IT" w:eastAsia="en-US" w:bidi="hi-IN"/>
        </w:rPr>
      </w:pPr>
      <w:bookmarkStart w:id="143" w:name="OLE_LINK502"/>
      <w:bookmarkStart w:id="144" w:name="OLE_LINK480"/>
      <w:bookmarkStart w:id="145" w:name="OLE_LINK2090"/>
      <w:bookmarkStart w:id="146" w:name="OLE_LINK2200"/>
      <w:bookmarkStart w:id="147" w:name="OLE_LINK2199"/>
      <w:bookmarkStart w:id="148" w:name="OLE_LINK2198"/>
      <w:bookmarkStart w:id="149" w:name="OLE_LINK2162"/>
      <w:bookmarkStart w:id="150" w:name="OLE_LINK1963"/>
      <w:bookmarkStart w:id="151" w:name="OLE_LINK1962"/>
      <w:bookmarkStart w:id="152" w:name="OLE_LINK1812"/>
      <w:bookmarkStart w:id="153" w:name="OLE_LINK1811"/>
      <w:bookmarkStart w:id="154" w:name="OLE_LINK1807"/>
      <w:bookmarkStart w:id="155" w:name="OLE_LINK1806"/>
      <w:bookmarkStart w:id="156" w:name="OLE_LINK1636"/>
      <w:bookmarkStart w:id="157" w:name="OLE_LINK1845"/>
      <w:bookmarkStart w:id="158" w:name="OLE_LINK1844"/>
      <w:bookmarkStart w:id="159" w:name="OLE_LINK1843"/>
      <w:bookmarkStart w:id="160" w:name="OLE_LINK1803"/>
      <w:bookmarkStart w:id="161" w:name="OLE_LINK1802"/>
      <w:bookmarkStart w:id="162" w:name="OLE_LINK1801"/>
      <w:bookmarkStart w:id="163" w:name="OLE_LINK1800"/>
      <w:bookmarkStart w:id="164" w:name="OLE_LINK1282"/>
      <w:bookmarkStart w:id="165" w:name="OLE_LINK1266"/>
      <w:bookmarkStart w:id="166" w:name="OLE_LINK1264"/>
      <w:bookmarkStart w:id="167" w:name="OLE_LINK1261"/>
      <w:bookmarkStart w:id="168" w:name="OLE_LINK1260"/>
      <w:bookmarkStart w:id="169" w:name="OLE_LINK1044"/>
      <w:bookmarkStart w:id="170" w:name="OLE_LINK1043"/>
      <w:bookmarkStart w:id="171" w:name="OLE_LINK1039"/>
      <w:bookmarkStart w:id="172" w:name="OLE_LINK1038"/>
      <w:bookmarkStart w:id="173" w:name="OLE_LINK1036"/>
      <w:bookmarkStart w:id="174" w:name="OLE_LINK1035"/>
      <w:bookmarkStart w:id="175" w:name="OLE_LINK987"/>
      <w:bookmarkStart w:id="176" w:name="OLE_LINK947"/>
      <w:bookmarkStart w:id="177" w:name="OLE_LINK946"/>
      <w:bookmarkStart w:id="178" w:name="OLE_LINK945"/>
      <w:bookmarkStart w:id="179" w:name="OLE_LINK1127"/>
      <w:bookmarkStart w:id="180" w:name="OLE_LINK962"/>
      <w:bookmarkStart w:id="181" w:name="OLE_LINK959"/>
      <w:bookmarkStart w:id="182" w:name="OLE_LINK1185"/>
      <w:bookmarkStart w:id="183" w:name="OLE_LINK1159"/>
      <w:bookmarkStart w:id="184" w:name="OLE_LINK1158"/>
      <w:bookmarkStart w:id="185" w:name="OLE_LINK1157"/>
      <w:bookmarkStart w:id="186" w:name="OLE_LINK1156"/>
      <w:bookmarkStart w:id="187" w:name="OLE_LINK1065"/>
      <w:bookmarkStart w:id="188" w:name="OLE_LINK1064"/>
      <w:bookmarkStart w:id="189" w:name="OLE_LINK1023"/>
      <w:bookmarkStart w:id="190" w:name="OLE_LINK1022"/>
      <w:bookmarkStart w:id="191"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8E2CEF" w:rsidRPr="008E2CEF">
        <w:rPr>
          <w:rFonts w:ascii="Book Antiqua" w:hAnsi="Book Antiqua"/>
        </w:rPr>
        <w:t>Stavroulopoulos</w:t>
      </w:r>
      <w:r w:rsidR="008E2CEF">
        <w:rPr>
          <w:rFonts w:ascii="Book Antiqua" w:hAnsi="Book Antiqua"/>
        </w:rPr>
        <w:t xml:space="preserve"> A</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bookmarkStart w:id="192" w:name="_GoBack"/>
      <w:r w:rsidR="005736DF" w:rsidRPr="005736DF">
        <w:rPr>
          <w:rFonts w:ascii="Book Antiqua" w:hAnsi="Book Antiqua" w:cs="Mangal" w:hint="eastAsia"/>
          <w:bCs/>
          <w:lang w:val="it-IT" w:bidi="hi-IN"/>
        </w:rPr>
        <w:t>A</w:t>
      </w:r>
      <w:bookmarkEnd w:id="192"/>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r w:rsidR="005736DF" w:rsidRPr="00AE6FB8">
        <w:rPr>
          <w:rFonts w:ascii="Book Antiqua" w:hAnsi="Book Antiqua"/>
          <w:lang w:val="it-IT"/>
        </w:rPr>
        <w:t>Wu YXJ</w:t>
      </w:r>
    </w:p>
    <w:p w14:paraId="38C08313" w14:textId="77777777" w:rsidR="00E167E4" w:rsidRDefault="00E167E4" w:rsidP="00F45082">
      <w:pPr>
        <w:suppressAutoHyphens/>
        <w:spacing w:line="360" w:lineRule="auto"/>
        <w:rPr>
          <w:rFonts w:ascii="Book Antiqua" w:hAnsi="Book Antiqua" w:cs="Mangal"/>
          <w:b/>
          <w:bCs/>
          <w:lang w:val="it-IT" w:eastAsia="pt-BR" w:bidi="hi-IN"/>
        </w:rPr>
      </w:pPr>
    </w:p>
    <w:p w14:paraId="4C713E0D" w14:textId="3ECB6DD3" w:rsidR="00E167E4" w:rsidRDefault="00E167E4" w:rsidP="005736D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hAnsi="Book Antiqua" w:cs="Helvetica"/>
          <w:b/>
        </w:rPr>
      </w:pPr>
      <w:r>
        <w:rPr>
          <w:rFonts w:ascii="Book Antiqua" w:hAnsi="Book Antiqua" w:cs="Helvetica"/>
          <w:b/>
        </w:rPr>
        <w:t xml:space="preserve">Specialty type: </w:t>
      </w:r>
      <w:r w:rsidR="00342637" w:rsidRPr="00342637">
        <w:rPr>
          <w:rFonts w:ascii="Book Antiqua" w:eastAsia="微软雅黑" w:hAnsi="Book Antiqua" w:cs="宋体"/>
        </w:rPr>
        <w:t>Medicine, research and experimental</w:t>
      </w:r>
    </w:p>
    <w:p w14:paraId="2F6663DF" w14:textId="485AAB9E" w:rsidR="00E167E4" w:rsidRDefault="00E167E4" w:rsidP="005736D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hAnsi="Book Antiqua" w:cs="Helvetica"/>
          <w:b/>
          <w:lang w:val="pt-BR"/>
        </w:rPr>
      </w:pPr>
      <w:r>
        <w:rPr>
          <w:rFonts w:ascii="Book Antiqua" w:hAnsi="Book Antiqua" w:cs="Helvetica"/>
          <w:b/>
        </w:rPr>
        <w:t xml:space="preserve">Country of origin: </w:t>
      </w:r>
      <w:r w:rsidR="000E5171" w:rsidRPr="000E5171">
        <w:rPr>
          <w:rFonts w:ascii="Book Antiqua" w:hAnsi="Book Antiqua" w:cs="Helvetica"/>
        </w:rPr>
        <w:t>Mexico</w:t>
      </w:r>
    </w:p>
    <w:p w14:paraId="0612321D" w14:textId="77777777" w:rsidR="00E167E4" w:rsidRDefault="00E167E4" w:rsidP="005736D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hAnsi="Book Antiqua" w:cs="Helvetica"/>
          <w:b/>
        </w:rPr>
      </w:pPr>
      <w:r>
        <w:rPr>
          <w:rFonts w:ascii="Book Antiqua" w:hAnsi="Book Antiqua" w:cs="Helvetica"/>
          <w:b/>
        </w:rPr>
        <w:t>Peer-review report classification</w:t>
      </w:r>
    </w:p>
    <w:p w14:paraId="03193CAF" w14:textId="329C8B19" w:rsidR="00E167E4" w:rsidRDefault="00E167E4" w:rsidP="005736D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hAnsi="Book Antiqua" w:cs="Helvetica"/>
        </w:rPr>
      </w:pPr>
      <w:r>
        <w:rPr>
          <w:rFonts w:ascii="Book Antiqua" w:hAnsi="Book Antiqua" w:cs="Helvetica"/>
        </w:rPr>
        <w:t xml:space="preserve">Grade A (Excellent): </w:t>
      </w:r>
      <w:r w:rsidR="00614534">
        <w:rPr>
          <w:rFonts w:ascii="Book Antiqua" w:hAnsi="Book Antiqua" w:cs="Helvetica"/>
        </w:rPr>
        <w:t>0</w:t>
      </w:r>
    </w:p>
    <w:p w14:paraId="7A39B740" w14:textId="6A2777B9" w:rsidR="00E167E4" w:rsidRDefault="00E167E4" w:rsidP="005736D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hAnsi="Book Antiqua" w:cs="Helvetica"/>
        </w:rPr>
      </w:pPr>
      <w:r>
        <w:rPr>
          <w:rFonts w:ascii="Book Antiqua" w:hAnsi="Book Antiqua" w:cs="Helvetica"/>
        </w:rPr>
        <w:t xml:space="preserve">Grade B (Very good): </w:t>
      </w:r>
      <w:r w:rsidR="00614534">
        <w:rPr>
          <w:rFonts w:ascii="Book Antiqua" w:hAnsi="Book Antiqua" w:cs="Helvetica"/>
        </w:rPr>
        <w:t>0</w:t>
      </w:r>
    </w:p>
    <w:p w14:paraId="1337FC81" w14:textId="70F77BA8" w:rsidR="00E167E4" w:rsidRDefault="00E167E4" w:rsidP="005736D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hAnsi="Book Antiqua" w:cs="Helvetica"/>
        </w:rPr>
      </w:pPr>
      <w:r>
        <w:rPr>
          <w:rFonts w:ascii="Book Antiqua" w:hAnsi="Book Antiqua" w:cs="Helvetica"/>
        </w:rPr>
        <w:t xml:space="preserve">Grade C (Good): </w:t>
      </w:r>
      <w:r w:rsidR="00614534">
        <w:rPr>
          <w:rFonts w:ascii="Book Antiqua" w:hAnsi="Book Antiqua" w:cs="Helvetica"/>
        </w:rPr>
        <w:t>C</w:t>
      </w:r>
    </w:p>
    <w:p w14:paraId="65DE9AC8" w14:textId="77777777" w:rsidR="00E167E4" w:rsidRDefault="00E167E4" w:rsidP="005736D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hAnsi="Book Antiqua" w:cs="Helvetica"/>
        </w:rPr>
      </w:pPr>
      <w:r>
        <w:rPr>
          <w:rFonts w:ascii="Book Antiqua" w:hAnsi="Book Antiqua" w:cs="Helvetica"/>
        </w:rPr>
        <w:t xml:space="preserve">Grade D (Fair): </w:t>
      </w:r>
      <w:bookmarkEnd w:id="143"/>
      <w:bookmarkEnd w:id="144"/>
      <w:r>
        <w:rPr>
          <w:rFonts w:ascii="Book Antiqua" w:hAnsi="Book Antiqua" w:cs="Helvetica"/>
        </w:rPr>
        <w:t>0</w:t>
      </w:r>
    </w:p>
    <w:p w14:paraId="27E4D428" w14:textId="77777777" w:rsidR="00E167E4" w:rsidRDefault="00E167E4" w:rsidP="005736D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hAnsi="Book Antiqua" w:cs="Helvetica"/>
        </w:rPr>
      </w:pPr>
      <w:r>
        <w:rPr>
          <w:rFonts w:ascii="Book Antiqua" w:hAnsi="Book Antiqua" w:cs="Helvetica"/>
        </w:rPr>
        <w:t xml:space="preserve">Grade E (Poor):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ascii="Book Antiqua" w:hAnsi="Book Antiqua" w:cs="Helvetica"/>
        </w:rPr>
        <w:t>0</w:t>
      </w:r>
    </w:p>
    <w:p w14:paraId="612BFC0B" w14:textId="2625CBC7" w:rsidR="00CF5AD1" w:rsidRPr="00E167E4" w:rsidRDefault="00CF5AD1" w:rsidP="00F45082">
      <w:pPr>
        <w:pStyle w:val="CuerpoA"/>
        <w:spacing w:line="360" w:lineRule="auto"/>
        <w:jc w:val="both"/>
        <w:rPr>
          <w:rStyle w:val="Ninguno"/>
          <w:rFonts w:ascii="Book Antiqua" w:eastAsiaTheme="minorEastAsia" w:hAnsi="Book Antiqua" w:cs="Book Antiqua"/>
          <w:b/>
          <w:bCs/>
          <w:sz w:val="24"/>
          <w:szCs w:val="24"/>
          <w:lang w:val="en-US"/>
        </w:rPr>
      </w:pPr>
    </w:p>
    <w:p w14:paraId="13074C6A" w14:textId="77777777" w:rsidR="00CF5AD1" w:rsidRPr="00CF5AD1" w:rsidRDefault="00CF5AD1" w:rsidP="00F45082">
      <w:pPr>
        <w:pStyle w:val="CuerpoA"/>
        <w:spacing w:line="360" w:lineRule="auto"/>
        <w:jc w:val="both"/>
        <w:rPr>
          <w:rStyle w:val="Ninguno"/>
          <w:rFonts w:ascii="Book Antiqua" w:eastAsiaTheme="minorEastAsia" w:hAnsi="Book Antiqua" w:cs="Book Antiqua"/>
          <w:b/>
          <w:bCs/>
          <w:sz w:val="24"/>
          <w:szCs w:val="24"/>
        </w:rPr>
      </w:pPr>
    </w:p>
    <w:p w14:paraId="7F4E3102" w14:textId="77777777" w:rsidR="0007436B" w:rsidRPr="000946AD" w:rsidRDefault="0007436B" w:rsidP="00F45082">
      <w:pPr>
        <w:pStyle w:val="CuerpoA"/>
        <w:spacing w:line="360" w:lineRule="auto"/>
        <w:jc w:val="both"/>
        <w:rPr>
          <w:rFonts w:ascii="Book Antiqua" w:eastAsia="Book Antiqua" w:hAnsi="Book Antiqua" w:cs="Book Antiqua"/>
          <w:sz w:val="24"/>
          <w:szCs w:val="24"/>
        </w:rPr>
      </w:pPr>
    </w:p>
    <w:p w14:paraId="3C582D66" w14:textId="3B0AF278" w:rsidR="00CF5AD1" w:rsidRPr="00CF5AD1" w:rsidRDefault="00614534" w:rsidP="00F45082">
      <w:pPr>
        <w:pStyle w:val="CuerpoA"/>
        <w:spacing w:line="360" w:lineRule="auto"/>
        <w:jc w:val="both"/>
        <w:rPr>
          <w:rStyle w:val="Ninguno"/>
          <w:rFonts w:ascii="Book Antiqua" w:eastAsiaTheme="minorEastAsia" w:hAnsi="Book Antiqua" w:cs="Book Antiqua"/>
          <w:sz w:val="24"/>
          <w:szCs w:val="24"/>
        </w:rPr>
      </w:pPr>
      <w:r w:rsidRPr="000946AD">
        <w:rPr>
          <w:rStyle w:val="Ninguno"/>
          <w:rFonts w:ascii="Book Antiqua" w:hAnsi="Book Antiqua"/>
          <w:b/>
          <w:bCs/>
          <w:sz w:val="24"/>
          <w:szCs w:val="24"/>
        </w:rPr>
        <w:t>Tabl</w:t>
      </w:r>
      <w:r w:rsidRPr="00614534">
        <w:rPr>
          <w:rStyle w:val="Ninguno"/>
          <w:rFonts w:ascii="Book Antiqua" w:hAnsi="Book Antiqua"/>
          <w:b/>
          <w:bCs/>
          <w:sz w:val="24"/>
          <w:szCs w:val="24"/>
        </w:rPr>
        <w:t>e 1</w:t>
      </w:r>
      <w:r w:rsidRPr="00614534">
        <w:rPr>
          <w:rStyle w:val="Ninguno"/>
          <w:rFonts w:ascii="Book Antiqua" w:hAnsi="Book Antiqua"/>
          <w:b/>
          <w:bCs/>
          <w:sz w:val="24"/>
          <w:szCs w:val="24"/>
          <w:lang w:val="en-US"/>
        </w:rPr>
        <w:t xml:space="preserve"> Characteristics of patients </w:t>
      </w:r>
      <w:r w:rsidRPr="00614534">
        <w:rPr>
          <w:rStyle w:val="Ninguno"/>
          <w:rFonts w:ascii="Book Antiqua" w:hAnsi="Book Antiqua"/>
          <w:b/>
          <w:bCs/>
          <w:sz w:val="24"/>
          <w:szCs w:val="24"/>
        </w:rPr>
        <w:t>with diverting loop ileostomy after colorectal surgery</w:t>
      </w:r>
    </w:p>
    <w:tbl>
      <w:tblPr>
        <w:tblStyle w:val="TableNormal1"/>
        <w:tblW w:w="9355" w:type="dxa"/>
        <w:tblInd w:w="216" w:type="dxa"/>
        <w:tblBorders>
          <w:top w:val="single" w:sz="4" w:space="0" w:color="auto"/>
          <w:bottom w:val="single" w:sz="4" w:space="0" w:color="auto"/>
        </w:tblBorders>
        <w:shd w:val="clear" w:color="auto" w:fill="CADFFF"/>
        <w:tblLayout w:type="fixed"/>
        <w:tblLook w:val="04A0" w:firstRow="1" w:lastRow="0" w:firstColumn="1" w:lastColumn="0" w:noHBand="0" w:noVBand="1"/>
      </w:tblPr>
      <w:tblGrid>
        <w:gridCol w:w="3675"/>
        <w:gridCol w:w="2100"/>
        <w:gridCol w:w="2242"/>
        <w:gridCol w:w="1338"/>
      </w:tblGrid>
      <w:tr w:rsidR="0007436B" w:rsidRPr="000946AD" w14:paraId="7A34CA60" w14:textId="77777777" w:rsidTr="007C52CF">
        <w:trPr>
          <w:trHeight w:val="905"/>
        </w:trPr>
        <w:tc>
          <w:tcPr>
            <w:tcW w:w="3675" w:type="dxa"/>
            <w:tcBorders>
              <w:top w:val="single" w:sz="4" w:space="0" w:color="auto"/>
              <w:bottom w:val="single" w:sz="4" w:space="0" w:color="auto"/>
            </w:tcBorders>
            <w:shd w:val="clear" w:color="auto" w:fill="auto"/>
            <w:tcMar>
              <w:top w:w="80" w:type="dxa"/>
              <w:left w:w="80" w:type="dxa"/>
              <w:bottom w:w="80" w:type="dxa"/>
              <w:right w:w="80" w:type="dxa"/>
            </w:tcMar>
          </w:tcPr>
          <w:p w14:paraId="715A8F44" w14:textId="77777777" w:rsidR="0007436B" w:rsidRPr="000946AD" w:rsidRDefault="0007436B" w:rsidP="00F45082">
            <w:pPr>
              <w:spacing w:line="360" w:lineRule="auto"/>
              <w:jc w:val="both"/>
              <w:rPr>
                <w:rFonts w:ascii="Book Antiqua" w:hAnsi="Book Antiqua"/>
              </w:rPr>
            </w:pPr>
          </w:p>
        </w:tc>
        <w:tc>
          <w:tcPr>
            <w:tcW w:w="2100" w:type="dxa"/>
            <w:tcBorders>
              <w:top w:val="single" w:sz="4" w:space="0" w:color="auto"/>
              <w:bottom w:val="single" w:sz="4" w:space="0" w:color="auto"/>
            </w:tcBorders>
            <w:shd w:val="clear" w:color="auto" w:fill="auto"/>
            <w:tcMar>
              <w:top w:w="80" w:type="dxa"/>
              <w:left w:w="80" w:type="dxa"/>
              <w:bottom w:w="80" w:type="dxa"/>
              <w:right w:w="80" w:type="dxa"/>
            </w:tcMar>
          </w:tcPr>
          <w:p w14:paraId="3A370D21"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N-HORC</w:t>
            </w:r>
          </w:p>
          <w:p w14:paraId="6CFF7457" w14:textId="6388E4A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w:t>
            </w:r>
            <w:r w:rsidR="007C52CF" w:rsidRPr="007C52CF">
              <w:rPr>
                <w:rStyle w:val="Ninguno"/>
                <w:rFonts w:ascii="Book Antiqua" w:hAnsi="Book Antiqua"/>
                <w:i/>
                <w:iCs/>
                <w:sz w:val="24"/>
                <w:szCs w:val="24"/>
              </w:rPr>
              <w:t>n =</w:t>
            </w:r>
            <w:r w:rsidRPr="000946AD">
              <w:rPr>
                <w:rStyle w:val="Ninguno"/>
                <w:rFonts w:ascii="Book Antiqua" w:hAnsi="Book Antiqua"/>
                <w:sz w:val="24"/>
                <w:szCs w:val="24"/>
              </w:rPr>
              <w:t xml:space="preserve"> 78)</w:t>
            </w:r>
          </w:p>
        </w:tc>
        <w:tc>
          <w:tcPr>
            <w:tcW w:w="2242" w:type="dxa"/>
            <w:tcBorders>
              <w:top w:val="single" w:sz="4" w:space="0" w:color="auto"/>
              <w:bottom w:val="single" w:sz="4" w:space="0" w:color="auto"/>
            </w:tcBorders>
            <w:shd w:val="clear" w:color="auto" w:fill="auto"/>
            <w:tcMar>
              <w:top w:w="80" w:type="dxa"/>
              <w:left w:w="80" w:type="dxa"/>
              <w:bottom w:w="80" w:type="dxa"/>
              <w:right w:w="80" w:type="dxa"/>
            </w:tcMar>
          </w:tcPr>
          <w:p w14:paraId="1F1F272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HORC</w:t>
            </w:r>
          </w:p>
          <w:p w14:paraId="092D5B89" w14:textId="6BCBFB8F"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w:t>
            </w:r>
            <w:r w:rsidR="007C52CF" w:rsidRPr="007C52CF">
              <w:rPr>
                <w:rStyle w:val="Ninguno"/>
                <w:rFonts w:ascii="Book Antiqua" w:hAnsi="Book Antiqua"/>
                <w:i/>
                <w:iCs/>
                <w:sz w:val="24"/>
                <w:szCs w:val="24"/>
              </w:rPr>
              <w:t>n =</w:t>
            </w:r>
            <w:r w:rsidRPr="000946AD">
              <w:rPr>
                <w:rStyle w:val="Ninguno"/>
                <w:rFonts w:ascii="Book Antiqua" w:hAnsi="Book Antiqua"/>
                <w:sz w:val="24"/>
                <w:szCs w:val="24"/>
              </w:rPr>
              <w:t xml:space="preserve"> 24)</w:t>
            </w:r>
          </w:p>
        </w:tc>
        <w:tc>
          <w:tcPr>
            <w:tcW w:w="1338" w:type="dxa"/>
            <w:tcBorders>
              <w:top w:val="single" w:sz="4" w:space="0" w:color="auto"/>
              <w:bottom w:val="single" w:sz="4" w:space="0" w:color="auto"/>
            </w:tcBorders>
            <w:shd w:val="clear" w:color="auto" w:fill="auto"/>
            <w:tcMar>
              <w:top w:w="80" w:type="dxa"/>
              <w:left w:w="80" w:type="dxa"/>
              <w:bottom w:w="80" w:type="dxa"/>
              <w:right w:w="80" w:type="dxa"/>
            </w:tcMar>
          </w:tcPr>
          <w:p w14:paraId="2C1D46E0" w14:textId="77777777" w:rsidR="0007436B" w:rsidRPr="000946AD" w:rsidRDefault="00761145" w:rsidP="00F45082">
            <w:pPr>
              <w:pStyle w:val="Estilodetabla2A"/>
              <w:spacing w:line="360" w:lineRule="auto"/>
              <w:jc w:val="both"/>
              <w:rPr>
                <w:rFonts w:ascii="Book Antiqua" w:hAnsi="Book Antiqua"/>
                <w:sz w:val="24"/>
                <w:szCs w:val="24"/>
              </w:rPr>
            </w:pPr>
            <w:r w:rsidRPr="007C52CF">
              <w:rPr>
                <w:rStyle w:val="Ninguno"/>
                <w:rFonts w:ascii="Book Antiqua" w:hAnsi="Book Antiqua"/>
                <w:i/>
                <w:iCs/>
                <w:sz w:val="24"/>
                <w:szCs w:val="24"/>
              </w:rPr>
              <w:t>P</w:t>
            </w:r>
            <w:r w:rsidRPr="000946AD">
              <w:rPr>
                <w:rStyle w:val="Ninguno"/>
                <w:rFonts w:ascii="Book Antiqua" w:hAnsi="Book Antiqua"/>
                <w:sz w:val="24"/>
                <w:szCs w:val="24"/>
              </w:rPr>
              <w:t xml:space="preserve"> &lt; 0.05</w:t>
            </w:r>
          </w:p>
        </w:tc>
      </w:tr>
      <w:tr w:rsidR="0007436B" w:rsidRPr="000946AD" w14:paraId="6D2A4FD9" w14:textId="77777777" w:rsidTr="007C52CF">
        <w:trPr>
          <w:trHeight w:val="1125"/>
        </w:trPr>
        <w:tc>
          <w:tcPr>
            <w:tcW w:w="3675" w:type="dxa"/>
            <w:tcBorders>
              <w:top w:val="single" w:sz="4" w:space="0" w:color="auto"/>
            </w:tcBorders>
            <w:shd w:val="clear" w:color="auto" w:fill="auto"/>
            <w:tcMar>
              <w:top w:w="80" w:type="dxa"/>
              <w:left w:w="80" w:type="dxa"/>
              <w:bottom w:w="80" w:type="dxa"/>
              <w:right w:w="80" w:type="dxa"/>
            </w:tcMar>
          </w:tcPr>
          <w:p w14:paraId="5644BE4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Sex</w:t>
            </w:r>
          </w:p>
          <w:p w14:paraId="2643CDB5"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Female</w:t>
            </w:r>
          </w:p>
          <w:p w14:paraId="1237698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Male</w:t>
            </w:r>
          </w:p>
        </w:tc>
        <w:tc>
          <w:tcPr>
            <w:tcW w:w="2100" w:type="dxa"/>
            <w:tcBorders>
              <w:top w:val="single" w:sz="4" w:space="0" w:color="auto"/>
            </w:tcBorders>
            <w:shd w:val="clear" w:color="auto" w:fill="auto"/>
            <w:tcMar>
              <w:top w:w="80" w:type="dxa"/>
              <w:left w:w="80" w:type="dxa"/>
              <w:bottom w:w="80" w:type="dxa"/>
              <w:right w:w="80" w:type="dxa"/>
            </w:tcMar>
          </w:tcPr>
          <w:p w14:paraId="72D8328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B17B17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40 (51.3)</w:t>
            </w:r>
          </w:p>
          <w:p w14:paraId="06FF500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38 (48.7)</w:t>
            </w:r>
          </w:p>
        </w:tc>
        <w:tc>
          <w:tcPr>
            <w:tcW w:w="2242" w:type="dxa"/>
            <w:tcBorders>
              <w:top w:val="single" w:sz="4" w:space="0" w:color="auto"/>
            </w:tcBorders>
            <w:shd w:val="clear" w:color="auto" w:fill="auto"/>
            <w:tcMar>
              <w:top w:w="80" w:type="dxa"/>
              <w:left w:w="80" w:type="dxa"/>
              <w:bottom w:w="80" w:type="dxa"/>
              <w:right w:w="80" w:type="dxa"/>
            </w:tcMar>
          </w:tcPr>
          <w:p w14:paraId="0BAE393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5D5EBEA"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12 (50)</w:t>
            </w:r>
          </w:p>
          <w:p w14:paraId="6AC8504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12 (50)</w:t>
            </w:r>
          </w:p>
        </w:tc>
        <w:tc>
          <w:tcPr>
            <w:tcW w:w="1338" w:type="dxa"/>
            <w:tcBorders>
              <w:top w:val="single" w:sz="4" w:space="0" w:color="auto"/>
            </w:tcBorders>
            <w:shd w:val="clear" w:color="auto" w:fill="auto"/>
            <w:tcMar>
              <w:top w:w="80" w:type="dxa"/>
              <w:left w:w="80" w:type="dxa"/>
              <w:bottom w:w="80" w:type="dxa"/>
              <w:right w:w="80" w:type="dxa"/>
            </w:tcMar>
          </w:tcPr>
          <w:p w14:paraId="21BD1062"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0.913</w:t>
            </w:r>
          </w:p>
        </w:tc>
      </w:tr>
      <w:tr w:rsidR="0007436B" w:rsidRPr="000946AD" w14:paraId="503BC42D" w14:textId="77777777" w:rsidTr="007C52CF">
        <w:trPr>
          <w:trHeight w:val="1125"/>
        </w:trPr>
        <w:tc>
          <w:tcPr>
            <w:tcW w:w="3675" w:type="dxa"/>
            <w:shd w:val="clear" w:color="auto" w:fill="auto"/>
            <w:tcMar>
              <w:top w:w="80" w:type="dxa"/>
              <w:left w:w="80" w:type="dxa"/>
              <w:bottom w:w="80" w:type="dxa"/>
              <w:right w:w="80" w:type="dxa"/>
            </w:tcMar>
          </w:tcPr>
          <w:p w14:paraId="0B462648"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Age,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1D3741BE" w14:textId="1808C2E9"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&lt;</w:t>
            </w:r>
            <w:r w:rsidR="007C52CF">
              <w:rPr>
                <w:rStyle w:val="Ninguno"/>
                <w:rFonts w:ascii="Book Antiqua" w:hAnsi="Book Antiqua"/>
                <w:sz w:val="24"/>
                <w:szCs w:val="24"/>
              </w:rPr>
              <w:t xml:space="preserve"> </w:t>
            </w:r>
            <w:r w:rsidRPr="000946AD">
              <w:rPr>
                <w:rStyle w:val="Ninguno"/>
                <w:rFonts w:ascii="Book Antiqua" w:hAnsi="Book Antiqua"/>
                <w:sz w:val="24"/>
                <w:szCs w:val="24"/>
              </w:rPr>
              <w:t>59 y</w:t>
            </w:r>
            <w:r w:rsidR="007C52CF">
              <w:rPr>
                <w:rStyle w:val="Ninguno"/>
                <w:rFonts w:ascii="Book Antiqua" w:hAnsi="Book Antiqua"/>
                <w:sz w:val="24"/>
                <w:szCs w:val="24"/>
              </w:rPr>
              <w:t>r</w:t>
            </w:r>
          </w:p>
          <w:p w14:paraId="6BE1E898" w14:textId="232A1CFE" w:rsidR="0007436B" w:rsidRPr="000946AD" w:rsidRDefault="00761145" w:rsidP="00F45082">
            <w:pPr>
              <w:pStyle w:val="Estilodetabla2A"/>
              <w:spacing w:line="360" w:lineRule="auto"/>
              <w:ind w:firstLineChars="50" w:firstLine="120"/>
              <w:jc w:val="both"/>
              <w:rPr>
                <w:rFonts w:ascii="Book Antiqua" w:hAnsi="Book Antiqua"/>
                <w:sz w:val="24"/>
                <w:szCs w:val="24"/>
              </w:rPr>
            </w:pPr>
            <w:r w:rsidRPr="000946AD">
              <w:rPr>
                <w:rStyle w:val="Ninguno"/>
                <w:rFonts w:ascii="Book Antiqua" w:hAnsi="Book Antiqua"/>
                <w:sz w:val="24"/>
                <w:szCs w:val="24"/>
              </w:rPr>
              <w:t>≥</w:t>
            </w:r>
            <w:r w:rsidR="007C52CF">
              <w:rPr>
                <w:rStyle w:val="Ninguno"/>
                <w:rFonts w:ascii="Book Antiqua" w:hAnsi="Book Antiqua"/>
                <w:sz w:val="24"/>
                <w:szCs w:val="24"/>
              </w:rPr>
              <w:t xml:space="preserve"> </w:t>
            </w:r>
            <w:r w:rsidRPr="000946AD">
              <w:rPr>
                <w:rStyle w:val="Ninguno"/>
                <w:rFonts w:ascii="Book Antiqua" w:hAnsi="Book Antiqua"/>
                <w:sz w:val="24"/>
                <w:szCs w:val="24"/>
              </w:rPr>
              <w:t>60 y</w:t>
            </w:r>
            <w:r w:rsidR="007C52CF">
              <w:rPr>
                <w:rStyle w:val="Ninguno"/>
                <w:rFonts w:ascii="Book Antiqua" w:hAnsi="Book Antiqua"/>
                <w:sz w:val="24"/>
                <w:szCs w:val="24"/>
              </w:rPr>
              <w:t>r</w:t>
            </w:r>
          </w:p>
        </w:tc>
        <w:tc>
          <w:tcPr>
            <w:tcW w:w="2100" w:type="dxa"/>
            <w:shd w:val="clear" w:color="auto" w:fill="auto"/>
            <w:tcMar>
              <w:top w:w="80" w:type="dxa"/>
              <w:left w:w="80" w:type="dxa"/>
              <w:bottom w:w="80" w:type="dxa"/>
              <w:right w:w="80" w:type="dxa"/>
            </w:tcMar>
          </w:tcPr>
          <w:p w14:paraId="54A4EF80"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5684EB1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39 (50)</w:t>
            </w:r>
          </w:p>
          <w:p w14:paraId="443B0F1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39 (50)</w:t>
            </w:r>
          </w:p>
        </w:tc>
        <w:tc>
          <w:tcPr>
            <w:tcW w:w="2242" w:type="dxa"/>
            <w:shd w:val="clear" w:color="auto" w:fill="auto"/>
            <w:tcMar>
              <w:top w:w="80" w:type="dxa"/>
              <w:left w:w="80" w:type="dxa"/>
              <w:bottom w:w="80" w:type="dxa"/>
              <w:right w:w="80" w:type="dxa"/>
            </w:tcMar>
          </w:tcPr>
          <w:p w14:paraId="28BFDC3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37046E1"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14 (58.3)</w:t>
            </w:r>
          </w:p>
          <w:p w14:paraId="655C0D3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10 (41.7)</w:t>
            </w:r>
          </w:p>
        </w:tc>
        <w:tc>
          <w:tcPr>
            <w:tcW w:w="1338" w:type="dxa"/>
            <w:shd w:val="clear" w:color="auto" w:fill="auto"/>
            <w:tcMar>
              <w:top w:w="80" w:type="dxa"/>
              <w:left w:w="80" w:type="dxa"/>
              <w:bottom w:w="80" w:type="dxa"/>
              <w:right w:w="80" w:type="dxa"/>
            </w:tcMar>
          </w:tcPr>
          <w:p w14:paraId="1773CAE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0.475</w:t>
            </w:r>
          </w:p>
        </w:tc>
      </w:tr>
      <w:tr w:rsidR="0007436B" w:rsidRPr="000946AD" w14:paraId="074F1718" w14:textId="77777777" w:rsidTr="007C52CF">
        <w:trPr>
          <w:trHeight w:val="1125"/>
        </w:trPr>
        <w:tc>
          <w:tcPr>
            <w:tcW w:w="3675" w:type="dxa"/>
            <w:shd w:val="clear" w:color="auto" w:fill="auto"/>
            <w:tcMar>
              <w:top w:w="80" w:type="dxa"/>
              <w:left w:w="80" w:type="dxa"/>
              <w:bottom w:w="80" w:type="dxa"/>
              <w:right w:w="80" w:type="dxa"/>
            </w:tcMar>
          </w:tcPr>
          <w:p w14:paraId="1FE1DE6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BMI,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371D9FAF" w14:textId="21A70688"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&lt;</w:t>
            </w:r>
            <w:r w:rsidR="007C52CF">
              <w:rPr>
                <w:rStyle w:val="Ninguno"/>
                <w:rFonts w:ascii="Book Antiqua" w:hAnsi="Book Antiqua"/>
                <w:sz w:val="24"/>
                <w:szCs w:val="24"/>
              </w:rPr>
              <w:t xml:space="preserve"> </w:t>
            </w:r>
            <w:r w:rsidRPr="000946AD">
              <w:rPr>
                <w:rStyle w:val="Ninguno"/>
                <w:rFonts w:ascii="Book Antiqua" w:hAnsi="Book Antiqua"/>
                <w:sz w:val="24"/>
                <w:szCs w:val="24"/>
              </w:rPr>
              <w:t>29.9</w:t>
            </w:r>
          </w:p>
          <w:p w14:paraId="0683D1FF" w14:textId="1FB2431C"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30</w:t>
            </w:r>
          </w:p>
        </w:tc>
        <w:tc>
          <w:tcPr>
            <w:tcW w:w="2100" w:type="dxa"/>
            <w:shd w:val="clear" w:color="auto" w:fill="auto"/>
            <w:tcMar>
              <w:top w:w="80" w:type="dxa"/>
              <w:left w:w="80" w:type="dxa"/>
              <w:bottom w:w="80" w:type="dxa"/>
              <w:right w:w="80" w:type="dxa"/>
            </w:tcMar>
          </w:tcPr>
          <w:p w14:paraId="0A1BD9D0"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97FC08D"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72 (92.3)</w:t>
            </w:r>
          </w:p>
          <w:p w14:paraId="650ABFB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6 (7.7)</w:t>
            </w:r>
          </w:p>
        </w:tc>
        <w:tc>
          <w:tcPr>
            <w:tcW w:w="2242" w:type="dxa"/>
            <w:shd w:val="clear" w:color="auto" w:fill="auto"/>
            <w:tcMar>
              <w:top w:w="80" w:type="dxa"/>
              <w:left w:w="80" w:type="dxa"/>
              <w:bottom w:w="80" w:type="dxa"/>
              <w:right w:w="80" w:type="dxa"/>
            </w:tcMar>
          </w:tcPr>
          <w:p w14:paraId="68695E77"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D59E1A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22 (91.7)</w:t>
            </w:r>
          </w:p>
          <w:p w14:paraId="6C32CF7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 (8.3)</w:t>
            </w:r>
          </w:p>
        </w:tc>
        <w:tc>
          <w:tcPr>
            <w:tcW w:w="1338" w:type="dxa"/>
            <w:shd w:val="clear" w:color="auto" w:fill="auto"/>
            <w:tcMar>
              <w:top w:w="80" w:type="dxa"/>
              <w:left w:w="80" w:type="dxa"/>
              <w:bottom w:w="80" w:type="dxa"/>
              <w:right w:w="80" w:type="dxa"/>
            </w:tcMar>
          </w:tcPr>
          <w:p w14:paraId="744E9FA3"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0.919</w:t>
            </w:r>
          </w:p>
        </w:tc>
      </w:tr>
      <w:tr w:rsidR="0007436B" w:rsidRPr="000946AD" w14:paraId="3E61C41E" w14:textId="77777777" w:rsidTr="007C52CF">
        <w:trPr>
          <w:trHeight w:val="729"/>
        </w:trPr>
        <w:tc>
          <w:tcPr>
            <w:tcW w:w="3675" w:type="dxa"/>
            <w:shd w:val="clear" w:color="auto" w:fill="auto"/>
            <w:tcMar>
              <w:top w:w="80" w:type="dxa"/>
              <w:left w:w="80" w:type="dxa"/>
              <w:bottom w:w="80" w:type="dxa"/>
              <w:right w:w="80" w:type="dxa"/>
            </w:tcMar>
          </w:tcPr>
          <w:p w14:paraId="0035B65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Smoking,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27A0A0B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Yes</w:t>
            </w:r>
          </w:p>
        </w:tc>
        <w:tc>
          <w:tcPr>
            <w:tcW w:w="2100" w:type="dxa"/>
            <w:shd w:val="clear" w:color="auto" w:fill="auto"/>
            <w:tcMar>
              <w:top w:w="80" w:type="dxa"/>
              <w:left w:w="80" w:type="dxa"/>
              <w:bottom w:w="80" w:type="dxa"/>
              <w:right w:w="80" w:type="dxa"/>
            </w:tcMar>
          </w:tcPr>
          <w:p w14:paraId="58424B0C"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245E6E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30 (38.5)</w:t>
            </w:r>
          </w:p>
        </w:tc>
        <w:tc>
          <w:tcPr>
            <w:tcW w:w="2242" w:type="dxa"/>
            <w:shd w:val="clear" w:color="auto" w:fill="auto"/>
            <w:tcMar>
              <w:top w:w="80" w:type="dxa"/>
              <w:left w:w="80" w:type="dxa"/>
              <w:bottom w:w="80" w:type="dxa"/>
              <w:right w:w="80" w:type="dxa"/>
            </w:tcMar>
          </w:tcPr>
          <w:p w14:paraId="4EB8C43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14CAC6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10 (41.7)</w:t>
            </w:r>
          </w:p>
        </w:tc>
        <w:tc>
          <w:tcPr>
            <w:tcW w:w="1338" w:type="dxa"/>
            <w:shd w:val="clear" w:color="auto" w:fill="auto"/>
            <w:tcMar>
              <w:top w:w="80" w:type="dxa"/>
              <w:left w:w="80" w:type="dxa"/>
              <w:bottom w:w="80" w:type="dxa"/>
              <w:right w:w="80" w:type="dxa"/>
            </w:tcMar>
          </w:tcPr>
          <w:p w14:paraId="157ED94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0.779</w:t>
            </w:r>
          </w:p>
        </w:tc>
      </w:tr>
      <w:tr w:rsidR="0007436B" w:rsidRPr="000946AD" w14:paraId="75B818D6" w14:textId="77777777" w:rsidTr="007C52CF">
        <w:trPr>
          <w:trHeight w:val="729"/>
        </w:trPr>
        <w:tc>
          <w:tcPr>
            <w:tcW w:w="3675" w:type="dxa"/>
            <w:shd w:val="clear" w:color="auto" w:fill="auto"/>
            <w:tcMar>
              <w:top w:w="80" w:type="dxa"/>
              <w:left w:w="80" w:type="dxa"/>
              <w:bottom w:w="80" w:type="dxa"/>
              <w:right w:w="80" w:type="dxa"/>
            </w:tcMar>
          </w:tcPr>
          <w:p w14:paraId="47AD9880" w14:textId="4AE85D63"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Diabetes</w:t>
            </w:r>
            <w:r w:rsidR="007C52CF" w:rsidRPr="000946AD">
              <w:rPr>
                <w:rStyle w:val="Ninguno"/>
                <w:rFonts w:ascii="Book Antiqua" w:hAnsi="Book Antiqua"/>
                <w:sz w:val="24"/>
                <w:szCs w:val="24"/>
              </w:rPr>
              <w:t xml:space="preserve"> me</w:t>
            </w:r>
            <w:r w:rsidRPr="000946AD">
              <w:rPr>
                <w:rStyle w:val="Ninguno"/>
                <w:rFonts w:ascii="Book Antiqua" w:hAnsi="Book Antiqua"/>
                <w:sz w:val="24"/>
                <w:szCs w:val="24"/>
              </w:rPr>
              <w:t>llitus,</w:t>
            </w:r>
            <w:r w:rsidRPr="007C52CF">
              <w:rPr>
                <w:rStyle w:val="Ninguno"/>
                <w:rFonts w:ascii="Book Antiqua" w:hAnsi="Book Antiqua"/>
                <w:i/>
                <w:iCs/>
                <w:sz w:val="24"/>
                <w:szCs w:val="24"/>
              </w:rPr>
              <w:t xml:space="preserve"> n</w:t>
            </w:r>
            <w:r w:rsidRPr="000946AD">
              <w:rPr>
                <w:rStyle w:val="Ninguno"/>
                <w:rFonts w:ascii="Book Antiqua" w:hAnsi="Book Antiqua"/>
                <w:sz w:val="24"/>
                <w:szCs w:val="24"/>
              </w:rPr>
              <w:t xml:space="preserve"> (%)</w:t>
            </w:r>
          </w:p>
          <w:p w14:paraId="69C04C0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Yes</w:t>
            </w:r>
          </w:p>
        </w:tc>
        <w:tc>
          <w:tcPr>
            <w:tcW w:w="2100" w:type="dxa"/>
            <w:shd w:val="clear" w:color="auto" w:fill="auto"/>
            <w:tcMar>
              <w:top w:w="80" w:type="dxa"/>
              <w:left w:w="80" w:type="dxa"/>
              <w:bottom w:w="80" w:type="dxa"/>
              <w:right w:w="80" w:type="dxa"/>
            </w:tcMar>
          </w:tcPr>
          <w:p w14:paraId="1131871B"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418D32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11 (14.1)</w:t>
            </w:r>
          </w:p>
        </w:tc>
        <w:tc>
          <w:tcPr>
            <w:tcW w:w="2242" w:type="dxa"/>
            <w:shd w:val="clear" w:color="auto" w:fill="auto"/>
            <w:tcMar>
              <w:top w:w="80" w:type="dxa"/>
              <w:left w:w="80" w:type="dxa"/>
              <w:bottom w:w="80" w:type="dxa"/>
              <w:right w:w="80" w:type="dxa"/>
            </w:tcMar>
          </w:tcPr>
          <w:p w14:paraId="376854E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88F144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 (8.3)</w:t>
            </w:r>
          </w:p>
        </w:tc>
        <w:tc>
          <w:tcPr>
            <w:tcW w:w="1338" w:type="dxa"/>
            <w:shd w:val="clear" w:color="auto" w:fill="auto"/>
            <w:tcMar>
              <w:top w:w="80" w:type="dxa"/>
              <w:left w:w="80" w:type="dxa"/>
              <w:bottom w:w="80" w:type="dxa"/>
              <w:right w:w="80" w:type="dxa"/>
            </w:tcMar>
          </w:tcPr>
          <w:p w14:paraId="640A2EF3"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0.459</w:t>
            </w:r>
          </w:p>
        </w:tc>
      </w:tr>
      <w:tr w:rsidR="0007436B" w:rsidRPr="000946AD" w14:paraId="4EB7788B" w14:textId="77777777" w:rsidTr="007C52CF">
        <w:trPr>
          <w:trHeight w:val="729"/>
        </w:trPr>
        <w:tc>
          <w:tcPr>
            <w:tcW w:w="3675" w:type="dxa"/>
            <w:shd w:val="clear" w:color="auto" w:fill="auto"/>
            <w:tcMar>
              <w:top w:w="80" w:type="dxa"/>
              <w:left w:w="80" w:type="dxa"/>
              <w:bottom w:w="80" w:type="dxa"/>
              <w:right w:w="80" w:type="dxa"/>
            </w:tcMar>
          </w:tcPr>
          <w:p w14:paraId="329DAD8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Hypertension,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6617AB9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Yes</w:t>
            </w:r>
          </w:p>
        </w:tc>
        <w:tc>
          <w:tcPr>
            <w:tcW w:w="2100" w:type="dxa"/>
            <w:shd w:val="clear" w:color="auto" w:fill="auto"/>
            <w:tcMar>
              <w:top w:w="80" w:type="dxa"/>
              <w:left w:w="80" w:type="dxa"/>
              <w:bottom w:w="80" w:type="dxa"/>
              <w:right w:w="80" w:type="dxa"/>
            </w:tcMar>
          </w:tcPr>
          <w:p w14:paraId="351F0152"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182807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21 (26.9)</w:t>
            </w:r>
          </w:p>
        </w:tc>
        <w:tc>
          <w:tcPr>
            <w:tcW w:w="2242" w:type="dxa"/>
            <w:shd w:val="clear" w:color="auto" w:fill="auto"/>
            <w:tcMar>
              <w:top w:w="80" w:type="dxa"/>
              <w:left w:w="80" w:type="dxa"/>
              <w:bottom w:w="80" w:type="dxa"/>
              <w:right w:w="80" w:type="dxa"/>
            </w:tcMar>
          </w:tcPr>
          <w:p w14:paraId="0687B26C"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ED49482"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 (29.2)</w:t>
            </w:r>
          </w:p>
        </w:tc>
        <w:tc>
          <w:tcPr>
            <w:tcW w:w="1338" w:type="dxa"/>
            <w:shd w:val="clear" w:color="auto" w:fill="auto"/>
            <w:tcMar>
              <w:top w:w="80" w:type="dxa"/>
              <w:left w:w="80" w:type="dxa"/>
              <w:bottom w:w="80" w:type="dxa"/>
              <w:right w:w="80" w:type="dxa"/>
            </w:tcMar>
          </w:tcPr>
          <w:p w14:paraId="5C51F1D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0.829</w:t>
            </w:r>
          </w:p>
        </w:tc>
      </w:tr>
      <w:tr w:rsidR="0007436B" w:rsidRPr="000946AD" w14:paraId="6177D18B" w14:textId="77777777" w:rsidTr="007C52CF">
        <w:trPr>
          <w:trHeight w:val="1965"/>
        </w:trPr>
        <w:tc>
          <w:tcPr>
            <w:tcW w:w="3675" w:type="dxa"/>
            <w:shd w:val="clear" w:color="auto" w:fill="auto"/>
            <w:tcMar>
              <w:top w:w="80" w:type="dxa"/>
              <w:left w:w="80" w:type="dxa"/>
              <w:bottom w:w="80" w:type="dxa"/>
              <w:right w:w="80" w:type="dxa"/>
            </w:tcMar>
          </w:tcPr>
          <w:p w14:paraId="6F984DE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Charlson morbidity index </w:t>
            </w:r>
          </w:p>
          <w:p w14:paraId="40F175DA" w14:textId="4F5380E5"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0-1</w:t>
            </w:r>
          </w:p>
          <w:p w14:paraId="0A430B6F" w14:textId="5184BA8A"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2-3</w:t>
            </w:r>
          </w:p>
          <w:p w14:paraId="491A4FA1" w14:textId="6BF528CE"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4-5</w:t>
            </w:r>
          </w:p>
          <w:p w14:paraId="116DB712" w14:textId="15AFACBB"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w:t>
            </w:r>
            <w:r w:rsidR="007C52CF">
              <w:rPr>
                <w:rStyle w:val="Ninguno"/>
                <w:rFonts w:ascii="Book Antiqua" w:hAnsi="Book Antiqua"/>
                <w:sz w:val="24"/>
                <w:szCs w:val="24"/>
              </w:rPr>
              <w:t xml:space="preserve"> </w:t>
            </w:r>
            <w:r w:rsidRPr="000946AD">
              <w:rPr>
                <w:rStyle w:val="Ninguno"/>
                <w:rFonts w:ascii="Book Antiqua" w:hAnsi="Book Antiqua"/>
                <w:sz w:val="24"/>
                <w:szCs w:val="24"/>
              </w:rPr>
              <w:t>6</w:t>
            </w:r>
          </w:p>
        </w:tc>
        <w:tc>
          <w:tcPr>
            <w:tcW w:w="2100" w:type="dxa"/>
            <w:shd w:val="clear" w:color="auto" w:fill="auto"/>
            <w:tcMar>
              <w:top w:w="80" w:type="dxa"/>
              <w:left w:w="80" w:type="dxa"/>
              <w:bottom w:w="80" w:type="dxa"/>
              <w:right w:w="80" w:type="dxa"/>
            </w:tcMar>
          </w:tcPr>
          <w:p w14:paraId="3914F060"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3566D9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29 (37.2)</w:t>
            </w:r>
          </w:p>
          <w:p w14:paraId="55B7F89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25 (32.1)</w:t>
            </w:r>
          </w:p>
          <w:p w14:paraId="0DC8FA6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19 (24.4)</w:t>
            </w:r>
          </w:p>
          <w:p w14:paraId="723AD55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5 (6.4)</w:t>
            </w:r>
          </w:p>
        </w:tc>
        <w:tc>
          <w:tcPr>
            <w:tcW w:w="2242" w:type="dxa"/>
            <w:shd w:val="clear" w:color="auto" w:fill="auto"/>
            <w:tcMar>
              <w:top w:w="80" w:type="dxa"/>
              <w:left w:w="80" w:type="dxa"/>
              <w:bottom w:w="80" w:type="dxa"/>
              <w:right w:w="80" w:type="dxa"/>
            </w:tcMar>
          </w:tcPr>
          <w:p w14:paraId="56179D4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2FAC1C7"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9 (37.5)</w:t>
            </w:r>
          </w:p>
          <w:p w14:paraId="48E8E69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7 (29.2)</w:t>
            </w:r>
          </w:p>
          <w:p w14:paraId="29E29C3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6 (25)</w:t>
            </w:r>
          </w:p>
          <w:p w14:paraId="758F219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 (8.3)</w:t>
            </w:r>
          </w:p>
        </w:tc>
        <w:tc>
          <w:tcPr>
            <w:tcW w:w="1338" w:type="dxa"/>
            <w:shd w:val="clear" w:color="auto" w:fill="auto"/>
            <w:tcMar>
              <w:top w:w="80" w:type="dxa"/>
              <w:left w:w="80" w:type="dxa"/>
              <w:bottom w:w="80" w:type="dxa"/>
              <w:right w:w="80" w:type="dxa"/>
            </w:tcMar>
          </w:tcPr>
          <w:p w14:paraId="0F08D8F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0.985</w:t>
            </w:r>
          </w:p>
        </w:tc>
      </w:tr>
      <w:tr w:rsidR="0007436B" w:rsidRPr="000946AD" w14:paraId="0D69E65A" w14:textId="77777777" w:rsidTr="007C52CF">
        <w:trPr>
          <w:trHeight w:val="2385"/>
        </w:trPr>
        <w:tc>
          <w:tcPr>
            <w:tcW w:w="3675" w:type="dxa"/>
            <w:shd w:val="clear" w:color="auto" w:fill="auto"/>
            <w:tcMar>
              <w:top w:w="80" w:type="dxa"/>
              <w:left w:w="80" w:type="dxa"/>
              <w:bottom w:w="80" w:type="dxa"/>
              <w:right w:w="80" w:type="dxa"/>
            </w:tcMar>
          </w:tcPr>
          <w:p w14:paraId="4CAEB795"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Colorectal diagnosis,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 </w:t>
            </w:r>
          </w:p>
          <w:p w14:paraId="65C5B328" w14:textId="31B0C122"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Rectal </w:t>
            </w:r>
            <w:r w:rsidR="007C52CF" w:rsidRPr="000946AD">
              <w:rPr>
                <w:rStyle w:val="Ninguno"/>
                <w:rFonts w:ascii="Book Antiqua" w:hAnsi="Book Antiqua"/>
                <w:sz w:val="24"/>
                <w:szCs w:val="24"/>
              </w:rPr>
              <w:t>c</w:t>
            </w:r>
            <w:r w:rsidRPr="000946AD">
              <w:rPr>
                <w:rStyle w:val="Ninguno"/>
                <w:rFonts w:ascii="Book Antiqua" w:hAnsi="Book Antiqua"/>
                <w:sz w:val="24"/>
                <w:szCs w:val="24"/>
              </w:rPr>
              <w:t>ancer</w:t>
            </w:r>
          </w:p>
          <w:p w14:paraId="6C76F22D" w14:textId="64EDF7F6"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Colon </w:t>
            </w:r>
            <w:r w:rsidR="007C52CF" w:rsidRPr="000946AD">
              <w:rPr>
                <w:rStyle w:val="Ninguno"/>
                <w:rFonts w:ascii="Book Antiqua" w:hAnsi="Book Antiqua"/>
                <w:sz w:val="24"/>
                <w:szCs w:val="24"/>
              </w:rPr>
              <w:t>ca</w:t>
            </w:r>
            <w:r w:rsidRPr="000946AD">
              <w:rPr>
                <w:rStyle w:val="Ninguno"/>
                <w:rFonts w:ascii="Book Antiqua" w:hAnsi="Book Antiqua"/>
                <w:sz w:val="24"/>
                <w:szCs w:val="24"/>
              </w:rPr>
              <w:t>ncer</w:t>
            </w:r>
          </w:p>
          <w:p w14:paraId="2A3590B9" w14:textId="184E8491"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Ulcerative colitis </w:t>
            </w:r>
          </w:p>
          <w:p w14:paraId="63FDE418" w14:textId="17406D3E"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Diverticular </w:t>
            </w:r>
            <w:r w:rsidR="007C52CF" w:rsidRPr="000946AD">
              <w:rPr>
                <w:rStyle w:val="Ninguno"/>
                <w:rFonts w:ascii="Book Antiqua" w:hAnsi="Book Antiqua"/>
                <w:sz w:val="24"/>
                <w:szCs w:val="24"/>
              </w:rPr>
              <w:t>d</w:t>
            </w:r>
            <w:r w:rsidRPr="000946AD">
              <w:rPr>
                <w:rStyle w:val="Ninguno"/>
                <w:rFonts w:ascii="Book Antiqua" w:hAnsi="Book Antiqua"/>
                <w:sz w:val="24"/>
                <w:szCs w:val="24"/>
              </w:rPr>
              <w:t>isease</w:t>
            </w:r>
          </w:p>
          <w:p w14:paraId="1E245339" w14:textId="1DABB0B4"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FAP</w:t>
            </w:r>
          </w:p>
        </w:tc>
        <w:tc>
          <w:tcPr>
            <w:tcW w:w="2100" w:type="dxa"/>
            <w:shd w:val="clear" w:color="auto" w:fill="auto"/>
            <w:tcMar>
              <w:top w:w="80" w:type="dxa"/>
              <w:left w:w="80" w:type="dxa"/>
              <w:bottom w:w="80" w:type="dxa"/>
              <w:right w:w="80" w:type="dxa"/>
            </w:tcMar>
          </w:tcPr>
          <w:p w14:paraId="729977C3"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4946DAD"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33 (42.3)</w:t>
            </w:r>
          </w:p>
          <w:p w14:paraId="4D4046CF"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7 (9)</w:t>
            </w:r>
          </w:p>
          <w:p w14:paraId="35E95F8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5 (6.4)</w:t>
            </w:r>
          </w:p>
          <w:p w14:paraId="55034A5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24 (30.7)</w:t>
            </w:r>
          </w:p>
          <w:p w14:paraId="7A4896B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9 (11.6)</w:t>
            </w:r>
          </w:p>
        </w:tc>
        <w:tc>
          <w:tcPr>
            <w:tcW w:w="2242" w:type="dxa"/>
            <w:shd w:val="clear" w:color="auto" w:fill="auto"/>
            <w:tcMar>
              <w:top w:w="80" w:type="dxa"/>
              <w:left w:w="80" w:type="dxa"/>
              <w:bottom w:w="80" w:type="dxa"/>
              <w:right w:w="80" w:type="dxa"/>
            </w:tcMar>
          </w:tcPr>
          <w:p w14:paraId="4DCAEEE1"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D3B061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6 (25)</w:t>
            </w:r>
          </w:p>
          <w:p w14:paraId="5C650D0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3 (12.5)</w:t>
            </w:r>
          </w:p>
          <w:p w14:paraId="2BB17E6A"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6 (25)</w:t>
            </w:r>
          </w:p>
          <w:p w14:paraId="534B7D2D"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9 (37.5)</w:t>
            </w:r>
          </w:p>
          <w:p w14:paraId="120E0AE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0 </w:t>
            </w:r>
          </w:p>
        </w:tc>
        <w:tc>
          <w:tcPr>
            <w:tcW w:w="1338" w:type="dxa"/>
            <w:shd w:val="clear" w:color="auto" w:fill="auto"/>
            <w:tcMar>
              <w:top w:w="80" w:type="dxa"/>
              <w:left w:w="80" w:type="dxa"/>
              <w:bottom w:w="80" w:type="dxa"/>
              <w:right w:w="80" w:type="dxa"/>
            </w:tcMar>
          </w:tcPr>
          <w:p w14:paraId="3FC60F4C"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C45B15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0.127</w:t>
            </w:r>
          </w:p>
          <w:p w14:paraId="08B17BE7"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0.611</w:t>
            </w:r>
          </w:p>
          <w:p w14:paraId="1BEAF4DB"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0.010</w:t>
            </w:r>
          </w:p>
          <w:p w14:paraId="1FC04848"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0.537</w:t>
            </w:r>
          </w:p>
          <w:p w14:paraId="2EA1BA0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0.111</w:t>
            </w:r>
          </w:p>
        </w:tc>
      </w:tr>
      <w:tr w:rsidR="0007436B" w:rsidRPr="000946AD" w14:paraId="7702063C" w14:textId="77777777" w:rsidTr="007C52CF">
        <w:trPr>
          <w:trHeight w:val="1125"/>
        </w:trPr>
        <w:tc>
          <w:tcPr>
            <w:tcW w:w="3675" w:type="dxa"/>
            <w:shd w:val="clear" w:color="auto" w:fill="auto"/>
            <w:tcMar>
              <w:top w:w="80" w:type="dxa"/>
              <w:left w:w="80" w:type="dxa"/>
              <w:bottom w:w="80" w:type="dxa"/>
              <w:right w:w="80" w:type="dxa"/>
            </w:tcMar>
          </w:tcPr>
          <w:p w14:paraId="32B6B555"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Previous abdominal surgery,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26573EE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Yes </w:t>
            </w:r>
          </w:p>
        </w:tc>
        <w:tc>
          <w:tcPr>
            <w:tcW w:w="2100" w:type="dxa"/>
            <w:shd w:val="clear" w:color="auto" w:fill="auto"/>
            <w:tcMar>
              <w:top w:w="80" w:type="dxa"/>
              <w:left w:w="80" w:type="dxa"/>
              <w:bottom w:w="80" w:type="dxa"/>
              <w:right w:w="80" w:type="dxa"/>
            </w:tcMar>
          </w:tcPr>
          <w:p w14:paraId="7C158A52"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1685A8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14 (17.9)</w:t>
            </w:r>
          </w:p>
        </w:tc>
        <w:tc>
          <w:tcPr>
            <w:tcW w:w="2242" w:type="dxa"/>
            <w:shd w:val="clear" w:color="auto" w:fill="auto"/>
            <w:tcMar>
              <w:top w:w="80" w:type="dxa"/>
              <w:left w:w="80" w:type="dxa"/>
              <w:bottom w:w="80" w:type="dxa"/>
              <w:right w:w="80" w:type="dxa"/>
            </w:tcMar>
          </w:tcPr>
          <w:p w14:paraId="7B65FF3A"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2FD3C8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 (8.3)</w:t>
            </w:r>
          </w:p>
        </w:tc>
        <w:tc>
          <w:tcPr>
            <w:tcW w:w="1338" w:type="dxa"/>
            <w:shd w:val="clear" w:color="auto" w:fill="auto"/>
            <w:tcMar>
              <w:top w:w="80" w:type="dxa"/>
              <w:left w:w="80" w:type="dxa"/>
              <w:bottom w:w="80" w:type="dxa"/>
              <w:right w:w="80" w:type="dxa"/>
            </w:tcMar>
          </w:tcPr>
          <w:p w14:paraId="18079C4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0.257</w:t>
            </w:r>
          </w:p>
        </w:tc>
      </w:tr>
      <w:tr w:rsidR="0007436B" w:rsidRPr="000946AD" w14:paraId="29EA8AD9" w14:textId="77777777" w:rsidTr="007C52CF">
        <w:trPr>
          <w:trHeight w:val="2385"/>
        </w:trPr>
        <w:tc>
          <w:tcPr>
            <w:tcW w:w="3675" w:type="dxa"/>
            <w:shd w:val="clear" w:color="auto" w:fill="auto"/>
            <w:tcMar>
              <w:top w:w="80" w:type="dxa"/>
              <w:left w:w="80" w:type="dxa"/>
              <w:bottom w:w="80" w:type="dxa"/>
              <w:right w:w="80" w:type="dxa"/>
            </w:tcMar>
          </w:tcPr>
          <w:p w14:paraId="23B6147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Previous Treatments,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 </w:t>
            </w:r>
          </w:p>
          <w:p w14:paraId="1B3C365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Steroids</w:t>
            </w:r>
          </w:p>
          <w:p w14:paraId="6FFE171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Immunomodulator</w:t>
            </w:r>
          </w:p>
          <w:p w14:paraId="01C821D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Biologics (anti-TNF)</w:t>
            </w:r>
          </w:p>
          <w:p w14:paraId="75C6611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Radiotherapy</w:t>
            </w:r>
          </w:p>
          <w:p w14:paraId="568857A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Chemotherapy</w:t>
            </w:r>
          </w:p>
        </w:tc>
        <w:tc>
          <w:tcPr>
            <w:tcW w:w="2100" w:type="dxa"/>
            <w:shd w:val="clear" w:color="auto" w:fill="auto"/>
            <w:tcMar>
              <w:top w:w="80" w:type="dxa"/>
              <w:left w:w="80" w:type="dxa"/>
              <w:bottom w:w="80" w:type="dxa"/>
              <w:right w:w="80" w:type="dxa"/>
            </w:tcMar>
          </w:tcPr>
          <w:p w14:paraId="4796679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012181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8 (10.3)</w:t>
            </w:r>
          </w:p>
          <w:p w14:paraId="01327E87"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 (2.6)</w:t>
            </w:r>
          </w:p>
          <w:p w14:paraId="092CAAA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 (1.3)</w:t>
            </w:r>
          </w:p>
          <w:p w14:paraId="119AB510"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28 (35.9)</w:t>
            </w:r>
          </w:p>
          <w:p w14:paraId="7720EC3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33 (42.3)</w:t>
            </w:r>
          </w:p>
        </w:tc>
        <w:tc>
          <w:tcPr>
            <w:tcW w:w="2242" w:type="dxa"/>
            <w:shd w:val="clear" w:color="auto" w:fill="auto"/>
            <w:tcMar>
              <w:top w:w="80" w:type="dxa"/>
              <w:left w:w="80" w:type="dxa"/>
              <w:bottom w:w="80" w:type="dxa"/>
              <w:right w:w="80" w:type="dxa"/>
            </w:tcMar>
          </w:tcPr>
          <w:p w14:paraId="45138B9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9DEA3D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8 (33.3)</w:t>
            </w:r>
          </w:p>
          <w:p w14:paraId="0D3FC78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3 (12.5)</w:t>
            </w:r>
          </w:p>
          <w:p w14:paraId="62D6FCEE"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 (8.3)</w:t>
            </w:r>
          </w:p>
          <w:p w14:paraId="6CB223B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6 (25)</w:t>
            </w:r>
          </w:p>
          <w:p w14:paraId="0910AA2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 (29.2)</w:t>
            </w:r>
          </w:p>
        </w:tc>
        <w:tc>
          <w:tcPr>
            <w:tcW w:w="1338" w:type="dxa"/>
            <w:shd w:val="clear" w:color="auto" w:fill="auto"/>
            <w:tcMar>
              <w:top w:w="80" w:type="dxa"/>
              <w:left w:w="80" w:type="dxa"/>
              <w:bottom w:w="80" w:type="dxa"/>
              <w:right w:w="80" w:type="dxa"/>
            </w:tcMar>
          </w:tcPr>
          <w:p w14:paraId="5F5C5416"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412B97D"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0.007</w:t>
            </w:r>
          </w:p>
          <w:p w14:paraId="0D62E70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0.049</w:t>
            </w:r>
          </w:p>
          <w:p w14:paraId="2645995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0.074</w:t>
            </w:r>
          </w:p>
          <w:p w14:paraId="57184F0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0.322</w:t>
            </w:r>
          </w:p>
          <w:p w14:paraId="5A9BE69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0.249</w:t>
            </w:r>
          </w:p>
        </w:tc>
      </w:tr>
      <w:tr w:rsidR="0007436B" w:rsidRPr="000946AD" w14:paraId="5F8B2B52" w14:textId="77777777" w:rsidTr="007C52CF">
        <w:trPr>
          <w:trHeight w:val="1125"/>
        </w:trPr>
        <w:tc>
          <w:tcPr>
            <w:tcW w:w="3675" w:type="dxa"/>
            <w:shd w:val="clear" w:color="auto" w:fill="auto"/>
            <w:tcMar>
              <w:top w:w="80" w:type="dxa"/>
              <w:left w:w="80" w:type="dxa"/>
              <w:bottom w:w="80" w:type="dxa"/>
              <w:right w:w="80" w:type="dxa"/>
            </w:tcMar>
          </w:tcPr>
          <w:p w14:paraId="25DD65B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Index surgery,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399346B7"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Elective</w:t>
            </w:r>
          </w:p>
          <w:p w14:paraId="620CA74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Urgent </w:t>
            </w:r>
          </w:p>
        </w:tc>
        <w:tc>
          <w:tcPr>
            <w:tcW w:w="2100" w:type="dxa"/>
            <w:shd w:val="clear" w:color="auto" w:fill="auto"/>
            <w:tcMar>
              <w:top w:w="80" w:type="dxa"/>
              <w:left w:w="80" w:type="dxa"/>
              <w:bottom w:w="80" w:type="dxa"/>
              <w:right w:w="80" w:type="dxa"/>
            </w:tcMar>
          </w:tcPr>
          <w:p w14:paraId="1A7A55F7"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240B248"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59 (75.6)</w:t>
            </w:r>
          </w:p>
          <w:p w14:paraId="67044DE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19 (24.4)</w:t>
            </w:r>
          </w:p>
        </w:tc>
        <w:tc>
          <w:tcPr>
            <w:tcW w:w="2242" w:type="dxa"/>
            <w:shd w:val="clear" w:color="auto" w:fill="auto"/>
            <w:tcMar>
              <w:top w:w="80" w:type="dxa"/>
              <w:left w:w="80" w:type="dxa"/>
              <w:bottom w:w="80" w:type="dxa"/>
              <w:right w:w="80" w:type="dxa"/>
            </w:tcMar>
          </w:tcPr>
          <w:p w14:paraId="2B2E2171"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3C5A33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13 (54.2)</w:t>
            </w:r>
          </w:p>
          <w:p w14:paraId="7012A96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11 (45.8)</w:t>
            </w:r>
          </w:p>
        </w:tc>
        <w:tc>
          <w:tcPr>
            <w:tcW w:w="1338" w:type="dxa"/>
            <w:shd w:val="clear" w:color="auto" w:fill="auto"/>
            <w:tcMar>
              <w:top w:w="80" w:type="dxa"/>
              <w:left w:w="80" w:type="dxa"/>
              <w:bottom w:w="80" w:type="dxa"/>
              <w:right w:w="80" w:type="dxa"/>
            </w:tcMar>
          </w:tcPr>
          <w:p w14:paraId="16F8BD8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0.078</w:t>
            </w:r>
          </w:p>
        </w:tc>
      </w:tr>
      <w:tr w:rsidR="0007436B" w:rsidRPr="000946AD" w14:paraId="1080601C" w14:textId="77777777" w:rsidTr="007C52CF">
        <w:trPr>
          <w:trHeight w:val="1205"/>
        </w:trPr>
        <w:tc>
          <w:tcPr>
            <w:tcW w:w="3675" w:type="dxa"/>
            <w:shd w:val="clear" w:color="auto" w:fill="auto"/>
            <w:tcMar>
              <w:top w:w="80" w:type="dxa"/>
              <w:left w:w="80" w:type="dxa"/>
              <w:bottom w:w="80" w:type="dxa"/>
              <w:right w:w="80" w:type="dxa"/>
            </w:tcMar>
          </w:tcPr>
          <w:p w14:paraId="7909D5BB"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Modality of index surgery,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09596B30"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Open</w:t>
            </w:r>
          </w:p>
          <w:p w14:paraId="4671B47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Laparoscopic </w:t>
            </w:r>
          </w:p>
        </w:tc>
        <w:tc>
          <w:tcPr>
            <w:tcW w:w="2100" w:type="dxa"/>
            <w:shd w:val="clear" w:color="auto" w:fill="auto"/>
            <w:tcMar>
              <w:top w:w="80" w:type="dxa"/>
              <w:left w:w="80" w:type="dxa"/>
              <w:bottom w:w="80" w:type="dxa"/>
              <w:right w:w="80" w:type="dxa"/>
            </w:tcMar>
          </w:tcPr>
          <w:p w14:paraId="13259453"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3B7EC20"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52 (66.7)</w:t>
            </w:r>
          </w:p>
          <w:p w14:paraId="61EA556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26 (33.3)</w:t>
            </w:r>
          </w:p>
        </w:tc>
        <w:tc>
          <w:tcPr>
            <w:tcW w:w="2242" w:type="dxa"/>
            <w:shd w:val="clear" w:color="auto" w:fill="auto"/>
            <w:tcMar>
              <w:top w:w="80" w:type="dxa"/>
              <w:left w:w="80" w:type="dxa"/>
              <w:bottom w:w="80" w:type="dxa"/>
              <w:right w:w="80" w:type="dxa"/>
            </w:tcMar>
          </w:tcPr>
          <w:p w14:paraId="75DB18B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15055E8"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19 (79.2)</w:t>
            </w:r>
          </w:p>
          <w:p w14:paraId="31FCAA4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5 (20.8)</w:t>
            </w:r>
          </w:p>
        </w:tc>
        <w:tc>
          <w:tcPr>
            <w:tcW w:w="1338" w:type="dxa"/>
            <w:shd w:val="clear" w:color="auto" w:fill="auto"/>
            <w:tcMar>
              <w:top w:w="80" w:type="dxa"/>
              <w:left w:w="80" w:type="dxa"/>
              <w:bottom w:w="80" w:type="dxa"/>
              <w:right w:w="80" w:type="dxa"/>
            </w:tcMar>
          </w:tcPr>
          <w:p w14:paraId="451D4F8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0.244</w:t>
            </w:r>
          </w:p>
        </w:tc>
      </w:tr>
      <w:tr w:rsidR="0007436B" w:rsidRPr="000946AD" w14:paraId="74DD8CC9" w14:textId="77777777" w:rsidTr="007C52CF">
        <w:trPr>
          <w:trHeight w:val="1125"/>
        </w:trPr>
        <w:tc>
          <w:tcPr>
            <w:tcW w:w="3675" w:type="dxa"/>
            <w:shd w:val="clear" w:color="auto" w:fill="auto"/>
            <w:tcMar>
              <w:top w:w="80" w:type="dxa"/>
              <w:left w:w="80" w:type="dxa"/>
              <w:bottom w:w="80" w:type="dxa"/>
              <w:right w:w="80" w:type="dxa"/>
            </w:tcMar>
          </w:tcPr>
          <w:p w14:paraId="27F3CDE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Complications after index surgery,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4F2E74C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Yes </w:t>
            </w:r>
          </w:p>
        </w:tc>
        <w:tc>
          <w:tcPr>
            <w:tcW w:w="2100" w:type="dxa"/>
            <w:shd w:val="clear" w:color="auto" w:fill="auto"/>
            <w:tcMar>
              <w:top w:w="80" w:type="dxa"/>
              <w:left w:w="80" w:type="dxa"/>
              <w:bottom w:w="80" w:type="dxa"/>
              <w:right w:w="80" w:type="dxa"/>
            </w:tcMar>
          </w:tcPr>
          <w:p w14:paraId="4441CA2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AF63E26"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43BAFFD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17 (21.8)</w:t>
            </w:r>
          </w:p>
        </w:tc>
        <w:tc>
          <w:tcPr>
            <w:tcW w:w="2242" w:type="dxa"/>
            <w:shd w:val="clear" w:color="auto" w:fill="auto"/>
            <w:tcMar>
              <w:top w:w="80" w:type="dxa"/>
              <w:left w:w="80" w:type="dxa"/>
              <w:bottom w:w="80" w:type="dxa"/>
              <w:right w:w="80" w:type="dxa"/>
            </w:tcMar>
          </w:tcPr>
          <w:p w14:paraId="77F49764"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D60C672"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4A9EBA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11 (45.8)</w:t>
            </w:r>
          </w:p>
        </w:tc>
        <w:tc>
          <w:tcPr>
            <w:tcW w:w="1338" w:type="dxa"/>
            <w:shd w:val="clear" w:color="auto" w:fill="auto"/>
            <w:tcMar>
              <w:top w:w="80" w:type="dxa"/>
              <w:left w:w="80" w:type="dxa"/>
              <w:bottom w:w="80" w:type="dxa"/>
              <w:right w:w="80" w:type="dxa"/>
            </w:tcMar>
          </w:tcPr>
          <w:p w14:paraId="05C1BF8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0.021</w:t>
            </w:r>
          </w:p>
        </w:tc>
      </w:tr>
      <w:tr w:rsidR="0007436B" w:rsidRPr="000946AD" w14:paraId="5CD78FF7" w14:textId="77777777" w:rsidTr="007C52CF">
        <w:trPr>
          <w:trHeight w:val="1125"/>
        </w:trPr>
        <w:tc>
          <w:tcPr>
            <w:tcW w:w="3675" w:type="dxa"/>
            <w:shd w:val="clear" w:color="auto" w:fill="auto"/>
            <w:tcMar>
              <w:top w:w="80" w:type="dxa"/>
              <w:left w:w="80" w:type="dxa"/>
              <w:bottom w:w="80" w:type="dxa"/>
              <w:right w:w="80" w:type="dxa"/>
            </w:tcMar>
          </w:tcPr>
          <w:p w14:paraId="726EE6B0"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Re-intervention after index surgery, </w:t>
            </w:r>
            <w:r w:rsidRPr="007C52CF">
              <w:rPr>
                <w:rStyle w:val="Ninguno"/>
                <w:rFonts w:ascii="Book Antiqua" w:hAnsi="Book Antiqua"/>
                <w:i/>
                <w:iCs/>
                <w:sz w:val="24"/>
                <w:szCs w:val="24"/>
              </w:rPr>
              <w:t xml:space="preserve">n </w:t>
            </w:r>
            <w:r w:rsidRPr="000946AD">
              <w:rPr>
                <w:rStyle w:val="Ninguno"/>
                <w:rFonts w:ascii="Book Antiqua" w:hAnsi="Book Antiqua"/>
                <w:sz w:val="24"/>
                <w:szCs w:val="24"/>
              </w:rPr>
              <w:t>(%)</w:t>
            </w:r>
          </w:p>
          <w:p w14:paraId="2394EEE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Yes  </w:t>
            </w:r>
          </w:p>
        </w:tc>
        <w:tc>
          <w:tcPr>
            <w:tcW w:w="2100" w:type="dxa"/>
            <w:shd w:val="clear" w:color="auto" w:fill="auto"/>
            <w:tcMar>
              <w:top w:w="80" w:type="dxa"/>
              <w:left w:w="80" w:type="dxa"/>
              <w:bottom w:w="80" w:type="dxa"/>
              <w:right w:w="80" w:type="dxa"/>
            </w:tcMar>
          </w:tcPr>
          <w:p w14:paraId="239D6B8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9331DEA"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90F8E3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13 (16.7)</w:t>
            </w:r>
          </w:p>
        </w:tc>
        <w:tc>
          <w:tcPr>
            <w:tcW w:w="2242" w:type="dxa"/>
            <w:shd w:val="clear" w:color="auto" w:fill="auto"/>
            <w:tcMar>
              <w:top w:w="80" w:type="dxa"/>
              <w:left w:w="80" w:type="dxa"/>
              <w:bottom w:w="80" w:type="dxa"/>
              <w:right w:w="80" w:type="dxa"/>
            </w:tcMar>
          </w:tcPr>
          <w:p w14:paraId="14CFEFFC"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83650C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6C54E3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 (29.2)</w:t>
            </w:r>
          </w:p>
        </w:tc>
        <w:tc>
          <w:tcPr>
            <w:tcW w:w="1338" w:type="dxa"/>
            <w:shd w:val="clear" w:color="auto" w:fill="auto"/>
            <w:tcMar>
              <w:top w:w="80" w:type="dxa"/>
              <w:left w:w="80" w:type="dxa"/>
              <w:bottom w:w="80" w:type="dxa"/>
              <w:right w:w="80" w:type="dxa"/>
            </w:tcMar>
          </w:tcPr>
          <w:p w14:paraId="7A5653B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0.177</w:t>
            </w:r>
          </w:p>
        </w:tc>
      </w:tr>
      <w:tr w:rsidR="0007436B" w:rsidRPr="000946AD" w14:paraId="4A64D7A6" w14:textId="77777777" w:rsidTr="007C52CF">
        <w:trPr>
          <w:trHeight w:val="1125"/>
        </w:trPr>
        <w:tc>
          <w:tcPr>
            <w:tcW w:w="3675" w:type="dxa"/>
            <w:shd w:val="clear" w:color="auto" w:fill="auto"/>
            <w:tcMar>
              <w:top w:w="80" w:type="dxa"/>
              <w:left w:w="80" w:type="dxa"/>
              <w:bottom w:w="80" w:type="dxa"/>
              <w:right w:w="80" w:type="dxa"/>
            </w:tcMar>
          </w:tcPr>
          <w:p w14:paraId="54BADEF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Ileostomy output at discharge,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200829E2" w14:textId="5E4A5C4E"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1000 mL</w:t>
            </w:r>
          </w:p>
        </w:tc>
        <w:tc>
          <w:tcPr>
            <w:tcW w:w="2100" w:type="dxa"/>
            <w:shd w:val="clear" w:color="auto" w:fill="auto"/>
            <w:tcMar>
              <w:top w:w="80" w:type="dxa"/>
              <w:left w:w="80" w:type="dxa"/>
              <w:bottom w:w="80" w:type="dxa"/>
              <w:right w:w="80" w:type="dxa"/>
            </w:tcMar>
          </w:tcPr>
          <w:p w14:paraId="743B8483"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A578562"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AA4DAB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21 (26.9)</w:t>
            </w:r>
          </w:p>
        </w:tc>
        <w:tc>
          <w:tcPr>
            <w:tcW w:w="2242" w:type="dxa"/>
            <w:shd w:val="clear" w:color="auto" w:fill="auto"/>
            <w:tcMar>
              <w:top w:w="80" w:type="dxa"/>
              <w:left w:w="80" w:type="dxa"/>
              <w:bottom w:w="80" w:type="dxa"/>
              <w:right w:w="80" w:type="dxa"/>
            </w:tcMar>
          </w:tcPr>
          <w:p w14:paraId="2168723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EF2244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A67C85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13 (54.2)</w:t>
            </w:r>
          </w:p>
        </w:tc>
        <w:tc>
          <w:tcPr>
            <w:tcW w:w="1338" w:type="dxa"/>
            <w:shd w:val="clear" w:color="auto" w:fill="auto"/>
            <w:tcMar>
              <w:top w:w="80" w:type="dxa"/>
              <w:left w:w="80" w:type="dxa"/>
              <w:bottom w:w="80" w:type="dxa"/>
              <w:right w:w="80" w:type="dxa"/>
            </w:tcMar>
          </w:tcPr>
          <w:p w14:paraId="2A7E4D3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0.013</w:t>
            </w:r>
          </w:p>
        </w:tc>
      </w:tr>
      <w:tr w:rsidR="0007436B" w:rsidRPr="000946AD" w14:paraId="1635EA84" w14:textId="77777777" w:rsidTr="007C52CF">
        <w:trPr>
          <w:trHeight w:val="1125"/>
        </w:trPr>
        <w:tc>
          <w:tcPr>
            <w:tcW w:w="3675" w:type="dxa"/>
            <w:shd w:val="clear" w:color="auto" w:fill="auto"/>
            <w:tcMar>
              <w:top w:w="80" w:type="dxa"/>
              <w:left w:w="80" w:type="dxa"/>
              <w:bottom w:w="80" w:type="dxa"/>
              <w:right w:w="80" w:type="dxa"/>
            </w:tcMar>
          </w:tcPr>
          <w:p w14:paraId="19B1DCA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Discharge with loperamide,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576A312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Yes</w:t>
            </w:r>
          </w:p>
        </w:tc>
        <w:tc>
          <w:tcPr>
            <w:tcW w:w="2100" w:type="dxa"/>
            <w:shd w:val="clear" w:color="auto" w:fill="auto"/>
            <w:tcMar>
              <w:top w:w="80" w:type="dxa"/>
              <w:left w:w="80" w:type="dxa"/>
              <w:bottom w:w="80" w:type="dxa"/>
              <w:right w:w="80" w:type="dxa"/>
            </w:tcMar>
          </w:tcPr>
          <w:p w14:paraId="1FED94FE"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879A19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29 (37.2)</w:t>
            </w:r>
          </w:p>
        </w:tc>
        <w:tc>
          <w:tcPr>
            <w:tcW w:w="2242" w:type="dxa"/>
            <w:shd w:val="clear" w:color="auto" w:fill="auto"/>
            <w:tcMar>
              <w:top w:w="80" w:type="dxa"/>
              <w:left w:w="80" w:type="dxa"/>
              <w:bottom w:w="80" w:type="dxa"/>
              <w:right w:w="80" w:type="dxa"/>
            </w:tcMar>
          </w:tcPr>
          <w:p w14:paraId="6D3955CD"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4B9D96F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15 (62.5)</w:t>
            </w:r>
          </w:p>
        </w:tc>
        <w:tc>
          <w:tcPr>
            <w:tcW w:w="1338" w:type="dxa"/>
            <w:shd w:val="clear" w:color="auto" w:fill="auto"/>
            <w:tcMar>
              <w:top w:w="80" w:type="dxa"/>
              <w:left w:w="80" w:type="dxa"/>
              <w:bottom w:w="80" w:type="dxa"/>
              <w:right w:w="80" w:type="dxa"/>
            </w:tcMar>
          </w:tcPr>
          <w:p w14:paraId="77B5D83F"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0.029</w:t>
            </w:r>
          </w:p>
        </w:tc>
      </w:tr>
      <w:tr w:rsidR="0007436B" w:rsidRPr="000946AD" w14:paraId="45D743B7" w14:textId="77777777" w:rsidTr="007C52CF">
        <w:trPr>
          <w:trHeight w:val="1545"/>
        </w:trPr>
        <w:tc>
          <w:tcPr>
            <w:tcW w:w="3675" w:type="dxa"/>
            <w:shd w:val="clear" w:color="auto" w:fill="auto"/>
            <w:tcMar>
              <w:top w:w="80" w:type="dxa"/>
              <w:left w:w="80" w:type="dxa"/>
              <w:bottom w:w="80" w:type="dxa"/>
              <w:right w:w="80" w:type="dxa"/>
            </w:tcMar>
          </w:tcPr>
          <w:p w14:paraId="2D7286B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Time until ileostomy closure,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1DA72699" w14:textId="37CE2103"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&lt;</w:t>
            </w:r>
            <w:r w:rsidR="007C52CF">
              <w:rPr>
                <w:rStyle w:val="Ninguno"/>
                <w:rFonts w:ascii="Book Antiqua" w:hAnsi="Book Antiqua"/>
                <w:sz w:val="24"/>
                <w:szCs w:val="24"/>
              </w:rPr>
              <w:t xml:space="preserve"> </w:t>
            </w:r>
            <w:r w:rsidRPr="000946AD">
              <w:rPr>
                <w:rStyle w:val="Ninguno"/>
                <w:rFonts w:ascii="Book Antiqua" w:hAnsi="Book Antiqua"/>
                <w:sz w:val="24"/>
                <w:szCs w:val="24"/>
              </w:rPr>
              <w:t>3 mo</w:t>
            </w:r>
          </w:p>
          <w:p w14:paraId="308088AF" w14:textId="79D539BE"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&gt;</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3 mo </w:t>
            </w:r>
          </w:p>
        </w:tc>
        <w:tc>
          <w:tcPr>
            <w:tcW w:w="2100" w:type="dxa"/>
            <w:shd w:val="clear" w:color="auto" w:fill="auto"/>
            <w:tcMar>
              <w:top w:w="80" w:type="dxa"/>
              <w:left w:w="80" w:type="dxa"/>
              <w:bottom w:w="80" w:type="dxa"/>
              <w:right w:w="80" w:type="dxa"/>
            </w:tcMar>
          </w:tcPr>
          <w:p w14:paraId="4E0877E4"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5EC494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9 (11.5)</w:t>
            </w:r>
          </w:p>
          <w:p w14:paraId="44C3443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69 (88.5)</w:t>
            </w:r>
          </w:p>
        </w:tc>
        <w:tc>
          <w:tcPr>
            <w:tcW w:w="2242" w:type="dxa"/>
            <w:shd w:val="clear" w:color="auto" w:fill="auto"/>
            <w:tcMar>
              <w:top w:w="80" w:type="dxa"/>
              <w:left w:w="80" w:type="dxa"/>
              <w:bottom w:w="80" w:type="dxa"/>
              <w:right w:w="80" w:type="dxa"/>
            </w:tcMar>
          </w:tcPr>
          <w:p w14:paraId="121DBB2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9A12BE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7 (29.2)</w:t>
            </w:r>
          </w:p>
          <w:p w14:paraId="571DC58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17 (70.8)</w:t>
            </w:r>
          </w:p>
        </w:tc>
        <w:tc>
          <w:tcPr>
            <w:tcW w:w="1338" w:type="dxa"/>
            <w:shd w:val="clear" w:color="auto" w:fill="auto"/>
            <w:tcMar>
              <w:top w:w="80" w:type="dxa"/>
              <w:left w:w="80" w:type="dxa"/>
              <w:bottom w:w="80" w:type="dxa"/>
              <w:right w:w="80" w:type="dxa"/>
            </w:tcMar>
          </w:tcPr>
          <w:p w14:paraId="2C2FEE5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0.038</w:t>
            </w:r>
          </w:p>
        </w:tc>
      </w:tr>
    </w:tbl>
    <w:p w14:paraId="45C63019" w14:textId="3B6F61E2" w:rsidR="0007436B" w:rsidRPr="000946AD" w:rsidRDefault="007C52CF" w:rsidP="00F45082">
      <w:pPr>
        <w:pStyle w:val="CuerpoA"/>
        <w:widowControl w:val="0"/>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N-HORC: Non-high output related complications group; HORC: High output related complications group; BMI: Body mass index; ASA: American Society of Anesthesiologists; IQR: Interquartile range</w:t>
      </w:r>
      <w:r>
        <w:rPr>
          <w:rStyle w:val="Ninguno"/>
          <w:rFonts w:ascii="Book Antiqua" w:hAnsi="Book Antiqua"/>
          <w:sz w:val="24"/>
          <w:szCs w:val="24"/>
        </w:rPr>
        <w:t>.</w:t>
      </w:r>
    </w:p>
    <w:p w14:paraId="5F3019A1"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53541A91"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50DDCFA0"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687320BD"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3BBD6EB"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6AE1F815" w14:textId="10193490" w:rsidR="0007436B" w:rsidRPr="007C52CF" w:rsidRDefault="007C52CF" w:rsidP="00F45082">
      <w:pPr>
        <w:pStyle w:val="CuerpoA"/>
        <w:spacing w:line="360" w:lineRule="auto"/>
        <w:jc w:val="both"/>
        <w:rPr>
          <w:rStyle w:val="Ninguno"/>
          <w:rFonts w:ascii="Book Antiqua" w:eastAsiaTheme="minorEastAsia" w:hAnsi="Book Antiqua" w:cs="Book Antiqua"/>
          <w:b/>
          <w:bCs/>
          <w:sz w:val="24"/>
          <w:szCs w:val="24"/>
        </w:rPr>
      </w:pPr>
      <w:r w:rsidRPr="000946AD">
        <w:rPr>
          <w:rStyle w:val="Ninguno"/>
          <w:rFonts w:ascii="Book Antiqua" w:hAnsi="Book Antiqua"/>
          <w:b/>
          <w:bCs/>
          <w:sz w:val="24"/>
          <w:szCs w:val="24"/>
        </w:rPr>
        <w:t>Table 2</w:t>
      </w:r>
      <w:r w:rsidRPr="007C52CF">
        <w:rPr>
          <w:rStyle w:val="Ninguno"/>
          <w:rFonts w:ascii="Book Antiqua" w:hAnsi="Book Antiqua"/>
          <w:b/>
          <w:bCs/>
          <w:sz w:val="24"/>
          <w:szCs w:val="24"/>
          <w:lang w:val="en-US"/>
        </w:rPr>
        <w:t xml:space="preserve"> Characteristics of patients</w:t>
      </w:r>
      <w:r w:rsidRPr="007C52CF">
        <w:rPr>
          <w:rStyle w:val="Ninguno"/>
          <w:rFonts w:ascii="Book Antiqua" w:hAnsi="Book Antiqua"/>
          <w:b/>
          <w:bCs/>
          <w:sz w:val="24"/>
          <w:szCs w:val="24"/>
        </w:rPr>
        <w:t xml:space="preserve"> with high output related complications (</w:t>
      </w:r>
      <w:r w:rsidR="00030F96" w:rsidRPr="00030F96">
        <w:rPr>
          <w:rStyle w:val="Ninguno"/>
          <w:rFonts w:ascii="Book Antiqua" w:hAnsi="Book Antiqua"/>
          <w:b/>
          <w:bCs/>
          <w:sz w:val="24"/>
          <w:szCs w:val="24"/>
        </w:rPr>
        <w:t xml:space="preserve">high-output-related complications </w:t>
      </w:r>
      <w:r w:rsidRPr="007C52CF">
        <w:rPr>
          <w:rStyle w:val="Ninguno"/>
          <w:rFonts w:ascii="Book Antiqua" w:hAnsi="Book Antiqua"/>
          <w:b/>
          <w:bCs/>
          <w:sz w:val="24"/>
          <w:szCs w:val="24"/>
        </w:rPr>
        <w:t>group)</w:t>
      </w:r>
    </w:p>
    <w:tbl>
      <w:tblPr>
        <w:tblStyle w:val="TableNormal1"/>
        <w:tblW w:w="8017" w:type="dxa"/>
        <w:tblInd w:w="216" w:type="dxa"/>
        <w:tblBorders>
          <w:top w:val="single" w:sz="4" w:space="0" w:color="auto"/>
          <w:bottom w:val="single" w:sz="4" w:space="0" w:color="auto"/>
        </w:tblBorders>
        <w:shd w:val="clear" w:color="auto" w:fill="CADFFF"/>
        <w:tblLayout w:type="fixed"/>
        <w:tblLook w:val="04A0" w:firstRow="1" w:lastRow="0" w:firstColumn="1" w:lastColumn="0" w:noHBand="0" w:noVBand="1"/>
      </w:tblPr>
      <w:tblGrid>
        <w:gridCol w:w="4922"/>
        <w:gridCol w:w="3095"/>
      </w:tblGrid>
      <w:tr w:rsidR="0007436B" w:rsidRPr="000946AD" w14:paraId="7A840765" w14:textId="77777777" w:rsidTr="00373B81">
        <w:trPr>
          <w:trHeight w:val="705"/>
        </w:trPr>
        <w:tc>
          <w:tcPr>
            <w:tcW w:w="4922" w:type="dxa"/>
            <w:tcBorders>
              <w:top w:val="single" w:sz="4" w:space="0" w:color="auto"/>
              <w:bottom w:val="single" w:sz="4" w:space="0" w:color="auto"/>
            </w:tcBorders>
            <w:shd w:val="clear" w:color="auto" w:fill="auto"/>
            <w:tcMar>
              <w:top w:w="80" w:type="dxa"/>
              <w:left w:w="80" w:type="dxa"/>
              <w:bottom w:w="80" w:type="dxa"/>
              <w:right w:w="80" w:type="dxa"/>
            </w:tcMar>
          </w:tcPr>
          <w:p w14:paraId="00C445C5" w14:textId="77777777" w:rsidR="0007436B" w:rsidRPr="000946AD" w:rsidRDefault="0007436B" w:rsidP="00F45082">
            <w:pPr>
              <w:spacing w:line="360" w:lineRule="auto"/>
              <w:jc w:val="both"/>
              <w:rPr>
                <w:rFonts w:ascii="Book Antiqua" w:hAnsi="Book Antiqua"/>
              </w:rPr>
            </w:pPr>
          </w:p>
        </w:tc>
        <w:tc>
          <w:tcPr>
            <w:tcW w:w="3095" w:type="dxa"/>
            <w:tcBorders>
              <w:top w:val="single" w:sz="4" w:space="0" w:color="auto"/>
              <w:bottom w:val="single" w:sz="4" w:space="0" w:color="auto"/>
            </w:tcBorders>
            <w:shd w:val="clear" w:color="auto" w:fill="auto"/>
            <w:tcMar>
              <w:top w:w="80" w:type="dxa"/>
              <w:left w:w="80" w:type="dxa"/>
              <w:bottom w:w="80" w:type="dxa"/>
              <w:right w:w="80" w:type="dxa"/>
            </w:tcMar>
          </w:tcPr>
          <w:p w14:paraId="04B547B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HORC group</w:t>
            </w:r>
          </w:p>
          <w:p w14:paraId="398D3DAE" w14:textId="0F2403C0"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w:t>
            </w:r>
            <w:r w:rsidR="007C52CF" w:rsidRPr="007C52CF">
              <w:rPr>
                <w:rStyle w:val="Ninguno"/>
                <w:rFonts w:ascii="Book Antiqua" w:hAnsi="Book Antiqua"/>
                <w:i/>
                <w:iCs/>
                <w:sz w:val="24"/>
                <w:szCs w:val="24"/>
              </w:rPr>
              <w:t>n =</w:t>
            </w:r>
            <w:r w:rsidRPr="000946AD">
              <w:rPr>
                <w:rStyle w:val="Ninguno"/>
                <w:rFonts w:ascii="Book Antiqua" w:hAnsi="Book Antiqua"/>
                <w:sz w:val="24"/>
                <w:szCs w:val="24"/>
              </w:rPr>
              <w:t xml:space="preserve"> 24)</w:t>
            </w:r>
          </w:p>
        </w:tc>
      </w:tr>
      <w:tr w:rsidR="0007436B" w:rsidRPr="000946AD" w14:paraId="2A2FAE2A" w14:textId="77777777" w:rsidTr="00373B81">
        <w:trPr>
          <w:trHeight w:val="729"/>
        </w:trPr>
        <w:tc>
          <w:tcPr>
            <w:tcW w:w="4922" w:type="dxa"/>
            <w:tcBorders>
              <w:top w:val="single" w:sz="4" w:space="0" w:color="auto"/>
            </w:tcBorders>
            <w:shd w:val="clear" w:color="auto" w:fill="auto"/>
            <w:tcMar>
              <w:top w:w="80" w:type="dxa"/>
              <w:left w:w="80" w:type="dxa"/>
              <w:bottom w:w="80" w:type="dxa"/>
              <w:right w:w="80" w:type="dxa"/>
            </w:tcMar>
          </w:tcPr>
          <w:p w14:paraId="361C9DB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Number of visits to the ED, mean (range)</w:t>
            </w:r>
          </w:p>
        </w:tc>
        <w:tc>
          <w:tcPr>
            <w:tcW w:w="3095" w:type="dxa"/>
            <w:tcBorders>
              <w:top w:val="single" w:sz="4" w:space="0" w:color="auto"/>
            </w:tcBorders>
            <w:shd w:val="clear" w:color="auto" w:fill="auto"/>
            <w:tcMar>
              <w:top w:w="80" w:type="dxa"/>
              <w:left w:w="80" w:type="dxa"/>
              <w:bottom w:w="80" w:type="dxa"/>
              <w:right w:w="80" w:type="dxa"/>
            </w:tcMar>
          </w:tcPr>
          <w:p w14:paraId="02DB17E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1.6 (1-4)</w:t>
            </w:r>
          </w:p>
        </w:tc>
      </w:tr>
      <w:tr w:rsidR="0007436B" w:rsidRPr="000946AD" w14:paraId="500DF9E3" w14:textId="77777777" w:rsidTr="00373B81">
        <w:trPr>
          <w:trHeight w:val="729"/>
        </w:trPr>
        <w:tc>
          <w:tcPr>
            <w:tcW w:w="4922" w:type="dxa"/>
            <w:shd w:val="clear" w:color="auto" w:fill="auto"/>
            <w:tcMar>
              <w:top w:w="80" w:type="dxa"/>
              <w:left w:w="80" w:type="dxa"/>
              <w:bottom w:w="80" w:type="dxa"/>
              <w:right w:w="80" w:type="dxa"/>
            </w:tcMar>
          </w:tcPr>
          <w:p w14:paraId="0239472C" w14:textId="13596D1E"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Time from index surgery to first visit to the ED (d), mean (range)</w:t>
            </w:r>
          </w:p>
        </w:tc>
        <w:tc>
          <w:tcPr>
            <w:tcW w:w="3095" w:type="dxa"/>
            <w:shd w:val="clear" w:color="auto" w:fill="auto"/>
            <w:tcMar>
              <w:top w:w="80" w:type="dxa"/>
              <w:left w:w="80" w:type="dxa"/>
              <w:bottom w:w="80" w:type="dxa"/>
              <w:right w:w="80" w:type="dxa"/>
            </w:tcMar>
          </w:tcPr>
          <w:p w14:paraId="6A6C192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78.3 (3-360)</w:t>
            </w:r>
          </w:p>
        </w:tc>
      </w:tr>
      <w:tr w:rsidR="0007436B" w:rsidRPr="000946AD" w14:paraId="466B64C0" w14:textId="77777777" w:rsidTr="00373B81">
        <w:trPr>
          <w:trHeight w:val="729"/>
        </w:trPr>
        <w:tc>
          <w:tcPr>
            <w:tcW w:w="4922" w:type="dxa"/>
            <w:shd w:val="clear" w:color="auto" w:fill="auto"/>
            <w:tcMar>
              <w:top w:w="80" w:type="dxa"/>
              <w:left w:w="80" w:type="dxa"/>
              <w:bottom w:w="80" w:type="dxa"/>
              <w:right w:w="80" w:type="dxa"/>
            </w:tcMar>
          </w:tcPr>
          <w:p w14:paraId="4338489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Number of readmissions to the hospital, mean (range)</w:t>
            </w:r>
          </w:p>
        </w:tc>
        <w:tc>
          <w:tcPr>
            <w:tcW w:w="3095" w:type="dxa"/>
            <w:shd w:val="clear" w:color="auto" w:fill="auto"/>
            <w:tcMar>
              <w:top w:w="80" w:type="dxa"/>
              <w:left w:w="80" w:type="dxa"/>
              <w:bottom w:w="80" w:type="dxa"/>
              <w:right w:w="80" w:type="dxa"/>
            </w:tcMar>
          </w:tcPr>
          <w:p w14:paraId="61459B8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 (1-2)</w:t>
            </w:r>
          </w:p>
        </w:tc>
      </w:tr>
      <w:tr w:rsidR="0007436B" w:rsidRPr="000946AD" w14:paraId="33B4EDB6" w14:textId="77777777" w:rsidTr="00373B81">
        <w:trPr>
          <w:trHeight w:val="1125"/>
        </w:trPr>
        <w:tc>
          <w:tcPr>
            <w:tcW w:w="4922" w:type="dxa"/>
            <w:shd w:val="clear" w:color="auto" w:fill="auto"/>
            <w:tcMar>
              <w:top w:w="80" w:type="dxa"/>
              <w:left w:w="80" w:type="dxa"/>
              <w:bottom w:w="80" w:type="dxa"/>
              <w:right w:w="80" w:type="dxa"/>
            </w:tcMar>
          </w:tcPr>
          <w:p w14:paraId="2104FF21"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Presentation with acute renal failure, </w:t>
            </w:r>
            <w:r w:rsidRPr="00373B81">
              <w:rPr>
                <w:rStyle w:val="Ninguno"/>
                <w:rFonts w:ascii="Book Antiqua" w:hAnsi="Book Antiqua"/>
                <w:i/>
                <w:iCs/>
                <w:sz w:val="24"/>
                <w:szCs w:val="24"/>
              </w:rPr>
              <w:t>n</w:t>
            </w:r>
            <w:r w:rsidRPr="000946AD">
              <w:rPr>
                <w:rStyle w:val="Ninguno"/>
                <w:rFonts w:ascii="Book Antiqua" w:hAnsi="Book Antiqua"/>
                <w:sz w:val="24"/>
                <w:szCs w:val="24"/>
              </w:rPr>
              <w:t xml:space="preserve"> (%)</w:t>
            </w:r>
          </w:p>
          <w:p w14:paraId="57BC659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Yes</w:t>
            </w:r>
          </w:p>
          <w:p w14:paraId="7192FC9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No</w:t>
            </w:r>
          </w:p>
        </w:tc>
        <w:tc>
          <w:tcPr>
            <w:tcW w:w="3095" w:type="dxa"/>
            <w:shd w:val="clear" w:color="auto" w:fill="auto"/>
            <w:tcMar>
              <w:top w:w="80" w:type="dxa"/>
              <w:left w:w="80" w:type="dxa"/>
              <w:bottom w:w="80" w:type="dxa"/>
              <w:right w:w="80" w:type="dxa"/>
            </w:tcMar>
          </w:tcPr>
          <w:p w14:paraId="2EF134C7"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6827CF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18 (75)</w:t>
            </w:r>
          </w:p>
          <w:p w14:paraId="07005B22"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6 (25)</w:t>
            </w:r>
          </w:p>
        </w:tc>
      </w:tr>
      <w:tr w:rsidR="0007436B" w:rsidRPr="000946AD" w14:paraId="469178CE" w14:textId="77777777" w:rsidTr="00373B81">
        <w:trPr>
          <w:trHeight w:val="1545"/>
        </w:trPr>
        <w:tc>
          <w:tcPr>
            <w:tcW w:w="4922" w:type="dxa"/>
            <w:shd w:val="clear" w:color="auto" w:fill="auto"/>
            <w:tcMar>
              <w:top w:w="80" w:type="dxa"/>
              <w:left w:w="80" w:type="dxa"/>
              <w:bottom w:w="80" w:type="dxa"/>
              <w:right w:w="80" w:type="dxa"/>
            </w:tcMar>
          </w:tcPr>
          <w:p w14:paraId="3F10281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Presentation with dehydration or electrolyte imbalances, </w:t>
            </w:r>
            <w:r w:rsidRPr="00373B81">
              <w:rPr>
                <w:rStyle w:val="Ninguno"/>
                <w:rFonts w:ascii="Book Antiqua" w:hAnsi="Book Antiqua"/>
                <w:i/>
                <w:iCs/>
                <w:sz w:val="24"/>
                <w:szCs w:val="24"/>
              </w:rPr>
              <w:t>n</w:t>
            </w:r>
            <w:r w:rsidRPr="000946AD">
              <w:rPr>
                <w:rStyle w:val="Ninguno"/>
                <w:rFonts w:ascii="Book Antiqua" w:hAnsi="Book Antiqua"/>
                <w:sz w:val="24"/>
                <w:szCs w:val="24"/>
              </w:rPr>
              <w:t xml:space="preserve"> (%)</w:t>
            </w:r>
          </w:p>
          <w:p w14:paraId="69DF1DC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Yes</w:t>
            </w:r>
          </w:p>
          <w:p w14:paraId="2F8614D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No </w:t>
            </w:r>
          </w:p>
        </w:tc>
        <w:tc>
          <w:tcPr>
            <w:tcW w:w="3095" w:type="dxa"/>
            <w:shd w:val="clear" w:color="auto" w:fill="auto"/>
            <w:tcMar>
              <w:top w:w="80" w:type="dxa"/>
              <w:left w:w="80" w:type="dxa"/>
              <w:bottom w:w="80" w:type="dxa"/>
              <w:right w:w="80" w:type="dxa"/>
            </w:tcMar>
          </w:tcPr>
          <w:p w14:paraId="45DA42C3"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14017B1"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2D9CDDE"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19 (79.2) </w:t>
            </w:r>
          </w:p>
          <w:p w14:paraId="28BBC56C"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5 (20.8)</w:t>
            </w:r>
          </w:p>
        </w:tc>
      </w:tr>
    </w:tbl>
    <w:p w14:paraId="20B1FBF2" w14:textId="08671859" w:rsidR="0007436B" w:rsidRPr="000946AD" w:rsidRDefault="00030F96" w:rsidP="00F45082">
      <w:pPr>
        <w:pStyle w:val="CuerpoA"/>
        <w:widowControl w:val="0"/>
        <w:spacing w:line="360" w:lineRule="auto"/>
        <w:ind w:hanging="108"/>
        <w:jc w:val="both"/>
        <w:rPr>
          <w:rStyle w:val="Ninguno"/>
          <w:rFonts w:ascii="Book Antiqua" w:eastAsia="Book Antiqua" w:hAnsi="Book Antiqua" w:cs="Book Antiqua"/>
          <w:sz w:val="24"/>
          <w:szCs w:val="24"/>
        </w:rPr>
      </w:pPr>
      <w:r w:rsidRPr="000946AD">
        <w:rPr>
          <w:rStyle w:val="Ninguno"/>
          <w:rFonts w:ascii="Book Antiqua" w:hAnsi="Book Antiqua"/>
          <w:sz w:val="24"/>
          <w:szCs w:val="24"/>
        </w:rPr>
        <w:t>HORC</w:t>
      </w:r>
      <w:r>
        <w:rPr>
          <w:rStyle w:val="Ninguno"/>
          <w:rFonts w:asciiTheme="minorEastAsia" w:eastAsiaTheme="minorEastAsia" w:hAnsiTheme="minorEastAsia" w:hint="eastAsia"/>
          <w:sz w:val="24"/>
          <w:szCs w:val="24"/>
        </w:rPr>
        <w:t>:</w:t>
      </w:r>
      <w:r w:rsidRPr="000946AD">
        <w:rPr>
          <w:rStyle w:val="Ninguno"/>
          <w:rFonts w:ascii="Book Antiqua" w:hAnsi="Book Antiqua"/>
          <w:sz w:val="24"/>
          <w:szCs w:val="24"/>
        </w:rPr>
        <w:t xml:space="preserve"> </w:t>
      </w:r>
      <w:r w:rsidRPr="00030F96">
        <w:rPr>
          <w:rStyle w:val="Ninguno"/>
          <w:rFonts w:ascii="Book Antiqua" w:hAnsi="Book Antiqua"/>
          <w:caps/>
          <w:sz w:val="24"/>
          <w:szCs w:val="24"/>
        </w:rPr>
        <w:t>h</w:t>
      </w:r>
      <w:r w:rsidRPr="00030F96">
        <w:rPr>
          <w:rStyle w:val="Ninguno"/>
          <w:rFonts w:ascii="Book Antiqua" w:hAnsi="Book Antiqua"/>
          <w:sz w:val="24"/>
          <w:szCs w:val="24"/>
        </w:rPr>
        <w:t>igh-output-related complications</w:t>
      </w:r>
      <w:r>
        <w:rPr>
          <w:rStyle w:val="Ninguno"/>
          <w:rFonts w:ascii="Book Antiqua" w:hAnsi="Book Antiqua"/>
          <w:sz w:val="24"/>
          <w:szCs w:val="24"/>
        </w:rPr>
        <w:t>;</w:t>
      </w:r>
      <w:r w:rsidRPr="00030F96">
        <w:rPr>
          <w:rStyle w:val="Ninguno"/>
          <w:rFonts w:ascii="Book Antiqua" w:hAnsi="Book Antiqua"/>
          <w:sz w:val="24"/>
          <w:szCs w:val="24"/>
        </w:rPr>
        <w:t xml:space="preserve"> </w:t>
      </w:r>
      <w:r w:rsidR="00373B81" w:rsidRPr="000946AD">
        <w:rPr>
          <w:rStyle w:val="Ninguno"/>
          <w:rFonts w:ascii="Book Antiqua" w:hAnsi="Book Antiqua"/>
          <w:sz w:val="24"/>
          <w:szCs w:val="24"/>
        </w:rPr>
        <w:t xml:space="preserve">ER: </w:t>
      </w:r>
      <w:r w:rsidR="00373B81" w:rsidRPr="00373B81">
        <w:rPr>
          <w:rStyle w:val="Ninguno"/>
          <w:rFonts w:ascii="Book Antiqua" w:hAnsi="Book Antiqua"/>
          <w:caps/>
          <w:sz w:val="24"/>
          <w:szCs w:val="24"/>
        </w:rPr>
        <w:t>e</w:t>
      </w:r>
      <w:r w:rsidR="00373B81" w:rsidRPr="000946AD">
        <w:rPr>
          <w:rStyle w:val="Ninguno"/>
          <w:rFonts w:ascii="Book Antiqua" w:hAnsi="Book Antiqua"/>
          <w:sz w:val="24"/>
          <w:szCs w:val="24"/>
        </w:rPr>
        <w:t>mergency department</w:t>
      </w:r>
      <w:r w:rsidR="00373B81">
        <w:rPr>
          <w:rStyle w:val="Ninguno"/>
          <w:rFonts w:ascii="Book Antiqua" w:hAnsi="Book Antiqua"/>
          <w:sz w:val="24"/>
          <w:szCs w:val="24"/>
        </w:rPr>
        <w:t xml:space="preserve">. </w:t>
      </w:r>
    </w:p>
    <w:p w14:paraId="671B3560"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19DB8223"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151C3F86" w14:textId="77777777" w:rsidR="0007436B" w:rsidRPr="00030F96" w:rsidRDefault="0007436B" w:rsidP="00F45082">
      <w:pPr>
        <w:pStyle w:val="CuerpoA"/>
        <w:spacing w:line="360" w:lineRule="auto"/>
        <w:jc w:val="both"/>
        <w:rPr>
          <w:rStyle w:val="Ninguno"/>
          <w:rFonts w:ascii="Book Antiqua" w:eastAsia="Book Antiqua" w:hAnsi="Book Antiqua" w:cs="Book Antiqua"/>
          <w:sz w:val="24"/>
          <w:szCs w:val="24"/>
        </w:rPr>
      </w:pPr>
    </w:p>
    <w:p w14:paraId="77BDC41A"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46192423"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4D8C34F2"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16D806C7"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7888B21E"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F262116"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50CD2316" w14:textId="7B2C62A1" w:rsidR="0007436B" w:rsidRPr="000946AD" w:rsidRDefault="009F661F"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Table 3</w:t>
      </w:r>
      <w:r>
        <w:rPr>
          <w:rStyle w:val="Ninguno"/>
          <w:rFonts w:ascii="Book Antiqua" w:hAnsi="Book Antiqua"/>
          <w:b/>
          <w:bCs/>
          <w:sz w:val="24"/>
          <w:szCs w:val="24"/>
        </w:rPr>
        <w:t xml:space="preserve"> </w:t>
      </w:r>
      <w:r w:rsidRPr="009F661F">
        <w:rPr>
          <w:rStyle w:val="Ninguno"/>
          <w:rFonts w:ascii="Book Antiqua" w:hAnsi="Book Antiqua"/>
          <w:b/>
          <w:bCs/>
          <w:sz w:val="24"/>
          <w:szCs w:val="24"/>
          <w:lang w:val="en-US"/>
        </w:rPr>
        <w:t xml:space="preserve">Univariate and multivariate analysis of </w:t>
      </w:r>
      <w:r w:rsidRPr="009F661F">
        <w:rPr>
          <w:rStyle w:val="Ninguno"/>
          <w:rFonts w:ascii="Book Antiqua" w:hAnsi="Book Antiqua"/>
          <w:b/>
          <w:bCs/>
          <w:sz w:val="24"/>
          <w:szCs w:val="24"/>
        </w:rPr>
        <w:t xml:space="preserve">clinical </w:t>
      </w:r>
      <w:r w:rsidRPr="009F661F">
        <w:rPr>
          <w:rStyle w:val="Ninguno"/>
          <w:rFonts w:ascii="Book Antiqua" w:hAnsi="Book Antiqua"/>
          <w:b/>
          <w:bCs/>
          <w:sz w:val="24"/>
          <w:szCs w:val="24"/>
          <w:lang w:val="en-US"/>
        </w:rPr>
        <w:t>factors associated with</w:t>
      </w:r>
      <w:r w:rsidRPr="009F661F">
        <w:rPr>
          <w:rStyle w:val="Ninguno"/>
          <w:rFonts w:ascii="Book Antiqua" w:hAnsi="Book Antiqua"/>
          <w:b/>
          <w:bCs/>
          <w:sz w:val="24"/>
          <w:szCs w:val="24"/>
        </w:rPr>
        <w:t xml:space="preserve"> high-output related complications (dehydration and acute renal failure)</w:t>
      </w:r>
    </w:p>
    <w:tbl>
      <w:tblPr>
        <w:tblStyle w:val="TableNormal1"/>
        <w:tblW w:w="9360" w:type="dxa"/>
        <w:tblInd w:w="216" w:type="dxa"/>
        <w:tblBorders>
          <w:top w:val="single" w:sz="4" w:space="0" w:color="auto"/>
          <w:bottom w:val="single" w:sz="4" w:space="0" w:color="auto"/>
        </w:tblBorders>
        <w:shd w:val="clear" w:color="auto" w:fill="CADFFF"/>
        <w:tblLayout w:type="fixed"/>
        <w:tblLook w:val="04A0" w:firstRow="1" w:lastRow="0" w:firstColumn="1" w:lastColumn="0" w:noHBand="0" w:noVBand="1"/>
      </w:tblPr>
      <w:tblGrid>
        <w:gridCol w:w="2872"/>
        <w:gridCol w:w="1897"/>
        <w:gridCol w:w="1109"/>
        <w:gridCol w:w="2402"/>
        <w:gridCol w:w="1080"/>
      </w:tblGrid>
      <w:tr w:rsidR="0019240A" w:rsidRPr="000946AD" w14:paraId="61F25529" w14:textId="77777777" w:rsidTr="00316D8B">
        <w:trPr>
          <w:trHeight w:val="305"/>
        </w:trPr>
        <w:tc>
          <w:tcPr>
            <w:tcW w:w="2872" w:type="dxa"/>
            <w:vMerge w:val="restart"/>
            <w:tcBorders>
              <w:top w:val="single" w:sz="4" w:space="0" w:color="auto"/>
            </w:tcBorders>
            <w:shd w:val="clear" w:color="auto" w:fill="auto"/>
            <w:tcMar>
              <w:top w:w="80" w:type="dxa"/>
              <w:left w:w="80" w:type="dxa"/>
              <w:bottom w:w="80" w:type="dxa"/>
              <w:right w:w="80" w:type="dxa"/>
            </w:tcMar>
          </w:tcPr>
          <w:p w14:paraId="08EE8169" w14:textId="5DD8A666"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Factors</w:t>
            </w:r>
          </w:p>
        </w:tc>
        <w:tc>
          <w:tcPr>
            <w:tcW w:w="3006"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40E75F81" w14:textId="77777777"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 xml:space="preserve">Univariate analysis </w:t>
            </w:r>
          </w:p>
        </w:tc>
        <w:tc>
          <w:tcPr>
            <w:tcW w:w="3482"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0747A0D9" w14:textId="77777777"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Multivariate analysis</w:t>
            </w:r>
          </w:p>
        </w:tc>
      </w:tr>
      <w:tr w:rsidR="0019240A" w:rsidRPr="000946AD" w14:paraId="246E2542" w14:textId="77777777" w:rsidTr="00316D8B">
        <w:trPr>
          <w:trHeight w:val="605"/>
        </w:trPr>
        <w:tc>
          <w:tcPr>
            <w:tcW w:w="2872" w:type="dxa"/>
            <w:vMerge/>
            <w:tcBorders>
              <w:bottom w:val="single" w:sz="4" w:space="0" w:color="auto"/>
            </w:tcBorders>
            <w:shd w:val="clear" w:color="auto" w:fill="auto"/>
            <w:tcMar>
              <w:top w:w="80" w:type="dxa"/>
              <w:left w:w="80" w:type="dxa"/>
              <w:bottom w:w="80" w:type="dxa"/>
              <w:right w:w="80" w:type="dxa"/>
            </w:tcMar>
          </w:tcPr>
          <w:p w14:paraId="28B9E5CE" w14:textId="4947AD85" w:rsidR="0019240A" w:rsidRPr="000946AD" w:rsidRDefault="0019240A" w:rsidP="00F45082">
            <w:pPr>
              <w:pStyle w:val="Estilodetabla2A"/>
              <w:spacing w:line="360" w:lineRule="auto"/>
              <w:jc w:val="both"/>
              <w:rPr>
                <w:rFonts w:ascii="Book Antiqua" w:hAnsi="Book Antiqua"/>
                <w:sz w:val="24"/>
                <w:szCs w:val="24"/>
              </w:rPr>
            </w:pPr>
          </w:p>
        </w:tc>
        <w:tc>
          <w:tcPr>
            <w:tcW w:w="1897" w:type="dxa"/>
            <w:tcBorders>
              <w:top w:val="single" w:sz="4" w:space="0" w:color="auto"/>
              <w:bottom w:val="single" w:sz="4" w:space="0" w:color="auto"/>
            </w:tcBorders>
            <w:shd w:val="clear" w:color="auto" w:fill="auto"/>
            <w:tcMar>
              <w:top w:w="80" w:type="dxa"/>
              <w:left w:w="80" w:type="dxa"/>
              <w:bottom w:w="80" w:type="dxa"/>
              <w:right w:w="80" w:type="dxa"/>
            </w:tcMar>
          </w:tcPr>
          <w:p w14:paraId="7EB1D67D" w14:textId="2CCC1764"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OR (95%CI)</w:t>
            </w:r>
          </w:p>
        </w:tc>
        <w:tc>
          <w:tcPr>
            <w:tcW w:w="1109" w:type="dxa"/>
            <w:tcBorders>
              <w:top w:val="single" w:sz="4" w:space="0" w:color="auto"/>
              <w:bottom w:val="single" w:sz="4" w:space="0" w:color="auto"/>
            </w:tcBorders>
            <w:shd w:val="clear" w:color="auto" w:fill="auto"/>
            <w:tcMar>
              <w:top w:w="80" w:type="dxa"/>
              <w:left w:w="80" w:type="dxa"/>
              <w:bottom w:w="80" w:type="dxa"/>
              <w:right w:w="80" w:type="dxa"/>
            </w:tcMar>
          </w:tcPr>
          <w:p w14:paraId="077E84A1" w14:textId="77777777" w:rsidR="0019240A" w:rsidRPr="000946AD" w:rsidRDefault="0019240A" w:rsidP="00F45082">
            <w:pPr>
              <w:pStyle w:val="Estilodetabla2A"/>
              <w:spacing w:line="360" w:lineRule="auto"/>
              <w:jc w:val="both"/>
              <w:rPr>
                <w:rFonts w:ascii="Book Antiqua" w:hAnsi="Book Antiqua"/>
                <w:sz w:val="24"/>
                <w:szCs w:val="24"/>
              </w:rPr>
            </w:pPr>
            <w:r w:rsidRPr="0019240A">
              <w:rPr>
                <w:rStyle w:val="Ninguno"/>
                <w:rFonts w:ascii="Book Antiqua" w:hAnsi="Book Antiqua"/>
                <w:b/>
                <w:bCs/>
                <w:i/>
                <w:iCs/>
                <w:sz w:val="24"/>
                <w:szCs w:val="24"/>
              </w:rPr>
              <w:t>P</w:t>
            </w:r>
            <w:r w:rsidRPr="000946AD">
              <w:rPr>
                <w:rStyle w:val="Ninguno"/>
                <w:rFonts w:ascii="Book Antiqua" w:hAnsi="Book Antiqua"/>
                <w:b/>
                <w:bCs/>
                <w:sz w:val="24"/>
                <w:szCs w:val="24"/>
              </w:rPr>
              <w:t xml:space="preserve"> value </w:t>
            </w:r>
          </w:p>
        </w:tc>
        <w:tc>
          <w:tcPr>
            <w:tcW w:w="2402" w:type="dxa"/>
            <w:tcBorders>
              <w:top w:val="single" w:sz="4" w:space="0" w:color="auto"/>
              <w:bottom w:val="single" w:sz="4" w:space="0" w:color="auto"/>
            </w:tcBorders>
            <w:shd w:val="clear" w:color="auto" w:fill="auto"/>
            <w:tcMar>
              <w:top w:w="80" w:type="dxa"/>
              <w:left w:w="80" w:type="dxa"/>
              <w:bottom w:w="80" w:type="dxa"/>
              <w:right w:w="80" w:type="dxa"/>
            </w:tcMar>
          </w:tcPr>
          <w:p w14:paraId="1BB2DAD9" w14:textId="2CAA282D"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OR (95%CI)</w:t>
            </w:r>
          </w:p>
        </w:tc>
        <w:tc>
          <w:tcPr>
            <w:tcW w:w="1080" w:type="dxa"/>
            <w:tcBorders>
              <w:top w:val="single" w:sz="4" w:space="0" w:color="auto"/>
              <w:bottom w:val="single" w:sz="4" w:space="0" w:color="auto"/>
            </w:tcBorders>
            <w:shd w:val="clear" w:color="auto" w:fill="auto"/>
            <w:tcMar>
              <w:top w:w="80" w:type="dxa"/>
              <w:left w:w="80" w:type="dxa"/>
              <w:bottom w:w="80" w:type="dxa"/>
              <w:right w:w="80" w:type="dxa"/>
            </w:tcMar>
          </w:tcPr>
          <w:p w14:paraId="37827FD0" w14:textId="77777777" w:rsidR="0019240A" w:rsidRPr="000946AD" w:rsidRDefault="0019240A" w:rsidP="00F45082">
            <w:pPr>
              <w:pStyle w:val="Estilodetabla2A"/>
              <w:spacing w:line="360" w:lineRule="auto"/>
              <w:jc w:val="both"/>
              <w:rPr>
                <w:rFonts w:ascii="Book Antiqua" w:hAnsi="Book Antiqua"/>
                <w:sz w:val="24"/>
                <w:szCs w:val="24"/>
              </w:rPr>
            </w:pPr>
            <w:r w:rsidRPr="00B56147">
              <w:rPr>
                <w:rStyle w:val="Ninguno"/>
                <w:rFonts w:ascii="Book Antiqua" w:hAnsi="Book Antiqua"/>
                <w:b/>
                <w:bCs/>
                <w:i/>
                <w:iCs/>
                <w:sz w:val="24"/>
                <w:szCs w:val="24"/>
              </w:rPr>
              <w:t>P</w:t>
            </w:r>
            <w:r w:rsidRPr="000946AD">
              <w:rPr>
                <w:rStyle w:val="Ninguno"/>
                <w:rFonts w:ascii="Book Antiqua" w:hAnsi="Book Antiqua"/>
                <w:b/>
                <w:bCs/>
                <w:sz w:val="24"/>
                <w:szCs w:val="24"/>
              </w:rPr>
              <w:t xml:space="preserve"> value </w:t>
            </w:r>
          </w:p>
        </w:tc>
      </w:tr>
      <w:tr w:rsidR="0007436B" w:rsidRPr="000946AD" w14:paraId="66064E31" w14:textId="77777777" w:rsidTr="0019240A">
        <w:trPr>
          <w:trHeight w:val="1125"/>
        </w:trPr>
        <w:tc>
          <w:tcPr>
            <w:tcW w:w="2872" w:type="dxa"/>
            <w:tcBorders>
              <w:top w:val="single" w:sz="4" w:space="0" w:color="auto"/>
            </w:tcBorders>
            <w:shd w:val="clear" w:color="auto" w:fill="auto"/>
            <w:tcMar>
              <w:top w:w="80" w:type="dxa"/>
              <w:left w:w="80" w:type="dxa"/>
              <w:bottom w:w="80" w:type="dxa"/>
              <w:right w:w="80" w:type="dxa"/>
            </w:tcMar>
          </w:tcPr>
          <w:p w14:paraId="30980E8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Index surgery</w:t>
            </w:r>
          </w:p>
          <w:p w14:paraId="5471F15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Elective</w:t>
            </w:r>
          </w:p>
          <w:p w14:paraId="3244551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Urgent </w:t>
            </w:r>
          </w:p>
        </w:tc>
        <w:tc>
          <w:tcPr>
            <w:tcW w:w="1897" w:type="dxa"/>
            <w:tcBorders>
              <w:top w:val="single" w:sz="4" w:space="0" w:color="auto"/>
            </w:tcBorders>
            <w:shd w:val="clear" w:color="auto" w:fill="auto"/>
            <w:tcMar>
              <w:top w:w="80" w:type="dxa"/>
              <w:left w:w="80" w:type="dxa"/>
              <w:bottom w:w="80" w:type="dxa"/>
              <w:right w:w="80" w:type="dxa"/>
            </w:tcMar>
          </w:tcPr>
          <w:p w14:paraId="0281664B"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93E064A"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1.0</w:t>
            </w:r>
          </w:p>
          <w:p w14:paraId="1B8423D2"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2.6 (1.01-8.82)</w:t>
            </w:r>
          </w:p>
        </w:tc>
        <w:tc>
          <w:tcPr>
            <w:tcW w:w="1109" w:type="dxa"/>
            <w:tcBorders>
              <w:top w:val="single" w:sz="4" w:space="0" w:color="auto"/>
            </w:tcBorders>
            <w:shd w:val="clear" w:color="auto" w:fill="auto"/>
            <w:tcMar>
              <w:top w:w="80" w:type="dxa"/>
              <w:left w:w="80" w:type="dxa"/>
              <w:bottom w:w="80" w:type="dxa"/>
              <w:right w:w="80" w:type="dxa"/>
            </w:tcMar>
          </w:tcPr>
          <w:p w14:paraId="375EFF17" w14:textId="77777777" w:rsidR="0007436B" w:rsidRPr="000946AD" w:rsidRDefault="0007436B" w:rsidP="00F45082">
            <w:pPr>
              <w:pStyle w:val="Estilodetabla2A"/>
              <w:spacing w:line="360" w:lineRule="auto"/>
              <w:jc w:val="both"/>
              <w:rPr>
                <w:rStyle w:val="Ninguno"/>
                <w:rFonts w:ascii="Book Antiqua" w:eastAsia="Book Antiqua" w:hAnsi="Book Antiqua" w:cs="Book Antiqua"/>
                <w:b/>
                <w:bCs/>
                <w:sz w:val="24"/>
                <w:szCs w:val="24"/>
              </w:rPr>
            </w:pPr>
          </w:p>
          <w:p w14:paraId="526CD9F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lang w:val="es-ES_tradnl"/>
              </w:rPr>
              <w:t xml:space="preserve">       0.047</w:t>
            </w:r>
          </w:p>
        </w:tc>
        <w:tc>
          <w:tcPr>
            <w:tcW w:w="2402" w:type="dxa"/>
            <w:tcBorders>
              <w:top w:val="single" w:sz="4" w:space="0" w:color="auto"/>
            </w:tcBorders>
            <w:shd w:val="clear" w:color="auto" w:fill="auto"/>
            <w:tcMar>
              <w:top w:w="80" w:type="dxa"/>
              <w:left w:w="80" w:type="dxa"/>
              <w:bottom w:w="80" w:type="dxa"/>
              <w:right w:w="80" w:type="dxa"/>
            </w:tcMar>
          </w:tcPr>
          <w:p w14:paraId="34F3A770" w14:textId="77777777" w:rsidR="0007436B" w:rsidRPr="000946AD" w:rsidRDefault="0007436B" w:rsidP="00F45082">
            <w:pPr>
              <w:spacing w:line="360" w:lineRule="auto"/>
              <w:jc w:val="both"/>
              <w:rPr>
                <w:rFonts w:ascii="Book Antiqua" w:hAnsi="Book Antiqua"/>
              </w:rPr>
            </w:pPr>
          </w:p>
        </w:tc>
        <w:tc>
          <w:tcPr>
            <w:tcW w:w="1080" w:type="dxa"/>
            <w:tcBorders>
              <w:top w:val="single" w:sz="4" w:space="0" w:color="auto"/>
            </w:tcBorders>
            <w:shd w:val="clear" w:color="auto" w:fill="auto"/>
            <w:tcMar>
              <w:top w:w="80" w:type="dxa"/>
              <w:left w:w="80" w:type="dxa"/>
              <w:bottom w:w="80" w:type="dxa"/>
              <w:right w:w="80" w:type="dxa"/>
            </w:tcMar>
          </w:tcPr>
          <w:p w14:paraId="026B3614" w14:textId="77777777" w:rsidR="0007436B" w:rsidRPr="000946AD" w:rsidRDefault="0007436B" w:rsidP="00F45082">
            <w:pPr>
              <w:spacing w:line="360" w:lineRule="auto"/>
              <w:jc w:val="both"/>
              <w:rPr>
                <w:rFonts w:ascii="Book Antiqua" w:hAnsi="Book Antiqua"/>
              </w:rPr>
            </w:pPr>
          </w:p>
        </w:tc>
      </w:tr>
      <w:tr w:rsidR="0007436B" w:rsidRPr="000946AD" w14:paraId="5469C8AD" w14:textId="77777777" w:rsidTr="0019240A">
        <w:trPr>
          <w:trHeight w:val="1125"/>
        </w:trPr>
        <w:tc>
          <w:tcPr>
            <w:tcW w:w="2872" w:type="dxa"/>
            <w:shd w:val="clear" w:color="auto" w:fill="auto"/>
            <w:tcMar>
              <w:top w:w="80" w:type="dxa"/>
              <w:left w:w="80" w:type="dxa"/>
              <w:bottom w:w="80" w:type="dxa"/>
              <w:right w:w="80" w:type="dxa"/>
            </w:tcMar>
          </w:tcPr>
          <w:p w14:paraId="1AF29F1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Complications after index surgery</w:t>
            </w:r>
          </w:p>
          <w:p w14:paraId="68CE3EC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Yes </w:t>
            </w:r>
          </w:p>
        </w:tc>
        <w:tc>
          <w:tcPr>
            <w:tcW w:w="1897" w:type="dxa"/>
            <w:shd w:val="clear" w:color="auto" w:fill="auto"/>
            <w:tcMar>
              <w:top w:w="80" w:type="dxa"/>
              <w:left w:w="80" w:type="dxa"/>
              <w:bottom w:w="80" w:type="dxa"/>
              <w:right w:w="80" w:type="dxa"/>
            </w:tcMar>
          </w:tcPr>
          <w:p w14:paraId="4B4B10B7"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9CD0DB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A93885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 (1.15-7.97)</w:t>
            </w:r>
          </w:p>
        </w:tc>
        <w:tc>
          <w:tcPr>
            <w:tcW w:w="1109" w:type="dxa"/>
            <w:shd w:val="clear" w:color="auto" w:fill="auto"/>
            <w:tcMar>
              <w:top w:w="80" w:type="dxa"/>
              <w:left w:w="80" w:type="dxa"/>
              <w:bottom w:w="80" w:type="dxa"/>
              <w:right w:w="80" w:type="dxa"/>
            </w:tcMar>
            <w:vAlign w:val="bottom"/>
          </w:tcPr>
          <w:p w14:paraId="38E20BD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0.024</w:t>
            </w:r>
          </w:p>
        </w:tc>
        <w:tc>
          <w:tcPr>
            <w:tcW w:w="2402" w:type="dxa"/>
            <w:shd w:val="clear" w:color="auto" w:fill="auto"/>
            <w:tcMar>
              <w:top w:w="80" w:type="dxa"/>
              <w:left w:w="80" w:type="dxa"/>
              <w:bottom w:w="80" w:type="dxa"/>
              <w:right w:w="80" w:type="dxa"/>
            </w:tcMar>
          </w:tcPr>
          <w:p w14:paraId="52ECB3E2"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5DBDC635" w14:textId="77777777" w:rsidR="0007436B" w:rsidRPr="000946AD" w:rsidRDefault="0007436B" w:rsidP="00F45082">
            <w:pPr>
              <w:spacing w:line="360" w:lineRule="auto"/>
              <w:jc w:val="both"/>
              <w:rPr>
                <w:rFonts w:ascii="Book Antiqua" w:hAnsi="Book Antiqua"/>
              </w:rPr>
            </w:pPr>
          </w:p>
        </w:tc>
      </w:tr>
      <w:tr w:rsidR="0007436B" w:rsidRPr="000946AD" w14:paraId="1E2A0BEC" w14:textId="77777777" w:rsidTr="0019240A">
        <w:trPr>
          <w:trHeight w:val="305"/>
        </w:trPr>
        <w:tc>
          <w:tcPr>
            <w:tcW w:w="2872" w:type="dxa"/>
            <w:shd w:val="clear" w:color="auto" w:fill="auto"/>
            <w:tcMar>
              <w:top w:w="80" w:type="dxa"/>
              <w:left w:w="80" w:type="dxa"/>
              <w:bottom w:w="80" w:type="dxa"/>
              <w:right w:w="80" w:type="dxa"/>
            </w:tcMar>
          </w:tcPr>
          <w:p w14:paraId="7944847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Ulcerative Colitis</w:t>
            </w:r>
          </w:p>
        </w:tc>
        <w:tc>
          <w:tcPr>
            <w:tcW w:w="1897" w:type="dxa"/>
            <w:shd w:val="clear" w:color="auto" w:fill="auto"/>
            <w:tcMar>
              <w:top w:w="80" w:type="dxa"/>
              <w:left w:w="80" w:type="dxa"/>
              <w:bottom w:w="80" w:type="dxa"/>
              <w:right w:w="80" w:type="dxa"/>
            </w:tcMar>
          </w:tcPr>
          <w:p w14:paraId="549BA1F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4.8 (1.33-17.75)</w:t>
            </w:r>
          </w:p>
        </w:tc>
        <w:tc>
          <w:tcPr>
            <w:tcW w:w="1109" w:type="dxa"/>
            <w:shd w:val="clear" w:color="auto" w:fill="auto"/>
            <w:tcMar>
              <w:top w:w="80" w:type="dxa"/>
              <w:left w:w="80" w:type="dxa"/>
              <w:bottom w:w="80" w:type="dxa"/>
              <w:right w:w="80" w:type="dxa"/>
            </w:tcMar>
          </w:tcPr>
          <w:p w14:paraId="71A1C351"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0.017</w:t>
            </w:r>
          </w:p>
        </w:tc>
        <w:tc>
          <w:tcPr>
            <w:tcW w:w="2402" w:type="dxa"/>
            <w:shd w:val="clear" w:color="auto" w:fill="auto"/>
            <w:tcMar>
              <w:top w:w="80" w:type="dxa"/>
              <w:left w:w="80" w:type="dxa"/>
              <w:bottom w:w="80" w:type="dxa"/>
              <w:right w:w="80" w:type="dxa"/>
            </w:tcMar>
          </w:tcPr>
          <w:p w14:paraId="65CEEFE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7.6 (1.81-31.95)</w:t>
            </w:r>
          </w:p>
        </w:tc>
        <w:tc>
          <w:tcPr>
            <w:tcW w:w="1080" w:type="dxa"/>
            <w:shd w:val="clear" w:color="auto" w:fill="auto"/>
            <w:tcMar>
              <w:top w:w="80" w:type="dxa"/>
              <w:left w:w="80" w:type="dxa"/>
              <w:bottom w:w="80" w:type="dxa"/>
              <w:right w:w="80" w:type="dxa"/>
            </w:tcMar>
          </w:tcPr>
          <w:p w14:paraId="4ED6B6A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0.006</w:t>
            </w:r>
          </w:p>
        </w:tc>
      </w:tr>
      <w:tr w:rsidR="0007436B" w:rsidRPr="000946AD" w14:paraId="1DC2DE97" w14:textId="77777777" w:rsidTr="0019240A">
        <w:trPr>
          <w:trHeight w:val="305"/>
        </w:trPr>
        <w:tc>
          <w:tcPr>
            <w:tcW w:w="2872" w:type="dxa"/>
            <w:shd w:val="clear" w:color="auto" w:fill="auto"/>
            <w:tcMar>
              <w:top w:w="80" w:type="dxa"/>
              <w:left w:w="80" w:type="dxa"/>
              <w:bottom w:w="80" w:type="dxa"/>
              <w:right w:w="80" w:type="dxa"/>
            </w:tcMar>
          </w:tcPr>
          <w:p w14:paraId="4E181BC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Immunomodulators </w:t>
            </w:r>
          </w:p>
        </w:tc>
        <w:tc>
          <w:tcPr>
            <w:tcW w:w="1897" w:type="dxa"/>
            <w:shd w:val="clear" w:color="auto" w:fill="auto"/>
            <w:tcMar>
              <w:top w:w="80" w:type="dxa"/>
              <w:left w:w="80" w:type="dxa"/>
              <w:bottom w:w="80" w:type="dxa"/>
              <w:right w:w="80" w:type="dxa"/>
            </w:tcMar>
          </w:tcPr>
          <w:p w14:paraId="0DED656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5.4 (0.85-34.63)</w:t>
            </w:r>
          </w:p>
        </w:tc>
        <w:tc>
          <w:tcPr>
            <w:tcW w:w="1109" w:type="dxa"/>
            <w:shd w:val="clear" w:color="auto" w:fill="auto"/>
            <w:tcMar>
              <w:top w:w="80" w:type="dxa"/>
              <w:left w:w="80" w:type="dxa"/>
              <w:bottom w:w="80" w:type="dxa"/>
              <w:right w:w="80" w:type="dxa"/>
            </w:tcMar>
          </w:tcPr>
          <w:p w14:paraId="6756D86F"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0.074</w:t>
            </w:r>
          </w:p>
        </w:tc>
        <w:tc>
          <w:tcPr>
            <w:tcW w:w="2402" w:type="dxa"/>
            <w:shd w:val="clear" w:color="auto" w:fill="auto"/>
            <w:tcMar>
              <w:top w:w="80" w:type="dxa"/>
              <w:left w:w="80" w:type="dxa"/>
              <w:bottom w:w="80" w:type="dxa"/>
              <w:right w:w="80" w:type="dxa"/>
            </w:tcMar>
          </w:tcPr>
          <w:p w14:paraId="09B9FBE2"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3F00D39C" w14:textId="77777777" w:rsidR="0007436B" w:rsidRPr="000946AD" w:rsidRDefault="0007436B" w:rsidP="00F45082">
            <w:pPr>
              <w:spacing w:line="360" w:lineRule="auto"/>
              <w:jc w:val="both"/>
              <w:rPr>
                <w:rFonts w:ascii="Book Antiqua" w:hAnsi="Book Antiqua"/>
              </w:rPr>
            </w:pPr>
          </w:p>
        </w:tc>
      </w:tr>
      <w:tr w:rsidR="0007436B" w:rsidRPr="000946AD" w14:paraId="37FB3804" w14:textId="77777777" w:rsidTr="0019240A">
        <w:trPr>
          <w:trHeight w:val="305"/>
        </w:trPr>
        <w:tc>
          <w:tcPr>
            <w:tcW w:w="2872" w:type="dxa"/>
            <w:shd w:val="clear" w:color="auto" w:fill="auto"/>
            <w:tcMar>
              <w:top w:w="80" w:type="dxa"/>
              <w:left w:w="80" w:type="dxa"/>
              <w:bottom w:w="80" w:type="dxa"/>
              <w:right w:w="80" w:type="dxa"/>
            </w:tcMar>
          </w:tcPr>
          <w:p w14:paraId="57E2154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Steroids</w:t>
            </w:r>
          </w:p>
        </w:tc>
        <w:tc>
          <w:tcPr>
            <w:tcW w:w="1897" w:type="dxa"/>
            <w:shd w:val="clear" w:color="auto" w:fill="auto"/>
            <w:tcMar>
              <w:top w:w="80" w:type="dxa"/>
              <w:left w:w="80" w:type="dxa"/>
              <w:bottom w:w="80" w:type="dxa"/>
              <w:right w:w="80" w:type="dxa"/>
            </w:tcMar>
          </w:tcPr>
          <w:p w14:paraId="175831FF"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4.3 (1.42-13.41)</w:t>
            </w:r>
          </w:p>
        </w:tc>
        <w:tc>
          <w:tcPr>
            <w:tcW w:w="1109" w:type="dxa"/>
            <w:shd w:val="clear" w:color="auto" w:fill="auto"/>
            <w:tcMar>
              <w:top w:w="80" w:type="dxa"/>
              <w:left w:w="80" w:type="dxa"/>
              <w:bottom w:w="80" w:type="dxa"/>
              <w:right w:w="80" w:type="dxa"/>
            </w:tcMar>
          </w:tcPr>
          <w:p w14:paraId="2D82C341"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0.010</w:t>
            </w:r>
          </w:p>
        </w:tc>
        <w:tc>
          <w:tcPr>
            <w:tcW w:w="2402" w:type="dxa"/>
            <w:shd w:val="clear" w:color="auto" w:fill="auto"/>
            <w:tcMar>
              <w:top w:w="80" w:type="dxa"/>
              <w:left w:w="80" w:type="dxa"/>
              <w:bottom w:w="80" w:type="dxa"/>
              <w:right w:w="80" w:type="dxa"/>
            </w:tcMar>
          </w:tcPr>
          <w:p w14:paraId="0C895042"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0AD8BDEF" w14:textId="77777777" w:rsidR="0007436B" w:rsidRPr="000946AD" w:rsidRDefault="0007436B" w:rsidP="00F45082">
            <w:pPr>
              <w:spacing w:line="360" w:lineRule="auto"/>
              <w:jc w:val="both"/>
              <w:rPr>
                <w:rFonts w:ascii="Book Antiqua" w:hAnsi="Book Antiqua"/>
              </w:rPr>
            </w:pPr>
          </w:p>
        </w:tc>
      </w:tr>
      <w:tr w:rsidR="0007436B" w:rsidRPr="000946AD" w14:paraId="5DC71A98" w14:textId="77777777" w:rsidTr="0019240A">
        <w:trPr>
          <w:trHeight w:val="305"/>
        </w:trPr>
        <w:tc>
          <w:tcPr>
            <w:tcW w:w="2872" w:type="dxa"/>
            <w:shd w:val="clear" w:color="auto" w:fill="auto"/>
            <w:tcMar>
              <w:top w:w="80" w:type="dxa"/>
              <w:left w:w="80" w:type="dxa"/>
              <w:bottom w:w="80" w:type="dxa"/>
              <w:right w:w="80" w:type="dxa"/>
            </w:tcMar>
          </w:tcPr>
          <w:p w14:paraId="3BA0C22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Biologics (anti-TNF)</w:t>
            </w:r>
          </w:p>
        </w:tc>
        <w:tc>
          <w:tcPr>
            <w:tcW w:w="1897" w:type="dxa"/>
            <w:shd w:val="clear" w:color="auto" w:fill="auto"/>
            <w:tcMar>
              <w:top w:w="80" w:type="dxa"/>
              <w:left w:w="80" w:type="dxa"/>
              <w:bottom w:w="80" w:type="dxa"/>
              <w:right w:w="80" w:type="dxa"/>
            </w:tcMar>
          </w:tcPr>
          <w:p w14:paraId="21451DB3"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 (0.60-80.85)</w:t>
            </w:r>
          </w:p>
        </w:tc>
        <w:tc>
          <w:tcPr>
            <w:tcW w:w="1109" w:type="dxa"/>
            <w:shd w:val="clear" w:color="auto" w:fill="auto"/>
            <w:tcMar>
              <w:top w:w="80" w:type="dxa"/>
              <w:left w:w="80" w:type="dxa"/>
              <w:bottom w:w="80" w:type="dxa"/>
              <w:right w:w="80" w:type="dxa"/>
            </w:tcMar>
          </w:tcPr>
          <w:p w14:paraId="7391131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0.119</w:t>
            </w:r>
          </w:p>
        </w:tc>
        <w:tc>
          <w:tcPr>
            <w:tcW w:w="2402" w:type="dxa"/>
            <w:shd w:val="clear" w:color="auto" w:fill="auto"/>
            <w:tcMar>
              <w:top w:w="80" w:type="dxa"/>
              <w:left w:w="80" w:type="dxa"/>
              <w:bottom w:w="80" w:type="dxa"/>
              <w:right w:w="80" w:type="dxa"/>
            </w:tcMar>
          </w:tcPr>
          <w:p w14:paraId="1F969354"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6E9ED10F" w14:textId="77777777" w:rsidR="0007436B" w:rsidRPr="000946AD" w:rsidRDefault="0007436B" w:rsidP="00F45082">
            <w:pPr>
              <w:spacing w:line="360" w:lineRule="auto"/>
              <w:jc w:val="both"/>
              <w:rPr>
                <w:rFonts w:ascii="Book Antiqua" w:hAnsi="Book Antiqua"/>
              </w:rPr>
            </w:pPr>
          </w:p>
        </w:tc>
      </w:tr>
      <w:tr w:rsidR="0007436B" w:rsidRPr="000946AD" w14:paraId="2194B525" w14:textId="77777777" w:rsidTr="0019240A">
        <w:trPr>
          <w:trHeight w:val="705"/>
        </w:trPr>
        <w:tc>
          <w:tcPr>
            <w:tcW w:w="2872" w:type="dxa"/>
            <w:shd w:val="clear" w:color="auto" w:fill="auto"/>
            <w:tcMar>
              <w:top w:w="80" w:type="dxa"/>
              <w:left w:w="80" w:type="dxa"/>
              <w:bottom w:w="80" w:type="dxa"/>
              <w:right w:w="80" w:type="dxa"/>
            </w:tcMar>
          </w:tcPr>
          <w:p w14:paraId="3A5413A8" w14:textId="44A2A4CB"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Ileostomy output at discharge  ≥</w:t>
            </w:r>
            <w:r w:rsidR="0019240A">
              <w:rPr>
                <w:rStyle w:val="Ninguno"/>
                <w:rFonts w:ascii="Book Antiqua" w:hAnsi="Book Antiqua"/>
                <w:sz w:val="24"/>
                <w:szCs w:val="24"/>
              </w:rPr>
              <w:t xml:space="preserve"> </w:t>
            </w:r>
            <w:r w:rsidRPr="000946AD">
              <w:rPr>
                <w:rStyle w:val="Ninguno"/>
                <w:rFonts w:ascii="Book Antiqua" w:hAnsi="Book Antiqua"/>
                <w:sz w:val="24"/>
                <w:szCs w:val="24"/>
              </w:rPr>
              <w:t>1000 mL/24 h</w:t>
            </w:r>
          </w:p>
        </w:tc>
        <w:tc>
          <w:tcPr>
            <w:tcW w:w="1897" w:type="dxa"/>
            <w:shd w:val="clear" w:color="auto" w:fill="auto"/>
            <w:tcMar>
              <w:top w:w="80" w:type="dxa"/>
              <w:left w:w="80" w:type="dxa"/>
              <w:bottom w:w="80" w:type="dxa"/>
              <w:right w:w="80" w:type="dxa"/>
            </w:tcMar>
          </w:tcPr>
          <w:p w14:paraId="4682F71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3.2 (1.24-8.26)</w:t>
            </w:r>
          </w:p>
        </w:tc>
        <w:tc>
          <w:tcPr>
            <w:tcW w:w="1109" w:type="dxa"/>
            <w:shd w:val="clear" w:color="auto" w:fill="auto"/>
            <w:tcMar>
              <w:top w:w="80" w:type="dxa"/>
              <w:left w:w="80" w:type="dxa"/>
              <w:bottom w:w="80" w:type="dxa"/>
              <w:right w:w="80" w:type="dxa"/>
            </w:tcMar>
          </w:tcPr>
          <w:p w14:paraId="294DE5C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0.016</w:t>
            </w:r>
          </w:p>
        </w:tc>
        <w:tc>
          <w:tcPr>
            <w:tcW w:w="2402" w:type="dxa"/>
            <w:shd w:val="clear" w:color="auto" w:fill="auto"/>
            <w:tcMar>
              <w:top w:w="80" w:type="dxa"/>
              <w:left w:w="80" w:type="dxa"/>
              <w:bottom w:w="80" w:type="dxa"/>
              <w:right w:w="80" w:type="dxa"/>
            </w:tcMar>
          </w:tcPr>
          <w:p w14:paraId="2C74D48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3.3 (1.18-9.37)</w:t>
            </w:r>
          </w:p>
        </w:tc>
        <w:tc>
          <w:tcPr>
            <w:tcW w:w="1080" w:type="dxa"/>
            <w:shd w:val="clear" w:color="auto" w:fill="auto"/>
            <w:tcMar>
              <w:top w:w="80" w:type="dxa"/>
              <w:left w:w="80" w:type="dxa"/>
              <w:bottom w:w="80" w:type="dxa"/>
              <w:right w:w="80" w:type="dxa"/>
            </w:tcMar>
          </w:tcPr>
          <w:p w14:paraId="1909A1E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0.023</w:t>
            </w:r>
          </w:p>
        </w:tc>
      </w:tr>
      <w:tr w:rsidR="0007436B" w:rsidRPr="000946AD" w14:paraId="04984814" w14:textId="77777777" w:rsidTr="0019240A">
        <w:trPr>
          <w:trHeight w:val="1125"/>
        </w:trPr>
        <w:tc>
          <w:tcPr>
            <w:tcW w:w="2872" w:type="dxa"/>
            <w:shd w:val="clear" w:color="auto" w:fill="auto"/>
            <w:tcMar>
              <w:top w:w="80" w:type="dxa"/>
              <w:left w:w="80" w:type="dxa"/>
              <w:bottom w:w="80" w:type="dxa"/>
              <w:right w:w="80" w:type="dxa"/>
            </w:tcMar>
          </w:tcPr>
          <w:p w14:paraId="60F615F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Discharge with loperamide</w:t>
            </w:r>
          </w:p>
          <w:p w14:paraId="5BB4C60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Yes</w:t>
            </w:r>
          </w:p>
        </w:tc>
        <w:tc>
          <w:tcPr>
            <w:tcW w:w="1897" w:type="dxa"/>
            <w:shd w:val="clear" w:color="auto" w:fill="auto"/>
            <w:tcMar>
              <w:top w:w="80" w:type="dxa"/>
              <w:left w:w="80" w:type="dxa"/>
              <w:bottom w:w="80" w:type="dxa"/>
              <w:right w:w="80" w:type="dxa"/>
            </w:tcMar>
          </w:tcPr>
          <w:p w14:paraId="411D973E"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73FEEC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2.8 (1.09-7.24)</w:t>
            </w:r>
          </w:p>
        </w:tc>
        <w:tc>
          <w:tcPr>
            <w:tcW w:w="1109" w:type="dxa"/>
            <w:shd w:val="clear" w:color="auto" w:fill="auto"/>
            <w:tcMar>
              <w:top w:w="80" w:type="dxa"/>
              <w:left w:w="80" w:type="dxa"/>
              <w:bottom w:w="80" w:type="dxa"/>
              <w:right w:w="80" w:type="dxa"/>
            </w:tcMar>
            <w:vAlign w:val="bottom"/>
          </w:tcPr>
          <w:p w14:paraId="5AB9210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0.032</w:t>
            </w:r>
          </w:p>
        </w:tc>
        <w:tc>
          <w:tcPr>
            <w:tcW w:w="2402" w:type="dxa"/>
            <w:shd w:val="clear" w:color="auto" w:fill="auto"/>
            <w:tcMar>
              <w:top w:w="80" w:type="dxa"/>
              <w:left w:w="80" w:type="dxa"/>
              <w:bottom w:w="80" w:type="dxa"/>
              <w:right w:w="80" w:type="dxa"/>
            </w:tcMar>
          </w:tcPr>
          <w:p w14:paraId="0B354C0F"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16B3A39C" w14:textId="77777777" w:rsidR="0007436B" w:rsidRPr="000946AD" w:rsidRDefault="0007436B" w:rsidP="00F45082">
            <w:pPr>
              <w:spacing w:line="360" w:lineRule="auto"/>
              <w:jc w:val="both"/>
              <w:rPr>
                <w:rFonts w:ascii="Book Antiqua" w:hAnsi="Book Antiqua"/>
              </w:rPr>
            </w:pPr>
          </w:p>
        </w:tc>
      </w:tr>
    </w:tbl>
    <w:p w14:paraId="18F58B08" w14:textId="09A95342" w:rsidR="0007436B" w:rsidRPr="000946AD" w:rsidRDefault="0019240A" w:rsidP="00F45082">
      <w:pPr>
        <w:pStyle w:val="CuerpoA"/>
        <w:widowControl w:val="0"/>
        <w:spacing w:line="360" w:lineRule="auto"/>
        <w:jc w:val="both"/>
        <w:rPr>
          <w:rFonts w:ascii="Book Antiqua" w:hAnsi="Book Antiqua"/>
          <w:sz w:val="24"/>
          <w:szCs w:val="24"/>
        </w:rPr>
      </w:pPr>
      <w:r w:rsidRPr="000946AD">
        <w:rPr>
          <w:rStyle w:val="Ninguno"/>
          <w:rFonts w:ascii="Book Antiqua" w:hAnsi="Book Antiqua"/>
          <w:color w:val="131313"/>
          <w:sz w:val="24"/>
          <w:szCs w:val="24"/>
          <w:u w:color="131313"/>
          <w:lang w:val="en-US"/>
        </w:rPr>
        <w:t>The reference category has an odds ratio of 1.0. For multivariable backward logistic r</w:t>
      </w:r>
      <w:r w:rsidRPr="000946AD">
        <w:rPr>
          <w:rStyle w:val="Ninguno"/>
          <w:rFonts w:ascii="Book Antiqua" w:hAnsi="Book Antiqua"/>
          <w:color w:val="131313"/>
          <w:sz w:val="24"/>
          <w:szCs w:val="24"/>
          <w:u w:color="131313"/>
          <w:lang w:val="en-US"/>
        </w:rPr>
        <w:t>e</w:t>
      </w:r>
      <w:r w:rsidRPr="000946AD">
        <w:rPr>
          <w:rStyle w:val="Ninguno"/>
          <w:rFonts w:ascii="Book Antiqua" w:hAnsi="Book Antiqua"/>
          <w:color w:val="131313"/>
          <w:sz w:val="24"/>
          <w:szCs w:val="24"/>
          <w:u w:color="131313"/>
          <w:lang w:val="en-US"/>
        </w:rPr>
        <w:t>gression analysis, odds ratio (OR) and 95% confidence interval (CI) are presented, and only significant results are shown.</w:t>
      </w:r>
    </w:p>
    <w:sectPr w:rsidR="0007436B" w:rsidRPr="000946AD">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664F" w14:textId="77777777" w:rsidR="009E78E7" w:rsidRDefault="009E78E7">
      <w:r>
        <w:separator/>
      </w:r>
    </w:p>
  </w:endnote>
  <w:endnote w:type="continuationSeparator" w:id="0">
    <w:p w14:paraId="3999E0F7" w14:textId="77777777" w:rsidR="009E78E7" w:rsidRDefault="009E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ouvenir Lt BT">
    <w:altName w:val="Cambria"/>
    <w:charset w:val="00"/>
    <w:family w:val="roman"/>
    <w:pitch w:val="default"/>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E3766" w14:textId="77777777" w:rsidR="009E78E7" w:rsidRDefault="009E78E7">
      <w:r>
        <w:separator/>
      </w:r>
    </w:p>
  </w:footnote>
  <w:footnote w:type="continuationSeparator" w:id="0">
    <w:p w14:paraId="68CCB50F" w14:textId="77777777" w:rsidR="009E78E7" w:rsidRDefault="009E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A6FC" w14:textId="77777777" w:rsidR="005E4EDA" w:rsidRDefault="005E4EDA">
    <w:pPr>
      <w:pStyle w:val="EncabezadoypieA"/>
      <w:tabs>
        <w:tab w:val="clear" w:pos="9020"/>
        <w:tab w:val="center" w:pos="4680"/>
        <w:tab w:val="right" w:pos="9340"/>
      </w:tabs>
    </w:pPr>
    <w:r>
      <w:tab/>
    </w:r>
    <w:r>
      <w:tab/>
    </w: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sidR="009E78E7">
      <w:rPr>
        <w:rStyle w:val="Ninguno"/>
        <w:noProof/>
        <w:sz w:val="20"/>
        <w:szCs w:val="20"/>
      </w:rPr>
      <w:t>1</w:t>
    </w:r>
    <w:r>
      <w:rPr>
        <w:rStyle w:val="Ninguno"/>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FC7"/>
    <w:multiLevelType w:val="hybridMultilevel"/>
    <w:tmpl w:val="9552F712"/>
    <w:styleLink w:val="Nmero"/>
    <w:lvl w:ilvl="0" w:tplc="19D089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98965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E2014C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43ED7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E8CAE3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4DA0E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488C60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E4713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426157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4B0371D"/>
    <w:multiLevelType w:val="hybridMultilevel"/>
    <w:tmpl w:val="9552F712"/>
    <w:numStyleLink w:val="Nmero"/>
  </w:abstractNum>
  <w:abstractNum w:abstractNumId="2">
    <w:nsid w:val="2D7E7153"/>
    <w:multiLevelType w:val="multilevel"/>
    <w:tmpl w:val="8B78E50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6B"/>
    <w:rsid w:val="000245E5"/>
    <w:rsid w:val="00030F96"/>
    <w:rsid w:val="00031A61"/>
    <w:rsid w:val="0007436B"/>
    <w:rsid w:val="000946AD"/>
    <w:rsid w:val="000B2C5F"/>
    <w:rsid w:val="000E5171"/>
    <w:rsid w:val="000F081D"/>
    <w:rsid w:val="00127841"/>
    <w:rsid w:val="00130930"/>
    <w:rsid w:val="0016774E"/>
    <w:rsid w:val="0019240A"/>
    <w:rsid w:val="001C60B4"/>
    <w:rsid w:val="0023023A"/>
    <w:rsid w:val="00232D89"/>
    <w:rsid w:val="00283D0B"/>
    <w:rsid w:val="0034203E"/>
    <w:rsid w:val="00342637"/>
    <w:rsid w:val="0035796A"/>
    <w:rsid w:val="00373B81"/>
    <w:rsid w:val="00390AE8"/>
    <w:rsid w:val="003C1F96"/>
    <w:rsid w:val="004047B0"/>
    <w:rsid w:val="00452783"/>
    <w:rsid w:val="00461100"/>
    <w:rsid w:val="004C5456"/>
    <w:rsid w:val="005458C3"/>
    <w:rsid w:val="00553E32"/>
    <w:rsid w:val="00560D71"/>
    <w:rsid w:val="005736DF"/>
    <w:rsid w:val="0059663D"/>
    <w:rsid w:val="005E4EDA"/>
    <w:rsid w:val="005F32F0"/>
    <w:rsid w:val="00614534"/>
    <w:rsid w:val="00636086"/>
    <w:rsid w:val="00690857"/>
    <w:rsid w:val="006C0D96"/>
    <w:rsid w:val="006D5C71"/>
    <w:rsid w:val="0074414F"/>
    <w:rsid w:val="00761145"/>
    <w:rsid w:val="007C52CF"/>
    <w:rsid w:val="007D4AE4"/>
    <w:rsid w:val="00831F40"/>
    <w:rsid w:val="008C195B"/>
    <w:rsid w:val="008E2CEF"/>
    <w:rsid w:val="00902279"/>
    <w:rsid w:val="009127A1"/>
    <w:rsid w:val="009C537E"/>
    <w:rsid w:val="009E78E7"/>
    <w:rsid w:val="009F3E61"/>
    <w:rsid w:val="009F661F"/>
    <w:rsid w:val="00A16C7D"/>
    <w:rsid w:val="00A63AFC"/>
    <w:rsid w:val="00A947CC"/>
    <w:rsid w:val="00AD4065"/>
    <w:rsid w:val="00AE6FB8"/>
    <w:rsid w:val="00B54520"/>
    <w:rsid w:val="00B56147"/>
    <w:rsid w:val="00BE2F38"/>
    <w:rsid w:val="00C212D4"/>
    <w:rsid w:val="00C64FF9"/>
    <w:rsid w:val="00CF5AD1"/>
    <w:rsid w:val="00D82BBF"/>
    <w:rsid w:val="00E01A1B"/>
    <w:rsid w:val="00E01A49"/>
    <w:rsid w:val="00E106D3"/>
    <w:rsid w:val="00E167E4"/>
    <w:rsid w:val="00E804F3"/>
    <w:rsid w:val="00F43E40"/>
    <w:rsid w:val="00F45082"/>
    <w:rsid w:val="00F4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rPr>
  </w:style>
  <w:style w:type="paragraph" w:styleId="1">
    <w:name w:val="heading 1"/>
    <w:basedOn w:val="a"/>
    <w:next w:val="a"/>
    <w:link w:val="1Char"/>
    <w:uiPriority w:val="9"/>
    <w:qFormat/>
    <w:rsid w:val="005736DF"/>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cstheme="majorBidi"/>
      <w:b/>
      <w:bCs/>
      <w:color w:val="auto"/>
      <w:kern w:val="32"/>
      <w:sz w:val="32"/>
      <w:szCs w:val="32"/>
      <w:bdr w:val="none" w:sz="0" w:space="0" w:color="auto"/>
      <w:lang w:eastAsia="en-US"/>
    </w:rPr>
  </w:style>
  <w:style w:type="paragraph" w:styleId="2">
    <w:name w:val="heading 2"/>
    <w:basedOn w:val="a"/>
    <w:next w:val="a"/>
    <w:link w:val="2Char"/>
    <w:uiPriority w:val="9"/>
    <w:semiHidden/>
    <w:unhideWhenUsed/>
    <w:qFormat/>
    <w:rsid w:val="005736DF"/>
    <w:pPr>
      <w:keepNext/>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cstheme="majorBidi"/>
      <w:b/>
      <w:bCs/>
      <w:i/>
      <w:iCs/>
      <w:color w:val="auto"/>
      <w:sz w:val="28"/>
      <w:szCs w:val="28"/>
      <w:bdr w:val="none" w:sz="0" w:space="0" w:color="auto"/>
      <w:lang w:eastAsia="en-US"/>
    </w:rPr>
  </w:style>
  <w:style w:type="paragraph" w:styleId="3">
    <w:name w:val="heading 3"/>
    <w:basedOn w:val="a"/>
    <w:next w:val="a"/>
    <w:link w:val="3Char"/>
    <w:uiPriority w:val="9"/>
    <w:semiHidden/>
    <w:unhideWhenUsed/>
    <w:qFormat/>
    <w:rsid w:val="005736DF"/>
    <w:pPr>
      <w:keepNext/>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Theme="majorHAnsi" w:eastAsiaTheme="majorEastAsia" w:hAnsiTheme="majorHAnsi" w:cstheme="majorBidi"/>
      <w:b/>
      <w:bCs/>
      <w:color w:val="auto"/>
      <w:sz w:val="26"/>
      <w:szCs w:val="26"/>
      <w:bdr w:val="none" w:sz="0" w:space="0" w:color="auto"/>
      <w:lang w:eastAsia="en-US"/>
    </w:rPr>
  </w:style>
  <w:style w:type="paragraph" w:styleId="4">
    <w:name w:val="heading 4"/>
    <w:basedOn w:val="a"/>
    <w:next w:val="a"/>
    <w:link w:val="4Char"/>
    <w:uiPriority w:val="9"/>
    <w:semiHidden/>
    <w:unhideWhenUsed/>
    <w:qFormat/>
    <w:rsid w:val="005736DF"/>
    <w:pPr>
      <w:keepNext/>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heme="minorHAnsi" w:eastAsiaTheme="minorEastAsia" w:hAnsiTheme="minorHAnsi" w:cstheme="minorBidi"/>
      <w:b/>
      <w:bCs/>
      <w:color w:val="auto"/>
      <w:sz w:val="28"/>
      <w:szCs w:val="28"/>
      <w:bdr w:val="none" w:sz="0" w:space="0" w:color="auto"/>
      <w:lang w:eastAsia="en-US"/>
    </w:rPr>
  </w:style>
  <w:style w:type="paragraph" w:styleId="5">
    <w:name w:val="heading 5"/>
    <w:basedOn w:val="a"/>
    <w:next w:val="a"/>
    <w:link w:val="5Char"/>
    <w:uiPriority w:val="9"/>
    <w:semiHidden/>
    <w:unhideWhenUsed/>
    <w:qFormat/>
    <w:rsid w:val="005736DF"/>
    <w:pPr>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EastAsia" w:hAnsiTheme="minorHAnsi" w:cstheme="minorBidi"/>
      <w:b/>
      <w:bCs/>
      <w:i/>
      <w:iCs/>
      <w:color w:val="auto"/>
      <w:sz w:val="26"/>
      <w:szCs w:val="26"/>
      <w:bdr w:val="none" w:sz="0" w:space="0" w:color="auto"/>
      <w:lang w:eastAsia="en-US"/>
    </w:rPr>
  </w:style>
  <w:style w:type="paragraph" w:styleId="6">
    <w:name w:val="heading 6"/>
    <w:basedOn w:val="a"/>
    <w:next w:val="a"/>
    <w:link w:val="6Char"/>
    <w:qFormat/>
    <w:rsid w:val="005736DF"/>
    <w:pPr>
      <w:numPr>
        <w:ilvl w:val="5"/>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heme="minorEastAsia" w:cs="Times New Roman"/>
      <w:b/>
      <w:bCs/>
      <w:color w:val="auto"/>
      <w:sz w:val="22"/>
      <w:szCs w:val="22"/>
      <w:bdr w:val="none" w:sz="0" w:space="0" w:color="auto"/>
      <w:lang w:eastAsia="en-US"/>
    </w:rPr>
  </w:style>
  <w:style w:type="paragraph" w:styleId="7">
    <w:name w:val="heading 7"/>
    <w:basedOn w:val="a"/>
    <w:next w:val="a"/>
    <w:link w:val="7Char"/>
    <w:uiPriority w:val="9"/>
    <w:semiHidden/>
    <w:unhideWhenUsed/>
    <w:qFormat/>
    <w:rsid w:val="005736DF"/>
    <w:pPr>
      <w:numPr>
        <w:ilvl w:val="6"/>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EastAsia" w:hAnsiTheme="minorHAnsi" w:cstheme="minorBidi"/>
      <w:color w:val="auto"/>
      <w:bdr w:val="none" w:sz="0" w:space="0" w:color="auto"/>
      <w:lang w:eastAsia="en-US"/>
    </w:rPr>
  </w:style>
  <w:style w:type="paragraph" w:styleId="8">
    <w:name w:val="heading 8"/>
    <w:basedOn w:val="a"/>
    <w:next w:val="a"/>
    <w:link w:val="8Char"/>
    <w:uiPriority w:val="9"/>
    <w:semiHidden/>
    <w:unhideWhenUsed/>
    <w:qFormat/>
    <w:rsid w:val="005736DF"/>
    <w:pPr>
      <w:numPr>
        <w:ilvl w:val="7"/>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EastAsia" w:hAnsiTheme="minorHAnsi" w:cstheme="minorBidi"/>
      <w:i/>
      <w:iCs/>
      <w:color w:val="auto"/>
      <w:bdr w:val="none" w:sz="0" w:space="0" w:color="auto"/>
      <w:lang w:eastAsia="en-US"/>
    </w:rPr>
  </w:style>
  <w:style w:type="paragraph" w:styleId="9">
    <w:name w:val="heading 9"/>
    <w:basedOn w:val="a"/>
    <w:next w:val="a"/>
    <w:link w:val="9Char"/>
    <w:uiPriority w:val="9"/>
    <w:semiHidden/>
    <w:unhideWhenUsed/>
    <w:qFormat/>
    <w:rsid w:val="005736DF"/>
    <w:pPr>
      <w:numPr>
        <w:ilvl w:val="8"/>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cstheme="majorBidi"/>
      <w:color w:val="auto"/>
      <w:sz w:val="22"/>
      <w:szCs w:val="22"/>
      <w:bdr w:val="none" w:sz="0"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eastAsia="Arial Unicode MS" w:hAnsi="Helvetica Neue" w:cs="Arial Unicode MS"/>
      <w:color w:val="000000"/>
      <w:sz w:val="24"/>
      <w:szCs w:val="24"/>
      <w:u w:color="000000"/>
    </w:rPr>
  </w:style>
  <w:style w:type="character" w:customStyle="1" w:styleId="Ninguno">
    <w:name w:val="Ninguno"/>
  </w:style>
  <w:style w:type="paragraph" w:customStyle="1" w:styleId="Encabezadoypie">
    <w:name w:val="Encabezado y pie"/>
    <w:pPr>
      <w:tabs>
        <w:tab w:val="right" w:pos="9020"/>
      </w:tabs>
    </w:pPr>
    <w:rPr>
      <w:rFonts w:ascii="Helvetica Neue" w:eastAsia="Arial Unicode MS" w:hAnsi="Helvetica Neue" w:cs="Arial Unicode MS"/>
      <w:color w:val="000000"/>
      <w:sz w:val="24"/>
      <w:szCs w:val="24"/>
    </w:rPr>
  </w:style>
  <w:style w:type="paragraph" w:customStyle="1" w:styleId="CuerpoA">
    <w:name w:val="Cuerpo A"/>
    <w:rPr>
      <w:rFonts w:ascii="Helvetica Neue" w:eastAsia="Helvetica Neue" w:hAnsi="Helvetica Neue" w:cs="Helvetica Neue"/>
      <w:color w:val="000000"/>
      <w:sz w:val="22"/>
      <w:szCs w:val="22"/>
      <w:u w:color="000000"/>
      <w:lang w:val="es-ES_tradnl"/>
    </w:rPr>
  </w:style>
  <w:style w:type="paragraph" w:customStyle="1" w:styleId="BodyA">
    <w:name w:val="Body A"/>
    <w:rPr>
      <w:rFonts w:ascii="Calibri" w:eastAsia="Calibri" w:hAnsi="Calibri" w:cs="Calibri"/>
      <w:color w:val="000000"/>
      <w:sz w:val="22"/>
      <w:szCs w:val="22"/>
      <w:u w:color="000000"/>
    </w:rPr>
  </w:style>
  <w:style w:type="paragraph" w:customStyle="1" w:styleId="Predeterminado">
    <w:name w:val="Predeterminado"/>
    <w:rPr>
      <w:rFonts w:ascii="Helvetica Neue" w:eastAsia="Helvetica Neue" w:hAnsi="Helvetica Neue" w:cs="Helvetica Neue"/>
      <w:color w:val="000000"/>
      <w:sz w:val="22"/>
      <w:szCs w:val="22"/>
    </w:rPr>
  </w:style>
  <w:style w:type="character" w:customStyle="1" w:styleId="Hyperlink0">
    <w:name w:val="Hyperlink.0"/>
    <w:basedOn w:val="Ninguno"/>
    <w:rPr>
      <w:rFonts w:ascii="Book Antiqua" w:eastAsia="Book Antiqua" w:hAnsi="Book Antiqua" w:cs="Book Antiqua"/>
      <w:b/>
      <w:bCs/>
      <w:color w:val="0000FF"/>
      <w:sz w:val="24"/>
      <w:szCs w:val="24"/>
      <w:u w:val="single" w:color="0000FF"/>
      <w:lang w:val="es-ES_tradnl"/>
    </w:rPr>
  </w:style>
  <w:style w:type="numbering" w:customStyle="1" w:styleId="Nmero">
    <w:name w:val="Número"/>
    <w:pPr>
      <w:numPr>
        <w:numId w:val="1"/>
      </w:numPr>
    </w:pPr>
  </w:style>
  <w:style w:type="paragraph" w:customStyle="1" w:styleId="Estilodetabla2A">
    <w:name w:val="Estilo de tabla 2 A"/>
    <w:rPr>
      <w:rFonts w:ascii="Helvetica Neue" w:eastAsia="Arial Unicode MS" w:hAnsi="Helvetica Neue" w:cs="Arial Unicode MS"/>
      <w:color w:val="000000"/>
      <w:u w:color="000000"/>
      <w:lang w:val="fr-FR"/>
    </w:rPr>
  </w:style>
  <w:style w:type="paragraph" w:customStyle="1" w:styleId="Poromisin">
    <w:name w:val="Por omisión"/>
    <w:rPr>
      <w:rFonts w:ascii="Helvetica Neue" w:eastAsia="Arial Unicode MS" w:hAnsi="Helvetica Neue" w:cs="Arial Unicode MS"/>
      <w:color w:val="000000"/>
      <w:sz w:val="22"/>
      <w:szCs w:val="22"/>
      <w:u w:color="000000"/>
      <w:lang w:val="es-ES_tradnl"/>
    </w:r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rPr>
      <w:rFonts w:cs="Arial Unicode MS"/>
      <w:color w:val="000000"/>
      <w:sz w:val="24"/>
      <w:szCs w:val="24"/>
      <w:u w:color="000000"/>
    </w:rPr>
  </w:style>
  <w:style w:type="character" w:styleId="a5">
    <w:name w:val="annotation reference"/>
    <w:basedOn w:val="a0"/>
    <w:uiPriority w:val="99"/>
    <w:semiHidden/>
    <w:unhideWhenUsed/>
    <w:rPr>
      <w:sz w:val="21"/>
      <w:szCs w:val="21"/>
    </w:rPr>
  </w:style>
  <w:style w:type="paragraph" w:styleId="a6">
    <w:name w:val="Balloon Text"/>
    <w:basedOn w:val="a"/>
    <w:link w:val="Char0"/>
    <w:uiPriority w:val="99"/>
    <w:semiHidden/>
    <w:unhideWhenUsed/>
    <w:rsid w:val="009F3E61"/>
    <w:rPr>
      <w:sz w:val="18"/>
      <w:szCs w:val="18"/>
    </w:rPr>
  </w:style>
  <w:style w:type="character" w:customStyle="1" w:styleId="Char0">
    <w:name w:val="批注框文本 Char"/>
    <w:basedOn w:val="a0"/>
    <w:link w:val="a6"/>
    <w:uiPriority w:val="99"/>
    <w:semiHidden/>
    <w:rsid w:val="009F3E61"/>
    <w:rPr>
      <w:rFonts w:eastAsia="Arial Unicode MS" w:cs="Arial Unicode MS"/>
      <w:color w:val="000000"/>
      <w:sz w:val="18"/>
      <w:szCs w:val="18"/>
      <w:u w:color="000000"/>
    </w:rPr>
  </w:style>
  <w:style w:type="paragraph" w:styleId="a7">
    <w:name w:val="header"/>
    <w:basedOn w:val="a"/>
    <w:link w:val="Char1"/>
    <w:uiPriority w:val="99"/>
    <w:unhideWhenUsed/>
    <w:rsid w:val="009127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127A1"/>
    <w:rPr>
      <w:rFonts w:eastAsia="Arial Unicode MS" w:cs="Arial Unicode MS"/>
      <w:color w:val="000000"/>
      <w:sz w:val="18"/>
      <w:szCs w:val="18"/>
      <w:u w:color="000000"/>
    </w:rPr>
  </w:style>
  <w:style w:type="paragraph" w:styleId="a8">
    <w:name w:val="footer"/>
    <w:basedOn w:val="a"/>
    <w:link w:val="Char2"/>
    <w:uiPriority w:val="99"/>
    <w:unhideWhenUsed/>
    <w:rsid w:val="009127A1"/>
    <w:pPr>
      <w:tabs>
        <w:tab w:val="center" w:pos="4153"/>
        <w:tab w:val="right" w:pos="8306"/>
      </w:tabs>
      <w:snapToGrid w:val="0"/>
    </w:pPr>
    <w:rPr>
      <w:sz w:val="18"/>
      <w:szCs w:val="18"/>
    </w:rPr>
  </w:style>
  <w:style w:type="character" w:customStyle="1" w:styleId="Char2">
    <w:name w:val="页脚 Char"/>
    <w:basedOn w:val="a0"/>
    <w:link w:val="a8"/>
    <w:uiPriority w:val="99"/>
    <w:rsid w:val="009127A1"/>
    <w:rPr>
      <w:rFonts w:eastAsia="Arial Unicode MS" w:cs="Arial Unicode MS"/>
      <w:color w:val="000000"/>
      <w:sz w:val="18"/>
      <w:szCs w:val="18"/>
      <w:u w:color="000000"/>
    </w:rPr>
  </w:style>
  <w:style w:type="character" w:customStyle="1" w:styleId="1Char">
    <w:name w:val="标题 1 Char"/>
    <w:basedOn w:val="a0"/>
    <w:link w:val="1"/>
    <w:uiPriority w:val="9"/>
    <w:rsid w:val="005736DF"/>
    <w:rPr>
      <w:rFonts w:asciiTheme="majorHAnsi" w:eastAsiaTheme="majorEastAsia" w:hAnsiTheme="majorHAnsi" w:cstheme="majorBidi"/>
      <w:b/>
      <w:bCs/>
      <w:kern w:val="32"/>
      <w:sz w:val="32"/>
      <w:szCs w:val="32"/>
      <w:bdr w:val="none" w:sz="0" w:space="0" w:color="auto"/>
      <w:lang w:eastAsia="en-US"/>
    </w:rPr>
  </w:style>
  <w:style w:type="character" w:customStyle="1" w:styleId="2Char">
    <w:name w:val="标题 2 Char"/>
    <w:basedOn w:val="a0"/>
    <w:link w:val="2"/>
    <w:uiPriority w:val="9"/>
    <w:semiHidden/>
    <w:rsid w:val="005736DF"/>
    <w:rPr>
      <w:rFonts w:asciiTheme="majorHAnsi" w:eastAsiaTheme="majorEastAsia" w:hAnsiTheme="majorHAnsi" w:cstheme="majorBidi"/>
      <w:b/>
      <w:bCs/>
      <w:i/>
      <w:iCs/>
      <w:sz w:val="28"/>
      <w:szCs w:val="28"/>
      <w:bdr w:val="none" w:sz="0" w:space="0" w:color="auto"/>
      <w:lang w:eastAsia="en-US"/>
    </w:rPr>
  </w:style>
  <w:style w:type="character" w:customStyle="1" w:styleId="3Char">
    <w:name w:val="标题 3 Char"/>
    <w:basedOn w:val="a0"/>
    <w:link w:val="3"/>
    <w:uiPriority w:val="9"/>
    <w:semiHidden/>
    <w:rsid w:val="005736DF"/>
    <w:rPr>
      <w:rFonts w:asciiTheme="majorHAnsi" w:eastAsiaTheme="majorEastAsia" w:hAnsiTheme="majorHAnsi" w:cstheme="majorBidi"/>
      <w:b/>
      <w:bCs/>
      <w:sz w:val="26"/>
      <w:szCs w:val="26"/>
      <w:bdr w:val="none" w:sz="0" w:space="0" w:color="auto"/>
      <w:lang w:eastAsia="en-US"/>
    </w:rPr>
  </w:style>
  <w:style w:type="character" w:customStyle="1" w:styleId="4Char">
    <w:name w:val="标题 4 Char"/>
    <w:basedOn w:val="a0"/>
    <w:link w:val="4"/>
    <w:uiPriority w:val="9"/>
    <w:semiHidden/>
    <w:rsid w:val="005736DF"/>
    <w:rPr>
      <w:rFonts w:asciiTheme="minorHAnsi" w:hAnsiTheme="minorHAnsi" w:cstheme="minorBidi"/>
      <w:b/>
      <w:bCs/>
      <w:sz w:val="28"/>
      <w:szCs w:val="28"/>
      <w:bdr w:val="none" w:sz="0" w:space="0" w:color="auto"/>
      <w:lang w:eastAsia="en-US"/>
    </w:rPr>
  </w:style>
  <w:style w:type="character" w:customStyle="1" w:styleId="5Char">
    <w:name w:val="标题 5 Char"/>
    <w:basedOn w:val="a0"/>
    <w:link w:val="5"/>
    <w:uiPriority w:val="9"/>
    <w:semiHidden/>
    <w:rsid w:val="005736DF"/>
    <w:rPr>
      <w:rFonts w:asciiTheme="minorHAnsi" w:hAnsiTheme="minorHAnsi" w:cstheme="minorBidi"/>
      <w:b/>
      <w:bCs/>
      <w:i/>
      <w:iCs/>
      <w:sz w:val="26"/>
      <w:szCs w:val="26"/>
      <w:bdr w:val="none" w:sz="0" w:space="0" w:color="auto"/>
      <w:lang w:eastAsia="en-US"/>
    </w:rPr>
  </w:style>
  <w:style w:type="character" w:customStyle="1" w:styleId="6Char">
    <w:name w:val="标题 6 Char"/>
    <w:basedOn w:val="a0"/>
    <w:link w:val="6"/>
    <w:rsid w:val="005736DF"/>
    <w:rPr>
      <w:b/>
      <w:bCs/>
      <w:sz w:val="22"/>
      <w:szCs w:val="22"/>
      <w:bdr w:val="none" w:sz="0" w:space="0" w:color="auto"/>
      <w:lang w:eastAsia="en-US"/>
    </w:rPr>
  </w:style>
  <w:style w:type="character" w:customStyle="1" w:styleId="7Char">
    <w:name w:val="标题 7 Char"/>
    <w:basedOn w:val="a0"/>
    <w:link w:val="7"/>
    <w:uiPriority w:val="9"/>
    <w:semiHidden/>
    <w:rsid w:val="005736DF"/>
    <w:rPr>
      <w:rFonts w:asciiTheme="minorHAnsi" w:hAnsiTheme="minorHAnsi" w:cstheme="minorBidi"/>
      <w:sz w:val="24"/>
      <w:szCs w:val="24"/>
      <w:bdr w:val="none" w:sz="0" w:space="0" w:color="auto"/>
      <w:lang w:eastAsia="en-US"/>
    </w:rPr>
  </w:style>
  <w:style w:type="character" w:customStyle="1" w:styleId="8Char">
    <w:name w:val="标题 8 Char"/>
    <w:basedOn w:val="a0"/>
    <w:link w:val="8"/>
    <w:uiPriority w:val="9"/>
    <w:semiHidden/>
    <w:rsid w:val="005736DF"/>
    <w:rPr>
      <w:rFonts w:asciiTheme="minorHAnsi" w:hAnsiTheme="minorHAnsi" w:cstheme="minorBidi"/>
      <w:i/>
      <w:iCs/>
      <w:sz w:val="24"/>
      <w:szCs w:val="24"/>
      <w:bdr w:val="none" w:sz="0" w:space="0" w:color="auto"/>
      <w:lang w:eastAsia="en-US"/>
    </w:rPr>
  </w:style>
  <w:style w:type="character" w:customStyle="1" w:styleId="9Char">
    <w:name w:val="标题 9 Char"/>
    <w:basedOn w:val="a0"/>
    <w:link w:val="9"/>
    <w:uiPriority w:val="9"/>
    <w:semiHidden/>
    <w:rsid w:val="005736DF"/>
    <w:rPr>
      <w:rFonts w:asciiTheme="majorHAnsi" w:eastAsiaTheme="majorEastAsia" w:hAnsiTheme="majorHAnsi" w:cstheme="majorBid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rPr>
  </w:style>
  <w:style w:type="paragraph" w:styleId="1">
    <w:name w:val="heading 1"/>
    <w:basedOn w:val="a"/>
    <w:next w:val="a"/>
    <w:link w:val="1Char"/>
    <w:uiPriority w:val="9"/>
    <w:qFormat/>
    <w:rsid w:val="005736DF"/>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cstheme="majorBidi"/>
      <w:b/>
      <w:bCs/>
      <w:color w:val="auto"/>
      <w:kern w:val="32"/>
      <w:sz w:val="32"/>
      <w:szCs w:val="32"/>
      <w:bdr w:val="none" w:sz="0" w:space="0" w:color="auto"/>
      <w:lang w:eastAsia="en-US"/>
    </w:rPr>
  </w:style>
  <w:style w:type="paragraph" w:styleId="2">
    <w:name w:val="heading 2"/>
    <w:basedOn w:val="a"/>
    <w:next w:val="a"/>
    <w:link w:val="2Char"/>
    <w:uiPriority w:val="9"/>
    <w:semiHidden/>
    <w:unhideWhenUsed/>
    <w:qFormat/>
    <w:rsid w:val="005736DF"/>
    <w:pPr>
      <w:keepNext/>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cstheme="majorBidi"/>
      <w:b/>
      <w:bCs/>
      <w:i/>
      <w:iCs/>
      <w:color w:val="auto"/>
      <w:sz w:val="28"/>
      <w:szCs w:val="28"/>
      <w:bdr w:val="none" w:sz="0" w:space="0" w:color="auto"/>
      <w:lang w:eastAsia="en-US"/>
    </w:rPr>
  </w:style>
  <w:style w:type="paragraph" w:styleId="3">
    <w:name w:val="heading 3"/>
    <w:basedOn w:val="a"/>
    <w:next w:val="a"/>
    <w:link w:val="3Char"/>
    <w:uiPriority w:val="9"/>
    <w:semiHidden/>
    <w:unhideWhenUsed/>
    <w:qFormat/>
    <w:rsid w:val="005736DF"/>
    <w:pPr>
      <w:keepNext/>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Theme="majorHAnsi" w:eastAsiaTheme="majorEastAsia" w:hAnsiTheme="majorHAnsi" w:cstheme="majorBidi"/>
      <w:b/>
      <w:bCs/>
      <w:color w:val="auto"/>
      <w:sz w:val="26"/>
      <w:szCs w:val="26"/>
      <w:bdr w:val="none" w:sz="0" w:space="0" w:color="auto"/>
      <w:lang w:eastAsia="en-US"/>
    </w:rPr>
  </w:style>
  <w:style w:type="paragraph" w:styleId="4">
    <w:name w:val="heading 4"/>
    <w:basedOn w:val="a"/>
    <w:next w:val="a"/>
    <w:link w:val="4Char"/>
    <w:uiPriority w:val="9"/>
    <w:semiHidden/>
    <w:unhideWhenUsed/>
    <w:qFormat/>
    <w:rsid w:val="005736DF"/>
    <w:pPr>
      <w:keepNext/>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heme="minorHAnsi" w:eastAsiaTheme="minorEastAsia" w:hAnsiTheme="minorHAnsi" w:cstheme="minorBidi"/>
      <w:b/>
      <w:bCs/>
      <w:color w:val="auto"/>
      <w:sz w:val="28"/>
      <w:szCs w:val="28"/>
      <w:bdr w:val="none" w:sz="0" w:space="0" w:color="auto"/>
      <w:lang w:eastAsia="en-US"/>
    </w:rPr>
  </w:style>
  <w:style w:type="paragraph" w:styleId="5">
    <w:name w:val="heading 5"/>
    <w:basedOn w:val="a"/>
    <w:next w:val="a"/>
    <w:link w:val="5Char"/>
    <w:uiPriority w:val="9"/>
    <w:semiHidden/>
    <w:unhideWhenUsed/>
    <w:qFormat/>
    <w:rsid w:val="005736DF"/>
    <w:pPr>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EastAsia" w:hAnsiTheme="minorHAnsi" w:cstheme="minorBidi"/>
      <w:b/>
      <w:bCs/>
      <w:i/>
      <w:iCs/>
      <w:color w:val="auto"/>
      <w:sz w:val="26"/>
      <w:szCs w:val="26"/>
      <w:bdr w:val="none" w:sz="0" w:space="0" w:color="auto"/>
      <w:lang w:eastAsia="en-US"/>
    </w:rPr>
  </w:style>
  <w:style w:type="paragraph" w:styleId="6">
    <w:name w:val="heading 6"/>
    <w:basedOn w:val="a"/>
    <w:next w:val="a"/>
    <w:link w:val="6Char"/>
    <w:qFormat/>
    <w:rsid w:val="005736DF"/>
    <w:pPr>
      <w:numPr>
        <w:ilvl w:val="5"/>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heme="minorEastAsia" w:cs="Times New Roman"/>
      <w:b/>
      <w:bCs/>
      <w:color w:val="auto"/>
      <w:sz w:val="22"/>
      <w:szCs w:val="22"/>
      <w:bdr w:val="none" w:sz="0" w:space="0" w:color="auto"/>
      <w:lang w:eastAsia="en-US"/>
    </w:rPr>
  </w:style>
  <w:style w:type="paragraph" w:styleId="7">
    <w:name w:val="heading 7"/>
    <w:basedOn w:val="a"/>
    <w:next w:val="a"/>
    <w:link w:val="7Char"/>
    <w:uiPriority w:val="9"/>
    <w:semiHidden/>
    <w:unhideWhenUsed/>
    <w:qFormat/>
    <w:rsid w:val="005736DF"/>
    <w:pPr>
      <w:numPr>
        <w:ilvl w:val="6"/>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EastAsia" w:hAnsiTheme="minorHAnsi" w:cstheme="minorBidi"/>
      <w:color w:val="auto"/>
      <w:bdr w:val="none" w:sz="0" w:space="0" w:color="auto"/>
      <w:lang w:eastAsia="en-US"/>
    </w:rPr>
  </w:style>
  <w:style w:type="paragraph" w:styleId="8">
    <w:name w:val="heading 8"/>
    <w:basedOn w:val="a"/>
    <w:next w:val="a"/>
    <w:link w:val="8Char"/>
    <w:uiPriority w:val="9"/>
    <w:semiHidden/>
    <w:unhideWhenUsed/>
    <w:qFormat/>
    <w:rsid w:val="005736DF"/>
    <w:pPr>
      <w:numPr>
        <w:ilvl w:val="7"/>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EastAsia" w:hAnsiTheme="minorHAnsi" w:cstheme="minorBidi"/>
      <w:i/>
      <w:iCs/>
      <w:color w:val="auto"/>
      <w:bdr w:val="none" w:sz="0" w:space="0" w:color="auto"/>
      <w:lang w:eastAsia="en-US"/>
    </w:rPr>
  </w:style>
  <w:style w:type="paragraph" w:styleId="9">
    <w:name w:val="heading 9"/>
    <w:basedOn w:val="a"/>
    <w:next w:val="a"/>
    <w:link w:val="9Char"/>
    <w:uiPriority w:val="9"/>
    <w:semiHidden/>
    <w:unhideWhenUsed/>
    <w:qFormat/>
    <w:rsid w:val="005736DF"/>
    <w:pPr>
      <w:numPr>
        <w:ilvl w:val="8"/>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cstheme="majorBidi"/>
      <w:color w:val="auto"/>
      <w:sz w:val="22"/>
      <w:szCs w:val="22"/>
      <w:bdr w:val="none" w:sz="0"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eastAsia="Arial Unicode MS" w:hAnsi="Helvetica Neue" w:cs="Arial Unicode MS"/>
      <w:color w:val="000000"/>
      <w:sz w:val="24"/>
      <w:szCs w:val="24"/>
      <w:u w:color="000000"/>
    </w:rPr>
  </w:style>
  <w:style w:type="character" w:customStyle="1" w:styleId="Ninguno">
    <w:name w:val="Ninguno"/>
  </w:style>
  <w:style w:type="paragraph" w:customStyle="1" w:styleId="Encabezadoypie">
    <w:name w:val="Encabezado y pie"/>
    <w:pPr>
      <w:tabs>
        <w:tab w:val="right" w:pos="9020"/>
      </w:tabs>
    </w:pPr>
    <w:rPr>
      <w:rFonts w:ascii="Helvetica Neue" w:eastAsia="Arial Unicode MS" w:hAnsi="Helvetica Neue" w:cs="Arial Unicode MS"/>
      <w:color w:val="000000"/>
      <w:sz w:val="24"/>
      <w:szCs w:val="24"/>
    </w:rPr>
  </w:style>
  <w:style w:type="paragraph" w:customStyle="1" w:styleId="CuerpoA">
    <w:name w:val="Cuerpo A"/>
    <w:rPr>
      <w:rFonts w:ascii="Helvetica Neue" w:eastAsia="Helvetica Neue" w:hAnsi="Helvetica Neue" w:cs="Helvetica Neue"/>
      <w:color w:val="000000"/>
      <w:sz w:val="22"/>
      <w:szCs w:val="22"/>
      <w:u w:color="000000"/>
      <w:lang w:val="es-ES_tradnl"/>
    </w:rPr>
  </w:style>
  <w:style w:type="paragraph" w:customStyle="1" w:styleId="BodyA">
    <w:name w:val="Body A"/>
    <w:rPr>
      <w:rFonts w:ascii="Calibri" w:eastAsia="Calibri" w:hAnsi="Calibri" w:cs="Calibri"/>
      <w:color w:val="000000"/>
      <w:sz w:val="22"/>
      <w:szCs w:val="22"/>
      <w:u w:color="000000"/>
    </w:rPr>
  </w:style>
  <w:style w:type="paragraph" w:customStyle="1" w:styleId="Predeterminado">
    <w:name w:val="Predeterminado"/>
    <w:rPr>
      <w:rFonts w:ascii="Helvetica Neue" w:eastAsia="Helvetica Neue" w:hAnsi="Helvetica Neue" w:cs="Helvetica Neue"/>
      <w:color w:val="000000"/>
      <w:sz w:val="22"/>
      <w:szCs w:val="22"/>
    </w:rPr>
  </w:style>
  <w:style w:type="character" w:customStyle="1" w:styleId="Hyperlink0">
    <w:name w:val="Hyperlink.0"/>
    <w:basedOn w:val="Ninguno"/>
    <w:rPr>
      <w:rFonts w:ascii="Book Antiqua" w:eastAsia="Book Antiqua" w:hAnsi="Book Antiqua" w:cs="Book Antiqua"/>
      <w:b/>
      <w:bCs/>
      <w:color w:val="0000FF"/>
      <w:sz w:val="24"/>
      <w:szCs w:val="24"/>
      <w:u w:val="single" w:color="0000FF"/>
      <w:lang w:val="es-ES_tradnl"/>
    </w:rPr>
  </w:style>
  <w:style w:type="numbering" w:customStyle="1" w:styleId="Nmero">
    <w:name w:val="Número"/>
    <w:pPr>
      <w:numPr>
        <w:numId w:val="1"/>
      </w:numPr>
    </w:pPr>
  </w:style>
  <w:style w:type="paragraph" w:customStyle="1" w:styleId="Estilodetabla2A">
    <w:name w:val="Estilo de tabla 2 A"/>
    <w:rPr>
      <w:rFonts w:ascii="Helvetica Neue" w:eastAsia="Arial Unicode MS" w:hAnsi="Helvetica Neue" w:cs="Arial Unicode MS"/>
      <w:color w:val="000000"/>
      <w:u w:color="000000"/>
      <w:lang w:val="fr-FR"/>
    </w:rPr>
  </w:style>
  <w:style w:type="paragraph" w:customStyle="1" w:styleId="Poromisin">
    <w:name w:val="Por omisión"/>
    <w:rPr>
      <w:rFonts w:ascii="Helvetica Neue" w:eastAsia="Arial Unicode MS" w:hAnsi="Helvetica Neue" w:cs="Arial Unicode MS"/>
      <w:color w:val="000000"/>
      <w:sz w:val="22"/>
      <w:szCs w:val="22"/>
      <w:u w:color="000000"/>
      <w:lang w:val="es-ES_tradnl"/>
    </w:r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rPr>
      <w:rFonts w:cs="Arial Unicode MS"/>
      <w:color w:val="000000"/>
      <w:sz w:val="24"/>
      <w:szCs w:val="24"/>
      <w:u w:color="000000"/>
    </w:rPr>
  </w:style>
  <w:style w:type="character" w:styleId="a5">
    <w:name w:val="annotation reference"/>
    <w:basedOn w:val="a0"/>
    <w:uiPriority w:val="99"/>
    <w:semiHidden/>
    <w:unhideWhenUsed/>
    <w:rPr>
      <w:sz w:val="21"/>
      <w:szCs w:val="21"/>
    </w:rPr>
  </w:style>
  <w:style w:type="paragraph" w:styleId="a6">
    <w:name w:val="Balloon Text"/>
    <w:basedOn w:val="a"/>
    <w:link w:val="Char0"/>
    <w:uiPriority w:val="99"/>
    <w:semiHidden/>
    <w:unhideWhenUsed/>
    <w:rsid w:val="009F3E61"/>
    <w:rPr>
      <w:sz w:val="18"/>
      <w:szCs w:val="18"/>
    </w:rPr>
  </w:style>
  <w:style w:type="character" w:customStyle="1" w:styleId="Char0">
    <w:name w:val="批注框文本 Char"/>
    <w:basedOn w:val="a0"/>
    <w:link w:val="a6"/>
    <w:uiPriority w:val="99"/>
    <w:semiHidden/>
    <w:rsid w:val="009F3E61"/>
    <w:rPr>
      <w:rFonts w:eastAsia="Arial Unicode MS" w:cs="Arial Unicode MS"/>
      <w:color w:val="000000"/>
      <w:sz w:val="18"/>
      <w:szCs w:val="18"/>
      <w:u w:color="000000"/>
    </w:rPr>
  </w:style>
  <w:style w:type="paragraph" w:styleId="a7">
    <w:name w:val="header"/>
    <w:basedOn w:val="a"/>
    <w:link w:val="Char1"/>
    <w:uiPriority w:val="99"/>
    <w:unhideWhenUsed/>
    <w:rsid w:val="009127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127A1"/>
    <w:rPr>
      <w:rFonts w:eastAsia="Arial Unicode MS" w:cs="Arial Unicode MS"/>
      <w:color w:val="000000"/>
      <w:sz w:val="18"/>
      <w:szCs w:val="18"/>
      <w:u w:color="000000"/>
    </w:rPr>
  </w:style>
  <w:style w:type="paragraph" w:styleId="a8">
    <w:name w:val="footer"/>
    <w:basedOn w:val="a"/>
    <w:link w:val="Char2"/>
    <w:uiPriority w:val="99"/>
    <w:unhideWhenUsed/>
    <w:rsid w:val="009127A1"/>
    <w:pPr>
      <w:tabs>
        <w:tab w:val="center" w:pos="4153"/>
        <w:tab w:val="right" w:pos="8306"/>
      </w:tabs>
      <w:snapToGrid w:val="0"/>
    </w:pPr>
    <w:rPr>
      <w:sz w:val="18"/>
      <w:szCs w:val="18"/>
    </w:rPr>
  </w:style>
  <w:style w:type="character" w:customStyle="1" w:styleId="Char2">
    <w:name w:val="页脚 Char"/>
    <w:basedOn w:val="a0"/>
    <w:link w:val="a8"/>
    <w:uiPriority w:val="99"/>
    <w:rsid w:val="009127A1"/>
    <w:rPr>
      <w:rFonts w:eastAsia="Arial Unicode MS" w:cs="Arial Unicode MS"/>
      <w:color w:val="000000"/>
      <w:sz w:val="18"/>
      <w:szCs w:val="18"/>
      <w:u w:color="000000"/>
    </w:rPr>
  </w:style>
  <w:style w:type="character" w:customStyle="1" w:styleId="1Char">
    <w:name w:val="标题 1 Char"/>
    <w:basedOn w:val="a0"/>
    <w:link w:val="1"/>
    <w:uiPriority w:val="9"/>
    <w:rsid w:val="005736DF"/>
    <w:rPr>
      <w:rFonts w:asciiTheme="majorHAnsi" w:eastAsiaTheme="majorEastAsia" w:hAnsiTheme="majorHAnsi" w:cstheme="majorBidi"/>
      <w:b/>
      <w:bCs/>
      <w:kern w:val="32"/>
      <w:sz w:val="32"/>
      <w:szCs w:val="32"/>
      <w:bdr w:val="none" w:sz="0" w:space="0" w:color="auto"/>
      <w:lang w:eastAsia="en-US"/>
    </w:rPr>
  </w:style>
  <w:style w:type="character" w:customStyle="1" w:styleId="2Char">
    <w:name w:val="标题 2 Char"/>
    <w:basedOn w:val="a0"/>
    <w:link w:val="2"/>
    <w:uiPriority w:val="9"/>
    <w:semiHidden/>
    <w:rsid w:val="005736DF"/>
    <w:rPr>
      <w:rFonts w:asciiTheme="majorHAnsi" w:eastAsiaTheme="majorEastAsia" w:hAnsiTheme="majorHAnsi" w:cstheme="majorBidi"/>
      <w:b/>
      <w:bCs/>
      <w:i/>
      <w:iCs/>
      <w:sz w:val="28"/>
      <w:szCs w:val="28"/>
      <w:bdr w:val="none" w:sz="0" w:space="0" w:color="auto"/>
      <w:lang w:eastAsia="en-US"/>
    </w:rPr>
  </w:style>
  <w:style w:type="character" w:customStyle="1" w:styleId="3Char">
    <w:name w:val="标题 3 Char"/>
    <w:basedOn w:val="a0"/>
    <w:link w:val="3"/>
    <w:uiPriority w:val="9"/>
    <w:semiHidden/>
    <w:rsid w:val="005736DF"/>
    <w:rPr>
      <w:rFonts w:asciiTheme="majorHAnsi" w:eastAsiaTheme="majorEastAsia" w:hAnsiTheme="majorHAnsi" w:cstheme="majorBidi"/>
      <w:b/>
      <w:bCs/>
      <w:sz w:val="26"/>
      <w:szCs w:val="26"/>
      <w:bdr w:val="none" w:sz="0" w:space="0" w:color="auto"/>
      <w:lang w:eastAsia="en-US"/>
    </w:rPr>
  </w:style>
  <w:style w:type="character" w:customStyle="1" w:styleId="4Char">
    <w:name w:val="标题 4 Char"/>
    <w:basedOn w:val="a0"/>
    <w:link w:val="4"/>
    <w:uiPriority w:val="9"/>
    <w:semiHidden/>
    <w:rsid w:val="005736DF"/>
    <w:rPr>
      <w:rFonts w:asciiTheme="minorHAnsi" w:hAnsiTheme="minorHAnsi" w:cstheme="minorBidi"/>
      <w:b/>
      <w:bCs/>
      <w:sz w:val="28"/>
      <w:szCs w:val="28"/>
      <w:bdr w:val="none" w:sz="0" w:space="0" w:color="auto"/>
      <w:lang w:eastAsia="en-US"/>
    </w:rPr>
  </w:style>
  <w:style w:type="character" w:customStyle="1" w:styleId="5Char">
    <w:name w:val="标题 5 Char"/>
    <w:basedOn w:val="a0"/>
    <w:link w:val="5"/>
    <w:uiPriority w:val="9"/>
    <w:semiHidden/>
    <w:rsid w:val="005736DF"/>
    <w:rPr>
      <w:rFonts w:asciiTheme="minorHAnsi" w:hAnsiTheme="minorHAnsi" w:cstheme="minorBidi"/>
      <w:b/>
      <w:bCs/>
      <w:i/>
      <w:iCs/>
      <w:sz w:val="26"/>
      <w:szCs w:val="26"/>
      <w:bdr w:val="none" w:sz="0" w:space="0" w:color="auto"/>
      <w:lang w:eastAsia="en-US"/>
    </w:rPr>
  </w:style>
  <w:style w:type="character" w:customStyle="1" w:styleId="6Char">
    <w:name w:val="标题 6 Char"/>
    <w:basedOn w:val="a0"/>
    <w:link w:val="6"/>
    <w:rsid w:val="005736DF"/>
    <w:rPr>
      <w:b/>
      <w:bCs/>
      <w:sz w:val="22"/>
      <w:szCs w:val="22"/>
      <w:bdr w:val="none" w:sz="0" w:space="0" w:color="auto"/>
      <w:lang w:eastAsia="en-US"/>
    </w:rPr>
  </w:style>
  <w:style w:type="character" w:customStyle="1" w:styleId="7Char">
    <w:name w:val="标题 7 Char"/>
    <w:basedOn w:val="a0"/>
    <w:link w:val="7"/>
    <w:uiPriority w:val="9"/>
    <w:semiHidden/>
    <w:rsid w:val="005736DF"/>
    <w:rPr>
      <w:rFonts w:asciiTheme="minorHAnsi" w:hAnsiTheme="minorHAnsi" w:cstheme="minorBidi"/>
      <w:sz w:val="24"/>
      <w:szCs w:val="24"/>
      <w:bdr w:val="none" w:sz="0" w:space="0" w:color="auto"/>
      <w:lang w:eastAsia="en-US"/>
    </w:rPr>
  </w:style>
  <w:style w:type="character" w:customStyle="1" w:styleId="8Char">
    <w:name w:val="标题 8 Char"/>
    <w:basedOn w:val="a0"/>
    <w:link w:val="8"/>
    <w:uiPriority w:val="9"/>
    <w:semiHidden/>
    <w:rsid w:val="005736DF"/>
    <w:rPr>
      <w:rFonts w:asciiTheme="minorHAnsi" w:hAnsiTheme="minorHAnsi" w:cstheme="minorBidi"/>
      <w:i/>
      <w:iCs/>
      <w:sz w:val="24"/>
      <w:szCs w:val="24"/>
      <w:bdr w:val="none" w:sz="0" w:space="0" w:color="auto"/>
      <w:lang w:eastAsia="en-US"/>
    </w:rPr>
  </w:style>
  <w:style w:type="character" w:customStyle="1" w:styleId="9Char">
    <w:name w:val="标题 9 Char"/>
    <w:basedOn w:val="a0"/>
    <w:link w:val="9"/>
    <w:uiPriority w:val="9"/>
    <w:semiHidden/>
    <w:rsid w:val="005736DF"/>
    <w:rPr>
      <w:rFonts w:asciiTheme="majorHAnsi" w:eastAsiaTheme="majorEastAsia" w:hAnsiTheme="majorHAnsi" w:cstheme="maj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Wang Jie</cp:lastModifiedBy>
  <cp:revision>5</cp:revision>
  <dcterms:created xsi:type="dcterms:W3CDTF">2019-06-27T01:37:00Z</dcterms:created>
  <dcterms:modified xsi:type="dcterms:W3CDTF">2019-07-25T08:07:00Z</dcterms:modified>
</cp:coreProperties>
</file>