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9086" w14:textId="77777777" w:rsidR="007018B5" w:rsidRPr="007018B5" w:rsidRDefault="007018B5" w:rsidP="007E3B89">
      <w:pPr>
        <w:suppressAutoHyphens/>
        <w:adjustRightInd w:val="0"/>
        <w:snapToGrid w:val="0"/>
        <w:spacing w:before="0" w:after="0"/>
        <w:jc w:val="both"/>
        <w:rPr>
          <w:rFonts w:eastAsia="SimSun"/>
          <w:b/>
          <w:color w:val="000000"/>
          <w:szCs w:val="24"/>
          <w:lang w:val="en-US" w:eastAsia="ar-SA"/>
        </w:rPr>
      </w:pPr>
      <w:bookmarkStart w:id="0" w:name="OLE_LINK262"/>
      <w:bookmarkStart w:id="1" w:name="OLE_LINK263"/>
      <w:bookmarkStart w:id="2" w:name="OLE_LINK191"/>
      <w:bookmarkStart w:id="3" w:name="OLE_LINK192"/>
      <w:bookmarkStart w:id="4" w:name="OLE_LINK484"/>
      <w:bookmarkStart w:id="5" w:name="OLE_LINK356"/>
      <w:bookmarkStart w:id="6" w:name="OLE_LINK372"/>
      <w:bookmarkStart w:id="7" w:name="OLE_LINK214"/>
      <w:bookmarkStart w:id="8" w:name="OLE_LINK493"/>
      <w:bookmarkStart w:id="9" w:name="OLE_LINK552"/>
      <w:bookmarkStart w:id="10" w:name="OLE_LINK553"/>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255"/>
      <w:bookmarkStart w:id="20" w:name="OLE_LINK578"/>
      <w:bookmarkStart w:id="21" w:name="OLE_LINK511"/>
      <w:bookmarkStart w:id="22" w:name="OLE_LINK512"/>
      <w:r w:rsidRPr="007018B5">
        <w:rPr>
          <w:rFonts w:eastAsia="SimSun"/>
          <w:b/>
          <w:color w:val="000000"/>
          <w:szCs w:val="24"/>
          <w:lang w:val="en-US" w:eastAsia="ar-SA"/>
        </w:rPr>
        <w:t xml:space="preserve">Name of Journal: </w:t>
      </w:r>
      <w:r w:rsidRPr="007018B5">
        <w:rPr>
          <w:rFonts w:eastAsia="SimSun"/>
          <w:b/>
          <w:i/>
          <w:color w:val="000000"/>
          <w:szCs w:val="24"/>
          <w:lang w:val="en-US" w:eastAsia="ar-SA"/>
        </w:rPr>
        <w:t>World Journal of Gastrointestinal Pathophysiology</w:t>
      </w:r>
    </w:p>
    <w:p w14:paraId="73411D3F" w14:textId="229C6019" w:rsidR="007018B5" w:rsidRPr="007018B5" w:rsidRDefault="007018B5" w:rsidP="007E3B89">
      <w:pPr>
        <w:suppressAutoHyphens/>
        <w:adjustRightInd w:val="0"/>
        <w:snapToGrid w:val="0"/>
        <w:spacing w:before="0" w:after="0"/>
        <w:jc w:val="both"/>
        <w:rPr>
          <w:rFonts w:eastAsia="SimSun"/>
          <w:b/>
          <w:color w:val="000000"/>
          <w:szCs w:val="24"/>
          <w:lang w:val="en-US" w:eastAsia="ar-SA"/>
        </w:rPr>
      </w:pPr>
      <w:r w:rsidRPr="007018B5">
        <w:rPr>
          <w:rFonts w:eastAsia="SimSun"/>
          <w:b/>
          <w:color w:val="000000"/>
          <w:szCs w:val="24"/>
          <w:lang w:val="en-US" w:eastAsia="ar-SA"/>
        </w:rPr>
        <w:t>Manuscript NO: 48183</w:t>
      </w:r>
    </w:p>
    <w:p w14:paraId="3BBC6729" w14:textId="234E31E3" w:rsidR="00AF11D9" w:rsidRPr="007018B5" w:rsidRDefault="007018B5" w:rsidP="007E3B89">
      <w:pPr>
        <w:adjustRightInd w:val="0"/>
        <w:snapToGrid w:val="0"/>
        <w:spacing w:before="0" w:after="0"/>
        <w:jc w:val="both"/>
        <w:rPr>
          <w:b/>
          <w:szCs w:val="24"/>
          <w:lang w:val="en-US"/>
        </w:rPr>
      </w:pPr>
      <w:r w:rsidRPr="007018B5">
        <w:rPr>
          <w:rFonts w:eastAsia="SimSun"/>
          <w:b/>
          <w:color w:val="000000"/>
          <w:szCs w:val="24"/>
          <w:lang w:val="en-US" w:eastAsia="ar-SA"/>
        </w:rPr>
        <w:t>Manuscript Type:</w:t>
      </w:r>
      <w:r w:rsidR="00C97323">
        <w:rPr>
          <w:rFonts w:eastAsia="SimSun"/>
          <w:b/>
          <w:color w:val="000000"/>
          <w:szCs w:val="24"/>
          <w:lang w:val="en-US" w:eastAsia="ar-SA"/>
        </w:rPr>
        <w:t xml:space="preserve"> </w:t>
      </w:r>
      <w:bookmarkEnd w:id="0"/>
      <w:bookmarkEnd w:id="1"/>
      <w:r w:rsidRPr="007018B5">
        <w:rPr>
          <w:b/>
          <w:szCs w:val="24"/>
          <w:lang w:val="en-US"/>
        </w:rPr>
        <w:t>ORIGINAL ARTICLE</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69CDE7D7" w14:textId="52406E9C" w:rsidR="00AF11D9" w:rsidRPr="007018B5" w:rsidRDefault="00AF11D9" w:rsidP="007E3B89">
      <w:pPr>
        <w:adjustRightInd w:val="0"/>
        <w:snapToGrid w:val="0"/>
        <w:spacing w:before="0" w:after="0"/>
        <w:jc w:val="both"/>
        <w:rPr>
          <w:b/>
          <w:szCs w:val="24"/>
          <w:lang w:val="en-US"/>
        </w:rPr>
      </w:pPr>
    </w:p>
    <w:p w14:paraId="0CE04857" w14:textId="1CA3E626" w:rsidR="007018B5" w:rsidRPr="007018B5" w:rsidRDefault="007018B5" w:rsidP="007E3B89">
      <w:pPr>
        <w:adjustRightInd w:val="0"/>
        <w:snapToGrid w:val="0"/>
        <w:spacing w:before="0" w:after="0"/>
        <w:jc w:val="both"/>
        <w:rPr>
          <w:b/>
          <w:i/>
          <w:iCs/>
          <w:szCs w:val="24"/>
          <w:lang w:val="en-US"/>
        </w:rPr>
      </w:pPr>
      <w:r w:rsidRPr="007018B5">
        <w:rPr>
          <w:b/>
          <w:i/>
          <w:iCs/>
          <w:szCs w:val="24"/>
          <w:lang w:val="en-US"/>
        </w:rPr>
        <w:t>Observational Study</w:t>
      </w:r>
    </w:p>
    <w:p w14:paraId="7F1544DD" w14:textId="56C1117A" w:rsidR="00C37D8E" w:rsidRDefault="00DC5F05" w:rsidP="007E3B89">
      <w:pPr>
        <w:pStyle w:val="Title"/>
        <w:adjustRightInd w:val="0"/>
        <w:snapToGrid w:val="0"/>
        <w:spacing w:after="0"/>
        <w:jc w:val="both"/>
        <w:rPr>
          <w:lang w:val="en-US"/>
        </w:rPr>
      </w:pPr>
      <w:bookmarkStart w:id="23" w:name="OLE_LINK743"/>
      <w:bookmarkStart w:id="24" w:name="OLE_LINK744"/>
      <w:r w:rsidRPr="007018B5">
        <w:rPr>
          <w:lang w:val="en-US"/>
        </w:rPr>
        <w:t xml:space="preserve">Comparison of cytokine and phosphoprotein profiles in idiopathic and Crohn’s </w:t>
      </w:r>
      <w:r w:rsidR="00A21C79" w:rsidRPr="007018B5">
        <w:rPr>
          <w:lang w:val="en-US"/>
        </w:rPr>
        <w:t>disease</w:t>
      </w:r>
      <w:r w:rsidR="005725E1" w:rsidRPr="007018B5">
        <w:rPr>
          <w:lang w:val="en-US"/>
        </w:rPr>
        <w:t>-related</w:t>
      </w:r>
      <w:r w:rsidR="00A21C79" w:rsidRPr="007018B5">
        <w:rPr>
          <w:lang w:val="en-US"/>
        </w:rPr>
        <w:t xml:space="preserve"> </w:t>
      </w:r>
      <w:r w:rsidRPr="007018B5">
        <w:rPr>
          <w:lang w:val="en-US"/>
        </w:rPr>
        <w:t>perianal fistula</w:t>
      </w:r>
    </w:p>
    <w:bookmarkEnd w:id="23"/>
    <w:bookmarkEnd w:id="24"/>
    <w:p w14:paraId="47C84EB6" w14:textId="77777777" w:rsidR="007018B5" w:rsidRPr="007018B5" w:rsidRDefault="007018B5" w:rsidP="007E3B89">
      <w:pPr>
        <w:adjustRightInd w:val="0"/>
        <w:snapToGrid w:val="0"/>
        <w:spacing w:before="0" w:after="0"/>
        <w:jc w:val="both"/>
        <w:rPr>
          <w:lang w:val="en-US" w:eastAsia="en-GB"/>
        </w:rPr>
      </w:pPr>
    </w:p>
    <w:p w14:paraId="26E1B7A7" w14:textId="6A806A57" w:rsidR="00AF11D9" w:rsidRDefault="00C37D8E" w:rsidP="007E3B89">
      <w:pPr>
        <w:adjustRightInd w:val="0"/>
        <w:snapToGrid w:val="0"/>
        <w:spacing w:before="0" w:after="0"/>
        <w:jc w:val="both"/>
        <w:rPr>
          <w:szCs w:val="24"/>
          <w:lang w:val="en-US"/>
        </w:rPr>
      </w:pPr>
      <w:bookmarkStart w:id="25" w:name="OLE_LINK116"/>
      <w:bookmarkStart w:id="26" w:name="OLE_LINK217"/>
      <w:bookmarkStart w:id="27" w:name="OLE_LINK266"/>
      <w:bookmarkStart w:id="28" w:name="OLE_LINK766"/>
      <w:bookmarkStart w:id="29" w:name="OLE_LINK791"/>
      <w:bookmarkStart w:id="30" w:name="OLE_LINK864"/>
      <w:r w:rsidRPr="007018B5">
        <w:rPr>
          <w:szCs w:val="24"/>
          <w:highlight w:val="white"/>
          <w:lang w:val="en-US"/>
        </w:rPr>
        <w:t xml:space="preserve">Haddow JB </w:t>
      </w:r>
      <w:r w:rsidRPr="007018B5">
        <w:rPr>
          <w:i/>
          <w:iCs/>
          <w:szCs w:val="24"/>
          <w:highlight w:val="white"/>
          <w:lang w:val="en-US"/>
        </w:rPr>
        <w:t>et al.</w:t>
      </w:r>
      <w:r w:rsidR="00AF11D9" w:rsidRPr="007018B5">
        <w:rPr>
          <w:szCs w:val="24"/>
          <w:highlight w:val="white"/>
          <w:lang w:val="en-US"/>
        </w:rPr>
        <w:t xml:space="preserve"> </w:t>
      </w:r>
      <w:bookmarkEnd w:id="25"/>
      <w:r w:rsidRPr="007018B5">
        <w:rPr>
          <w:szCs w:val="24"/>
          <w:lang w:val="en-US"/>
        </w:rPr>
        <w:t>Perianal fistula immunopathology</w:t>
      </w:r>
    </w:p>
    <w:p w14:paraId="5B7C7DB8" w14:textId="77777777" w:rsidR="007018B5" w:rsidRPr="007018B5" w:rsidRDefault="007018B5" w:rsidP="007E3B89">
      <w:pPr>
        <w:adjustRightInd w:val="0"/>
        <w:snapToGrid w:val="0"/>
        <w:spacing w:before="0" w:after="0"/>
        <w:jc w:val="both"/>
        <w:rPr>
          <w:szCs w:val="24"/>
          <w:highlight w:val="white"/>
          <w:lang w:val="en-US"/>
        </w:rPr>
      </w:pPr>
    </w:p>
    <w:bookmarkEnd w:id="26"/>
    <w:bookmarkEnd w:id="27"/>
    <w:bookmarkEnd w:id="28"/>
    <w:bookmarkEnd w:id="29"/>
    <w:bookmarkEnd w:id="30"/>
    <w:p w14:paraId="3258BC99" w14:textId="41B429A4" w:rsidR="00205E33" w:rsidRPr="007018B5" w:rsidRDefault="00236A53" w:rsidP="007E3B89">
      <w:pPr>
        <w:adjustRightInd w:val="0"/>
        <w:snapToGrid w:val="0"/>
        <w:spacing w:before="0" w:after="0"/>
        <w:jc w:val="both"/>
        <w:rPr>
          <w:szCs w:val="24"/>
          <w:lang w:val="en-US"/>
        </w:rPr>
      </w:pPr>
      <w:r w:rsidRPr="007018B5">
        <w:rPr>
          <w:szCs w:val="24"/>
          <w:lang w:val="en-US"/>
        </w:rPr>
        <w:t xml:space="preserve">James B Haddow, Omar </w:t>
      </w:r>
      <w:proofErr w:type="spellStart"/>
      <w:r w:rsidRPr="007018B5">
        <w:rPr>
          <w:szCs w:val="24"/>
          <w:lang w:val="en-US"/>
        </w:rPr>
        <w:t>Musbahi</w:t>
      </w:r>
      <w:proofErr w:type="spellEnd"/>
      <w:r w:rsidRPr="007018B5">
        <w:rPr>
          <w:szCs w:val="24"/>
          <w:lang w:val="en-US"/>
        </w:rPr>
        <w:t>, Thomas T MacDonald, Charles H Knowles</w:t>
      </w:r>
    </w:p>
    <w:p w14:paraId="532A4DA0" w14:textId="77777777" w:rsidR="00236A53" w:rsidRPr="007018B5" w:rsidRDefault="00236A53" w:rsidP="007E3B89">
      <w:pPr>
        <w:adjustRightInd w:val="0"/>
        <w:snapToGrid w:val="0"/>
        <w:spacing w:before="0" w:after="0"/>
        <w:jc w:val="both"/>
        <w:rPr>
          <w:szCs w:val="24"/>
          <w:lang w:val="en-US"/>
        </w:rPr>
      </w:pPr>
    </w:p>
    <w:p w14:paraId="1919E241" w14:textId="51172AFB" w:rsidR="00C37D8E" w:rsidRDefault="00C37D8E" w:rsidP="007E3B89">
      <w:pPr>
        <w:adjustRightInd w:val="0"/>
        <w:snapToGrid w:val="0"/>
        <w:spacing w:before="0" w:after="0"/>
        <w:jc w:val="both"/>
        <w:rPr>
          <w:iCs/>
          <w:szCs w:val="24"/>
          <w:lang w:val="en-US"/>
        </w:rPr>
      </w:pPr>
      <w:r w:rsidRPr="007018B5">
        <w:rPr>
          <w:b/>
          <w:bCs/>
          <w:szCs w:val="24"/>
          <w:lang w:val="en-US"/>
        </w:rPr>
        <w:t xml:space="preserve">James B Haddow, Omar </w:t>
      </w:r>
      <w:proofErr w:type="spellStart"/>
      <w:r w:rsidRPr="007018B5">
        <w:rPr>
          <w:b/>
          <w:bCs/>
          <w:szCs w:val="24"/>
          <w:lang w:val="en-US"/>
        </w:rPr>
        <w:t>Musbahi</w:t>
      </w:r>
      <w:proofErr w:type="spellEnd"/>
      <w:r w:rsidRPr="007018B5">
        <w:rPr>
          <w:b/>
          <w:bCs/>
          <w:szCs w:val="24"/>
          <w:lang w:val="en-US"/>
        </w:rPr>
        <w:t>, Thomas T MacDonald, Charles H Knowles,</w:t>
      </w:r>
      <w:r w:rsidRPr="007018B5">
        <w:rPr>
          <w:szCs w:val="24"/>
          <w:lang w:val="en-US"/>
        </w:rPr>
        <w:t xml:space="preserve"> </w:t>
      </w:r>
      <w:bookmarkStart w:id="31" w:name="OLE_LINK697"/>
      <w:bookmarkStart w:id="32" w:name="OLE_LINK698"/>
      <w:proofErr w:type="spellStart"/>
      <w:r w:rsidRPr="007018B5">
        <w:rPr>
          <w:szCs w:val="24"/>
          <w:lang w:val="en-US"/>
        </w:rPr>
        <w:t>Blizard</w:t>
      </w:r>
      <w:proofErr w:type="spellEnd"/>
      <w:r w:rsidRPr="007018B5">
        <w:rPr>
          <w:iCs/>
          <w:szCs w:val="24"/>
          <w:lang w:val="en-US"/>
        </w:rPr>
        <w:t xml:space="preserve"> Institute, </w:t>
      </w:r>
      <w:proofErr w:type="spellStart"/>
      <w:r w:rsidRPr="007018B5">
        <w:rPr>
          <w:iCs/>
          <w:szCs w:val="24"/>
          <w:lang w:val="en-US"/>
        </w:rPr>
        <w:t>Barts</w:t>
      </w:r>
      <w:proofErr w:type="spellEnd"/>
      <w:r w:rsidRPr="007018B5">
        <w:rPr>
          <w:iCs/>
          <w:szCs w:val="24"/>
          <w:lang w:val="en-US"/>
        </w:rPr>
        <w:t xml:space="preserve"> and the London School of Medicine and Dentistry, </w:t>
      </w:r>
      <w:bookmarkStart w:id="33" w:name="OLE_LINK693"/>
      <w:bookmarkStart w:id="34" w:name="OLE_LINK694"/>
      <w:r w:rsidRPr="007018B5">
        <w:rPr>
          <w:iCs/>
          <w:szCs w:val="24"/>
          <w:lang w:val="en-US"/>
        </w:rPr>
        <w:t>Queen Mary University of London</w:t>
      </w:r>
      <w:bookmarkEnd w:id="33"/>
      <w:bookmarkEnd w:id="34"/>
      <w:r w:rsidRPr="007018B5">
        <w:rPr>
          <w:iCs/>
          <w:szCs w:val="24"/>
          <w:lang w:val="en-US"/>
        </w:rPr>
        <w:t>,</w:t>
      </w:r>
      <w:bookmarkEnd w:id="31"/>
      <w:bookmarkEnd w:id="32"/>
      <w:r w:rsidRPr="007018B5">
        <w:rPr>
          <w:iCs/>
          <w:szCs w:val="24"/>
          <w:lang w:val="en-US"/>
        </w:rPr>
        <w:t xml:space="preserve"> London </w:t>
      </w:r>
      <w:r w:rsidR="002F7D7F" w:rsidRPr="007018B5">
        <w:rPr>
          <w:iCs/>
          <w:szCs w:val="24"/>
          <w:lang w:val="en-US"/>
        </w:rPr>
        <w:t xml:space="preserve">E1 5AT, </w:t>
      </w:r>
      <w:r w:rsidRPr="007018B5">
        <w:rPr>
          <w:iCs/>
          <w:szCs w:val="24"/>
          <w:lang w:val="en-US"/>
        </w:rPr>
        <w:t>U</w:t>
      </w:r>
      <w:r w:rsidR="007018B5">
        <w:rPr>
          <w:iCs/>
          <w:szCs w:val="24"/>
          <w:lang w:val="en-US"/>
        </w:rPr>
        <w:t>nited Kingdom</w:t>
      </w:r>
    </w:p>
    <w:p w14:paraId="00D8C11E" w14:textId="77777777" w:rsidR="007018B5" w:rsidRPr="007018B5" w:rsidRDefault="007018B5" w:rsidP="007E3B89">
      <w:pPr>
        <w:adjustRightInd w:val="0"/>
        <w:snapToGrid w:val="0"/>
        <w:spacing w:before="0" w:after="0"/>
        <w:jc w:val="both"/>
        <w:rPr>
          <w:iCs/>
          <w:szCs w:val="24"/>
          <w:lang w:val="en-US"/>
        </w:rPr>
      </w:pPr>
    </w:p>
    <w:p w14:paraId="7F0B6661" w14:textId="51B2699A" w:rsidR="00AB4050" w:rsidRDefault="00AF11D9" w:rsidP="007E3B89">
      <w:pPr>
        <w:adjustRightInd w:val="0"/>
        <w:snapToGrid w:val="0"/>
        <w:spacing w:before="0" w:after="0"/>
        <w:jc w:val="both"/>
        <w:rPr>
          <w:szCs w:val="24"/>
          <w:lang w:val="en-US"/>
        </w:rPr>
      </w:pPr>
      <w:bookmarkStart w:id="35" w:name="OLE_LINK167"/>
      <w:bookmarkStart w:id="36" w:name="OLE_LINK170"/>
      <w:bookmarkStart w:id="37" w:name="OLE_LINK219"/>
      <w:bookmarkStart w:id="38" w:name="OLE_LINK487"/>
      <w:bookmarkStart w:id="39" w:name="OLE_LINK121"/>
      <w:bookmarkStart w:id="40" w:name="OLE_LINK269"/>
      <w:bookmarkStart w:id="41" w:name="OLE_LINK585"/>
      <w:bookmarkStart w:id="42" w:name="OLE_LINK874"/>
      <w:bookmarkStart w:id="43" w:name="OLE_LINK875"/>
      <w:r w:rsidRPr="007018B5">
        <w:rPr>
          <w:b/>
          <w:bCs/>
          <w:szCs w:val="24"/>
          <w:lang w:val="en-US"/>
        </w:rPr>
        <w:t>ORCID number:</w:t>
      </w:r>
      <w:bookmarkEnd w:id="35"/>
      <w:bookmarkEnd w:id="36"/>
      <w:bookmarkEnd w:id="37"/>
      <w:r w:rsidR="002F7D7F" w:rsidRPr="007018B5">
        <w:rPr>
          <w:szCs w:val="24"/>
          <w:lang w:val="en-US"/>
        </w:rPr>
        <w:t xml:space="preserve"> James B Haddow (0000-0002-4219-5649)</w:t>
      </w:r>
      <w:r w:rsidR="007018B5">
        <w:rPr>
          <w:szCs w:val="24"/>
          <w:lang w:val="en-US"/>
        </w:rPr>
        <w:t>;</w:t>
      </w:r>
      <w:r w:rsidR="002F7D7F" w:rsidRPr="007018B5">
        <w:rPr>
          <w:szCs w:val="24"/>
          <w:lang w:val="en-US"/>
        </w:rPr>
        <w:t xml:space="preserve"> Omar </w:t>
      </w:r>
      <w:proofErr w:type="spellStart"/>
      <w:r w:rsidR="002F7D7F" w:rsidRPr="007018B5">
        <w:rPr>
          <w:szCs w:val="24"/>
          <w:lang w:val="en-US"/>
        </w:rPr>
        <w:t>Musbahi</w:t>
      </w:r>
      <w:proofErr w:type="spellEnd"/>
      <w:r w:rsidR="002F7D7F" w:rsidRPr="007018B5">
        <w:rPr>
          <w:szCs w:val="24"/>
          <w:lang w:val="en-US"/>
        </w:rPr>
        <w:t xml:space="preserve"> (0000-0002-4095-0989)</w:t>
      </w:r>
      <w:r w:rsidR="007018B5">
        <w:rPr>
          <w:szCs w:val="24"/>
          <w:lang w:val="en-US"/>
        </w:rPr>
        <w:t>;</w:t>
      </w:r>
      <w:r w:rsidR="002F7D7F" w:rsidRPr="007018B5">
        <w:rPr>
          <w:szCs w:val="24"/>
          <w:lang w:val="en-US"/>
        </w:rPr>
        <w:t xml:space="preserve"> Thomas T MacDonald (0000-0003-1812-0740)</w:t>
      </w:r>
      <w:r w:rsidR="007018B5">
        <w:rPr>
          <w:szCs w:val="24"/>
          <w:lang w:val="en-US"/>
        </w:rPr>
        <w:t>;</w:t>
      </w:r>
      <w:r w:rsidR="002F7D7F" w:rsidRPr="007018B5">
        <w:rPr>
          <w:szCs w:val="24"/>
          <w:lang w:val="en-US"/>
        </w:rPr>
        <w:t xml:space="preserve"> Charles H Knowles (0000-0001-9854-6754)</w:t>
      </w:r>
      <w:r w:rsidR="007018B5">
        <w:rPr>
          <w:szCs w:val="24"/>
          <w:lang w:val="en-US"/>
        </w:rPr>
        <w:t>.</w:t>
      </w:r>
    </w:p>
    <w:p w14:paraId="448A2358" w14:textId="77777777" w:rsidR="007018B5" w:rsidRPr="007018B5" w:rsidRDefault="007018B5" w:rsidP="007E3B89">
      <w:pPr>
        <w:adjustRightInd w:val="0"/>
        <w:snapToGrid w:val="0"/>
        <w:spacing w:before="0" w:after="0"/>
        <w:jc w:val="both"/>
        <w:rPr>
          <w:szCs w:val="24"/>
          <w:lang w:val="en-US"/>
        </w:rPr>
      </w:pPr>
    </w:p>
    <w:p w14:paraId="6B3CC6D3" w14:textId="083AE8FA" w:rsidR="00AF11D9" w:rsidRDefault="002F7D7F" w:rsidP="007E3B89">
      <w:pPr>
        <w:adjustRightInd w:val="0"/>
        <w:snapToGrid w:val="0"/>
        <w:spacing w:before="0" w:after="0"/>
        <w:jc w:val="both"/>
        <w:rPr>
          <w:szCs w:val="24"/>
          <w:lang w:val="en-US"/>
        </w:rPr>
      </w:pPr>
      <w:r w:rsidRPr="007018B5">
        <w:rPr>
          <w:b/>
          <w:bCs/>
          <w:szCs w:val="24"/>
          <w:lang w:val="en-US"/>
        </w:rPr>
        <w:t>Author contributions:</w:t>
      </w:r>
      <w:r w:rsidRPr="007018B5">
        <w:rPr>
          <w:szCs w:val="24"/>
          <w:lang w:val="en-US"/>
        </w:rPr>
        <w:t xml:space="preserve"> Haddow J MacDonald TT and Knowles CH </w:t>
      </w:r>
      <w:r w:rsidR="00BC1841" w:rsidRPr="007018B5">
        <w:rPr>
          <w:szCs w:val="24"/>
          <w:lang w:val="en-US"/>
        </w:rPr>
        <w:t>conceived and designed the</w:t>
      </w:r>
      <w:r w:rsidRPr="007018B5">
        <w:rPr>
          <w:szCs w:val="24"/>
          <w:lang w:val="en-US"/>
        </w:rPr>
        <w:t xml:space="preserve"> study</w:t>
      </w:r>
      <w:r w:rsidR="008F634A">
        <w:rPr>
          <w:szCs w:val="24"/>
          <w:lang w:val="en-US"/>
        </w:rPr>
        <w:t>;</w:t>
      </w:r>
      <w:r w:rsidR="00BC1841" w:rsidRPr="007018B5">
        <w:rPr>
          <w:szCs w:val="24"/>
          <w:lang w:val="en-US"/>
        </w:rPr>
        <w:t xml:space="preserve"> Haddow J recruited the patients and acquired the data</w:t>
      </w:r>
      <w:r w:rsidR="008F634A">
        <w:rPr>
          <w:szCs w:val="24"/>
          <w:lang w:val="en-US"/>
        </w:rPr>
        <w:t>;</w:t>
      </w:r>
      <w:r w:rsidR="00BC1841" w:rsidRPr="007018B5">
        <w:rPr>
          <w:szCs w:val="24"/>
          <w:lang w:val="en-US"/>
        </w:rPr>
        <w:t xml:space="preserve"> Haddow J and Knowles CH acquired the specimens</w:t>
      </w:r>
      <w:r w:rsidR="008F634A">
        <w:rPr>
          <w:szCs w:val="24"/>
          <w:lang w:val="en-US"/>
        </w:rPr>
        <w:t>;</w:t>
      </w:r>
      <w:r w:rsidR="00BC1841" w:rsidRPr="007018B5">
        <w:rPr>
          <w:szCs w:val="24"/>
          <w:lang w:val="en-US"/>
        </w:rPr>
        <w:t xml:space="preserve"> Haddow J and </w:t>
      </w:r>
      <w:proofErr w:type="spellStart"/>
      <w:r w:rsidR="00BC1841" w:rsidRPr="007018B5">
        <w:rPr>
          <w:szCs w:val="24"/>
          <w:lang w:val="en-US"/>
        </w:rPr>
        <w:t>Musbahi</w:t>
      </w:r>
      <w:proofErr w:type="spellEnd"/>
      <w:r w:rsidR="00BC1841" w:rsidRPr="007018B5">
        <w:rPr>
          <w:szCs w:val="24"/>
          <w:lang w:val="en-US"/>
        </w:rPr>
        <w:t xml:space="preserve"> O performed the laboratory measurements and inputted the data</w:t>
      </w:r>
      <w:r w:rsidR="008F634A">
        <w:rPr>
          <w:szCs w:val="24"/>
          <w:lang w:val="en-US"/>
        </w:rPr>
        <w:t>;</w:t>
      </w:r>
      <w:r w:rsidR="00BC1841" w:rsidRPr="007018B5">
        <w:rPr>
          <w:szCs w:val="24"/>
          <w:lang w:val="en-US"/>
        </w:rPr>
        <w:t xml:space="preserve"> Haddow J and Knowles CH </w:t>
      </w:r>
      <w:proofErr w:type="spellStart"/>
      <w:r w:rsidR="00BC1841" w:rsidRPr="007018B5">
        <w:rPr>
          <w:szCs w:val="24"/>
          <w:lang w:val="en-US"/>
        </w:rPr>
        <w:t>analysed</w:t>
      </w:r>
      <w:proofErr w:type="spellEnd"/>
      <w:r w:rsidR="00BC1841" w:rsidRPr="007018B5">
        <w:rPr>
          <w:szCs w:val="24"/>
          <w:lang w:val="en-US"/>
        </w:rPr>
        <w:t xml:space="preserve"> the data</w:t>
      </w:r>
      <w:r w:rsidR="008F634A">
        <w:rPr>
          <w:szCs w:val="24"/>
          <w:lang w:val="en-US"/>
        </w:rPr>
        <w:t>;</w:t>
      </w:r>
      <w:r w:rsidR="00BC1841" w:rsidRPr="007018B5">
        <w:rPr>
          <w:szCs w:val="24"/>
          <w:lang w:val="en-US"/>
        </w:rPr>
        <w:t xml:space="preserve"> Haddow J, Knowles CH and MacDonald TT interpreted the data</w:t>
      </w:r>
      <w:r w:rsidR="008F634A">
        <w:rPr>
          <w:szCs w:val="24"/>
          <w:lang w:val="en-US"/>
        </w:rPr>
        <w:t>;</w:t>
      </w:r>
      <w:r w:rsidR="00BC1841" w:rsidRPr="007018B5">
        <w:rPr>
          <w:szCs w:val="24"/>
          <w:lang w:val="en-US"/>
        </w:rPr>
        <w:t xml:space="preserve"> Haddow J wrote the article</w:t>
      </w:r>
      <w:r w:rsidR="008F634A">
        <w:rPr>
          <w:szCs w:val="24"/>
          <w:lang w:val="en-US"/>
        </w:rPr>
        <w:t>;</w:t>
      </w:r>
      <w:r w:rsidR="00BC1841" w:rsidRPr="007018B5">
        <w:rPr>
          <w:szCs w:val="24"/>
          <w:lang w:val="en-US"/>
        </w:rPr>
        <w:t xml:space="preserve"> Haddow J, </w:t>
      </w:r>
      <w:proofErr w:type="spellStart"/>
      <w:r w:rsidR="00BC1841" w:rsidRPr="007018B5">
        <w:rPr>
          <w:szCs w:val="24"/>
          <w:lang w:val="en-US"/>
        </w:rPr>
        <w:t>Musbahi</w:t>
      </w:r>
      <w:proofErr w:type="spellEnd"/>
      <w:r w:rsidR="00BC1841" w:rsidRPr="007018B5">
        <w:rPr>
          <w:szCs w:val="24"/>
          <w:lang w:val="en-US"/>
        </w:rPr>
        <w:t xml:space="preserve"> O, MacDonald TT and Knowles CH edited, reviewed and approved the final article.</w:t>
      </w:r>
      <w:bookmarkEnd w:id="38"/>
      <w:bookmarkEnd w:id="39"/>
      <w:bookmarkEnd w:id="40"/>
      <w:bookmarkEnd w:id="41"/>
    </w:p>
    <w:p w14:paraId="71168758" w14:textId="77777777" w:rsidR="007018B5" w:rsidRPr="007018B5" w:rsidRDefault="007018B5" w:rsidP="007E3B89">
      <w:pPr>
        <w:adjustRightInd w:val="0"/>
        <w:snapToGrid w:val="0"/>
        <w:spacing w:before="0" w:after="0"/>
        <w:jc w:val="both"/>
        <w:rPr>
          <w:szCs w:val="24"/>
          <w:lang w:val="en-US"/>
        </w:rPr>
      </w:pPr>
    </w:p>
    <w:p w14:paraId="61022A3D" w14:textId="6B1B4DEB" w:rsidR="00AF11D9" w:rsidRDefault="00AF11D9" w:rsidP="007E3B89">
      <w:pPr>
        <w:adjustRightInd w:val="0"/>
        <w:snapToGrid w:val="0"/>
        <w:spacing w:before="0" w:after="0"/>
        <w:jc w:val="both"/>
        <w:rPr>
          <w:rFonts w:cs="Arial"/>
          <w:szCs w:val="24"/>
          <w:lang w:val="en-US"/>
        </w:rPr>
      </w:pPr>
      <w:bookmarkStart w:id="44" w:name="OLE_LINK616"/>
      <w:bookmarkStart w:id="45" w:name="OLE_LINK617"/>
      <w:bookmarkStart w:id="46" w:name="OLE_LINK273"/>
      <w:bookmarkStart w:id="47" w:name="OLE_LINK391"/>
      <w:bookmarkStart w:id="48" w:name="OLE_LINK361"/>
      <w:bookmarkStart w:id="49" w:name="OLE_LINK362"/>
      <w:r w:rsidRPr="007018B5">
        <w:rPr>
          <w:b/>
          <w:bCs/>
          <w:szCs w:val="24"/>
          <w:highlight w:val="white"/>
          <w:lang w:val="en-US"/>
        </w:rPr>
        <w:t>Supported by</w:t>
      </w:r>
      <w:bookmarkEnd w:id="44"/>
      <w:bookmarkEnd w:id="45"/>
      <w:bookmarkEnd w:id="46"/>
      <w:r w:rsidR="00BC1841" w:rsidRPr="007018B5">
        <w:rPr>
          <w:szCs w:val="24"/>
          <w:lang w:val="en-US"/>
        </w:rPr>
        <w:t xml:space="preserve"> Bowel </w:t>
      </w:r>
      <w:r w:rsidR="007018B5">
        <w:rPr>
          <w:szCs w:val="24"/>
          <w:lang w:val="en-US"/>
        </w:rPr>
        <w:t>and</w:t>
      </w:r>
      <w:r w:rsidR="00BC1841" w:rsidRPr="007018B5">
        <w:rPr>
          <w:szCs w:val="24"/>
          <w:lang w:val="en-US"/>
        </w:rPr>
        <w:t xml:space="preserve"> Cancer Research charity, </w:t>
      </w:r>
      <w:r w:rsidR="007018B5">
        <w:rPr>
          <w:szCs w:val="24"/>
          <w:lang w:val="en-US"/>
        </w:rPr>
        <w:t>No.</w:t>
      </w:r>
      <w:r w:rsidR="00BC1841" w:rsidRPr="007018B5">
        <w:rPr>
          <w:szCs w:val="24"/>
          <w:lang w:val="en-US"/>
        </w:rPr>
        <w:t xml:space="preserve"> </w:t>
      </w:r>
      <w:r w:rsidR="00BC1841" w:rsidRPr="007018B5">
        <w:rPr>
          <w:rFonts w:cs="Arial"/>
          <w:szCs w:val="24"/>
          <w:lang w:val="en-US"/>
        </w:rPr>
        <w:t>MMBG1J3R</w:t>
      </w:r>
      <w:bookmarkEnd w:id="47"/>
      <w:r w:rsidR="007018B5">
        <w:rPr>
          <w:rFonts w:cs="Arial"/>
          <w:szCs w:val="24"/>
          <w:lang w:val="en-US"/>
        </w:rPr>
        <w:t>.</w:t>
      </w:r>
    </w:p>
    <w:p w14:paraId="118921BE" w14:textId="77777777" w:rsidR="007018B5" w:rsidRPr="007018B5" w:rsidRDefault="007018B5" w:rsidP="007E3B89">
      <w:pPr>
        <w:adjustRightInd w:val="0"/>
        <w:snapToGrid w:val="0"/>
        <w:spacing w:before="0" w:after="0"/>
        <w:jc w:val="both"/>
        <w:rPr>
          <w:szCs w:val="24"/>
          <w:highlight w:val="white"/>
          <w:lang w:val="en-US"/>
        </w:rPr>
      </w:pPr>
    </w:p>
    <w:p w14:paraId="543E7A73" w14:textId="76ACDF84" w:rsidR="00AF11D9" w:rsidRDefault="00AF11D9" w:rsidP="007E3B89">
      <w:pPr>
        <w:adjustRightInd w:val="0"/>
        <w:snapToGrid w:val="0"/>
        <w:spacing w:before="0" w:after="0"/>
        <w:jc w:val="both"/>
        <w:rPr>
          <w:iCs/>
          <w:szCs w:val="24"/>
          <w:lang w:val="en-US"/>
        </w:rPr>
      </w:pPr>
      <w:bookmarkStart w:id="50" w:name="OLE_LINK815"/>
      <w:bookmarkStart w:id="51" w:name="OLE_LINK863"/>
      <w:bookmarkStart w:id="52" w:name="OLE_LINK960"/>
      <w:bookmarkStart w:id="53" w:name="OLE_LINK657"/>
      <w:bookmarkStart w:id="54" w:name="OLE_LINK433"/>
      <w:bookmarkStart w:id="55" w:name="OLE_LINK434"/>
      <w:bookmarkStart w:id="56" w:name="OLE_LINK1104"/>
      <w:bookmarkStart w:id="57" w:name="OLE_LINK270"/>
      <w:r w:rsidRPr="007018B5">
        <w:rPr>
          <w:b/>
          <w:bCs/>
          <w:szCs w:val="24"/>
          <w:highlight w:val="white"/>
          <w:lang w:val="en-US"/>
        </w:rPr>
        <w:t>Institutional review board statement:</w:t>
      </w:r>
      <w:bookmarkEnd w:id="50"/>
      <w:bookmarkEnd w:id="51"/>
      <w:bookmarkEnd w:id="52"/>
      <w:r w:rsidRPr="007018B5">
        <w:rPr>
          <w:szCs w:val="24"/>
          <w:highlight w:val="white"/>
          <w:lang w:val="en-US"/>
        </w:rPr>
        <w:t xml:space="preserve"> </w:t>
      </w:r>
      <w:bookmarkEnd w:id="42"/>
      <w:bookmarkEnd w:id="43"/>
      <w:bookmarkEnd w:id="48"/>
      <w:bookmarkEnd w:id="49"/>
      <w:bookmarkEnd w:id="53"/>
      <w:bookmarkEnd w:id="54"/>
      <w:bookmarkEnd w:id="55"/>
      <w:bookmarkEnd w:id="56"/>
      <w:bookmarkEnd w:id="57"/>
      <w:r w:rsidR="007018B5">
        <w:rPr>
          <w:szCs w:val="24"/>
          <w:lang w:val="en-US"/>
        </w:rPr>
        <w:t xml:space="preserve">The study was reviewed and approved by </w:t>
      </w:r>
      <w:r w:rsidR="00A665D3" w:rsidRPr="007018B5">
        <w:rPr>
          <w:szCs w:val="24"/>
          <w:lang w:val="en-US"/>
        </w:rPr>
        <w:t>Queen’s Square Research Ethics Committee</w:t>
      </w:r>
      <w:r w:rsidR="007018B5">
        <w:rPr>
          <w:iCs/>
          <w:szCs w:val="24"/>
          <w:lang w:val="en-US"/>
        </w:rPr>
        <w:t>.</w:t>
      </w:r>
    </w:p>
    <w:p w14:paraId="6107CAEE" w14:textId="77777777" w:rsidR="00224C57" w:rsidRPr="007018B5" w:rsidRDefault="00224C57" w:rsidP="007E3B89">
      <w:pPr>
        <w:adjustRightInd w:val="0"/>
        <w:snapToGrid w:val="0"/>
        <w:spacing w:before="0" w:after="0"/>
        <w:jc w:val="both"/>
        <w:rPr>
          <w:szCs w:val="24"/>
          <w:highlight w:val="white"/>
          <w:lang w:val="en-US"/>
        </w:rPr>
      </w:pPr>
    </w:p>
    <w:p w14:paraId="57869F16" w14:textId="0772A673" w:rsidR="002949BE" w:rsidRDefault="00AF11D9" w:rsidP="007E3B89">
      <w:pPr>
        <w:adjustRightInd w:val="0"/>
        <w:snapToGrid w:val="0"/>
        <w:spacing w:before="0" w:after="0"/>
        <w:jc w:val="both"/>
        <w:rPr>
          <w:szCs w:val="24"/>
          <w:lang w:val="en-US"/>
        </w:rPr>
      </w:pPr>
      <w:bookmarkStart w:id="58" w:name="OLE_LINK339"/>
      <w:bookmarkStart w:id="59" w:name="OLE_LINK340"/>
      <w:bookmarkStart w:id="60" w:name="OLE_LINK352"/>
      <w:bookmarkStart w:id="61" w:name="OLE_LINK365"/>
      <w:bookmarkStart w:id="62" w:name="OLE_LINK398"/>
      <w:bookmarkStart w:id="63" w:name="OLE_LINK464"/>
      <w:r w:rsidRPr="007018B5">
        <w:rPr>
          <w:b/>
          <w:bCs/>
          <w:szCs w:val="24"/>
          <w:highlight w:val="white"/>
          <w:lang w:val="en-US"/>
        </w:rPr>
        <w:t>Informed consent statement:</w:t>
      </w:r>
      <w:bookmarkEnd w:id="58"/>
      <w:bookmarkEnd w:id="59"/>
      <w:bookmarkEnd w:id="60"/>
      <w:bookmarkEnd w:id="61"/>
      <w:bookmarkEnd w:id="62"/>
      <w:r w:rsidR="00BC1841" w:rsidRPr="007018B5">
        <w:rPr>
          <w:szCs w:val="24"/>
          <w:lang w:val="en-US"/>
        </w:rPr>
        <w:t xml:space="preserve"> </w:t>
      </w:r>
      <w:bookmarkEnd w:id="63"/>
      <w:r w:rsidR="007018B5">
        <w:rPr>
          <w:szCs w:val="24"/>
          <w:lang w:val="en-US"/>
        </w:rPr>
        <w:t>Informed consent was obtained from the patients.</w:t>
      </w:r>
    </w:p>
    <w:p w14:paraId="4ED70DDB" w14:textId="77777777" w:rsidR="007018B5" w:rsidRPr="007018B5" w:rsidRDefault="007018B5" w:rsidP="007E3B89">
      <w:pPr>
        <w:adjustRightInd w:val="0"/>
        <w:snapToGrid w:val="0"/>
        <w:spacing w:before="0" w:after="0"/>
        <w:jc w:val="both"/>
        <w:rPr>
          <w:szCs w:val="24"/>
          <w:highlight w:val="white"/>
          <w:lang w:val="en-US"/>
        </w:rPr>
      </w:pPr>
    </w:p>
    <w:p w14:paraId="5DE62A47" w14:textId="54685109" w:rsidR="00AF11D9" w:rsidRDefault="00AF11D9" w:rsidP="007E3B89">
      <w:pPr>
        <w:adjustRightInd w:val="0"/>
        <w:snapToGrid w:val="0"/>
        <w:spacing w:before="0" w:after="0"/>
        <w:jc w:val="both"/>
        <w:rPr>
          <w:szCs w:val="24"/>
          <w:lang w:val="en-US"/>
        </w:rPr>
      </w:pPr>
      <w:bookmarkStart w:id="64" w:name="OLE_LINK235"/>
      <w:bookmarkStart w:id="65" w:name="OLE_LINK236"/>
      <w:bookmarkStart w:id="66" w:name="OLE_LINK684"/>
      <w:bookmarkStart w:id="67" w:name="OLE_LINK771"/>
      <w:bookmarkStart w:id="68" w:name="OLE_LINK601"/>
      <w:bookmarkStart w:id="69" w:name="OLE_LINK795"/>
      <w:bookmarkStart w:id="70" w:name="OLE_LINK796"/>
      <w:bookmarkStart w:id="71" w:name="OLE_LINK800"/>
      <w:bookmarkStart w:id="72" w:name="OLE_LINK804"/>
      <w:bookmarkStart w:id="73" w:name="OLE_LINK634"/>
      <w:bookmarkStart w:id="74" w:name="OLE_LINK637"/>
      <w:r w:rsidRPr="007018B5">
        <w:rPr>
          <w:b/>
          <w:bCs/>
          <w:szCs w:val="24"/>
          <w:highlight w:val="white"/>
          <w:lang w:val="en-US"/>
        </w:rPr>
        <w:t>Conflict-of-interest statement:</w:t>
      </w:r>
      <w:r w:rsidR="00BC1841" w:rsidRPr="007018B5">
        <w:rPr>
          <w:szCs w:val="24"/>
          <w:lang w:val="en-US"/>
        </w:rPr>
        <w:t xml:space="preserve"> The authors have no conflicts of interest.</w:t>
      </w:r>
      <w:bookmarkEnd w:id="64"/>
      <w:bookmarkEnd w:id="65"/>
      <w:bookmarkEnd w:id="66"/>
      <w:bookmarkEnd w:id="67"/>
      <w:bookmarkEnd w:id="68"/>
    </w:p>
    <w:p w14:paraId="40F99625" w14:textId="77777777" w:rsidR="007018B5" w:rsidRPr="007018B5" w:rsidRDefault="007018B5" w:rsidP="007E3B89">
      <w:pPr>
        <w:adjustRightInd w:val="0"/>
        <w:snapToGrid w:val="0"/>
        <w:spacing w:before="0" w:after="0"/>
        <w:jc w:val="both"/>
        <w:rPr>
          <w:szCs w:val="24"/>
          <w:lang w:val="en-US"/>
        </w:rPr>
      </w:pPr>
    </w:p>
    <w:p w14:paraId="1B48A3F0" w14:textId="630E966F" w:rsidR="00AF11D9" w:rsidRDefault="00AF11D9" w:rsidP="007E3B89">
      <w:pPr>
        <w:adjustRightInd w:val="0"/>
        <w:snapToGrid w:val="0"/>
        <w:spacing w:before="0" w:after="0"/>
        <w:jc w:val="both"/>
        <w:rPr>
          <w:szCs w:val="24"/>
          <w:lang w:val="en-US" w:eastAsia="en-GB"/>
        </w:rPr>
      </w:pPr>
      <w:bookmarkStart w:id="75" w:name="OLE_LINK824"/>
      <w:bookmarkStart w:id="76" w:name="OLE_LINK825"/>
      <w:bookmarkStart w:id="77" w:name="OLE_LINK2"/>
      <w:bookmarkStart w:id="78" w:name="OLE_LINK5"/>
      <w:r w:rsidRPr="007018B5">
        <w:rPr>
          <w:b/>
          <w:bCs/>
          <w:szCs w:val="24"/>
          <w:highlight w:val="white"/>
          <w:lang w:val="en-US"/>
        </w:rPr>
        <w:t>Data sharing statement:</w:t>
      </w:r>
      <w:bookmarkEnd w:id="69"/>
      <w:bookmarkEnd w:id="70"/>
      <w:bookmarkEnd w:id="75"/>
      <w:bookmarkEnd w:id="76"/>
      <w:r w:rsidRPr="007018B5">
        <w:rPr>
          <w:szCs w:val="24"/>
          <w:highlight w:val="white"/>
          <w:lang w:val="en-US"/>
        </w:rPr>
        <w:t xml:space="preserve"> </w:t>
      </w:r>
      <w:bookmarkEnd w:id="71"/>
      <w:bookmarkEnd w:id="72"/>
      <w:bookmarkEnd w:id="73"/>
      <w:bookmarkEnd w:id="74"/>
      <w:bookmarkEnd w:id="77"/>
      <w:bookmarkEnd w:id="78"/>
      <w:r w:rsidR="00B07D62" w:rsidRPr="007018B5">
        <w:rPr>
          <w:szCs w:val="24"/>
          <w:lang w:val="en-US" w:eastAsia="en-GB"/>
        </w:rPr>
        <w:t>Any researcher wishing to access the data or materials referred to within this paper are welcome to contact the corresponding author.</w:t>
      </w:r>
    </w:p>
    <w:p w14:paraId="41AE1CEE" w14:textId="77777777" w:rsidR="007018B5" w:rsidRPr="007018B5" w:rsidRDefault="007018B5" w:rsidP="007E3B89">
      <w:pPr>
        <w:adjustRightInd w:val="0"/>
        <w:snapToGrid w:val="0"/>
        <w:spacing w:before="0" w:after="0"/>
        <w:jc w:val="both"/>
        <w:rPr>
          <w:szCs w:val="24"/>
          <w:lang w:val="en-US" w:eastAsia="en-GB"/>
        </w:rPr>
      </w:pPr>
    </w:p>
    <w:p w14:paraId="767A1CE7" w14:textId="5B08AA7A" w:rsidR="002F43E7" w:rsidRDefault="002F43E7" w:rsidP="007E3B89">
      <w:pPr>
        <w:adjustRightInd w:val="0"/>
        <w:snapToGrid w:val="0"/>
        <w:spacing w:before="0" w:after="0"/>
        <w:jc w:val="both"/>
        <w:rPr>
          <w:szCs w:val="24"/>
          <w:lang w:val="en-US"/>
        </w:rPr>
      </w:pPr>
      <w:r w:rsidRPr="007018B5">
        <w:rPr>
          <w:b/>
          <w:szCs w:val="24"/>
          <w:lang w:val="en-US"/>
        </w:rPr>
        <w:t>STROBE statement:</w:t>
      </w:r>
      <w:r w:rsidRPr="007018B5">
        <w:rPr>
          <w:szCs w:val="24"/>
          <w:lang w:val="en-US"/>
        </w:rPr>
        <w:t xml:space="preserve"> The STROBE guidelines were followed for reporting.</w:t>
      </w:r>
    </w:p>
    <w:p w14:paraId="7680DE03" w14:textId="48D2152C" w:rsidR="007018B5" w:rsidRDefault="007018B5" w:rsidP="007E3B89">
      <w:pPr>
        <w:adjustRightInd w:val="0"/>
        <w:snapToGrid w:val="0"/>
        <w:spacing w:before="0" w:after="0"/>
        <w:jc w:val="both"/>
        <w:rPr>
          <w:szCs w:val="24"/>
          <w:lang w:val="en-US"/>
        </w:rPr>
      </w:pPr>
    </w:p>
    <w:p w14:paraId="4A6A997D" w14:textId="77777777" w:rsidR="00B06968" w:rsidRPr="00B06968" w:rsidRDefault="00B06968" w:rsidP="007E3B89">
      <w:pPr>
        <w:adjustRightInd w:val="0"/>
        <w:snapToGrid w:val="0"/>
        <w:spacing w:before="0" w:after="0"/>
        <w:jc w:val="both"/>
        <w:rPr>
          <w:rFonts w:eastAsia="SimSun"/>
          <w:szCs w:val="24"/>
          <w:lang w:val="en-US" w:eastAsia="zh-CN"/>
        </w:rPr>
      </w:pPr>
      <w:r w:rsidRPr="00B06968">
        <w:rPr>
          <w:rFonts w:eastAsia="SimSun"/>
          <w:b/>
          <w:szCs w:val="24"/>
          <w:lang w:val="en-US"/>
        </w:rPr>
        <w:t xml:space="preserve">Open-Access: </w:t>
      </w:r>
      <w:r w:rsidRPr="00B06968">
        <w:rPr>
          <w:rFonts w:eastAsia="SimSun"/>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06968">
          <w:rPr>
            <w:rFonts w:eastAsia="SimSun"/>
            <w:szCs w:val="24"/>
            <w:lang w:val="en-US"/>
          </w:rPr>
          <w:t>http://creativecommons.org/licenses/by-nc/4.0/</w:t>
        </w:r>
      </w:hyperlink>
    </w:p>
    <w:p w14:paraId="768F2753" w14:textId="77777777" w:rsidR="00B06968" w:rsidRPr="00B06968" w:rsidRDefault="00B06968" w:rsidP="007E3B89">
      <w:pPr>
        <w:suppressAutoHyphens/>
        <w:adjustRightInd w:val="0"/>
        <w:snapToGrid w:val="0"/>
        <w:spacing w:before="0" w:after="0"/>
        <w:jc w:val="both"/>
        <w:rPr>
          <w:rFonts w:eastAsia="SimSun"/>
          <w:color w:val="000000"/>
          <w:szCs w:val="24"/>
          <w:lang w:eastAsia="ar-SA"/>
        </w:rPr>
      </w:pPr>
    </w:p>
    <w:p w14:paraId="3E830B08" w14:textId="246B9B00" w:rsidR="007018B5" w:rsidRDefault="00B06968" w:rsidP="007E3B89">
      <w:pPr>
        <w:adjustRightInd w:val="0"/>
        <w:snapToGrid w:val="0"/>
        <w:spacing w:before="0" w:after="0"/>
        <w:jc w:val="both"/>
        <w:rPr>
          <w:rFonts w:eastAsia="SimSun"/>
          <w:color w:val="000000"/>
          <w:szCs w:val="24"/>
          <w:lang w:eastAsia="ar-SA"/>
        </w:rPr>
      </w:pPr>
      <w:r w:rsidRPr="00B06968">
        <w:rPr>
          <w:rFonts w:eastAsia="SimSun"/>
          <w:b/>
          <w:bCs/>
          <w:color w:val="000000"/>
          <w:szCs w:val="24"/>
          <w:lang w:eastAsia="ar-SA"/>
        </w:rPr>
        <w:t>Manuscript source:</w:t>
      </w:r>
      <w:r w:rsidRPr="00B06968">
        <w:rPr>
          <w:rFonts w:eastAsia="SimSun"/>
          <w:color w:val="000000"/>
          <w:szCs w:val="24"/>
          <w:lang w:eastAsia="ar-SA"/>
        </w:rPr>
        <w:t xml:space="preserve"> Unsolicited manuscript</w:t>
      </w:r>
    </w:p>
    <w:p w14:paraId="4F260A0B" w14:textId="77777777" w:rsidR="00B06968" w:rsidRPr="007018B5" w:rsidRDefault="00B06968" w:rsidP="007E3B89">
      <w:pPr>
        <w:adjustRightInd w:val="0"/>
        <w:snapToGrid w:val="0"/>
        <w:spacing w:before="0" w:after="0"/>
        <w:jc w:val="both"/>
        <w:rPr>
          <w:szCs w:val="24"/>
          <w:lang w:val="en-US"/>
        </w:rPr>
      </w:pPr>
    </w:p>
    <w:p w14:paraId="4925FC32" w14:textId="5C5C2677" w:rsidR="00AB4050" w:rsidRPr="007018B5" w:rsidRDefault="002F43E7" w:rsidP="007E3B89">
      <w:pPr>
        <w:adjustRightInd w:val="0"/>
        <w:snapToGrid w:val="0"/>
        <w:spacing w:before="0" w:after="0"/>
        <w:jc w:val="both"/>
        <w:rPr>
          <w:szCs w:val="24"/>
          <w:lang w:val="en-US" w:eastAsia="en-GB"/>
        </w:rPr>
      </w:pPr>
      <w:r w:rsidRPr="007018B5">
        <w:rPr>
          <w:b/>
          <w:szCs w:val="24"/>
          <w:lang w:val="en-US" w:eastAsia="en-GB"/>
        </w:rPr>
        <w:t>Correspond</w:t>
      </w:r>
      <w:r w:rsidR="00AB4050" w:rsidRPr="007018B5">
        <w:rPr>
          <w:b/>
          <w:szCs w:val="24"/>
          <w:lang w:val="en-US" w:eastAsia="en-GB"/>
        </w:rPr>
        <w:t>ing author</w:t>
      </w:r>
      <w:r w:rsidRPr="007018B5">
        <w:rPr>
          <w:b/>
          <w:szCs w:val="24"/>
          <w:lang w:val="en-US" w:eastAsia="en-GB"/>
        </w:rPr>
        <w:t xml:space="preserve">: </w:t>
      </w:r>
      <w:bookmarkStart w:id="79" w:name="OLE_LINK699"/>
      <w:bookmarkStart w:id="80" w:name="OLE_LINK700"/>
      <w:r w:rsidRPr="007018B5">
        <w:rPr>
          <w:b/>
          <w:szCs w:val="24"/>
          <w:lang w:val="en-US" w:eastAsia="en-GB"/>
        </w:rPr>
        <w:t>James B Haddow</w:t>
      </w:r>
      <w:bookmarkEnd w:id="79"/>
      <w:bookmarkEnd w:id="80"/>
      <w:r w:rsidR="004A4202">
        <w:rPr>
          <w:b/>
          <w:szCs w:val="24"/>
          <w:lang w:val="en-US" w:eastAsia="en-GB"/>
        </w:rPr>
        <w:t>,</w:t>
      </w:r>
      <w:r w:rsidR="00AB4050" w:rsidRPr="007018B5">
        <w:rPr>
          <w:b/>
          <w:szCs w:val="24"/>
          <w:lang w:val="en-US" w:eastAsia="en-GB"/>
        </w:rPr>
        <w:t xml:space="preserve"> </w:t>
      </w:r>
      <w:r w:rsidR="004A4202" w:rsidRPr="004A4202">
        <w:rPr>
          <w:b/>
          <w:szCs w:val="24"/>
          <w:lang w:val="en-US" w:eastAsia="en-GB"/>
        </w:rPr>
        <w:t>FRCS,</w:t>
      </w:r>
      <w:r w:rsidR="004A4202">
        <w:rPr>
          <w:b/>
          <w:szCs w:val="24"/>
          <w:lang w:val="en-US" w:eastAsia="en-GB"/>
        </w:rPr>
        <w:t xml:space="preserve"> </w:t>
      </w:r>
      <w:r w:rsidR="004A4202" w:rsidRPr="004A4202">
        <w:rPr>
          <w:b/>
          <w:szCs w:val="24"/>
          <w:lang w:val="en-US" w:eastAsia="en-GB"/>
        </w:rPr>
        <w:t>MD</w:t>
      </w:r>
      <w:r w:rsidR="004A4202">
        <w:rPr>
          <w:b/>
          <w:szCs w:val="24"/>
          <w:lang w:val="en-US" w:eastAsia="en-GB"/>
        </w:rPr>
        <w:t xml:space="preserve">, Academic </w:t>
      </w:r>
      <w:r w:rsidR="00AB4050" w:rsidRPr="007018B5">
        <w:rPr>
          <w:b/>
          <w:szCs w:val="24"/>
          <w:lang w:val="en-US" w:eastAsia="en-GB"/>
        </w:rPr>
        <w:t>Fellow</w:t>
      </w:r>
      <w:r w:rsidRPr="007018B5">
        <w:rPr>
          <w:szCs w:val="24"/>
          <w:lang w:val="en-US" w:eastAsia="en-GB"/>
        </w:rPr>
        <w:t xml:space="preserve">, </w:t>
      </w:r>
      <w:bookmarkStart w:id="81" w:name="OLE_LINK703"/>
      <w:bookmarkStart w:id="82" w:name="OLE_LINK704"/>
      <w:proofErr w:type="spellStart"/>
      <w:r w:rsidR="004A4202" w:rsidRPr="007018B5">
        <w:rPr>
          <w:szCs w:val="24"/>
          <w:lang w:val="en-US"/>
        </w:rPr>
        <w:t>Blizard</w:t>
      </w:r>
      <w:proofErr w:type="spellEnd"/>
      <w:r w:rsidR="004A4202" w:rsidRPr="007018B5">
        <w:rPr>
          <w:iCs/>
          <w:szCs w:val="24"/>
          <w:lang w:val="en-US"/>
        </w:rPr>
        <w:t xml:space="preserve"> Institute, </w:t>
      </w:r>
      <w:proofErr w:type="spellStart"/>
      <w:r w:rsidR="004A4202" w:rsidRPr="007018B5">
        <w:rPr>
          <w:iCs/>
          <w:szCs w:val="24"/>
          <w:lang w:val="en-US"/>
        </w:rPr>
        <w:t>Barts</w:t>
      </w:r>
      <w:proofErr w:type="spellEnd"/>
      <w:r w:rsidR="004A4202" w:rsidRPr="007018B5">
        <w:rPr>
          <w:iCs/>
          <w:szCs w:val="24"/>
          <w:lang w:val="en-US"/>
        </w:rPr>
        <w:t xml:space="preserve"> and the London School of Medicine and Dentistry</w:t>
      </w:r>
      <w:bookmarkEnd w:id="81"/>
      <w:bookmarkEnd w:id="82"/>
      <w:r w:rsidR="004A4202" w:rsidRPr="007018B5">
        <w:rPr>
          <w:iCs/>
          <w:szCs w:val="24"/>
          <w:lang w:val="en-US"/>
        </w:rPr>
        <w:t xml:space="preserve">, </w:t>
      </w:r>
      <w:bookmarkStart w:id="83" w:name="OLE_LINK701"/>
      <w:bookmarkStart w:id="84" w:name="OLE_LINK702"/>
      <w:r w:rsidR="004A4202" w:rsidRPr="007018B5">
        <w:rPr>
          <w:iCs/>
          <w:szCs w:val="24"/>
          <w:lang w:val="en-US"/>
        </w:rPr>
        <w:t>Queen Mary University of London</w:t>
      </w:r>
      <w:bookmarkEnd w:id="83"/>
      <w:bookmarkEnd w:id="84"/>
      <w:r w:rsidR="004A4202" w:rsidRPr="007018B5">
        <w:rPr>
          <w:iCs/>
          <w:szCs w:val="24"/>
          <w:lang w:val="en-US"/>
        </w:rPr>
        <w:t>,</w:t>
      </w:r>
      <w:r w:rsidR="004A4202">
        <w:rPr>
          <w:iCs/>
          <w:szCs w:val="24"/>
          <w:lang w:val="en-US"/>
        </w:rPr>
        <w:t xml:space="preserve"> </w:t>
      </w:r>
      <w:r w:rsidRPr="007018B5">
        <w:rPr>
          <w:szCs w:val="24"/>
          <w:lang w:val="en-US"/>
        </w:rPr>
        <w:t>National</w:t>
      </w:r>
      <w:r w:rsidRPr="007018B5">
        <w:rPr>
          <w:szCs w:val="24"/>
          <w:lang w:val="en-US" w:eastAsia="en-GB"/>
        </w:rPr>
        <w:t xml:space="preserve"> Bowel Research Centre, 1</w:t>
      </w:r>
      <w:r w:rsidRPr="007018B5">
        <w:rPr>
          <w:szCs w:val="24"/>
          <w:vertAlign w:val="superscript"/>
          <w:lang w:val="en-US" w:eastAsia="en-GB"/>
        </w:rPr>
        <w:t>st</w:t>
      </w:r>
      <w:r w:rsidRPr="007018B5">
        <w:rPr>
          <w:szCs w:val="24"/>
          <w:lang w:val="en-US" w:eastAsia="en-GB"/>
        </w:rPr>
        <w:t xml:space="preserve"> Floor Abernethy Building, 2 Newark St, Whitechapel, London E1 2AT</w:t>
      </w:r>
      <w:r w:rsidR="00AB4050" w:rsidRPr="007018B5">
        <w:rPr>
          <w:szCs w:val="24"/>
          <w:lang w:val="en-US" w:eastAsia="en-GB"/>
        </w:rPr>
        <w:t xml:space="preserve">, United Kingdom. </w:t>
      </w:r>
      <w:r w:rsidR="00AB4050" w:rsidRPr="004A4202">
        <w:rPr>
          <w:szCs w:val="24"/>
          <w:lang w:val="en-US"/>
        </w:rPr>
        <w:t>james.haddow@icloud.com</w:t>
      </w:r>
      <w:r w:rsidR="00C97323">
        <w:rPr>
          <w:szCs w:val="24"/>
          <w:lang w:val="en-US"/>
        </w:rPr>
        <w:t xml:space="preserve"> </w:t>
      </w:r>
    </w:p>
    <w:p w14:paraId="6075FFE7" w14:textId="624EBEF2" w:rsidR="002949BE" w:rsidRPr="00B83FA3" w:rsidRDefault="00B83FA3" w:rsidP="007E3B89">
      <w:pPr>
        <w:adjustRightInd w:val="0"/>
        <w:snapToGrid w:val="0"/>
        <w:spacing w:before="0" w:after="0"/>
        <w:jc w:val="both"/>
        <w:rPr>
          <w:bCs/>
          <w:color w:val="000000"/>
          <w:lang w:val="en-US"/>
        </w:rPr>
      </w:pPr>
      <w:r w:rsidRPr="008F456D">
        <w:rPr>
          <w:b/>
          <w:color w:val="000000"/>
          <w:lang w:val="en-US"/>
        </w:rPr>
        <w:t>Telephone:</w:t>
      </w:r>
      <w:r>
        <w:rPr>
          <w:b/>
          <w:color w:val="000000"/>
          <w:lang w:val="en-US"/>
        </w:rPr>
        <w:t xml:space="preserve"> </w:t>
      </w:r>
      <w:bookmarkStart w:id="85" w:name="OLE_LINK745"/>
      <w:bookmarkStart w:id="86" w:name="OLE_LINK746"/>
      <w:r w:rsidRPr="00B83FA3">
        <w:rPr>
          <w:bCs/>
          <w:color w:val="000000"/>
          <w:lang w:val="en-US"/>
        </w:rPr>
        <w:t>+44-20-78825555</w:t>
      </w:r>
      <w:bookmarkEnd w:id="85"/>
      <w:bookmarkEnd w:id="86"/>
    </w:p>
    <w:p w14:paraId="3A7DBBE4" w14:textId="049DEDAD" w:rsidR="00B83FA3" w:rsidRDefault="00B83FA3" w:rsidP="007E3B89">
      <w:pPr>
        <w:adjustRightInd w:val="0"/>
        <w:snapToGrid w:val="0"/>
        <w:spacing w:before="0" w:after="0"/>
        <w:jc w:val="both"/>
        <w:rPr>
          <w:b/>
          <w:color w:val="000000"/>
          <w:lang w:val="en-US"/>
        </w:rPr>
      </w:pPr>
    </w:p>
    <w:p w14:paraId="04DBFEB2" w14:textId="560ADAC5" w:rsidR="00B83FA3" w:rsidRPr="00B83FA3" w:rsidRDefault="00B83FA3" w:rsidP="007E3B89">
      <w:pPr>
        <w:widowControl w:val="0"/>
        <w:adjustRightInd w:val="0"/>
        <w:snapToGrid w:val="0"/>
        <w:spacing w:before="0" w:after="0"/>
        <w:jc w:val="both"/>
        <w:rPr>
          <w:rFonts w:eastAsia="SimSun"/>
          <w:b/>
          <w:kern w:val="2"/>
          <w:szCs w:val="24"/>
          <w:lang w:val="en-US" w:eastAsia="zh-CN"/>
        </w:rPr>
      </w:pPr>
      <w:bookmarkStart w:id="87" w:name="OLE_LINK75"/>
      <w:bookmarkStart w:id="88" w:name="OLE_LINK76"/>
      <w:bookmarkStart w:id="89" w:name="OLE_LINK239"/>
      <w:r w:rsidRPr="00B83FA3">
        <w:rPr>
          <w:rFonts w:eastAsia="SimSun"/>
          <w:b/>
          <w:kern w:val="2"/>
          <w:szCs w:val="24"/>
          <w:lang w:val="en-US" w:eastAsia="zh-CN"/>
        </w:rPr>
        <w:t xml:space="preserve">Received: </w:t>
      </w:r>
      <w:r w:rsidR="00E97C8C">
        <w:rPr>
          <w:rFonts w:eastAsia="SimSun"/>
          <w:kern w:val="2"/>
          <w:szCs w:val="24"/>
          <w:lang w:val="en-US" w:eastAsia="zh-CN"/>
        </w:rPr>
        <w:t>April</w:t>
      </w:r>
      <w:r w:rsidRPr="00B83FA3">
        <w:rPr>
          <w:rFonts w:eastAsia="SimSun"/>
          <w:kern w:val="2"/>
          <w:szCs w:val="24"/>
          <w:lang w:val="en-US" w:eastAsia="zh-CN"/>
        </w:rPr>
        <w:t xml:space="preserve"> </w:t>
      </w:r>
      <w:r w:rsidR="00E97C8C">
        <w:rPr>
          <w:rFonts w:eastAsia="SimSun"/>
          <w:kern w:val="2"/>
          <w:szCs w:val="24"/>
          <w:lang w:val="en-US" w:eastAsia="zh-CN"/>
        </w:rPr>
        <w:t>30</w:t>
      </w:r>
      <w:r w:rsidRPr="00B83FA3">
        <w:rPr>
          <w:rFonts w:eastAsia="SimSun"/>
          <w:kern w:val="2"/>
          <w:szCs w:val="24"/>
          <w:lang w:val="en-US" w:eastAsia="zh-CN"/>
        </w:rPr>
        <w:t>, 2019</w:t>
      </w:r>
    </w:p>
    <w:p w14:paraId="06C69BCE" w14:textId="6A0D1285" w:rsidR="00B83FA3" w:rsidRPr="00B83FA3" w:rsidRDefault="00B83FA3" w:rsidP="007E3B89">
      <w:pPr>
        <w:widowControl w:val="0"/>
        <w:adjustRightInd w:val="0"/>
        <w:snapToGrid w:val="0"/>
        <w:spacing w:before="0" w:after="0"/>
        <w:jc w:val="both"/>
        <w:rPr>
          <w:rFonts w:eastAsia="SimSun"/>
          <w:b/>
          <w:kern w:val="2"/>
          <w:szCs w:val="24"/>
          <w:lang w:val="en-US" w:eastAsia="zh-CN"/>
        </w:rPr>
      </w:pPr>
      <w:r w:rsidRPr="00B83FA3">
        <w:rPr>
          <w:rFonts w:eastAsia="SimSun"/>
          <w:b/>
          <w:kern w:val="2"/>
          <w:szCs w:val="24"/>
          <w:lang w:val="en-US" w:eastAsia="zh-CN"/>
        </w:rPr>
        <w:t xml:space="preserve">Peer-review started: </w:t>
      </w:r>
      <w:r w:rsidR="00E97C8C">
        <w:rPr>
          <w:rFonts w:eastAsia="SimSun"/>
          <w:kern w:val="2"/>
          <w:szCs w:val="24"/>
          <w:lang w:val="en-US" w:eastAsia="zh-CN"/>
        </w:rPr>
        <w:t>April</w:t>
      </w:r>
      <w:r w:rsidR="00E97C8C" w:rsidRPr="00B83FA3">
        <w:rPr>
          <w:rFonts w:eastAsia="SimSun"/>
          <w:kern w:val="2"/>
          <w:szCs w:val="24"/>
          <w:lang w:val="en-US" w:eastAsia="zh-CN"/>
        </w:rPr>
        <w:t xml:space="preserve"> </w:t>
      </w:r>
      <w:r w:rsidR="00E97C8C">
        <w:rPr>
          <w:rFonts w:eastAsia="SimSun"/>
          <w:kern w:val="2"/>
          <w:szCs w:val="24"/>
          <w:lang w:val="en-US" w:eastAsia="zh-CN"/>
        </w:rPr>
        <w:t>30</w:t>
      </w:r>
      <w:r w:rsidRPr="00B83FA3">
        <w:rPr>
          <w:rFonts w:eastAsia="SimSun"/>
          <w:kern w:val="2"/>
          <w:szCs w:val="24"/>
          <w:lang w:val="en-US" w:eastAsia="zh-CN"/>
        </w:rPr>
        <w:t>, 2019</w:t>
      </w:r>
    </w:p>
    <w:p w14:paraId="0C53D69A" w14:textId="21935DF1" w:rsidR="00B83FA3" w:rsidRPr="00B83FA3" w:rsidRDefault="00B83FA3" w:rsidP="007E3B89">
      <w:pPr>
        <w:widowControl w:val="0"/>
        <w:adjustRightInd w:val="0"/>
        <w:snapToGrid w:val="0"/>
        <w:spacing w:before="0" w:after="0"/>
        <w:jc w:val="both"/>
        <w:rPr>
          <w:rFonts w:eastAsia="SimSun"/>
          <w:b/>
          <w:kern w:val="2"/>
          <w:szCs w:val="24"/>
          <w:lang w:val="en-US" w:eastAsia="zh-CN"/>
        </w:rPr>
      </w:pPr>
      <w:r w:rsidRPr="00B83FA3">
        <w:rPr>
          <w:rFonts w:eastAsia="SimSun"/>
          <w:b/>
          <w:kern w:val="2"/>
          <w:szCs w:val="24"/>
          <w:lang w:val="en-US" w:eastAsia="zh-CN"/>
        </w:rPr>
        <w:t xml:space="preserve">First decision: </w:t>
      </w:r>
      <w:bookmarkStart w:id="90" w:name="OLE_LINK709"/>
      <w:bookmarkStart w:id="91" w:name="OLE_LINK710"/>
      <w:r w:rsidR="00E97C8C">
        <w:rPr>
          <w:rFonts w:eastAsia="SimSun"/>
          <w:kern w:val="2"/>
          <w:szCs w:val="24"/>
          <w:lang w:val="en-US" w:eastAsia="zh-CN"/>
        </w:rPr>
        <w:t>September</w:t>
      </w:r>
      <w:r w:rsidRPr="00B83FA3">
        <w:rPr>
          <w:rFonts w:eastAsia="SimSun"/>
          <w:kern w:val="2"/>
          <w:szCs w:val="24"/>
          <w:lang w:val="en-US" w:eastAsia="zh-CN"/>
        </w:rPr>
        <w:t xml:space="preserve"> </w:t>
      </w:r>
      <w:r w:rsidR="00E97C8C">
        <w:rPr>
          <w:rFonts w:eastAsia="SimSun"/>
          <w:kern w:val="2"/>
          <w:szCs w:val="24"/>
          <w:lang w:val="en-US" w:eastAsia="zh-CN"/>
        </w:rPr>
        <w:t>6</w:t>
      </w:r>
      <w:bookmarkEnd w:id="90"/>
      <w:bookmarkEnd w:id="91"/>
      <w:r w:rsidRPr="00B83FA3">
        <w:rPr>
          <w:rFonts w:eastAsia="SimSun"/>
          <w:kern w:val="2"/>
          <w:szCs w:val="24"/>
          <w:lang w:val="en-US" w:eastAsia="zh-CN"/>
        </w:rPr>
        <w:t>, 2019</w:t>
      </w:r>
    </w:p>
    <w:p w14:paraId="075C7E3B" w14:textId="7EDC70DA" w:rsidR="00B83FA3" w:rsidRPr="00B83FA3" w:rsidRDefault="00B83FA3" w:rsidP="007E3B89">
      <w:pPr>
        <w:widowControl w:val="0"/>
        <w:adjustRightInd w:val="0"/>
        <w:snapToGrid w:val="0"/>
        <w:spacing w:before="0" w:after="0"/>
        <w:jc w:val="both"/>
        <w:rPr>
          <w:rFonts w:eastAsia="SimSun"/>
          <w:b/>
          <w:kern w:val="2"/>
          <w:szCs w:val="24"/>
          <w:lang w:val="en-US" w:eastAsia="zh-CN"/>
        </w:rPr>
      </w:pPr>
      <w:r w:rsidRPr="00B83FA3">
        <w:rPr>
          <w:rFonts w:eastAsia="SimSun"/>
          <w:b/>
          <w:kern w:val="2"/>
          <w:szCs w:val="24"/>
          <w:lang w:val="en-US" w:eastAsia="zh-CN"/>
        </w:rPr>
        <w:t xml:space="preserve">Revised: </w:t>
      </w:r>
      <w:r w:rsidR="00E97C8C">
        <w:rPr>
          <w:rFonts w:eastAsia="SimSun"/>
          <w:kern w:val="2"/>
          <w:szCs w:val="24"/>
          <w:lang w:val="en-US" w:eastAsia="zh-CN"/>
        </w:rPr>
        <w:t>September</w:t>
      </w:r>
      <w:r w:rsidR="00E97C8C" w:rsidRPr="00B83FA3">
        <w:rPr>
          <w:rFonts w:eastAsia="SimSun"/>
          <w:kern w:val="2"/>
          <w:szCs w:val="24"/>
          <w:lang w:val="en-US" w:eastAsia="zh-CN"/>
        </w:rPr>
        <w:t xml:space="preserve"> </w:t>
      </w:r>
      <w:r w:rsidR="00E97C8C">
        <w:rPr>
          <w:rFonts w:eastAsia="SimSun"/>
          <w:kern w:val="2"/>
          <w:szCs w:val="24"/>
          <w:lang w:val="en-US" w:eastAsia="zh-CN"/>
        </w:rPr>
        <w:t>28</w:t>
      </w:r>
      <w:r w:rsidRPr="00B83FA3">
        <w:rPr>
          <w:rFonts w:eastAsia="SimSun"/>
          <w:kern w:val="2"/>
          <w:szCs w:val="24"/>
          <w:lang w:val="en-US" w:eastAsia="zh-CN"/>
        </w:rPr>
        <w:t>, 2019</w:t>
      </w:r>
    </w:p>
    <w:p w14:paraId="02635E53" w14:textId="5EBE10BB" w:rsidR="00B83FA3" w:rsidRPr="00B83FA3" w:rsidRDefault="00B83FA3" w:rsidP="007E3B89">
      <w:pPr>
        <w:widowControl w:val="0"/>
        <w:adjustRightInd w:val="0"/>
        <w:snapToGrid w:val="0"/>
        <w:spacing w:before="0" w:after="0"/>
        <w:jc w:val="both"/>
        <w:rPr>
          <w:rFonts w:eastAsia="SimSun"/>
          <w:color w:val="000000"/>
          <w:kern w:val="2"/>
          <w:szCs w:val="24"/>
          <w:lang w:val="en-US" w:eastAsia="zh-CN"/>
        </w:rPr>
      </w:pPr>
      <w:r w:rsidRPr="00B83FA3">
        <w:rPr>
          <w:rFonts w:eastAsia="SimSun"/>
          <w:b/>
          <w:kern w:val="2"/>
          <w:szCs w:val="24"/>
          <w:lang w:val="en-US" w:eastAsia="zh-CN"/>
        </w:rPr>
        <w:t xml:space="preserve">Accepted: </w:t>
      </w:r>
      <w:r w:rsidR="006B2E3E" w:rsidRPr="006B2E3E">
        <w:rPr>
          <w:rFonts w:eastAsia="SimSun"/>
          <w:kern w:val="2"/>
          <w:szCs w:val="24"/>
          <w:lang w:val="en-US" w:eastAsia="zh-CN"/>
        </w:rPr>
        <w:t>October 18, 2019</w:t>
      </w:r>
    </w:p>
    <w:p w14:paraId="3926552B" w14:textId="77777777" w:rsidR="00B83FA3" w:rsidRPr="00B83FA3" w:rsidRDefault="00B83FA3" w:rsidP="007E3B89">
      <w:pPr>
        <w:widowControl w:val="0"/>
        <w:adjustRightInd w:val="0"/>
        <w:snapToGrid w:val="0"/>
        <w:spacing w:before="0" w:after="0"/>
        <w:jc w:val="both"/>
        <w:rPr>
          <w:rFonts w:eastAsia="SimSun"/>
          <w:b/>
          <w:kern w:val="2"/>
          <w:szCs w:val="24"/>
          <w:lang w:val="en-US" w:eastAsia="zh-CN"/>
        </w:rPr>
      </w:pPr>
      <w:r w:rsidRPr="00B83FA3">
        <w:rPr>
          <w:rFonts w:eastAsia="SimSun"/>
          <w:b/>
          <w:kern w:val="2"/>
          <w:szCs w:val="24"/>
          <w:lang w:val="en-US" w:eastAsia="zh-CN"/>
        </w:rPr>
        <w:lastRenderedPageBreak/>
        <w:t>Article in press:</w:t>
      </w:r>
    </w:p>
    <w:p w14:paraId="0E9E2340" w14:textId="77777777" w:rsidR="00B83FA3" w:rsidRPr="00B83FA3" w:rsidRDefault="00B83FA3" w:rsidP="007E3B89">
      <w:pPr>
        <w:widowControl w:val="0"/>
        <w:adjustRightInd w:val="0"/>
        <w:snapToGrid w:val="0"/>
        <w:spacing w:before="0" w:after="0"/>
        <w:jc w:val="both"/>
        <w:rPr>
          <w:rFonts w:eastAsia="SimSun"/>
          <w:b/>
          <w:kern w:val="2"/>
          <w:szCs w:val="24"/>
          <w:lang w:val="en-US" w:eastAsia="zh-CN"/>
        </w:rPr>
      </w:pPr>
      <w:r w:rsidRPr="00B83FA3">
        <w:rPr>
          <w:rFonts w:eastAsia="SimSun"/>
          <w:b/>
          <w:kern w:val="2"/>
          <w:szCs w:val="24"/>
          <w:lang w:val="en-US" w:eastAsia="zh-CN"/>
        </w:rPr>
        <w:t>Published online:</w:t>
      </w:r>
      <w:bookmarkEnd w:id="87"/>
      <w:bookmarkEnd w:id="88"/>
      <w:bookmarkEnd w:id="89"/>
    </w:p>
    <w:p w14:paraId="39B3C324" w14:textId="77777777" w:rsidR="00B83FA3" w:rsidRPr="007018B5" w:rsidRDefault="00B83FA3" w:rsidP="007E3B89">
      <w:pPr>
        <w:adjustRightInd w:val="0"/>
        <w:snapToGrid w:val="0"/>
        <w:spacing w:before="0" w:after="0"/>
        <w:jc w:val="both"/>
        <w:rPr>
          <w:szCs w:val="24"/>
          <w:lang w:val="en-US"/>
        </w:rPr>
      </w:pPr>
    </w:p>
    <w:p w14:paraId="25FFFF8A" w14:textId="77777777" w:rsidR="00142FFB" w:rsidRPr="007018B5" w:rsidRDefault="00142FFB" w:rsidP="007E3B89">
      <w:pPr>
        <w:adjustRightInd w:val="0"/>
        <w:snapToGrid w:val="0"/>
        <w:spacing w:before="0" w:after="0"/>
        <w:jc w:val="both"/>
        <w:rPr>
          <w:b/>
          <w:bCs/>
          <w:szCs w:val="24"/>
          <w:lang w:val="en-US"/>
        </w:rPr>
      </w:pPr>
      <w:r w:rsidRPr="007018B5">
        <w:rPr>
          <w:b/>
          <w:bCs/>
          <w:szCs w:val="24"/>
          <w:lang w:val="en-US"/>
        </w:rPr>
        <w:br w:type="page"/>
      </w:r>
    </w:p>
    <w:p w14:paraId="29E730A3" w14:textId="1B36A2D1" w:rsidR="002949BE" w:rsidRPr="007018B5" w:rsidRDefault="002949BE" w:rsidP="007E3B89">
      <w:pPr>
        <w:adjustRightInd w:val="0"/>
        <w:snapToGrid w:val="0"/>
        <w:spacing w:before="0" w:after="0"/>
        <w:jc w:val="both"/>
        <w:rPr>
          <w:rFonts w:eastAsia="Calibri"/>
          <w:b/>
          <w:bCs/>
          <w:szCs w:val="24"/>
          <w:lang w:val="en-US" w:eastAsia="en-GB"/>
        </w:rPr>
      </w:pPr>
      <w:r w:rsidRPr="007018B5">
        <w:rPr>
          <w:b/>
          <w:bCs/>
          <w:szCs w:val="24"/>
          <w:lang w:val="en-US"/>
        </w:rPr>
        <w:lastRenderedPageBreak/>
        <w:t>Abstract</w:t>
      </w:r>
    </w:p>
    <w:p w14:paraId="52B036DF" w14:textId="77777777" w:rsidR="00142FFB" w:rsidRPr="007018B5" w:rsidRDefault="00592F98" w:rsidP="007E3B89">
      <w:pPr>
        <w:adjustRightInd w:val="0"/>
        <w:snapToGrid w:val="0"/>
        <w:spacing w:before="0" w:after="0"/>
        <w:jc w:val="both"/>
        <w:rPr>
          <w:b/>
          <w:szCs w:val="24"/>
          <w:lang w:val="en-US"/>
        </w:rPr>
      </w:pPr>
      <w:r w:rsidRPr="007018B5">
        <w:rPr>
          <w:b/>
          <w:i/>
          <w:iCs/>
          <w:szCs w:val="24"/>
          <w:lang w:val="en-US"/>
        </w:rPr>
        <w:t>BACKGROUND</w:t>
      </w:r>
    </w:p>
    <w:p w14:paraId="0D84200B" w14:textId="5EC42536" w:rsidR="00142FFB" w:rsidRDefault="00166EF2" w:rsidP="007E3B89">
      <w:pPr>
        <w:adjustRightInd w:val="0"/>
        <w:snapToGrid w:val="0"/>
        <w:spacing w:before="0" w:after="0"/>
        <w:jc w:val="both"/>
        <w:rPr>
          <w:szCs w:val="24"/>
          <w:lang w:val="en-US"/>
        </w:rPr>
      </w:pPr>
      <w:r w:rsidRPr="007018B5">
        <w:rPr>
          <w:szCs w:val="24"/>
          <w:lang w:val="en-US"/>
        </w:rPr>
        <w:t xml:space="preserve">Perianal fistulae are either primary (idiopathic) or secondary </w:t>
      </w:r>
      <w:r w:rsidR="00E97C8C">
        <w:rPr>
          <w:szCs w:val="24"/>
          <w:lang w:val="en-US"/>
        </w:rPr>
        <w:t>[</w:t>
      </w:r>
      <w:r w:rsidRPr="007018B5">
        <w:rPr>
          <w:szCs w:val="24"/>
          <w:lang w:val="en-US"/>
        </w:rPr>
        <w:t xml:space="preserve">commonly associated with </w:t>
      </w:r>
      <w:r w:rsidR="00E33DC4" w:rsidRPr="007018B5">
        <w:rPr>
          <w:szCs w:val="24"/>
          <w:lang w:val="en-US"/>
        </w:rPr>
        <w:t xml:space="preserve">Crohn’s disease, </w:t>
      </w:r>
      <w:r w:rsidR="00E97C8C">
        <w:rPr>
          <w:szCs w:val="24"/>
          <w:lang w:val="en-US"/>
        </w:rPr>
        <w:t>(</w:t>
      </w:r>
      <w:r w:rsidRPr="007018B5">
        <w:rPr>
          <w:szCs w:val="24"/>
          <w:lang w:val="en-US"/>
        </w:rPr>
        <w:t>CD)</w:t>
      </w:r>
      <w:r w:rsidR="00E97C8C">
        <w:rPr>
          <w:szCs w:val="24"/>
          <w:lang w:val="en-US"/>
        </w:rPr>
        <w:t>]</w:t>
      </w:r>
      <w:r w:rsidRPr="007018B5">
        <w:rPr>
          <w:szCs w:val="24"/>
          <w:lang w:val="en-US"/>
        </w:rPr>
        <w:t>. It is assumed, although not proven, that the pathophysiology differs.</w:t>
      </w:r>
    </w:p>
    <w:p w14:paraId="25D480A7" w14:textId="77777777" w:rsidR="00E97C8C" w:rsidRPr="007018B5" w:rsidRDefault="00E97C8C" w:rsidP="007E3B89">
      <w:pPr>
        <w:adjustRightInd w:val="0"/>
        <w:snapToGrid w:val="0"/>
        <w:spacing w:before="0" w:after="0"/>
        <w:jc w:val="both"/>
        <w:rPr>
          <w:szCs w:val="24"/>
          <w:lang w:val="en-US"/>
        </w:rPr>
      </w:pPr>
    </w:p>
    <w:p w14:paraId="469EFB84" w14:textId="77777777" w:rsidR="00142FFB" w:rsidRPr="007018B5" w:rsidRDefault="00592F98" w:rsidP="007E3B89">
      <w:pPr>
        <w:adjustRightInd w:val="0"/>
        <w:snapToGrid w:val="0"/>
        <w:spacing w:before="0" w:after="0"/>
        <w:jc w:val="both"/>
        <w:rPr>
          <w:rFonts w:cs="Arial"/>
          <w:b/>
          <w:szCs w:val="24"/>
          <w:lang w:val="en-US"/>
        </w:rPr>
      </w:pPr>
      <w:r w:rsidRPr="007018B5">
        <w:rPr>
          <w:rFonts w:cs="Arial"/>
          <w:b/>
          <w:i/>
          <w:iCs/>
          <w:szCs w:val="24"/>
          <w:lang w:val="en-US"/>
        </w:rPr>
        <w:t>AIM</w:t>
      </w:r>
    </w:p>
    <w:p w14:paraId="192D6587" w14:textId="6458600E" w:rsidR="00142FFB" w:rsidRDefault="006C6B37" w:rsidP="007E3B89">
      <w:pPr>
        <w:adjustRightInd w:val="0"/>
        <w:snapToGrid w:val="0"/>
        <w:spacing w:before="0" w:after="0"/>
        <w:jc w:val="both"/>
        <w:rPr>
          <w:rFonts w:cs="Arial"/>
          <w:szCs w:val="24"/>
          <w:lang w:val="en-US"/>
        </w:rPr>
      </w:pPr>
      <w:r w:rsidRPr="007018B5">
        <w:rPr>
          <w:rFonts w:cs="Arial"/>
          <w:szCs w:val="24"/>
          <w:lang w:val="en-US"/>
        </w:rPr>
        <w:t>To systematically</w:t>
      </w:r>
      <w:r w:rsidR="00166EF2" w:rsidRPr="007018B5">
        <w:rPr>
          <w:rFonts w:cs="Arial"/>
          <w:szCs w:val="24"/>
          <w:lang w:val="en-US"/>
        </w:rPr>
        <w:t xml:space="preserve"> compar</w:t>
      </w:r>
      <w:r w:rsidRPr="007018B5">
        <w:rPr>
          <w:rFonts w:cs="Arial"/>
          <w:szCs w:val="24"/>
          <w:lang w:val="en-US"/>
        </w:rPr>
        <w:t>e</w:t>
      </w:r>
      <w:r w:rsidR="00166EF2" w:rsidRPr="007018B5">
        <w:rPr>
          <w:rFonts w:cs="Arial"/>
          <w:szCs w:val="24"/>
          <w:lang w:val="en-US"/>
        </w:rPr>
        <w:t xml:space="preserve"> </w:t>
      </w:r>
      <w:r w:rsidR="005A06AB" w:rsidRPr="007018B5">
        <w:rPr>
          <w:rFonts w:cs="Arial"/>
          <w:szCs w:val="24"/>
          <w:lang w:val="en-US"/>
        </w:rPr>
        <w:t xml:space="preserve">the clinical phenotypes, cytokine and phosphoprotein profiles of </w:t>
      </w:r>
      <w:r w:rsidR="00166EF2" w:rsidRPr="007018B5">
        <w:rPr>
          <w:rFonts w:cs="Arial"/>
          <w:szCs w:val="24"/>
          <w:lang w:val="en-US"/>
        </w:rPr>
        <w:t xml:space="preserve">idiopathic and </w:t>
      </w:r>
      <w:r w:rsidR="00E33DC4" w:rsidRPr="007018B5">
        <w:rPr>
          <w:rFonts w:cs="Arial"/>
          <w:szCs w:val="24"/>
          <w:lang w:val="en-US"/>
        </w:rPr>
        <w:t>CD-</w:t>
      </w:r>
      <w:r w:rsidR="00166EF2" w:rsidRPr="007018B5">
        <w:rPr>
          <w:rFonts w:cs="Arial"/>
          <w:szCs w:val="24"/>
          <w:lang w:val="en-US"/>
        </w:rPr>
        <w:t>related perianal fistulae.</w:t>
      </w:r>
    </w:p>
    <w:p w14:paraId="2D69EDAD" w14:textId="77777777" w:rsidR="00E97C8C" w:rsidRPr="007018B5" w:rsidRDefault="00E97C8C" w:rsidP="007E3B89">
      <w:pPr>
        <w:adjustRightInd w:val="0"/>
        <w:snapToGrid w:val="0"/>
        <w:spacing w:before="0" w:after="0"/>
        <w:jc w:val="both"/>
        <w:rPr>
          <w:rFonts w:cs="Arial"/>
          <w:szCs w:val="24"/>
          <w:lang w:val="en-US"/>
        </w:rPr>
      </w:pPr>
    </w:p>
    <w:p w14:paraId="53873086" w14:textId="77777777" w:rsidR="00142FFB" w:rsidRPr="007018B5" w:rsidRDefault="00592F98" w:rsidP="007E3B89">
      <w:pPr>
        <w:adjustRightInd w:val="0"/>
        <w:snapToGrid w:val="0"/>
        <w:spacing w:before="0" w:after="0"/>
        <w:jc w:val="both"/>
        <w:rPr>
          <w:rFonts w:cs="Arial"/>
          <w:b/>
          <w:szCs w:val="24"/>
          <w:lang w:val="en-US"/>
        </w:rPr>
      </w:pPr>
      <w:r w:rsidRPr="007018B5">
        <w:rPr>
          <w:rFonts w:cs="Arial"/>
          <w:b/>
          <w:i/>
          <w:iCs/>
          <w:szCs w:val="24"/>
          <w:lang w:val="en-US"/>
        </w:rPr>
        <w:t>METHODS</w:t>
      </w:r>
    </w:p>
    <w:p w14:paraId="7EFC27D4" w14:textId="120333EC" w:rsidR="00142FFB" w:rsidRDefault="00166EF2" w:rsidP="007E3B89">
      <w:pPr>
        <w:adjustRightInd w:val="0"/>
        <w:snapToGrid w:val="0"/>
        <w:spacing w:before="0" w:after="0"/>
        <w:jc w:val="both"/>
        <w:rPr>
          <w:rFonts w:cs="Arial"/>
          <w:szCs w:val="24"/>
          <w:lang w:val="en-US"/>
        </w:rPr>
      </w:pPr>
      <w:r w:rsidRPr="007018B5">
        <w:rPr>
          <w:szCs w:val="24"/>
          <w:lang w:val="en-US"/>
        </w:rPr>
        <w:t xml:space="preserve">Sixty-one patients undergoing surgery for perianal fistula were prospectively recruited </w:t>
      </w:r>
      <w:r w:rsidRPr="007018B5">
        <w:rPr>
          <w:rFonts w:cs="Arial"/>
          <w:szCs w:val="24"/>
          <w:lang w:val="en-US"/>
        </w:rPr>
        <w:t>(48 idiopathic, 13 CD)</w:t>
      </w:r>
      <w:r w:rsidR="00F01B8E" w:rsidRPr="007018B5">
        <w:rPr>
          <w:rFonts w:cs="Arial"/>
          <w:szCs w:val="24"/>
          <w:lang w:val="en-US"/>
        </w:rPr>
        <w:t xml:space="preserve"> into a cohort study</w:t>
      </w:r>
      <w:r w:rsidRPr="007018B5">
        <w:rPr>
          <w:rFonts w:cs="Arial"/>
          <w:szCs w:val="24"/>
          <w:lang w:val="en-US"/>
        </w:rPr>
        <w:t xml:space="preserve">. Clinical data, including the </w:t>
      </w:r>
      <w:r w:rsidRPr="007018B5">
        <w:rPr>
          <w:szCs w:val="24"/>
          <w:lang w:val="en-US"/>
        </w:rPr>
        <w:t>Perineal Disease Activity Index (PDAI) and EQ-5D-5L were collected. Biopsies of the fistula tract, granulation tissue, internal opening mucosa and rectal mucosa were obtained at surgery. Concentrations of 30 cytokines</w:t>
      </w:r>
      <w:r w:rsidR="00BE2A3D" w:rsidRPr="007018B5">
        <w:rPr>
          <w:szCs w:val="24"/>
          <w:lang w:val="en-US"/>
        </w:rPr>
        <w:t xml:space="preserve"> </w:t>
      </w:r>
      <w:r w:rsidRPr="007018B5">
        <w:rPr>
          <w:szCs w:val="24"/>
          <w:lang w:val="en-US"/>
        </w:rPr>
        <w:t>and 39 phosphoproteins were measured in each biopsy</w:t>
      </w:r>
      <w:r w:rsidR="00BE2A3D" w:rsidRPr="007018B5">
        <w:rPr>
          <w:szCs w:val="24"/>
          <w:lang w:val="en-US"/>
        </w:rPr>
        <w:t xml:space="preserve"> using a magnetic bead multiplexing instrument and a chemiluminescent antibody array respectively</w:t>
      </w:r>
      <w:r w:rsidRPr="007018B5">
        <w:rPr>
          <w:szCs w:val="24"/>
          <w:lang w:val="en-US"/>
        </w:rPr>
        <w:t xml:space="preserve">. </w:t>
      </w:r>
      <w:r w:rsidRPr="007018B5">
        <w:rPr>
          <w:rFonts w:cs="Arial"/>
          <w:szCs w:val="24"/>
          <w:lang w:val="en-US"/>
        </w:rPr>
        <w:t>Over 12000 clinical and 23500 laboratory measurements were made.</w:t>
      </w:r>
    </w:p>
    <w:p w14:paraId="1FEB9404" w14:textId="77777777" w:rsidR="00E97C8C" w:rsidRPr="007018B5" w:rsidRDefault="00E97C8C" w:rsidP="007E3B89">
      <w:pPr>
        <w:adjustRightInd w:val="0"/>
        <w:snapToGrid w:val="0"/>
        <w:spacing w:before="0" w:after="0"/>
        <w:jc w:val="both"/>
        <w:rPr>
          <w:rFonts w:cs="Arial"/>
          <w:szCs w:val="24"/>
          <w:lang w:val="en-US"/>
        </w:rPr>
      </w:pPr>
    </w:p>
    <w:p w14:paraId="30109B61" w14:textId="77777777" w:rsidR="00142FFB" w:rsidRPr="007018B5" w:rsidRDefault="00592F98" w:rsidP="007E3B89">
      <w:pPr>
        <w:adjustRightInd w:val="0"/>
        <w:snapToGrid w:val="0"/>
        <w:spacing w:before="0" w:after="0"/>
        <w:jc w:val="both"/>
        <w:rPr>
          <w:rFonts w:cs="Arial"/>
          <w:b/>
          <w:szCs w:val="24"/>
          <w:lang w:val="en-US"/>
        </w:rPr>
      </w:pPr>
      <w:r w:rsidRPr="007018B5">
        <w:rPr>
          <w:rFonts w:cs="Arial"/>
          <w:b/>
          <w:i/>
          <w:iCs/>
          <w:szCs w:val="24"/>
          <w:lang w:val="en-US"/>
        </w:rPr>
        <w:t>RESULTS</w:t>
      </w:r>
    </w:p>
    <w:p w14:paraId="6E1A441A" w14:textId="6E0243BD" w:rsidR="00142FFB" w:rsidRDefault="00166EF2" w:rsidP="007E3B89">
      <w:pPr>
        <w:adjustRightInd w:val="0"/>
        <w:snapToGrid w:val="0"/>
        <w:spacing w:before="0" w:after="0"/>
        <w:jc w:val="both"/>
        <w:rPr>
          <w:szCs w:val="24"/>
          <w:lang w:val="en-US"/>
        </w:rPr>
      </w:pPr>
      <w:r w:rsidRPr="007018B5">
        <w:rPr>
          <w:szCs w:val="24"/>
          <w:lang w:val="en-US"/>
        </w:rPr>
        <w:t>The PDAI was significantly higher (indicating more active disease) in the CD group with a mean difference of 2.40 (</w:t>
      </w:r>
      <w:r w:rsidR="00E97C8C">
        <w:rPr>
          <w:szCs w:val="24"/>
          <w:lang w:val="en-US"/>
        </w:rPr>
        <w:t>95%CI:</w:t>
      </w:r>
      <w:r w:rsidRPr="007018B5">
        <w:rPr>
          <w:szCs w:val="24"/>
          <w:lang w:val="en-US"/>
        </w:rPr>
        <w:t xml:space="preserve"> 0.52</w:t>
      </w:r>
      <w:r w:rsidR="00E97C8C">
        <w:rPr>
          <w:szCs w:val="24"/>
          <w:lang w:val="en-US"/>
        </w:rPr>
        <w:t>-</w:t>
      </w:r>
      <w:r w:rsidRPr="007018B5">
        <w:rPr>
          <w:szCs w:val="24"/>
          <w:lang w:val="en-US"/>
        </w:rPr>
        <w:t xml:space="preserve">4.28, </w:t>
      </w:r>
      <w:r w:rsidRPr="007018B5">
        <w:rPr>
          <w:i/>
          <w:szCs w:val="24"/>
          <w:lang w:val="en-US"/>
        </w:rPr>
        <w:t>P</w:t>
      </w:r>
      <w:r w:rsidRPr="007018B5">
        <w:rPr>
          <w:szCs w:val="24"/>
          <w:lang w:val="en-US"/>
        </w:rPr>
        <w:t xml:space="preserve"> = 0.01). </w:t>
      </w:r>
      <w:r w:rsidRPr="007018B5">
        <w:rPr>
          <w:szCs w:val="24"/>
          <w:lang w:val="en-US" w:eastAsia="en-GB"/>
        </w:rPr>
        <w:t xml:space="preserve">Complex </w:t>
      </w:r>
      <w:proofErr w:type="spellStart"/>
      <w:r w:rsidRPr="007018B5">
        <w:rPr>
          <w:szCs w:val="24"/>
          <w:lang w:val="en-US" w:eastAsia="en-GB"/>
        </w:rPr>
        <w:t>pathoanatomy</w:t>
      </w:r>
      <w:proofErr w:type="spellEnd"/>
      <w:r w:rsidRPr="007018B5">
        <w:rPr>
          <w:szCs w:val="24"/>
          <w:lang w:val="en-US" w:eastAsia="en-GB"/>
        </w:rPr>
        <w:t xml:space="preserve"> was more prevalent</w:t>
      </w:r>
      <w:r w:rsidRPr="007018B5">
        <w:rPr>
          <w:szCs w:val="24"/>
          <w:lang w:val="en-US"/>
        </w:rPr>
        <w:t xml:space="preserve"> in the CD group</w:t>
      </w:r>
      <w:r w:rsidR="00BE2A3D" w:rsidRPr="007018B5">
        <w:rPr>
          <w:szCs w:val="24"/>
          <w:lang w:val="en-US"/>
        </w:rPr>
        <w:t xml:space="preserve">, namely more multiple fistulae, </w:t>
      </w:r>
      <w:proofErr w:type="spellStart"/>
      <w:r w:rsidR="00BE2A3D" w:rsidRPr="007018B5">
        <w:rPr>
          <w:szCs w:val="24"/>
          <w:lang w:val="en-US"/>
        </w:rPr>
        <w:t>supralevator</w:t>
      </w:r>
      <w:proofErr w:type="spellEnd"/>
      <w:r w:rsidR="00BE2A3D" w:rsidRPr="007018B5">
        <w:rPr>
          <w:szCs w:val="24"/>
          <w:lang w:val="en-US"/>
        </w:rPr>
        <w:t xml:space="preserve"> extensions, collections and rectal thickening</w:t>
      </w:r>
      <w:r w:rsidRPr="007018B5">
        <w:rPr>
          <w:rFonts w:cs="Arial"/>
          <w:szCs w:val="24"/>
          <w:lang w:val="en-US"/>
        </w:rPr>
        <w:t xml:space="preserve">. The </w:t>
      </w:r>
      <w:r w:rsidRPr="007018B5">
        <w:rPr>
          <w:szCs w:val="24"/>
          <w:lang w:val="en-US"/>
        </w:rPr>
        <w:t xml:space="preserve">IL-12p70 concentration at the internal opening specimen site was significantly higher (median difference 19.7 </w:t>
      </w:r>
      <w:proofErr w:type="spellStart"/>
      <w:r w:rsidRPr="007018B5">
        <w:rPr>
          <w:szCs w:val="24"/>
          <w:lang w:val="en-US"/>
        </w:rPr>
        <w:t>pg</w:t>
      </w:r>
      <w:proofErr w:type="spellEnd"/>
      <w:r w:rsidRPr="007018B5">
        <w:rPr>
          <w:szCs w:val="24"/>
          <w:lang w:val="en-US"/>
        </w:rPr>
        <w:t>/m</w:t>
      </w:r>
      <w:r w:rsidR="00E97C8C">
        <w:rPr>
          <w:szCs w:val="24"/>
          <w:lang w:val="en-US"/>
        </w:rPr>
        <w:t>L</w:t>
      </w:r>
      <w:r w:rsidRPr="007018B5">
        <w:rPr>
          <w:szCs w:val="24"/>
          <w:lang w:val="en-US"/>
        </w:rPr>
        <w:t>, 99%CI: 0.2</w:t>
      </w:r>
      <w:r w:rsidR="00E97C8C">
        <w:rPr>
          <w:szCs w:val="24"/>
          <w:lang w:val="en-US"/>
        </w:rPr>
        <w:t>-</w:t>
      </w:r>
      <w:r w:rsidRPr="007018B5">
        <w:rPr>
          <w:szCs w:val="24"/>
          <w:lang w:val="en-US"/>
        </w:rPr>
        <w:t xml:space="preserve">40.4, </w:t>
      </w:r>
      <w:r w:rsidRPr="007018B5">
        <w:rPr>
          <w:i/>
          <w:szCs w:val="24"/>
          <w:lang w:val="en-US"/>
        </w:rPr>
        <w:t>P</w:t>
      </w:r>
      <w:r w:rsidRPr="007018B5">
        <w:rPr>
          <w:szCs w:val="24"/>
          <w:lang w:val="en-US"/>
        </w:rPr>
        <w:t xml:space="preserve"> = 0.008) and the IL-1RA/IL-1</w:t>
      </w:r>
      <w:r w:rsidRPr="007018B5">
        <w:rPr>
          <w:szCs w:val="24"/>
          <w:lang w:val="en-US"/>
        </w:rPr>
        <w:sym w:font="Symbol" w:char="F062"/>
      </w:r>
      <w:r w:rsidRPr="007018B5">
        <w:rPr>
          <w:szCs w:val="24"/>
          <w:lang w:val="en-US"/>
        </w:rPr>
        <w:t xml:space="preserve"> ratio was significantly lower in the CD group at the internal opening specimen site (median difference 15.0, 99%CI = 0.4</w:t>
      </w:r>
      <w:r w:rsidR="00E97C8C">
        <w:rPr>
          <w:szCs w:val="24"/>
          <w:lang w:val="en-US"/>
        </w:rPr>
        <w:t>-</w:t>
      </w:r>
      <w:r w:rsidRPr="007018B5">
        <w:rPr>
          <w:szCs w:val="24"/>
          <w:lang w:val="en-US"/>
        </w:rPr>
        <w:t xml:space="preserve">50.5, </w:t>
      </w:r>
      <w:r w:rsidRPr="007018B5">
        <w:rPr>
          <w:i/>
          <w:szCs w:val="24"/>
          <w:lang w:val="en-US"/>
        </w:rPr>
        <w:t>P</w:t>
      </w:r>
      <w:r w:rsidRPr="007018B5">
        <w:rPr>
          <w:szCs w:val="24"/>
          <w:lang w:val="en-US"/>
        </w:rPr>
        <w:t xml:space="preserve"> = 0.008). However in the remaining 27 cytokines and all 39 of the phosphoproteins across the four biopsy sites, no significant differences were found between the groups.</w:t>
      </w:r>
    </w:p>
    <w:p w14:paraId="7B2E6F7C" w14:textId="77777777" w:rsidR="00E97C8C" w:rsidRPr="007018B5" w:rsidRDefault="00E97C8C" w:rsidP="007E3B89">
      <w:pPr>
        <w:adjustRightInd w:val="0"/>
        <w:snapToGrid w:val="0"/>
        <w:spacing w:before="0" w:after="0"/>
        <w:jc w:val="both"/>
        <w:rPr>
          <w:rFonts w:cs="Arial"/>
          <w:szCs w:val="24"/>
          <w:lang w:val="en-US"/>
        </w:rPr>
      </w:pPr>
    </w:p>
    <w:p w14:paraId="2B948B00" w14:textId="7CA5577D" w:rsidR="00142FFB" w:rsidRPr="007018B5" w:rsidRDefault="00592F98" w:rsidP="007E3B89">
      <w:pPr>
        <w:adjustRightInd w:val="0"/>
        <w:snapToGrid w:val="0"/>
        <w:spacing w:before="0" w:after="0"/>
        <w:jc w:val="both"/>
        <w:rPr>
          <w:rFonts w:cs="Arial"/>
          <w:b/>
          <w:szCs w:val="24"/>
          <w:lang w:val="en-US"/>
        </w:rPr>
      </w:pPr>
      <w:r w:rsidRPr="007018B5">
        <w:rPr>
          <w:rFonts w:cs="Arial"/>
          <w:b/>
          <w:i/>
          <w:iCs/>
          <w:szCs w:val="24"/>
          <w:lang w:val="en-US"/>
        </w:rPr>
        <w:lastRenderedPageBreak/>
        <w:t>CONCLUSION</w:t>
      </w:r>
    </w:p>
    <w:p w14:paraId="1A4A328D" w14:textId="4A72A79A" w:rsidR="00166EF2" w:rsidRPr="007018B5" w:rsidRDefault="00166EF2" w:rsidP="007E3B89">
      <w:pPr>
        <w:adjustRightInd w:val="0"/>
        <w:snapToGrid w:val="0"/>
        <w:spacing w:before="0" w:after="0"/>
        <w:jc w:val="both"/>
        <w:rPr>
          <w:rFonts w:cs="Arial"/>
          <w:szCs w:val="24"/>
          <w:lang w:val="en-US"/>
        </w:rPr>
      </w:pPr>
      <w:r w:rsidRPr="007018B5">
        <w:rPr>
          <w:szCs w:val="24"/>
          <w:lang w:val="en-US" w:eastAsia="en-GB"/>
        </w:rPr>
        <w:t xml:space="preserve">CD-related perianal fistulae are more clinically severe and anatomically complex than idiopathic perianal fistulae. However, overall there are no major differences in cytokine and phosphoprotein profiles. </w:t>
      </w:r>
    </w:p>
    <w:p w14:paraId="3440F92B" w14:textId="77777777" w:rsidR="00E37891" w:rsidRPr="007018B5" w:rsidRDefault="00E37891" w:rsidP="007E3B89">
      <w:pPr>
        <w:adjustRightInd w:val="0"/>
        <w:snapToGrid w:val="0"/>
        <w:spacing w:before="0" w:after="0"/>
        <w:jc w:val="both"/>
        <w:rPr>
          <w:szCs w:val="24"/>
          <w:lang w:val="en-US"/>
        </w:rPr>
      </w:pPr>
    </w:p>
    <w:p w14:paraId="01F9B977" w14:textId="3F77EC12" w:rsidR="00142FFB" w:rsidRDefault="002949BE" w:rsidP="007E3B89">
      <w:pPr>
        <w:adjustRightInd w:val="0"/>
        <w:snapToGrid w:val="0"/>
        <w:spacing w:before="0" w:after="0"/>
        <w:jc w:val="both"/>
        <w:rPr>
          <w:szCs w:val="24"/>
          <w:lang w:val="en-US"/>
        </w:rPr>
      </w:pPr>
      <w:r w:rsidRPr="007018B5">
        <w:rPr>
          <w:b/>
          <w:bCs/>
          <w:szCs w:val="24"/>
          <w:lang w:val="en-US"/>
        </w:rPr>
        <w:t>Key</w:t>
      </w:r>
      <w:r w:rsidR="00E37891" w:rsidRPr="007018B5">
        <w:rPr>
          <w:b/>
          <w:bCs/>
          <w:szCs w:val="24"/>
          <w:lang w:val="en-US"/>
        </w:rPr>
        <w:t xml:space="preserve"> </w:t>
      </w:r>
      <w:r w:rsidRPr="007018B5">
        <w:rPr>
          <w:b/>
          <w:bCs/>
          <w:szCs w:val="24"/>
          <w:lang w:val="en-US"/>
        </w:rPr>
        <w:t>words</w:t>
      </w:r>
      <w:r w:rsidR="00E37891" w:rsidRPr="007018B5">
        <w:rPr>
          <w:b/>
          <w:bCs/>
          <w:szCs w:val="24"/>
          <w:lang w:val="en-US"/>
        </w:rPr>
        <w:t>:</w:t>
      </w:r>
      <w:r w:rsidR="00E37891" w:rsidRPr="007018B5">
        <w:rPr>
          <w:szCs w:val="24"/>
          <w:lang w:val="en-US"/>
        </w:rPr>
        <w:t xml:space="preserve"> </w:t>
      </w:r>
      <w:r w:rsidR="00000DBA" w:rsidRPr="007018B5">
        <w:rPr>
          <w:szCs w:val="24"/>
          <w:lang w:val="en-US"/>
        </w:rPr>
        <w:t>Anal fistula</w:t>
      </w:r>
      <w:r w:rsidRPr="007018B5">
        <w:rPr>
          <w:szCs w:val="24"/>
          <w:lang w:val="en-US"/>
        </w:rPr>
        <w:t xml:space="preserve">; </w:t>
      </w:r>
      <w:r w:rsidR="00000DBA" w:rsidRPr="007018B5">
        <w:rPr>
          <w:szCs w:val="24"/>
          <w:lang w:val="en-US"/>
        </w:rPr>
        <w:t xml:space="preserve">Crohn’s disease; </w:t>
      </w:r>
      <w:r w:rsidR="006C6B37" w:rsidRPr="007018B5">
        <w:rPr>
          <w:szCs w:val="24"/>
          <w:lang w:val="en-US"/>
        </w:rPr>
        <w:t>C</w:t>
      </w:r>
      <w:r w:rsidR="00BC3BDD" w:rsidRPr="007018B5">
        <w:rPr>
          <w:szCs w:val="24"/>
          <w:lang w:val="en-US"/>
        </w:rPr>
        <w:t xml:space="preserve">ytokines; </w:t>
      </w:r>
      <w:r w:rsidR="006C6B37" w:rsidRPr="007018B5">
        <w:rPr>
          <w:szCs w:val="24"/>
          <w:lang w:val="en-US"/>
        </w:rPr>
        <w:t>P</w:t>
      </w:r>
      <w:r w:rsidR="00222E44" w:rsidRPr="007018B5">
        <w:rPr>
          <w:szCs w:val="24"/>
          <w:lang w:val="en-US"/>
        </w:rPr>
        <w:t>hosphoprotein</w:t>
      </w:r>
      <w:r w:rsidR="00BC3BDD" w:rsidRPr="007018B5">
        <w:rPr>
          <w:szCs w:val="24"/>
          <w:lang w:val="en-US"/>
        </w:rPr>
        <w:t>s</w:t>
      </w:r>
      <w:r w:rsidR="00E37891" w:rsidRPr="007018B5">
        <w:rPr>
          <w:szCs w:val="24"/>
          <w:lang w:val="en-US"/>
        </w:rPr>
        <w:t xml:space="preserve">; </w:t>
      </w:r>
      <w:r w:rsidR="006C6B37" w:rsidRPr="007018B5">
        <w:rPr>
          <w:szCs w:val="24"/>
          <w:lang w:val="en-US"/>
        </w:rPr>
        <w:t>P</w:t>
      </w:r>
      <w:r w:rsidR="00000DBA" w:rsidRPr="007018B5">
        <w:rPr>
          <w:szCs w:val="24"/>
          <w:lang w:val="en-US"/>
        </w:rPr>
        <w:t>athogenesis</w:t>
      </w:r>
    </w:p>
    <w:p w14:paraId="76A84A79" w14:textId="313DFF4A" w:rsidR="00E97C8C" w:rsidRDefault="00E97C8C" w:rsidP="007E3B89">
      <w:pPr>
        <w:adjustRightInd w:val="0"/>
        <w:snapToGrid w:val="0"/>
        <w:spacing w:before="0" w:after="0"/>
        <w:jc w:val="both"/>
        <w:rPr>
          <w:szCs w:val="24"/>
          <w:lang w:val="en-US"/>
        </w:rPr>
      </w:pPr>
    </w:p>
    <w:p w14:paraId="32779320" w14:textId="13EE98F1" w:rsidR="00E97C8C" w:rsidRDefault="00E50D46" w:rsidP="007E3B89">
      <w:pPr>
        <w:adjustRightInd w:val="0"/>
        <w:snapToGrid w:val="0"/>
        <w:spacing w:before="0" w:after="0"/>
        <w:jc w:val="both"/>
        <w:rPr>
          <w:rFonts w:eastAsia="SimSun" w:cs="Arial Unicode MS"/>
          <w:kern w:val="2"/>
          <w:szCs w:val="24"/>
          <w:lang w:val="fr-FR" w:eastAsia="zh-CN"/>
        </w:rPr>
      </w:pPr>
      <w:r w:rsidRPr="00E50D46">
        <w:rPr>
          <w:rFonts w:eastAsia="SimSun" w:cs="Tahoma"/>
          <w:b/>
          <w:color w:val="000000"/>
          <w:kern w:val="2"/>
          <w:szCs w:val="24"/>
          <w:lang w:eastAsia="ja-JP"/>
        </w:rPr>
        <w:t xml:space="preserve">© </w:t>
      </w:r>
      <w:r w:rsidRPr="00E50D46">
        <w:rPr>
          <w:rFonts w:eastAsia="AdvTimes" w:cs="AdvTimes"/>
          <w:b/>
          <w:color w:val="000000"/>
          <w:kern w:val="2"/>
          <w:szCs w:val="24"/>
          <w:lang w:val="fr-FR" w:eastAsia="ja-JP"/>
        </w:rPr>
        <w:t xml:space="preserve">The Author(s) </w:t>
      </w:r>
      <w:r w:rsidRPr="00E50D46">
        <w:rPr>
          <w:rFonts w:eastAsia="SimSun" w:cs="AdvTimes"/>
          <w:b/>
          <w:color w:val="000000"/>
          <w:kern w:val="2"/>
          <w:szCs w:val="24"/>
          <w:lang w:val="fr-FR" w:eastAsia="zh-CN"/>
        </w:rPr>
        <w:t>2019</w:t>
      </w:r>
      <w:r w:rsidRPr="00E50D46">
        <w:rPr>
          <w:rFonts w:eastAsia="AdvTimes" w:cs="AdvTimes"/>
          <w:b/>
          <w:color w:val="000000"/>
          <w:kern w:val="2"/>
          <w:szCs w:val="24"/>
          <w:lang w:val="fr-FR" w:eastAsia="ja-JP"/>
        </w:rPr>
        <w:t>.</w:t>
      </w:r>
      <w:r w:rsidRPr="00E50D46">
        <w:rPr>
          <w:rFonts w:eastAsia="AdvTimes" w:cs="AdvTimes"/>
          <w:color w:val="000000"/>
          <w:kern w:val="2"/>
          <w:szCs w:val="24"/>
          <w:lang w:val="fr-FR" w:eastAsia="ja-JP"/>
        </w:rPr>
        <w:t xml:space="preserve"> </w:t>
      </w:r>
      <w:proofErr w:type="spellStart"/>
      <w:r w:rsidRPr="00E50D46">
        <w:rPr>
          <w:rFonts w:eastAsia="AdvTimes" w:cs="AdvTimes"/>
          <w:color w:val="000000"/>
          <w:kern w:val="2"/>
          <w:szCs w:val="24"/>
          <w:lang w:val="fr-FR" w:eastAsia="ja-JP"/>
        </w:rPr>
        <w:t>Published</w:t>
      </w:r>
      <w:proofErr w:type="spellEnd"/>
      <w:r w:rsidRPr="00E50D46">
        <w:rPr>
          <w:rFonts w:eastAsia="AdvTimes" w:cs="AdvTimes"/>
          <w:color w:val="000000"/>
          <w:kern w:val="2"/>
          <w:szCs w:val="24"/>
          <w:lang w:val="fr-FR" w:eastAsia="ja-JP"/>
        </w:rPr>
        <w:t xml:space="preserve"> by </w:t>
      </w:r>
      <w:proofErr w:type="spellStart"/>
      <w:r w:rsidRPr="00E50D46">
        <w:rPr>
          <w:rFonts w:eastAsia="SimSun" w:cs="Arial Unicode MS"/>
          <w:color w:val="000000"/>
          <w:kern w:val="2"/>
          <w:szCs w:val="24"/>
          <w:lang w:eastAsia="ja-JP"/>
        </w:rPr>
        <w:t>Baishideng</w:t>
      </w:r>
      <w:proofErr w:type="spellEnd"/>
      <w:r w:rsidRPr="00E50D46">
        <w:rPr>
          <w:rFonts w:eastAsia="SimSun" w:cs="Arial Unicode MS"/>
          <w:color w:val="000000"/>
          <w:kern w:val="2"/>
          <w:szCs w:val="24"/>
          <w:lang w:eastAsia="ja-JP"/>
        </w:rPr>
        <w:t xml:space="preserve"> Publishing Group Inc.</w:t>
      </w:r>
      <w:r w:rsidRPr="00E50D46">
        <w:rPr>
          <w:rFonts w:eastAsia="SimSun" w:cs="Arial Unicode MS"/>
          <w:kern w:val="2"/>
          <w:szCs w:val="24"/>
          <w:lang w:eastAsia="ja-JP"/>
        </w:rPr>
        <w:t xml:space="preserve"> </w:t>
      </w:r>
      <w:r w:rsidRPr="00E50D46">
        <w:rPr>
          <w:rFonts w:eastAsia="SimSun" w:cs="Arial Unicode MS"/>
          <w:kern w:val="2"/>
          <w:szCs w:val="24"/>
          <w:lang w:val="fr-FR" w:eastAsia="ja-JP"/>
        </w:rPr>
        <w:t>All rights reserved</w:t>
      </w:r>
      <w:r w:rsidRPr="00E50D46">
        <w:rPr>
          <w:rFonts w:eastAsia="SimSun" w:cs="Arial Unicode MS"/>
          <w:kern w:val="2"/>
          <w:szCs w:val="24"/>
          <w:lang w:val="fr-FR" w:eastAsia="zh-CN"/>
        </w:rPr>
        <w:t>.</w:t>
      </w:r>
    </w:p>
    <w:p w14:paraId="436E0043" w14:textId="77777777" w:rsidR="00E50D46" w:rsidRPr="007018B5" w:rsidRDefault="00E50D46" w:rsidP="007E3B89">
      <w:pPr>
        <w:adjustRightInd w:val="0"/>
        <w:snapToGrid w:val="0"/>
        <w:spacing w:before="0" w:after="0"/>
        <w:jc w:val="both"/>
        <w:rPr>
          <w:szCs w:val="24"/>
          <w:lang w:val="en-US"/>
        </w:rPr>
      </w:pPr>
    </w:p>
    <w:p w14:paraId="05D0887E" w14:textId="440B5647" w:rsidR="00DB1EDE" w:rsidRPr="007018B5" w:rsidRDefault="006C6B37" w:rsidP="007E3B89">
      <w:pPr>
        <w:adjustRightInd w:val="0"/>
        <w:snapToGrid w:val="0"/>
        <w:spacing w:before="0" w:after="0"/>
        <w:jc w:val="both"/>
        <w:rPr>
          <w:szCs w:val="24"/>
          <w:lang w:val="en-US"/>
        </w:rPr>
      </w:pPr>
      <w:r w:rsidRPr="007018B5">
        <w:rPr>
          <w:b/>
          <w:bCs/>
          <w:szCs w:val="24"/>
          <w:lang w:val="en-US"/>
        </w:rPr>
        <w:t xml:space="preserve">Core </w:t>
      </w:r>
      <w:r w:rsidR="00E37891" w:rsidRPr="007018B5">
        <w:rPr>
          <w:b/>
          <w:bCs/>
          <w:szCs w:val="24"/>
          <w:lang w:val="en-US"/>
        </w:rPr>
        <w:t>t</w:t>
      </w:r>
      <w:r w:rsidRPr="007018B5">
        <w:rPr>
          <w:b/>
          <w:bCs/>
          <w:szCs w:val="24"/>
          <w:lang w:val="en-US"/>
        </w:rPr>
        <w:t>ip</w:t>
      </w:r>
      <w:r w:rsidR="00E37891" w:rsidRPr="007018B5">
        <w:rPr>
          <w:b/>
          <w:bCs/>
          <w:szCs w:val="24"/>
          <w:lang w:val="en-US"/>
        </w:rPr>
        <w:t>:</w:t>
      </w:r>
      <w:r w:rsidR="00E37891" w:rsidRPr="007018B5">
        <w:rPr>
          <w:szCs w:val="24"/>
          <w:lang w:val="en-US"/>
        </w:rPr>
        <w:t xml:space="preserve"> </w:t>
      </w:r>
      <w:r w:rsidR="00DB1EDE" w:rsidRPr="007018B5">
        <w:rPr>
          <w:szCs w:val="24"/>
          <w:lang w:val="en-US" w:eastAsia="en-GB"/>
        </w:rPr>
        <w:t xml:space="preserve">We systematically compared </w:t>
      </w:r>
      <w:r w:rsidR="00E02BB9" w:rsidRPr="007018B5">
        <w:rPr>
          <w:szCs w:val="24"/>
          <w:lang w:val="en-US" w:eastAsia="en-GB"/>
        </w:rPr>
        <w:t xml:space="preserve">idiopathic and Crohn’s perianal </w:t>
      </w:r>
      <w:r w:rsidR="005C6D05" w:rsidRPr="007018B5">
        <w:rPr>
          <w:szCs w:val="24"/>
          <w:lang w:val="en-US" w:eastAsia="en-GB"/>
        </w:rPr>
        <w:t>fistulae</w:t>
      </w:r>
      <w:r w:rsidR="00DB1EDE" w:rsidRPr="007018B5">
        <w:rPr>
          <w:szCs w:val="24"/>
          <w:lang w:val="en-US" w:eastAsia="en-GB"/>
        </w:rPr>
        <w:t xml:space="preserve">, but did not find major differences in their cytokine and phosphoprotein profiles. Although more research </w:t>
      </w:r>
      <w:r w:rsidR="005C6D05" w:rsidRPr="007018B5">
        <w:rPr>
          <w:szCs w:val="24"/>
          <w:lang w:val="en-US" w:eastAsia="en-GB"/>
        </w:rPr>
        <w:t>is needed</w:t>
      </w:r>
      <w:r w:rsidR="00DB1EDE" w:rsidRPr="007018B5">
        <w:rPr>
          <w:szCs w:val="24"/>
          <w:lang w:val="en-US" w:eastAsia="en-GB"/>
        </w:rPr>
        <w:t xml:space="preserve">, </w:t>
      </w:r>
      <w:r w:rsidR="0009311A" w:rsidRPr="007018B5">
        <w:rPr>
          <w:szCs w:val="24"/>
          <w:lang w:val="en-US" w:eastAsia="en-GB"/>
        </w:rPr>
        <w:t xml:space="preserve">our results </w:t>
      </w:r>
      <w:r w:rsidR="008A7374" w:rsidRPr="007018B5">
        <w:rPr>
          <w:szCs w:val="24"/>
          <w:lang w:val="en-US" w:eastAsia="en-GB"/>
        </w:rPr>
        <w:t>s</w:t>
      </w:r>
      <w:r w:rsidR="0009311A" w:rsidRPr="007018B5">
        <w:rPr>
          <w:szCs w:val="24"/>
          <w:lang w:val="en-US" w:eastAsia="en-GB"/>
        </w:rPr>
        <w:t>upport</w:t>
      </w:r>
      <w:r w:rsidR="008A7374" w:rsidRPr="007018B5">
        <w:rPr>
          <w:szCs w:val="24"/>
          <w:lang w:val="en-US" w:eastAsia="en-GB"/>
        </w:rPr>
        <w:t xml:space="preserve"> </w:t>
      </w:r>
      <w:r w:rsidR="00DB1EDE" w:rsidRPr="007018B5">
        <w:rPr>
          <w:szCs w:val="24"/>
          <w:lang w:val="en-US" w:eastAsia="en-GB"/>
        </w:rPr>
        <w:t xml:space="preserve">the </w:t>
      </w:r>
      <w:r w:rsidR="008A7374" w:rsidRPr="007018B5">
        <w:rPr>
          <w:szCs w:val="24"/>
          <w:lang w:val="en-US" w:eastAsia="en-GB"/>
        </w:rPr>
        <w:t xml:space="preserve">thesis </w:t>
      </w:r>
      <w:r w:rsidR="00DB1EDE" w:rsidRPr="007018B5">
        <w:rPr>
          <w:szCs w:val="24"/>
          <w:lang w:val="en-US" w:eastAsia="en-GB"/>
        </w:rPr>
        <w:t>that biological agents effective in Crohn’s disease-related perianal fistulae may also have a role in selected</w:t>
      </w:r>
      <w:r w:rsidR="00797585" w:rsidRPr="007018B5">
        <w:rPr>
          <w:szCs w:val="24"/>
          <w:lang w:val="en-US" w:eastAsia="en-GB"/>
        </w:rPr>
        <w:t xml:space="preserve"> surgically-intractable</w:t>
      </w:r>
      <w:r w:rsidR="00DB1EDE" w:rsidRPr="007018B5">
        <w:rPr>
          <w:szCs w:val="24"/>
          <w:lang w:val="en-US" w:eastAsia="en-GB"/>
        </w:rPr>
        <w:t xml:space="preserve"> idiopathic perianal</w:t>
      </w:r>
      <w:r w:rsidR="00DB1EDE" w:rsidRPr="007018B5">
        <w:rPr>
          <w:szCs w:val="24"/>
          <w:lang w:val="en-US"/>
        </w:rPr>
        <w:t xml:space="preserve"> fistulae.</w:t>
      </w:r>
    </w:p>
    <w:p w14:paraId="3DDD89F1" w14:textId="104C56A9" w:rsidR="00AF11D9" w:rsidRPr="007018B5" w:rsidRDefault="00AF11D9" w:rsidP="007E3B89">
      <w:pPr>
        <w:adjustRightInd w:val="0"/>
        <w:snapToGrid w:val="0"/>
        <w:spacing w:before="0" w:after="0"/>
        <w:jc w:val="both"/>
        <w:rPr>
          <w:szCs w:val="24"/>
          <w:lang w:val="en-US"/>
        </w:rPr>
      </w:pPr>
    </w:p>
    <w:p w14:paraId="5BA54A6A" w14:textId="131A3575" w:rsidR="00142FFB" w:rsidRPr="007018B5" w:rsidRDefault="00142FFB" w:rsidP="007E3B89">
      <w:pPr>
        <w:adjustRightInd w:val="0"/>
        <w:snapToGrid w:val="0"/>
        <w:spacing w:before="0" w:after="0"/>
        <w:jc w:val="both"/>
        <w:rPr>
          <w:szCs w:val="24"/>
          <w:lang w:val="en-US"/>
        </w:rPr>
      </w:pPr>
      <w:r w:rsidRPr="007018B5">
        <w:rPr>
          <w:szCs w:val="24"/>
          <w:lang w:val="en-US"/>
        </w:rPr>
        <w:t xml:space="preserve">Haddow JB, </w:t>
      </w:r>
      <w:proofErr w:type="spellStart"/>
      <w:r w:rsidRPr="007018B5">
        <w:rPr>
          <w:szCs w:val="24"/>
          <w:lang w:val="en-US"/>
        </w:rPr>
        <w:t>Musbahi</w:t>
      </w:r>
      <w:proofErr w:type="spellEnd"/>
      <w:r w:rsidRPr="007018B5">
        <w:rPr>
          <w:szCs w:val="24"/>
          <w:lang w:val="en-US"/>
        </w:rPr>
        <w:t xml:space="preserve"> O, MacDonald TT, Knowles CH. </w:t>
      </w:r>
      <w:r w:rsidR="00E50D46" w:rsidRPr="00E50D46">
        <w:rPr>
          <w:szCs w:val="24"/>
          <w:lang w:val="en-US"/>
        </w:rPr>
        <w:t>Comparison of cytokine and phosphoprotein profiles in idiopathic and Crohn’s disease-related perianal fistula</w:t>
      </w:r>
      <w:r w:rsidRPr="007018B5">
        <w:rPr>
          <w:szCs w:val="24"/>
          <w:lang w:val="en-US"/>
        </w:rPr>
        <w:t>.</w:t>
      </w:r>
      <w:r w:rsidR="00E50D46">
        <w:rPr>
          <w:szCs w:val="24"/>
          <w:lang w:val="en-US"/>
        </w:rPr>
        <w:t xml:space="preserve"> </w:t>
      </w:r>
      <w:r w:rsidR="00E50D46" w:rsidRPr="00E50D46">
        <w:rPr>
          <w:rFonts w:eastAsia="SimSun"/>
          <w:i/>
          <w:color w:val="000000"/>
          <w:szCs w:val="24"/>
          <w:lang w:eastAsia="ar-SA"/>
        </w:rPr>
        <w:t xml:space="preserve">World J </w:t>
      </w:r>
      <w:proofErr w:type="spellStart"/>
      <w:r w:rsidR="00E50D46" w:rsidRPr="00E50D46">
        <w:rPr>
          <w:rFonts w:eastAsia="SimSun"/>
          <w:i/>
          <w:color w:val="000000"/>
          <w:szCs w:val="24"/>
          <w:lang w:eastAsia="ar-SA"/>
        </w:rPr>
        <w:t>Gastrointest</w:t>
      </w:r>
      <w:proofErr w:type="spellEnd"/>
      <w:r w:rsidR="00E50D46" w:rsidRPr="00E50D46">
        <w:rPr>
          <w:rFonts w:eastAsia="SimSun"/>
          <w:i/>
          <w:color w:val="000000"/>
          <w:szCs w:val="24"/>
          <w:lang w:eastAsia="ar-SA"/>
        </w:rPr>
        <w:t xml:space="preserve"> </w:t>
      </w:r>
      <w:proofErr w:type="spellStart"/>
      <w:r w:rsidR="00E50D46" w:rsidRPr="00E50D46">
        <w:rPr>
          <w:rFonts w:eastAsia="SimSun"/>
          <w:i/>
          <w:color w:val="000000"/>
          <w:szCs w:val="24"/>
          <w:lang w:eastAsia="ar-SA"/>
        </w:rPr>
        <w:t>Pathophysiol</w:t>
      </w:r>
      <w:proofErr w:type="spellEnd"/>
      <w:r w:rsidR="00E50D46" w:rsidRPr="00E50D46">
        <w:rPr>
          <w:rFonts w:eastAsia="SimSun"/>
          <w:i/>
          <w:color w:val="000000"/>
          <w:szCs w:val="24"/>
          <w:lang w:eastAsia="ar-SA"/>
        </w:rPr>
        <w:t xml:space="preserve"> </w:t>
      </w:r>
      <w:r w:rsidR="00E50D46" w:rsidRPr="00E50D46">
        <w:rPr>
          <w:rFonts w:eastAsia="SimSun"/>
          <w:iCs/>
          <w:color w:val="000000"/>
          <w:szCs w:val="24"/>
          <w:lang w:eastAsia="ar-SA"/>
        </w:rPr>
        <w:t>2019; In press</w:t>
      </w:r>
    </w:p>
    <w:p w14:paraId="75B2653C" w14:textId="77777777" w:rsidR="00AF108A" w:rsidRPr="007018B5" w:rsidRDefault="00AF108A" w:rsidP="007E3B89">
      <w:pPr>
        <w:adjustRightInd w:val="0"/>
        <w:snapToGrid w:val="0"/>
        <w:spacing w:before="0" w:after="0"/>
        <w:jc w:val="both"/>
        <w:rPr>
          <w:rFonts w:eastAsia="Calibri"/>
          <w:b/>
          <w:bCs/>
          <w:caps/>
          <w:szCs w:val="24"/>
          <w:lang w:val="en-US" w:eastAsia="en-GB"/>
        </w:rPr>
      </w:pPr>
      <w:r w:rsidRPr="007018B5">
        <w:rPr>
          <w:szCs w:val="24"/>
          <w:lang w:val="en-US"/>
        </w:rPr>
        <w:br w:type="page"/>
      </w:r>
    </w:p>
    <w:p w14:paraId="6B97724A" w14:textId="1E852A3F" w:rsidR="00A419F6" w:rsidRPr="007018B5" w:rsidRDefault="002949BE" w:rsidP="007E3B89">
      <w:pPr>
        <w:pStyle w:val="Heading1"/>
        <w:adjustRightInd w:val="0"/>
        <w:snapToGrid w:val="0"/>
        <w:spacing w:before="0"/>
        <w:jc w:val="both"/>
        <w:rPr>
          <w:szCs w:val="24"/>
          <w:lang w:val="en-US"/>
        </w:rPr>
      </w:pPr>
      <w:r w:rsidRPr="007018B5">
        <w:rPr>
          <w:szCs w:val="24"/>
          <w:lang w:val="en-US"/>
        </w:rPr>
        <w:lastRenderedPageBreak/>
        <w:t>Introduction</w:t>
      </w:r>
    </w:p>
    <w:p w14:paraId="3D7189C8" w14:textId="37457E93" w:rsidR="00D31C72" w:rsidRPr="007018B5" w:rsidRDefault="000D637B" w:rsidP="007E3B89">
      <w:pPr>
        <w:adjustRightInd w:val="0"/>
        <w:snapToGrid w:val="0"/>
        <w:spacing w:before="0" w:after="0"/>
        <w:jc w:val="both"/>
        <w:rPr>
          <w:szCs w:val="24"/>
          <w:lang w:val="en-US"/>
        </w:rPr>
      </w:pPr>
      <w:r w:rsidRPr="007018B5">
        <w:rPr>
          <w:szCs w:val="24"/>
          <w:lang w:val="en-US" w:eastAsia="en-GB"/>
        </w:rPr>
        <w:t>Perianal fistulae</w:t>
      </w:r>
      <w:r w:rsidR="00B3453A" w:rsidRPr="007018B5">
        <w:rPr>
          <w:szCs w:val="24"/>
          <w:lang w:val="en-US" w:eastAsia="en-GB"/>
        </w:rPr>
        <w:t xml:space="preserve"> occur in</w:t>
      </w:r>
      <w:r w:rsidRPr="007018B5">
        <w:rPr>
          <w:szCs w:val="24"/>
          <w:lang w:val="en-US" w:eastAsia="en-GB"/>
        </w:rPr>
        <w:t xml:space="preserve"> </w:t>
      </w:r>
      <w:r w:rsidR="002A5EA4" w:rsidRPr="007018B5">
        <w:rPr>
          <w:szCs w:val="24"/>
          <w:lang w:val="en-US"/>
        </w:rPr>
        <w:t>1.04 to 2.32</w:t>
      </w:r>
      <w:r w:rsidR="001C47CB" w:rsidRPr="007018B5">
        <w:rPr>
          <w:szCs w:val="24"/>
          <w:lang w:val="en-US"/>
        </w:rPr>
        <w:t xml:space="preserve"> per 10000 people per annum</w:t>
      </w:r>
      <w:r w:rsidR="001C47CB" w:rsidRPr="007018B5">
        <w:rPr>
          <w:szCs w:val="24"/>
          <w:lang w:val="en-US"/>
        </w:rPr>
        <w:fldChar w:fldCharType="begin"/>
      </w:r>
      <w:r w:rsidR="002A5EA4" w:rsidRPr="007018B5">
        <w:rPr>
          <w:szCs w:val="24"/>
          <w:lang w:val="en-US"/>
        </w:rPr>
        <w:instrText xml:space="preserve"> ADDIN ZOTERO_ITEM CSL_CITATION {"citationID":"ZTBgktpu","properties":{"formattedCitation":"\\super [1,2]\\nosupersub{}","plainCitation":"[1,2]","noteIndex":0},"citationItems":[{"id":555,"uris":["http://zotero.org/users/851773/items/SJV3VBNB"],"uri":["http://zotero.org/users/851773/items/SJV3VBNB"],"itemData":{"id":555,"type":"article-journal","title":"An assessment of the incidence of fistula-in-ano in four countries of the European Union","container-title":"International Journal of Colorectal Disease","page":"1459-1462","volume":"22","issue":"12","source":"link.springer.com","abstract":"Background and aims In spite of its long history, fistula-in-ano is generally considered to be relatively uncommon. Nevertheless, no comprehensive analysis of its incidence in developed countries is available. Our goal was to determine the actual incidence of fistula-in-ano based on the study of incidence in four countries of the European Union (EU). Materials and methods We performed a search of hospital inpatient databases in five different countries. We obtained valid data from four European countries, namely, England (UK; Hospital Episodes Statistics), Germany (German hospitals’ databases), Italy (Scheda di Dimissione Ospedaliera), and Spain (Conjunto Mínimo Básico de Datos by Insalud—Spanish National Health Institute). Results The incidence of fistula-in-ano varied among the different populations in the EU. In the four countries examined, it ranged from 1.04 per 10,000/year in Spain to 2.32 per 10,000/year in Italy. A statistical comparison of rates from the different countries studied gives a confidence interval from 1.20 up to 2.80. The population that we studied represents almost 51% of the total population of the EU. Conclusion This study attempts to determine the actual incidence of fistula-in-ano in the European Community, which was previously uncertain despite its major negative effects on quality of life and the high cost of treatment. Our findings indicate that the incidence of fistula-in-ano in the four countries of the EU studied is significantly higher than that in the only previously published report of the incidence of fistula-in-ano in Europe. Nevertheless, our findings confirm the general perception that fistula-in-ano is a relatively uncommon disease.","DOI":"10.1007/s00384-007-0334-7","ISSN":"0179-1958, 1432-1262","note":"PMID: 17554546","journalAbbreviation":"Int J Colorectal Dis","language":"en","author":[{"family":"Zanotti","given":"Carlo"},{"family":"Martinez-Puente","given":"Carmen"},{"family":"Pascual","given":"Isabel"},{"family":"Pascual","given":"María"},{"family":"Herreros","given":"Dolores"},{"family":"García-Olmo","given":"Damián"}],"issued":{"date-parts":[["2007",12,1]]}}},{"id":1581,"uris":["http://zotero.org/users/851773/items/S96QWHKT"],"uri":["http://zotero.org/users/851773/items/S96QWHKT"],"itemData":{"id":1581,"type":"article-journal","title":"Prevalence and recurrence rate of perianal abscess--a population-based study, Sweden 1997-2009","container-title":"International Journal of Colorectal Disease","page":"669-673","volume":"31","issue":"3","source":"PubMed","abstract":"INTRODUCTION: The aim of this study was to assess the impact of diabetes mellitus, Crohn's disease, HIV/aids, and obesity on the prevalence and readmission rate of perianal abscess.\nMETHODS: The study cohort was based on the Swedish National Patient Register and included all patients treated for perianal abscess in Sweden 1997-2009. The prevalence and risk for readmission were assessed in association with four comorbidity diagnoses: diabetes mellitus, Crohn's disease, HIV, and/or AIDS and obesity.\nRESULTS: A total of 18,877 patients were admitted during the study period including 11,138 men and 4557 women (2.4:1). Crohn's disease, diabetes, and obesity were associated with a significantly higher prevalence of perianal abscess than an age- and gender-matched background population (p</w:instrText>
      </w:r>
      <w:r w:rsidR="002A5EA4" w:rsidRPr="007018B5">
        <w:rPr>
          <w:rFonts w:ascii="Times New Roman" w:hAnsi="Times New Roman"/>
          <w:szCs w:val="24"/>
          <w:lang w:val="en-US"/>
        </w:rPr>
        <w:instrText> </w:instrText>
      </w:r>
      <w:r w:rsidR="002A5EA4" w:rsidRPr="007018B5">
        <w:rPr>
          <w:szCs w:val="24"/>
          <w:lang w:val="en-US"/>
        </w:rPr>
        <w:instrText>&lt;</w:instrText>
      </w:r>
      <w:r w:rsidR="002A5EA4" w:rsidRPr="007018B5">
        <w:rPr>
          <w:rFonts w:ascii="Times New Roman" w:hAnsi="Times New Roman"/>
          <w:szCs w:val="24"/>
          <w:lang w:val="en-US"/>
        </w:rPr>
        <w:instrText> </w:instrText>
      </w:r>
      <w:r w:rsidR="002A5EA4" w:rsidRPr="007018B5">
        <w:rPr>
          <w:szCs w:val="24"/>
          <w:lang w:val="en-US"/>
        </w:rPr>
        <w:instrText xml:space="preserve">0.05). In univariate analysis, neither age nor gender had any significant impact on the risk for readmission. In a multivariate Cox proportional hazard analysis, Crohns disease was the only significant risk factor for readmission of perianal abscess.\nCONCLUSION: Crohn's disease, diabetes, and obesity increase the risk for perianal abscess. Of these, Crohn's and HIV has an impact on readmission. The pathogenesis and the influence of diabetes and obesity need further research if we are to understand why these diseases increase the risk for perianal abscess but not its recurrence.","DOI":"10.1007/s00384-015-2500-7","ISSN":"1432-1262","note":"PMID: 26768004","journalAbbreviation":"Int J Colorectal Dis","language":"eng","author":[{"family":"Adamo","given":"Karin"},{"family":"Sandblom","given":"Gabriel"},{"family":"Brännström","given":"Fredrik"},{"family":"Strigård","given":"Karin"}],"issued":{"date-parts":[["2016",3]]}}}],"schema":"https://github.com/citation-style-language/schema/raw/master/csl-citation.json"} </w:instrText>
      </w:r>
      <w:r w:rsidR="001C47CB" w:rsidRPr="007018B5">
        <w:rPr>
          <w:szCs w:val="24"/>
          <w:lang w:val="en-US"/>
        </w:rPr>
        <w:fldChar w:fldCharType="separate"/>
      </w:r>
      <w:r w:rsidR="002A5EA4" w:rsidRPr="007018B5">
        <w:rPr>
          <w:szCs w:val="24"/>
          <w:vertAlign w:val="superscript"/>
          <w:lang w:val="en-US"/>
        </w:rPr>
        <w:t>[1,2]</w:t>
      </w:r>
      <w:r w:rsidR="001C47CB" w:rsidRPr="007018B5">
        <w:rPr>
          <w:szCs w:val="24"/>
          <w:lang w:val="en-US"/>
        </w:rPr>
        <w:fldChar w:fldCharType="end"/>
      </w:r>
      <w:r w:rsidR="00A741B2" w:rsidRPr="007018B5">
        <w:rPr>
          <w:szCs w:val="24"/>
          <w:lang w:val="en-US"/>
        </w:rPr>
        <w:t>,</w:t>
      </w:r>
      <w:r w:rsidR="001C47CB" w:rsidRPr="007018B5">
        <w:rPr>
          <w:szCs w:val="24"/>
          <w:lang w:val="en-US"/>
        </w:rPr>
        <w:t xml:space="preserve"> are </w:t>
      </w:r>
      <w:r w:rsidR="00A625FE" w:rsidRPr="007018B5">
        <w:rPr>
          <w:szCs w:val="24"/>
          <w:lang w:val="en-US"/>
        </w:rPr>
        <w:t>more common</w:t>
      </w:r>
      <w:r w:rsidR="001C47CB" w:rsidRPr="007018B5">
        <w:rPr>
          <w:szCs w:val="24"/>
          <w:lang w:val="en-US"/>
        </w:rPr>
        <w:t xml:space="preserve"> in males </w:t>
      </w:r>
      <w:r w:rsidR="00222E44" w:rsidRPr="007018B5">
        <w:rPr>
          <w:szCs w:val="24"/>
          <w:lang w:val="en-US"/>
        </w:rPr>
        <w:t>(</w:t>
      </w:r>
      <w:r w:rsidR="001C47CB" w:rsidRPr="007018B5">
        <w:rPr>
          <w:szCs w:val="24"/>
          <w:lang w:val="en-US"/>
        </w:rPr>
        <w:t xml:space="preserve">ratio </w:t>
      </w:r>
      <w:r w:rsidR="00B64429">
        <w:rPr>
          <w:szCs w:val="24"/>
          <w:lang w:val="en-US"/>
        </w:rPr>
        <w:t>about</w:t>
      </w:r>
      <w:r w:rsidR="00222E44" w:rsidRPr="007018B5">
        <w:rPr>
          <w:szCs w:val="24"/>
          <w:lang w:val="en-US"/>
        </w:rPr>
        <w:t xml:space="preserve"> </w:t>
      </w:r>
      <w:r w:rsidR="001C47CB" w:rsidRPr="007018B5">
        <w:rPr>
          <w:szCs w:val="24"/>
          <w:lang w:val="en-US"/>
        </w:rPr>
        <w:t>2:1</w:t>
      </w:r>
      <w:r w:rsidR="00222E44" w:rsidRPr="007018B5">
        <w:rPr>
          <w:szCs w:val="24"/>
          <w:lang w:val="en-US"/>
        </w:rPr>
        <w:t>)</w:t>
      </w:r>
      <w:r w:rsidR="007413B4" w:rsidRPr="007018B5">
        <w:rPr>
          <w:szCs w:val="24"/>
          <w:lang w:val="en-US"/>
        </w:rPr>
        <w:t>,</w:t>
      </w:r>
      <w:r w:rsidR="001C47CB" w:rsidRPr="007018B5">
        <w:rPr>
          <w:szCs w:val="24"/>
          <w:lang w:val="en-US"/>
        </w:rPr>
        <w:t xml:space="preserve"> </w:t>
      </w:r>
      <w:r w:rsidR="007413B4" w:rsidRPr="007018B5">
        <w:rPr>
          <w:szCs w:val="24"/>
          <w:lang w:val="en-US"/>
        </w:rPr>
        <w:t>and</w:t>
      </w:r>
      <w:r w:rsidR="00BC3BDD" w:rsidRPr="007018B5">
        <w:rPr>
          <w:szCs w:val="24"/>
          <w:lang w:val="en-US"/>
        </w:rPr>
        <w:t xml:space="preserve"> cause</w:t>
      </w:r>
      <w:r w:rsidR="001C47CB" w:rsidRPr="007018B5">
        <w:rPr>
          <w:szCs w:val="24"/>
          <w:lang w:val="en-US"/>
        </w:rPr>
        <w:t xml:space="preserve"> significant physical and psychosocial morbidity</w:t>
      </w:r>
      <w:r w:rsidR="00BC3BDD" w:rsidRPr="007018B5">
        <w:rPr>
          <w:szCs w:val="24"/>
          <w:lang w:val="en-US"/>
        </w:rPr>
        <w:t>.</w:t>
      </w:r>
      <w:r w:rsidR="005423D8" w:rsidRPr="007018B5">
        <w:rPr>
          <w:szCs w:val="24"/>
          <w:lang w:val="en-US"/>
        </w:rPr>
        <w:t xml:space="preserve"> </w:t>
      </w:r>
      <w:r w:rsidR="00C9001C" w:rsidRPr="007018B5">
        <w:rPr>
          <w:szCs w:val="24"/>
          <w:lang w:val="en-US"/>
        </w:rPr>
        <w:t xml:space="preserve">Fistulotomy </w:t>
      </w:r>
      <w:r w:rsidR="00D31C72" w:rsidRPr="007018B5">
        <w:rPr>
          <w:szCs w:val="24"/>
          <w:lang w:val="en-US"/>
        </w:rPr>
        <w:t xml:space="preserve">can achieve successful healing </w:t>
      </w:r>
      <w:r w:rsidR="001908BC" w:rsidRPr="007018B5">
        <w:rPr>
          <w:szCs w:val="24"/>
          <w:lang w:val="en-US"/>
        </w:rPr>
        <w:t xml:space="preserve">at one year </w:t>
      </w:r>
      <w:r w:rsidR="00D31C72" w:rsidRPr="007018B5">
        <w:rPr>
          <w:szCs w:val="24"/>
          <w:lang w:val="en-US"/>
        </w:rPr>
        <w:t xml:space="preserve">in </w:t>
      </w:r>
      <w:r w:rsidR="003D51A1" w:rsidRPr="007018B5">
        <w:rPr>
          <w:szCs w:val="24"/>
          <w:lang w:val="en-US"/>
        </w:rPr>
        <w:t>7</w:t>
      </w:r>
      <w:r w:rsidR="00D31C72" w:rsidRPr="007018B5">
        <w:rPr>
          <w:szCs w:val="24"/>
          <w:lang w:val="en-US"/>
        </w:rPr>
        <w:t>5% of patients</w:t>
      </w:r>
      <w:r w:rsidR="003D51A1" w:rsidRPr="007018B5">
        <w:rPr>
          <w:szCs w:val="24"/>
          <w:lang w:val="en-US"/>
        </w:rPr>
        <w:fldChar w:fldCharType="begin"/>
      </w:r>
      <w:r w:rsidR="003D51A1" w:rsidRPr="007018B5">
        <w:rPr>
          <w:szCs w:val="24"/>
          <w:lang w:val="en-US"/>
        </w:rPr>
        <w:instrText xml:space="preserve"> ADDIN ZOTERO_ITEM CSL_CITATION {"citationID":"MeWQuPHw","properties":{"formattedCitation":"\\super [3]\\nosupersub{}","plainCitation":"[3]","noteIndex":0},"citationItems":[{"id":1577,"uris":["http://zotero.org/users/851773/items/DXMPD5UJ"],"uri":["http://zotero.org/users/851773/items/DXMPD5UJ"],"itemData":{"id":1577,"type":"article-journal","title":"Anal fistula plug versus surgeon's preference for surgery for trans-sphincteric anal fistula: the FIAT RCT","container-title":"Health Technology Assessment (Winchester, England)","page":"1-76","volume":"23","issue":"21","source":"PubMed","abstract":"BACKGROUND: The aim of fistula surgery is to eradicate the disease while preserving anal sphincter function. The efficacy of the Surgisis® anal fistula plug (Cook Medical, Bloomington, IN, USA) in the treatment of trans-sphincteric fistula-in-ano has been variably reported.\nOBJECTIVES: To undertake a randomised comparison of the safety and efficacy of the Surgisis anal fistula plug in comparison with surgeon's preference for the treatment of trans-sphincteric anal fistulas.\nDESIGN: A randomised, unblinded, parallel-arm, prospective, multicentre clinical trial.\nSETTING: Hospitals in the UK NHS involving colorectal surgeons accredited by the Association of Coloproctology of Great Britain and Ireland.\nPARTICIPANTS: Adult patients suffering from trans-sphincteric fistula-in-ano of cryptoglandular origin.\nINTERVENTIONS: Patients were randomised on a 1</w:instrText>
      </w:r>
      <w:r w:rsidR="003D51A1" w:rsidRPr="007018B5">
        <w:rPr>
          <w:rFonts w:ascii="Times New Roman" w:hAnsi="Times New Roman"/>
          <w:szCs w:val="24"/>
          <w:lang w:val="en-US"/>
        </w:rPr>
        <w:instrText> </w:instrText>
      </w:r>
      <w:r w:rsidR="003D51A1" w:rsidRPr="007018B5">
        <w:rPr>
          <w:szCs w:val="24"/>
          <w:lang w:val="en-US"/>
        </w:rPr>
        <w:instrText>:</w:instrText>
      </w:r>
      <w:r w:rsidR="003D51A1" w:rsidRPr="007018B5">
        <w:rPr>
          <w:rFonts w:ascii="Times New Roman" w:hAnsi="Times New Roman"/>
          <w:szCs w:val="24"/>
          <w:lang w:val="en-US"/>
        </w:rPr>
        <w:instrText> </w:instrText>
      </w:r>
      <w:r w:rsidR="003D51A1" w:rsidRPr="007018B5">
        <w:rPr>
          <w:szCs w:val="24"/>
          <w:lang w:val="en-US"/>
        </w:rPr>
        <w:instrText xml:space="preserve">1 basis to either the fistula plug or the surgeon's preference [e.g. fistulotomy, cutting seton, advancement flap or ligation of intersphincteric fistula tract (LIFT) procedure].\nMAIN OUTCOME MEASURES: The primary outcome measure was quality of life as measured by the Faecal Incontinence Quality of Life (FIQoL) questionnaire at 12-month follow-up. Secondary outcome measures included clinical and radiological fistula healing rates, faecal incontinence rates, complications rates, reintervention rates and cost-effectiveness.\nRESULTS: Between May 2011 and March 2016, 304 participants were recruited (152 fistula plug vs. 152 surgeon's preference). No difference in FIQoL score between the two trial groups was seen at the 6-week, 6-month or 12-month follow-up. Clinical evidence of fistula healing was reported in 66 of 122 (54%) participants in the fistula plug group and in 66 of 119 (55%) participants in the surgeon's preference group at 12 months. Magnetic resonance imaging (MRI) showed fistula healing in 54 of 110 (49%) participants in the fistula plug group and in 63 of 112 (56%) participants in the surgeon's preference group. Variation in 12-month clinical healing rates was observed: 55%, 64%, 75%, 53% and 42% for fistula plug, cutting seton, fistulotomy, advancement flap and LIFT procedure, respectively. Faecal incontinence rates were low at baseline, with small improvement in both groups post treatment. Complications and reinterventions were frequent. The mean total costs were £2738 [standard deviation (SD) £1151] in the fistula plug group and £2308 (SD £1228) in the surgeon's preference group. The average total quality-adjusted life-years (QALYs) gain was much smaller in the fistula plug group (0.829, SD 0.174) than in the surgeon's preference group (0.790, SD 0.212). Using multiple imputation and probabilistic sensitivity analysis, and adjusting for differences in baseline EuroQol-5 Dimensions, three-level version utility, there was a 35-45% chance that the fistula plug was as cost-effective as surgeon's preference over a range of thresholds of willingness to pay for a single QALY of £20,000-30,000.\nLIMITATIONS: Limitations include a smaller sample size than originally calculated, a lack of blinding that perhaps biased patient-reported outcomes and a lower compliance rate with MRI at 12-month follow-up.\nCONCLUSIONS: The Surgisis anal fistula plug is associated with similar FIQoL score to surgeon's preference at 12-month follow-up. The higher costs and highly uncertain and small gains in QALYs associated with the fistula plug mean that this technology is unlikely to be considered a cost-effective use of resources in the UK NHS.\nFUTURE WORK: Further in-depth analysis should consider the clinical and MRI characteristics of fistula-in-ano in an attempt to identify predictors of fistula response to treatment.\nTRIAL REGISTRATION: Current Controlled Trials ISRCTN78352529.\nFUNDING: This project was funded by the National Institute for Health Research (NIHR) Health Technology Assessment programme and will be published in full in Health Technology Assessment; Vol. 23, No. 21. See the NIHR Journals Library website for further project information.","DOI":"10.3310/hta23210","ISSN":"2046-4924","note":"PMID: 31113531\nPMCID: PMC6545498","title-short":"Anal fistula plug versus surgeon's preference for surgery for trans-sphincteric anal fistula","journalAbbreviation":"Health Technol Assess","language":"eng","author":[{"family":"Jayne","given":"David G."},{"family":"Scholefield","given":"John"},{"family":"Tolan","given":"Damian"},{"family":"Gray","given":"Richard"},{"family":"Edlin","given":"Richard"},{"family":"Hulme","given":"Claire T."},{"family":"Sutton","given":"Andrew J."},{"family":"Handley","given":"Kelly"},{"family":"Hewitt","given":"Catherine A."},{"family":"Kaur","given":"Manjinder"},{"family":"Magill","given":"Laura"}],"issued":{"date-parts":[["2019",5]]}}}],"schema":"https://github.com/citation-style-language/schema/raw/master/csl-citation.json"} </w:instrText>
      </w:r>
      <w:r w:rsidR="003D51A1" w:rsidRPr="007018B5">
        <w:rPr>
          <w:szCs w:val="24"/>
          <w:lang w:val="en-US"/>
        </w:rPr>
        <w:fldChar w:fldCharType="separate"/>
      </w:r>
      <w:r w:rsidR="003D51A1" w:rsidRPr="007018B5">
        <w:rPr>
          <w:szCs w:val="24"/>
          <w:vertAlign w:val="superscript"/>
          <w:lang w:val="en-US"/>
        </w:rPr>
        <w:t>[3]</w:t>
      </w:r>
      <w:r w:rsidR="003D51A1" w:rsidRPr="007018B5">
        <w:rPr>
          <w:szCs w:val="24"/>
          <w:lang w:val="en-US"/>
        </w:rPr>
        <w:fldChar w:fldCharType="end"/>
      </w:r>
      <w:r w:rsidR="00C9001C" w:rsidRPr="007018B5">
        <w:rPr>
          <w:szCs w:val="24"/>
          <w:lang w:val="en-US"/>
        </w:rPr>
        <w:t>, but is not always possible when the fistula involves a significant portion of the anal sphincter complex. Sphincter-sparing operations such as a</w:t>
      </w:r>
      <w:r w:rsidR="001908BC" w:rsidRPr="007018B5">
        <w:rPr>
          <w:szCs w:val="24"/>
          <w:lang w:val="en-US"/>
        </w:rPr>
        <w:t xml:space="preserve"> fistula plug,</w:t>
      </w:r>
      <w:r w:rsidR="00C9001C" w:rsidRPr="007018B5">
        <w:rPr>
          <w:szCs w:val="24"/>
          <w:lang w:val="en-US"/>
        </w:rPr>
        <w:t xml:space="preserve"> advancement flap and ligation of the internal fistula tract </w:t>
      </w:r>
      <w:r w:rsidR="001A1416" w:rsidRPr="007018B5">
        <w:rPr>
          <w:szCs w:val="24"/>
          <w:lang w:val="en-US"/>
        </w:rPr>
        <w:t xml:space="preserve">only </w:t>
      </w:r>
      <w:r w:rsidR="00C9001C" w:rsidRPr="007018B5">
        <w:rPr>
          <w:szCs w:val="24"/>
          <w:lang w:val="en-US"/>
        </w:rPr>
        <w:t>have success rates</w:t>
      </w:r>
      <w:r w:rsidR="001A1416" w:rsidRPr="007018B5">
        <w:rPr>
          <w:szCs w:val="24"/>
          <w:lang w:val="en-US"/>
        </w:rPr>
        <w:t xml:space="preserve"> </w:t>
      </w:r>
      <w:r w:rsidR="001908BC" w:rsidRPr="007018B5">
        <w:rPr>
          <w:szCs w:val="24"/>
          <w:lang w:val="en-US"/>
        </w:rPr>
        <w:t xml:space="preserve">at one year </w:t>
      </w:r>
      <w:r w:rsidR="001A1416" w:rsidRPr="007018B5">
        <w:rPr>
          <w:szCs w:val="24"/>
          <w:lang w:val="en-US"/>
        </w:rPr>
        <w:t xml:space="preserve">of </w:t>
      </w:r>
      <w:r w:rsidR="001908BC" w:rsidRPr="007018B5">
        <w:rPr>
          <w:szCs w:val="24"/>
          <w:lang w:val="en-US"/>
        </w:rPr>
        <w:t xml:space="preserve">55%, </w:t>
      </w:r>
      <w:r w:rsidR="003D51A1" w:rsidRPr="007018B5">
        <w:rPr>
          <w:szCs w:val="24"/>
          <w:lang w:val="en-US"/>
        </w:rPr>
        <w:t>53</w:t>
      </w:r>
      <w:r w:rsidR="001A1416" w:rsidRPr="007018B5">
        <w:rPr>
          <w:szCs w:val="24"/>
          <w:lang w:val="en-US"/>
        </w:rPr>
        <w:t xml:space="preserve">% and </w:t>
      </w:r>
      <w:r w:rsidR="003D51A1" w:rsidRPr="007018B5">
        <w:rPr>
          <w:szCs w:val="24"/>
          <w:lang w:val="en-US"/>
        </w:rPr>
        <w:t>42</w:t>
      </w:r>
      <w:r w:rsidR="001A1416" w:rsidRPr="007018B5">
        <w:rPr>
          <w:szCs w:val="24"/>
          <w:lang w:val="en-US"/>
        </w:rPr>
        <w:t>% respectively</w:t>
      </w:r>
      <w:r w:rsidR="001908BC" w:rsidRPr="007018B5">
        <w:rPr>
          <w:szCs w:val="24"/>
          <w:lang w:val="en-US"/>
        </w:rPr>
        <w:fldChar w:fldCharType="begin"/>
      </w:r>
      <w:r w:rsidR="001908BC" w:rsidRPr="007018B5">
        <w:rPr>
          <w:szCs w:val="24"/>
          <w:lang w:val="en-US"/>
        </w:rPr>
        <w:instrText xml:space="preserve"> ADDIN ZOTERO_ITEM CSL_CITATION {"citationID":"2BA8cqvm","properties":{"formattedCitation":"\\super [3]\\nosupersub{}","plainCitation":"[3]","noteIndex":0},"citationItems":[{"id":1577,"uris":["http://zotero.org/users/851773/items/DXMPD5UJ"],"uri":["http://zotero.org/users/851773/items/DXMPD5UJ"],"itemData":{"id":1577,"type":"article-journal","title":"Anal fistula plug versus surgeon's preference for surgery for trans-sphincteric anal fistula: the FIAT RCT","container-title":"Health Technology Assessment (Winchester, England)","page":"1-76","volume":"23","issue":"21","source":"PubMed","abstract":"BACKGROUND: The aim of fistula surgery is to eradicate the disease while preserving anal sphincter function. The efficacy of the Surgisis® anal fistula plug (Cook Medical, Bloomington, IN, USA) in the treatment of trans-sphincteric fistula-in-ano has been variably reported.\nOBJECTIVES: To undertake a randomised comparison of the safety and efficacy of the Surgisis anal fistula plug in comparison with surgeon's preference for the treatment of trans-sphincteric anal fistulas.\nDESIGN: A randomised, unblinded, parallel-arm, prospective, multicentre clinical trial.\nSETTING: Hospitals in the UK NHS involving colorectal surgeons accredited by the Association of Coloproctology of Great Britain and Ireland.\nPARTICIPANTS: Adult patients suffering from trans-sphincteric fistula-in-ano of cryptoglandular origin.\nINTERVENTIONS: Patients were randomised on a 1</w:instrText>
      </w:r>
      <w:r w:rsidR="001908BC" w:rsidRPr="007018B5">
        <w:rPr>
          <w:rFonts w:ascii="Times New Roman" w:hAnsi="Times New Roman"/>
          <w:szCs w:val="24"/>
          <w:lang w:val="en-US"/>
        </w:rPr>
        <w:instrText> </w:instrText>
      </w:r>
      <w:r w:rsidR="001908BC" w:rsidRPr="007018B5">
        <w:rPr>
          <w:szCs w:val="24"/>
          <w:lang w:val="en-US"/>
        </w:rPr>
        <w:instrText>:</w:instrText>
      </w:r>
      <w:r w:rsidR="001908BC" w:rsidRPr="007018B5">
        <w:rPr>
          <w:rFonts w:ascii="Times New Roman" w:hAnsi="Times New Roman"/>
          <w:szCs w:val="24"/>
          <w:lang w:val="en-US"/>
        </w:rPr>
        <w:instrText> </w:instrText>
      </w:r>
      <w:r w:rsidR="001908BC" w:rsidRPr="007018B5">
        <w:rPr>
          <w:szCs w:val="24"/>
          <w:lang w:val="en-US"/>
        </w:rPr>
        <w:instrText xml:space="preserve">1 basis to either the fistula plug or the surgeon's preference [e.g. fistulotomy, cutting seton, advancement flap or ligation of intersphincteric fistula tract (LIFT) procedure].\nMAIN OUTCOME MEASURES: The primary outcome measure was quality of life as measured by the Faecal Incontinence Quality of Life (FIQoL) questionnaire at 12-month follow-up. Secondary outcome measures included clinical and radiological fistula healing rates, faecal incontinence rates, complications rates, reintervention rates and cost-effectiveness.\nRESULTS: Between May 2011 and March 2016, 304 participants were recruited (152 fistula plug vs. 152 surgeon's preference). No difference in FIQoL score between the two trial groups was seen at the 6-week, 6-month or 12-month follow-up. Clinical evidence of fistula healing was reported in 66 of 122 (54%) participants in the fistula plug group and in 66 of 119 (55%) participants in the surgeon's preference group at 12 months. Magnetic resonance imaging (MRI) showed fistula healing in 54 of 110 (49%) participants in the fistula plug group and in 63 of 112 (56%) participants in the surgeon's preference group. Variation in 12-month clinical healing rates was observed: 55%, 64%, 75%, 53% and 42% for fistula plug, cutting seton, fistulotomy, advancement flap and LIFT procedure, respectively. Faecal incontinence rates were low at baseline, with small improvement in both groups post treatment. Complications and reinterventions were frequent. The mean total costs were £2738 [standard deviation (SD) £1151] in the fistula plug group and £2308 (SD £1228) in the surgeon's preference group. The average total quality-adjusted life-years (QALYs) gain was much smaller in the fistula plug group (0.829, SD 0.174) than in the surgeon's preference group (0.790, SD 0.212). Using multiple imputation and probabilistic sensitivity analysis, and adjusting for differences in baseline EuroQol-5 Dimensions, three-level version utility, there was a 35-45% chance that the fistula plug was as cost-effective as surgeon's preference over a range of thresholds of willingness to pay for a single QALY of £20,000-30,000.\nLIMITATIONS: Limitations include a smaller sample size than originally calculated, a lack of blinding that perhaps biased patient-reported outcomes and a lower compliance rate with MRI at 12-month follow-up.\nCONCLUSIONS: The Surgisis anal fistula plug is associated with similar FIQoL score to surgeon's preference at 12-month follow-up. The higher costs and highly uncertain and small gains in QALYs associated with the fistula plug mean that this technology is unlikely to be considered a cost-effective use of resources in the UK NHS.\nFUTURE WORK: Further in-depth analysis should consider the clinical and MRI characteristics of fistula-in-ano in an attempt to identify predictors of fistula response to treatment.\nTRIAL REGISTRATION: Current Controlled Trials ISRCTN78352529.\nFUNDING: This project was funded by the National Institute for Health Research (NIHR) Health Technology Assessment programme and will be published in full in Health Technology Assessment; Vol. 23, No. 21. See the NIHR Journals Library website for further project information.","DOI":"10.3310/hta23210","ISSN":"2046-4924","note":"PMID: 31113531\nPMCID: PMC6545498","title-short":"Anal fistula plug versus surgeon's preference for surgery for trans-sphincteric anal fistula","journalAbbreviation":"Health Technol Assess","language":"eng","author":[{"family":"Jayne","given":"David G."},{"family":"Scholefield","given":"John"},{"family":"Tolan","given":"Damian"},{"family":"Gray","given":"Richard"},{"family":"Edlin","given":"Richard"},{"family":"Hulme","given":"Claire T."},{"family":"Sutton","given":"Andrew J."},{"family":"Handley","given":"Kelly"},{"family":"Hewitt","given":"Catherine A."},{"family":"Kaur","given":"Manjinder"},{"family":"Magill","given":"Laura"}],"issued":{"date-parts":[["2019",5]]}}}],"schema":"https://github.com/citation-style-language/schema/raw/master/csl-citation.json"} </w:instrText>
      </w:r>
      <w:r w:rsidR="001908BC" w:rsidRPr="007018B5">
        <w:rPr>
          <w:szCs w:val="24"/>
          <w:lang w:val="en-US"/>
        </w:rPr>
        <w:fldChar w:fldCharType="separate"/>
      </w:r>
      <w:r w:rsidR="001908BC" w:rsidRPr="007018B5">
        <w:rPr>
          <w:szCs w:val="24"/>
          <w:vertAlign w:val="superscript"/>
          <w:lang w:val="en-US"/>
        </w:rPr>
        <w:t>[3]</w:t>
      </w:r>
      <w:r w:rsidR="001908BC" w:rsidRPr="007018B5">
        <w:rPr>
          <w:szCs w:val="24"/>
          <w:lang w:val="en-US"/>
        </w:rPr>
        <w:fldChar w:fldCharType="end"/>
      </w:r>
      <w:r w:rsidR="00C9001C" w:rsidRPr="007018B5">
        <w:rPr>
          <w:szCs w:val="24"/>
          <w:lang w:val="en-US"/>
        </w:rPr>
        <w:t xml:space="preserve">. </w:t>
      </w:r>
      <w:r w:rsidR="00D31C72" w:rsidRPr="007018B5">
        <w:rPr>
          <w:szCs w:val="24"/>
          <w:lang w:val="en-US"/>
        </w:rPr>
        <w:t xml:space="preserve">In </w:t>
      </w:r>
      <w:bookmarkStart w:id="92" w:name="OLE_LINK717"/>
      <w:bookmarkStart w:id="93" w:name="OLE_LINK718"/>
      <w:r w:rsidR="00D31C72" w:rsidRPr="007018B5">
        <w:rPr>
          <w:szCs w:val="24"/>
          <w:lang w:val="en-US"/>
        </w:rPr>
        <w:t>Crohn’s disease</w:t>
      </w:r>
      <w:bookmarkEnd w:id="92"/>
      <w:bookmarkEnd w:id="93"/>
      <w:r w:rsidR="00D31C72" w:rsidRPr="007018B5">
        <w:rPr>
          <w:szCs w:val="24"/>
          <w:lang w:val="en-US"/>
        </w:rPr>
        <w:t xml:space="preserve"> (CD), perianal fistulae can heal in response to biological agents</w:t>
      </w:r>
      <w:r w:rsidR="001A1416" w:rsidRPr="007018B5">
        <w:rPr>
          <w:szCs w:val="24"/>
          <w:lang w:val="en-US"/>
        </w:rPr>
        <w:t xml:space="preserve"> in 68% of patients</w:t>
      </w:r>
      <w:r w:rsidR="001A1416" w:rsidRPr="007018B5">
        <w:rPr>
          <w:szCs w:val="24"/>
          <w:lang w:val="en-US"/>
        </w:rPr>
        <w:fldChar w:fldCharType="begin"/>
      </w:r>
      <w:r w:rsidR="003D51A1" w:rsidRPr="007018B5">
        <w:rPr>
          <w:szCs w:val="24"/>
          <w:lang w:val="en-US"/>
        </w:rPr>
        <w:instrText xml:space="preserve"> ADDIN ZOTERO_ITEM CSL_CITATION {"citationID":"NSEbfnZL","properties":{"formattedCitation":"\\super [4]\\nosupersub{}","plainCitation":"[4]","noteIndex":0},"citationItems":[{"id":72,"uris":["http://zotero.org/users/851773/items/45S42HJC"],"uri":["http://zotero.org/users/851773/items/45S42HJC"],"itemData":{"id":72,"type":"article-journal","title":"Infliximab for the treatment of fistulas in patients with Crohn's disease.","container-title":"Journal of Medicine","page":"1398-405","volume":"340","issue":"18","source":"Ovid (Ovid MEDLINE(R))","abstract":"CONCLUSIONS: Infliximab is an efficacious treatment for fistulas in patients with Crohn's disease.","ISSN":"0028-4793","author":[{"family":"Present","given":"DH"},{"family":"Rutgeerts","given":"P"},{"family":"Targan","given":"S"},{"family":"Hanauer","given":"SB"},{"family":"Mayer","given":"L"},{"family":"Hogezand","given":"RA","non-dropping-particle":"van"},{"family":"Podolsky","given":"DK"},{"family":"Sands","given":"BE"},{"family":"Braakman","given":"T"},{"family":"DeWoody","given":"KL"},{"family":"Schaible","given":"TF"},{"family":"Deventer","given":"SJ","non-dropping-particle":"van"}],"issued":{"date-parts":[["1999",5,6]]}}}],"schema":"https://github.com/citation-style-language/schema/raw/master/csl-citation.json"} </w:instrText>
      </w:r>
      <w:r w:rsidR="001A1416" w:rsidRPr="007018B5">
        <w:rPr>
          <w:szCs w:val="24"/>
          <w:lang w:val="en-US"/>
        </w:rPr>
        <w:fldChar w:fldCharType="separate"/>
      </w:r>
      <w:r w:rsidR="003D51A1" w:rsidRPr="007018B5">
        <w:rPr>
          <w:szCs w:val="24"/>
          <w:vertAlign w:val="superscript"/>
          <w:lang w:val="en-US"/>
        </w:rPr>
        <w:t>[4]</w:t>
      </w:r>
      <w:r w:rsidR="001A1416" w:rsidRPr="007018B5">
        <w:rPr>
          <w:szCs w:val="24"/>
          <w:lang w:val="en-US"/>
        </w:rPr>
        <w:fldChar w:fldCharType="end"/>
      </w:r>
      <w:r w:rsidR="00D31C72" w:rsidRPr="007018B5">
        <w:rPr>
          <w:szCs w:val="24"/>
          <w:lang w:val="en-US"/>
        </w:rPr>
        <w:t>. Treatments for perianal fistulae could be improved if we had a better understanding of their pathophysiology.</w:t>
      </w:r>
    </w:p>
    <w:p w14:paraId="45689A64" w14:textId="3370ED1A" w:rsidR="004E05BC" w:rsidRPr="007018B5" w:rsidRDefault="00D31C72" w:rsidP="00597F02">
      <w:pPr>
        <w:adjustRightInd w:val="0"/>
        <w:snapToGrid w:val="0"/>
        <w:spacing w:before="0" w:after="0"/>
        <w:ind w:firstLineChars="100" w:firstLine="240"/>
        <w:jc w:val="both"/>
        <w:rPr>
          <w:szCs w:val="24"/>
          <w:lang w:val="en-US" w:eastAsia="en-GB"/>
        </w:rPr>
      </w:pPr>
      <w:r w:rsidRPr="007018B5">
        <w:rPr>
          <w:szCs w:val="24"/>
          <w:lang w:val="en-US"/>
        </w:rPr>
        <w:t xml:space="preserve">The </w:t>
      </w:r>
      <w:proofErr w:type="spellStart"/>
      <w:r w:rsidRPr="007018B5">
        <w:rPr>
          <w:szCs w:val="24"/>
          <w:lang w:val="en-US"/>
        </w:rPr>
        <w:t>aetiology</w:t>
      </w:r>
      <w:proofErr w:type="spellEnd"/>
      <w:r w:rsidRPr="007018B5">
        <w:rPr>
          <w:szCs w:val="24"/>
          <w:lang w:val="en-US"/>
        </w:rPr>
        <w:t xml:space="preserve"> and pathophysiology of perianal fistulae is still unclear. </w:t>
      </w:r>
      <w:r w:rsidR="005423D8" w:rsidRPr="007018B5">
        <w:rPr>
          <w:szCs w:val="24"/>
          <w:lang w:val="en-US"/>
        </w:rPr>
        <w:t xml:space="preserve">The majority (90%) </w:t>
      </w:r>
      <w:r w:rsidR="00BC3BDD" w:rsidRPr="007018B5">
        <w:rPr>
          <w:szCs w:val="24"/>
          <w:lang w:val="en-US"/>
        </w:rPr>
        <w:t>are</w:t>
      </w:r>
      <w:r w:rsidR="007F49C7" w:rsidRPr="007018B5">
        <w:rPr>
          <w:szCs w:val="24"/>
          <w:lang w:val="en-US"/>
        </w:rPr>
        <w:t xml:space="preserve"> considered </w:t>
      </w:r>
      <w:r w:rsidR="00BC3BDD" w:rsidRPr="007018B5">
        <w:rPr>
          <w:szCs w:val="24"/>
          <w:lang w:val="en-US"/>
        </w:rPr>
        <w:t xml:space="preserve">to be </w:t>
      </w:r>
      <w:r w:rsidR="007F49C7" w:rsidRPr="007018B5">
        <w:rPr>
          <w:szCs w:val="24"/>
          <w:lang w:val="en-US"/>
        </w:rPr>
        <w:t xml:space="preserve">primary </w:t>
      </w:r>
      <w:r w:rsidR="005423D8" w:rsidRPr="007018B5">
        <w:rPr>
          <w:szCs w:val="24"/>
          <w:lang w:val="en-US"/>
        </w:rPr>
        <w:t xml:space="preserve">or </w:t>
      </w:r>
      <w:r w:rsidR="00B3453A" w:rsidRPr="007018B5">
        <w:rPr>
          <w:szCs w:val="24"/>
          <w:lang w:val="en-US"/>
        </w:rPr>
        <w:t>idiopathic</w:t>
      </w:r>
      <w:r w:rsidR="00B3453A" w:rsidRPr="007018B5">
        <w:rPr>
          <w:szCs w:val="24"/>
          <w:lang w:val="en-US"/>
        </w:rPr>
        <w:fldChar w:fldCharType="begin"/>
      </w:r>
      <w:r w:rsidR="003D51A1" w:rsidRPr="007018B5">
        <w:rPr>
          <w:szCs w:val="24"/>
          <w:lang w:val="en-US"/>
        </w:rPr>
        <w:instrText xml:space="preserve"> ADDIN ZOTERO_ITEM CSL_CITATION {"citationID":"VutpZPFy","properties":{"formattedCitation":"\\super [5]\\nosupersub{}","plainCitation":"[5]","noteIndex":0},"citationItems":[{"id":616,"uris":["http://zotero.org/users/851773/items/WKQ28QH7"],"uri":["http://zotero.org/users/851773/items/WKQ28QH7"],"itemData":{"id":616,"type":"article-journal","title":"Fistula-in-ano in a defined population. Incidence and epidemiological aspects","container-title":"Annales Chirurgiae Et Gynaecologiae","page":"219-224","volume":"73","issue":"4","source":"PubMed","abstract":"The incidence and epidemiology of anal fistula were studied among the inhabitants of the City of Helsinki (population 510,000) during a 10-year period, 1969 to 1978. The mean incidence per 100,000 population was 8.6 for nonspecific and fistula, 12.3 for males and 5.6 for females. Of a total of 458 anal fistulae diagnosed during the period under study, the nonspecific fistulae accounted for 90.4%, the tuberculous fistulae for 0.2%, the postoperative and traumatic fistulae for 3.3% and fistulae originating in anal fissure for 3.3%. Anal fistulae associated with ulcerative colitis comprised 1.5% of the total series and fistulae associated with Crohn's disease 1.3%. At the time of diagnosis of the nonspecific anal fistulae, the mean age of the patients was 38.3 years; the male-female ratio was 1.8: 1. All the patients younger than 15 years of age were male. 35% of anorectal abscesses of nonspecific anal origin developed into a fistula. Sedentary occupations did not show any significance in anal fistula formation.","ISSN":"0355-9521","note":"PMID: 6508203","journalAbbreviation":"Ann Chir Gynaecol","language":"eng","author":[{"family":"Sainio","given":"P."}],"issued":{"date-parts":[["1984"]]}}}],"schema":"https://github.com/citation-style-language/schema/raw/master/csl-citation.json"} </w:instrText>
      </w:r>
      <w:r w:rsidR="00B3453A" w:rsidRPr="007018B5">
        <w:rPr>
          <w:szCs w:val="24"/>
          <w:lang w:val="en-US"/>
        </w:rPr>
        <w:fldChar w:fldCharType="separate"/>
      </w:r>
      <w:r w:rsidR="003D51A1" w:rsidRPr="007018B5">
        <w:rPr>
          <w:szCs w:val="24"/>
          <w:vertAlign w:val="superscript"/>
          <w:lang w:val="en-US"/>
        </w:rPr>
        <w:t>[5]</w:t>
      </w:r>
      <w:r w:rsidR="00B3453A" w:rsidRPr="007018B5">
        <w:rPr>
          <w:szCs w:val="24"/>
          <w:lang w:val="en-US"/>
        </w:rPr>
        <w:fldChar w:fldCharType="end"/>
      </w:r>
      <w:r w:rsidR="00A741B2" w:rsidRPr="007018B5">
        <w:rPr>
          <w:szCs w:val="24"/>
          <w:lang w:val="en-US"/>
        </w:rPr>
        <w:t>.</w:t>
      </w:r>
      <w:r w:rsidR="007F49C7" w:rsidRPr="007018B5">
        <w:rPr>
          <w:szCs w:val="24"/>
          <w:lang w:val="en-US"/>
        </w:rPr>
        <w:t xml:space="preserve"> </w:t>
      </w:r>
      <w:r w:rsidR="0082576E" w:rsidRPr="007018B5">
        <w:rPr>
          <w:szCs w:val="24"/>
          <w:lang w:val="en-US"/>
        </w:rPr>
        <w:t xml:space="preserve">In such patients, </w:t>
      </w:r>
      <w:r w:rsidR="0082576E" w:rsidRPr="007018B5">
        <w:rPr>
          <w:szCs w:val="24"/>
          <w:lang w:val="en-US" w:eastAsia="en-GB"/>
        </w:rPr>
        <w:t xml:space="preserve">Parks’ cryptoglandular theory </w:t>
      </w:r>
      <w:r w:rsidR="00E52B45" w:rsidRPr="007018B5">
        <w:rPr>
          <w:szCs w:val="24"/>
          <w:lang w:val="en-US"/>
        </w:rPr>
        <w:t>prevail</w:t>
      </w:r>
      <w:r w:rsidR="0082576E" w:rsidRPr="007018B5">
        <w:rPr>
          <w:szCs w:val="24"/>
          <w:lang w:val="en-US"/>
        </w:rPr>
        <w:t xml:space="preserve">s, </w:t>
      </w:r>
      <w:r w:rsidR="00E97287" w:rsidRPr="007018B5">
        <w:rPr>
          <w:szCs w:val="24"/>
          <w:lang w:val="en-US" w:eastAsia="en-GB"/>
        </w:rPr>
        <w:t>suppos</w:t>
      </w:r>
      <w:r w:rsidR="0082576E" w:rsidRPr="007018B5">
        <w:rPr>
          <w:szCs w:val="24"/>
          <w:lang w:val="en-US" w:eastAsia="en-GB"/>
        </w:rPr>
        <w:t xml:space="preserve">ing </w:t>
      </w:r>
      <w:r w:rsidR="00C9666F" w:rsidRPr="007018B5">
        <w:rPr>
          <w:szCs w:val="24"/>
          <w:lang w:val="en-US" w:eastAsia="en-GB"/>
        </w:rPr>
        <w:t xml:space="preserve">infection of an </w:t>
      </w:r>
      <w:r w:rsidR="004E05BC" w:rsidRPr="007018B5">
        <w:rPr>
          <w:szCs w:val="24"/>
          <w:lang w:val="en-US" w:eastAsia="en-GB"/>
        </w:rPr>
        <w:t xml:space="preserve">anal gland </w:t>
      </w:r>
      <w:r w:rsidR="00E97287" w:rsidRPr="007018B5">
        <w:rPr>
          <w:szCs w:val="24"/>
          <w:lang w:val="en-US" w:eastAsia="en-GB"/>
        </w:rPr>
        <w:t>as</w:t>
      </w:r>
      <w:r w:rsidR="004E05BC" w:rsidRPr="007018B5">
        <w:rPr>
          <w:szCs w:val="24"/>
          <w:lang w:val="en-US" w:eastAsia="en-GB"/>
        </w:rPr>
        <w:t xml:space="preserve"> the primary lesion</w:t>
      </w:r>
      <w:r w:rsidR="00214059" w:rsidRPr="007018B5">
        <w:rPr>
          <w:szCs w:val="24"/>
          <w:lang w:val="en-US" w:eastAsia="en-GB"/>
        </w:rPr>
        <w:t>.</w:t>
      </w:r>
      <w:r w:rsidR="00682C90" w:rsidRPr="007018B5">
        <w:rPr>
          <w:szCs w:val="24"/>
          <w:lang w:val="en-US" w:eastAsia="en-GB"/>
        </w:rPr>
        <w:t xml:space="preserve"> Suppuration then penetrates </w:t>
      </w:r>
      <w:r w:rsidR="007413B4" w:rsidRPr="007018B5">
        <w:rPr>
          <w:szCs w:val="24"/>
          <w:lang w:val="en-US" w:eastAsia="en-GB"/>
        </w:rPr>
        <w:t>through the internal anal sphincter</w:t>
      </w:r>
      <w:r w:rsidR="00682C90" w:rsidRPr="007018B5">
        <w:rPr>
          <w:szCs w:val="24"/>
          <w:lang w:val="en-US" w:eastAsia="en-GB"/>
        </w:rPr>
        <w:t xml:space="preserve"> creating a fistula tract</w:t>
      </w:r>
      <w:r w:rsidR="00214059" w:rsidRPr="007018B5">
        <w:rPr>
          <w:szCs w:val="24"/>
          <w:lang w:val="en-US" w:eastAsia="en-GB"/>
        </w:rPr>
        <w:fldChar w:fldCharType="begin"/>
      </w:r>
      <w:r w:rsidR="003D51A1" w:rsidRPr="007018B5">
        <w:rPr>
          <w:szCs w:val="24"/>
          <w:lang w:val="en-US" w:eastAsia="en-GB"/>
        </w:rPr>
        <w:instrText xml:space="preserve"> ADDIN ZOTERO_ITEM CSL_CITATION {"citationID":"a2ah4r98b05","properties":{"formattedCitation":"\\super [6]\\nosupersub{}","plainCitation":"[6]","noteIndex":0},"citationItems":[{"id":540,"uris":["http://zotero.org/users/851773/items/8TEZU7Z6"],"uri":["http://zotero.org/users/851773/items/8TEZU7Z6"],"itemData":{"id":540,"type":"article-journal","title":"Pathogenesis and Treatment of Fistula-in-Ano","container-title":"BMJ","page":"463-460","volume":"1","issue":"5224","source":"CrossRef","DOI":"10.1136/bmj.1.5224.463","ISSN":"0959-8138, 1468-5833","note":"PMID: 13732880","author":[{"family":"Parks","given":"A. G."}],"issued":{"date-parts":[["1961",2,18]]}}}],"schema":"https://github.com/citation-style-language/schema/raw/master/csl-citation.json"} </w:instrText>
      </w:r>
      <w:r w:rsidR="00214059" w:rsidRPr="007018B5">
        <w:rPr>
          <w:szCs w:val="24"/>
          <w:lang w:val="en-US" w:eastAsia="en-GB"/>
        </w:rPr>
        <w:fldChar w:fldCharType="separate"/>
      </w:r>
      <w:r w:rsidR="003D51A1" w:rsidRPr="007018B5">
        <w:rPr>
          <w:szCs w:val="24"/>
          <w:vertAlign w:val="superscript"/>
          <w:lang w:val="en-US"/>
        </w:rPr>
        <w:t>[6]</w:t>
      </w:r>
      <w:r w:rsidR="00214059" w:rsidRPr="007018B5">
        <w:rPr>
          <w:szCs w:val="24"/>
          <w:lang w:val="en-US" w:eastAsia="en-GB"/>
        </w:rPr>
        <w:fldChar w:fldCharType="end"/>
      </w:r>
      <w:r w:rsidR="00A741B2" w:rsidRPr="007018B5">
        <w:rPr>
          <w:szCs w:val="24"/>
          <w:lang w:val="en-US" w:eastAsia="en-GB"/>
        </w:rPr>
        <w:t>.</w:t>
      </w:r>
    </w:p>
    <w:p w14:paraId="4FBE725B" w14:textId="55264AA5" w:rsidR="00E97287" w:rsidRPr="007018B5" w:rsidRDefault="00E97287" w:rsidP="00597F02">
      <w:pPr>
        <w:adjustRightInd w:val="0"/>
        <w:snapToGrid w:val="0"/>
        <w:spacing w:before="0" w:after="0"/>
        <w:ind w:firstLineChars="100" w:firstLine="240"/>
        <w:jc w:val="both"/>
        <w:rPr>
          <w:szCs w:val="24"/>
          <w:lang w:val="en-US"/>
        </w:rPr>
      </w:pPr>
      <w:r w:rsidRPr="007018B5">
        <w:rPr>
          <w:szCs w:val="24"/>
          <w:lang w:val="en-US"/>
        </w:rPr>
        <w:t>In contrast, secondary fistulae</w:t>
      </w:r>
      <w:r w:rsidR="00A242A3" w:rsidRPr="007018B5">
        <w:rPr>
          <w:szCs w:val="24"/>
          <w:lang w:val="en-US"/>
        </w:rPr>
        <w:t xml:space="preserve">, which can be </w:t>
      </w:r>
      <w:r w:rsidR="00AE0D6B" w:rsidRPr="007018B5">
        <w:rPr>
          <w:szCs w:val="24"/>
          <w:lang w:val="en-US"/>
        </w:rPr>
        <w:t xml:space="preserve">associated with </w:t>
      </w:r>
      <w:r w:rsidR="00214059" w:rsidRPr="007018B5">
        <w:rPr>
          <w:szCs w:val="24"/>
          <w:lang w:val="en-US"/>
        </w:rPr>
        <w:t>inflammatory bowel disease</w:t>
      </w:r>
      <w:r w:rsidR="00AE0D6B" w:rsidRPr="007018B5">
        <w:rPr>
          <w:szCs w:val="24"/>
          <w:lang w:val="en-US"/>
        </w:rPr>
        <w:t xml:space="preserve">, tuberculosis and </w:t>
      </w:r>
      <w:r w:rsidR="000C021B" w:rsidRPr="007018B5">
        <w:rPr>
          <w:szCs w:val="24"/>
          <w:lang w:val="en-US"/>
        </w:rPr>
        <w:t>human immunodeficiency virus</w:t>
      </w:r>
      <w:r w:rsidR="00AE0D6B" w:rsidRPr="007018B5">
        <w:rPr>
          <w:szCs w:val="24"/>
          <w:lang w:val="en-US"/>
        </w:rPr>
        <w:fldChar w:fldCharType="begin"/>
      </w:r>
      <w:r w:rsidR="003D51A1" w:rsidRPr="007018B5">
        <w:rPr>
          <w:szCs w:val="24"/>
          <w:lang w:val="en-US"/>
        </w:rPr>
        <w:instrText xml:space="preserve"> ADDIN ZOTERO_ITEM CSL_CITATION {"citationID":"GNnUuKTC","properties":{"formattedCitation":"\\super [5,7]\\nosupersub{}","plainCitation":"[5,7]","noteIndex":0},"citationItems":[{"id":616,"uris":["http://zotero.org/users/851773/items/WKQ28QH7"],"uri":["http://zotero.org/users/851773/items/WKQ28QH7"],"itemData":{"id":616,"type":"article-journal","title":"Fistula-in-ano in a defined population. Incidence and epidemiological aspects","container-title":"Annales Chirurgiae Et Gynaecologiae","page":"219-224","volume":"73","issue":"4","source":"PubMed","abstract":"The incidence and epidemiology of anal fistula were studied among the inhabitants of the City of Helsinki (population 510,000) during a 10-year period, 1969 to 1978. The mean incidence per 100,000 population was 8.6 for nonspecific and fistula, 12.3 for males and 5.6 for females. Of a total of 458 anal fistulae diagnosed during the period under study, the nonspecific fistulae accounted for 90.4%, the tuberculous fistulae for 0.2%, the postoperative and traumatic fistulae for 3.3% and fistulae originating in anal fissure for 3.3%. Anal fistulae associated with ulcerative colitis comprised 1.5% of the total series and fistulae associated with Crohn's disease 1.3%. At the time of diagnosis of the nonspecific anal fistulae, the mean age of the patients was 38.3 years; the male-female ratio was 1.8: 1. All the patients younger than 15 years of age were male. 35% of anorectal abscesses of nonspecific anal origin developed into a fistula. Sedentary occupations did not show any significance in anal fistula formation.","ISSN":"0355-9521","note":"PMID: 6508203","journalAbbreviation":"Ann Chir Gynaecol","language":"eng","author":[{"family":"Sainio","given":"P."}],"issued":{"date-parts":[["1984"]]}}},{"id":615,"uris":["http://zotero.org/users/851773/items/9KW7R7GJ"],"uri":["http://zotero.org/users/851773/items/9KW7R7GJ"],"itemData":{"id":615,"type":"article-journal","title":"Perianal fistulas mimicking Crohn's disease in HIV-infected male patient","container-title":"The American Journal of Gastroenterology","page":"793-794","volume":"104","issue":"3","source":"PubMed","DOI":"10.1038/ajg.2008.98","ISSN":"1572-0241","note":"PMID: 19262533","journalAbbreviation":"Am. J. Gastroenterol.","language":"eng","author":[{"family":"Rivera","given":"Margherita"},{"family":"Angelucci","given":"Erika"},{"family":"Crispino","given":"Pietro"},{"family":"Pronio","given":"Anna Maria"},{"family":"Marcheggiano","given":"Adriana"},{"family":"Vernia","given":"Piero"},{"family":"Badiali","given":"Danilo"}],"issued":{"date-parts":[["2009",3]]}}}],"schema":"https://github.com/citation-style-language/schema/raw/master/csl-citation.json"} </w:instrText>
      </w:r>
      <w:r w:rsidR="00AE0D6B" w:rsidRPr="007018B5">
        <w:rPr>
          <w:szCs w:val="24"/>
          <w:lang w:val="en-US"/>
        </w:rPr>
        <w:fldChar w:fldCharType="separate"/>
      </w:r>
      <w:r w:rsidR="003D51A1" w:rsidRPr="007018B5">
        <w:rPr>
          <w:szCs w:val="24"/>
          <w:vertAlign w:val="superscript"/>
          <w:lang w:val="en-US"/>
        </w:rPr>
        <w:t>[5,7]</w:t>
      </w:r>
      <w:r w:rsidR="00AE0D6B" w:rsidRPr="007018B5">
        <w:rPr>
          <w:szCs w:val="24"/>
          <w:lang w:val="en-US"/>
        </w:rPr>
        <w:fldChar w:fldCharType="end"/>
      </w:r>
      <w:r w:rsidR="00A741B2" w:rsidRPr="007018B5">
        <w:rPr>
          <w:szCs w:val="24"/>
          <w:lang w:val="en-US"/>
        </w:rPr>
        <w:t>.</w:t>
      </w:r>
      <w:r w:rsidR="00AE0D6B" w:rsidRPr="007018B5">
        <w:rPr>
          <w:szCs w:val="24"/>
          <w:lang w:val="en-US"/>
        </w:rPr>
        <w:t xml:space="preserve"> </w:t>
      </w:r>
      <w:r w:rsidRPr="007018B5">
        <w:rPr>
          <w:szCs w:val="24"/>
          <w:lang w:val="en-US"/>
        </w:rPr>
        <w:t xml:space="preserve">are assumed to arise </w:t>
      </w:r>
      <w:r w:rsidR="005423D8" w:rsidRPr="007018B5">
        <w:rPr>
          <w:szCs w:val="24"/>
          <w:lang w:val="en-US"/>
        </w:rPr>
        <w:t>from</w:t>
      </w:r>
      <w:r w:rsidRPr="007018B5">
        <w:rPr>
          <w:szCs w:val="24"/>
          <w:lang w:val="en-US"/>
        </w:rPr>
        <w:t xml:space="preserve"> inflammation of the anorectal mucosa. By far the most common association is with </w:t>
      </w:r>
      <w:r w:rsidR="00F16277" w:rsidRPr="007018B5">
        <w:rPr>
          <w:szCs w:val="24"/>
          <w:lang w:val="en-US"/>
        </w:rPr>
        <w:t>CD</w:t>
      </w:r>
      <w:r w:rsidR="00EA38CC" w:rsidRPr="007018B5">
        <w:rPr>
          <w:szCs w:val="24"/>
          <w:lang w:val="en-US"/>
        </w:rPr>
        <w:t xml:space="preserve">, where </w:t>
      </w:r>
      <w:r w:rsidR="007716D9" w:rsidRPr="007018B5">
        <w:rPr>
          <w:szCs w:val="24"/>
          <w:lang w:val="en-US"/>
        </w:rPr>
        <w:t xml:space="preserve">perianal involvement is found in </w:t>
      </w:r>
      <w:r w:rsidR="005423D8" w:rsidRPr="007018B5">
        <w:rPr>
          <w:szCs w:val="24"/>
          <w:lang w:val="en-US"/>
        </w:rPr>
        <w:t>around</w:t>
      </w:r>
      <w:r w:rsidR="007716D9" w:rsidRPr="007018B5">
        <w:rPr>
          <w:szCs w:val="24"/>
          <w:lang w:val="en-US"/>
        </w:rPr>
        <w:t xml:space="preserve"> one third of patients</w:t>
      </w:r>
      <w:r w:rsidR="00F16277" w:rsidRPr="007018B5">
        <w:rPr>
          <w:szCs w:val="24"/>
          <w:lang w:val="en-US"/>
        </w:rPr>
        <w:fldChar w:fldCharType="begin"/>
      </w:r>
      <w:r w:rsidR="003D51A1" w:rsidRPr="007018B5">
        <w:rPr>
          <w:szCs w:val="24"/>
          <w:lang w:val="en-US"/>
        </w:rPr>
        <w:instrText xml:space="preserve"> ADDIN ZOTERO_ITEM CSL_CITATION {"citationID":"AhfuAH6N","properties":{"formattedCitation":"\\super [8]\\nosupersub{}","plainCitation":"[8]","noteIndex":0},"citationItems":[{"id":1568,"uris":["http://zotero.org/users/851773/items/H7VMI6HE"],"uri":["http://zotero.org/users/851773/items/H7VMI6HE"],"itemData":{"id":1568,"type":"article-journal","title":"Management of complex perianal Crohn’s disease","container-title":"Annals of Gastroenterology : Quarterly Publication of the Hellenic Society of Gastroenterology","page":"33-44","volume":"30","issue":"1","source":"PubMed Central","abstract":"Patients with Crohn’s disease often develop perianal disease, successfully managed in most cases. However, its most aggressive form, complex perianal disease, is associated with high morbidity and a significant impairment in patients’ quality of life. The aim of this review is to provide an updated approach to this condition, reviewing aspects of its epidemiology, diagnosis and therapeutic alternatives. Emerging treatment options are also discussed. A multidisciplinary assessment of these patients with a coordinated medical and surgical approach is crucial.","DOI":"10.20524/aog.2016.0099","ISSN":"1108-7471","note":"PMID: 28042236\nPMCID: PMC5198245","journalAbbreviation":"Ann Gastroenterol","author":[{"family":"Aguilera-Castro","given":"Lara"},{"family":"Ferre-Aracil","given":"Carlos"},{"family":"Garcia-Garcia-de-Paredes","given":"Ana"},{"family":"Rodriguez-de-Santiago","given":"Enrique"},{"family":"Lopez-Sanroman","given":"Antonio"}],"issued":{"date-parts":[["2017"]]}}}],"schema":"https://github.com/citation-style-language/schema/raw/master/csl-citation.json"} </w:instrText>
      </w:r>
      <w:r w:rsidR="00F16277" w:rsidRPr="007018B5">
        <w:rPr>
          <w:szCs w:val="24"/>
          <w:lang w:val="en-US"/>
        </w:rPr>
        <w:fldChar w:fldCharType="separate"/>
      </w:r>
      <w:r w:rsidR="003D51A1" w:rsidRPr="007018B5">
        <w:rPr>
          <w:szCs w:val="24"/>
          <w:vertAlign w:val="superscript"/>
          <w:lang w:val="en-US"/>
        </w:rPr>
        <w:t>[8]</w:t>
      </w:r>
      <w:r w:rsidR="00F16277" w:rsidRPr="007018B5">
        <w:rPr>
          <w:szCs w:val="24"/>
          <w:lang w:val="en-US"/>
        </w:rPr>
        <w:fldChar w:fldCharType="end"/>
      </w:r>
      <w:r w:rsidR="00A741B2" w:rsidRPr="007018B5">
        <w:rPr>
          <w:szCs w:val="24"/>
          <w:lang w:val="en-US"/>
        </w:rPr>
        <w:t>.</w:t>
      </w:r>
      <w:r w:rsidR="00EA38CC" w:rsidRPr="007018B5">
        <w:rPr>
          <w:szCs w:val="24"/>
          <w:lang w:val="en-US"/>
        </w:rPr>
        <w:t xml:space="preserve"> </w:t>
      </w:r>
      <w:proofErr w:type="spellStart"/>
      <w:r w:rsidR="00901F59" w:rsidRPr="007018B5">
        <w:rPr>
          <w:szCs w:val="24"/>
          <w:lang w:val="en-US"/>
        </w:rPr>
        <w:t>Scharl</w:t>
      </w:r>
      <w:proofErr w:type="spellEnd"/>
      <w:r w:rsidR="00901F59" w:rsidRPr="007018B5">
        <w:rPr>
          <w:szCs w:val="24"/>
          <w:lang w:val="en-US"/>
        </w:rPr>
        <w:t xml:space="preserve"> and </w:t>
      </w:r>
      <w:proofErr w:type="spellStart"/>
      <w:r w:rsidR="00901F59" w:rsidRPr="007018B5">
        <w:rPr>
          <w:szCs w:val="24"/>
          <w:lang w:val="en-US"/>
        </w:rPr>
        <w:t>Rogler</w:t>
      </w:r>
      <w:proofErr w:type="spellEnd"/>
      <w:r w:rsidR="00901F59" w:rsidRPr="007018B5">
        <w:rPr>
          <w:szCs w:val="24"/>
          <w:lang w:val="en-US"/>
        </w:rPr>
        <w:t xml:space="preserve"> </w:t>
      </w:r>
      <w:proofErr w:type="spellStart"/>
      <w:r w:rsidR="00901F59" w:rsidRPr="007018B5">
        <w:rPr>
          <w:szCs w:val="24"/>
          <w:lang w:val="en-US"/>
        </w:rPr>
        <w:t>summarised</w:t>
      </w:r>
      <w:proofErr w:type="spellEnd"/>
      <w:r w:rsidR="00901F59" w:rsidRPr="007018B5">
        <w:rPr>
          <w:szCs w:val="24"/>
          <w:lang w:val="en-US"/>
        </w:rPr>
        <w:t xml:space="preserve"> the immunological evidence for the pathogenesis of fistulae in </w:t>
      </w:r>
      <w:r w:rsidR="0069097F" w:rsidRPr="007018B5">
        <w:rPr>
          <w:szCs w:val="24"/>
          <w:lang w:val="en-US"/>
        </w:rPr>
        <w:t>CD</w:t>
      </w:r>
      <w:r w:rsidR="007103E4" w:rsidRPr="007018B5">
        <w:rPr>
          <w:szCs w:val="24"/>
          <w:lang w:val="en-US"/>
        </w:rPr>
        <w:fldChar w:fldCharType="begin"/>
      </w:r>
      <w:r w:rsidR="003D51A1" w:rsidRPr="007018B5">
        <w:rPr>
          <w:szCs w:val="24"/>
          <w:lang w:val="en-US"/>
        </w:rPr>
        <w:instrText xml:space="preserve"> ADDIN ZOTERO_ITEM CSL_CITATION {"citationID":"ABbMAH2K","properties":{"formattedCitation":"\\super [9]\\nosupersub{}","plainCitation":"[9]","noteIndex":0},"citationItems":[{"id":16,"uris":["http://zotero.org/users/851773/items/GXXEF6WU"],"uri":["http://zotero.org/users/851773/items/GXXEF6WU"],"itemData":{"id":16,"type":"article-journal","title":"Pathophysiology of fistula formation in Crohn's disease","container-title":"World Journal of Gastrointestinal Pathophysiology","page":"205-212","volume":"5","issue":"3","source":"PubMed","abstract":"Fistulae represent an important complication in patient suffering from Crohn's disease (CD). Cumulative incidence of fistula formation in CD patients is 17%-50% and about one third of patients suffer from recurring fistulae formation. Medical treatment options often fail and also surgery frequently is not successful. Available data indicate that CD-associated fistulae originate from an epithelial defect that may be caused by ongoing inflammation. Having undergone epithelial to mesenchymal transition (EMT), intestinal epithelial cells (IEC) penetrate into deeper layers of the mucosa and the gut wall causing localized tissue damage formation of a tube like structure and finally a connection to other organs or the body surface. EMT of IEC may be initially aimed to improve wound repair mechanisms since \"conventional\" wound healing mechanisms, such as migration of fibroblasts, are impaired in CD patients. EMT also enhances activation of matrix remodelling enzymes such as matrix metalloproteinase (MMP)-3 and MMP-9 causing further tissue damage and inflammation. Finally, soluble mediators like TNF and interleukin-13 further induce their own expression in an autocrine manner and enhance expression of molecules associated with cell invasiveness aggravating the process. Additionally, pathogen-associated molecular patterns also seem to play a role for induction of EMT and fistula development. Though current knowledge suggests a number of therapeutic options, new and more effective therapeutic approaches are urgently needed for patients suffering from CD-associated fistulae. A better understanding of the pathophysiology of fistula formation, however, is a prerequisite for the development of more efficacious medical anti-fistula treatments.","DOI":"10.4291/wjgp.v5.i3.205","ISSN":"2150-5330","note":"PMID: 25133023\nPMCID: PMC4133520","journalAbbreviation":"World J Gastrointest Pathophysiol","language":"eng","author":[{"family":"Scharl","given":"Michael"},{"family":"Rogler","given":"Gerhard"}],"issued":{"date-parts":[["2014",8,15]]}},"suppress-author":true}],"schema":"https://github.com/citation-style-language/schema/raw/master/csl-citation.json"} </w:instrText>
      </w:r>
      <w:r w:rsidR="007103E4" w:rsidRPr="007018B5">
        <w:rPr>
          <w:szCs w:val="24"/>
          <w:lang w:val="en-US"/>
        </w:rPr>
        <w:fldChar w:fldCharType="separate"/>
      </w:r>
      <w:r w:rsidR="003D51A1" w:rsidRPr="007018B5">
        <w:rPr>
          <w:szCs w:val="24"/>
          <w:vertAlign w:val="superscript"/>
          <w:lang w:val="en-US"/>
        </w:rPr>
        <w:t>[9]</w:t>
      </w:r>
      <w:r w:rsidR="007103E4" w:rsidRPr="007018B5">
        <w:rPr>
          <w:szCs w:val="24"/>
          <w:lang w:val="en-US"/>
        </w:rPr>
        <w:fldChar w:fldCharType="end"/>
      </w:r>
      <w:r w:rsidR="00A741B2" w:rsidRPr="007018B5">
        <w:rPr>
          <w:szCs w:val="24"/>
          <w:lang w:val="en-US"/>
        </w:rPr>
        <w:t>.</w:t>
      </w:r>
      <w:r w:rsidR="00901F59" w:rsidRPr="007018B5">
        <w:rPr>
          <w:szCs w:val="24"/>
          <w:lang w:val="en-US"/>
        </w:rPr>
        <w:t xml:space="preserve"> In their proposed mechanism, an epithelial defect caused by inflammation or injury allows pathogen-associated </w:t>
      </w:r>
      <w:r w:rsidR="00514623" w:rsidRPr="007018B5">
        <w:rPr>
          <w:szCs w:val="24"/>
          <w:lang w:val="en-US"/>
        </w:rPr>
        <w:t xml:space="preserve">molecular patterns from the microbiota </w:t>
      </w:r>
      <w:r w:rsidR="00901F59" w:rsidRPr="007018B5">
        <w:rPr>
          <w:szCs w:val="24"/>
          <w:lang w:val="en-US"/>
        </w:rPr>
        <w:t>to gain entry</w:t>
      </w:r>
      <w:r w:rsidR="00514623" w:rsidRPr="007018B5">
        <w:rPr>
          <w:szCs w:val="24"/>
          <w:lang w:val="en-US"/>
        </w:rPr>
        <w:t xml:space="preserve"> to the lamina propria</w:t>
      </w:r>
      <w:r w:rsidR="00901F59" w:rsidRPr="007018B5">
        <w:rPr>
          <w:szCs w:val="24"/>
          <w:lang w:val="en-US"/>
        </w:rPr>
        <w:t xml:space="preserve"> and induce various pathways mediated by TNF-</w:t>
      </w:r>
      <w:r w:rsidR="00901F59" w:rsidRPr="007018B5">
        <w:rPr>
          <w:szCs w:val="24"/>
          <w:lang w:val="en-US"/>
        </w:rPr>
        <w:sym w:font="Symbol" w:char="F061"/>
      </w:r>
      <w:r w:rsidR="00901F59" w:rsidRPr="007018B5">
        <w:rPr>
          <w:szCs w:val="24"/>
          <w:lang w:val="en-US"/>
        </w:rPr>
        <w:t xml:space="preserve">, </w:t>
      </w:r>
      <w:r w:rsidR="00331B5E" w:rsidRPr="007018B5">
        <w:rPr>
          <w:szCs w:val="24"/>
          <w:lang w:val="en-US"/>
        </w:rPr>
        <w:t>transforming growth factor beta (</w:t>
      </w:r>
      <w:r w:rsidR="00901F59" w:rsidRPr="007018B5">
        <w:rPr>
          <w:szCs w:val="24"/>
          <w:lang w:val="en-US"/>
        </w:rPr>
        <w:t>TGF-</w:t>
      </w:r>
      <w:r w:rsidR="00901F59" w:rsidRPr="007018B5">
        <w:rPr>
          <w:szCs w:val="24"/>
          <w:lang w:val="en-US"/>
        </w:rPr>
        <w:sym w:font="Symbol" w:char="F062"/>
      </w:r>
      <w:r w:rsidR="00331B5E" w:rsidRPr="007018B5">
        <w:rPr>
          <w:szCs w:val="24"/>
          <w:lang w:val="en-US"/>
        </w:rPr>
        <w:t>)</w:t>
      </w:r>
      <w:r w:rsidR="00901F59" w:rsidRPr="007018B5">
        <w:rPr>
          <w:szCs w:val="24"/>
          <w:lang w:val="en-US"/>
        </w:rPr>
        <w:t xml:space="preserve">, IL-13, </w:t>
      </w:r>
      <w:bookmarkStart w:id="94" w:name="OLE_LINK719"/>
      <w:bookmarkStart w:id="95" w:name="OLE_LINK720"/>
      <w:r w:rsidR="00331B5E" w:rsidRPr="007018B5">
        <w:rPr>
          <w:szCs w:val="24"/>
          <w:lang w:val="en-US"/>
        </w:rPr>
        <w:t>matrix metalloproteinases</w:t>
      </w:r>
      <w:bookmarkEnd w:id="94"/>
      <w:bookmarkEnd w:id="95"/>
      <w:r w:rsidR="00331B5E" w:rsidRPr="007018B5">
        <w:rPr>
          <w:szCs w:val="24"/>
          <w:lang w:val="en-US"/>
        </w:rPr>
        <w:t xml:space="preserve"> (</w:t>
      </w:r>
      <w:r w:rsidR="00901F59" w:rsidRPr="007018B5">
        <w:rPr>
          <w:szCs w:val="24"/>
          <w:lang w:val="en-US"/>
        </w:rPr>
        <w:t>MMPs</w:t>
      </w:r>
      <w:r w:rsidR="00331B5E" w:rsidRPr="007018B5">
        <w:rPr>
          <w:szCs w:val="24"/>
          <w:lang w:val="en-US"/>
        </w:rPr>
        <w:t>)</w:t>
      </w:r>
      <w:r w:rsidR="00901F59" w:rsidRPr="007018B5">
        <w:rPr>
          <w:szCs w:val="24"/>
          <w:lang w:val="en-US"/>
        </w:rPr>
        <w:t xml:space="preserve"> and integrin-</w:t>
      </w:r>
      <w:r w:rsidR="00901F59" w:rsidRPr="007018B5">
        <w:rPr>
          <w:szCs w:val="24"/>
          <w:lang w:val="en-US"/>
        </w:rPr>
        <w:sym w:font="Symbol" w:char="F061"/>
      </w:r>
      <w:r w:rsidR="00901F59" w:rsidRPr="007018B5">
        <w:rPr>
          <w:szCs w:val="24"/>
          <w:lang w:val="en-US"/>
        </w:rPr>
        <w:t>v</w:t>
      </w:r>
      <w:r w:rsidR="00901F59" w:rsidRPr="007018B5">
        <w:rPr>
          <w:szCs w:val="24"/>
          <w:lang w:val="en-US"/>
        </w:rPr>
        <w:sym w:font="Symbol" w:char="F062"/>
      </w:r>
      <w:r w:rsidR="00901F59" w:rsidRPr="007018B5">
        <w:rPr>
          <w:szCs w:val="24"/>
          <w:lang w:val="en-US"/>
        </w:rPr>
        <w:t xml:space="preserve">6. These drive </w:t>
      </w:r>
      <w:r w:rsidR="00331B5E" w:rsidRPr="007018B5">
        <w:rPr>
          <w:szCs w:val="24"/>
          <w:lang w:val="en-US"/>
        </w:rPr>
        <w:t>epithelial-to-mesenchymal transition</w:t>
      </w:r>
      <w:r w:rsidR="00901F59" w:rsidRPr="007018B5">
        <w:rPr>
          <w:szCs w:val="24"/>
          <w:lang w:val="en-US"/>
        </w:rPr>
        <w:t xml:space="preserve">, which allows cell invasion and migration, resulting in a penetrating fistula tract lined by transitional cells. </w:t>
      </w:r>
    </w:p>
    <w:p w14:paraId="3E327CAC" w14:textId="38D99E91" w:rsidR="003B1C44" w:rsidRDefault="00D11B66" w:rsidP="00597F02">
      <w:pPr>
        <w:adjustRightInd w:val="0"/>
        <w:snapToGrid w:val="0"/>
        <w:spacing w:before="0" w:after="0"/>
        <w:ind w:firstLineChars="100" w:firstLine="240"/>
        <w:jc w:val="both"/>
        <w:rPr>
          <w:szCs w:val="24"/>
          <w:lang w:val="en-US" w:eastAsia="en-GB"/>
        </w:rPr>
      </w:pPr>
      <w:r w:rsidRPr="007018B5">
        <w:rPr>
          <w:szCs w:val="24"/>
          <w:lang w:val="en-US"/>
        </w:rPr>
        <w:t>R</w:t>
      </w:r>
      <w:r w:rsidR="00331B5E" w:rsidRPr="007018B5">
        <w:rPr>
          <w:szCs w:val="24"/>
          <w:lang w:val="en-US" w:eastAsia="en-GB"/>
        </w:rPr>
        <w:t xml:space="preserve">esearch </w:t>
      </w:r>
      <w:r w:rsidR="0084515E" w:rsidRPr="007018B5">
        <w:rPr>
          <w:szCs w:val="24"/>
          <w:lang w:val="en-US" w:eastAsia="en-GB"/>
        </w:rPr>
        <w:t xml:space="preserve">to date </w:t>
      </w:r>
      <w:r w:rsidRPr="007018B5">
        <w:rPr>
          <w:szCs w:val="24"/>
          <w:lang w:val="en-US" w:eastAsia="en-GB"/>
        </w:rPr>
        <w:t>into</w:t>
      </w:r>
      <w:r w:rsidR="0084515E" w:rsidRPr="007018B5">
        <w:rPr>
          <w:szCs w:val="24"/>
          <w:lang w:val="en-US" w:eastAsia="en-GB"/>
        </w:rPr>
        <w:t xml:space="preserve"> </w:t>
      </w:r>
      <w:r w:rsidR="00331B5E" w:rsidRPr="007018B5">
        <w:rPr>
          <w:szCs w:val="24"/>
          <w:lang w:val="en-US" w:eastAsia="en-GB"/>
        </w:rPr>
        <w:t xml:space="preserve">the pathophysiology of idiopathic and </w:t>
      </w:r>
      <w:r w:rsidRPr="007018B5">
        <w:rPr>
          <w:szCs w:val="24"/>
          <w:lang w:val="en-US" w:eastAsia="en-GB"/>
        </w:rPr>
        <w:t>CD-related</w:t>
      </w:r>
      <w:r w:rsidR="00331B5E" w:rsidRPr="007018B5">
        <w:rPr>
          <w:szCs w:val="24"/>
          <w:lang w:val="en-US" w:eastAsia="en-GB"/>
        </w:rPr>
        <w:t xml:space="preserve"> perianal fistula ha</w:t>
      </w:r>
      <w:r w:rsidR="00603489" w:rsidRPr="007018B5">
        <w:rPr>
          <w:szCs w:val="24"/>
          <w:lang w:val="en-US" w:eastAsia="en-GB"/>
        </w:rPr>
        <w:t>s</w:t>
      </w:r>
      <w:r w:rsidR="00331B5E" w:rsidRPr="007018B5">
        <w:rPr>
          <w:szCs w:val="24"/>
          <w:lang w:val="en-US" w:eastAsia="en-GB"/>
        </w:rPr>
        <w:t xml:space="preserve"> evolved separately due to the underlying assumption that they are </w:t>
      </w:r>
      <w:r w:rsidR="00910C49" w:rsidRPr="007018B5">
        <w:rPr>
          <w:szCs w:val="24"/>
          <w:lang w:val="en-US" w:eastAsia="en-GB"/>
        </w:rPr>
        <w:t xml:space="preserve">fundamentally </w:t>
      </w:r>
      <w:r w:rsidR="00331B5E" w:rsidRPr="007018B5">
        <w:rPr>
          <w:szCs w:val="24"/>
          <w:lang w:val="en-US" w:eastAsia="en-GB"/>
        </w:rPr>
        <w:t>different</w:t>
      </w:r>
      <w:r w:rsidRPr="007018B5">
        <w:rPr>
          <w:szCs w:val="24"/>
          <w:lang w:val="en-US" w:eastAsia="en-GB"/>
        </w:rPr>
        <w:t>.</w:t>
      </w:r>
      <w:r w:rsidR="0042369A" w:rsidRPr="007018B5">
        <w:rPr>
          <w:szCs w:val="24"/>
          <w:lang w:val="en-US" w:eastAsia="en-GB"/>
        </w:rPr>
        <w:t xml:space="preserve"> </w:t>
      </w:r>
      <w:r w:rsidR="0042369A" w:rsidRPr="007018B5">
        <w:rPr>
          <w:szCs w:val="24"/>
          <w:lang w:val="en-US"/>
        </w:rPr>
        <w:t>Some previous studies</w:t>
      </w:r>
      <w:r w:rsidR="00E14CAA" w:rsidRPr="007018B5">
        <w:rPr>
          <w:szCs w:val="24"/>
          <w:lang w:val="en-US"/>
        </w:rPr>
        <w:t xml:space="preserve"> made the comparison between these two types</w:t>
      </w:r>
      <w:r w:rsidR="0042369A" w:rsidRPr="007018B5">
        <w:rPr>
          <w:szCs w:val="24"/>
          <w:lang w:val="en-US"/>
        </w:rPr>
        <w:t xml:space="preserve"> by use of specific histological, microbiological and immunological </w:t>
      </w:r>
      <w:r w:rsidR="00A03E79" w:rsidRPr="007018B5">
        <w:rPr>
          <w:szCs w:val="24"/>
          <w:lang w:val="en-US"/>
        </w:rPr>
        <w:t>methods</w:t>
      </w:r>
      <w:r w:rsidR="0042369A" w:rsidRPr="007018B5">
        <w:rPr>
          <w:szCs w:val="24"/>
          <w:lang w:val="en-US" w:eastAsia="en-GB"/>
        </w:rPr>
        <w:fldChar w:fldCharType="begin"/>
      </w:r>
      <w:r w:rsidR="003D51A1" w:rsidRPr="007018B5">
        <w:rPr>
          <w:szCs w:val="24"/>
          <w:lang w:val="en-US" w:eastAsia="en-GB"/>
        </w:rPr>
        <w:instrText xml:space="preserve"> ADDIN ZOTERO_ITEM CSL_CITATION {"citationID":"qjwHwQI3","properties":{"formattedCitation":"\\super [10\\uc0\\u8211{}13]\\nosupersub{}","plainCitation":"[10–13]","noteIndex":0},"citationItems":[{"id":61,"uris":["http://zotero.org/users/851773/items/6GDS77V2"],"uri":["http://zotero.org/users/851773/items/6GDS77V2"],"itemData":{"id":61,"type":"article-journal","title":"Morphological characterisation of Crohn's disease fistulae","container-title":"Gut","page":"1314-1321","volume":"53","issue":"9","source":"PubMed","abstract":"BACKGROUND: Fistulae are a common complication in up to 35% of all patients with Crohn's disease. Their therapy is difficult and frequently unsatisfactory. To date, no histological comparison of Crohn's disease fistulae with non-inflammatory bowel disease fistulae has been performed. In addition, Crohn's disease fistulae have not been well characterised morphologically.\nMETHODS: Eighty four fistulae from Crohn's disease patients were compared with 13 fistulae from controls. Haematoxylin-eosin staining, electron microscopy, and immunohistochemistry for panCytokeratin (epithelial cells), CD20 (B cells), CD45R0 (T cells), and CD68 (macrophages) were performed according to standard techniques. In addition, histopathological findings were compared with clinical and laboratory data.\nRESULTS: In 31.0% of controls and 27.4% of Crohn's disease specimens, fistulae had a lining of flattened intestinal epithelium without goblet cells or, in the case of cutaneous/perianal disease, narrow squamous epithelium. Non-epithelialised fistulae were covered by a thin layer of (myo)fibroblasts, focally forming a new basement membrane, as demonstrated by electron microscopy. All fistulae were surrounded by granulation tissue. Crohn's disease fistulae presented with central infiltration by CD45R0+ T cells, followed by a small band of CD68+ macrophages and dense accumulation of CD20+ B cells. In contrast, in controls, there was dense infiltration by CD68+ macrophages with only few CD20+ B cells and CD45R0+ T lymphocytes.\nCONCLUSIONS: Fistulae in Crohn's disease differ markedly from non-Crohn's disease fistulae with regard to their cellular composition. The presence of an epithelial lining in a subgroup of fistulae may be important for the therapeutic approach and healing process.","DOI":"10.1136/gut.2003.038208","ISSN":"0017-5749","note":"PMID: 15306592\nPMCID: PMC1774207","journalAbbreviation":"Gut","language":"eng","author":[{"family":"Bataille","given":"F."},{"family":"Klebl","given":"F."},{"family":"Rümmele","given":"P."},{"family":"Schroeder","given":"J."},{"family":"Farkas","given":"S."},{"family":"Wild","given":"P.-J."},{"family":"Fürst","given":"A."},{"family":"Hofstädter","given":"F."},{"family":"Schölmerich","given":"J."},{"family":"Herfarth","given":"H."},{"family":"Rogler","given":"G."}],"issued":{"date-parts":[["2004",9]]}}},{"id":286,"uris":["http://zotero.org/users/851773/items/AQJNI6GQ"],"uri":["http://zotero.org/users/851773/items/AQJNI6GQ"],"itemData":{"id":286,"type":"article-journal","title":"Evidence for a role of epithelial mesenchymal transition during pathogenesis of fistulae in Crohn's disease","container-title":"Inflammatory bowel diseases","page":"1514-1527","volume":"14","issue":"11","source":"NCBI PubMed","abstract":"BACKGROUND: The pathogenesis of fistulae in Crohn's disease (CD) patients is barely understood. We recently showed that more than two-thirds of CD fistulae are covered with flat, mesenchymal-like cells (transitional cells [TC]) forming a patchy basement membrane. Epithelial-to-mesenchymal transition (EMT) is a process of reprogramming epithelial cells, allowing them to migrate more effectively and giving epithelial cells an \"invasive\" potential. EMT has been suggested to be crucial in fibrosis found in different tissues and diseases. We therefore investigated whether EMT could be involved in the pathogenesis of fistulae formation in CD.\nMETHODS: In all, 18 perianal fistulae, 2 enteroenteric, and 1 enterovesical fistulae from 17 CD patients were analyzed. In addition 2 perianal fistulae of non-CD patients were studied. Hematoxylin and eosin staining, immunohistochemistry for the expression of cytokeratins 8 and 20, beta6-integrin, E-cadherin, beta-catenin, vimentin, and TGF-beta1 and 2 were performed according to standard techniques.\nRESULTS: The TC covering perianal or enteroenteric fistulae were strongly positive for cytokeratins 8 and 20 but negative for vimentin, indicating their epithelial origin. beta6-Integrin and TGF-beta had the highest staining intensities in the transitional zone between the epithelium and the TC. Expression of junctional proteins such as E-cadherin was reduced in TC as compared to regular fistulae epithelium. In addition, a translocation of beta-catenin from the membrane to the cytoplasm was observed.\nCONCLUSIONS: Our data for the first time indicate an expression pattern of epithelial and mesenchymal markers in TC associated with fistulae formation that is characteristic for EMT. Studying the pathways of EMT during intestinal fistulae formation may help to develop new therapeutic strategies.","DOI":"10.1002/ibd.20590","ISSN":"1536-4844","note":"PMID: 18626977","journalAbbreviation":"Inflamm. Bowel Dis.","language":"eng","author":[{"family":"Bataille","given":"Frauke"},{"family":"Rohrmeier","given":"Christian"},{"family":"Bates","given":"Richard"},{"family":"Weber","given":"Achim"},{"family":"Rieder","given":"Florian"},{"family":"Brenmoehl","given":"Julia"},{"family":"Strauch","given":"Ulrike"},{"family":"Farkas","given":"Stefan"},{"family":"Fürst","given":"Alois"},{"family":"Hofstädter","given":"Ferdinand"},{"family":"Schölmerich","given":"Jürgen"},{"family":"Herfarth","given":"Hans"},{"family":"Rogler","given":"Gerhard"}],"issued":{"date-parts":[["2008",11]]}}},{"id":282,"uris":["http://zotero.org/users/851773/items/Z59X6UUD"],"uri":["http://zotero.org/users/851773/items/Z59X6UUD"],"itemData":{"id":282,"type":"article-journal","title":"Expression and localisation of matrix metalloproteinases and their natural inhibitors in fistulae of patients with Crohn's disease","container-title":"Gut","page":"701-709","volume":"53","issue":"5","source":"NCBI PubMed","abstract":"BACKGROUND: Fistulae are a troublesome complication of Crohn's disease but little is known of the final effector molecules responsible for matrix degradation. Although matrix metalloproteinases (MMPs) have been strongly implicated in tissue injury in Crohn's disease, their role in fistula formation is unknown. Aim: To determine the expression pattern of MMPs and tissue inhibitors of metalloproteinases (TIMPs) in fistulae of patients with Crohn's disease.\nPATIENTS AND METHODS: Resected fistula specimens were obtained from patients with Crohn's disease (n = 11) and classified according to the predominant histological features-that is, acute versus chronic inflammation. Patients with fistulae due to other diseases (n = 9) and normal colon (n = 5) served as controls. MMP and TIMP protein expression was measured by single or double labelled immunohistochemistry, and mRNA expression by in situ hybridisation. MMP activity was measured by gelatin zymography.\nRESULTS: Compared with normal colon, strong MMP-3 expression was consistently observed in fistulae in Crohn's disease, irrespective of the stage of inflammatory activity. MMP-3 transcripts and protein were localised in large mononuclear cells and fibroblasts. MMP-9 transcripts and protein were expressed in granulocytes and only in fistulae with acute inflammation. Staining for MMP-1 and MMP-7 was weak and negative for MMP-10, whereas MMP-2 was equally expressed in normal colon and fistulae. TIMP-1, TIMP-2, and TIMP-3 expression was low in all samples. Similar expression patterns were found in fistulae of the disease control group. Fistulae also expressed active MMP-2 and MMP-9, as measured by gelatin zymography.\nCONCLUSION: MMP-3 and MMP-9 are markedly upregulated in intestinal fistulae and may contribute to fistula formation through degradation of the extracellular matrix, irrespective of the underlying disease process.","DOI":"10.1136/gut.2003.017442","ISSN":"0017-5749","note":"PMID: 15082589","journalAbbreviation":"Gut","language":"eng","author":[{"family":"Kirkegaard","given":"T"},{"family":"Hansen","given":"A"},{"family":"Bruun","given":"E"},{"family":"Brynskov","given":"J"}],"issued":{"date-parts":[["2004",5]]}}},{"id":539,"uris":["http://zotero.org/users/851773/items/H8P8JB3U"],"uri":["http://zotero.org/users/851773/items/H8P8JB3U"],"itemData":{"id":539,"type":"thesis","title":"Clinical and experimental studies in idiopathic and Crohn's-related anal fistula","publisher":"Imperial College","publisher-place":"London","genre":"MD(Res)","event-place":"London","author":[{"family":"Tozer","given":"PJ"}],"issued":{"date-parts":[["2011"]]}}}],"schema":"https://github.com/citation-style-language/schema/raw/master/csl-citation.json"} </w:instrText>
      </w:r>
      <w:r w:rsidR="0042369A" w:rsidRPr="007018B5">
        <w:rPr>
          <w:szCs w:val="24"/>
          <w:lang w:val="en-US" w:eastAsia="en-GB"/>
        </w:rPr>
        <w:fldChar w:fldCharType="separate"/>
      </w:r>
      <w:r w:rsidR="003D51A1" w:rsidRPr="007018B5">
        <w:rPr>
          <w:szCs w:val="24"/>
          <w:vertAlign w:val="superscript"/>
          <w:lang w:val="en-US"/>
        </w:rPr>
        <w:t>[10</w:t>
      </w:r>
      <w:r w:rsidR="00E97C8C">
        <w:rPr>
          <w:szCs w:val="24"/>
          <w:vertAlign w:val="superscript"/>
          <w:lang w:val="en-US"/>
        </w:rPr>
        <w:t>-</w:t>
      </w:r>
      <w:r w:rsidR="003D51A1" w:rsidRPr="007018B5">
        <w:rPr>
          <w:szCs w:val="24"/>
          <w:vertAlign w:val="superscript"/>
          <w:lang w:val="en-US"/>
        </w:rPr>
        <w:t>13]</w:t>
      </w:r>
      <w:r w:rsidR="0042369A" w:rsidRPr="007018B5">
        <w:rPr>
          <w:szCs w:val="24"/>
          <w:lang w:val="en-US" w:eastAsia="en-GB"/>
        </w:rPr>
        <w:fldChar w:fldCharType="end"/>
      </w:r>
      <w:r w:rsidR="00A741B2" w:rsidRPr="007018B5">
        <w:rPr>
          <w:szCs w:val="24"/>
          <w:lang w:val="en-US" w:eastAsia="en-GB"/>
        </w:rPr>
        <w:t>.</w:t>
      </w:r>
      <w:r w:rsidR="00A03E79" w:rsidRPr="007018B5">
        <w:rPr>
          <w:szCs w:val="24"/>
          <w:lang w:val="en-US" w:eastAsia="en-GB"/>
        </w:rPr>
        <w:t xml:space="preserve"> </w:t>
      </w:r>
      <w:r w:rsidR="0046570B" w:rsidRPr="007018B5">
        <w:rPr>
          <w:szCs w:val="24"/>
          <w:lang w:val="en-US" w:eastAsia="en-GB"/>
        </w:rPr>
        <w:t>Overall</w:t>
      </w:r>
      <w:r w:rsidR="00F93480" w:rsidRPr="007018B5">
        <w:rPr>
          <w:szCs w:val="24"/>
          <w:lang w:val="en-US" w:eastAsia="en-GB"/>
        </w:rPr>
        <w:t xml:space="preserve"> their conclusions</w:t>
      </w:r>
      <w:r w:rsidR="0046570B" w:rsidRPr="007018B5">
        <w:rPr>
          <w:szCs w:val="24"/>
          <w:lang w:val="en-US" w:eastAsia="en-GB"/>
        </w:rPr>
        <w:t xml:space="preserve"> supported this underlying assumption, </w:t>
      </w:r>
      <w:r w:rsidR="00F93480" w:rsidRPr="007018B5">
        <w:rPr>
          <w:szCs w:val="24"/>
          <w:lang w:val="en-US" w:eastAsia="en-GB"/>
        </w:rPr>
        <w:t>but</w:t>
      </w:r>
      <w:r w:rsidR="0046570B" w:rsidRPr="007018B5">
        <w:rPr>
          <w:szCs w:val="24"/>
          <w:lang w:val="en-US" w:eastAsia="en-GB"/>
        </w:rPr>
        <w:t xml:space="preserve"> </w:t>
      </w:r>
      <w:r w:rsidR="00190A50" w:rsidRPr="007018B5">
        <w:rPr>
          <w:szCs w:val="24"/>
          <w:lang w:val="en-US" w:eastAsia="en-GB"/>
        </w:rPr>
        <w:lastRenderedPageBreak/>
        <w:t>testing this assumption was not their objective</w:t>
      </w:r>
      <w:r w:rsidR="00220323" w:rsidRPr="007018B5">
        <w:rPr>
          <w:szCs w:val="24"/>
          <w:lang w:val="en-US" w:eastAsia="en-GB"/>
        </w:rPr>
        <w:t xml:space="preserve">. </w:t>
      </w:r>
      <w:r w:rsidR="00190A50" w:rsidRPr="007018B5">
        <w:rPr>
          <w:szCs w:val="24"/>
          <w:lang w:val="en-US" w:eastAsia="en-GB"/>
        </w:rPr>
        <w:t>W</w:t>
      </w:r>
      <w:r w:rsidR="000A320B" w:rsidRPr="007018B5">
        <w:rPr>
          <w:szCs w:val="24"/>
          <w:lang w:val="en-US" w:eastAsia="en-GB"/>
        </w:rPr>
        <w:t xml:space="preserve">e </w:t>
      </w:r>
      <w:r w:rsidR="00190A50" w:rsidRPr="007018B5">
        <w:rPr>
          <w:szCs w:val="24"/>
          <w:lang w:val="en-US" w:eastAsia="en-GB"/>
        </w:rPr>
        <w:t xml:space="preserve">therefore </w:t>
      </w:r>
      <w:proofErr w:type="spellStart"/>
      <w:r w:rsidR="000A320B" w:rsidRPr="007018B5">
        <w:rPr>
          <w:szCs w:val="24"/>
          <w:lang w:val="en-US" w:eastAsia="en-GB"/>
        </w:rPr>
        <w:t>hypothesised</w:t>
      </w:r>
      <w:proofErr w:type="spellEnd"/>
      <w:r w:rsidR="000A320B" w:rsidRPr="007018B5">
        <w:rPr>
          <w:szCs w:val="24"/>
          <w:lang w:val="en-US" w:eastAsia="en-GB"/>
        </w:rPr>
        <w:t xml:space="preserve"> that idiopathic and CD-related perianal fistulae </w:t>
      </w:r>
      <w:r w:rsidR="00C07611" w:rsidRPr="007018B5">
        <w:rPr>
          <w:szCs w:val="24"/>
          <w:lang w:val="en-US" w:eastAsia="en-GB"/>
        </w:rPr>
        <w:t>are different</w:t>
      </w:r>
      <w:r w:rsidR="00190A50" w:rsidRPr="007018B5">
        <w:rPr>
          <w:szCs w:val="24"/>
          <w:lang w:val="en-US" w:eastAsia="en-GB"/>
        </w:rPr>
        <w:t xml:space="preserve"> and </w:t>
      </w:r>
      <w:r w:rsidR="0046570B" w:rsidRPr="007018B5">
        <w:rPr>
          <w:szCs w:val="24"/>
          <w:lang w:val="en-US" w:eastAsia="en-GB"/>
        </w:rPr>
        <w:t xml:space="preserve">aimed to </w:t>
      </w:r>
      <w:r w:rsidR="000A320B" w:rsidRPr="007018B5">
        <w:rPr>
          <w:szCs w:val="24"/>
          <w:lang w:val="en-US" w:eastAsia="en-GB"/>
        </w:rPr>
        <w:t>test this</w:t>
      </w:r>
      <w:r w:rsidR="00083A5F" w:rsidRPr="007018B5">
        <w:rPr>
          <w:szCs w:val="24"/>
          <w:lang w:val="en-US" w:eastAsia="en-GB"/>
        </w:rPr>
        <w:t xml:space="preserve"> </w:t>
      </w:r>
      <w:r w:rsidR="0046570B" w:rsidRPr="007018B5">
        <w:rPr>
          <w:szCs w:val="24"/>
          <w:lang w:val="en-US" w:eastAsia="en-GB"/>
        </w:rPr>
        <w:t xml:space="preserve">systematically </w:t>
      </w:r>
      <w:r w:rsidR="00214059" w:rsidRPr="007018B5">
        <w:rPr>
          <w:szCs w:val="24"/>
          <w:lang w:val="en-US" w:eastAsia="en-GB"/>
        </w:rPr>
        <w:t xml:space="preserve">by </w:t>
      </w:r>
      <w:r w:rsidR="00910C49" w:rsidRPr="007018B5">
        <w:rPr>
          <w:szCs w:val="24"/>
          <w:lang w:val="en-US"/>
        </w:rPr>
        <w:t>c</w:t>
      </w:r>
      <w:r w:rsidR="00C47888" w:rsidRPr="007018B5">
        <w:rPr>
          <w:szCs w:val="24"/>
          <w:lang w:val="en-US"/>
        </w:rPr>
        <w:t>ompar</w:t>
      </w:r>
      <w:r w:rsidR="00083A5F" w:rsidRPr="007018B5">
        <w:rPr>
          <w:szCs w:val="24"/>
          <w:lang w:val="en-US"/>
        </w:rPr>
        <w:t>ing</w:t>
      </w:r>
      <w:r w:rsidR="00C47888" w:rsidRPr="007018B5">
        <w:rPr>
          <w:szCs w:val="24"/>
          <w:lang w:val="en-US"/>
        </w:rPr>
        <w:t xml:space="preserve"> the</w:t>
      </w:r>
      <w:r w:rsidR="00EA38CC" w:rsidRPr="007018B5">
        <w:rPr>
          <w:szCs w:val="24"/>
          <w:lang w:val="en-US"/>
        </w:rPr>
        <w:t>ir</w:t>
      </w:r>
      <w:r w:rsidR="00C47888" w:rsidRPr="007018B5">
        <w:rPr>
          <w:szCs w:val="24"/>
          <w:lang w:val="en-US"/>
        </w:rPr>
        <w:t xml:space="preserve"> clinical phenotype</w:t>
      </w:r>
      <w:r w:rsidR="00A03E79" w:rsidRPr="007018B5">
        <w:rPr>
          <w:szCs w:val="24"/>
          <w:lang w:val="en-US"/>
        </w:rPr>
        <w:t>s</w:t>
      </w:r>
      <w:r w:rsidR="00C47888" w:rsidRPr="007018B5">
        <w:rPr>
          <w:szCs w:val="24"/>
          <w:lang w:val="en-US"/>
        </w:rPr>
        <w:t>, cytokine and phosphoprotein profiles</w:t>
      </w:r>
      <w:r w:rsidR="00910C49" w:rsidRPr="007018B5">
        <w:rPr>
          <w:szCs w:val="24"/>
          <w:lang w:val="en-US"/>
        </w:rPr>
        <w:t>.</w:t>
      </w:r>
    </w:p>
    <w:p w14:paraId="30F56B45" w14:textId="77777777" w:rsidR="00B64429" w:rsidRPr="007018B5" w:rsidRDefault="00B64429" w:rsidP="007E3B89">
      <w:pPr>
        <w:adjustRightInd w:val="0"/>
        <w:snapToGrid w:val="0"/>
        <w:spacing w:before="0" w:after="0"/>
        <w:jc w:val="both"/>
        <w:rPr>
          <w:szCs w:val="24"/>
          <w:lang w:val="en-US" w:eastAsia="en-GB"/>
        </w:rPr>
      </w:pPr>
    </w:p>
    <w:p w14:paraId="2C087ADE" w14:textId="5546AB84" w:rsidR="002949BE" w:rsidRPr="007018B5" w:rsidRDefault="006C6B37" w:rsidP="007E3B89">
      <w:pPr>
        <w:pStyle w:val="Heading1"/>
        <w:adjustRightInd w:val="0"/>
        <w:snapToGrid w:val="0"/>
        <w:spacing w:before="0"/>
        <w:jc w:val="both"/>
        <w:rPr>
          <w:szCs w:val="24"/>
          <w:lang w:val="en-US"/>
        </w:rPr>
      </w:pPr>
      <w:r w:rsidRPr="007018B5">
        <w:rPr>
          <w:szCs w:val="24"/>
          <w:lang w:val="en-US"/>
        </w:rPr>
        <w:t xml:space="preserve">Materials and </w:t>
      </w:r>
      <w:r w:rsidR="002949BE" w:rsidRPr="007018B5">
        <w:rPr>
          <w:szCs w:val="24"/>
          <w:lang w:val="en-US"/>
        </w:rPr>
        <w:t>Method</w:t>
      </w:r>
      <w:r w:rsidRPr="007018B5">
        <w:rPr>
          <w:szCs w:val="24"/>
          <w:lang w:val="en-US"/>
        </w:rPr>
        <w:t>s</w:t>
      </w:r>
    </w:p>
    <w:p w14:paraId="61C27DB6" w14:textId="4469E860" w:rsidR="00360D06" w:rsidRPr="007018B5" w:rsidRDefault="00360D06" w:rsidP="007E3B89">
      <w:pPr>
        <w:pStyle w:val="Heading2"/>
        <w:adjustRightInd w:val="0"/>
        <w:snapToGrid w:val="0"/>
        <w:spacing w:before="0" w:after="0"/>
        <w:jc w:val="both"/>
        <w:rPr>
          <w:szCs w:val="24"/>
          <w:lang w:val="en-US"/>
        </w:rPr>
      </w:pPr>
      <w:r w:rsidRPr="007018B5">
        <w:rPr>
          <w:szCs w:val="24"/>
          <w:lang w:val="en-US"/>
        </w:rPr>
        <w:t>Patients</w:t>
      </w:r>
    </w:p>
    <w:p w14:paraId="12485BC8" w14:textId="60048006" w:rsidR="000F0BC0" w:rsidRPr="007018B5" w:rsidRDefault="00F651C6" w:rsidP="007E3B89">
      <w:pPr>
        <w:adjustRightInd w:val="0"/>
        <w:snapToGrid w:val="0"/>
        <w:spacing w:before="0" w:after="0"/>
        <w:jc w:val="both"/>
        <w:rPr>
          <w:szCs w:val="24"/>
          <w:lang w:val="en-US"/>
        </w:rPr>
      </w:pPr>
      <w:r w:rsidRPr="007018B5">
        <w:rPr>
          <w:szCs w:val="24"/>
          <w:lang w:val="en-US"/>
        </w:rPr>
        <w:t>We conducted a prospective cohort study b</w:t>
      </w:r>
      <w:r w:rsidR="00C978AE" w:rsidRPr="007018B5">
        <w:rPr>
          <w:szCs w:val="24"/>
          <w:lang w:val="en-US"/>
        </w:rPr>
        <w:t>etween</w:t>
      </w:r>
      <w:r w:rsidRPr="007018B5">
        <w:rPr>
          <w:szCs w:val="24"/>
          <w:lang w:val="en-US"/>
        </w:rPr>
        <w:t xml:space="preserve"> March 2014 and April 2015</w:t>
      </w:r>
      <w:r w:rsidR="000860BF" w:rsidRPr="007018B5">
        <w:rPr>
          <w:szCs w:val="24"/>
          <w:lang w:val="en-US"/>
        </w:rPr>
        <w:t xml:space="preserve"> within a NHS </w:t>
      </w:r>
      <w:r w:rsidR="000F0BC0" w:rsidRPr="007018B5">
        <w:rPr>
          <w:szCs w:val="24"/>
          <w:lang w:val="en-US"/>
        </w:rPr>
        <w:t xml:space="preserve">University Hospital </w:t>
      </w:r>
      <w:r w:rsidR="008040FC" w:rsidRPr="007018B5">
        <w:rPr>
          <w:szCs w:val="24"/>
          <w:lang w:val="en-US"/>
        </w:rPr>
        <w:t>(approved by Queen’s Square Research Ethics Committee, reference number 14/LO/0071).</w:t>
      </w:r>
      <w:r w:rsidRPr="007018B5">
        <w:rPr>
          <w:szCs w:val="24"/>
          <w:lang w:val="en-US"/>
        </w:rPr>
        <w:t xml:space="preserve"> Adults with an idiopathic or </w:t>
      </w:r>
      <w:r w:rsidR="00214059" w:rsidRPr="007018B5">
        <w:rPr>
          <w:szCs w:val="24"/>
          <w:lang w:val="en-US"/>
        </w:rPr>
        <w:t xml:space="preserve">CD-related </w:t>
      </w:r>
      <w:r w:rsidRPr="007018B5">
        <w:rPr>
          <w:szCs w:val="24"/>
          <w:lang w:val="en-US"/>
        </w:rPr>
        <w:t xml:space="preserve">perianal fistula requiring surgical intervention were </w:t>
      </w:r>
      <w:r w:rsidR="00214059" w:rsidRPr="007018B5">
        <w:rPr>
          <w:szCs w:val="24"/>
          <w:lang w:val="en-US"/>
        </w:rPr>
        <w:t>included</w:t>
      </w:r>
      <w:r w:rsidRPr="007018B5">
        <w:rPr>
          <w:szCs w:val="24"/>
          <w:lang w:val="en-US"/>
        </w:rPr>
        <w:t xml:space="preserve">. </w:t>
      </w:r>
      <w:r w:rsidR="000860BF" w:rsidRPr="007018B5">
        <w:rPr>
          <w:szCs w:val="24"/>
          <w:lang w:val="en-US"/>
        </w:rPr>
        <w:t xml:space="preserve">Rectal, intestinal and subcutaneous fistulae were excluded. </w:t>
      </w:r>
    </w:p>
    <w:p w14:paraId="36341EDC" w14:textId="3354D7D2" w:rsidR="00580B18" w:rsidRPr="007018B5" w:rsidRDefault="00F651C6" w:rsidP="004C0669">
      <w:pPr>
        <w:adjustRightInd w:val="0"/>
        <w:snapToGrid w:val="0"/>
        <w:spacing w:before="0" w:after="0"/>
        <w:ind w:firstLineChars="100" w:firstLine="240"/>
        <w:jc w:val="both"/>
        <w:rPr>
          <w:szCs w:val="24"/>
          <w:lang w:val="en-US"/>
        </w:rPr>
      </w:pPr>
      <w:r w:rsidRPr="007018B5">
        <w:rPr>
          <w:szCs w:val="24"/>
          <w:lang w:val="en-US"/>
        </w:rPr>
        <w:t xml:space="preserve">One hundred and thirty </w:t>
      </w:r>
      <w:r w:rsidR="00C978AE" w:rsidRPr="007018B5">
        <w:rPr>
          <w:szCs w:val="24"/>
          <w:lang w:val="en-US"/>
        </w:rPr>
        <w:t xml:space="preserve">consecutive patients were identified </w:t>
      </w:r>
      <w:r w:rsidR="000860BF" w:rsidRPr="007018B5">
        <w:rPr>
          <w:szCs w:val="24"/>
          <w:lang w:val="en-US"/>
        </w:rPr>
        <w:t>from outpatient and inpatient referrals, multidisciplinary meetings and surgical waiting lists</w:t>
      </w:r>
      <w:r w:rsidR="00580B18" w:rsidRPr="007018B5">
        <w:rPr>
          <w:szCs w:val="24"/>
          <w:lang w:val="en-US"/>
        </w:rPr>
        <w:t>.</w:t>
      </w:r>
      <w:r w:rsidR="00C978AE" w:rsidRPr="007018B5">
        <w:rPr>
          <w:szCs w:val="24"/>
          <w:lang w:val="en-US"/>
        </w:rPr>
        <w:t xml:space="preserve"> Twenty-two were not approached</w:t>
      </w:r>
      <w:r w:rsidR="00797585" w:rsidRPr="007018B5">
        <w:rPr>
          <w:szCs w:val="24"/>
          <w:lang w:val="en-US"/>
        </w:rPr>
        <w:t xml:space="preserve"> (simply for logistic reasons)</w:t>
      </w:r>
      <w:r w:rsidR="00C978AE" w:rsidRPr="007018B5">
        <w:rPr>
          <w:szCs w:val="24"/>
          <w:lang w:val="en-US"/>
        </w:rPr>
        <w:t xml:space="preserve">, 28 were ineligible and 11 declined. </w:t>
      </w:r>
      <w:r w:rsidR="0036194A" w:rsidRPr="007018B5">
        <w:rPr>
          <w:szCs w:val="24"/>
          <w:lang w:val="en-US"/>
        </w:rPr>
        <w:t xml:space="preserve">Thus we recruited </w:t>
      </w:r>
      <w:r w:rsidR="002F3484" w:rsidRPr="007018B5">
        <w:rPr>
          <w:szCs w:val="24"/>
          <w:lang w:val="en-US"/>
        </w:rPr>
        <w:t xml:space="preserve">61 </w:t>
      </w:r>
      <w:r w:rsidR="00C37817" w:rsidRPr="007018B5">
        <w:rPr>
          <w:szCs w:val="24"/>
          <w:lang w:val="en-US"/>
        </w:rPr>
        <w:t>patients</w:t>
      </w:r>
      <w:r w:rsidR="0036194A" w:rsidRPr="007018B5">
        <w:rPr>
          <w:szCs w:val="24"/>
          <w:lang w:val="en-US"/>
        </w:rPr>
        <w:t xml:space="preserve">, 48 (79%) </w:t>
      </w:r>
      <w:r w:rsidR="00AF353B" w:rsidRPr="007018B5">
        <w:rPr>
          <w:szCs w:val="24"/>
          <w:lang w:val="en-US"/>
        </w:rPr>
        <w:t>i</w:t>
      </w:r>
      <w:r w:rsidR="0036194A" w:rsidRPr="007018B5">
        <w:rPr>
          <w:szCs w:val="24"/>
          <w:lang w:val="en-US"/>
        </w:rPr>
        <w:t>diopathic</w:t>
      </w:r>
      <w:r w:rsidR="005134CB" w:rsidRPr="007018B5">
        <w:rPr>
          <w:szCs w:val="24"/>
          <w:lang w:val="en-US"/>
        </w:rPr>
        <w:t xml:space="preserve"> </w:t>
      </w:r>
      <w:r w:rsidR="0036194A" w:rsidRPr="007018B5">
        <w:rPr>
          <w:szCs w:val="24"/>
          <w:lang w:val="en-US"/>
        </w:rPr>
        <w:t>a</w:t>
      </w:r>
      <w:r w:rsidR="00580B18" w:rsidRPr="007018B5">
        <w:rPr>
          <w:szCs w:val="24"/>
          <w:lang w:val="en-US"/>
        </w:rPr>
        <w:t xml:space="preserve">nd 13 (11%) </w:t>
      </w:r>
      <w:r w:rsidR="0069097F" w:rsidRPr="007018B5">
        <w:rPr>
          <w:szCs w:val="24"/>
          <w:lang w:val="en-US"/>
        </w:rPr>
        <w:t>CD</w:t>
      </w:r>
      <w:r w:rsidR="00D754FF" w:rsidRPr="007018B5">
        <w:rPr>
          <w:szCs w:val="24"/>
          <w:lang w:val="en-US"/>
        </w:rPr>
        <w:t>-related</w:t>
      </w:r>
      <w:r w:rsidR="00580B18" w:rsidRPr="007018B5">
        <w:rPr>
          <w:szCs w:val="24"/>
          <w:lang w:val="en-US"/>
        </w:rPr>
        <w:t xml:space="preserve"> (</w:t>
      </w:r>
      <w:r w:rsidR="00576490" w:rsidRPr="007018B5">
        <w:rPr>
          <w:szCs w:val="24"/>
          <w:lang w:val="en-US"/>
        </w:rPr>
        <w:fldChar w:fldCharType="begin"/>
      </w:r>
      <w:r w:rsidR="00576490" w:rsidRPr="007018B5">
        <w:rPr>
          <w:szCs w:val="24"/>
          <w:lang w:val="en-US"/>
        </w:rPr>
        <w:instrText xml:space="preserve"> REF _Ref513819559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 xml:space="preserve">Supplementary </w:t>
      </w:r>
      <w:r w:rsidR="007E5AE3" w:rsidRPr="007018B5">
        <w:rPr>
          <w:szCs w:val="24"/>
          <w:lang w:val="en-US"/>
        </w:rPr>
        <w:t>Figure</w:t>
      </w:r>
      <w:r w:rsidR="00FB6502" w:rsidRPr="007018B5">
        <w:rPr>
          <w:szCs w:val="24"/>
          <w:lang w:val="en-US"/>
        </w:rPr>
        <w:t xml:space="preserve"> 1</w:t>
      </w:r>
      <w:r w:rsidR="00576490" w:rsidRPr="007018B5">
        <w:rPr>
          <w:szCs w:val="24"/>
          <w:lang w:val="en-US"/>
        </w:rPr>
        <w:fldChar w:fldCharType="end"/>
      </w:r>
      <w:r w:rsidR="00580B18" w:rsidRPr="007018B5">
        <w:rPr>
          <w:szCs w:val="24"/>
          <w:lang w:val="en-US"/>
        </w:rPr>
        <w:t>).</w:t>
      </w:r>
    </w:p>
    <w:p w14:paraId="0BBF5772" w14:textId="7FA223E4" w:rsidR="0036194A" w:rsidRDefault="00C37817" w:rsidP="004C0669">
      <w:pPr>
        <w:adjustRightInd w:val="0"/>
        <w:snapToGrid w:val="0"/>
        <w:spacing w:before="0" w:after="0"/>
        <w:ind w:firstLineChars="100" w:firstLine="240"/>
        <w:jc w:val="both"/>
        <w:rPr>
          <w:szCs w:val="24"/>
          <w:lang w:val="en-US"/>
        </w:rPr>
      </w:pPr>
      <w:r w:rsidRPr="007018B5">
        <w:rPr>
          <w:szCs w:val="24"/>
          <w:lang w:val="en-US"/>
        </w:rPr>
        <w:t xml:space="preserve">Patient </w:t>
      </w:r>
      <w:r w:rsidR="0036194A" w:rsidRPr="007018B5">
        <w:rPr>
          <w:szCs w:val="24"/>
          <w:lang w:val="en-US"/>
        </w:rPr>
        <w:t>characteristics were in keeping with the general epidemiology</w:t>
      </w:r>
      <w:r w:rsidR="008D2EC9" w:rsidRPr="007018B5">
        <w:rPr>
          <w:szCs w:val="24"/>
          <w:lang w:val="en-US"/>
        </w:rPr>
        <w:t xml:space="preserve"> (</w:t>
      </w:r>
      <w:r w:rsidR="00FB6502" w:rsidRPr="007018B5">
        <w:rPr>
          <w:szCs w:val="24"/>
          <w:lang w:val="en-US"/>
        </w:rPr>
        <w:fldChar w:fldCharType="begin"/>
      </w:r>
      <w:r w:rsidR="00FB6502" w:rsidRPr="007018B5">
        <w:rPr>
          <w:szCs w:val="24"/>
          <w:lang w:val="en-US"/>
        </w:rPr>
        <w:instrText xml:space="preserve"> REF _Ref5185224 \h </w:instrText>
      </w:r>
      <w:r w:rsidR="007018B5" w:rsidRPr="007018B5">
        <w:rPr>
          <w:szCs w:val="24"/>
          <w:lang w:val="en-US"/>
        </w:rPr>
        <w:instrText xml:space="preserve"> \* MERGEFORMAT </w:instrText>
      </w:r>
      <w:r w:rsidR="00FB6502" w:rsidRPr="007018B5">
        <w:rPr>
          <w:szCs w:val="24"/>
          <w:lang w:val="en-US"/>
        </w:rPr>
      </w:r>
      <w:r w:rsidR="00FB6502" w:rsidRPr="007018B5">
        <w:rPr>
          <w:szCs w:val="24"/>
          <w:lang w:val="en-US"/>
        </w:rPr>
        <w:fldChar w:fldCharType="separate"/>
      </w:r>
      <w:r w:rsidR="00FB6502" w:rsidRPr="007018B5">
        <w:rPr>
          <w:szCs w:val="24"/>
          <w:lang w:val="en-US"/>
        </w:rPr>
        <w:t xml:space="preserve">Supplementary </w:t>
      </w:r>
      <w:r w:rsidR="007E5AE3" w:rsidRPr="007018B5">
        <w:rPr>
          <w:szCs w:val="24"/>
          <w:lang w:val="en-US"/>
        </w:rPr>
        <w:t>Table</w:t>
      </w:r>
      <w:r w:rsidR="00FB6502" w:rsidRPr="007018B5">
        <w:rPr>
          <w:szCs w:val="24"/>
          <w:lang w:val="en-US"/>
        </w:rPr>
        <w:fldChar w:fldCharType="end"/>
      </w:r>
      <w:r w:rsidR="007E5AE3" w:rsidRPr="007018B5">
        <w:rPr>
          <w:szCs w:val="24"/>
          <w:lang w:val="en-US"/>
        </w:rPr>
        <w:t xml:space="preserve"> 1</w:t>
      </w:r>
      <w:r w:rsidR="008D2EC9" w:rsidRPr="007018B5">
        <w:rPr>
          <w:szCs w:val="24"/>
          <w:lang w:val="en-US"/>
        </w:rPr>
        <w:t>)</w:t>
      </w:r>
      <w:r w:rsidR="00605F4D" w:rsidRPr="007018B5">
        <w:rPr>
          <w:szCs w:val="24"/>
          <w:lang w:val="en-US"/>
        </w:rPr>
        <w:t>.</w:t>
      </w:r>
      <w:r w:rsidR="0036194A" w:rsidRPr="007018B5">
        <w:rPr>
          <w:szCs w:val="24"/>
          <w:lang w:val="en-US"/>
        </w:rPr>
        <w:t xml:space="preserve"> None had a stoma. </w:t>
      </w:r>
      <w:r w:rsidR="00D754FF" w:rsidRPr="007018B5">
        <w:rPr>
          <w:szCs w:val="24"/>
          <w:lang w:val="en-US"/>
        </w:rPr>
        <w:t>In the</w:t>
      </w:r>
      <w:r w:rsidR="0036194A" w:rsidRPr="007018B5">
        <w:rPr>
          <w:szCs w:val="24"/>
          <w:lang w:val="en-US"/>
        </w:rPr>
        <w:t xml:space="preserve"> </w:t>
      </w:r>
      <w:r w:rsidR="0069097F" w:rsidRPr="007018B5">
        <w:rPr>
          <w:szCs w:val="24"/>
          <w:lang w:val="en-US"/>
        </w:rPr>
        <w:t>CD</w:t>
      </w:r>
      <w:r w:rsidR="00D754FF" w:rsidRPr="007018B5">
        <w:rPr>
          <w:szCs w:val="24"/>
          <w:lang w:val="en-US"/>
        </w:rPr>
        <w:t xml:space="preserve"> group</w:t>
      </w:r>
      <w:r w:rsidR="0036194A" w:rsidRPr="007018B5">
        <w:rPr>
          <w:szCs w:val="24"/>
          <w:lang w:val="en-US"/>
        </w:rPr>
        <w:t xml:space="preserve">, six had previous abdominal fistulae, six had previous abdominal surgery, and </w:t>
      </w:r>
      <w:r w:rsidR="00D754FF" w:rsidRPr="007018B5">
        <w:rPr>
          <w:szCs w:val="24"/>
          <w:lang w:val="en-US"/>
        </w:rPr>
        <w:t xml:space="preserve">seven were naïve to </w:t>
      </w:r>
      <w:r w:rsidR="0036194A" w:rsidRPr="007018B5">
        <w:rPr>
          <w:szCs w:val="24"/>
          <w:lang w:val="en-US"/>
        </w:rPr>
        <w:t>anti-TNF-</w:t>
      </w:r>
      <w:r w:rsidR="0036194A" w:rsidRPr="007018B5">
        <w:rPr>
          <w:szCs w:val="24"/>
          <w:lang w:val="en-US"/>
        </w:rPr>
        <w:sym w:font="Symbol" w:char="F061"/>
      </w:r>
      <w:r w:rsidR="0036194A" w:rsidRPr="007018B5">
        <w:rPr>
          <w:szCs w:val="24"/>
          <w:lang w:val="en-US"/>
        </w:rPr>
        <w:t xml:space="preserve"> antibody therapy. All had a combination of </w:t>
      </w:r>
      <w:r w:rsidR="00AF353B" w:rsidRPr="007018B5">
        <w:rPr>
          <w:szCs w:val="24"/>
          <w:lang w:val="en-US"/>
        </w:rPr>
        <w:t>radiological, endoscopic</w:t>
      </w:r>
      <w:r w:rsidRPr="007018B5">
        <w:rPr>
          <w:szCs w:val="24"/>
          <w:lang w:val="en-US"/>
        </w:rPr>
        <w:t xml:space="preserve"> </w:t>
      </w:r>
      <w:r w:rsidR="0036194A" w:rsidRPr="007018B5">
        <w:rPr>
          <w:szCs w:val="24"/>
          <w:lang w:val="en-US"/>
        </w:rPr>
        <w:t>and histological features</w:t>
      </w:r>
      <w:r w:rsidR="00D754FF" w:rsidRPr="007018B5">
        <w:rPr>
          <w:szCs w:val="24"/>
          <w:lang w:val="en-US"/>
        </w:rPr>
        <w:t xml:space="preserve"> of CD</w:t>
      </w:r>
      <w:r w:rsidR="00605F4D" w:rsidRPr="007018B5">
        <w:rPr>
          <w:szCs w:val="24"/>
          <w:lang w:val="en-US"/>
        </w:rPr>
        <w:t>.</w:t>
      </w:r>
      <w:r w:rsidR="00D45873" w:rsidRPr="007018B5">
        <w:rPr>
          <w:szCs w:val="24"/>
          <w:lang w:val="en-US"/>
        </w:rPr>
        <w:t xml:space="preserve"> </w:t>
      </w:r>
      <w:r w:rsidR="00D754FF" w:rsidRPr="007018B5">
        <w:rPr>
          <w:szCs w:val="24"/>
          <w:lang w:val="en-US"/>
        </w:rPr>
        <w:t>I</w:t>
      </w:r>
      <w:r w:rsidR="00D45873" w:rsidRPr="007018B5">
        <w:rPr>
          <w:szCs w:val="24"/>
          <w:lang w:val="en-US"/>
        </w:rPr>
        <w:t xml:space="preserve">diopathic patients had CD excluded by radiological and endoscopic imaging in 32 (67%) and clinical assessment </w:t>
      </w:r>
      <w:r w:rsidR="00D754FF" w:rsidRPr="007018B5">
        <w:rPr>
          <w:szCs w:val="24"/>
          <w:lang w:val="en-US"/>
        </w:rPr>
        <w:t xml:space="preserve">alone </w:t>
      </w:r>
      <w:r w:rsidR="00D45873" w:rsidRPr="007018B5">
        <w:rPr>
          <w:szCs w:val="24"/>
          <w:lang w:val="en-US"/>
        </w:rPr>
        <w:t>in 16 (33%). Reasons for not imaging</w:t>
      </w:r>
      <w:r w:rsidR="000D615C" w:rsidRPr="007018B5">
        <w:rPr>
          <w:szCs w:val="24"/>
          <w:lang w:val="en-US"/>
        </w:rPr>
        <w:t xml:space="preserve"> patients were patient declined (4) and not clinically indicated (16).</w:t>
      </w:r>
    </w:p>
    <w:p w14:paraId="0A47CFC0" w14:textId="77777777" w:rsidR="00A665D3" w:rsidRPr="007018B5" w:rsidRDefault="00A665D3" w:rsidP="007E3B89">
      <w:pPr>
        <w:adjustRightInd w:val="0"/>
        <w:snapToGrid w:val="0"/>
        <w:spacing w:before="0" w:after="0"/>
        <w:jc w:val="both"/>
        <w:rPr>
          <w:szCs w:val="24"/>
          <w:lang w:val="en-US"/>
        </w:rPr>
      </w:pPr>
    </w:p>
    <w:p w14:paraId="2294B1D2" w14:textId="2B02DFB5" w:rsidR="00742F70" w:rsidRPr="007018B5" w:rsidRDefault="00742F70" w:rsidP="007E3B89">
      <w:pPr>
        <w:pStyle w:val="Heading2"/>
        <w:adjustRightInd w:val="0"/>
        <w:snapToGrid w:val="0"/>
        <w:spacing w:before="0" w:after="0"/>
        <w:jc w:val="both"/>
        <w:rPr>
          <w:szCs w:val="24"/>
          <w:lang w:val="en-US"/>
        </w:rPr>
      </w:pPr>
      <w:r w:rsidRPr="007018B5">
        <w:rPr>
          <w:szCs w:val="24"/>
          <w:lang w:val="en-US"/>
        </w:rPr>
        <w:t xml:space="preserve">Healthy </w:t>
      </w:r>
      <w:r w:rsidR="00A665D3">
        <w:rPr>
          <w:szCs w:val="24"/>
          <w:lang w:val="en-US"/>
        </w:rPr>
        <w:t>c</w:t>
      </w:r>
      <w:r w:rsidRPr="007018B5">
        <w:rPr>
          <w:szCs w:val="24"/>
          <w:lang w:val="en-US"/>
        </w:rPr>
        <w:t>ontrols</w:t>
      </w:r>
    </w:p>
    <w:p w14:paraId="2D0C3417" w14:textId="284CDE53" w:rsidR="0036194A" w:rsidRDefault="003A31F8" w:rsidP="007E3B89">
      <w:pPr>
        <w:adjustRightInd w:val="0"/>
        <w:snapToGrid w:val="0"/>
        <w:spacing w:before="0" w:after="0"/>
        <w:jc w:val="both"/>
        <w:rPr>
          <w:szCs w:val="24"/>
          <w:lang w:val="en-US"/>
        </w:rPr>
      </w:pPr>
      <w:r w:rsidRPr="007018B5">
        <w:rPr>
          <w:szCs w:val="24"/>
          <w:lang w:val="en-US"/>
        </w:rPr>
        <w:t xml:space="preserve">For the purposes of studying </w:t>
      </w:r>
      <w:r w:rsidR="00AF353B" w:rsidRPr="007018B5">
        <w:rPr>
          <w:szCs w:val="24"/>
          <w:lang w:val="en-US"/>
        </w:rPr>
        <w:t xml:space="preserve">the </w:t>
      </w:r>
      <w:r w:rsidRPr="007018B5">
        <w:rPr>
          <w:szCs w:val="24"/>
          <w:lang w:val="en-US"/>
        </w:rPr>
        <w:t>rectal biopsies, w</w:t>
      </w:r>
      <w:r w:rsidR="00C978AE" w:rsidRPr="007018B5">
        <w:rPr>
          <w:szCs w:val="24"/>
          <w:lang w:val="en-US"/>
        </w:rPr>
        <w:t xml:space="preserve">e approached nine consecutive patients undergoing diagnostic colonoscopy for non-inflammatory </w:t>
      </w:r>
      <w:r w:rsidR="00D754FF" w:rsidRPr="007018B5">
        <w:rPr>
          <w:szCs w:val="24"/>
          <w:lang w:val="en-US"/>
        </w:rPr>
        <w:t>conditions</w:t>
      </w:r>
      <w:r w:rsidR="00C978AE" w:rsidRPr="007018B5">
        <w:rPr>
          <w:szCs w:val="24"/>
          <w:lang w:val="en-US"/>
        </w:rPr>
        <w:t>. Two declined and one was excluded due to ileal inflammation found during colonoscopy. Thus we recruited six healthy controls for rectal biopsies</w:t>
      </w:r>
      <w:r w:rsidR="00980056" w:rsidRPr="007018B5">
        <w:rPr>
          <w:szCs w:val="24"/>
          <w:lang w:val="en-US"/>
        </w:rPr>
        <w:t xml:space="preserve"> (</w:t>
      </w:r>
      <w:r w:rsidR="00576490" w:rsidRPr="007018B5">
        <w:rPr>
          <w:szCs w:val="24"/>
          <w:lang w:val="en-US"/>
        </w:rPr>
        <w:fldChar w:fldCharType="begin"/>
      </w:r>
      <w:r w:rsidR="00576490" w:rsidRPr="007018B5">
        <w:rPr>
          <w:szCs w:val="24"/>
          <w:lang w:val="en-US"/>
        </w:rPr>
        <w:instrText xml:space="preserve"> REF _Ref513819578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 xml:space="preserve">Supplementary </w:t>
      </w:r>
      <w:r w:rsidR="007E5AE3" w:rsidRPr="007018B5">
        <w:rPr>
          <w:szCs w:val="24"/>
          <w:lang w:val="en-US"/>
        </w:rPr>
        <w:t>Table</w:t>
      </w:r>
      <w:r w:rsidR="00576490" w:rsidRPr="007018B5">
        <w:rPr>
          <w:szCs w:val="24"/>
          <w:lang w:val="en-US"/>
        </w:rPr>
        <w:fldChar w:fldCharType="end"/>
      </w:r>
      <w:r w:rsidR="007E5AE3" w:rsidRPr="007018B5">
        <w:rPr>
          <w:szCs w:val="24"/>
          <w:lang w:val="en-US"/>
        </w:rPr>
        <w:t xml:space="preserve"> 2</w:t>
      </w:r>
      <w:r w:rsidR="00980056" w:rsidRPr="007018B5">
        <w:rPr>
          <w:szCs w:val="24"/>
          <w:lang w:val="en-US"/>
        </w:rPr>
        <w:t>)</w:t>
      </w:r>
      <w:r w:rsidR="00C978AE" w:rsidRPr="007018B5">
        <w:rPr>
          <w:szCs w:val="24"/>
          <w:lang w:val="en-US"/>
        </w:rPr>
        <w:t xml:space="preserve">. </w:t>
      </w:r>
      <w:r w:rsidR="00742F70" w:rsidRPr="007018B5">
        <w:rPr>
          <w:szCs w:val="24"/>
          <w:lang w:val="en-US"/>
        </w:rPr>
        <w:t xml:space="preserve">Five were female </w:t>
      </w:r>
      <w:r w:rsidR="00D754FF" w:rsidRPr="007018B5">
        <w:rPr>
          <w:szCs w:val="24"/>
          <w:lang w:val="en-US"/>
        </w:rPr>
        <w:t xml:space="preserve">and the </w:t>
      </w:r>
      <w:r w:rsidR="00742F70" w:rsidRPr="007018B5">
        <w:rPr>
          <w:szCs w:val="24"/>
          <w:lang w:val="en-US"/>
        </w:rPr>
        <w:t xml:space="preserve">mean age </w:t>
      </w:r>
      <w:r w:rsidR="00D754FF" w:rsidRPr="007018B5">
        <w:rPr>
          <w:szCs w:val="24"/>
          <w:lang w:val="en-US"/>
        </w:rPr>
        <w:t xml:space="preserve">was </w:t>
      </w:r>
      <w:r w:rsidR="00742F70" w:rsidRPr="007018B5">
        <w:rPr>
          <w:szCs w:val="24"/>
          <w:lang w:val="en-US"/>
        </w:rPr>
        <w:t>53.5 years (SD = 20.6).</w:t>
      </w:r>
    </w:p>
    <w:p w14:paraId="27F9D924" w14:textId="77777777" w:rsidR="00A665D3" w:rsidRPr="007018B5" w:rsidRDefault="00A665D3" w:rsidP="007E3B89">
      <w:pPr>
        <w:adjustRightInd w:val="0"/>
        <w:snapToGrid w:val="0"/>
        <w:spacing w:before="0" w:after="0"/>
        <w:jc w:val="both"/>
        <w:rPr>
          <w:szCs w:val="24"/>
          <w:lang w:val="en-US"/>
        </w:rPr>
      </w:pPr>
    </w:p>
    <w:p w14:paraId="5FD81BD8" w14:textId="61DE58A6" w:rsidR="00742F70" w:rsidRPr="007018B5" w:rsidRDefault="00742F70" w:rsidP="007E3B89">
      <w:pPr>
        <w:pStyle w:val="Heading2"/>
        <w:adjustRightInd w:val="0"/>
        <w:snapToGrid w:val="0"/>
        <w:spacing w:before="0" w:after="0"/>
        <w:jc w:val="both"/>
        <w:rPr>
          <w:szCs w:val="24"/>
          <w:lang w:val="en-US"/>
        </w:rPr>
      </w:pPr>
      <w:r w:rsidRPr="007018B5">
        <w:rPr>
          <w:szCs w:val="24"/>
          <w:lang w:val="en-US"/>
        </w:rPr>
        <w:lastRenderedPageBreak/>
        <w:t>Data and</w:t>
      </w:r>
      <w:r w:rsidR="00A665D3" w:rsidRPr="007018B5">
        <w:rPr>
          <w:szCs w:val="24"/>
          <w:lang w:val="en-US"/>
        </w:rPr>
        <w:t xml:space="preserve"> specimen collection</w:t>
      </w:r>
    </w:p>
    <w:p w14:paraId="77D12C87" w14:textId="72C74F52" w:rsidR="003A31F8" w:rsidRPr="007018B5" w:rsidRDefault="00566C72" w:rsidP="007E3B89">
      <w:pPr>
        <w:adjustRightInd w:val="0"/>
        <w:snapToGrid w:val="0"/>
        <w:spacing w:before="0" w:after="0"/>
        <w:jc w:val="both"/>
        <w:rPr>
          <w:szCs w:val="24"/>
          <w:lang w:val="en-US"/>
        </w:rPr>
      </w:pPr>
      <w:r w:rsidRPr="007018B5">
        <w:rPr>
          <w:szCs w:val="24"/>
          <w:lang w:val="en-US"/>
        </w:rPr>
        <w:t xml:space="preserve">We </w:t>
      </w:r>
      <w:r w:rsidR="000F0BC0" w:rsidRPr="007018B5">
        <w:rPr>
          <w:szCs w:val="24"/>
          <w:lang w:val="en-US"/>
        </w:rPr>
        <w:t xml:space="preserve">collected </w:t>
      </w:r>
      <w:r w:rsidR="00D754FF" w:rsidRPr="007018B5">
        <w:rPr>
          <w:szCs w:val="24"/>
          <w:lang w:val="en-US"/>
        </w:rPr>
        <w:t>clinical information</w:t>
      </w:r>
      <w:r w:rsidR="00BB7174" w:rsidRPr="007018B5">
        <w:rPr>
          <w:szCs w:val="24"/>
          <w:lang w:val="en-US"/>
        </w:rPr>
        <w:t xml:space="preserve">, </w:t>
      </w:r>
      <w:bookmarkStart w:id="96" w:name="OLE_LINK721"/>
      <w:bookmarkStart w:id="97" w:name="OLE_LINK722"/>
      <w:r w:rsidR="00BB7174" w:rsidRPr="007018B5">
        <w:rPr>
          <w:szCs w:val="24"/>
          <w:lang w:val="en-US"/>
        </w:rPr>
        <w:t>Perineal Disease Activity Index</w:t>
      </w:r>
      <w:bookmarkEnd w:id="96"/>
      <w:bookmarkEnd w:id="97"/>
      <w:r w:rsidR="00BB7174" w:rsidRPr="007018B5">
        <w:rPr>
          <w:szCs w:val="24"/>
          <w:lang w:val="en-US"/>
        </w:rPr>
        <w:t xml:space="preserve"> (PDAI)</w:t>
      </w:r>
      <w:r w:rsidR="001733DA" w:rsidRPr="007018B5">
        <w:rPr>
          <w:szCs w:val="24"/>
          <w:lang w:val="en-US"/>
        </w:rPr>
        <w:fldChar w:fldCharType="begin"/>
      </w:r>
      <w:r w:rsidR="001733DA" w:rsidRPr="007018B5">
        <w:rPr>
          <w:szCs w:val="24"/>
          <w:lang w:val="en-US"/>
        </w:rPr>
        <w:instrText xml:space="preserve"> ADDIN ZOTERO_ITEM CSL_CITATION {"citationID":"6Npszdkq","properties":{"formattedCitation":"\\super [14]\\nosupersub{}","plainCitation":"[14]","noteIndex":0},"citationItems":[{"id":552,"uris":["http://zotero.org/users/851773/items/NH8W7IER"],"uri":["http://zotero.org/users/851773/items/NH8W7IER"],"itemData":{"id":552,"type":"article-journal","title":"Usual therapy improves perianal Crohn's disease as measured by a new disease activity index. McMaster IBD Study Group.","container-title":"Journal of Clinical Gastroenterology","page":"27-32","volume":"20","issue":"1","source":"Ovid (Ovid MEDLINE(R))","abstract":"Troublesome perianal disease occurs in approximately 35% of patients with Crohn's disease, yet conventional disease activity indices do not reflect the severity of this feature. To assess the degree of impairment and response to therapy, we identified five simple elements and graded each on a 5-point Likert scale in 37 patients at 124 visits. At each visit a Crohn's Disease (CDAI) or Simple Activity Index (HBDAI), Perianal Disease Activity Index (PDAI), and treatment were recorded. The PDAI was validated against physician (MDGA) and patient (PGA) global assessments, and treatment was prescribed for the perianal disease. Measurement error was evaluated in 19 patients who were clinically stable at two consecutive visits. The ability of the PDAI to detect important clinical change was tested in 20 subjects exhibiting a change on PGA at consecutive visits. There were strong correlations between PDAI, MDGA, and PGA scores at all visits (R = 0.66-0.72; p &lt; 0.001), whereas the CDAI and HBDAI correlated poorly with PDAI (R &lt; 0.23). Physicians prescribed more aggressive therapy for higher PDAI scores (r = 0.53). Mean PDAI scores between visits in clinically stable subjects were not significantly different [5.58 +/- 2.79 (initial); 5.42 +/- 2.55 (follow-up); p = 0.63]. PDAI significantly improved between visits when the perianal disease had improved (PDAI score difference 3.05 +/- 2.96; P = .0002). We conclude that the PDAI is simple and clinically useful for patient management. It should now be assessed in a clinical trial.","DOI":"10.1097/00004836-199501000-00008","ISSN":"0192-0790","note":"PMID: 7884173","author":[{"family":"Irvine","given":"EJ"}],"issued":{"date-parts":[["1995",1]]}}}],"schema":"https://github.com/citation-style-language/schema/raw/master/csl-citation.json"} </w:instrText>
      </w:r>
      <w:r w:rsidR="001733DA" w:rsidRPr="007018B5">
        <w:rPr>
          <w:szCs w:val="24"/>
          <w:lang w:val="en-US"/>
        </w:rPr>
        <w:fldChar w:fldCharType="separate"/>
      </w:r>
      <w:r w:rsidR="001733DA" w:rsidRPr="007018B5">
        <w:rPr>
          <w:szCs w:val="24"/>
          <w:vertAlign w:val="superscript"/>
          <w:lang w:val="en-US"/>
        </w:rPr>
        <w:t>[14]</w:t>
      </w:r>
      <w:r w:rsidR="001733DA" w:rsidRPr="007018B5">
        <w:rPr>
          <w:szCs w:val="24"/>
          <w:lang w:val="en-US"/>
        </w:rPr>
        <w:fldChar w:fldCharType="end"/>
      </w:r>
      <w:r w:rsidR="00A741B2" w:rsidRPr="007018B5">
        <w:rPr>
          <w:szCs w:val="24"/>
          <w:lang w:val="en-US"/>
        </w:rPr>
        <w:t>,</w:t>
      </w:r>
      <w:r w:rsidR="00BB7174" w:rsidRPr="007018B5">
        <w:rPr>
          <w:szCs w:val="24"/>
          <w:lang w:val="en-US"/>
        </w:rPr>
        <w:t xml:space="preserve"> </w:t>
      </w:r>
      <w:proofErr w:type="spellStart"/>
      <w:r w:rsidR="00BB7174" w:rsidRPr="007018B5">
        <w:rPr>
          <w:szCs w:val="24"/>
          <w:lang w:val="en-US"/>
        </w:rPr>
        <w:t>E</w:t>
      </w:r>
      <w:r w:rsidR="00117B9A" w:rsidRPr="007018B5">
        <w:rPr>
          <w:szCs w:val="24"/>
          <w:lang w:val="en-US"/>
        </w:rPr>
        <w:t>uro</w:t>
      </w:r>
      <w:r w:rsidR="00BB7174" w:rsidRPr="007018B5">
        <w:rPr>
          <w:szCs w:val="24"/>
          <w:lang w:val="en-US"/>
        </w:rPr>
        <w:t>Q</w:t>
      </w:r>
      <w:r w:rsidR="00117B9A" w:rsidRPr="007018B5">
        <w:rPr>
          <w:szCs w:val="24"/>
          <w:lang w:val="en-US"/>
        </w:rPr>
        <w:t>ol</w:t>
      </w:r>
      <w:proofErr w:type="spellEnd"/>
      <w:r w:rsidR="00117B9A" w:rsidRPr="007018B5">
        <w:rPr>
          <w:szCs w:val="24"/>
          <w:lang w:val="en-US"/>
        </w:rPr>
        <w:t xml:space="preserve"> EQ</w:t>
      </w:r>
      <w:r w:rsidR="00BB7174" w:rsidRPr="007018B5">
        <w:rPr>
          <w:szCs w:val="24"/>
          <w:lang w:val="en-US"/>
        </w:rPr>
        <w:t>-5D-5L</w:t>
      </w:r>
      <w:r w:rsidR="00BB7174" w:rsidRPr="007018B5">
        <w:rPr>
          <w:szCs w:val="24"/>
          <w:lang w:val="en-US"/>
        </w:rPr>
        <w:fldChar w:fldCharType="begin"/>
      </w:r>
      <w:r w:rsidR="003D51A1" w:rsidRPr="007018B5">
        <w:rPr>
          <w:szCs w:val="24"/>
          <w:lang w:val="en-US"/>
        </w:rPr>
        <w:instrText xml:space="preserve"> ADDIN ZOTERO_ITEM CSL_CITATION {"citationID":"luua0GrW","properties":{"formattedCitation":"\\super [15]\\nosupersub{}","plainCitation":"[15]","noteIndex":0},"citationItems":[{"id":645,"uris":["http://zotero.org/users/851773/items/MJ23VNKP"],"uri":["http://zotero.org/users/851773/items/MJ23VNKP"],"itemData":{"id":645,"type":"article-journal","title":"Development and preliminary testing of the new five-level version of EQ-5D (EQ-5D-5L)","container-title":"Quality of Life Research","page":"1727-1736","volume":"20","issue":"10","source":"PubMed Central","abstract":"Purpose\nThis article introduces the new 5-level EQ-5D (EQ-5D-5L) health status measure.\n\nMethods\nEQ-5D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versions.\n\nResults\nSelecting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states.\n\nConclusions\nA 5-level version of the EQ-5D has been developed by the EuroQol Group. Further testing is required to determine whether the new version improves sensitivity and reduces ceiling effects.","DOI":"10.1007/s11136-011-9903-x","ISSN":"0962-9343","note":"PMID: 21479777\nPMCID: PMC3220807","journalAbbreviation":"Qual Life Res","author":[{"family":"Herdman","given":"M."},{"family":"Gudex","given":"C."},{"family":"Lloyd","given":"A."},{"family":"Janssen","given":"MF."},{"family":"Kind","given":"P."},{"family":"Parkin","given":"D."},{"family":"Bonsel","given":"G."},{"family":"Badia","given":"X."}],"issued":{"date-parts":[["2011",12]]}}}],"schema":"https://github.com/citation-style-language/schema/raw/master/csl-citation.json"} </w:instrText>
      </w:r>
      <w:r w:rsidR="00BB7174" w:rsidRPr="007018B5">
        <w:rPr>
          <w:szCs w:val="24"/>
          <w:lang w:val="en-US"/>
        </w:rPr>
        <w:fldChar w:fldCharType="separate"/>
      </w:r>
      <w:r w:rsidR="003D51A1" w:rsidRPr="007018B5">
        <w:rPr>
          <w:szCs w:val="24"/>
          <w:vertAlign w:val="superscript"/>
          <w:lang w:val="en-US"/>
        </w:rPr>
        <w:t>[15]</w:t>
      </w:r>
      <w:r w:rsidR="00BB7174" w:rsidRPr="007018B5">
        <w:rPr>
          <w:szCs w:val="24"/>
          <w:lang w:val="en-US"/>
        </w:rPr>
        <w:fldChar w:fldCharType="end"/>
      </w:r>
      <w:r w:rsidR="00A741B2" w:rsidRPr="007018B5">
        <w:rPr>
          <w:szCs w:val="24"/>
          <w:lang w:val="en-US"/>
        </w:rPr>
        <w:t>,</w:t>
      </w:r>
      <w:r w:rsidR="001A6837" w:rsidRPr="007018B5">
        <w:rPr>
          <w:szCs w:val="24"/>
          <w:lang w:val="en-US"/>
        </w:rPr>
        <w:t xml:space="preserve"> and intra-operative </w:t>
      </w:r>
      <w:r w:rsidR="00D754FF" w:rsidRPr="007018B5">
        <w:rPr>
          <w:szCs w:val="24"/>
          <w:lang w:val="en-US"/>
        </w:rPr>
        <w:t>findings</w:t>
      </w:r>
      <w:r w:rsidR="00D45873" w:rsidRPr="007018B5">
        <w:rPr>
          <w:szCs w:val="24"/>
          <w:lang w:val="en-US"/>
        </w:rPr>
        <w:t xml:space="preserve">, </w:t>
      </w:r>
      <w:r w:rsidR="00A468E2" w:rsidRPr="007018B5">
        <w:rPr>
          <w:szCs w:val="24"/>
          <w:lang w:val="en-US"/>
        </w:rPr>
        <w:t xml:space="preserve">which </w:t>
      </w:r>
      <w:r w:rsidR="00D754FF" w:rsidRPr="007018B5">
        <w:rPr>
          <w:szCs w:val="24"/>
          <w:lang w:val="en-US"/>
        </w:rPr>
        <w:t>were</w:t>
      </w:r>
      <w:r w:rsidR="00A468E2" w:rsidRPr="007018B5">
        <w:rPr>
          <w:szCs w:val="24"/>
          <w:lang w:val="en-US"/>
        </w:rPr>
        <w:t xml:space="preserve"> </w:t>
      </w:r>
      <w:r w:rsidR="00D754FF" w:rsidRPr="007018B5">
        <w:rPr>
          <w:szCs w:val="24"/>
          <w:lang w:val="en-US"/>
        </w:rPr>
        <w:t>assisted</w:t>
      </w:r>
      <w:r w:rsidR="00A468E2" w:rsidRPr="007018B5">
        <w:rPr>
          <w:szCs w:val="24"/>
          <w:lang w:val="en-US"/>
        </w:rPr>
        <w:t xml:space="preserve"> by pre-operative </w:t>
      </w:r>
      <w:r w:rsidR="00D45873" w:rsidRPr="007018B5">
        <w:rPr>
          <w:szCs w:val="24"/>
          <w:lang w:val="en-US"/>
        </w:rPr>
        <w:t>magnetic resonance imaging</w:t>
      </w:r>
      <w:r w:rsidR="00A468E2" w:rsidRPr="007018B5">
        <w:rPr>
          <w:szCs w:val="24"/>
          <w:lang w:val="en-US"/>
        </w:rPr>
        <w:t xml:space="preserve"> in 49 (80%) patients. </w:t>
      </w:r>
      <w:r w:rsidR="0036194A" w:rsidRPr="007018B5">
        <w:rPr>
          <w:szCs w:val="24"/>
          <w:lang w:val="en-US"/>
        </w:rPr>
        <w:t xml:space="preserve">PDAI and EQ-5D-5L at baseline were measured in all but one participant. </w:t>
      </w:r>
    </w:p>
    <w:p w14:paraId="6543F6CE" w14:textId="3B20F6FE" w:rsidR="0033514E" w:rsidRDefault="00333BB4" w:rsidP="0017217F">
      <w:pPr>
        <w:adjustRightInd w:val="0"/>
        <w:snapToGrid w:val="0"/>
        <w:spacing w:before="0" w:after="0"/>
        <w:ind w:firstLineChars="100" w:firstLine="240"/>
        <w:jc w:val="both"/>
        <w:rPr>
          <w:szCs w:val="24"/>
          <w:lang w:val="en-US"/>
        </w:rPr>
      </w:pPr>
      <w:r w:rsidRPr="007018B5">
        <w:rPr>
          <w:szCs w:val="24"/>
          <w:lang w:val="en-US"/>
        </w:rPr>
        <w:t>B</w:t>
      </w:r>
      <w:r w:rsidR="001A6837" w:rsidRPr="007018B5">
        <w:rPr>
          <w:szCs w:val="24"/>
          <w:lang w:val="en-US"/>
        </w:rPr>
        <w:t xml:space="preserve">iopsy </w:t>
      </w:r>
      <w:r w:rsidR="00360D06" w:rsidRPr="007018B5">
        <w:rPr>
          <w:szCs w:val="24"/>
          <w:lang w:val="en-US"/>
        </w:rPr>
        <w:t>specimens</w:t>
      </w:r>
      <w:r w:rsidR="001A6837" w:rsidRPr="007018B5">
        <w:rPr>
          <w:szCs w:val="24"/>
          <w:lang w:val="en-US"/>
        </w:rPr>
        <w:t xml:space="preserve"> </w:t>
      </w:r>
      <w:r w:rsidR="003A31F8" w:rsidRPr="007018B5">
        <w:rPr>
          <w:szCs w:val="24"/>
          <w:lang w:val="en-US"/>
        </w:rPr>
        <w:t>were taken</w:t>
      </w:r>
      <w:r w:rsidRPr="007018B5">
        <w:rPr>
          <w:szCs w:val="24"/>
          <w:lang w:val="en-US"/>
        </w:rPr>
        <w:t xml:space="preserve"> from</w:t>
      </w:r>
      <w:r w:rsidR="003A31F8" w:rsidRPr="007018B5">
        <w:rPr>
          <w:szCs w:val="24"/>
          <w:lang w:val="en-US"/>
        </w:rPr>
        <w:t xml:space="preserve">: (1) </w:t>
      </w:r>
      <w:r w:rsidR="001A6837" w:rsidRPr="007018B5">
        <w:rPr>
          <w:szCs w:val="24"/>
          <w:lang w:val="en-US"/>
        </w:rPr>
        <w:t>the fistula tract wall;</w:t>
      </w:r>
      <w:r w:rsidR="003A31F8" w:rsidRPr="007018B5">
        <w:rPr>
          <w:szCs w:val="24"/>
          <w:lang w:val="en-US"/>
        </w:rPr>
        <w:t xml:space="preserve"> (2)</w:t>
      </w:r>
      <w:r w:rsidR="00AF353B" w:rsidRPr="007018B5">
        <w:rPr>
          <w:szCs w:val="24"/>
          <w:lang w:val="en-US"/>
        </w:rPr>
        <w:t xml:space="preserve"> </w:t>
      </w:r>
      <w:r w:rsidRPr="007018B5">
        <w:rPr>
          <w:szCs w:val="24"/>
          <w:lang w:val="en-US"/>
        </w:rPr>
        <w:t xml:space="preserve">tract </w:t>
      </w:r>
      <w:r w:rsidR="001A6837" w:rsidRPr="007018B5">
        <w:rPr>
          <w:szCs w:val="24"/>
          <w:lang w:val="en-US"/>
        </w:rPr>
        <w:t xml:space="preserve">granulation tissue (if present); </w:t>
      </w:r>
      <w:r w:rsidR="003A31F8" w:rsidRPr="007018B5">
        <w:rPr>
          <w:szCs w:val="24"/>
          <w:lang w:val="en-US"/>
        </w:rPr>
        <w:t xml:space="preserve">(3) </w:t>
      </w:r>
      <w:r w:rsidRPr="007018B5">
        <w:rPr>
          <w:szCs w:val="24"/>
          <w:lang w:val="en-US"/>
        </w:rPr>
        <w:t xml:space="preserve">internal opening </w:t>
      </w:r>
      <w:r w:rsidR="001A6837" w:rsidRPr="007018B5">
        <w:rPr>
          <w:szCs w:val="24"/>
          <w:lang w:val="en-US"/>
        </w:rPr>
        <w:t xml:space="preserve">mucosa (if present); and </w:t>
      </w:r>
      <w:r w:rsidR="003A31F8" w:rsidRPr="007018B5">
        <w:rPr>
          <w:szCs w:val="24"/>
          <w:lang w:val="en-US"/>
        </w:rPr>
        <w:t xml:space="preserve">(4) </w:t>
      </w:r>
      <w:r w:rsidRPr="007018B5">
        <w:rPr>
          <w:szCs w:val="24"/>
          <w:lang w:val="en-US"/>
        </w:rPr>
        <w:t xml:space="preserve">rectal </w:t>
      </w:r>
      <w:r w:rsidR="001A6837" w:rsidRPr="007018B5">
        <w:rPr>
          <w:szCs w:val="24"/>
          <w:lang w:val="en-US"/>
        </w:rPr>
        <w:t xml:space="preserve">mucosa. </w:t>
      </w:r>
      <w:r w:rsidR="00360D06" w:rsidRPr="007018B5">
        <w:rPr>
          <w:szCs w:val="24"/>
          <w:lang w:val="en-US"/>
        </w:rPr>
        <w:t>Specimens</w:t>
      </w:r>
      <w:r w:rsidR="001A6837" w:rsidRPr="007018B5">
        <w:rPr>
          <w:szCs w:val="24"/>
          <w:lang w:val="en-US"/>
        </w:rPr>
        <w:t xml:space="preserve"> were kept on ice and </w:t>
      </w:r>
      <w:r w:rsidR="00566C72" w:rsidRPr="007018B5">
        <w:rPr>
          <w:szCs w:val="24"/>
          <w:lang w:val="en-US"/>
        </w:rPr>
        <w:t>processed</w:t>
      </w:r>
      <w:r w:rsidR="001A6837" w:rsidRPr="007018B5">
        <w:rPr>
          <w:szCs w:val="24"/>
          <w:lang w:val="en-US"/>
        </w:rPr>
        <w:t xml:space="preserve"> within four hours.</w:t>
      </w:r>
      <w:r w:rsidR="0036194A" w:rsidRPr="007018B5">
        <w:rPr>
          <w:szCs w:val="24"/>
          <w:lang w:val="en-US"/>
        </w:rPr>
        <w:t xml:space="preserve"> </w:t>
      </w:r>
      <w:r w:rsidRPr="007018B5">
        <w:rPr>
          <w:szCs w:val="24"/>
          <w:lang w:val="en-US"/>
        </w:rPr>
        <w:t>One patient</w:t>
      </w:r>
      <w:r w:rsidR="0036194A" w:rsidRPr="007018B5">
        <w:rPr>
          <w:szCs w:val="24"/>
          <w:lang w:val="en-US"/>
        </w:rPr>
        <w:t xml:space="preserve"> did not undergo biopsy due to unavailability of research staff.</w:t>
      </w:r>
    </w:p>
    <w:p w14:paraId="7AB0421D" w14:textId="77777777" w:rsidR="00A665D3" w:rsidRPr="007018B5" w:rsidRDefault="00A665D3" w:rsidP="007E3B89">
      <w:pPr>
        <w:adjustRightInd w:val="0"/>
        <w:snapToGrid w:val="0"/>
        <w:spacing w:before="0" w:after="0"/>
        <w:jc w:val="both"/>
        <w:rPr>
          <w:szCs w:val="24"/>
          <w:lang w:val="en-US"/>
        </w:rPr>
      </w:pPr>
    </w:p>
    <w:p w14:paraId="7EC1F944" w14:textId="381C7D8A" w:rsidR="00360D06" w:rsidRPr="007018B5" w:rsidRDefault="00360D06" w:rsidP="007E3B89">
      <w:pPr>
        <w:pStyle w:val="Heading2"/>
        <w:adjustRightInd w:val="0"/>
        <w:snapToGrid w:val="0"/>
        <w:spacing w:before="0" w:after="0"/>
        <w:jc w:val="both"/>
        <w:rPr>
          <w:szCs w:val="24"/>
          <w:lang w:val="en-US"/>
        </w:rPr>
      </w:pPr>
      <w:r w:rsidRPr="007018B5">
        <w:rPr>
          <w:szCs w:val="24"/>
          <w:lang w:val="en-US"/>
        </w:rPr>
        <w:t>Proce</w:t>
      </w:r>
      <w:r w:rsidR="00A665D3" w:rsidRPr="007018B5">
        <w:rPr>
          <w:szCs w:val="24"/>
          <w:lang w:val="en-US"/>
        </w:rPr>
        <w:t>ssing of tissue specimens</w:t>
      </w:r>
    </w:p>
    <w:p w14:paraId="735FBC60" w14:textId="0D9905AC" w:rsidR="001A6837" w:rsidRDefault="000F0BC0" w:rsidP="007E3B89">
      <w:pPr>
        <w:adjustRightInd w:val="0"/>
        <w:snapToGrid w:val="0"/>
        <w:spacing w:before="0" w:after="0"/>
        <w:jc w:val="both"/>
        <w:rPr>
          <w:szCs w:val="24"/>
          <w:lang w:val="en-US"/>
        </w:rPr>
      </w:pPr>
      <w:r w:rsidRPr="007018B5">
        <w:rPr>
          <w:szCs w:val="24"/>
          <w:lang w:val="en-US"/>
        </w:rPr>
        <w:t xml:space="preserve">Fresh specimens were </w:t>
      </w:r>
      <w:r w:rsidR="00566C72" w:rsidRPr="007018B5">
        <w:rPr>
          <w:szCs w:val="24"/>
          <w:lang w:val="en-US"/>
        </w:rPr>
        <w:t>prepared</w:t>
      </w:r>
      <w:r w:rsidR="00850C98" w:rsidRPr="007018B5">
        <w:rPr>
          <w:szCs w:val="24"/>
          <w:lang w:val="en-US"/>
        </w:rPr>
        <w:t xml:space="preserve"> under </w:t>
      </w:r>
      <w:r w:rsidRPr="007018B5">
        <w:rPr>
          <w:szCs w:val="24"/>
          <w:lang w:val="en-US"/>
        </w:rPr>
        <w:t xml:space="preserve">a </w:t>
      </w:r>
      <w:r w:rsidR="00850C98" w:rsidRPr="007018B5">
        <w:rPr>
          <w:szCs w:val="24"/>
          <w:lang w:val="en-US"/>
        </w:rPr>
        <w:t xml:space="preserve">microscope. Those reserved for phosphoprotein quantification were snap frozen and stored at </w:t>
      </w:r>
      <w:r w:rsidR="0017217F">
        <w:rPr>
          <w:szCs w:val="24"/>
          <w:lang w:val="en-US"/>
        </w:rPr>
        <w:t>-</w:t>
      </w:r>
      <w:r w:rsidR="00850C98" w:rsidRPr="007018B5">
        <w:rPr>
          <w:szCs w:val="24"/>
          <w:lang w:val="en-US"/>
        </w:rPr>
        <w:t>80</w:t>
      </w:r>
      <w:r w:rsidR="00A665D3">
        <w:rPr>
          <w:szCs w:val="24"/>
          <w:lang w:val="en-US"/>
        </w:rPr>
        <w:t xml:space="preserve"> </w:t>
      </w:r>
      <w:r w:rsidR="00850C98" w:rsidRPr="007018B5">
        <w:rPr>
          <w:rFonts w:cs="Arial"/>
          <w:szCs w:val="24"/>
          <w:lang w:val="en-US"/>
        </w:rPr>
        <w:t>°</w:t>
      </w:r>
      <w:r w:rsidR="00850C98" w:rsidRPr="007018B5">
        <w:rPr>
          <w:szCs w:val="24"/>
          <w:lang w:val="en-US"/>
        </w:rPr>
        <w:t>C. Those reserved for cytokine</w:t>
      </w:r>
      <w:r w:rsidR="00CE264A" w:rsidRPr="007018B5">
        <w:rPr>
          <w:szCs w:val="24"/>
          <w:lang w:val="en-US"/>
        </w:rPr>
        <w:t xml:space="preserve"> quantification were </w:t>
      </w:r>
      <w:r w:rsidR="00566C72" w:rsidRPr="007018B5">
        <w:rPr>
          <w:szCs w:val="24"/>
          <w:lang w:val="en-US"/>
        </w:rPr>
        <w:t xml:space="preserve">immediately </w:t>
      </w:r>
      <w:r w:rsidR="00CE264A" w:rsidRPr="007018B5">
        <w:rPr>
          <w:szCs w:val="24"/>
          <w:lang w:val="en-US"/>
        </w:rPr>
        <w:t>incubated</w:t>
      </w:r>
      <w:r w:rsidR="00BB7EE6" w:rsidRPr="007018B5">
        <w:rPr>
          <w:szCs w:val="24"/>
          <w:lang w:val="en-US"/>
        </w:rPr>
        <w:t xml:space="preserve"> </w:t>
      </w:r>
      <w:r w:rsidR="00CE264A" w:rsidRPr="007018B5">
        <w:rPr>
          <w:szCs w:val="24"/>
          <w:lang w:val="en-US"/>
        </w:rPr>
        <w:t xml:space="preserve">in 300 </w:t>
      </w:r>
      <w:r w:rsidR="00CE264A" w:rsidRPr="007018B5">
        <w:rPr>
          <w:rFonts w:cs="Arial"/>
          <w:szCs w:val="24"/>
          <w:lang w:val="en-US"/>
        </w:rPr>
        <w:t>µ</w:t>
      </w:r>
      <w:r w:rsidR="00A665D3">
        <w:rPr>
          <w:rFonts w:cs="Arial"/>
          <w:szCs w:val="24"/>
          <w:lang w:val="en-US"/>
        </w:rPr>
        <w:t>L</w:t>
      </w:r>
      <w:r w:rsidR="00CE264A" w:rsidRPr="007018B5">
        <w:rPr>
          <w:szCs w:val="24"/>
          <w:lang w:val="en-US"/>
        </w:rPr>
        <w:t xml:space="preserve"> serum free HL-1 medium (Lonza, Cambridge, U</w:t>
      </w:r>
      <w:r w:rsidR="00A665D3">
        <w:rPr>
          <w:szCs w:val="24"/>
          <w:lang w:val="en-US"/>
        </w:rPr>
        <w:t>nited Kingdom</w:t>
      </w:r>
      <w:r w:rsidR="00CE264A" w:rsidRPr="007018B5">
        <w:rPr>
          <w:szCs w:val="24"/>
          <w:lang w:val="en-US"/>
        </w:rPr>
        <w:t>) containing 10 </w:t>
      </w:r>
      <w:r w:rsidR="00A665D3">
        <w:rPr>
          <w:szCs w:val="24"/>
          <w:lang w:val="en-US"/>
        </w:rPr>
        <w:t>U</w:t>
      </w:r>
      <w:r w:rsidR="00CE264A" w:rsidRPr="007018B5">
        <w:rPr>
          <w:szCs w:val="24"/>
          <w:lang w:val="en-US"/>
        </w:rPr>
        <w:t>/m</w:t>
      </w:r>
      <w:r w:rsidR="00A665D3">
        <w:rPr>
          <w:szCs w:val="24"/>
          <w:lang w:val="en-US"/>
        </w:rPr>
        <w:t>L</w:t>
      </w:r>
      <w:r w:rsidR="00CE264A" w:rsidRPr="007018B5">
        <w:rPr>
          <w:szCs w:val="24"/>
          <w:lang w:val="en-US"/>
        </w:rPr>
        <w:t xml:space="preserve"> penicillin and streptokinase, 32 </w:t>
      </w:r>
      <w:r w:rsidR="00CE264A" w:rsidRPr="007018B5">
        <w:rPr>
          <w:szCs w:val="24"/>
          <w:lang w:val="en-US"/>
        </w:rPr>
        <w:sym w:font="Symbol" w:char="F06D"/>
      </w:r>
      <w:r w:rsidR="00CE264A" w:rsidRPr="007018B5">
        <w:rPr>
          <w:szCs w:val="24"/>
          <w:lang w:val="en-US"/>
        </w:rPr>
        <w:t>g/m</w:t>
      </w:r>
      <w:r w:rsidR="00A665D3">
        <w:rPr>
          <w:szCs w:val="24"/>
          <w:lang w:val="en-US"/>
        </w:rPr>
        <w:t>L</w:t>
      </w:r>
      <w:r w:rsidR="00CE264A" w:rsidRPr="007018B5">
        <w:rPr>
          <w:szCs w:val="24"/>
          <w:lang w:val="en-US"/>
        </w:rPr>
        <w:t xml:space="preserve"> gentamicin and 1 in 100 L</w:t>
      </w:r>
      <w:r w:rsidR="00CE264A" w:rsidRPr="007018B5">
        <w:rPr>
          <w:szCs w:val="24"/>
          <w:lang w:val="en-US"/>
        </w:rPr>
        <w:noBreakHyphen/>
        <w:t xml:space="preserve">glutamine (Sigma-Aldrich, </w:t>
      </w:r>
      <w:proofErr w:type="spellStart"/>
      <w:r w:rsidR="00CE264A" w:rsidRPr="007018B5">
        <w:rPr>
          <w:szCs w:val="24"/>
          <w:lang w:val="en-US"/>
        </w:rPr>
        <w:t>Gillingham</w:t>
      </w:r>
      <w:proofErr w:type="spellEnd"/>
      <w:r w:rsidR="00CE264A" w:rsidRPr="007018B5">
        <w:rPr>
          <w:szCs w:val="24"/>
          <w:lang w:val="en-US"/>
        </w:rPr>
        <w:t xml:space="preserve">, </w:t>
      </w:r>
      <w:r w:rsidR="00A665D3" w:rsidRPr="007018B5">
        <w:rPr>
          <w:szCs w:val="24"/>
          <w:lang w:val="en-US"/>
        </w:rPr>
        <w:t>U</w:t>
      </w:r>
      <w:r w:rsidR="00A665D3">
        <w:rPr>
          <w:szCs w:val="24"/>
          <w:lang w:val="en-US"/>
        </w:rPr>
        <w:t>nited Kingdom</w:t>
      </w:r>
      <w:r w:rsidR="00CE264A" w:rsidRPr="007018B5">
        <w:rPr>
          <w:szCs w:val="24"/>
          <w:lang w:val="en-US"/>
        </w:rPr>
        <w:t>) at 37</w:t>
      </w:r>
      <w:r w:rsidR="00A665D3">
        <w:rPr>
          <w:szCs w:val="24"/>
          <w:lang w:val="en-US"/>
        </w:rPr>
        <w:t xml:space="preserve"> </w:t>
      </w:r>
      <w:r w:rsidR="00CE264A" w:rsidRPr="007018B5">
        <w:rPr>
          <w:rFonts w:cs="Arial"/>
          <w:szCs w:val="24"/>
          <w:lang w:val="en-US"/>
        </w:rPr>
        <w:t>°</w:t>
      </w:r>
      <w:r w:rsidR="00CE264A" w:rsidRPr="007018B5">
        <w:rPr>
          <w:szCs w:val="24"/>
          <w:lang w:val="en-US"/>
        </w:rPr>
        <w:t>C and 5% carbon dioxide for 24 h. The supernatant was stored at -80</w:t>
      </w:r>
      <w:r w:rsidR="00A665D3">
        <w:rPr>
          <w:szCs w:val="24"/>
          <w:lang w:val="en-US"/>
        </w:rPr>
        <w:t xml:space="preserve"> </w:t>
      </w:r>
      <w:r w:rsidR="00CE264A" w:rsidRPr="007018B5">
        <w:rPr>
          <w:rFonts w:cs="Arial"/>
          <w:szCs w:val="24"/>
          <w:lang w:val="en-US"/>
        </w:rPr>
        <w:t>°</w:t>
      </w:r>
      <w:r w:rsidR="00CE264A" w:rsidRPr="007018B5">
        <w:rPr>
          <w:szCs w:val="24"/>
          <w:lang w:val="en-US"/>
        </w:rPr>
        <w:t>C.</w:t>
      </w:r>
    </w:p>
    <w:p w14:paraId="7D5DFCA1" w14:textId="77777777" w:rsidR="00A665D3" w:rsidRPr="007018B5" w:rsidRDefault="00A665D3" w:rsidP="007E3B89">
      <w:pPr>
        <w:adjustRightInd w:val="0"/>
        <w:snapToGrid w:val="0"/>
        <w:spacing w:before="0" w:after="0"/>
        <w:jc w:val="both"/>
        <w:rPr>
          <w:szCs w:val="24"/>
          <w:lang w:val="en-US"/>
        </w:rPr>
      </w:pPr>
    </w:p>
    <w:p w14:paraId="42B8397C" w14:textId="2529C65E" w:rsidR="00360D06" w:rsidRPr="007018B5" w:rsidRDefault="00360D06" w:rsidP="007E3B89">
      <w:pPr>
        <w:pStyle w:val="Heading2"/>
        <w:adjustRightInd w:val="0"/>
        <w:snapToGrid w:val="0"/>
        <w:spacing w:before="0" w:after="0"/>
        <w:jc w:val="both"/>
        <w:rPr>
          <w:szCs w:val="24"/>
          <w:lang w:val="en-US"/>
        </w:rPr>
      </w:pPr>
      <w:r w:rsidRPr="007018B5">
        <w:rPr>
          <w:szCs w:val="24"/>
          <w:lang w:val="en-US"/>
        </w:rPr>
        <w:t xml:space="preserve">Cytokine </w:t>
      </w:r>
      <w:r w:rsidR="00A665D3" w:rsidRPr="007018B5">
        <w:rPr>
          <w:szCs w:val="24"/>
          <w:lang w:val="en-US"/>
        </w:rPr>
        <w:t>quantification</w:t>
      </w:r>
    </w:p>
    <w:p w14:paraId="0860BEC7" w14:textId="427B55D3" w:rsidR="00CE264A" w:rsidRDefault="00CE264A" w:rsidP="007E3B89">
      <w:pPr>
        <w:adjustRightInd w:val="0"/>
        <w:snapToGrid w:val="0"/>
        <w:spacing w:before="0" w:after="0"/>
        <w:jc w:val="both"/>
        <w:rPr>
          <w:szCs w:val="24"/>
          <w:lang w:val="en-US"/>
        </w:rPr>
      </w:pPr>
      <w:r w:rsidRPr="007018B5">
        <w:rPr>
          <w:szCs w:val="24"/>
          <w:lang w:val="en-US"/>
        </w:rPr>
        <w:t xml:space="preserve">We </w:t>
      </w:r>
      <w:r w:rsidR="00FF4E37" w:rsidRPr="007018B5">
        <w:rPr>
          <w:szCs w:val="24"/>
          <w:lang w:val="en-US"/>
        </w:rPr>
        <w:t>used</w:t>
      </w:r>
      <w:r w:rsidRPr="007018B5">
        <w:rPr>
          <w:szCs w:val="24"/>
          <w:lang w:val="en-US"/>
        </w:rPr>
        <w:t xml:space="preserve"> 30-plex </w:t>
      </w:r>
      <w:proofErr w:type="spellStart"/>
      <w:r w:rsidRPr="007018B5">
        <w:rPr>
          <w:szCs w:val="24"/>
          <w:lang w:val="en-US"/>
        </w:rPr>
        <w:t>Milliplex</w:t>
      </w:r>
      <w:proofErr w:type="spellEnd"/>
      <w:r w:rsidRPr="007018B5">
        <w:rPr>
          <w:szCs w:val="24"/>
          <w:lang w:val="en-US"/>
        </w:rPr>
        <w:t xml:space="preserve"> MAP Human Cytokine/Chemokine Magnetic Bead Panel (EMD Millipore, Billerica, </w:t>
      </w:r>
      <w:r w:rsidR="00A665D3">
        <w:rPr>
          <w:szCs w:val="24"/>
          <w:lang w:val="en-US"/>
        </w:rPr>
        <w:t>MA, United States</w:t>
      </w:r>
      <w:r w:rsidRPr="007018B5">
        <w:rPr>
          <w:szCs w:val="24"/>
          <w:lang w:val="en-US"/>
        </w:rPr>
        <w:t xml:space="preserve">) </w:t>
      </w:r>
      <w:r w:rsidR="00FF4E37" w:rsidRPr="007018B5">
        <w:rPr>
          <w:szCs w:val="24"/>
          <w:lang w:val="en-US"/>
        </w:rPr>
        <w:t xml:space="preserve">to </w:t>
      </w:r>
      <w:r w:rsidR="00B72387" w:rsidRPr="007018B5">
        <w:rPr>
          <w:szCs w:val="24"/>
          <w:lang w:val="en-US"/>
        </w:rPr>
        <w:t>quantify</w:t>
      </w:r>
      <w:r w:rsidRPr="007018B5">
        <w:rPr>
          <w:szCs w:val="24"/>
          <w:lang w:val="en-US"/>
        </w:rPr>
        <w:t xml:space="preserve"> the concentrations of 30 cytokines and chemokines:</w:t>
      </w:r>
      <w:r w:rsidR="00330A02" w:rsidRPr="007018B5">
        <w:rPr>
          <w:szCs w:val="24"/>
          <w:lang w:val="en-US"/>
        </w:rPr>
        <w:t xml:space="preserve"> EGF, </w:t>
      </w:r>
      <w:proofErr w:type="spellStart"/>
      <w:r w:rsidR="00330A02" w:rsidRPr="007018B5">
        <w:rPr>
          <w:szCs w:val="24"/>
          <w:lang w:val="en-US"/>
        </w:rPr>
        <w:t>Eotaxin</w:t>
      </w:r>
      <w:proofErr w:type="spellEnd"/>
      <w:r w:rsidR="00330A02" w:rsidRPr="007018B5">
        <w:rPr>
          <w:szCs w:val="24"/>
          <w:lang w:val="en-US"/>
        </w:rPr>
        <w:t>, G-CSF, GM-CSF, IFN-α2, IFN-γ, IL-10, IL-12P40, IL-12P70, IL-13, IL-15, IL-17, IL-1RA, IL-1α, IL-1β, IL-2, IL-3, IL-4, IL-5, IL-6, IL-7, IL-8, IP-10, MCP-1, MIP-1α, MIP-1β, TNF-α, TNF-β, RANTES, and VEGF</w:t>
      </w:r>
      <w:r w:rsidR="0069183B" w:rsidRPr="007018B5">
        <w:rPr>
          <w:szCs w:val="24"/>
          <w:lang w:val="en-US"/>
        </w:rPr>
        <w:t xml:space="preserve"> (</w:t>
      </w:r>
      <w:r w:rsidR="00576490" w:rsidRPr="007018B5">
        <w:rPr>
          <w:szCs w:val="24"/>
          <w:lang w:val="en-US"/>
        </w:rPr>
        <w:fldChar w:fldCharType="begin"/>
      </w:r>
      <w:r w:rsidR="00576490" w:rsidRPr="007018B5">
        <w:rPr>
          <w:szCs w:val="24"/>
          <w:lang w:val="en-US"/>
        </w:rPr>
        <w:instrText xml:space="preserve"> REF _Ref513819640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 xml:space="preserve">Supplementary </w:t>
      </w:r>
      <w:r w:rsidR="00696331" w:rsidRPr="007018B5">
        <w:rPr>
          <w:szCs w:val="24"/>
          <w:lang w:val="en-US"/>
        </w:rPr>
        <w:t>Table</w:t>
      </w:r>
      <w:r w:rsidR="00576490" w:rsidRPr="007018B5">
        <w:rPr>
          <w:szCs w:val="24"/>
          <w:lang w:val="en-US"/>
        </w:rPr>
        <w:fldChar w:fldCharType="end"/>
      </w:r>
      <w:r w:rsidR="00696331" w:rsidRPr="007018B5">
        <w:rPr>
          <w:szCs w:val="24"/>
          <w:lang w:val="en-US"/>
        </w:rPr>
        <w:t xml:space="preserve"> 3</w:t>
      </w:r>
      <w:r w:rsidR="0069183B" w:rsidRPr="007018B5">
        <w:rPr>
          <w:szCs w:val="24"/>
          <w:lang w:val="en-US"/>
        </w:rPr>
        <w:t>)</w:t>
      </w:r>
      <w:r w:rsidRPr="007018B5">
        <w:rPr>
          <w:szCs w:val="24"/>
          <w:lang w:val="en-US"/>
        </w:rPr>
        <w:t>.</w:t>
      </w:r>
      <w:r w:rsidR="00B72387" w:rsidRPr="007018B5">
        <w:rPr>
          <w:szCs w:val="24"/>
          <w:lang w:val="en-US"/>
        </w:rPr>
        <w:t xml:space="preserve"> Measurements were made using a MAGPIX multiplexing instrument (Luminex Corporation, Austin, TX</w:t>
      </w:r>
      <w:r w:rsidR="00A665D3">
        <w:rPr>
          <w:szCs w:val="24"/>
          <w:lang w:val="en-US"/>
        </w:rPr>
        <w:t>, United States</w:t>
      </w:r>
      <w:r w:rsidR="00B72387" w:rsidRPr="007018B5">
        <w:rPr>
          <w:szCs w:val="24"/>
          <w:lang w:val="en-US"/>
        </w:rPr>
        <w:t>). We followed the manufacturer’s recommended quality control procedures to ensure validity</w:t>
      </w:r>
      <w:r w:rsidR="00522A4B" w:rsidRPr="007018B5">
        <w:rPr>
          <w:szCs w:val="24"/>
          <w:lang w:val="en-US"/>
        </w:rPr>
        <w:fldChar w:fldCharType="begin"/>
      </w:r>
      <w:r w:rsidR="003D51A1" w:rsidRPr="007018B5">
        <w:rPr>
          <w:szCs w:val="24"/>
          <w:lang w:val="en-US"/>
        </w:rPr>
        <w:instrText xml:space="preserve"> ADDIN ZOTERO_ITEM CSL_CITATION {"citationID":"INsOHrRx","properties":{"formattedCitation":"\\super [16]\\nosupersub{}","plainCitation":"[16]","noteIndex":0},"citationItems":[{"id":1580,"uris":["http://zotero.org/users/851773/items/4G5YDZU3"],"uri":["http://zotero.org/users/851773/items/4G5YDZU3"],"itemData":{"id":1580,"type":"webpage","title":"MILLIPLEX MAP Human Cytokine/Chemokine Magnetic Bead Panel - Immunology Multiplex Assay","container-title":"Merck Millipore","URL":"http://www.merckmillipore.com/NZ/en/product/MILLIPLEX-MAP-Human-Cytokine-Chemokine-Magnetic-Bead-Panel-Immunology-Multiplex-Assay,MM_NF-HCYTOMAG-60K","author":[{"family":"Merck Millipore","given":""}],"accessed":{"date-parts":[["2019",9,21]]}}}],"schema":"https://github.com/citation-style-language/schema/raw/master/csl-citation.json"} </w:instrText>
      </w:r>
      <w:r w:rsidR="00522A4B" w:rsidRPr="007018B5">
        <w:rPr>
          <w:szCs w:val="24"/>
          <w:lang w:val="en-US"/>
        </w:rPr>
        <w:fldChar w:fldCharType="separate"/>
      </w:r>
      <w:r w:rsidR="003D51A1" w:rsidRPr="007018B5">
        <w:rPr>
          <w:szCs w:val="24"/>
          <w:vertAlign w:val="superscript"/>
          <w:lang w:val="en-US"/>
        </w:rPr>
        <w:t>[16]</w:t>
      </w:r>
      <w:r w:rsidR="00522A4B" w:rsidRPr="007018B5">
        <w:rPr>
          <w:szCs w:val="24"/>
          <w:lang w:val="en-US"/>
        </w:rPr>
        <w:fldChar w:fldCharType="end"/>
      </w:r>
      <w:r w:rsidR="00B72387" w:rsidRPr="007018B5">
        <w:rPr>
          <w:szCs w:val="24"/>
          <w:lang w:val="en-US"/>
        </w:rPr>
        <w:t>.</w:t>
      </w:r>
      <w:r w:rsidR="00833CC7" w:rsidRPr="007018B5">
        <w:rPr>
          <w:szCs w:val="24"/>
          <w:lang w:val="en-US"/>
        </w:rPr>
        <w:t xml:space="preserve"> </w:t>
      </w:r>
      <w:r w:rsidR="0033514E" w:rsidRPr="007018B5">
        <w:rPr>
          <w:szCs w:val="24"/>
          <w:lang w:val="en-US"/>
        </w:rPr>
        <w:t>Specimen supernatants</w:t>
      </w:r>
      <w:r w:rsidR="00833CC7" w:rsidRPr="007018B5">
        <w:rPr>
          <w:szCs w:val="24"/>
          <w:lang w:val="en-US"/>
        </w:rPr>
        <w:t xml:space="preserve"> were </w:t>
      </w:r>
      <w:proofErr w:type="spellStart"/>
      <w:r w:rsidR="00360D06" w:rsidRPr="007018B5">
        <w:rPr>
          <w:szCs w:val="24"/>
          <w:lang w:val="en-US"/>
        </w:rPr>
        <w:t>analysed</w:t>
      </w:r>
      <w:proofErr w:type="spellEnd"/>
      <w:r w:rsidR="00833CC7" w:rsidRPr="007018B5">
        <w:rPr>
          <w:szCs w:val="24"/>
          <w:lang w:val="en-US"/>
        </w:rPr>
        <w:t xml:space="preserve"> in singlet due to </w:t>
      </w:r>
      <w:r w:rsidR="00333BB4" w:rsidRPr="007018B5">
        <w:rPr>
          <w:szCs w:val="24"/>
          <w:lang w:val="en-US"/>
        </w:rPr>
        <w:t xml:space="preserve">resource </w:t>
      </w:r>
      <w:r w:rsidR="00833CC7" w:rsidRPr="007018B5">
        <w:rPr>
          <w:szCs w:val="24"/>
          <w:lang w:val="en-US"/>
        </w:rPr>
        <w:t>constraints, however, quality controls were measured in duplicate</w:t>
      </w:r>
      <w:r w:rsidR="006B2474" w:rsidRPr="007018B5">
        <w:rPr>
          <w:szCs w:val="24"/>
          <w:lang w:val="en-US"/>
        </w:rPr>
        <w:t xml:space="preserve"> and 95% of these </w:t>
      </w:r>
      <w:r w:rsidR="00117B9A" w:rsidRPr="007018B5">
        <w:rPr>
          <w:szCs w:val="24"/>
          <w:lang w:val="en-US"/>
        </w:rPr>
        <w:t xml:space="preserve">were within the accepted margin of error. </w:t>
      </w:r>
    </w:p>
    <w:p w14:paraId="10985E4A" w14:textId="77777777" w:rsidR="0017217F" w:rsidRPr="007018B5" w:rsidRDefault="0017217F" w:rsidP="007E3B89">
      <w:pPr>
        <w:adjustRightInd w:val="0"/>
        <w:snapToGrid w:val="0"/>
        <w:spacing w:before="0" w:after="0"/>
        <w:jc w:val="both"/>
        <w:rPr>
          <w:szCs w:val="24"/>
          <w:lang w:val="en-US"/>
        </w:rPr>
      </w:pPr>
    </w:p>
    <w:p w14:paraId="57E46E11" w14:textId="39F3DE05" w:rsidR="00360D06" w:rsidRPr="007018B5" w:rsidRDefault="00360D06" w:rsidP="007E3B89">
      <w:pPr>
        <w:pStyle w:val="Heading2"/>
        <w:adjustRightInd w:val="0"/>
        <w:snapToGrid w:val="0"/>
        <w:spacing w:before="0" w:after="0"/>
        <w:jc w:val="both"/>
        <w:rPr>
          <w:szCs w:val="24"/>
          <w:lang w:val="en-US"/>
        </w:rPr>
      </w:pPr>
      <w:r w:rsidRPr="007018B5">
        <w:rPr>
          <w:szCs w:val="24"/>
          <w:lang w:val="en-US"/>
        </w:rPr>
        <w:lastRenderedPageBreak/>
        <w:t>Phosphoprotei</w:t>
      </w:r>
      <w:r w:rsidR="00A665D3" w:rsidRPr="007018B5">
        <w:rPr>
          <w:szCs w:val="24"/>
          <w:lang w:val="en-US"/>
        </w:rPr>
        <w:t>n quantification</w:t>
      </w:r>
    </w:p>
    <w:p w14:paraId="04627179" w14:textId="5DDE76E9" w:rsidR="001A6837" w:rsidRDefault="005A06AB" w:rsidP="007E3B89">
      <w:pPr>
        <w:adjustRightInd w:val="0"/>
        <w:snapToGrid w:val="0"/>
        <w:spacing w:before="0" w:after="0"/>
        <w:jc w:val="both"/>
        <w:rPr>
          <w:szCs w:val="24"/>
          <w:lang w:val="en-US"/>
        </w:rPr>
      </w:pPr>
      <w:r w:rsidRPr="007018B5">
        <w:rPr>
          <w:rFonts w:cs="Arial"/>
          <w:szCs w:val="24"/>
          <w:lang w:val="en-US"/>
        </w:rPr>
        <w:t xml:space="preserve">The method of phosphoprotein quantification </w:t>
      </w:r>
      <w:r w:rsidR="005D7E7F" w:rsidRPr="007018B5">
        <w:rPr>
          <w:rFonts w:cs="Arial"/>
          <w:szCs w:val="24"/>
          <w:lang w:val="en-US"/>
        </w:rPr>
        <w:t>was</w:t>
      </w:r>
      <w:r w:rsidRPr="007018B5">
        <w:rPr>
          <w:rFonts w:cs="Arial"/>
          <w:szCs w:val="24"/>
          <w:lang w:val="en-US"/>
        </w:rPr>
        <w:t xml:space="preserve"> based on previous work within our laboratory</w:t>
      </w:r>
      <w:r w:rsidR="00FB67DD" w:rsidRPr="007018B5">
        <w:rPr>
          <w:rFonts w:cs="Arial"/>
          <w:szCs w:val="24"/>
          <w:lang w:val="en-US"/>
        </w:rPr>
        <w:fldChar w:fldCharType="begin"/>
      </w:r>
      <w:r w:rsidR="003D51A1" w:rsidRPr="007018B5">
        <w:rPr>
          <w:rFonts w:cs="Arial"/>
          <w:szCs w:val="24"/>
          <w:lang w:val="en-US"/>
        </w:rPr>
        <w:instrText xml:space="preserve"> ADDIN ZOTERO_ITEM CSL_CITATION {"citationID":"PChK8VQs","properties":{"formattedCitation":"\\super [17]\\nosupersub{}","plainCitation":"[17]","noteIndex":0},"citationItems":[{"id":685,"uris":["http://zotero.org/users/851773/items/DEE5JXIX"],"uri":["http://zotero.org/users/851773/items/DEE5JXIX"],"itemData":{"id":685,"type":"article-journal","title":"A CD3-Specific Antibody Reduces Cytokine Production and Alters Phosphoprotein Profiles in Intestinal Tissues From Patients With Inflammatory Bowel Disease","container-title":"Gastroenterology","page":"172-183","volume":"147","issue":"1","source":"ScienceDirect","abstract":"Background &amp;amp; Aims\nT cells mediate the development of inflammation in inflammatory bowel disease (IBD). We investigated the effects of an antibody against CD3 called otelixizumab, which induces immune tolerance, in intestinal mucosa samples from patients.\nMethods\nIntestinal tissues were isolated from patients undergoing routine endoscopy or from patients undergoing intestinal surgery for colon cancer or IBD; healthy surrounding tissues were collected as controls. Isolated lamina propria mononuclear cells (LPMCs) and mucosal tissue explants were incubated with otelixizumab for 24 or 48 hours. Production of inflammatory cytokines was determined by enzyme-linked immunosorbent assay. Levels of 36 cytokines and chemokines and phosphorylation of 39 receptor tyrosine kinases and signaling molecules were measured using protein arrays. Immunoblot analysis was used to analyze T-cell transcription factors.\nResults\nIncubation of intestinal tissues or LPMCs with otelixizumab reduced production of interferon gamma, interleukin (IL)-17A, and other inflammatory cytokines and chemokines, simultaneously increasing production of IL-10. Mucosal biopsy specimens from patients with IBD retained inflammation-associated tyrosine phosphoprotein profiles ex vivo. Incubation of the inflamed tissue with otelixizumab reduced phosphorylation of these proteins to levels observed in control tissues. Otelixizumab also markedly reduced phosphorylation of proteins associated with T-cell receptor activation. Neutralization of IL-10 blocked the anti-inflammatory effects of otelixizumab.\nConclusions\nWe observed anti-inflammatory effects of anti-CD3 in inflamed intestinal tissues from patients with IBD. The antibody appears to down-regulate T-cell activation via IL-10.","DOI":"10.1053/j.gastro.2014.03.049","ISSN":"0016-5085","note":"PMID: 24704524","journalAbbreviation":"Gastroenterology","author":[{"family":"Vossenkämper","given":"Anna"},{"family":"Hundsrucker","given":"Christian"},{"family":"Page","given":"Kevin"},{"family":"Maurik","given":"André","non-dropping-particle":"van"},{"family":"Sanders","given":"Theodore J."},{"family":"Stagg","given":"Andrew J."},{"family":"Das","given":"Lisa"},{"family":"MacDonald","given":"Thomas T."}],"issued":{"date-parts":[["2014",7]]}}}],"schema":"https://github.com/citation-style-language/schema/raw/master/csl-citation.json"} </w:instrText>
      </w:r>
      <w:r w:rsidR="00FB67DD" w:rsidRPr="007018B5">
        <w:rPr>
          <w:rFonts w:cs="Arial"/>
          <w:szCs w:val="24"/>
          <w:lang w:val="en-US"/>
        </w:rPr>
        <w:fldChar w:fldCharType="separate"/>
      </w:r>
      <w:r w:rsidR="003D51A1" w:rsidRPr="007018B5">
        <w:rPr>
          <w:szCs w:val="24"/>
          <w:vertAlign w:val="superscript"/>
          <w:lang w:val="en-US"/>
        </w:rPr>
        <w:t>[17]</w:t>
      </w:r>
      <w:r w:rsidR="00FB67DD" w:rsidRPr="007018B5">
        <w:rPr>
          <w:rFonts w:cs="Arial"/>
          <w:szCs w:val="24"/>
          <w:lang w:val="en-US"/>
        </w:rPr>
        <w:fldChar w:fldCharType="end"/>
      </w:r>
      <w:r w:rsidRPr="007018B5">
        <w:rPr>
          <w:rFonts w:cs="Arial"/>
          <w:szCs w:val="24"/>
          <w:lang w:val="en-US"/>
        </w:rPr>
        <w:t xml:space="preserve">. </w:t>
      </w:r>
      <w:r w:rsidR="000F0BC0" w:rsidRPr="007018B5">
        <w:rPr>
          <w:rFonts w:cs="Arial"/>
          <w:szCs w:val="24"/>
          <w:lang w:val="en-US"/>
        </w:rPr>
        <w:t>C</w:t>
      </w:r>
      <w:r w:rsidR="00774FEF" w:rsidRPr="007018B5">
        <w:rPr>
          <w:rFonts w:cs="Arial"/>
          <w:szCs w:val="24"/>
          <w:lang w:val="en-US"/>
        </w:rPr>
        <w:t xml:space="preserve">ells </w:t>
      </w:r>
      <w:r w:rsidR="000F0BC0" w:rsidRPr="007018B5">
        <w:rPr>
          <w:rFonts w:cs="Arial"/>
          <w:szCs w:val="24"/>
          <w:lang w:val="en-US"/>
        </w:rPr>
        <w:t xml:space="preserve">were lysed </w:t>
      </w:r>
      <w:r w:rsidR="00774FEF" w:rsidRPr="007018B5">
        <w:rPr>
          <w:rFonts w:cs="Arial"/>
          <w:szCs w:val="24"/>
          <w:lang w:val="en-US"/>
        </w:rPr>
        <w:t xml:space="preserve">using </w:t>
      </w:r>
      <w:r w:rsidR="00774FEF" w:rsidRPr="007018B5">
        <w:rPr>
          <w:szCs w:val="24"/>
          <w:lang w:val="en-US"/>
        </w:rPr>
        <w:t xml:space="preserve">100 </w:t>
      </w:r>
      <w:bookmarkStart w:id="98" w:name="OLE_LINK723"/>
      <w:bookmarkStart w:id="99" w:name="OLE_LINK724"/>
      <w:r w:rsidR="00774FEF" w:rsidRPr="007018B5">
        <w:rPr>
          <w:szCs w:val="24"/>
          <w:lang w:val="en-US"/>
        </w:rPr>
        <w:sym w:font="Symbol" w:char="F06D"/>
      </w:r>
      <w:bookmarkEnd w:id="98"/>
      <w:bookmarkEnd w:id="99"/>
      <w:r w:rsidR="00A665D3">
        <w:rPr>
          <w:szCs w:val="24"/>
          <w:lang w:val="en-US"/>
        </w:rPr>
        <w:t>L</w:t>
      </w:r>
      <w:r w:rsidR="00774FEF" w:rsidRPr="007018B5">
        <w:rPr>
          <w:szCs w:val="24"/>
          <w:lang w:val="en-US"/>
        </w:rPr>
        <w:t xml:space="preserve"> of radioimmunoprecipitation assay buffer containing one </w:t>
      </w:r>
      <w:proofErr w:type="spellStart"/>
      <w:r w:rsidR="00774FEF" w:rsidRPr="007018B5">
        <w:rPr>
          <w:szCs w:val="24"/>
          <w:lang w:val="en-US"/>
        </w:rPr>
        <w:t>microlitre</w:t>
      </w:r>
      <w:proofErr w:type="spellEnd"/>
      <w:r w:rsidR="00774FEF" w:rsidRPr="007018B5">
        <w:rPr>
          <w:rFonts w:cs="Arial"/>
          <w:szCs w:val="24"/>
          <w:lang w:val="en-US"/>
        </w:rPr>
        <w:t xml:space="preserve"> of Phosphatase Inhibitor Cocktail 2 and </w:t>
      </w:r>
      <w:r w:rsidR="00774FEF" w:rsidRPr="007018B5">
        <w:rPr>
          <w:szCs w:val="24"/>
          <w:lang w:val="en-US"/>
        </w:rPr>
        <w:t xml:space="preserve">one </w:t>
      </w:r>
      <w:proofErr w:type="spellStart"/>
      <w:r w:rsidR="00774FEF" w:rsidRPr="007018B5">
        <w:rPr>
          <w:szCs w:val="24"/>
          <w:lang w:val="en-US"/>
        </w:rPr>
        <w:t>microlitre</w:t>
      </w:r>
      <w:proofErr w:type="spellEnd"/>
      <w:r w:rsidR="00774FEF" w:rsidRPr="007018B5">
        <w:rPr>
          <w:rFonts w:cs="Arial"/>
          <w:szCs w:val="24"/>
          <w:lang w:val="en-US"/>
        </w:rPr>
        <w:t xml:space="preserve"> of </w:t>
      </w:r>
      <w:r w:rsidR="00A665D3" w:rsidRPr="007018B5">
        <w:rPr>
          <w:rFonts w:cs="Arial"/>
          <w:szCs w:val="24"/>
          <w:lang w:val="en-US"/>
        </w:rPr>
        <w:t>protease inhibitor</w:t>
      </w:r>
      <w:r w:rsidR="00774FEF" w:rsidRPr="007018B5">
        <w:rPr>
          <w:rFonts w:cs="Arial"/>
          <w:szCs w:val="24"/>
          <w:lang w:val="en-US"/>
        </w:rPr>
        <w:t xml:space="preserve"> in dimethyl sulfoxide (Sigma-Aldrich, </w:t>
      </w:r>
      <w:proofErr w:type="spellStart"/>
      <w:r w:rsidR="00774FEF" w:rsidRPr="007018B5">
        <w:rPr>
          <w:rFonts w:cs="Arial"/>
          <w:szCs w:val="24"/>
          <w:lang w:val="en-US"/>
        </w:rPr>
        <w:t>Gillingham</w:t>
      </w:r>
      <w:proofErr w:type="spellEnd"/>
      <w:r w:rsidR="00774FEF" w:rsidRPr="007018B5">
        <w:rPr>
          <w:rFonts w:cs="Arial"/>
          <w:szCs w:val="24"/>
          <w:lang w:val="en-US"/>
        </w:rPr>
        <w:t>, U</w:t>
      </w:r>
      <w:r w:rsidR="00A665D3">
        <w:rPr>
          <w:rFonts w:cs="Arial"/>
          <w:szCs w:val="24"/>
          <w:lang w:val="en-US"/>
        </w:rPr>
        <w:t>nited Kingdom</w:t>
      </w:r>
      <w:r w:rsidR="00774FEF" w:rsidRPr="007018B5">
        <w:rPr>
          <w:rFonts w:cs="Arial"/>
          <w:szCs w:val="24"/>
          <w:lang w:val="en-US"/>
        </w:rPr>
        <w:t>) and a manual ultrasonic cell disruptor intermittently for 10 min at 4</w:t>
      </w:r>
      <w:r w:rsidR="00A665D3">
        <w:rPr>
          <w:rFonts w:cs="Arial"/>
          <w:szCs w:val="24"/>
          <w:lang w:val="en-US"/>
        </w:rPr>
        <w:t xml:space="preserve"> </w:t>
      </w:r>
      <w:r w:rsidR="00774FEF" w:rsidRPr="007018B5">
        <w:rPr>
          <w:rFonts w:cs="Arial"/>
          <w:szCs w:val="24"/>
          <w:lang w:val="en-US"/>
        </w:rPr>
        <w:t>°C.</w:t>
      </w:r>
      <w:r w:rsidR="00AD7A07" w:rsidRPr="007018B5">
        <w:rPr>
          <w:rFonts w:cs="Arial"/>
          <w:szCs w:val="24"/>
          <w:lang w:val="en-US"/>
        </w:rPr>
        <w:t xml:space="preserve"> We </w:t>
      </w:r>
      <w:r w:rsidR="008A7A66" w:rsidRPr="007018B5">
        <w:rPr>
          <w:rFonts w:cs="Arial"/>
          <w:szCs w:val="24"/>
          <w:lang w:val="en-US"/>
        </w:rPr>
        <w:t xml:space="preserve">then </w:t>
      </w:r>
      <w:r w:rsidR="00AD7A07" w:rsidRPr="007018B5">
        <w:rPr>
          <w:rFonts w:cs="Arial"/>
          <w:szCs w:val="24"/>
          <w:lang w:val="en-US"/>
        </w:rPr>
        <w:t xml:space="preserve">separated off the supernatant and </w:t>
      </w:r>
      <w:r w:rsidR="00DA525A" w:rsidRPr="007018B5">
        <w:rPr>
          <w:rFonts w:cs="Arial"/>
          <w:szCs w:val="24"/>
          <w:lang w:val="en-US"/>
        </w:rPr>
        <w:t>performed</w:t>
      </w:r>
      <w:r w:rsidR="009D1E4C" w:rsidRPr="007018B5">
        <w:rPr>
          <w:rFonts w:cs="Arial"/>
          <w:szCs w:val="24"/>
          <w:lang w:val="en-US"/>
        </w:rPr>
        <w:t xml:space="preserve"> a Bradford Assay </w:t>
      </w:r>
      <w:r w:rsidR="00774FEF" w:rsidRPr="007018B5">
        <w:rPr>
          <w:rFonts w:cs="Arial"/>
          <w:szCs w:val="24"/>
          <w:lang w:val="en-US"/>
        </w:rPr>
        <w:t>(Bio-Rad Laboratories Inc., Hercules, C</w:t>
      </w:r>
      <w:r w:rsidR="00A665D3">
        <w:rPr>
          <w:rFonts w:cs="Arial"/>
          <w:szCs w:val="24"/>
          <w:lang w:val="en-US"/>
        </w:rPr>
        <w:t>A, United States</w:t>
      </w:r>
      <w:r w:rsidR="00774FEF" w:rsidRPr="007018B5">
        <w:rPr>
          <w:rFonts w:cs="Arial"/>
          <w:szCs w:val="24"/>
          <w:lang w:val="en-US"/>
        </w:rPr>
        <w:t xml:space="preserve">) </w:t>
      </w:r>
      <w:r w:rsidR="009D1E4C" w:rsidRPr="007018B5">
        <w:rPr>
          <w:rFonts w:cs="Arial"/>
          <w:szCs w:val="24"/>
          <w:lang w:val="en-US"/>
        </w:rPr>
        <w:t>to estimate the prot</w:t>
      </w:r>
      <w:r w:rsidR="00DA525A" w:rsidRPr="007018B5">
        <w:rPr>
          <w:rFonts w:cs="Arial"/>
          <w:szCs w:val="24"/>
          <w:lang w:val="en-US"/>
        </w:rPr>
        <w:t>ein concentration</w:t>
      </w:r>
      <w:r w:rsidR="00AD7A07" w:rsidRPr="007018B5">
        <w:rPr>
          <w:rFonts w:cs="Arial"/>
          <w:szCs w:val="24"/>
          <w:lang w:val="en-US"/>
        </w:rPr>
        <w:t xml:space="preserve">. </w:t>
      </w:r>
      <w:proofErr w:type="spellStart"/>
      <w:r w:rsidR="005577F8" w:rsidRPr="007018B5">
        <w:rPr>
          <w:rFonts w:cs="Arial"/>
          <w:szCs w:val="24"/>
          <w:lang w:val="en-US"/>
        </w:rPr>
        <w:t>PathScan</w:t>
      </w:r>
      <w:proofErr w:type="spellEnd"/>
      <w:r w:rsidR="005577F8" w:rsidRPr="007018B5">
        <w:rPr>
          <w:rFonts w:cs="Arial"/>
          <w:szCs w:val="24"/>
          <w:lang w:val="en-US"/>
        </w:rPr>
        <w:t xml:space="preserve"> RTK Signaling Antibody Array, Chemiluminescent Readout (Cell Signaling Technology, Danvers, </w:t>
      </w:r>
      <w:r w:rsidR="005577F8" w:rsidRPr="007018B5">
        <w:rPr>
          <w:rFonts w:cs="Arial"/>
          <w:bCs/>
          <w:szCs w:val="24"/>
          <w:lang w:val="en-US"/>
        </w:rPr>
        <w:t>Massachusetts</w:t>
      </w:r>
      <w:r w:rsidR="005577F8" w:rsidRPr="007018B5">
        <w:rPr>
          <w:rFonts w:cs="Arial"/>
          <w:szCs w:val="24"/>
          <w:lang w:val="en-US"/>
        </w:rPr>
        <w:t xml:space="preserve">) </w:t>
      </w:r>
      <w:r w:rsidR="00726D04" w:rsidRPr="007018B5">
        <w:rPr>
          <w:rFonts w:cs="Arial"/>
          <w:szCs w:val="24"/>
          <w:lang w:val="en-US"/>
        </w:rPr>
        <w:t xml:space="preserve">was used </w:t>
      </w:r>
      <w:r w:rsidR="00BE2819" w:rsidRPr="007018B5">
        <w:rPr>
          <w:rFonts w:cs="Arial"/>
          <w:szCs w:val="24"/>
          <w:lang w:val="en-US"/>
        </w:rPr>
        <w:t>t</w:t>
      </w:r>
      <w:r w:rsidR="005577F8" w:rsidRPr="007018B5">
        <w:rPr>
          <w:rFonts w:cs="Arial"/>
          <w:szCs w:val="24"/>
          <w:lang w:val="en-US"/>
        </w:rPr>
        <w:t xml:space="preserve">o quantify the phosphorylation status of 28 </w:t>
      </w:r>
      <w:r w:rsidR="00327EC7">
        <w:rPr>
          <w:rFonts w:cs="Arial"/>
          <w:szCs w:val="24"/>
          <w:lang w:val="en-US"/>
        </w:rPr>
        <w:t>RTKs</w:t>
      </w:r>
      <w:r w:rsidR="005577F8" w:rsidRPr="007018B5">
        <w:rPr>
          <w:rFonts w:cs="Arial"/>
          <w:szCs w:val="24"/>
          <w:lang w:val="en-US"/>
        </w:rPr>
        <w:t xml:space="preserve"> and 11 </w:t>
      </w:r>
      <w:proofErr w:type="spellStart"/>
      <w:r w:rsidR="005577F8" w:rsidRPr="007018B5">
        <w:rPr>
          <w:rFonts w:cs="Arial"/>
          <w:szCs w:val="24"/>
          <w:lang w:val="en-US"/>
        </w:rPr>
        <w:t>signalling</w:t>
      </w:r>
      <w:proofErr w:type="spellEnd"/>
      <w:r w:rsidR="005577F8" w:rsidRPr="007018B5">
        <w:rPr>
          <w:rFonts w:cs="Arial"/>
          <w:szCs w:val="24"/>
          <w:lang w:val="en-US"/>
        </w:rPr>
        <w:t xml:space="preserve"> nodes</w:t>
      </w:r>
      <w:r w:rsidR="00330A02" w:rsidRPr="007018B5">
        <w:rPr>
          <w:rFonts w:cs="Arial"/>
          <w:szCs w:val="24"/>
          <w:lang w:val="en-US"/>
        </w:rPr>
        <w:t xml:space="preserve">: </w:t>
      </w:r>
      <w:r w:rsidR="00330A02" w:rsidRPr="007018B5">
        <w:rPr>
          <w:szCs w:val="24"/>
          <w:lang w:val="en-US"/>
        </w:rPr>
        <w:t xml:space="preserve">EGFR/ErbB1, HER2/ErbB2, HER3/ErbB3, FGFR1, FGFR3, FGFR4, </w:t>
      </w:r>
      <w:proofErr w:type="spellStart"/>
      <w:r w:rsidR="00330A02" w:rsidRPr="007018B5">
        <w:rPr>
          <w:szCs w:val="24"/>
          <w:lang w:val="en-US"/>
        </w:rPr>
        <w:t>InsR</w:t>
      </w:r>
      <w:proofErr w:type="spellEnd"/>
      <w:r w:rsidR="00330A02" w:rsidRPr="007018B5">
        <w:rPr>
          <w:szCs w:val="24"/>
          <w:lang w:val="en-US"/>
        </w:rPr>
        <w:t xml:space="preserve">, IGF-IR, </w:t>
      </w:r>
      <w:proofErr w:type="spellStart"/>
      <w:r w:rsidR="00330A02" w:rsidRPr="007018B5">
        <w:rPr>
          <w:szCs w:val="24"/>
          <w:lang w:val="en-US"/>
        </w:rPr>
        <w:t>TrkA</w:t>
      </w:r>
      <w:proofErr w:type="spellEnd"/>
      <w:r w:rsidR="00330A02" w:rsidRPr="007018B5">
        <w:rPr>
          <w:szCs w:val="24"/>
          <w:lang w:val="en-US"/>
        </w:rPr>
        <w:t xml:space="preserve">/NTRK1, </w:t>
      </w:r>
      <w:proofErr w:type="spellStart"/>
      <w:r w:rsidR="00330A02" w:rsidRPr="007018B5">
        <w:rPr>
          <w:szCs w:val="24"/>
          <w:lang w:val="en-US"/>
        </w:rPr>
        <w:t>TrkB</w:t>
      </w:r>
      <w:proofErr w:type="spellEnd"/>
      <w:r w:rsidR="00330A02" w:rsidRPr="007018B5">
        <w:rPr>
          <w:szCs w:val="24"/>
          <w:lang w:val="en-US"/>
        </w:rPr>
        <w:t>/NTRK2, Met/HGFR, Ron/MST1R, Ret, ALK, PDGFR, c-Kit/SCFR, FLT3/Flk2, M-CSFR/CSF-1R, EphA1, EphA2, EphA3, EphB1, EphB3, EphB4, Tyro3/</w:t>
      </w:r>
      <w:proofErr w:type="spellStart"/>
      <w:r w:rsidR="00330A02" w:rsidRPr="007018B5">
        <w:rPr>
          <w:szCs w:val="24"/>
          <w:lang w:val="en-US"/>
        </w:rPr>
        <w:t>Dtk</w:t>
      </w:r>
      <w:proofErr w:type="spellEnd"/>
      <w:r w:rsidR="00330A02" w:rsidRPr="007018B5">
        <w:rPr>
          <w:szCs w:val="24"/>
          <w:lang w:val="en-US"/>
        </w:rPr>
        <w:t xml:space="preserve">, </w:t>
      </w:r>
      <w:proofErr w:type="spellStart"/>
      <w:r w:rsidR="00330A02" w:rsidRPr="007018B5">
        <w:rPr>
          <w:szCs w:val="24"/>
          <w:lang w:val="en-US"/>
        </w:rPr>
        <w:t>Axl</w:t>
      </w:r>
      <w:proofErr w:type="spellEnd"/>
      <w:r w:rsidR="00330A02" w:rsidRPr="007018B5">
        <w:rPr>
          <w:szCs w:val="24"/>
          <w:lang w:val="en-US"/>
        </w:rPr>
        <w:t xml:space="preserve">, Tie2/TEK, VEGFR2/KDR, </w:t>
      </w:r>
      <w:proofErr w:type="spellStart"/>
      <w:r w:rsidR="00330A02" w:rsidRPr="007018B5">
        <w:rPr>
          <w:szCs w:val="24"/>
          <w:lang w:val="en-US"/>
        </w:rPr>
        <w:t>Akt</w:t>
      </w:r>
      <w:proofErr w:type="spellEnd"/>
      <w:r w:rsidR="00330A02" w:rsidRPr="007018B5">
        <w:rPr>
          <w:szCs w:val="24"/>
          <w:lang w:val="en-US"/>
        </w:rPr>
        <w:t>/PKB/</w:t>
      </w:r>
      <w:proofErr w:type="spellStart"/>
      <w:r w:rsidR="00330A02" w:rsidRPr="007018B5">
        <w:rPr>
          <w:szCs w:val="24"/>
          <w:lang w:val="en-US"/>
        </w:rPr>
        <w:t>Rac</w:t>
      </w:r>
      <w:proofErr w:type="spellEnd"/>
      <w:r w:rsidR="00330A02" w:rsidRPr="007018B5">
        <w:rPr>
          <w:szCs w:val="24"/>
          <w:lang w:val="en-US"/>
        </w:rPr>
        <w:t xml:space="preserve"> (at Thr308), </w:t>
      </w:r>
      <w:proofErr w:type="spellStart"/>
      <w:r w:rsidR="00330A02" w:rsidRPr="007018B5">
        <w:rPr>
          <w:szCs w:val="24"/>
          <w:lang w:val="en-US"/>
        </w:rPr>
        <w:t>Akt</w:t>
      </w:r>
      <w:proofErr w:type="spellEnd"/>
      <w:r w:rsidR="00330A02" w:rsidRPr="007018B5">
        <w:rPr>
          <w:szCs w:val="24"/>
          <w:lang w:val="en-US"/>
        </w:rPr>
        <w:t>/PKB/</w:t>
      </w:r>
      <w:proofErr w:type="spellStart"/>
      <w:r w:rsidR="00330A02" w:rsidRPr="007018B5">
        <w:rPr>
          <w:szCs w:val="24"/>
          <w:lang w:val="en-US"/>
        </w:rPr>
        <w:t>Rac</w:t>
      </w:r>
      <w:proofErr w:type="spellEnd"/>
      <w:r w:rsidR="00330A02" w:rsidRPr="007018B5">
        <w:rPr>
          <w:szCs w:val="24"/>
          <w:lang w:val="en-US"/>
        </w:rPr>
        <w:t xml:space="preserve"> (at Ser473), p44/42 MAPK, S6 Ribosomal Protein, c-</w:t>
      </w:r>
      <w:proofErr w:type="spellStart"/>
      <w:r w:rsidR="00330A02" w:rsidRPr="007018B5">
        <w:rPr>
          <w:szCs w:val="24"/>
          <w:lang w:val="en-US"/>
        </w:rPr>
        <w:t>Abl</w:t>
      </w:r>
      <w:proofErr w:type="spellEnd"/>
      <w:r w:rsidR="00330A02" w:rsidRPr="007018B5">
        <w:rPr>
          <w:szCs w:val="24"/>
          <w:lang w:val="en-US"/>
        </w:rPr>
        <w:t xml:space="preserve">, IRS-1, Zap-70, </w:t>
      </w:r>
      <w:proofErr w:type="spellStart"/>
      <w:r w:rsidR="00330A02" w:rsidRPr="007018B5">
        <w:rPr>
          <w:szCs w:val="24"/>
          <w:lang w:val="en-US"/>
        </w:rPr>
        <w:t>Src</w:t>
      </w:r>
      <w:proofErr w:type="spellEnd"/>
      <w:r w:rsidR="00330A02" w:rsidRPr="007018B5">
        <w:rPr>
          <w:szCs w:val="24"/>
          <w:lang w:val="en-US"/>
        </w:rPr>
        <w:t xml:space="preserve">, </w:t>
      </w:r>
      <w:proofErr w:type="spellStart"/>
      <w:r w:rsidR="00330A02" w:rsidRPr="007018B5">
        <w:rPr>
          <w:szCs w:val="24"/>
          <w:lang w:val="en-US"/>
        </w:rPr>
        <w:t>Lck</w:t>
      </w:r>
      <w:proofErr w:type="spellEnd"/>
      <w:r w:rsidR="00330A02" w:rsidRPr="007018B5">
        <w:rPr>
          <w:szCs w:val="24"/>
          <w:lang w:val="en-US"/>
        </w:rPr>
        <w:t>, Stat1 and Stat3</w:t>
      </w:r>
      <w:r w:rsidR="0069183B" w:rsidRPr="007018B5">
        <w:rPr>
          <w:szCs w:val="24"/>
          <w:lang w:val="en-US"/>
        </w:rPr>
        <w:t xml:space="preserve"> (</w:t>
      </w:r>
      <w:r w:rsidR="00576490" w:rsidRPr="007018B5">
        <w:rPr>
          <w:szCs w:val="24"/>
          <w:lang w:val="en-US"/>
        </w:rPr>
        <w:fldChar w:fldCharType="begin"/>
      </w:r>
      <w:r w:rsidR="00576490" w:rsidRPr="007018B5">
        <w:rPr>
          <w:szCs w:val="24"/>
          <w:lang w:val="en-US"/>
        </w:rPr>
        <w:instrText xml:space="preserve"> REF _Ref513819750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 xml:space="preserve">Supplementary </w:t>
      </w:r>
      <w:r w:rsidR="00E425A0" w:rsidRPr="007018B5">
        <w:rPr>
          <w:szCs w:val="24"/>
          <w:lang w:val="en-US"/>
        </w:rPr>
        <w:t>Table</w:t>
      </w:r>
      <w:r w:rsidR="00576490" w:rsidRPr="007018B5">
        <w:rPr>
          <w:szCs w:val="24"/>
          <w:lang w:val="en-US"/>
        </w:rPr>
        <w:fldChar w:fldCharType="end"/>
      </w:r>
      <w:r w:rsidR="00E425A0" w:rsidRPr="007018B5">
        <w:rPr>
          <w:szCs w:val="24"/>
          <w:lang w:val="en-US"/>
        </w:rPr>
        <w:t xml:space="preserve"> 4</w:t>
      </w:r>
      <w:r w:rsidR="0069183B" w:rsidRPr="007018B5">
        <w:rPr>
          <w:szCs w:val="24"/>
          <w:lang w:val="en-US"/>
        </w:rPr>
        <w:t>)</w:t>
      </w:r>
      <w:r w:rsidR="00330A02" w:rsidRPr="007018B5">
        <w:rPr>
          <w:szCs w:val="24"/>
          <w:lang w:val="en-US"/>
        </w:rPr>
        <w:t>.</w:t>
      </w:r>
      <w:r w:rsidR="005577F8" w:rsidRPr="007018B5">
        <w:rPr>
          <w:rFonts w:cs="Arial"/>
          <w:szCs w:val="24"/>
          <w:lang w:val="en-US"/>
        </w:rPr>
        <w:t xml:space="preserve"> </w:t>
      </w:r>
      <w:r w:rsidR="00AD7A07" w:rsidRPr="007018B5">
        <w:rPr>
          <w:rFonts w:cs="Arial"/>
          <w:szCs w:val="24"/>
          <w:lang w:val="en-US"/>
        </w:rPr>
        <w:t>A total of 113 µg of protein</w:t>
      </w:r>
      <w:r w:rsidR="004A61A7" w:rsidRPr="007018B5">
        <w:rPr>
          <w:rFonts w:cs="Arial"/>
          <w:szCs w:val="24"/>
          <w:lang w:val="en-US"/>
        </w:rPr>
        <w:t xml:space="preserve"> from each whole cell lysate was probed on the array.</w:t>
      </w:r>
      <w:r w:rsidR="00DA525A" w:rsidRPr="007018B5">
        <w:rPr>
          <w:rFonts w:cs="Arial"/>
          <w:szCs w:val="24"/>
          <w:lang w:val="en-US"/>
        </w:rPr>
        <w:t xml:space="preserve"> The chemiluminescent signals were detected on </w:t>
      </w:r>
      <w:proofErr w:type="spellStart"/>
      <w:r w:rsidR="00DA525A" w:rsidRPr="007018B5">
        <w:rPr>
          <w:rFonts w:cs="Arial"/>
          <w:szCs w:val="24"/>
          <w:lang w:val="en-US"/>
        </w:rPr>
        <w:t>Amersham</w:t>
      </w:r>
      <w:proofErr w:type="spellEnd"/>
      <w:r w:rsidR="00DA525A" w:rsidRPr="007018B5">
        <w:rPr>
          <w:rFonts w:cs="Arial"/>
          <w:szCs w:val="24"/>
          <w:lang w:val="en-US"/>
        </w:rPr>
        <w:t xml:space="preserve"> </w:t>
      </w:r>
      <w:proofErr w:type="spellStart"/>
      <w:r w:rsidR="00DA525A" w:rsidRPr="007018B5">
        <w:rPr>
          <w:rFonts w:cs="Arial"/>
          <w:szCs w:val="24"/>
          <w:lang w:val="en-US"/>
        </w:rPr>
        <w:t>Hyperfilm</w:t>
      </w:r>
      <w:proofErr w:type="spellEnd"/>
      <w:r w:rsidR="00DA525A" w:rsidRPr="007018B5">
        <w:rPr>
          <w:rFonts w:cs="Arial"/>
          <w:szCs w:val="24"/>
          <w:lang w:val="en-US"/>
        </w:rPr>
        <w:t xml:space="preserve"> ECL (GE Healthcare Life Sciences, Buckinghamshire, U</w:t>
      </w:r>
      <w:r w:rsidR="00A665D3">
        <w:rPr>
          <w:rFonts w:cs="Arial"/>
          <w:szCs w:val="24"/>
          <w:lang w:val="en-US"/>
        </w:rPr>
        <w:t>nited Kingdom</w:t>
      </w:r>
      <w:r w:rsidR="00DA525A" w:rsidRPr="007018B5">
        <w:rPr>
          <w:rFonts w:cs="Arial"/>
          <w:szCs w:val="24"/>
          <w:lang w:val="en-US"/>
        </w:rPr>
        <w:t xml:space="preserve">), </w:t>
      </w:r>
      <w:proofErr w:type="spellStart"/>
      <w:r w:rsidR="00DA525A" w:rsidRPr="007018B5">
        <w:rPr>
          <w:rFonts w:cs="Arial"/>
          <w:szCs w:val="24"/>
          <w:lang w:val="en-US"/>
        </w:rPr>
        <w:t>digitised</w:t>
      </w:r>
      <w:proofErr w:type="spellEnd"/>
      <w:r w:rsidR="00DA525A" w:rsidRPr="007018B5">
        <w:rPr>
          <w:rFonts w:cs="Arial"/>
          <w:szCs w:val="24"/>
          <w:lang w:val="en-US"/>
        </w:rPr>
        <w:t xml:space="preserve"> using a lightbox and camera (Nikon D70 digital camera with a Nikon 18</w:t>
      </w:r>
      <w:r w:rsidR="00E97C8C">
        <w:rPr>
          <w:rFonts w:cs="Arial"/>
          <w:szCs w:val="24"/>
          <w:lang w:val="en-US"/>
        </w:rPr>
        <w:t>-</w:t>
      </w:r>
      <w:r w:rsidR="00DA525A" w:rsidRPr="007018B5">
        <w:rPr>
          <w:rFonts w:cs="Arial"/>
          <w:szCs w:val="24"/>
          <w:lang w:val="en-US"/>
        </w:rPr>
        <w:t>70 mm 1:3.5</w:t>
      </w:r>
      <w:r w:rsidR="00E97C8C">
        <w:rPr>
          <w:rFonts w:cs="Arial"/>
          <w:szCs w:val="24"/>
          <w:lang w:val="en-US"/>
        </w:rPr>
        <w:t>-</w:t>
      </w:r>
      <w:r w:rsidR="00DA525A" w:rsidRPr="007018B5">
        <w:rPr>
          <w:rFonts w:cs="Arial"/>
          <w:szCs w:val="24"/>
          <w:lang w:val="en-US"/>
        </w:rPr>
        <w:t xml:space="preserve">4.5G DX lens, Nikon Corporation, Tokyo, Japan) and measured using </w:t>
      </w:r>
      <w:proofErr w:type="spellStart"/>
      <w:r w:rsidR="00DA525A" w:rsidRPr="007018B5">
        <w:rPr>
          <w:szCs w:val="24"/>
          <w:lang w:val="en-US"/>
        </w:rPr>
        <w:t>ImageQuant</w:t>
      </w:r>
      <w:proofErr w:type="spellEnd"/>
      <w:r w:rsidR="00DA525A" w:rsidRPr="007018B5">
        <w:rPr>
          <w:szCs w:val="24"/>
          <w:lang w:val="en-US"/>
        </w:rPr>
        <w:t xml:space="preserve"> TL 2005 (GE Healthcare Life Sciences, Pittsburg</w:t>
      </w:r>
      <w:r w:rsidR="00A665D3">
        <w:rPr>
          <w:szCs w:val="24"/>
          <w:lang w:val="en-US"/>
        </w:rPr>
        <w:t xml:space="preserve">, </w:t>
      </w:r>
      <w:r w:rsidR="00DA525A" w:rsidRPr="007018B5">
        <w:rPr>
          <w:szCs w:val="24"/>
          <w:lang w:val="en-US"/>
        </w:rPr>
        <w:t>PA</w:t>
      </w:r>
      <w:r w:rsidR="00A665D3">
        <w:rPr>
          <w:szCs w:val="24"/>
          <w:lang w:val="en-US"/>
        </w:rPr>
        <w:t>, United States</w:t>
      </w:r>
      <w:r w:rsidR="00DA525A" w:rsidRPr="007018B5">
        <w:rPr>
          <w:szCs w:val="24"/>
          <w:lang w:val="en-US"/>
        </w:rPr>
        <w:t xml:space="preserve">). The measurements were </w:t>
      </w:r>
      <w:proofErr w:type="spellStart"/>
      <w:r w:rsidR="00DA525A" w:rsidRPr="007018B5">
        <w:rPr>
          <w:szCs w:val="24"/>
          <w:lang w:val="en-US"/>
        </w:rPr>
        <w:t>normalised</w:t>
      </w:r>
      <w:proofErr w:type="spellEnd"/>
      <w:r w:rsidR="00DA525A" w:rsidRPr="007018B5">
        <w:rPr>
          <w:szCs w:val="24"/>
          <w:lang w:val="en-US"/>
        </w:rPr>
        <w:t xml:space="preserve"> to give pixel intensities ranging from zero to 100%. Prior experiments determined a positivity threshold of 20%.</w:t>
      </w:r>
    </w:p>
    <w:p w14:paraId="313F0AA8" w14:textId="77777777" w:rsidR="00A665D3" w:rsidRPr="007018B5" w:rsidRDefault="00A665D3" w:rsidP="007E3B89">
      <w:pPr>
        <w:adjustRightInd w:val="0"/>
        <w:snapToGrid w:val="0"/>
        <w:spacing w:before="0" w:after="0"/>
        <w:jc w:val="both"/>
        <w:rPr>
          <w:szCs w:val="24"/>
          <w:lang w:val="en-US"/>
        </w:rPr>
      </w:pPr>
    </w:p>
    <w:p w14:paraId="5321911A" w14:textId="62E30196" w:rsidR="0033514E" w:rsidRPr="007018B5" w:rsidRDefault="0033514E" w:rsidP="007E3B89">
      <w:pPr>
        <w:pStyle w:val="Heading2"/>
        <w:adjustRightInd w:val="0"/>
        <w:snapToGrid w:val="0"/>
        <w:spacing w:before="0" w:after="0"/>
        <w:jc w:val="both"/>
        <w:rPr>
          <w:szCs w:val="24"/>
          <w:lang w:val="en-US"/>
        </w:rPr>
      </w:pPr>
      <w:r w:rsidRPr="007018B5">
        <w:rPr>
          <w:szCs w:val="24"/>
          <w:lang w:val="en-US"/>
        </w:rPr>
        <w:t xml:space="preserve">Statistical </w:t>
      </w:r>
      <w:r w:rsidR="00A665D3">
        <w:rPr>
          <w:szCs w:val="24"/>
          <w:lang w:val="en-US"/>
        </w:rPr>
        <w:t>analysis</w:t>
      </w:r>
    </w:p>
    <w:p w14:paraId="006765DF" w14:textId="4D6C7AC6" w:rsidR="00906CBD" w:rsidRPr="007018B5" w:rsidRDefault="00AA2E06" w:rsidP="007E3B89">
      <w:pPr>
        <w:adjustRightInd w:val="0"/>
        <w:snapToGrid w:val="0"/>
        <w:spacing w:before="0" w:after="0"/>
        <w:jc w:val="both"/>
        <w:rPr>
          <w:szCs w:val="24"/>
          <w:lang w:val="en-US"/>
        </w:rPr>
      </w:pPr>
      <w:r w:rsidRPr="007018B5">
        <w:rPr>
          <w:szCs w:val="24"/>
          <w:lang w:val="en-US"/>
        </w:rPr>
        <w:t>S</w:t>
      </w:r>
      <w:r w:rsidR="00906CBD" w:rsidRPr="007018B5">
        <w:rPr>
          <w:szCs w:val="24"/>
          <w:lang w:val="en-US"/>
        </w:rPr>
        <w:t xml:space="preserve">ample size was </w:t>
      </w:r>
      <w:r w:rsidRPr="007018B5">
        <w:rPr>
          <w:szCs w:val="24"/>
          <w:lang w:val="en-US"/>
        </w:rPr>
        <w:t>based on feasibility</w:t>
      </w:r>
      <w:r w:rsidR="00797585" w:rsidRPr="007018B5">
        <w:rPr>
          <w:szCs w:val="24"/>
          <w:lang w:val="en-US"/>
        </w:rPr>
        <w:t xml:space="preserve"> (recruitment period)</w:t>
      </w:r>
      <w:r w:rsidRPr="007018B5">
        <w:rPr>
          <w:szCs w:val="24"/>
          <w:lang w:val="en-US"/>
        </w:rPr>
        <w:t>. Further, there is little consensus on sample size estimations for assay</w:t>
      </w:r>
      <w:r w:rsidR="00566C72" w:rsidRPr="007018B5">
        <w:rPr>
          <w:szCs w:val="24"/>
          <w:lang w:val="en-US"/>
        </w:rPr>
        <w:t>s</w:t>
      </w:r>
      <w:r w:rsidRPr="007018B5">
        <w:rPr>
          <w:szCs w:val="24"/>
          <w:lang w:val="en-US"/>
        </w:rPr>
        <w:t xml:space="preserve"> used in </w:t>
      </w:r>
      <w:r w:rsidR="00906CBD" w:rsidRPr="007018B5">
        <w:rPr>
          <w:szCs w:val="24"/>
          <w:lang w:val="en-US"/>
        </w:rPr>
        <w:t>this study</w:t>
      </w:r>
      <w:r w:rsidRPr="007018B5">
        <w:rPr>
          <w:szCs w:val="24"/>
          <w:lang w:val="en-US"/>
        </w:rPr>
        <w:t xml:space="preserve"> and </w:t>
      </w:r>
      <w:r w:rsidR="00906CBD" w:rsidRPr="007018B5">
        <w:rPr>
          <w:szCs w:val="24"/>
          <w:lang w:val="en-US"/>
        </w:rPr>
        <w:t>no prior relevant data</w:t>
      </w:r>
      <w:r w:rsidR="007808CF" w:rsidRPr="007018B5">
        <w:rPr>
          <w:szCs w:val="24"/>
          <w:lang w:val="en-US"/>
        </w:rPr>
        <w:t xml:space="preserve"> upon</w:t>
      </w:r>
      <w:r w:rsidRPr="007018B5">
        <w:rPr>
          <w:szCs w:val="24"/>
          <w:lang w:val="en-US"/>
        </w:rPr>
        <w:t xml:space="preserve"> which to base a calculation</w:t>
      </w:r>
      <w:r w:rsidR="00906CBD" w:rsidRPr="007018B5">
        <w:rPr>
          <w:szCs w:val="24"/>
          <w:lang w:val="en-US"/>
        </w:rPr>
        <w:t>.</w:t>
      </w:r>
    </w:p>
    <w:p w14:paraId="2A64AD61" w14:textId="7E6C0738" w:rsidR="0033514E" w:rsidRDefault="000F0BC0" w:rsidP="0017217F">
      <w:pPr>
        <w:adjustRightInd w:val="0"/>
        <w:snapToGrid w:val="0"/>
        <w:spacing w:before="0" w:after="0"/>
        <w:ind w:firstLineChars="100" w:firstLine="240"/>
        <w:jc w:val="both"/>
        <w:rPr>
          <w:szCs w:val="24"/>
          <w:lang w:val="en-US"/>
        </w:rPr>
      </w:pPr>
      <w:r w:rsidRPr="007018B5">
        <w:rPr>
          <w:szCs w:val="24"/>
          <w:lang w:val="en-US"/>
        </w:rPr>
        <w:t>D</w:t>
      </w:r>
      <w:r w:rsidR="00313077" w:rsidRPr="007018B5">
        <w:rPr>
          <w:szCs w:val="24"/>
          <w:lang w:val="en-US"/>
        </w:rPr>
        <w:t>ata</w:t>
      </w:r>
      <w:r w:rsidRPr="007018B5">
        <w:rPr>
          <w:szCs w:val="24"/>
          <w:lang w:val="en-US"/>
        </w:rPr>
        <w:t xml:space="preserve"> were entered</w:t>
      </w:r>
      <w:r w:rsidR="00313077" w:rsidRPr="007018B5">
        <w:rPr>
          <w:szCs w:val="24"/>
          <w:lang w:val="en-US"/>
        </w:rPr>
        <w:t xml:space="preserve"> </w:t>
      </w:r>
      <w:r w:rsidR="0033514E" w:rsidRPr="007018B5">
        <w:rPr>
          <w:szCs w:val="24"/>
          <w:lang w:val="en-US"/>
        </w:rPr>
        <w:t>into a validated database using Access 2010 (</w:t>
      </w:r>
      <w:r w:rsidR="0033514E" w:rsidRPr="007018B5">
        <w:rPr>
          <w:rFonts w:cs="Arial"/>
          <w:szCs w:val="24"/>
          <w:lang w:val="en-US"/>
        </w:rPr>
        <w:t>Microsoft, Redmond WA</w:t>
      </w:r>
      <w:r w:rsidR="00A665D3">
        <w:rPr>
          <w:rFonts w:cs="Arial"/>
          <w:szCs w:val="24"/>
          <w:lang w:val="en-US"/>
        </w:rPr>
        <w:t>, United States</w:t>
      </w:r>
      <w:r w:rsidR="0033514E" w:rsidRPr="007018B5">
        <w:rPr>
          <w:rFonts w:cs="Arial"/>
          <w:szCs w:val="24"/>
          <w:lang w:val="en-US"/>
        </w:rPr>
        <w:t>). Double-entering of a random 10% data sample estimated the error rate at 0.6%.</w:t>
      </w:r>
      <w:r w:rsidR="00313077" w:rsidRPr="007018B5">
        <w:rPr>
          <w:szCs w:val="24"/>
          <w:lang w:val="en-US"/>
        </w:rPr>
        <w:t xml:space="preserve"> </w:t>
      </w:r>
      <w:r w:rsidR="00605F4D" w:rsidRPr="007018B5">
        <w:rPr>
          <w:szCs w:val="24"/>
          <w:lang w:val="en-US"/>
        </w:rPr>
        <w:t>Proprietary</w:t>
      </w:r>
      <w:r w:rsidRPr="007018B5">
        <w:rPr>
          <w:szCs w:val="24"/>
          <w:lang w:val="en-US"/>
        </w:rPr>
        <w:t xml:space="preserve"> software (</w:t>
      </w:r>
      <w:r w:rsidR="00313077" w:rsidRPr="007018B5">
        <w:rPr>
          <w:szCs w:val="24"/>
          <w:lang w:val="en-US"/>
        </w:rPr>
        <w:t>SPSS Statistics version 22</w:t>
      </w:r>
      <w:r w:rsidRPr="007018B5">
        <w:rPr>
          <w:szCs w:val="24"/>
          <w:lang w:val="en-US"/>
        </w:rPr>
        <w:t xml:space="preserve">, </w:t>
      </w:r>
      <w:r w:rsidR="00313077" w:rsidRPr="007018B5">
        <w:rPr>
          <w:szCs w:val="24"/>
          <w:lang w:val="en-US"/>
        </w:rPr>
        <w:t>IBM, Armonk, NY</w:t>
      </w:r>
      <w:r w:rsidR="00A665D3">
        <w:rPr>
          <w:szCs w:val="24"/>
          <w:lang w:val="en-US"/>
        </w:rPr>
        <w:t xml:space="preserve">, </w:t>
      </w:r>
      <w:bookmarkStart w:id="100" w:name="OLE_LINK725"/>
      <w:bookmarkStart w:id="101" w:name="OLE_LINK726"/>
      <w:r w:rsidR="00A665D3">
        <w:rPr>
          <w:szCs w:val="24"/>
          <w:lang w:val="en-US"/>
        </w:rPr>
        <w:lastRenderedPageBreak/>
        <w:t>United States</w:t>
      </w:r>
      <w:bookmarkEnd w:id="100"/>
      <w:bookmarkEnd w:id="101"/>
      <w:r w:rsidR="00313077" w:rsidRPr="007018B5">
        <w:rPr>
          <w:szCs w:val="24"/>
          <w:lang w:val="en-US"/>
        </w:rPr>
        <w:t xml:space="preserve">) </w:t>
      </w:r>
      <w:r w:rsidRPr="007018B5">
        <w:rPr>
          <w:szCs w:val="24"/>
          <w:lang w:val="en-US"/>
        </w:rPr>
        <w:t xml:space="preserve">was used to </w:t>
      </w:r>
      <w:proofErr w:type="spellStart"/>
      <w:r w:rsidR="00313077" w:rsidRPr="007018B5">
        <w:rPr>
          <w:szCs w:val="24"/>
          <w:lang w:val="en-US"/>
        </w:rPr>
        <w:t>analyse</w:t>
      </w:r>
      <w:proofErr w:type="spellEnd"/>
      <w:r w:rsidR="00313077" w:rsidRPr="007018B5">
        <w:rPr>
          <w:szCs w:val="24"/>
          <w:lang w:val="en-US"/>
        </w:rPr>
        <w:t xml:space="preserve"> data, and </w:t>
      </w:r>
      <w:r w:rsidR="00313077" w:rsidRPr="007018B5">
        <w:rPr>
          <w:rFonts w:cs="Arial"/>
          <w:szCs w:val="24"/>
          <w:lang w:val="en-US"/>
        </w:rPr>
        <w:t>Excel 2010 (Microsoft, Redmond, WA</w:t>
      </w:r>
      <w:r w:rsidR="00A665D3">
        <w:rPr>
          <w:rFonts w:cs="Arial"/>
          <w:szCs w:val="24"/>
          <w:lang w:val="en-US"/>
        </w:rPr>
        <w:t xml:space="preserve">, </w:t>
      </w:r>
      <w:r w:rsidR="00A665D3">
        <w:rPr>
          <w:szCs w:val="24"/>
          <w:lang w:val="en-US"/>
        </w:rPr>
        <w:t>United States</w:t>
      </w:r>
      <w:r w:rsidR="00313077" w:rsidRPr="007018B5">
        <w:rPr>
          <w:rFonts w:cs="Arial"/>
          <w:szCs w:val="24"/>
          <w:lang w:val="en-US"/>
        </w:rPr>
        <w:t xml:space="preserve">) to produce the </w:t>
      </w:r>
      <w:r w:rsidR="00605F4D" w:rsidRPr="007018B5">
        <w:rPr>
          <w:rFonts w:cs="Arial"/>
          <w:szCs w:val="24"/>
          <w:lang w:val="en-US"/>
        </w:rPr>
        <w:t>heat map</w:t>
      </w:r>
      <w:r w:rsidR="00313077" w:rsidRPr="007018B5">
        <w:rPr>
          <w:rFonts w:cs="Arial"/>
          <w:szCs w:val="24"/>
          <w:lang w:val="en-US"/>
        </w:rPr>
        <w:t xml:space="preserve"> charts. </w:t>
      </w:r>
      <w:r w:rsidR="001A0A8E" w:rsidRPr="007018B5">
        <w:rPr>
          <w:szCs w:val="24"/>
          <w:lang w:val="en-US"/>
        </w:rPr>
        <w:t>Parametric</w:t>
      </w:r>
      <w:r w:rsidR="00313077" w:rsidRPr="007018B5">
        <w:rPr>
          <w:szCs w:val="24"/>
          <w:lang w:val="en-US"/>
        </w:rPr>
        <w:t xml:space="preserve"> and non-parametric methods were used for </w:t>
      </w:r>
      <w:r w:rsidR="001A0A8E" w:rsidRPr="007018B5">
        <w:rPr>
          <w:szCs w:val="24"/>
          <w:lang w:val="en-US"/>
        </w:rPr>
        <w:t xml:space="preserve">normal and </w:t>
      </w:r>
      <w:r w:rsidR="00313077" w:rsidRPr="007018B5">
        <w:rPr>
          <w:szCs w:val="24"/>
          <w:lang w:val="en-US"/>
        </w:rPr>
        <w:t>non-normal data</w:t>
      </w:r>
      <w:r w:rsidR="001A0A8E" w:rsidRPr="007018B5">
        <w:rPr>
          <w:szCs w:val="24"/>
          <w:lang w:val="en-US"/>
        </w:rPr>
        <w:t xml:space="preserve"> respectively</w:t>
      </w:r>
      <w:r w:rsidR="00313077" w:rsidRPr="007018B5">
        <w:rPr>
          <w:szCs w:val="24"/>
          <w:lang w:val="en-US"/>
        </w:rPr>
        <w:t xml:space="preserve">. We considered </w:t>
      </w:r>
      <w:r w:rsidR="00313077" w:rsidRPr="007018B5">
        <w:rPr>
          <w:i/>
          <w:szCs w:val="24"/>
          <w:lang w:val="en-US"/>
        </w:rPr>
        <w:t xml:space="preserve">P </w:t>
      </w:r>
      <w:r w:rsidR="00051442" w:rsidRPr="007018B5">
        <w:rPr>
          <w:szCs w:val="24"/>
          <w:lang w:val="en-US"/>
        </w:rPr>
        <w:t>&lt;</w:t>
      </w:r>
      <w:r w:rsidR="00313077" w:rsidRPr="007018B5">
        <w:rPr>
          <w:szCs w:val="24"/>
          <w:lang w:val="en-US"/>
        </w:rPr>
        <w:t xml:space="preserve"> 0.05 to be statistically significant</w:t>
      </w:r>
      <w:r w:rsidR="00AA4FE9" w:rsidRPr="007018B5">
        <w:rPr>
          <w:szCs w:val="24"/>
          <w:lang w:val="en-US"/>
        </w:rPr>
        <w:t>. When comparing the cytokine and phosphoprotein data where multiple comparisons were made,</w:t>
      </w:r>
      <w:r w:rsidR="00CF4A49" w:rsidRPr="007018B5">
        <w:rPr>
          <w:szCs w:val="24"/>
          <w:lang w:val="en-US"/>
        </w:rPr>
        <w:t xml:space="preserve"> using</w:t>
      </w:r>
      <w:r w:rsidR="00313077" w:rsidRPr="007018B5">
        <w:rPr>
          <w:szCs w:val="24"/>
          <w:lang w:val="en-US"/>
        </w:rPr>
        <w:t xml:space="preserve"> </w:t>
      </w:r>
      <w:r w:rsidR="00313077" w:rsidRPr="007018B5">
        <w:rPr>
          <w:i/>
          <w:szCs w:val="24"/>
          <w:lang w:val="en-US"/>
        </w:rPr>
        <w:t>P</w:t>
      </w:r>
      <w:r w:rsidR="00F0221E">
        <w:rPr>
          <w:szCs w:val="24"/>
          <w:lang w:val="en-US"/>
        </w:rPr>
        <w:t xml:space="preserve"> </w:t>
      </w:r>
      <w:r w:rsidR="00051442" w:rsidRPr="007018B5">
        <w:rPr>
          <w:szCs w:val="24"/>
          <w:lang w:val="en-US"/>
        </w:rPr>
        <w:t>&lt;</w:t>
      </w:r>
      <w:r w:rsidR="00F0221E">
        <w:rPr>
          <w:szCs w:val="24"/>
          <w:lang w:val="en-US"/>
        </w:rPr>
        <w:t xml:space="preserve"> </w:t>
      </w:r>
      <w:r w:rsidR="00313077" w:rsidRPr="007018B5">
        <w:rPr>
          <w:szCs w:val="24"/>
          <w:lang w:val="en-US"/>
        </w:rPr>
        <w:t xml:space="preserve">0.01 </w:t>
      </w:r>
      <w:r w:rsidR="00CF4A49" w:rsidRPr="007018B5">
        <w:rPr>
          <w:szCs w:val="24"/>
          <w:lang w:val="en-US"/>
        </w:rPr>
        <w:t>as</w:t>
      </w:r>
      <w:r w:rsidR="00AA4FE9" w:rsidRPr="007018B5">
        <w:rPr>
          <w:szCs w:val="24"/>
          <w:lang w:val="en-US"/>
        </w:rPr>
        <w:t xml:space="preserve"> statistically significant</w:t>
      </w:r>
      <w:r w:rsidR="00CF4A49" w:rsidRPr="007018B5">
        <w:rPr>
          <w:szCs w:val="24"/>
          <w:lang w:val="en-US"/>
        </w:rPr>
        <w:t xml:space="preserve"> was considered an appropriate correction</w:t>
      </w:r>
      <w:r w:rsidR="00910556" w:rsidRPr="007018B5">
        <w:rPr>
          <w:szCs w:val="24"/>
          <w:lang w:val="en-US"/>
        </w:rPr>
        <w:t>.</w:t>
      </w:r>
      <w:r w:rsidR="00190A50" w:rsidRPr="007018B5">
        <w:rPr>
          <w:szCs w:val="24"/>
          <w:lang w:val="en-US"/>
        </w:rPr>
        <w:t xml:space="preserve"> </w:t>
      </w:r>
      <w:r w:rsidR="00051442" w:rsidRPr="007018B5">
        <w:rPr>
          <w:szCs w:val="24"/>
          <w:lang w:val="en-US"/>
        </w:rPr>
        <w:t xml:space="preserve">This study was reviewed by a biomedical statistician. </w:t>
      </w:r>
      <w:r w:rsidR="00190A50" w:rsidRPr="007018B5">
        <w:rPr>
          <w:szCs w:val="24"/>
          <w:lang w:val="en-US"/>
        </w:rPr>
        <w:t>The STROBE guidelines were followed for reporting</w:t>
      </w:r>
      <w:r w:rsidR="00190A50" w:rsidRPr="007018B5">
        <w:rPr>
          <w:szCs w:val="24"/>
          <w:lang w:val="en-US"/>
        </w:rPr>
        <w:fldChar w:fldCharType="begin"/>
      </w:r>
      <w:r w:rsidR="003D51A1" w:rsidRPr="007018B5">
        <w:rPr>
          <w:szCs w:val="24"/>
          <w:lang w:val="en-US"/>
        </w:rPr>
        <w:instrText xml:space="preserve"> ADDIN ZOTERO_ITEM CSL_CITATION {"citationID":"8uormoVh","properties":{"formattedCitation":"\\super [18]\\nosupersub{}","plainCitation":"[18]","noteIndex":0},"citationItems":[{"id":1572,"uris":["http://zotero.org/users/851773/items/NDUVZMH6"],"uri":["http://zotero.org/users/851773/items/NDUVZMH6"],"itemData":{"id":1572,"type":"article-journal","title":"Strengthening the Reporting of Observational Studies in Epidemiology (STROBE) statement: guidelines for reporting observational studies","container-title":"BMJ (Clinical research ed.)","page":"806-808","volume":"335","issue":"7624","source":"PubMed","DOI":"10.1136/bmj.39335.541782.AD","ISSN":"1756-1833","note":"PMID: 17947786\nPMCID: PMC2034723","title-short":"Strengthening the Reporting of Observational Studies in Epidemiology (STROBE) statement","journalAbbreviation":"BMJ","language":"eng","author":[{"family":"Elm","given":"Erik","non-dropping-particle":"von"},{"family":"Altman","given":"Douglas G."},{"family":"Egger","given":"Matthias"},{"family":"Pocock","given":"Stuart J."},{"family":"Gøtzsche","given":"Peter C."},{"family":"Vandenbroucke","given":"Jan P."},{"literal":"STROBE Initiative"}],"issued":{"date-parts":[["2007",10,20]]}}}],"schema":"https://github.com/citation-style-language/schema/raw/master/csl-citation.json"} </w:instrText>
      </w:r>
      <w:r w:rsidR="00190A50" w:rsidRPr="007018B5">
        <w:rPr>
          <w:szCs w:val="24"/>
          <w:lang w:val="en-US"/>
        </w:rPr>
        <w:fldChar w:fldCharType="separate"/>
      </w:r>
      <w:r w:rsidR="003D51A1" w:rsidRPr="007018B5">
        <w:rPr>
          <w:szCs w:val="24"/>
          <w:vertAlign w:val="superscript"/>
          <w:lang w:val="en-US"/>
        </w:rPr>
        <w:t>[18]</w:t>
      </w:r>
      <w:r w:rsidR="00190A50" w:rsidRPr="007018B5">
        <w:rPr>
          <w:szCs w:val="24"/>
          <w:lang w:val="en-US"/>
        </w:rPr>
        <w:fldChar w:fldCharType="end"/>
      </w:r>
      <w:r w:rsidR="00A741B2" w:rsidRPr="007018B5">
        <w:rPr>
          <w:szCs w:val="24"/>
          <w:lang w:val="en-US"/>
        </w:rPr>
        <w:t>.</w:t>
      </w:r>
    </w:p>
    <w:p w14:paraId="54E0DB90" w14:textId="77777777" w:rsidR="00A665D3" w:rsidRPr="007018B5" w:rsidRDefault="00A665D3" w:rsidP="007E3B89">
      <w:pPr>
        <w:adjustRightInd w:val="0"/>
        <w:snapToGrid w:val="0"/>
        <w:spacing w:before="0" w:after="0"/>
        <w:jc w:val="both"/>
        <w:rPr>
          <w:szCs w:val="24"/>
          <w:lang w:val="en-US"/>
        </w:rPr>
      </w:pPr>
    </w:p>
    <w:p w14:paraId="5C5E6566" w14:textId="77777777" w:rsidR="002949BE" w:rsidRPr="007018B5" w:rsidRDefault="002949BE" w:rsidP="007E3B89">
      <w:pPr>
        <w:pStyle w:val="Heading1"/>
        <w:adjustRightInd w:val="0"/>
        <w:snapToGrid w:val="0"/>
        <w:spacing w:before="0"/>
        <w:jc w:val="both"/>
        <w:rPr>
          <w:szCs w:val="24"/>
          <w:lang w:val="en-US"/>
        </w:rPr>
      </w:pPr>
      <w:r w:rsidRPr="007018B5">
        <w:rPr>
          <w:szCs w:val="24"/>
          <w:lang w:val="en-US"/>
        </w:rPr>
        <w:t>Results</w:t>
      </w:r>
    </w:p>
    <w:p w14:paraId="5C717DA3" w14:textId="68BB7E4A" w:rsidR="00AF0EB5" w:rsidRPr="007018B5" w:rsidRDefault="00AF0EB5" w:rsidP="007E3B89">
      <w:pPr>
        <w:pStyle w:val="Heading2"/>
        <w:adjustRightInd w:val="0"/>
        <w:snapToGrid w:val="0"/>
        <w:spacing w:before="0" w:after="0"/>
        <w:jc w:val="both"/>
        <w:rPr>
          <w:szCs w:val="24"/>
          <w:lang w:val="en-US"/>
        </w:rPr>
      </w:pPr>
      <w:r w:rsidRPr="007018B5">
        <w:rPr>
          <w:szCs w:val="24"/>
          <w:lang w:val="en-US"/>
        </w:rPr>
        <w:t>Clini</w:t>
      </w:r>
      <w:r w:rsidR="00A665D3" w:rsidRPr="007018B5">
        <w:rPr>
          <w:szCs w:val="24"/>
          <w:lang w:val="en-US"/>
        </w:rPr>
        <w:t>cal data</w:t>
      </w:r>
    </w:p>
    <w:p w14:paraId="3B7DCA6F" w14:textId="58080F23" w:rsidR="0011060B" w:rsidRDefault="00DC46C6" w:rsidP="007E3B89">
      <w:pPr>
        <w:adjustRightInd w:val="0"/>
        <w:snapToGrid w:val="0"/>
        <w:spacing w:before="0" w:after="0"/>
        <w:jc w:val="both"/>
        <w:rPr>
          <w:szCs w:val="24"/>
          <w:lang w:val="en-US"/>
        </w:rPr>
      </w:pPr>
      <w:r w:rsidRPr="007018B5">
        <w:rPr>
          <w:szCs w:val="24"/>
          <w:lang w:val="en-US"/>
        </w:rPr>
        <w:t>The PDAI</w:t>
      </w:r>
      <w:r w:rsidR="0011060B" w:rsidRPr="007018B5">
        <w:rPr>
          <w:szCs w:val="24"/>
          <w:lang w:val="en-US"/>
        </w:rPr>
        <w:t xml:space="preserve"> was significantly higher </w:t>
      </w:r>
      <w:r w:rsidR="007B3C5E" w:rsidRPr="007018B5">
        <w:rPr>
          <w:szCs w:val="24"/>
          <w:lang w:val="en-US"/>
        </w:rPr>
        <w:t>(</w:t>
      </w:r>
      <w:r w:rsidR="00A146D3" w:rsidRPr="007018B5">
        <w:rPr>
          <w:szCs w:val="24"/>
          <w:lang w:val="en-US"/>
        </w:rPr>
        <w:t xml:space="preserve">indicating more active disease) </w:t>
      </w:r>
      <w:r w:rsidR="0011060B" w:rsidRPr="007018B5">
        <w:rPr>
          <w:szCs w:val="24"/>
          <w:lang w:val="en-US"/>
        </w:rPr>
        <w:t xml:space="preserve">in the </w:t>
      </w:r>
      <w:r w:rsidR="0069097F" w:rsidRPr="007018B5">
        <w:rPr>
          <w:szCs w:val="24"/>
          <w:lang w:val="en-US"/>
        </w:rPr>
        <w:t>CD</w:t>
      </w:r>
      <w:r w:rsidR="0011060B" w:rsidRPr="007018B5">
        <w:rPr>
          <w:szCs w:val="24"/>
          <w:lang w:val="en-US"/>
        </w:rPr>
        <w:t xml:space="preserve"> </w:t>
      </w:r>
      <w:r w:rsidR="00605F4D" w:rsidRPr="007018B5">
        <w:rPr>
          <w:szCs w:val="24"/>
          <w:lang w:val="en-US"/>
        </w:rPr>
        <w:t>group</w:t>
      </w:r>
      <w:r w:rsidR="0011060B" w:rsidRPr="007018B5">
        <w:rPr>
          <w:szCs w:val="24"/>
          <w:lang w:val="en-US"/>
        </w:rPr>
        <w:t xml:space="preserve"> with a mean difference of 2.40 (</w:t>
      </w:r>
      <w:r w:rsidR="00E97C8C">
        <w:rPr>
          <w:szCs w:val="24"/>
          <w:lang w:val="en-US"/>
        </w:rPr>
        <w:t>95%CI:</w:t>
      </w:r>
      <w:r w:rsidR="0011060B" w:rsidRPr="007018B5">
        <w:rPr>
          <w:szCs w:val="24"/>
          <w:lang w:val="en-US"/>
        </w:rPr>
        <w:t xml:space="preserve"> 0.52</w:t>
      </w:r>
      <w:r w:rsidR="00E97C8C">
        <w:rPr>
          <w:szCs w:val="24"/>
          <w:lang w:val="en-US"/>
        </w:rPr>
        <w:t>-</w:t>
      </w:r>
      <w:r w:rsidR="0011060B" w:rsidRPr="007018B5">
        <w:rPr>
          <w:szCs w:val="24"/>
          <w:lang w:val="en-US"/>
        </w:rPr>
        <w:t xml:space="preserve">4.28, </w:t>
      </w:r>
      <w:r w:rsidR="000F4D89" w:rsidRPr="007018B5">
        <w:rPr>
          <w:i/>
          <w:szCs w:val="24"/>
          <w:lang w:val="en-US"/>
        </w:rPr>
        <w:t>P</w:t>
      </w:r>
      <w:r w:rsidR="0011060B" w:rsidRPr="007018B5">
        <w:rPr>
          <w:szCs w:val="24"/>
          <w:lang w:val="en-US"/>
        </w:rPr>
        <w:t xml:space="preserve"> = 0.01). </w:t>
      </w:r>
      <w:r w:rsidR="0011060B" w:rsidRPr="007018B5">
        <w:rPr>
          <w:rFonts w:eastAsiaTheme="minorEastAsia"/>
          <w:szCs w:val="24"/>
          <w:lang w:val="en-US"/>
        </w:rPr>
        <w:t xml:space="preserve">The EQ </w:t>
      </w:r>
      <w:r w:rsidR="00117B9A" w:rsidRPr="007018B5">
        <w:rPr>
          <w:rFonts w:eastAsiaTheme="minorEastAsia"/>
          <w:szCs w:val="24"/>
          <w:lang w:val="en-US"/>
        </w:rPr>
        <w:t>visual analogue score</w:t>
      </w:r>
      <w:r w:rsidR="00F40087" w:rsidRPr="007018B5">
        <w:rPr>
          <w:rFonts w:eastAsiaTheme="minorEastAsia"/>
          <w:szCs w:val="24"/>
          <w:lang w:val="en-US"/>
        </w:rPr>
        <w:t>s</w:t>
      </w:r>
      <w:r w:rsidR="00117B9A" w:rsidRPr="007018B5">
        <w:rPr>
          <w:rFonts w:eastAsiaTheme="minorEastAsia"/>
          <w:szCs w:val="24"/>
          <w:lang w:val="en-US"/>
        </w:rPr>
        <w:t xml:space="preserve"> (</w:t>
      </w:r>
      <w:r w:rsidR="0011060B" w:rsidRPr="007018B5">
        <w:rPr>
          <w:rFonts w:eastAsiaTheme="minorEastAsia"/>
          <w:szCs w:val="24"/>
          <w:lang w:val="en-US"/>
        </w:rPr>
        <w:t>VAS</w:t>
      </w:r>
      <w:r w:rsidR="00117B9A" w:rsidRPr="007018B5">
        <w:rPr>
          <w:rFonts w:eastAsiaTheme="minorEastAsia"/>
          <w:szCs w:val="24"/>
          <w:lang w:val="en-US"/>
        </w:rPr>
        <w:t>)</w:t>
      </w:r>
      <w:r w:rsidR="0011060B" w:rsidRPr="007018B5">
        <w:rPr>
          <w:rFonts w:eastAsiaTheme="minorEastAsia"/>
          <w:szCs w:val="24"/>
          <w:lang w:val="en-US"/>
        </w:rPr>
        <w:t xml:space="preserve"> and </w:t>
      </w:r>
      <w:r w:rsidR="00117B9A" w:rsidRPr="007018B5">
        <w:rPr>
          <w:rFonts w:eastAsiaTheme="minorEastAsia"/>
          <w:szCs w:val="24"/>
          <w:lang w:val="en-US"/>
        </w:rPr>
        <w:t>index value</w:t>
      </w:r>
      <w:r w:rsidR="00F40087" w:rsidRPr="007018B5">
        <w:rPr>
          <w:rFonts w:eastAsiaTheme="minorEastAsia"/>
          <w:szCs w:val="24"/>
          <w:lang w:val="en-US"/>
        </w:rPr>
        <w:t>s</w:t>
      </w:r>
      <w:r w:rsidR="0011060B" w:rsidRPr="007018B5">
        <w:rPr>
          <w:rFonts w:eastAsiaTheme="minorEastAsia"/>
          <w:szCs w:val="24"/>
          <w:lang w:val="en-US"/>
        </w:rPr>
        <w:t xml:space="preserve"> were similar between </w:t>
      </w:r>
      <w:r w:rsidR="005134CB" w:rsidRPr="007018B5">
        <w:rPr>
          <w:rFonts w:eastAsiaTheme="minorEastAsia"/>
          <w:szCs w:val="24"/>
          <w:lang w:val="en-US"/>
        </w:rPr>
        <w:t xml:space="preserve">the </w:t>
      </w:r>
      <w:r w:rsidR="0011060B" w:rsidRPr="007018B5">
        <w:rPr>
          <w:rFonts w:eastAsiaTheme="minorEastAsia"/>
          <w:szCs w:val="24"/>
          <w:lang w:val="en-US"/>
        </w:rPr>
        <w:t>groups</w:t>
      </w:r>
      <w:r w:rsidR="003F61CF" w:rsidRPr="007018B5">
        <w:rPr>
          <w:rFonts w:eastAsiaTheme="minorEastAsia"/>
          <w:szCs w:val="24"/>
          <w:lang w:val="en-US"/>
        </w:rPr>
        <w:t xml:space="preserve">. </w:t>
      </w:r>
      <w:r w:rsidR="003F61CF" w:rsidRPr="007018B5">
        <w:rPr>
          <w:szCs w:val="24"/>
          <w:lang w:val="en-US"/>
        </w:rPr>
        <w:t xml:space="preserve">Multiple fistulae were more prevalent in </w:t>
      </w:r>
      <w:r w:rsidR="0069097F" w:rsidRPr="007018B5">
        <w:rPr>
          <w:szCs w:val="24"/>
          <w:lang w:val="en-US"/>
        </w:rPr>
        <w:t>CD</w:t>
      </w:r>
      <w:r w:rsidR="003F61CF" w:rsidRPr="007018B5">
        <w:rPr>
          <w:szCs w:val="24"/>
          <w:lang w:val="en-US"/>
        </w:rPr>
        <w:t xml:space="preserve"> </w:t>
      </w:r>
      <w:r w:rsidR="00AF353B" w:rsidRPr="007018B5">
        <w:rPr>
          <w:szCs w:val="24"/>
          <w:lang w:val="en-US"/>
        </w:rPr>
        <w:t>patients</w:t>
      </w:r>
      <w:r w:rsidR="003F61CF" w:rsidRPr="007018B5">
        <w:rPr>
          <w:szCs w:val="24"/>
          <w:lang w:val="en-US"/>
        </w:rPr>
        <w:t xml:space="preserve"> (23% </w:t>
      </w:r>
      <w:r w:rsidR="002C3D42">
        <w:rPr>
          <w:i/>
          <w:szCs w:val="24"/>
          <w:lang w:val="en-US"/>
        </w:rPr>
        <w:t>vs</w:t>
      </w:r>
      <w:r w:rsidR="003F61CF" w:rsidRPr="007018B5">
        <w:rPr>
          <w:i/>
          <w:szCs w:val="24"/>
          <w:lang w:val="en-US"/>
        </w:rPr>
        <w:t xml:space="preserve"> </w:t>
      </w:r>
      <w:r w:rsidR="003F61CF" w:rsidRPr="007018B5">
        <w:rPr>
          <w:szCs w:val="24"/>
          <w:lang w:val="en-US"/>
        </w:rPr>
        <w:t>4%). The distribution of the different types of fistulae under the Parks’ classification was the same between the groups, with trans-sphincteric being by far the commonest. Prevalence of a high primary tract and horseshoe extensions were similar</w:t>
      </w:r>
      <w:r w:rsidR="00D34361" w:rsidRPr="007018B5">
        <w:rPr>
          <w:szCs w:val="24"/>
          <w:lang w:val="en-US"/>
        </w:rPr>
        <w:t xml:space="preserve"> between groups</w:t>
      </w:r>
      <w:r w:rsidR="003F61CF" w:rsidRPr="007018B5">
        <w:rPr>
          <w:szCs w:val="24"/>
          <w:lang w:val="en-US"/>
        </w:rPr>
        <w:t xml:space="preserve">. However, </w:t>
      </w:r>
      <w:proofErr w:type="spellStart"/>
      <w:r w:rsidR="003F61CF" w:rsidRPr="007018B5">
        <w:rPr>
          <w:szCs w:val="24"/>
          <w:lang w:val="en-US"/>
        </w:rPr>
        <w:t>supralevator</w:t>
      </w:r>
      <w:proofErr w:type="spellEnd"/>
      <w:r w:rsidR="003F61CF" w:rsidRPr="007018B5">
        <w:rPr>
          <w:szCs w:val="24"/>
          <w:lang w:val="en-US"/>
        </w:rPr>
        <w:t xml:space="preserve"> extensions </w:t>
      </w:r>
      <w:r w:rsidR="00146CC4" w:rsidRPr="007018B5">
        <w:rPr>
          <w:szCs w:val="24"/>
          <w:lang w:val="en-US"/>
        </w:rPr>
        <w:t xml:space="preserve">and collections </w:t>
      </w:r>
      <w:r w:rsidR="003F61CF" w:rsidRPr="007018B5">
        <w:rPr>
          <w:szCs w:val="24"/>
          <w:lang w:val="en-US"/>
        </w:rPr>
        <w:t>were common</w:t>
      </w:r>
      <w:r w:rsidR="00146CC4" w:rsidRPr="007018B5">
        <w:rPr>
          <w:szCs w:val="24"/>
          <w:lang w:val="en-US"/>
        </w:rPr>
        <w:t>er</w:t>
      </w:r>
      <w:r w:rsidR="003F61CF" w:rsidRPr="007018B5">
        <w:rPr>
          <w:szCs w:val="24"/>
          <w:lang w:val="en-US"/>
        </w:rPr>
        <w:t xml:space="preserve"> in </w:t>
      </w:r>
      <w:r w:rsidR="00146CC4" w:rsidRPr="007018B5">
        <w:rPr>
          <w:szCs w:val="24"/>
          <w:lang w:val="en-US"/>
        </w:rPr>
        <w:t xml:space="preserve">the </w:t>
      </w:r>
      <w:r w:rsidR="0069097F" w:rsidRPr="007018B5">
        <w:rPr>
          <w:szCs w:val="24"/>
          <w:lang w:val="en-US"/>
        </w:rPr>
        <w:t>CD</w:t>
      </w:r>
      <w:r w:rsidR="003F61CF" w:rsidRPr="007018B5">
        <w:rPr>
          <w:szCs w:val="24"/>
          <w:lang w:val="en-US"/>
        </w:rPr>
        <w:t xml:space="preserve"> group (</w:t>
      </w:r>
      <w:r w:rsidR="00751A6E" w:rsidRPr="007018B5">
        <w:rPr>
          <w:szCs w:val="24"/>
          <w:lang w:val="en-US"/>
        </w:rPr>
        <w:t xml:space="preserve">31% </w:t>
      </w:r>
      <w:r w:rsidR="002C3D42">
        <w:rPr>
          <w:i/>
          <w:szCs w:val="24"/>
          <w:lang w:val="en-US"/>
        </w:rPr>
        <w:t>vs</w:t>
      </w:r>
      <w:r w:rsidR="00751A6E" w:rsidRPr="007018B5">
        <w:rPr>
          <w:szCs w:val="24"/>
          <w:lang w:val="en-US"/>
        </w:rPr>
        <w:t xml:space="preserve"> 6% and 92% </w:t>
      </w:r>
      <w:r w:rsidR="002C3D42">
        <w:rPr>
          <w:i/>
          <w:szCs w:val="24"/>
          <w:lang w:val="en-US"/>
        </w:rPr>
        <w:t>vs</w:t>
      </w:r>
      <w:r w:rsidR="00751A6E" w:rsidRPr="007018B5">
        <w:rPr>
          <w:szCs w:val="24"/>
          <w:lang w:val="en-US"/>
        </w:rPr>
        <w:t xml:space="preserve"> 33% respectively</w:t>
      </w:r>
      <w:r w:rsidR="003F61CF" w:rsidRPr="007018B5">
        <w:rPr>
          <w:szCs w:val="24"/>
          <w:lang w:val="en-US"/>
        </w:rPr>
        <w:t>). Rectal thickening</w:t>
      </w:r>
      <w:r w:rsidR="00D34361" w:rsidRPr="007018B5">
        <w:rPr>
          <w:szCs w:val="24"/>
          <w:lang w:val="en-US"/>
        </w:rPr>
        <w:t>, reflecting proctitis,</w:t>
      </w:r>
      <w:r w:rsidR="003F61CF" w:rsidRPr="007018B5">
        <w:rPr>
          <w:szCs w:val="24"/>
          <w:lang w:val="en-US"/>
        </w:rPr>
        <w:t xml:space="preserve"> was </w:t>
      </w:r>
      <w:r w:rsidR="00D34361" w:rsidRPr="007018B5">
        <w:rPr>
          <w:szCs w:val="24"/>
          <w:lang w:val="en-US"/>
        </w:rPr>
        <w:t>almost exclusively observed in the</w:t>
      </w:r>
      <w:r w:rsidR="003F61CF" w:rsidRPr="007018B5">
        <w:rPr>
          <w:szCs w:val="24"/>
          <w:lang w:val="en-US"/>
        </w:rPr>
        <w:t xml:space="preserve"> </w:t>
      </w:r>
      <w:r w:rsidR="0069097F" w:rsidRPr="007018B5">
        <w:rPr>
          <w:szCs w:val="24"/>
          <w:lang w:val="en-US"/>
        </w:rPr>
        <w:t>CD</w:t>
      </w:r>
      <w:r w:rsidR="003F61CF" w:rsidRPr="007018B5">
        <w:rPr>
          <w:szCs w:val="24"/>
          <w:lang w:val="en-US"/>
        </w:rPr>
        <w:t xml:space="preserve"> group (</w:t>
      </w:r>
      <w:r w:rsidR="00576490" w:rsidRPr="007018B5">
        <w:rPr>
          <w:szCs w:val="24"/>
          <w:lang w:val="en-US"/>
        </w:rPr>
        <w:fldChar w:fldCharType="begin"/>
      </w:r>
      <w:r w:rsidR="00576490" w:rsidRPr="007018B5">
        <w:rPr>
          <w:szCs w:val="24"/>
          <w:lang w:val="en-US"/>
        </w:rPr>
        <w:instrText xml:space="preserve"> REF _Ref498114382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Table 1</w:t>
      </w:r>
      <w:r w:rsidR="00576490" w:rsidRPr="007018B5">
        <w:rPr>
          <w:szCs w:val="24"/>
          <w:lang w:val="en-US"/>
        </w:rPr>
        <w:fldChar w:fldCharType="end"/>
      </w:r>
      <w:r w:rsidR="00580B18" w:rsidRPr="007018B5">
        <w:rPr>
          <w:szCs w:val="24"/>
          <w:lang w:val="en-US"/>
        </w:rPr>
        <w:t>).</w:t>
      </w:r>
    </w:p>
    <w:p w14:paraId="483999F1" w14:textId="77777777" w:rsidR="00327EC7" w:rsidRPr="007018B5" w:rsidRDefault="00327EC7" w:rsidP="007E3B89">
      <w:pPr>
        <w:adjustRightInd w:val="0"/>
        <w:snapToGrid w:val="0"/>
        <w:spacing w:before="0" w:after="0"/>
        <w:jc w:val="both"/>
        <w:rPr>
          <w:szCs w:val="24"/>
          <w:lang w:val="en-US"/>
        </w:rPr>
      </w:pPr>
    </w:p>
    <w:p w14:paraId="2113F89F" w14:textId="3FD6E67A" w:rsidR="00AF0EB5" w:rsidRPr="007018B5" w:rsidRDefault="00AF0EB5" w:rsidP="007E3B89">
      <w:pPr>
        <w:pStyle w:val="Heading2"/>
        <w:adjustRightInd w:val="0"/>
        <w:snapToGrid w:val="0"/>
        <w:spacing w:before="0" w:after="0"/>
        <w:jc w:val="both"/>
        <w:rPr>
          <w:szCs w:val="24"/>
          <w:lang w:val="en-US"/>
        </w:rPr>
      </w:pPr>
      <w:r w:rsidRPr="007018B5">
        <w:rPr>
          <w:szCs w:val="24"/>
          <w:lang w:val="en-US"/>
        </w:rPr>
        <w:t>Cytokin</w:t>
      </w:r>
      <w:r w:rsidR="00327EC7" w:rsidRPr="007018B5">
        <w:rPr>
          <w:szCs w:val="24"/>
          <w:lang w:val="en-US"/>
        </w:rPr>
        <w:t>e profiles</w:t>
      </w:r>
    </w:p>
    <w:p w14:paraId="6F66C517" w14:textId="2FAD5581" w:rsidR="00192234" w:rsidRPr="007018B5" w:rsidRDefault="00192234" w:rsidP="007E3B89">
      <w:pPr>
        <w:adjustRightInd w:val="0"/>
        <w:snapToGrid w:val="0"/>
        <w:spacing w:before="0" w:after="0"/>
        <w:jc w:val="both"/>
        <w:rPr>
          <w:szCs w:val="24"/>
          <w:lang w:val="en-US"/>
        </w:rPr>
      </w:pPr>
      <w:r w:rsidRPr="007018B5">
        <w:rPr>
          <w:szCs w:val="24"/>
          <w:lang w:val="en-US"/>
        </w:rPr>
        <w:t>All four specimen</w:t>
      </w:r>
      <w:r w:rsidR="000F0BC0" w:rsidRPr="007018B5">
        <w:rPr>
          <w:szCs w:val="24"/>
          <w:lang w:val="en-US"/>
        </w:rPr>
        <w:t xml:space="preserve"> </w:t>
      </w:r>
      <w:r w:rsidR="00EA6382" w:rsidRPr="007018B5">
        <w:rPr>
          <w:szCs w:val="24"/>
          <w:lang w:val="en-US"/>
        </w:rPr>
        <w:t>sites</w:t>
      </w:r>
      <w:r w:rsidRPr="007018B5">
        <w:rPr>
          <w:szCs w:val="24"/>
          <w:lang w:val="en-US"/>
        </w:rPr>
        <w:t xml:space="preserve"> yielded </w:t>
      </w:r>
      <w:r w:rsidR="005134CB" w:rsidRPr="007018B5">
        <w:rPr>
          <w:szCs w:val="24"/>
          <w:lang w:val="en-US"/>
        </w:rPr>
        <w:t>substantial</w:t>
      </w:r>
      <w:r w:rsidRPr="007018B5">
        <w:rPr>
          <w:szCs w:val="24"/>
          <w:lang w:val="en-US"/>
        </w:rPr>
        <w:t xml:space="preserve"> levels of IL-1RA</w:t>
      </w:r>
      <w:r w:rsidR="005134CB" w:rsidRPr="007018B5">
        <w:rPr>
          <w:szCs w:val="24"/>
          <w:lang w:val="en-US"/>
        </w:rPr>
        <w:t xml:space="preserve">, IL-6, MCP-1, RANTES, VEGF, </w:t>
      </w:r>
      <w:r w:rsidRPr="007018B5">
        <w:rPr>
          <w:szCs w:val="24"/>
          <w:lang w:val="en-US"/>
        </w:rPr>
        <w:t xml:space="preserve">G-CSF and IL-8. </w:t>
      </w:r>
      <w:r w:rsidR="001A0A8E" w:rsidRPr="007018B5">
        <w:rPr>
          <w:szCs w:val="24"/>
          <w:lang w:val="en-US"/>
        </w:rPr>
        <w:t>GM-CSF, IFN-</w:t>
      </w:r>
      <w:r w:rsidR="001A0A8E" w:rsidRPr="007018B5">
        <w:rPr>
          <w:szCs w:val="24"/>
          <w:lang w:val="en-US"/>
        </w:rPr>
        <w:sym w:font="Symbol" w:char="F061"/>
      </w:r>
      <w:r w:rsidR="001A0A8E" w:rsidRPr="007018B5">
        <w:rPr>
          <w:szCs w:val="24"/>
          <w:lang w:val="en-US"/>
        </w:rPr>
        <w:t>2, IP-10, MIP-1</w:t>
      </w:r>
      <w:r w:rsidR="001A0A8E" w:rsidRPr="007018B5">
        <w:rPr>
          <w:szCs w:val="24"/>
          <w:lang w:val="en-US"/>
        </w:rPr>
        <w:sym w:font="Symbol" w:char="F061"/>
      </w:r>
      <w:r w:rsidR="001A0A8E" w:rsidRPr="007018B5">
        <w:rPr>
          <w:szCs w:val="24"/>
          <w:lang w:val="en-US"/>
        </w:rPr>
        <w:t xml:space="preserve"> and MIP-1</w:t>
      </w:r>
      <w:r w:rsidR="001A0A8E" w:rsidRPr="007018B5">
        <w:rPr>
          <w:szCs w:val="24"/>
          <w:lang w:val="en-US"/>
        </w:rPr>
        <w:sym w:font="Symbol" w:char="F062"/>
      </w:r>
      <w:r w:rsidR="001A0A8E" w:rsidRPr="007018B5">
        <w:rPr>
          <w:szCs w:val="24"/>
          <w:lang w:val="en-US"/>
        </w:rPr>
        <w:t xml:space="preserve"> </w:t>
      </w:r>
      <w:r w:rsidRPr="007018B5">
        <w:rPr>
          <w:szCs w:val="24"/>
          <w:lang w:val="en-US"/>
        </w:rPr>
        <w:t xml:space="preserve">were also moderately abundant in the granulation tissue, internal opening and rectal mucosa. </w:t>
      </w:r>
      <w:r w:rsidR="001A0A8E" w:rsidRPr="007018B5">
        <w:rPr>
          <w:szCs w:val="24"/>
          <w:lang w:val="en-US"/>
        </w:rPr>
        <w:t>G</w:t>
      </w:r>
      <w:r w:rsidRPr="007018B5">
        <w:rPr>
          <w:szCs w:val="24"/>
          <w:lang w:val="en-US"/>
        </w:rPr>
        <w:t>ranulation tissue, compared to the other specimen sites, yielded higher concentration</w:t>
      </w:r>
      <w:r w:rsidR="00E73E5E" w:rsidRPr="007018B5">
        <w:rPr>
          <w:szCs w:val="24"/>
          <w:lang w:val="en-US"/>
        </w:rPr>
        <w:t>s</w:t>
      </w:r>
      <w:r w:rsidRPr="007018B5">
        <w:rPr>
          <w:szCs w:val="24"/>
          <w:lang w:val="en-US"/>
        </w:rPr>
        <w:t xml:space="preserve"> of G-CSF, IL-10, IL-1RA, and IL-1</w:t>
      </w:r>
      <w:r w:rsidRPr="007018B5">
        <w:rPr>
          <w:szCs w:val="24"/>
          <w:lang w:val="en-US"/>
        </w:rPr>
        <w:sym w:font="Symbol" w:char="F062"/>
      </w:r>
      <w:r w:rsidR="00C94948" w:rsidRPr="007018B5">
        <w:rPr>
          <w:szCs w:val="24"/>
          <w:lang w:val="en-US"/>
        </w:rPr>
        <w:t xml:space="preserve"> (</w:t>
      </w:r>
      <w:r w:rsidR="00576490" w:rsidRPr="007018B5">
        <w:rPr>
          <w:szCs w:val="24"/>
          <w:lang w:val="en-US"/>
        </w:rPr>
        <w:fldChar w:fldCharType="begin"/>
      </w:r>
      <w:r w:rsidR="00576490" w:rsidRPr="007018B5">
        <w:rPr>
          <w:szCs w:val="24"/>
          <w:lang w:val="en-US"/>
        </w:rPr>
        <w:instrText xml:space="preserve"> REF _Ref496213726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Figure 1</w:t>
      </w:r>
      <w:r w:rsidR="00576490" w:rsidRPr="007018B5">
        <w:rPr>
          <w:szCs w:val="24"/>
          <w:lang w:val="en-US"/>
        </w:rPr>
        <w:fldChar w:fldCharType="end"/>
      </w:r>
      <w:r w:rsidR="00C94948" w:rsidRPr="007018B5">
        <w:rPr>
          <w:szCs w:val="24"/>
          <w:lang w:val="en-US"/>
        </w:rPr>
        <w:t>).</w:t>
      </w:r>
    </w:p>
    <w:p w14:paraId="2B77B05C" w14:textId="2AFCE420" w:rsidR="00C94948" w:rsidRPr="007018B5" w:rsidRDefault="001A0A8E" w:rsidP="00650E61">
      <w:pPr>
        <w:adjustRightInd w:val="0"/>
        <w:snapToGrid w:val="0"/>
        <w:spacing w:before="0" w:after="0"/>
        <w:ind w:firstLineChars="100" w:firstLine="240"/>
        <w:jc w:val="both"/>
        <w:rPr>
          <w:szCs w:val="24"/>
          <w:lang w:val="en-US"/>
        </w:rPr>
      </w:pPr>
      <w:r w:rsidRPr="007018B5">
        <w:rPr>
          <w:szCs w:val="24"/>
          <w:lang w:val="en-US"/>
        </w:rPr>
        <w:t xml:space="preserve">Only two cytokines demonstrated </w:t>
      </w:r>
      <w:r w:rsidR="00192234" w:rsidRPr="007018B5">
        <w:rPr>
          <w:szCs w:val="24"/>
          <w:lang w:val="en-US"/>
        </w:rPr>
        <w:t xml:space="preserve">significant differences </w:t>
      </w:r>
      <w:r w:rsidR="005E0EA6" w:rsidRPr="007018B5">
        <w:rPr>
          <w:szCs w:val="24"/>
          <w:lang w:val="en-US"/>
        </w:rPr>
        <w:t xml:space="preserve">between </w:t>
      </w:r>
      <w:r w:rsidR="004443A1" w:rsidRPr="007018B5">
        <w:rPr>
          <w:szCs w:val="24"/>
          <w:lang w:val="en-US"/>
        </w:rPr>
        <w:t xml:space="preserve">the </w:t>
      </w:r>
      <w:r w:rsidR="005134CB" w:rsidRPr="007018B5">
        <w:rPr>
          <w:szCs w:val="24"/>
          <w:lang w:val="en-US"/>
        </w:rPr>
        <w:t xml:space="preserve">idiopathic and CD </w:t>
      </w:r>
      <w:r w:rsidR="005E0EA6" w:rsidRPr="007018B5">
        <w:rPr>
          <w:szCs w:val="24"/>
          <w:lang w:val="en-US"/>
        </w:rPr>
        <w:t>groups</w:t>
      </w:r>
      <w:r w:rsidR="00192234" w:rsidRPr="007018B5">
        <w:rPr>
          <w:szCs w:val="24"/>
          <w:lang w:val="en-US"/>
        </w:rPr>
        <w:t xml:space="preserve">. IL-12p70 concentration at the internal opening was higher in </w:t>
      </w:r>
      <w:r w:rsidR="0029415A" w:rsidRPr="007018B5">
        <w:rPr>
          <w:szCs w:val="24"/>
          <w:lang w:val="en-US"/>
        </w:rPr>
        <w:t xml:space="preserve">patients with </w:t>
      </w:r>
      <w:r w:rsidR="0069097F" w:rsidRPr="007018B5">
        <w:rPr>
          <w:szCs w:val="24"/>
          <w:lang w:val="en-US"/>
        </w:rPr>
        <w:t>CD</w:t>
      </w:r>
      <w:r w:rsidR="00192234" w:rsidRPr="007018B5">
        <w:rPr>
          <w:szCs w:val="24"/>
          <w:lang w:val="en-US"/>
        </w:rPr>
        <w:t xml:space="preserve"> </w:t>
      </w:r>
      <w:r w:rsidR="00CD5119" w:rsidRPr="007018B5">
        <w:rPr>
          <w:szCs w:val="24"/>
          <w:lang w:val="en-US"/>
        </w:rPr>
        <w:t xml:space="preserve">(28.3 </w:t>
      </w:r>
      <w:proofErr w:type="spellStart"/>
      <w:r w:rsidR="00CD5119" w:rsidRPr="007018B5">
        <w:rPr>
          <w:szCs w:val="24"/>
          <w:lang w:val="en-US"/>
        </w:rPr>
        <w:t>pg</w:t>
      </w:r>
      <w:proofErr w:type="spellEnd"/>
      <w:r w:rsidR="00CD5119" w:rsidRPr="007018B5">
        <w:rPr>
          <w:szCs w:val="24"/>
          <w:lang w:val="en-US"/>
        </w:rPr>
        <w:t>/m</w:t>
      </w:r>
      <w:r w:rsidR="00327EC7">
        <w:rPr>
          <w:szCs w:val="24"/>
          <w:lang w:val="en-US"/>
        </w:rPr>
        <w:t>L</w:t>
      </w:r>
      <w:r w:rsidR="00CD5119" w:rsidRPr="007018B5">
        <w:rPr>
          <w:szCs w:val="24"/>
          <w:lang w:val="en-US"/>
        </w:rPr>
        <w:t>, IQR = 7.4</w:t>
      </w:r>
      <w:r w:rsidR="00E97C8C">
        <w:rPr>
          <w:szCs w:val="24"/>
          <w:lang w:val="en-US"/>
        </w:rPr>
        <w:t>-</w:t>
      </w:r>
      <w:r w:rsidR="00CD5119" w:rsidRPr="007018B5">
        <w:rPr>
          <w:szCs w:val="24"/>
          <w:lang w:val="en-US"/>
        </w:rPr>
        <w:t>50.1</w:t>
      </w:r>
      <w:r w:rsidRPr="007018B5">
        <w:rPr>
          <w:szCs w:val="24"/>
          <w:lang w:val="en-US"/>
        </w:rPr>
        <w:t xml:space="preserve"> </w:t>
      </w:r>
      <w:r w:rsidR="002C3D42">
        <w:rPr>
          <w:i/>
          <w:szCs w:val="24"/>
          <w:lang w:val="en-US"/>
        </w:rPr>
        <w:t>vs</w:t>
      </w:r>
      <w:r w:rsidRPr="007018B5">
        <w:rPr>
          <w:szCs w:val="24"/>
          <w:lang w:val="en-US"/>
        </w:rPr>
        <w:t xml:space="preserve"> idiopathic </w:t>
      </w:r>
      <w:r w:rsidR="00CD5119" w:rsidRPr="007018B5">
        <w:rPr>
          <w:szCs w:val="24"/>
          <w:lang w:val="en-US"/>
        </w:rPr>
        <w:t xml:space="preserve">7.4 </w:t>
      </w:r>
      <w:proofErr w:type="spellStart"/>
      <w:r w:rsidR="00CD5119" w:rsidRPr="007018B5">
        <w:rPr>
          <w:szCs w:val="24"/>
          <w:lang w:val="en-US"/>
        </w:rPr>
        <w:t>pg</w:t>
      </w:r>
      <w:proofErr w:type="spellEnd"/>
      <w:r w:rsidR="00CD5119" w:rsidRPr="007018B5">
        <w:rPr>
          <w:szCs w:val="24"/>
          <w:lang w:val="en-US"/>
        </w:rPr>
        <w:t>/m</w:t>
      </w:r>
      <w:r w:rsidR="00327EC7">
        <w:rPr>
          <w:szCs w:val="24"/>
          <w:lang w:val="en-US"/>
        </w:rPr>
        <w:t>L</w:t>
      </w:r>
      <w:r w:rsidR="00CD5119" w:rsidRPr="007018B5">
        <w:rPr>
          <w:szCs w:val="24"/>
          <w:lang w:val="en-US"/>
        </w:rPr>
        <w:t>, 4.6</w:t>
      </w:r>
      <w:r w:rsidR="00E97C8C">
        <w:rPr>
          <w:szCs w:val="24"/>
          <w:lang w:val="en-US"/>
        </w:rPr>
        <w:t>-</w:t>
      </w:r>
      <w:r w:rsidR="00CD5119" w:rsidRPr="007018B5">
        <w:rPr>
          <w:szCs w:val="24"/>
          <w:lang w:val="en-US"/>
        </w:rPr>
        <w:t>12.7). The median difference was</w:t>
      </w:r>
      <w:r w:rsidR="0029415A" w:rsidRPr="007018B5">
        <w:rPr>
          <w:szCs w:val="24"/>
          <w:lang w:val="en-US"/>
        </w:rPr>
        <w:t xml:space="preserve"> 19.7 </w:t>
      </w:r>
      <w:proofErr w:type="spellStart"/>
      <w:r w:rsidR="0029415A" w:rsidRPr="007018B5">
        <w:rPr>
          <w:szCs w:val="24"/>
          <w:lang w:val="en-US"/>
        </w:rPr>
        <w:t>pg</w:t>
      </w:r>
      <w:proofErr w:type="spellEnd"/>
      <w:r w:rsidR="0029415A" w:rsidRPr="007018B5">
        <w:rPr>
          <w:szCs w:val="24"/>
          <w:lang w:val="en-US"/>
        </w:rPr>
        <w:t>/m</w:t>
      </w:r>
      <w:r w:rsidR="00327EC7">
        <w:rPr>
          <w:szCs w:val="24"/>
          <w:lang w:val="en-US"/>
        </w:rPr>
        <w:t>L</w:t>
      </w:r>
      <w:r w:rsidR="0029415A" w:rsidRPr="007018B5">
        <w:rPr>
          <w:szCs w:val="24"/>
          <w:lang w:val="en-US"/>
        </w:rPr>
        <w:t xml:space="preserve"> </w:t>
      </w:r>
      <w:r w:rsidR="00CD5119" w:rsidRPr="007018B5">
        <w:rPr>
          <w:szCs w:val="24"/>
          <w:lang w:val="en-US"/>
        </w:rPr>
        <w:t>(</w:t>
      </w:r>
      <w:r w:rsidR="0029415A" w:rsidRPr="007018B5">
        <w:rPr>
          <w:szCs w:val="24"/>
          <w:lang w:val="en-US"/>
        </w:rPr>
        <w:t>99%CI: 0.2</w:t>
      </w:r>
      <w:r w:rsidR="00E97C8C">
        <w:rPr>
          <w:szCs w:val="24"/>
          <w:lang w:val="en-US"/>
        </w:rPr>
        <w:t>-</w:t>
      </w:r>
      <w:r w:rsidR="0029415A" w:rsidRPr="007018B5">
        <w:rPr>
          <w:szCs w:val="24"/>
          <w:lang w:val="en-US"/>
        </w:rPr>
        <w:t>40.4</w:t>
      </w:r>
      <w:r w:rsidR="00CD5119" w:rsidRPr="007018B5">
        <w:rPr>
          <w:szCs w:val="24"/>
          <w:lang w:val="en-US"/>
        </w:rPr>
        <w:t>,</w:t>
      </w:r>
      <w:r w:rsidR="0029415A" w:rsidRPr="007018B5">
        <w:rPr>
          <w:szCs w:val="24"/>
          <w:lang w:val="en-US"/>
        </w:rPr>
        <w:t xml:space="preserve"> </w:t>
      </w:r>
      <w:r w:rsidR="000F4D89" w:rsidRPr="007018B5">
        <w:rPr>
          <w:i/>
          <w:szCs w:val="24"/>
          <w:lang w:val="en-US"/>
        </w:rPr>
        <w:t>P</w:t>
      </w:r>
      <w:r w:rsidR="00CD5119" w:rsidRPr="007018B5">
        <w:rPr>
          <w:szCs w:val="24"/>
          <w:lang w:val="en-US"/>
        </w:rPr>
        <w:t xml:space="preserve"> </w:t>
      </w:r>
      <w:r w:rsidR="0029415A" w:rsidRPr="007018B5">
        <w:rPr>
          <w:szCs w:val="24"/>
          <w:lang w:val="en-US"/>
        </w:rPr>
        <w:t>= 0.008)</w:t>
      </w:r>
      <w:r w:rsidR="00192234" w:rsidRPr="007018B5">
        <w:rPr>
          <w:szCs w:val="24"/>
          <w:lang w:val="en-US"/>
        </w:rPr>
        <w:t>.</w:t>
      </w:r>
      <w:r w:rsidR="0029415A" w:rsidRPr="007018B5">
        <w:rPr>
          <w:szCs w:val="24"/>
          <w:lang w:val="en-US"/>
        </w:rPr>
        <w:t xml:space="preserve"> </w:t>
      </w:r>
      <w:r w:rsidRPr="007018B5">
        <w:rPr>
          <w:szCs w:val="24"/>
          <w:lang w:val="en-US"/>
        </w:rPr>
        <w:t>T</w:t>
      </w:r>
      <w:r w:rsidR="0029415A" w:rsidRPr="007018B5">
        <w:rPr>
          <w:szCs w:val="24"/>
          <w:lang w:val="en-US"/>
        </w:rPr>
        <w:t xml:space="preserve">he </w:t>
      </w:r>
      <w:r w:rsidR="00192234" w:rsidRPr="007018B5">
        <w:rPr>
          <w:szCs w:val="24"/>
          <w:lang w:val="en-US"/>
        </w:rPr>
        <w:t>IL-1RA/IL-1</w:t>
      </w:r>
      <w:r w:rsidR="00192234" w:rsidRPr="007018B5">
        <w:rPr>
          <w:szCs w:val="24"/>
          <w:lang w:val="en-US"/>
        </w:rPr>
        <w:sym w:font="Symbol" w:char="F062"/>
      </w:r>
      <w:r w:rsidR="00192234" w:rsidRPr="007018B5">
        <w:rPr>
          <w:szCs w:val="24"/>
          <w:lang w:val="en-US"/>
        </w:rPr>
        <w:t xml:space="preserve"> ratio was </w:t>
      </w:r>
      <w:r w:rsidR="00192234" w:rsidRPr="007018B5">
        <w:rPr>
          <w:szCs w:val="24"/>
          <w:lang w:val="en-US"/>
        </w:rPr>
        <w:lastRenderedPageBreak/>
        <w:t xml:space="preserve">significantly lower in </w:t>
      </w:r>
      <w:r w:rsidR="0069097F" w:rsidRPr="007018B5">
        <w:rPr>
          <w:szCs w:val="24"/>
          <w:lang w:val="en-US"/>
        </w:rPr>
        <w:t>CD</w:t>
      </w:r>
      <w:r w:rsidR="00192234" w:rsidRPr="007018B5">
        <w:rPr>
          <w:szCs w:val="24"/>
          <w:lang w:val="en-US"/>
        </w:rPr>
        <w:t xml:space="preserve"> </w:t>
      </w:r>
      <w:r w:rsidR="00C94948" w:rsidRPr="007018B5">
        <w:rPr>
          <w:szCs w:val="24"/>
          <w:lang w:val="en-US"/>
        </w:rPr>
        <w:t>group</w:t>
      </w:r>
      <w:r w:rsidR="0029415A" w:rsidRPr="007018B5">
        <w:rPr>
          <w:szCs w:val="24"/>
          <w:lang w:val="en-US"/>
        </w:rPr>
        <w:t xml:space="preserve"> </w:t>
      </w:r>
      <w:r w:rsidR="00192234" w:rsidRPr="007018B5">
        <w:rPr>
          <w:szCs w:val="24"/>
          <w:lang w:val="en-US"/>
        </w:rPr>
        <w:t xml:space="preserve">at the internal opening </w:t>
      </w:r>
      <w:r w:rsidR="0030656E" w:rsidRPr="007018B5">
        <w:rPr>
          <w:szCs w:val="24"/>
          <w:lang w:val="en-US"/>
        </w:rPr>
        <w:t xml:space="preserve">(3.3, IQR = </w:t>
      </w:r>
      <w:r w:rsidR="00192234" w:rsidRPr="007018B5">
        <w:rPr>
          <w:szCs w:val="24"/>
          <w:lang w:val="en-US"/>
        </w:rPr>
        <w:t>1.8</w:t>
      </w:r>
      <w:r w:rsidR="00E97C8C">
        <w:rPr>
          <w:szCs w:val="24"/>
          <w:lang w:val="en-US"/>
        </w:rPr>
        <w:t>-</w:t>
      </w:r>
      <w:r w:rsidR="00192234" w:rsidRPr="007018B5">
        <w:rPr>
          <w:szCs w:val="24"/>
          <w:lang w:val="en-US"/>
        </w:rPr>
        <w:t>7.6</w:t>
      </w:r>
      <w:r w:rsidRPr="007018B5">
        <w:rPr>
          <w:szCs w:val="24"/>
          <w:lang w:val="en-US"/>
        </w:rPr>
        <w:t xml:space="preserve"> </w:t>
      </w:r>
      <w:r w:rsidR="002C3D42">
        <w:rPr>
          <w:i/>
          <w:szCs w:val="24"/>
          <w:lang w:val="en-US"/>
        </w:rPr>
        <w:t>vs</w:t>
      </w:r>
      <w:r w:rsidRPr="007018B5">
        <w:rPr>
          <w:szCs w:val="24"/>
          <w:lang w:val="en-US"/>
        </w:rPr>
        <w:t xml:space="preserve"> idiopathic </w:t>
      </w:r>
      <w:r w:rsidR="0030656E" w:rsidRPr="007018B5">
        <w:rPr>
          <w:szCs w:val="24"/>
          <w:lang w:val="en-US"/>
        </w:rPr>
        <w:t xml:space="preserve">19.0, </w:t>
      </w:r>
      <w:r w:rsidR="00192234" w:rsidRPr="007018B5">
        <w:rPr>
          <w:szCs w:val="24"/>
          <w:lang w:val="en-US"/>
        </w:rPr>
        <w:t>4.3</w:t>
      </w:r>
      <w:r w:rsidR="00E97C8C">
        <w:rPr>
          <w:szCs w:val="24"/>
          <w:lang w:val="en-US"/>
        </w:rPr>
        <w:t>-</w:t>
      </w:r>
      <w:r w:rsidR="00192234" w:rsidRPr="007018B5">
        <w:rPr>
          <w:szCs w:val="24"/>
          <w:lang w:val="en-US"/>
        </w:rPr>
        <w:t>51.2). The median difference was 15.0 (99%CI</w:t>
      </w:r>
      <w:r w:rsidR="00327EC7">
        <w:rPr>
          <w:szCs w:val="24"/>
          <w:lang w:val="en-US"/>
        </w:rPr>
        <w:t>:</w:t>
      </w:r>
      <w:r w:rsidR="00192234" w:rsidRPr="007018B5">
        <w:rPr>
          <w:szCs w:val="24"/>
          <w:lang w:val="en-US"/>
        </w:rPr>
        <w:t xml:space="preserve"> 0.4</w:t>
      </w:r>
      <w:r w:rsidR="00E97C8C">
        <w:rPr>
          <w:szCs w:val="24"/>
          <w:lang w:val="en-US"/>
        </w:rPr>
        <w:t>-</w:t>
      </w:r>
      <w:r w:rsidR="00192234" w:rsidRPr="007018B5">
        <w:rPr>
          <w:szCs w:val="24"/>
          <w:lang w:val="en-US"/>
        </w:rPr>
        <w:t xml:space="preserve">50.5, </w:t>
      </w:r>
      <w:r w:rsidR="000F4D89" w:rsidRPr="007018B5">
        <w:rPr>
          <w:i/>
          <w:szCs w:val="24"/>
          <w:lang w:val="en-US"/>
        </w:rPr>
        <w:t>P</w:t>
      </w:r>
      <w:r w:rsidR="00192234" w:rsidRPr="007018B5">
        <w:rPr>
          <w:szCs w:val="24"/>
          <w:lang w:val="en-US"/>
        </w:rPr>
        <w:t xml:space="preserve"> = 0.008)</w:t>
      </w:r>
      <w:r w:rsidR="00C94948" w:rsidRPr="007018B5">
        <w:rPr>
          <w:szCs w:val="24"/>
          <w:lang w:val="en-US"/>
        </w:rPr>
        <w:t xml:space="preserve"> (</w:t>
      </w:r>
      <w:r w:rsidR="0066396F" w:rsidRPr="007018B5">
        <w:rPr>
          <w:szCs w:val="24"/>
          <w:lang w:val="en-US"/>
        </w:rPr>
        <w:fldChar w:fldCharType="begin"/>
      </w:r>
      <w:r w:rsidR="0066396F" w:rsidRPr="007018B5">
        <w:rPr>
          <w:szCs w:val="24"/>
          <w:lang w:val="en-US"/>
        </w:rPr>
        <w:instrText xml:space="preserve"> REF _Ref6407445 \h </w:instrText>
      </w:r>
      <w:r w:rsidR="007018B5" w:rsidRPr="007018B5">
        <w:rPr>
          <w:szCs w:val="24"/>
          <w:lang w:val="en-US"/>
        </w:rPr>
        <w:instrText xml:space="preserve"> \* MERGEFORMAT </w:instrText>
      </w:r>
      <w:r w:rsidR="0066396F" w:rsidRPr="007018B5">
        <w:rPr>
          <w:szCs w:val="24"/>
          <w:lang w:val="en-US"/>
        </w:rPr>
      </w:r>
      <w:r w:rsidR="0066396F" w:rsidRPr="007018B5">
        <w:rPr>
          <w:szCs w:val="24"/>
          <w:lang w:val="en-US"/>
        </w:rPr>
        <w:fldChar w:fldCharType="separate"/>
      </w:r>
      <w:r w:rsidR="00FB6502" w:rsidRPr="007018B5">
        <w:rPr>
          <w:szCs w:val="24"/>
          <w:lang w:val="en-US"/>
        </w:rPr>
        <w:t>Figure 2</w:t>
      </w:r>
      <w:r w:rsidR="0066396F" w:rsidRPr="007018B5">
        <w:rPr>
          <w:szCs w:val="24"/>
          <w:lang w:val="en-US"/>
        </w:rPr>
        <w:fldChar w:fldCharType="end"/>
      </w:r>
      <w:r w:rsidR="00C94948" w:rsidRPr="007018B5">
        <w:rPr>
          <w:szCs w:val="24"/>
          <w:lang w:val="en-US"/>
        </w:rPr>
        <w:t>).</w:t>
      </w:r>
    </w:p>
    <w:p w14:paraId="4E1921DA" w14:textId="42C86C47" w:rsidR="00192234" w:rsidRDefault="00192234" w:rsidP="00650E61">
      <w:pPr>
        <w:adjustRightInd w:val="0"/>
        <w:snapToGrid w:val="0"/>
        <w:spacing w:before="0" w:after="0"/>
        <w:ind w:firstLineChars="100" w:firstLine="240"/>
        <w:jc w:val="both"/>
        <w:rPr>
          <w:szCs w:val="24"/>
          <w:lang w:val="en-US"/>
        </w:rPr>
      </w:pPr>
      <w:r w:rsidRPr="007018B5">
        <w:rPr>
          <w:szCs w:val="24"/>
          <w:lang w:val="en-US"/>
        </w:rPr>
        <w:t xml:space="preserve">There were no significant differences </w:t>
      </w:r>
      <w:r w:rsidR="008317C1" w:rsidRPr="007018B5">
        <w:rPr>
          <w:szCs w:val="24"/>
          <w:lang w:val="en-US"/>
        </w:rPr>
        <w:t xml:space="preserve">between the groups </w:t>
      </w:r>
      <w:r w:rsidR="00EA6382" w:rsidRPr="007018B5">
        <w:rPr>
          <w:szCs w:val="24"/>
          <w:lang w:val="en-US"/>
        </w:rPr>
        <w:t xml:space="preserve">for </w:t>
      </w:r>
      <w:r w:rsidRPr="007018B5">
        <w:rPr>
          <w:szCs w:val="24"/>
          <w:lang w:val="en-US"/>
        </w:rPr>
        <w:t xml:space="preserve">any other cytokine concentrations at the four specimen </w:t>
      </w:r>
      <w:r w:rsidR="00B75998" w:rsidRPr="007018B5">
        <w:rPr>
          <w:szCs w:val="24"/>
          <w:lang w:val="en-US"/>
        </w:rPr>
        <w:t>sites</w:t>
      </w:r>
      <w:r w:rsidR="00E91EB4" w:rsidRPr="007018B5">
        <w:rPr>
          <w:szCs w:val="24"/>
          <w:lang w:val="en-US"/>
        </w:rPr>
        <w:t xml:space="preserve">. </w:t>
      </w:r>
      <w:r w:rsidRPr="007018B5">
        <w:rPr>
          <w:szCs w:val="24"/>
          <w:lang w:val="en-US"/>
        </w:rPr>
        <w:t xml:space="preserve">There were also no significant differences in the cytokine concentrations </w:t>
      </w:r>
      <w:r w:rsidR="00E06253" w:rsidRPr="007018B5">
        <w:rPr>
          <w:szCs w:val="24"/>
          <w:lang w:val="en-US"/>
        </w:rPr>
        <w:t>in</w:t>
      </w:r>
      <w:r w:rsidRPr="007018B5">
        <w:rPr>
          <w:szCs w:val="24"/>
          <w:lang w:val="en-US"/>
        </w:rPr>
        <w:t xml:space="preserve"> the rectal mucosa </w:t>
      </w:r>
      <w:r w:rsidR="00E06253" w:rsidRPr="007018B5">
        <w:rPr>
          <w:szCs w:val="24"/>
          <w:lang w:val="en-US"/>
        </w:rPr>
        <w:t xml:space="preserve">between the </w:t>
      </w:r>
      <w:r w:rsidR="0069097F" w:rsidRPr="007018B5">
        <w:rPr>
          <w:szCs w:val="24"/>
          <w:lang w:val="en-US"/>
        </w:rPr>
        <w:t>CD</w:t>
      </w:r>
      <w:r w:rsidR="00E06253" w:rsidRPr="007018B5">
        <w:rPr>
          <w:szCs w:val="24"/>
          <w:lang w:val="en-US"/>
        </w:rPr>
        <w:t xml:space="preserve"> group and the healthy controls</w:t>
      </w:r>
      <w:r w:rsidR="00B75998" w:rsidRPr="007018B5">
        <w:rPr>
          <w:szCs w:val="24"/>
          <w:lang w:val="en-US"/>
        </w:rPr>
        <w:t xml:space="preserve"> </w:t>
      </w:r>
      <w:r w:rsidR="00C94948" w:rsidRPr="007018B5">
        <w:rPr>
          <w:szCs w:val="24"/>
          <w:lang w:val="en-US"/>
        </w:rPr>
        <w:t>(</w:t>
      </w:r>
      <w:r w:rsidR="00576490" w:rsidRPr="007018B5">
        <w:rPr>
          <w:szCs w:val="24"/>
          <w:lang w:val="en-US"/>
        </w:rPr>
        <w:fldChar w:fldCharType="begin"/>
      </w:r>
      <w:r w:rsidR="00576490" w:rsidRPr="007018B5">
        <w:rPr>
          <w:szCs w:val="24"/>
          <w:lang w:val="en-US"/>
        </w:rPr>
        <w:instrText xml:space="preserve"> REF _Ref513820201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 xml:space="preserve">Supplementary </w:t>
      </w:r>
      <w:r w:rsidR="001C6B7E" w:rsidRPr="007018B5">
        <w:rPr>
          <w:szCs w:val="24"/>
          <w:lang w:val="en-US"/>
        </w:rPr>
        <w:t>Figure</w:t>
      </w:r>
      <w:r w:rsidR="00576490" w:rsidRPr="007018B5">
        <w:rPr>
          <w:szCs w:val="24"/>
          <w:lang w:val="en-US"/>
        </w:rPr>
        <w:fldChar w:fldCharType="end"/>
      </w:r>
      <w:r w:rsidR="001C6B7E" w:rsidRPr="007018B5">
        <w:rPr>
          <w:szCs w:val="24"/>
          <w:lang w:val="en-US"/>
        </w:rPr>
        <w:t xml:space="preserve"> 2</w:t>
      </w:r>
      <w:r w:rsidR="00791794" w:rsidRPr="007018B5">
        <w:rPr>
          <w:szCs w:val="24"/>
          <w:lang w:val="en-US"/>
        </w:rPr>
        <w:t>).</w:t>
      </w:r>
    </w:p>
    <w:p w14:paraId="1DEEB2AB" w14:textId="77777777" w:rsidR="00327EC7" w:rsidRPr="007018B5" w:rsidRDefault="00327EC7" w:rsidP="007E3B89">
      <w:pPr>
        <w:adjustRightInd w:val="0"/>
        <w:snapToGrid w:val="0"/>
        <w:spacing w:before="0" w:after="0"/>
        <w:jc w:val="both"/>
        <w:rPr>
          <w:szCs w:val="24"/>
          <w:lang w:val="en-US"/>
        </w:rPr>
      </w:pPr>
    </w:p>
    <w:p w14:paraId="231F0DD7" w14:textId="2F9A6F3D" w:rsidR="00AF0EB5" w:rsidRPr="007018B5" w:rsidRDefault="00AF0EB5" w:rsidP="007E3B89">
      <w:pPr>
        <w:pStyle w:val="Heading2"/>
        <w:adjustRightInd w:val="0"/>
        <w:snapToGrid w:val="0"/>
        <w:spacing w:before="0" w:after="0"/>
        <w:jc w:val="both"/>
        <w:rPr>
          <w:szCs w:val="24"/>
          <w:lang w:val="en-US"/>
        </w:rPr>
      </w:pPr>
      <w:r w:rsidRPr="007018B5">
        <w:rPr>
          <w:szCs w:val="24"/>
          <w:lang w:val="en-US"/>
        </w:rPr>
        <w:t xml:space="preserve">Phosphoprotein </w:t>
      </w:r>
      <w:r w:rsidR="00327EC7">
        <w:rPr>
          <w:szCs w:val="24"/>
          <w:lang w:val="en-US"/>
        </w:rPr>
        <w:t>p</w:t>
      </w:r>
      <w:r w:rsidRPr="007018B5">
        <w:rPr>
          <w:szCs w:val="24"/>
          <w:lang w:val="en-US"/>
        </w:rPr>
        <w:t>rofiles</w:t>
      </w:r>
    </w:p>
    <w:p w14:paraId="157D2F77" w14:textId="075CB744" w:rsidR="00AF0EB5" w:rsidRPr="007018B5" w:rsidRDefault="00AF0EB5" w:rsidP="007E3B89">
      <w:pPr>
        <w:adjustRightInd w:val="0"/>
        <w:snapToGrid w:val="0"/>
        <w:spacing w:before="0" w:after="0"/>
        <w:jc w:val="both"/>
        <w:rPr>
          <w:szCs w:val="24"/>
          <w:lang w:val="en-US"/>
        </w:rPr>
      </w:pPr>
      <w:r w:rsidRPr="007018B5">
        <w:rPr>
          <w:szCs w:val="24"/>
          <w:lang w:val="en-US"/>
        </w:rPr>
        <w:t>All four specimen</w:t>
      </w:r>
      <w:r w:rsidR="00EA6382" w:rsidRPr="007018B5">
        <w:rPr>
          <w:szCs w:val="24"/>
          <w:lang w:val="en-US"/>
        </w:rPr>
        <w:t xml:space="preserve"> sites</w:t>
      </w:r>
      <w:r w:rsidRPr="007018B5">
        <w:rPr>
          <w:szCs w:val="24"/>
          <w:lang w:val="en-US"/>
        </w:rPr>
        <w:t xml:space="preserve"> yielded signals across both </w:t>
      </w:r>
      <w:r w:rsidR="009768D3" w:rsidRPr="007018B5">
        <w:rPr>
          <w:szCs w:val="24"/>
          <w:lang w:val="en-US"/>
        </w:rPr>
        <w:t>patient</w:t>
      </w:r>
      <w:r w:rsidRPr="007018B5">
        <w:rPr>
          <w:szCs w:val="24"/>
          <w:lang w:val="en-US"/>
        </w:rPr>
        <w:t xml:space="preserve"> groups f</w:t>
      </w:r>
      <w:r w:rsidR="0089777B" w:rsidRPr="007018B5">
        <w:rPr>
          <w:szCs w:val="24"/>
          <w:lang w:val="en-US"/>
        </w:rPr>
        <w:t>or EGFR, HER2, HER3</w:t>
      </w:r>
      <w:r w:rsidRPr="007018B5">
        <w:rPr>
          <w:szCs w:val="24"/>
          <w:lang w:val="en-US"/>
        </w:rPr>
        <w:t xml:space="preserve">, FGFR1, FGFR3, FGFR4, Stat1, and Stat3. In the rectal mucosa, </w:t>
      </w:r>
      <w:r w:rsidR="00B75998" w:rsidRPr="007018B5">
        <w:rPr>
          <w:szCs w:val="24"/>
          <w:lang w:val="en-US"/>
        </w:rPr>
        <w:t xml:space="preserve">we observed </w:t>
      </w:r>
      <w:r w:rsidRPr="007018B5">
        <w:rPr>
          <w:szCs w:val="24"/>
          <w:lang w:val="en-US"/>
        </w:rPr>
        <w:t xml:space="preserve">positive </w:t>
      </w:r>
      <w:r w:rsidR="00076484" w:rsidRPr="007018B5">
        <w:rPr>
          <w:szCs w:val="24"/>
          <w:lang w:val="en-US"/>
        </w:rPr>
        <w:t>signals</w:t>
      </w:r>
      <w:r w:rsidR="00B75998" w:rsidRPr="007018B5">
        <w:rPr>
          <w:szCs w:val="24"/>
          <w:lang w:val="en-US"/>
        </w:rPr>
        <w:t xml:space="preserve"> </w:t>
      </w:r>
      <w:r w:rsidR="0089777B" w:rsidRPr="007018B5">
        <w:rPr>
          <w:szCs w:val="24"/>
          <w:lang w:val="en-US"/>
        </w:rPr>
        <w:t xml:space="preserve">for </w:t>
      </w:r>
      <w:proofErr w:type="spellStart"/>
      <w:r w:rsidR="0089777B" w:rsidRPr="007018B5">
        <w:rPr>
          <w:szCs w:val="24"/>
          <w:lang w:val="en-US"/>
        </w:rPr>
        <w:t>InsR</w:t>
      </w:r>
      <w:proofErr w:type="spellEnd"/>
      <w:r w:rsidR="0089777B" w:rsidRPr="007018B5">
        <w:rPr>
          <w:szCs w:val="24"/>
          <w:lang w:val="en-US"/>
        </w:rPr>
        <w:t xml:space="preserve">, IGF-1R, c-Kit, Tie2, </w:t>
      </w:r>
      <w:proofErr w:type="spellStart"/>
      <w:r w:rsidR="0089777B" w:rsidRPr="007018B5">
        <w:rPr>
          <w:szCs w:val="24"/>
          <w:lang w:val="en-US"/>
        </w:rPr>
        <w:t>Akt</w:t>
      </w:r>
      <w:proofErr w:type="spellEnd"/>
      <w:r w:rsidRPr="007018B5">
        <w:rPr>
          <w:szCs w:val="24"/>
          <w:lang w:val="en-US"/>
        </w:rPr>
        <w:t xml:space="preserve"> at phosphorylation site Thr308, S6 Ribosomal Protein, IRS-1 and </w:t>
      </w:r>
      <w:proofErr w:type="spellStart"/>
      <w:r w:rsidRPr="007018B5">
        <w:rPr>
          <w:szCs w:val="24"/>
          <w:lang w:val="en-US"/>
        </w:rPr>
        <w:t>Src</w:t>
      </w:r>
      <w:proofErr w:type="spellEnd"/>
      <w:r w:rsidRPr="007018B5">
        <w:rPr>
          <w:szCs w:val="24"/>
          <w:lang w:val="en-US"/>
        </w:rPr>
        <w:t xml:space="preserve"> in both </w:t>
      </w:r>
      <w:r w:rsidR="009768D3" w:rsidRPr="007018B5">
        <w:rPr>
          <w:szCs w:val="24"/>
          <w:lang w:val="en-US"/>
        </w:rPr>
        <w:t>patient</w:t>
      </w:r>
      <w:r w:rsidRPr="007018B5">
        <w:rPr>
          <w:szCs w:val="24"/>
          <w:lang w:val="en-US"/>
        </w:rPr>
        <w:t xml:space="preserve"> groups and the healthy </w:t>
      </w:r>
      <w:r w:rsidR="00B75998" w:rsidRPr="007018B5">
        <w:rPr>
          <w:szCs w:val="24"/>
          <w:lang w:val="en-US"/>
        </w:rPr>
        <w:t>controls</w:t>
      </w:r>
      <w:r w:rsidR="006B6D4B" w:rsidRPr="007018B5">
        <w:rPr>
          <w:szCs w:val="24"/>
          <w:lang w:val="en-US"/>
        </w:rPr>
        <w:t xml:space="preserve">. There were no significant differences in phosphoprotein levels between the </w:t>
      </w:r>
      <w:r w:rsidR="00D17869" w:rsidRPr="007018B5">
        <w:rPr>
          <w:szCs w:val="24"/>
          <w:lang w:val="en-US"/>
        </w:rPr>
        <w:t>patient</w:t>
      </w:r>
      <w:r w:rsidR="006B6D4B" w:rsidRPr="007018B5">
        <w:rPr>
          <w:szCs w:val="24"/>
          <w:lang w:val="en-US"/>
        </w:rPr>
        <w:t xml:space="preserve"> groups at any of specimen sites </w:t>
      </w:r>
      <w:r w:rsidR="00B75998" w:rsidRPr="007018B5">
        <w:rPr>
          <w:szCs w:val="24"/>
          <w:lang w:val="en-US"/>
        </w:rPr>
        <w:t>(</w:t>
      </w:r>
      <w:r w:rsidR="0066396F" w:rsidRPr="007018B5">
        <w:rPr>
          <w:szCs w:val="24"/>
          <w:lang w:val="en-US"/>
        </w:rPr>
        <w:fldChar w:fldCharType="begin"/>
      </w:r>
      <w:r w:rsidR="0066396F" w:rsidRPr="007018B5">
        <w:rPr>
          <w:szCs w:val="24"/>
          <w:lang w:val="en-US"/>
        </w:rPr>
        <w:instrText xml:space="preserve"> REF _Ref6407505 \h </w:instrText>
      </w:r>
      <w:r w:rsidR="007018B5" w:rsidRPr="007018B5">
        <w:rPr>
          <w:szCs w:val="24"/>
          <w:lang w:val="en-US"/>
        </w:rPr>
        <w:instrText xml:space="preserve"> \* MERGEFORMAT </w:instrText>
      </w:r>
      <w:r w:rsidR="0066396F" w:rsidRPr="007018B5">
        <w:rPr>
          <w:szCs w:val="24"/>
          <w:lang w:val="en-US"/>
        </w:rPr>
      </w:r>
      <w:r w:rsidR="0066396F" w:rsidRPr="007018B5">
        <w:rPr>
          <w:szCs w:val="24"/>
          <w:lang w:val="en-US"/>
        </w:rPr>
        <w:fldChar w:fldCharType="separate"/>
      </w:r>
      <w:r w:rsidR="00FB6502" w:rsidRPr="007018B5">
        <w:rPr>
          <w:szCs w:val="24"/>
          <w:lang w:val="en-US"/>
        </w:rPr>
        <w:t>Figure 3</w:t>
      </w:r>
      <w:r w:rsidR="0066396F" w:rsidRPr="007018B5">
        <w:rPr>
          <w:szCs w:val="24"/>
          <w:lang w:val="en-US"/>
        </w:rPr>
        <w:fldChar w:fldCharType="end"/>
      </w:r>
      <w:r w:rsidR="00B75998" w:rsidRPr="007018B5">
        <w:rPr>
          <w:szCs w:val="24"/>
          <w:lang w:val="en-US"/>
        </w:rPr>
        <w:t>).</w:t>
      </w:r>
    </w:p>
    <w:p w14:paraId="6E867078" w14:textId="52AA48E8" w:rsidR="00FF16EE" w:rsidRDefault="00AF0EB5" w:rsidP="00650E61">
      <w:pPr>
        <w:adjustRightInd w:val="0"/>
        <w:snapToGrid w:val="0"/>
        <w:spacing w:before="0" w:after="0"/>
        <w:ind w:firstLineChars="100" w:firstLine="240"/>
        <w:jc w:val="both"/>
        <w:rPr>
          <w:szCs w:val="24"/>
          <w:lang w:val="en-US"/>
        </w:rPr>
      </w:pPr>
      <w:r w:rsidRPr="007018B5">
        <w:rPr>
          <w:szCs w:val="24"/>
          <w:lang w:val="en-US"/>
        </w:rPr>
        <w:t xml:space="preserve">When comparing the </w:t>
      </w:r>
      <w:r w:rsidR="0069097F" w:rsidRPr="007018B5">
        <w:rPr>
          <w:szCs w:val="24"/>
          <w:lang w:val="en-US"/>
        </w:rPr>
        <w:t>CD</w:t>
      </w:r>
      <w:r w:rsidRPr="007018B5">
        <w:rPr>
          <w:szCs w:val="24"/>
          <w:lang w:val="en-US"/>
        </w:rPr>
        <w:t xml:space="preserve"> </w:t>
      </w:r>
      <w:r w:rsidR="006B6D4B" w:rsidRPr="007018B5">
        <w:rPr>
          <w:szCs w:val="24"/>
          <w:lang w:val="en-US"/>
        </w:rPr>
        <w:t>group</w:t>
      </w:r>
      <w:r w:rsidR="00EA6382" w:rsidRPr="007018B5">
        <w:rPr>
          <w:szCs w:val="24"/>
          <w:lang w:val="en-US"/>
        </w:rPr>
        <w:t xml:space="preserve"> </w:t>
      </w:r>
      <w:r w:rsidR="00E06253" w:rsidRPr="007018B5">
        <w:rPr>
          <w:szCs w:val="24"/>
          <w:lang w:val="en-US"/>
        </w:rPr>
        <w:t xml:space="preserve">with the healthy controls </w:t>
      </w:r>
      <w:r w:rsidRPr="007018B5">
        <w:rPr>
          <w:szCs w:val="24"/>
          <w:lang w:val="en-US"/>
        </w:rPr>
        <w:t>at the rectal mucosa specimen site, the levels of six phosphoproteins were significantly higher in the healthy controls: EphA1</w:t>
      </w:r>
      <w:r w:rsidR="0089777B" w:rsidRPr="007018B5">
        <w:rPr>
          <w:szCs w:val="24"/>
          <w:lang w:val="en-US"/>
        </w:rPr>
        <w:t>, EphA2, EphB1, EphB4, Tyro3 and VEGFR2</w:t>
      </w:r>
      <w:r w:rsidRPr="007018B5">
        <w:rPr>
          <w:szCs w:val="24"/>
          <w:lang w:val="en-US"/>
        </w:rPr>
        <w:t xml:space="preserve"> </w:t>
      </w:r>
      <w:r w:rsidR="00B75998" w:rsidRPr="007018B5">
        <w:rPr>
          <w:szCs w:val="24"/>
          <w:lang w:val="en-US"/>
        </w:rPr>
        <w:t>(</w:t>
      </w:r>
      <w:r w:rsidR="00576490" w:rsidRPr="007018B5">
        <w:rPr>
          <w:szCs w:val="24"/>
          <w:lang w:val="en-US"/>
        </w:rPr>
        <w:fldChar w:fldCharType="begin"/>
      </w:r>
      <w:r w:rsidR="00576490" w:rsidRPr="007018B5">
        <w:rPr>
          <w:szCs w:val="24"/>
          <w:lang w:val="en-US"/>
        </w:rPr>
        <w:instrText xml:space="preserve"> REF _Ref513820220 \h </w:instrText>
      </w:r>
      <w:r w:rsidR="007018B5" w:rsidRPr="007018B5">
        <w:rPr>
          <w:szCs w:val="24"/>
          <w:lang w:val="en-US"/>
        </w:rPr>
        <w:instrText xml:space="preserve"> \* MERGEFORMAT </w:instrText>
      </w:r>
      <w:r w:rsidR="00576490" w:rsidRPr="007018B5">
        <w:rPr>
          <w:szCs w:val="24"/>
          <w:lang w:val="en-US"/>
        </w:rPr>
      </w:r>
      <w:r w:rsidR="00576490" w:rsidRPr="007018B5">
        <w:rPr>
          <w:szCs w:val="24"/>
          <w:lang w:val="en-US"/>
        </w:rPr>
        <w:fldChar w:fldCharType="separate"/>
      </w:r>
      <w:r w:rsidR="00FB6502" w:rsidRPr="007018B5">
        <w:rPr>
          <w:szCs w:val="24"/>
          <w:lang w:val="en-US"/>
        </w:rPr>
        <w:t xml:space="preserve">Supplementary </w:t>
      </w:r>
      <w:r w:rsidR="001C6B7E" w:rsidRPr="007018B5">
        <w:rPr>
          <w:szCs w:val="24"/>
          <w:lang w:val="en-US"/>
        </w:rPr>
        <w:t>Figure</w:t>
      </w:r>
      <w:r w:rsidR="00576490" w:rsidRPr="007018B5">
        <w:rPr>
          <w:szCs w:val="24"/>
          <w:lang w:val="en-US"/>
        </w:rPr>
        <w:fldChar w:fldCharType="end"/>
      </w:r>
      <w:r w:rsidR="001C6B7E" w:rsidRPr="007018B5">
        <w:rPr>
          <w:szCs w:val="24"/>
          <w:lang w:val="en-US"/>
        </w:rPr>
        <w:t xml:space="preserve"> 3</w:t>
      </w:r>
      <w:r w:rsidR="00B75998" w:rsidRPr="007018B5">
        <w:rPr>
          <w:szCs w:val="24"/>
          <w:lang w:val="en-US"/>
        </w:rPr>
        <w:t xml:space="preserve">). </w:t>
      </w:r>
      <w:r w:rsidRPr="007018B5">
        <w:rPr>
          <w:szCs w:val="24"/>
          <w:lang w:val="en-US"/>
        </w:rPr>
        <w:t xml:space="preserve">Example microarray images are shown </w:t>
      </w:r>
      <w:r w:rsidR="00595201" w:rsidRPr="007018B5">
        <w:rPr>
          <w:szCs w:val="24"/>
          <w:lang w:val="en-US"/>
        </w:rPr>
        <w:t>in</w:t>
      </w:r>
      <w:r w:rsidR="0066396F" w:rsidRPr="007018B5">
        <w:rPr>
          <w:szCs w:val="24"/>
          <w:lang w:val="en-US"/>
        </w:rPr>
        <w:t xml:space="preserve"> </w:t>
      </w:r>
      <w:r w:rsidR="0066396F" w:rsidRPr="007018B5">
        <w:rPr>
          <w:szCs w:val="24"/>
          <w:lang w:val="en-US"/>
        </w:rPr>
        <w:fldChar w:fldCharType="begin"/>
      </w:r>
      <w:r w:rsidR="0066396F" w:rsidRPr="007018B5">
        <w:rPr>
          <w:szCs w:val="24"/>
          <w:lang w:val="en-US"/>
        </w:rPr>
        <w:instrText xml:space="preserve"> REF _Ref6407532 \h </w:instrText>
      </w:r>
      <w:r w:rsidR="007018B5" w:rsidRPr="007018B5">
        <w:rPr>
          <w:szCs w:val="24"/>
          <w:lang w:val="en-US"/>
        </w:rPr>
        <w:instrText xml:space="preserve"> \* MERGEFORMAT </w:instrText>
      </w:r>
      <w:r w:rsidR="0066396F" w:rsidRPr="007018B5">
        <w:rPr>
          <w:szCs w:val="24"/>
          <w:lang w:val="en-US"/>
        </w:rPr>
      </w:r>
      <w:r w:rsidR="0066396F" w:rsidRPr="007018B5">
        <w:rPr>
          <w:szCs w:val="24"/>
          <w:lang w:val="en-US"/>
        </w:rPr>
        <w:fldChar w:fldCharType="separate"/>
      </w:r>
      <w:r w:rsidR="00FB6502" w:rsidRPr="007018B5">
        <w:rPr>
          <w:szCs w:val="24"/>
          <w:lang w:val="en-US"/>
        </w:rPr>
        <w:t>Figure 4</w:t>
      </w:r>
      <w:r w:rsidR="0066396F" w:rsidRPr="007018B5">
        <w:rPr>
          <w:szCs w:val="24"/>
          <w:lang w:val="en-US"/>
        </w:rPr>
        <w:fldChar w:fldCharType="end"/>
      </w:r>
      <w:r w:rsidR="00595201" w:rsidRPr="007018B5">
        <w:rPr>
          <w:szCs w:val="24"/>
          <w:lang w:val="en-US"/>
        </w:rPr>
        <w:t>.</w:t>
      </w:r>
      <w:r w:rsidR="009768D3" w:rsidRPr="007018B5">
        <w:rPr>
          <w:szCs w:val="24"/>
          <w:lang w:val="en-US"/>
        </w:rPr>
        <w:t xml:space="preserve"> There were no differences the remaining 33 phosphoproteins.</w:t>
      </w:r>
    </w:p>
    <w:p w14:paraId="69BBCCA3" w14:textId="77777777" w:rsidR="00327EC7" w:rsidRPr="007018B5" w:rsidRDefault="00327EC7" w:rsidP="007E3B89">
      <w:pPr>
        <w:adjustRightInd w:val="0"/>
        <w:snapToGrid w:val="0"/>
        <w:spacing w:before="0" w:after="0"/>
        <w:jc w:val="both"/>
        <w:rPr>
          <w:b/>
          <w:bCs/>
          <w:szCs w:val="24"/>
          <w:lang w:val="en-US" w:eastAsia="en-GB"/>
        </w:rPr>
      </w:pPr>
    </w:p>
    <w:p w14:paraId="2C64D039" w14:textId="05D3346F" w:rsidR="002949BE" w:rsidRPr="007018B5" w:rsidRDefault="002949BE" w:rsidP="007E3B89">
      <w:pPr>
        <w:pStyle w:val="Heading1"/>
        <w:adjustRightInd w:val="0"/>
        <w:snapToGrid w:val="0"/>
        <w:spacing w:before="0"/>
        <w:jc w:val="both"/>
        <w:rPr>
          <w:szCs w:val="24"/>
          <w:lang w:val="en-US"/>
        </w:rPr>
      </w:pPr>
      <w:r w:rsidRPr="007018B5">
        <w:rPr>
          <w:szCs w:val="24"/>
          <w:lang w:val="en-US"/>
        </w:rPr>
        <w:t>Discussion</w:t>
      </w:r>
    </w:p>
    <w:p w14:paraId="06178420" w14:textId="64A679AE" w:rsidR="00D17869" w:rsidRDefault="00EA6382" w:rsidP="007E3B89">
      <w:pPr>
        <w:adjustRightInd w:val="0"/>
        <w:snapToGrid w:val="0"/>
        <w:spacing w:before="0" w:after="0"/>
        <w:jc w:val="both"/>
        <w:rPr>
          <w:szCs w:val="24"/>
          <w:lang w:val="en-US" w:eastAsia="en-GB"/>
        </w:rPr>
      </w:pPr>
      <w:r w:rsidRPr="007018B5">
        <w:rPr>
          <w:szCs w:val="24"/>
          <w:lang w:val="en-US" w:eastAsia="en-GB"/>
        </w:rPr>
        <w:t xml:space="preserve">To our knowledge, </w:t>
      </w:r>
      <w:r w:rsidR="009768D3" w:rsidRPr="007018B5">
        <w:rPr>
          <w:szCs w:val="24"/>
          <w:lang w:val="en-US" w:eastAsia="en-GB"/>
        </w:rPr>
        <w:t>this is</w:t>
      </w:r>
      <w:r w:rsidRPr="007018B5">
        <w:rPr>
          <w:szCs w:val="24"/>
          <w:lang w:val="en-US" w:eastAsia="en-GB"/>
        </w:rPr>
        <w:t xml:space="preserve"> the largest </w:t>
      </w:r>
      <w:r w:rsidR="00B97041" w:rsidRPr="007018B5">
        <w:rPr>
          <w:szCs w:val="24"/>
          <w:lang w:val="en-US" w:eastAsia="en-GB"/>
        </w:rPr>
        <w:t xml:space="preserve">study to date </w:t>
      </w:r>
      <w:r w:rsidR="00061640" w:rsidRPr="007018B5">
        <w:rPr>
          <w:szCs w:val="24"/>
          <w:lang w:val="en-US" w:eastAsia="en-GB"/>
        </w:rPr>
        <w:t xml:space="preserve">to </w:t>
      </w:r>
      <w:r w:rsidR="00B46C97" w:rsidRPr="007018B5">
        <w:rPr>
          <w:szCs w:val="24"/>
          <w:lang w:val="en-US" w:eastAsia="en-GB"/>
        </w:rPr>
        <w:t xml:space="preserve">systematically </w:t>
      </w:r>
      <w:r w:rsidR="00061640" w:rsidRPr="007018B5">
        <w:rPr>
          <w:szCs w:val="24"/>
          <w:lang w:val="en-US" w:eastAsia="en-GB"/>
        </w:rPr>
        <w:t xml:space="preserve">compare idiopathic and </w:t>
      </w:r>
      <w:r w:rsidR="009768D3" w:rsidRPr="007018B5">
        <w:rPr>
          <w:szCs w:val="24"/>
          <w:lang w:val="en-US" w:eastAsia="en-GB"/>
        </w:rPr>
        <w:t>CD-related</w:t>
      </w:r>
      <w:r w:rsidR="00061640" w:rsidRPr="007018B5">
        <w:rPr>
          <w:szCs w:val="24"/>
          <w:lang w:val="en-US" w:eastAsia="en-GB"/>
        </w:rPr>
        <w:t xml:space="preserve"> perianal fistulae </w:t>
      </w:r>
      <w:r w:rsidRPr="007018B5">
        <w:rPr>
          <w:szCs w:val="24"/>
          <w:lang w:val="en-US" w:eastAsia="en-GB"/>
        </w:rPr>
        <w:t xml:space="preserve">in a </w:t>
      </w:r>
      <w:r w:rsidR="00B46C97" w:rsidRPr="007018B5">
        <w:rPr>
          <w:szCs w:val="24"/>
          <w:lang w:val="en-US" w:eastAsia="en-GB"/>
        </w:rPr>
        <w:t>well-</w:t>
      </w:r>
      <w:r w:rsidRPr="007018B5">
        <w:rPr>
          <w:szCs w:val="24"/>
          <w:lang w:val="en-US" w:eastAsia="en-GB"/>
        </w:rPr>
        <w:t xml:space="preserve">defined </w:t>
      </w:r>
      <w:r w:rsidR="00B46C97" w:rsidRPr="007018B5">
        <w:rPr>
          <w:szCs w:val="24"/>
          <w:lang w:val="en-US" w:eastAsia="en-GB"/>
        </w:rPr>
        <w:t xml:space="preserve">patient </w:t>
      </w:r>
      <w:r w:rsidRPr="007018B5">
        <w:rPr>
          <w:szCs w:val="24"/>
          <w:lang w:val="en-US" w:eastAsia="en-GB"/>
        </w:rPr>
        <w:t xml:space="preserve">cohort. </w:t>
      </w:r>
      <w:r w:rsidR="00F40087" w:rsidRPr="007018B5">
        <w:rPr>
          <w:szCs w:val="24"/>
          <w:lang w:val="en-US" w:eastAsia="en-GB"/>
        </w:rPr>
        <w:t>B</w:t>
      </w:r>
      <w:r w:rsidR="00B97041" w:rsidRPr="007018B5">
        <w:rPr>
          <w:szCs w:val="24"/>
          <w:lang w:val="en-US" w:eastAsia="en-GB"/>
        </w:rPr>
        <w:t xml:space="preserve">oth groups displayed a </w:t>
      </w:r>
      <w:r w:rsidR="00062A93" w:rsidRPr="007018B5">
        <w:rPr>
          <w:szCs w:val="24"/>
          <w:lang w:val="en-US" w:eastAsia="en-GB"/>
        </w:rPr>
        <w:t xml:space="preserve">broad </w:t>
      </w:r>
      <w:r w:rsidR="00B97041" w:rsidRPr="007018B5">
        <w:rPr>
          <w:szCs w:val="24"/>
          <w:lang w:val="en-US" w:eastAsia="en-GB"/>
        </w:rPr>
        <w:t xml:space="preserve">distribution of </w:t>
      </w:r>
      <w:r w:rsidRPr="007018B5">
        <w:rPr>
          <w:szCs w:val="24"/>
          <w:lang w:val="en-US" w:eastAsia="en-GB"/>
        </w:rPr>
        <w:t xml:space="preserve">disease characteristics </w:t>
      </w:r>
      <w:r w:rsidR="00B97041" w:rsidRPr="007018B5">
        <w:rPr>
          <w:szCs w:val="24"/>
          <w:lang w:val="en-US" w:eastAsia="en-GB"/>
        </w:rPr>
        <w:t xml:space="preserve">from simple to complex. </w:t>
      </w:r>
    </w:p>
    <w:p w14:paraId="6196FAB3" w14:textId="77777777" w:rsidR="00327EC7" w:rsidRPr="007018B5" w:rsidRDefault="00327EC7" w:rsidP="007E3B89">
      <w:pPr>
        <w:adjustRightInd w:val="0"/>
        <w:snapToGrid w:val="0"/>
        <w:spacing w:before="0" w:after="0"/>
        <w:jc w:val="both"/>
        <w:rPr>
          <w:szCs w:val="24"/>
          <w:lang w:val="en-US" w:eastAsia="en-GB"/>
        </w:rPr>
      </w:pPr>
    </w:p>
    <w:p w14:paraId="339BF82B" w14:textId="6B6C9698" w:rsidR="00D17869" w:rsidRPr="007018B5" w:rsidRDefault="00D17869" w:rsidP="007E3B89">
      <w:pPr>
        <w:pStyle w:val="Heading2"/>
        <w:adjustRightInd w:val="0"/>
        <w:snapToGrid w:val="0"/>
        <w:spacing w:before="0" w:after="0"/>
        <w:jc w:val="both"/>
        <w:rPr>
          <w:szCs w:val="24"/>
          <w:lang w:val="en-US" w:eastAsia="en-GB"/>
        </w:rPr>
      </w:pPr>
      <w:r w:rsidRPr="007018B5">
        <w:rPr>
          <w:szCs w:val="24"/>
          <w:lang w:val="en-US" w:eastAsia="en-GB"/>
        </w:rPr>
        <w:t xml:space="preserve">CD-related perianal fistulae were clinically more severe </w:t>
      </w:r>
    </w:p>
    <w:p w14:paraId="76EB0CFA" w14:textId="781C93D8" w:rsidR="00A47A16" w:rsidRDefault="00B97041" w:rsidP="007E3B89">
      <w:pPr>
        <w:adjustRightInd w:val="0"/>
        <w:snapToGrid w:val="0"/>
        <w:spacing w:before="0" w:after="0"/>
        <w:jc w:val="both"/>
        <w:rPr>
          <w:szCs w:val="24"/>
          <w:lang w:val="en-US" w:eastAsia="en-GB"/>
        </w:rPr>
      </w:pPr>
      <w:r w:rsidRPr="007018B5">
        <w:rPr>
          <w:szCs w:val="24"/>
          <w:lang w:val="en-US" w:eastAsia="en-GB"/>
        </w:rPr>
        <w:t xml:space="preserve">In the </w:t>
      </w:r>
      <w:r w:rsidR="0069097F" w:rsidRPr="007018B5">
        <w:rPr>
          <w:szCs w:val="24"/>
          <w:lang w:val="en-US" w:eastAsia="en-GB"/>
        </w:rPr>
        <w:t>CD</w:t>
      </w:r>
      <w:r w:rsidR="00EA6382" w:rsidRPr="007018B5">
        <w:rPr>
          <w:szCs w:val="24"/>
          <w:lang w:val="en-US" w:eastAsia="en-GB"/>
        </w:rPr>
        <w:t xml:space="preserve"> </w:t>
      </w:r>
      <w:r w:rsidRPr="007018B5">
        <w:rPr>
          <w:szCs w:val="24"/>
          <w:lang w:val="en-US" w:eastAsia="en-GB"/>
        </w:rPr>
        <w:t>group, th</w:t>
      </w:r>
      <w:r w:rsidR="00CF4882" w:rsidRPr="007018B5">
        <w:rPr>
          <w:szCs w:val="24"/>
          <w:lang w:val="en-US" w:eastAsia="en-GB"/>
        </w:rPr>
        <w:t>e PDAI was significantly higher</w:t>
      </w:r>
      <w:r w:rsidRPr="007018B5">
        <w:rPr>
          <w:szCs w:val="24"/>
          <w:lang w:val="en-US" w:eastAsia="en-GB"/>
        </w:rPr>
        <w:t xml:space="preserve"> and complex </w:t>
      </w:r>
      <w:proofErr w:type="spellStart"/>
      <w:r w:rsidRPr="007018B5">
        <w:rPr>
          <w:szCs w:val="24"/>
          <w:lang w:val="en-US" w:eastAsia="en-GB"/>
        </w:rPr>
        <w:t>pathoanatomy</w:t>
      </w:r>
      <w:proofErr w:type="spellEnd"/>
      <w:r w:rsidRPr="007018B5">
        <w:rPr>
          <w:szCs w:val="24"/>
          <w:lang w:val="en-US" w:eastAsia="en-GB"/>
        </w:rPr>
        <w:t xml:space="preserve"> was more prevalent, </w:t>
      </w:r>
      <w:r w:rsidR="00EA6382" w:rsidRPr="007018B5">
        <w:rPr>
          <w:szCs w:val="24"/>
          <w:lang w:val="en-US" w:eastAsia="en-GB"/>
        </w:rPr>
        <w:t>supporting the</w:t>
      </w:r>
      <w:r w:rsidR="00062A93" w:rsidRPr="007018B5">
        <w:rPr>
          <w:szCs w:val="24"/>
          <w:lang w:val="en-US" w:eastAsia="en-GB"/>
        </w:rPr>
        <w:t xml:space="preserve"> </w:t>
      </w:r>
      <w:r w:rsidR="00F40087" w:rsidRPr="007018B5">
        <w:rPr>
          <w:szCs w:val="24"/>
          <w:lang w:val="en-US" w:eastAsia="en-GB"/>
        </w:rPr>
        <w:t>commonly-</w:t>
      </w:r>
      <w:r w:rsidRPr="007018B5">
        <w:rPr>
          <w:szCs w:val="24"/>
          <w:lang w:val="en-US" w:eastAsia="en-GB"/>
        </w:rPr>
        <w:t xml:space="preserve">held belief that </w:t>
      </w:r>
      <w:r w:rsidR="009768D3" w:rsidRPr="007018B5">
        <w:rPr>
          <w:szCs w:val="24"/>
          <w:lang w:val="en-US" w:eastAsia="en-GB"/>
        </w:rPr>
        <w:t>CD-related</w:t>
      </w:r>
      <w:r w:rsidRPr="007018B5">
        <w:rPr>
          <w:szCs w:val="24"/>
          <w:lang w:val="en-US" w:eastAsia="en-GB"/>
        </w:rPr>
        <w:t xml:space="preserve"> perianal fistula</w:t>
      </w:r>
      <w:r w:rsidR="00D01879" w:rsidRPr="007018B5">
        <w:rPr>
          <w:szCs w:val="24"/>
          <w:lang w:val="en-US" w:eastAsia="en-GB"/>
        </w:rPr>
        <w:t>e</w:t>
      </w:r>
      <w:r w:rsidRPr="007018B5">
        <w:rPr>
          <w:szCs w:val="24"/>
          <w:lang w:val="en-US" w:eastAsia="en-GB"/>
        </w:rPr>
        <w:t xml:space="preserve"> are more severe</w:t>
      </w:r>
      <w:r w:rsidR="00B46C97" w:rsidRPr="007018B5">
        <w:rPr>
          <w:szCs w:val="24"/>
          <w:lang w:val="en-US" w:eastAsia="en-GB"/>
        </w:rPr>
        <w:t xml:space="preserve"> and complex</w:t>
      </w:r>
      <w:r w:rsidR="00EA6382" w:rsidRPr="007018B5">
        <w:rPr>
          <w:szCs w:val="24"/>
          <w:lang w:val="en-US" w:eastAsia="en-GB"/>
        </w:rPr>
        <w:t xml:space="preserve"> than idiopathi</w:t>
      </w:r>
      <w:r w:rsidR="00CF4882" w:rsidRPr="007018B5">
        <w:rPr>
          <w:szCs w:val="24"/>
          <w:lang w:val="en-US" w:eastAsia="en-GB"/>
        </w:rPr>
        <w:t>c</w:t>
      </w:r>
      <w:r w:rsidRPr="007018B5">
        <w:rPr>
          <w:szCs w:val="24"/>
          <w:lang w:val="en-US" w:eastAsia="en-GB"/>
        </w:rPr>
        <w:t xml:space="preserve">. </w:t>
      </w:r>
      <w:r w:rsidR="00906CBD" w:rsidRPr="007018B5">
        <w:rPr>
          <w:szCs w:val="24"/>
          <w:lang w:val="en-US" w:eastAsia="en-GB"/>
        </w:rPr>
        <w:t xml:space="preserve">However, this did not </w:t>
      </w:r>
      <w:r w:rsidR="00C151BF" w:rsidRPr="007018B5">
        <w:rPr>
          <w:szCs w:val="24"/>
          <w:lang w:val="en-US" w:eastAsia="en-GB"/>
        </w:rPr>
        <w:t>translate</w:t>
      </w:r>
      <w:r w:rsidR="00906CBD" w:rsidRPr="007018B5">
        <w:rPr>
          <w:szCs w:val="24"/>
          <w:lang w:val="en-US" w:eastAsia="en-GB"/>
        </w:rPr>
        <w:t xml:space="preserve"> to </w:t>
      </w:r>
      <w:r w:rsidR="00BA4A32" w:rsidRPr="007018B5">
        <w:rPr>
          <w:szCs w:val="24"/>
          <w:lang w:val="en-US" w:eastAsia="en-GB"/>
        </w:rPr>
        <w:t>difference</w:t>
      </w:r>
      <w:r w:rsidR="00C151BF" w:rsidRPr="007018B5">
        <w:rPr>
          <w:szCs w:val="24"/>
          <w:lang w:val="en-US" w:eastAsia="en-GB"/>
        </w:rPr>
        <w:t>s</w:t>
      </w:r>
      <w:r w:rsidR="00BA4A32" w:rsidRPr="007018B5">
        <w:rPr>
          <w:szCs w:val="24"/>
          <w:lang w:val="en-US" w:eastAsia="en-GB"/>
        </w:rPr>
        <w:t xml:space="preserve"> in EQ-5D, probably because this generic health measure </w:t>
      </w:r>
      <w:r w:rsidR="00C151BF" w:rsidRPr="007018B5">
        <w:rPr>
          <w:szCs w:val="24"/>
          <w:lang w:val="en-US" w:eastAsia="en-GB"/>
        </w:rPr>
        <w:t>lacked sensitivity</w:t>
      </w:r>
      <w:r w:rsidR="00BA4A32" w:rsidRPr="007018B5">
        <w:rPr>
          <w:szCs w:val="24"/>
          <w:lang w:val="en-US" w:eastAsia="en-GB"/>
        </w:rPr>
        <w:t xml:space="preserve"> to demonstrate a relatively small clinical difference.</w:t>
      </w:r>
    </w:p>
    <w:p w14:paraId="7B60B81B" w14:textId="77777777" w:rsidR="00327EC7" w:rsidRPr="007018B5" w:rsidRDefault="00327EC7" w:rsidP="007E3B89">
      <w:pPr>
        <w:adjustRightInd w:val="0"/>
        <w:snapToGrid w:val="0"/>
        <w:spacing w:before="0" w:after="0"/>
        <w:jc w:val="both"/>
        <w:rPr>
          <w:szCs w:val="24"/>
          <w:lang w:val="en-US"/>
        </w:rPr>
      </w:pPr>
    </w:p>
    <w:p w14:paraId="5EBFAB29" w14:textId="09C40DB2" w:rsidR="00C367C0" w:rsidRPr="007018B5" w:rsidRDefault="00CF4882" w:rsidP="007E3B89">
      <w:pPr>
        <w:pStyle w:val="Heading2"/>
        <w:adjustRightInd w:val="0"/>
        <w:snapToGrid w:val="0"/>
        <w:spacing w:before="0" w:after="0"/>
        <w:jc w:val="both"/>
        <w:rPr>
          <w:szCs w:val="24"/>
          <w:lang w:val="en-US"/>
        </w:rPr>
      </w:pPr>
      <w:r w:rsidRPr="007018B5">
        <w:rPr>
          <w:szCs w:val="24"/>
          <w:lang w:val="en-US"/>
        </w:rPr>
        <w:t>Cytokine and phosphoprotein</w:t>
      </w:r>
      <w:r w:rsidR="00D01879" w:rsidRPr="007018B5">
        <w:rPr>
          <w:szCs w:val="24"/>
          <w:lang w:val="en-US"/>
        </w:rPr>
        <w:t xml:space="preserve"> profiles of idiopathic and </w:t>
      </w:r>
      <w:r w:rsidR="001A0A8E" w:rsidRPr="007018B5">
        <w:rPr>
          <w:szCs w:val="24"/>
          <w:lang w:val="en-US"/>
        </w:rPr>
        <w:t xml:space="preserve">CD-related </w:t>
      </w:r>
      <w:r w:rsidR="00D01879" w:rsidRPr="007018B5">
        <w:rPr>
          <w:szCs w:val="24"/>
          <w:lang w:val="en-US"/>
        </w:rPr>
        <w:t xml:space="preserve">perianal fistulae </w:t>
      </w:r>
      <w:r w:rsidR="00E476DC" w:rsidRPr="007018B5">
        <w:rPr>
          <w:szCs w:val="24"/>
          <w:lang w:val="en-US"/>
        </w:rPr>
        <w:t>were</w:t>
      </w:r>
      <w:r w:rsidR="00D01879" w:rsidRPr="007018B5">
        <w:rPr>
          <w:szCs w:val="24"/>
          <w:lang w:val="en-US"/>
        </w:rPr>
        <w:t xml:space="preserve"> similar</w:t>
      </w:r>
    </w:p>
    <w:p w14:paraId="248EFFF0" w14:textId="4E902958" w:rsidR="000A4223" w:rsidRPr="007018B5" w:rsidRDefault="00B46C97" w:rsidP="007E3B89">
      <w:pPr>
        <w:adjustRightInd w:val="0"/>
        <w:snapToGrid w:val="0"/>
        <w:spacing w:before="0" w:after="0"/>
        <w:jc w:val="both"/>
        <w:rPr>
          <w:szCs w:val="24"/>
          <w:lang w:val="en-US"/>
        </w:rPr>
      </w:pPr>
      <w:r w:rsidRPr="007018B5">
        <w:rPr>
          <w:szCs w:val="24"/>
          <w:lang w:val="en-US"/>
        </w:rPr>
        <w:t>D</w:t>
      </w:r>
      <w:r w:rsidR="00062A93" w:rsidRPr="007018B5">
        <w:rPr>
          <w:szCs w:val="24"/>
          <w:lang w:val="en-US"/>
        </w:rPr>
        <w:t xml:space="preserve">etailed </w:t>
      </w:r>
      <w:r w:rsidR="00FA2B27" w:rsidRPr="007018B5">
        <w:rPr>
          <w:szCs w:val="24"/>
          <w:lang w:val="en-US"/>
        </w:rPr>
        <w:t xml:space="preserve">profiling of 30 different cytokines and chemokines </w:t>
      </w:r>
      <w:r w:rsidR="000C5EC4" w:rsidRPr="007018B5">
        <w:rPr>
          <w:szCs w:val="24"/>
          <w:lang w:val="en-US"/>
        </w:rPr>
        <w:t xml:space="preserve">and 39 different phosphoproteins </w:t>
      </w:r>
      <w:r w:rsidR="00FA2B27" w:rsidRPr="007018B5">
        <w:rPr>
          <w:szCs w:val="24"/>
          <w:lang w:val="en-US"/>
        </w:rPr>
        <w:t>at four different biopsy sites s</w:t>
      </w:r>
      <w:r w:rsidR="00D01879" w:rsidRPr="007018B5">
        <w:rPr>
          <w:szCs w:val="24"/>
          <w:lang w:val="en-US"/>
        </w:rPr>
        <w:t xml:space="preserve">howed </w:t>
      </w:r>
      <w:r w:rsidR="009768D3" w:rsidRPr="007018B5">
        <w:rPr>
          <w:szCs w:val="24"/>
          <w:lang w:val="en-US"/>
        </w:rPr>
        <w:t>that the idiopathic and CD</w:t>
      </w:r>
      <w:r w:rsidR="00D01879" w:rsidRPr="007018B5">
        <w:rPr>
          <w:szCs w:val="24"/>
          <w:lang w:val="en-US"/>
        </w:rPr>
        <w:t xml:space="preserve"> groups </w:t>
      </w:r>
      <w:r w:rsidR="009768D3" w:rsidRPr="007018B5">
        <w:rPr>
          <w:szCs w:val="24"/>
          <w:lang w:val="en-US"/>
        </w:rPr>
        <w:t>were</w:t>
      </w:r>
      <w:r w:rsidR="00D01879" w:rsidRPr="007018B5">
        <w:rPr>
          <w:szCs w:val="24"/>
          <w:lang w:val="en-US"/>
        </w:rPr>
        <w:t xml:space="preserve"> </w:t>
      </w:r>
      <w:r w:rsidR="00062A93" w:rsidRPr="007018B5">
        <w:rPr>
          <w:szCs w:val="24"/>
          <w:lang w:val="en-US"/>
        </w:rPr>
        <w:t xml:space="preserve">broadly </w:t>
      </w:r>
      <w:r w:rsidR="00D01879" w:rsidRPr="007018B5">
        <w:rPr>
          <w:szCs w:val="24"/>
          <w:lang w:val="en-US"/>
        </w:rPr>
        <w:t>similar</w:t>
      </w:r>
      <w:r w:rsidR="00284292" w:rsidRPr="007018B5">
        <w:rPr>
          <w:szCs w:val="24"/>
          <w:lang w:val="en-US"/>
        </w:rPr>
        <w:t>.</w:t>
      </w:r>
      <w:r w:rsidR="009768D3" w:rsidRPr="007018B5">
        <w:rPr>
          <w:szCs w:val="24"/>
          <w:lang w:val="en-US"/>
        </w:rPr>
        <w:t xml:space="preserve"> Our cytokine profiling is </w:t>
      </w:r>
      <w:r w:rsidR="000A4223" w:rsidRPr="007018B5">
        <w:rPr>
          <w:szCs w:val="24"/>
          <w:lang w:val="en-US"/>
        </w:rPr>
        <w:t xml:space="preserve">comparable </w:t>
      </w:r>
      <w:r w:rsidR="00AA7E77" w:rsidRPr="007018B5">
        <w:rPr>
          <w:szCs w:val="24"/>
          <w:lang w:val="en-US"/>
        </w:rPr>
        <w:t xml:space="preserve">to </w:t>
      </w:r>
      <w:r w:rsidR="000A4223" w:rsidRPr="007018B5">
        <w:rPr>
          <w:szCs w:val="24"/>
          <w:lang w:val="en-US"/>
        </w:rPr>
        <w:t xml:space="preserve">and </w:t>
      </w:r>
      <w:r w:rsidR="009768D3" w:rsidRPr="007018B5">
        <w:rPr>
          <w:szCs w:val="24"/>
          <w:lang w:val="en-US"/>
        </w:rPr>
        <w:t>substantially more extensive than previous studies</w:t>
      </w:r>
      <w:r w:rsidR="000A4223" w:rsidRPr="007018B5">
        <w:rPr>
          <w:szCs w:val="24"/>
          <w:lang w:val="en-US"/>
        </w:rPr>
        <w:fldChar w:fldCharType="begin"/>
      </w:r>
      <w:r w:rsidR="003D51A1" w:rsidRPr="007018B5">
        <w:rPr>
          <w:szCs w:val="24"/>
          <w:lang w:val="en-US"/>
        </w:rPr>
        <w:instrText xml:space="preserve"> ADDIN ZOTERO_ITEM CSL_CITATION {"citationID":"QlYW1MkU","properties":{"formattedCitation":"\\super [13,19,20]\\nosupersub{}","plainCitation":"[13,19,20]","noteIndex":0},"citationItems":[{"id":539,"uris":["http://zotero.org/users/851773/items/H8P8JB3U"],"uri":["http://zotero.org/users/851773/items/H8P8JB3U"],"itemData":{"id":539,"type":"thesis","title":"Clinical and experimental studies in idiopathic and Crohn's-related anal fistula","publisher":"Imperial College","publisher-place":"London","genre":"MD(Res)","event-place":"London","author":[{"family":"Tozer","given":"PJ"}],"issued":{"date-parts":[["2011"]]}}},{"id":281,"uris":["http://zotero.org/users/851773/items/N2BWP7GH"],"uri":["http://zotero.org/users/851773/items/N2BWP7GH"],"itemData":{"id":281,"type":"article-journal","title":"Cytokine network in rectal mucosa in perianal Crohn's disease: relations with inflammatory parameters and need for surgery","container-title":"Inflammatory bowel diseases","page":"1406-1412","volume":"14","issue":"10","source":"NCBI PubMed","abstract":"BACKGROUND: Nowadays anti-TNF-alpha antibodies are used for the treatment of perianal Crohn's disease (CD). Nevertheless, this treatment is effective in only a part of these patients and recent studies suggested a role for other cytokines in chronic bowel inflammation. The aim of this study was to assess the cytokine profile in the rectal mucosa of patients affected by perianal CD and to understand its relations with the systemic cytokine profile and inflammatory parameters and the need for surgery.\nMETHODS: Seventeen patients affected by perianal CD, 7 affected by CD without perianal involvement, and 17 healthy controls were enrolled and underwent blood sampling and endoscopy. During endoscopy rectal mucosal samples were taken and the expression of TNF-alpha, IL-6, IL-1 beta, IL-12, and TGF-beta1 was quantified with enzyme-linked immunosorbent assay (ELISA). Local cytokine levels were compared and correlated with diagnosis, therapy, phenotype (fistulizing and stenosing), and disease activity parameters.\nRESULTS: In the group with perianal CD, rectal mucosal IL-1 beta, IL-6, and serum IL-6 and TNF-alpha were higher than in patients with small bowel CD and healthy controls. IL-12 and TGF-beta1 mucosal levels did not show any differences among the 3 groups. Mucosal IL-6 significantly correlated with the Perianal Crohn's Disease Activity Index and mucosal TNF-alpha and IL-1 beta. Mucosal TNF-alpha and IL-1 beta showed a direct correlation with the histological grade of disease activity.\nCONCLUSIONS: The cytokines network analysis in perianal CD shows the important involvement of IL-1 beta, IL-6, and TNF-alpha. Furthermore, mucosal levels of IL-6 and IL-12 are predictors of recurrence and of need for surgery in perianal CD patients.","DOI":"10.1002/ibd.20486","ISSN":"1536-4844","note":"PMID: 18452203","title-short":"Cytokine network in rectal mucosa in perianal Crohn's disease","journalAbbreviation":"Inflamm. Bowel Dis.","language":"eng","author":[{"family":"Ruffolo","given":"Cesare"},{"family":"Scarpa","given":"Marco"},{"family":"Faggian","given":"Diego"},{"family":"Pozza","given":"Anna"},{"family":"Navaglia","given":"Filippo"},{"family":"D'Incà","given":"Renata"},{"family":"Hoxha","given":"Pranvera"},{"family":"Romanato","given":"Giovanna"},{"family":"Polese","given":"Lino"},{"family":"Sturniolo","given":"Giacomo Carlo"},{"family":"Plebani","given":"Mario"},{"family":"D'Amico","given":"Davide Francesco"},{"family":"Angriman","given":"Imerio"}],"issued":{"date-parts":[["2008",10]]}}},{"id":804,"uris":["http://zotero.org/users/851773/items/A5JTXGUA"],"uri":["http://zotero.org/users/851773/items/A5JTXGUA"],"itemData":{"id":804,"type":"article-journal","title":"Cytokine network in chronic perianal Crohn's disease and indeterminate colitis after colectomy","container-title":"Journal of Gastrointestinal Surgery: Official Journal of the Society for Surgery of the Alimentary Tract","page":"16-21","volume":"11","issue":"1","source":"PubMed","abstract":"Antitumor necrosis factor alpha (anti-TNF-alpha) therapy in perianal Crohn's disease (CD) is widely established but recent studies suggest that the underlying fistula tract and inflammation may persist. Treatment with a monoclonal antibody against interleukin (IL)-12 was reported to induce clinical responses and remissions in patients with active CD. The aim of our study was to analyze the cytokine network (TNF-alpha, IL-12, IL-1beta, and IL-6) in 12 patients with chronic perianal CD and a Crohn's disease activity index (CDAI) score &lt;150 to exclude active intestinal disease, in 7 patients with indeterminate colitis (IC) after restorative proctocolectomy with perianal complications, in 7 patients with active intestinal CD without perianal manifestations, and in 19 healthy controls. Nonparametric Mann-Whitney U test and Spearman's rank correlation test were used. Serum TNF-alpha levels were significantly higher in patients with IC than perianal CD patients and healthy controls. Serum TNF-alpha levels significantly correlated with perianal CDAI score and with the presence of anal fistulas. Serum IL-12 levels correlated with the presence of anal strictures and were similar in all groups. Serum IL-6 levels were significantly higher in the presence of perianal fistulas and lower in the presence of anal strictures. Our study confirmed that TNF-alpha plays a major role in the perianal and intestinal CD. Furthermore, the significantly higher TNF-alpha serum levels in patients with IC suggest the use of anti-TNF-alpha in such patients. On the contrary, according to our results the efficacy of anti-IL-12 antibodies appears doubtful in chronic perianal CD or IC without anal strictures. The role of IL-6 as a systemic mediator for active chronic inflammation was confirmed and a possible role for its monoclonal antibody was suggested.","DOI":"10.1007/s11605-006-0021-y","ISSN":"1091-255X","note":"PMID: 17390181","journalAbbreviation":"J. Gastrointest. Surg.","language":"eng","author":[{"family":"Ruffolo","given":"Cesare"},{"family":"Scarpa","given":"Marco"},{"family":"Faggian","given":"Diego"},{"family":"Romanato","given":"Giovanna"},{"family":"De Pellegrin","given":"AnnaMaria"},{"family":"Filosa","given":"Teresa"},{"family":"Prando","given":"Daniela"},{"family":"Polese","given":"Lino"},{"family":"Scopelliti","given":"Michele"},{"family":"Pilon","given":"Fabio"},{"family":"Ossi","given":"Elena"},{"family":"Frego","given":"Mauro"},{"family":"D'Amico","given":"Davide Francesco"},{"family":"Angriman","given":"Imerio"}],"issued":{"date-parts":[["2007",1]]}}}],"schema":"https://github.com/citation-style-language/schema/raw/master/csl-citation.json"} </w:instrText>
      </w:r>
      <w:r w:rsidR="000A4223" w:rsidRPr="007018B5">
        <w:rPr>
          <w:szCs w:val="24"/>
          <w:lang w:val="en-US"/>
        </w:rPr>
        <w:fldChar w:fldCharType="separate"/>
      </w:r>
      <w:r w:rsidR="003D51A1" w:rsidRPr="007018B5">
        <w:rPr>
          <w:szCs w:val="24"/>
          <w:vertAlign w:val="superscript"/>
          <w:lang w:val="en-US"/>
        </w:rPr>
        <w:t>[13,19,20]</w:t>
      </w:r>
      <w:r w:rsidR="000A4223" w:rsidRPr="007018B5">
        <w:rPr>
          <w:szCs w:val="24"/>
          <w:lang w:val="en-US"/>
        </w:rPr>
        <w:fldChar w:fldCharType="end"/>
      </w:r>
      <w:r w:rsidR="009768D3" w:rsidRPr="007018B5">
        <w:rPr>
          <w:szCs w:val="24"/>
          <w:lang w:val="en-US"/>
        </w:rPr>
        <w:t xml:space="preserve"> and </w:t>
      </w:r>
      <w:r w:rsidR="00F93480" w:rsidRPr="007018B5">
        <w:rPr>
          <w:szCs w:val="24"/>
          <w:lang w:val="en-US"/>
        </w:rPr>
        <w:t>our phosphoprotein profiling is the first to be reported</w:t>
      </w:r>
      <w:r w:rsidR="009768D3" w:rsidRPr="007018B5">
        <w:rPr>
          <w:szCs w:val="24"/>
          <w:lang w:val="en-US"/>
        </w:rPr>
        <w:t xml:space="preserve"> in perianal fistula disease.</w:t>
      </w:r>
    </w:p>
    <w:p w14:paraId="063BAA5F" w14:textId="7631F8E3" w:rsidR="00634E12" w:rsidRPr="007018B5" w:rsidRDefault="00634E12" w:rsidP="00650E61">
      <w:pPr>
        <w:adjustRightInd w:val="0"/>
        <w:snapToGrid w:val="0"/>
        <w:spacing w:before="0" w:after="0"/>
        <w:ind w:firstLineChars="100" w:firstLine="240"/>
        <w:jc w:val="both"/>
        <w:rPr>
          <w:szCs w:val="24"/>
          <w:lang w:val="en-US"/>
        </w:rPr>
      </w:pPr>
      <w:r w:rsidRPr="007018B5">
        <w:rPr>
          <w:szCs w:val="24"/>
          <w:lang w:val="en-US" w:eastAsia="en-GB"/>
        </w:rPr>
        <w:t xml:space="preserve">Only </w:t>
      </w:r>
      <w:r w:rsidR="0046570B" w:rsidRPr="007018B5">
        <w:rPr>
          <w:szCs w:val="24"/>
          <w:lang w:val="en-US" w:eastAsia="en-GB"/>
        </w:rPr>
        <w:t>four</w:t>
      </w:r>
      <w:r w:rsidRPr="007018B5">
        <w:rPr>
          <w:szCs w:val="24"/>
          <w:lang w:val="en-US" w:eastAsia="en-GB"/>
        </w:rPr>
        <w:t xml:space="preserve"> </w:t>
      </w:r>
      <w:r w:rsidR="0046570B" w:rsidRPr="007018B5">
        <w:rPr>
          <w:szCs w:val="24"/>
          <w:lang w:val="en-US" w:eastAsia="en-GB"/>
        </w:rPr>
        <w:t>previous studies</w:t>
      </w:r>
      <w:r w:rsidRPr="007018B5">
        <w:rPr>
          <w:szCs w:val="24"/>
          <w:lang w:val="en-US" w:eastAsia="en-GB"/>
        </w:rPr>
        <w:t xml:space="preserve"> directly compared idiopathic and CD-related </w:t>
      </w:r>
      <w:r w:rsidR="00C07611" w:rsidRPr="007018B5">
        <w:rPr>
          <w:szCs w:val="24"/>
          <w:lang w:val="en-US" w:eastAsia="en-GB"/>
        </w:rPr>
        <w:t xml:space="preserve">perianal </w:t>
      </w:r>
      <w:r w:rsidRPr="007018B5">
        <w:rPr>
          <w:szCs w:val="24"/>
          <w:lang w:val="en-US" w:eastAsia="en-GB"/>
        </w:rPr>
        <w:t xml:space="preserve">fistulae. </w:t>
      </w:r>
      <w:proofErr w:type="spellStart"/>
      <w:r w:rsidRPr="007018B5">
        <w:rPr>
          <w:szCs w:val="24"/>
          <w:lang w:val="en-US"/>
        </w:rPr>
        <w:t>Bataille</w:t>
      </w:r>
      <w:proofErr w:type="spellEnd"/>
      <w:r w:rsidRPr="007018B5">
        <w:rPr>
          <w:szCs w:val="24"/>
          <w:lang w:val="en-US"/>
        </w:rPr>
        <w:t xml:space="preserve"> </w:t>
      </w:r>
      <w:r w:rsidRPr="00650E61">
        <w:rPr>
          <w:i/>
          <w:iCs/>
          <w:szCs w:val="24"/>
          <w:lang w:val="en-US"/>
        </w:rPr>
        <w:t>et al</w:t>
      </w:r>
      <w:r w:rsidR="00650E61" w:rsidRPr="007018B5">
        <w:rPr>
          <w:szCs w:val="24"/>
          <w:lang w:val="en-US"/>
        </w:rPr>
        <w:fldChar w:fldCharType="begin"/>
      </w:r>
      <w:r w:rsidR="00650E61" w:rsidRPr="007018B5">
        <w:rPr>
          <w:szCs w:val="24"/>
          <w:lang w:val="en-US"/>
        </w:rPr>
        <w:instrText xml:space="preserve"> ADDIN ZOTERO_ITEM CSL_CITATION {"citationID":"FRmMknj8","properties":{"formattedCitation":"\\super [10,11]\\nosupersub{}","plainCitation":"[10,11]","noteIndex":0},"citationItems":[{"id":61,"uris":["http://zotero.org/users/851773/items/6GDS77V2"],"uri":["http://zotero.org/users/851773/items/6GDS77V2"],"itemData":{"id":61,"type":"article-journal","title":"Morphological characterisation of Crohn's disease fistulae","container-title":"Gut","page":"1314-1321","volume":"53","issue":"9","source":"PubMed","abstract":"BACKGROUND: Fistulae are a common complication in up to 35% of all patients with Crohn's disease. Their therapy is difficult and frequently unsatisfactory. To date, no histological comparison of Crohn's disease fistulae with non-inflammatory bowel disease fistulae has been performed. In addition, Crohn's disease fistulae have not been well characterised morphologically.\nMETHODS: Eighty four fistulae from Crohn's disease patients were compared with 13 fistulae from controls. Haematoxylin-eosin staining, electron microscopy, and immunohistochemistry for panCytokeratin (epithelial cells), CD20 (B cells), CD45R0 (T cells), and CD68 (macrophages) were performed according to standard techniques. In addition, histopathological findings were compared with clinical and laboratory data.\nRESULTS: In 31.0% of controls and 27.4% of Crohn's disease specimens, fistulae had a lining of flattened intestinal epithelium without goblet cells or, in the case of cutaneous/perianal disease, narrow squamous epithelium. Non-epithelialised fistulae were covered by a thin layer of (myo)fibroblasts, focally forming a new basement membrane, as demonstrated by electron microscopy. All fistulae were surrounded by granulation tissue. Crohn's disease fistulae presented with central infiltration by CD45R0+ T cells, followed by a small band of CD68+ macrophages and dense accumulation of CD20+ B cells. In contrast, in controls, there was dense infiltration by CD68+ macrophages with only few CD20+ B cells and CD45R0+ T lymphocytes.\nCONCLUSIONS: Fistulae in Crohn's disease differ markedly from non-Crohn's disease fistulae with regard to their cellular composition. The presence of an epithelial lining in a subgroup of fistulae may be important for the therapeutic approach and healing process.","DOI":"10.1136/gut.2003.038208","ISSN":"0017-5749","note":"PMID: 15306592\nPMCID: PMC1774207","journalAbbreviation":"Gut","language":"eng","author":[{"family":"Bataille","given":"F."},{"family":"Klebl","given":"F."},{"family":"Rümmele","given":"P."},{"family":"Schroeder","given":"J."},{"family":"Farkas","given":"S."},{"family":"Wild","given":"P.-J."},{"family":"Fürst","given":"A."},{"family":"Hofstädter","given":"F."},{"family":"Schölmerich","given":"J."},{"family":"Herfarth","given":"H."},{"family":"Rogler","given":"G."}],"issued":{"date-parts":[["2004",9]]}}},{"id":286,"uris":["http://zotero.org/users/851773/items/AQJNI6GQ"],"uri":["http://zotero.org/users/851773/items/AQJNI6GQ"],"itemData":{"id":286,"type":"article-journal","title":"Evidence for a role of epithelial mesenchymal transition during pathogenesis of fistulae in Crohn's disease","container-title":"Inflammatory bowel diseases","page":"1514-1527","volume":"14","issue":"11","source":"NCBI PubMed","abstract":"BACKGROUND: The pathogenesis of fistulae in Crohn's disease (CD) patients is barely understood. We recently showed that more than two-thirds of CD fistulae are covered with flat, mesenchymal-like cells (transitional cells [TC]) forming a patchy basement membrane. Epithelial-to-mesenchymal transition (EMT) is a process of reprogramming epithelial cells, allowing them to migrate more effectively and giving epithelial cells an \"invasive\" potential. EMT has been suggested to be crucial in fibrosis found in different tissues and diseases. We therefore investigated whether EMT could be involved in the pathogenesis of fistulae formation in CD.\nMETHODS: In all, 18 perianal fistulae, 2 enteroenteric, and 1 enterovesical fistulae from 17 CD patients were analyzed. In addition 2 perianal fistulae of non-CD patients were studied. Hematoxylin and eosin staining, immunohistochemistry for the expression of cytokeratins 8 and 20, beta6-integrin, E-cadherin, beta-catenin, vimentin, and TGF-beta1 and 2 were performed according to standard techniques.\nRESULTS: The TC covering perianal or enteroenteric fistulae were strongly positive for cytokeratins 8 and 20 but negative for vimentin, indicating their epithelial origin. beta6-Integrin and TGF-beta had the highest staining intensities in the transitional zone between the epithelium and the TC. Expression of junctional proteins such as E-cadherin was reduced in TC as compared to regular fistulae epithelium. In addition, a translocation of beta-catenin from the membrane to the cytoplasm was observed.\nCONCLUSIONS: Our data for the first time indicate an expression pattern of epithelial and mesenchymal markers in TC associated with fistulae formation that is characteristic for EMT. Studying the pathways of EMT during intestinal fistulae formation may help to develop new therapeutic strategies.","DOI":"10.1002/ibd.20590","ISSN":"1536-4844","note":"PMID: 18626977","journalAbbreviation":"Inflamm. Bowel Dis.","language":"eng","author":[{"family":"Bataille","given":"Frauke"},{"family":"Rohrmeier","given":"Christian"},{"family":"Bates","given":"Richard"},{"family":"Weber","given":"Achim"},{"family":"Rieder","given":"Florian"},{"family":"Brenmoehl","given":"Julia"},{"family":"Strauch","given":"Ulrike"},{"family":"Farkas","given":"Stefan"},{"family":"Fürst","given":"Alois"},{"family":"Hofstädter","given":"Ferdinand"},{"family":"Schölmerich","given":"Jürgen"},{"family":"Herfarth","given":"Hans"},{"family":"Rogler","given":"Gerhard"}],"issued":{"date-parts":[["2008",11]]}}}],"schema":"https://github.com/citation-style-language/schema/raw/master/csl-citation.json"} </w:instrText>
      </w:r>
      <w:r w:rsidR="00650E61" w:rsidRPr="007018B5">
        <w:rPr>
          <w:szCs w:val="24"/>
          <w:lang w:val="en-US"/>
        </w:rPr>
        <w:fldChar w:fldCharType="separate"/>
      </w:r>
      <w:r w:rsidR="00650E61" w:rsidRPr="007018B5">
        <w:rPr>
          <w:szCs w:val="24"/>
          <w:vertAlign w:val="superscript"/>
          <w:lang w:val="en-US"/>
        </w:rPr>
        <w:t>[10,11]</w:t>
      </w:r>
      <w:r w:rsidR="00650E61" w:rsidRPr="007018B5">
        <w:rPr>
          <w:szCs w:val="24"/>
          <w:lang w:val="en-US"/>
        </w:rPr>
        <w:fldChar w:fldCharType="end"/>
      </w:r>
      <w:r w:rsidRPr="007018B5">
        <w:rPr>
          <w:szCs w:val="24"/>
          <w:lang w:val="en-US"/>
        </w:rPr>
        <w:t xml:space="preserve"> found </w:t>
      </w:r>
      <w:r w:rsidR="008E4DD4" w:rsidRPr="007018B5">
        <w:rPr>
          <w:szCs w:val="24"/>
          <w:lang w:val="en-US"/>
        </w:rPr>
        <w:t xml:space="preserve">both </w:t>
      </w:r>
      <w:r w:rsidR="00AA7E77" w:rsidRPr="007018B5">
        <w:rPr>
          <w:szCs w:val="24"/>
          <w:lang w:val="en-US"/>
        </w:rPr>
        <w:t>types</w:t>
      </w:r>
      <w:r w:rsidRPr="007018B5">
        <w:rPr>
          <w:szCs w:val="24"/>
          <w:lang w:val="en-US"/>
        </w:rPr>
        <w:t xml:space="preserve"> had a lining of granulation tissue containing histiocytes and capillaries, a lumen filled with nuclear debris, neutrophils and lymphocytes</w:t>
      </w:r>
      <w:r w:rsidR="008E4DD4" w:rsidRPr="007018B5">
        <w:rPr>
          <w:szCs w:val="24"/>
          <w:lang w:val="en-US"/>
        </w:rPr>
        <w:t>, and markers indicative of epithelial-to-mesenchymal transition</w:t>
      </w:r>
      <w:r w:rsidR="00A741B2" w:rsidRPr="007018B5">
        <w:rPr>
          <w:szCs w:val="24"/>
          <w:lang w:val="en-US"/>
        </w:rPr>
        <w:t>.</w:t>
      </w:r>
      <w:r w:rsidR="008E4DD4" w:rsidRPr="007018B5">
        <w:rPr>
          <w:szCs w:val="24"/>
          <w:lang w:val="en-US"/>
        </w:rPr>
        <w:t xml:space="preserve"> </w:t>
      </w:r>
      <w:r w:rsidRPr="007018B5">
        <w:rPr>
          <w:szCs w:val="24"/>
          <w:lang w:val="en-US"/>
        </w:rPr>
        <w:t>However, CD</w:t>
      </w:r>
      <w:r w:rsidR="0046570B" w:rsidRPr="007018B5">
        <w:rPr>
          <w:szCs w:val="24"/>
          <w:lang w:val="en-US"/>
        </w:rPr>
        <w:t>-related</w:t>
      </w:r>
      <w:r w:rsidRPr="007018B5">
        <w:rPr>
          <w:szCs w:val="24"/>
          <w:lang w:val="en-US"/>
        </w:rPr>
        <w:t xml:space="preserve"> </w:t>
      </w:r>
      <w:r w:rsidR="00C07611" w:rsidRPr="007018B5">
        <w:rPr>
          <w:szCs w:val="24"/>
          <w:lang w:val="en-US"/>
        </w:rPr>
        <w:t xml:space="preserve">perianal </w:t>
      </w:r>
      <w:r w:rsidRPr="007018B5">
        <w:rPr>
          <w:szCs w:val="24"/>
          <w:lang w:val="en-US"/>
        </w:rPr>
        <w:t>fistulae featured more CD45R0 positive T cells and CD20 positive B cells</w:t>
      </w:r>
      <w:r w:rsidR="00F93480" w:rsidRPr="007018B5">
        <w:rPr>
          <w:szCs w:val="24"/>
          <w:lang w:val="en-US"/>
        </w:rPr>
        <w:t>, whilst idiopathic fistulae featured more CD68 positive macrophages</w:t>
      </w:r>
      <w:r w:rsidRPr="007018B5">
        <w:rPr>
          <w:szCs w:val="24"/>
          <w:lang w:val="en-US"/>
        </w:rPr>
        <w:t xml:space="preserve">. </w:t>
      </w:r>
      <w:proofErr w:type="spellStart"/>
      <w:r w:rsidRPr="007018B5">
        <w:rPr>
          <w:szCs w:val="24"/>
          <w:lang w:val="en-US"/>
        </w:rPr>
        <w:t>Kirkegaard</w:t>
      </w:r>
      <w:proofErr w:type="spellEnd"/>
      <w:r w:rsidRPr="007018B5">
        <w:rPr>
          <w:szCs w:val="24"/>
          <w:lang w:val="en-US"/>
        </w:rPr>
        <w:t xml:space="preserve"> </w:t>
      </w:r>
      <w:r w:rsidRPr="00FD64AB">
        <w:rPr>
          <w:i/>
          <w:iCs/>
          <w:szCs w:val="24"/>
          <w:lang w:val="en-US"/>
        </w:rPr>
        <w:t>et al</w:t>
      </w:r>
      <w:r w:rsidR="00FD64AB" w:rsidRPr="007018B5">
        <w:rPr>
          <w:szCs w:val="24"/>
          <w:lang w:val="en-US"/>
        </w:rPr>
        <w:fldChar w:fldCharType="begin"/>
      </w:r>
      <w:r w:rsidR="00FD64AB" w:rsidRPr="007018B5">
        <w:rPr>
          <w:szCs w:val="24"/>
          <w:lang w:val="en-US"/>
        </w:rPr>
        <w:instrText xml:space="preserve"> ADDIN ZOTERO_ITEM CSL_CITATION {"citationID":"XOZ7XMGq","properties":{"formattedCitation":"\\super [12]\\nosupersub{}","plainCitation":"[12]","noteIndex":0},"citationItems":[{"id":282,"uris":["http://zotero.org/users/851773/items/Z59X6UUD"],"uri":["http://zotero.org/users/851773/items/Z59X6UUD"],"itemData":{"id":282,"type":"article-journal","title":"Expression and localisation of matrix metalloproteinases and their natural inhibitors in fistulae of patients with Crohn's disease","container-title":"Gut","page":"701-709","volume":"53","issue":"5","source":"NCBI PubMed","abstract":"BACKGROUND: Fistulae are a troublesome complication of Crohn's disease but little is known of the final effector molecules responsible for matrix degradation. Although matrix metalloproteinases (MMPs) have been strongly implicated in tissue injury in Crohn's disease, their role in fistula formation is unknown. Aim: To determine the expression pattern of MMPs and tissue inhibitors of metalloproteinases (TIMPs) in fistulae of patients with Crohn's disease.\nPATIENTS AND METHODS: Resected fistula specimens were obtained from patients with Crohn's disease (n = 11) and classified according to the predominant histological features-that is, acute versus chronic inflammation. Patients with fistulae due to other diseases (n = 9) and normal colon (n = 5) served as controls. MMP and TIMP protein expression was measured by single or double labelled immunohistochemistry, and mRNA expression by in situ hybridisation. MMP activity was measured by gelatin zymography.\nRESULTS: Compared with normal colon, strong MMP-3 expression was consistently observed in fistulae in Crohn's disease, irrespective of the stage of inflammatory activity. MMP-3 transcripts and protein were localised in large mononuclear cells and fibroblasts. MMP-9 transcripts and protein were expressed in granulocytes and only in fistulae with acute inflammation. Staining for MMP-1 and MMP-7 was weak and negative for MMP-10, whereas MMP-2 was equally expressed in normal colon and fistulae. TIMP-1, TIMP-2, and TIMP-3 expression was low in all samples. Similar expression patterns were found in fistulae of the disease control group. Fistulae also expressed active MMP-2 and MMP-9, as measured by gelatin zymography.\nCONCLUSION: MMP-3 and MMP-9 are markedly upregulated in intestinal fistulae and may contribute to fistula formation through degradation of the extracellular matrix, irrespective of the underlying disease process.","DOI":"10.1136/gut.2003.017442","ISSN":"0017-5749","note":"PMID: 15082589","journalAbbreviation":"Gut","language":"eng","author":[{"family":"Kirkegaard","given":"T"},{"family":"Hansen","given":"A"},{"family":"Bruun","given":"E"},{"family":"Brynskov","given":"J"}],"issued":{"date-parts":[["2004",5]]}},"suppress-author":true}],"schema":"https://github.com/citation-style-language/schema/raw/master/csl-citation.json"} </w:instrText>
      </w:r>
      <w:r w:rsidR="00FD64AB" w:rsidRPr="007018B5">
        <w:rPr>
          <w:szCs w:val="24"/>
          <w:lang w:val="en-US"/>
        </w:rPr>
        <w:fldChar w:fldCharType="separate"/>
      </w:r>
      <w:r w:rsidR="00FD64AB" w:rsidRPr="007018B5">
        <w:rPr>
          <w:szCs w:val="24"/>
          <w:vertAlign w:val="superscript"/>
          <w:lang w:val="en-US"/>
        </w:rPr>
        <w:t>[12]</w:t>
      </w:r>
      <w:r w:rsidR="00FD64AB" w:rsidRPr="007018B5">
        <w:rPr>
          <w:szCs w:val="24"/>
          <w:lang w:val="en-US"/>
        </w:rPr>
        <w:fldChar w:fldCharType="end"/>
      </w:r>
      <w:r w:rsidRPr="007018B5">
        <w:rPr>
          <w:szCs w:val="24"/>
          <w:lang w:val="en-US"/>
        </w:rPr>
        <w:t xml:space="preserve"> found </w:t>
      </w:r>
      <w:r w:rsidR="00F93480" w:rsidRPr="007018B5">
        <w:rPr>
          <w:szCs w:val="24"/>
          <w:lang w:val="en-US"/>
        </w:rPr>
        <w:t xml:space="preserve">both types had </w:t>
      </w:r>
      <w:r w:rsidRPr="007018B5">
        <w:rPr>
          <w:szCs w:val="24"/>
          <w:lang w:val="en-US"/>
        </w:rPr>
        <w:t>similar MMP-3 and MMP-9 upregulation</w:t>
      </w:r>
      <w:r w:rsidR="00A741B2" w:rsidRPr="007018B5">
        <w:rPr>
          <w:szCs w:val="24"/>
          <w:lang w:val="en-US"/>
        </w:rPr>
        <w:t>.</w:t>
      </w:r>
      <w:r w:rsidRPr="007018B5">
        <w:rPr>
          <w:szCs w:val="24"/>
          <w:lang w:val="en-US"/>
        </w:rPr>
        <w:t xml:space="preserve"> Tozer found </w:t>
      </w:r>
      <w:r w:rsidR="00F93480" w:rsidRPr="007018B5">
        <w:rPr>
          <w:szCs w:val="24"/>
          <w:lang w:val="en-US"/>
        </w:rPr>
        <w:t xml:space="preserve">both types had </w:t>
      </w:r>
      <w:r w:rsidRPr="007018B5">
        <w:rPr>
          <w:szCs w:val="24"/>
          <w:lang w:val="en-US"/>
        </w:rPr>
        <w:t xml:space="preserve">similar levels of IL-2, IL-4, IL-6, </w:t>
      </w:r>
      <w:r w:rsidR="0046570B" w:rsidRPr="007018B5">
        <w:rPr>
          <w:szCs w:val="24"/>
          <w:lang w:val="en-US"/>
        </w:rPr>
        <w:t>IP-10</w:t>
      </w:r>
      <w:r w:rsidRPr="007018B5">
        <w:rPr>
          <w:szCs w:val="24"/>
          <w:lang w:val="en-US"/>
        </w:rPr>
        <w:t>, TNF-</w:t>
      </w:r>
      <w:r w:rsidRPr="007018B5">
        <w:rPr>
          <w:szCs w:val="24"/>
          <w:lang w:val="en-US"/>
        </w:rPr>
        <w:sym w:font="Symbol" w:char="F061"/>
      </w:r>
      <w:r w:rsidRPr="007018B5">
        <w:rPr>
          <w:szCs w:val="24"/>
          <w:lang w:val="en-US"/>
        </w:rPr>
        <w:t xml:space="preserve"> and IFN-</w:t>
      </w:r>
      <w:r w:rsidRPr="007018B5">
        <w:rPr>
          <w:szCs w:val="24"/>
          <w:lang w:val="en-US"/>
        </w:rPr>
        <w:sym w:font="Symbol" w:char="F067"/>
      </w:r>
      <w:r w:rsidRPr="007018B5">
        <w:rPr>
          <w:szCs w:val="24"/>
          <w:lang w:val="en-US"/>
        </w:rPr>
        <w:t xml:space="preserve"> in tissue culture supernatants</w:t>
      </w:r>
      <w:r w:rsidR="00E25C63" w:rsidRPr="007018B5">
        <w:rPr>
          <w:szCs w:val="24"/>
          <w:lang w:val="en-US"/>
        </w:rPr>
        <w:t xml:space="preserve">, but also reported higher numbers of T cells, lower expression of dendritic cell homing markers and fewer CD65 positive macrophages in CD-related </w:t>
      </w:r>
      <w:r w:rsidR="00C07611" w:rsidRPr="007018B5">
        <w:rPr>
          <w:szCs w:val="24"/>
          <w:lang w:val="en-US"/>
        </w:rPr>
        <w:t xml:space="preserve">perianal </w:t>
      </w:r>
      <w:r w:rsidR="00E25C63" w:rsidRPr="007018B5">
        <w:rPr>
          <w:szCs w:val="24"/>
          <w:lang w:val="en-US"/>
        </w:rPr>
        <w:t>fistulae</w:t>
      </w:r>
      <w:r w:rsidRPr="007018B5">
        <w:rPr>
          <w:szCs w:val="24"/>
          <w:lang w:val="en-US"/>
        </w:rPr>
        <w:fldChar w:fldCharType="begin"/>
      </w:r>
      <w:r w:rsidR="003D51A1" w:rsidRPr="007018B5">
        <w:rPr>
          <w:szCs w:val="24"/>
          <w:lang w:val="en-US"/>
        </w:rPr>
        <w:instrText xml:space="preserve"> ADDIN ZOTERO_ITEM CSL_CITATION {"citationID":"mjpb7WbG","properties":{"formattedCitation":"\\super [13]\\nosupersub{}","plainCitation":"[13]","noteIndex":0},"citationItems":[{"id":539,"uris":["http://zotero.org/users/851773/items/H8P8JB3U"],"uri":["http://zotero.org/users/851773/items/H8P8JB3U"],"itemData":{"id":539,"type":"thesis","title":"Clinical and experimental studies in idiopathic and Crohn's-related anal fistula","publisher":"Imperial College","publisher-place":"London","genre":"MD(Res)","event-place":"London","author":[{"family":"Tozer","given":"PJ"}],"issued":{"date-parts":[["2011"]]}},"suppress-author":true}],"schema":"https://github.com/citation-style-language/schema/raw/master/csl-citation.json"} </w:instrText>
      </w:r>
      <w:r w:rsidRPr="007018B5">
        <w:rPr>
          <w:szCs w:val="24"/>
          <w:lang w:val="en-US"/>
        </w:rPr>
        <w:fldChar w:fldCharType="separate"/>
      </w:r>
      <w:r w:rsidR="003D51A1" w:rsidRPr="007018B5">
        <w:rPr>
          <w:szCs w:val="24"/>
          <w:vertAlign w:val="superscript"/>
          <w:lang w:val="en-US"/>
        </w:rPr>
        <w:t>[13]</w:t>
      </w:r>
      <w:r w:rsidRPr="007018B5">
        <w:rPr>
          <w:szCs w:val="24"/>
          <w:lang w:val="en-US"/>
        </w:rPr>
        <w:fldChar w:fldCharType="end"/>
      </w:r>
      <w:r w:rsidR="00A741B2" w:rsidRPr="007018B5">
        <w:rPr>
          <w:szCs w:val="24"/>
          <w:lang w:val="en-US"/>
        </w:rPr>
        <w:t>.</w:t>
      </w:r>
      <w:r w:rsidRPr="007018B5">
        <w:rPr>
          <w:szCs w:val="24"/>
          <w:lang w:val="en-US"/>
        </w:rPr>
        <w:t xml:space="preserve"> </w:t>
      </w:r>
    </w:p>
    <w:p w14:paraId="18E0CDFD" w14:textId="351788DA" w:rsidR="00B3479A" w:rsidRPr="007018B5" w:rsidRDefault="005C0505" w:rsidP="00FD64AB">
      <w:pPr>
        <w:adjustRightInd w:val="0"/>
        <w:snapToGrid w:val="0"/>
        <w:spacing w:before="0" w:after="0"/>
        <w:ind w:firstLineChars="100" w:firstLine="240"/>
        <w:jc w:val="both"/>
        <w:rPr>
          <w:szCs w:val="24"/>
          <w:lang w:val="en-US"/>
        </w:rPr>
      </w:pPr>
      <w:r w:rsidRPr="007018B5">
        <w:rPr>
          <w:szCs w:val="24"/>
          <w:lang w:val="en-US"/>
        </w:rPr>
        <w:t xml:space="preserve">It is well established that there are significant differences in the cytokine expression in CD-affected intestinal mucosa, compared with healthy mucosa, namely </w:t>
      </w:r>
      <w:r w:rsidR="00E25C63" w:rsidRPr="007018B5">
        <w:rPr>
          <w:szCs w:val="24"/>
          <w:lang w:val="en-US"/>
        </w:rPr>
        <w:t>pro-inflammatory cytokines IL-1, TNF-α, IL-6, IL-8, IL-12, IL-17 and IL-21, and anti-inflammatory cytokines IL-10 and TGF-</w:t>
      </w:r>
      <w:r w:rsidR="00E25C63" w:rsidRPr="007018B5">
        <w:rPr>
          <w:szCs w:val="24"/>
          <w:lang w:val="en-US"/>
        </w:rPr>
        <w:sym w:font="Symbol" w:char="F062"/>
      </w:r>
      <w:r w:rsidR="00E25C63" w:rsidRPr="007018B5">
        <w:rPr>
          <w:szCs w:val="24"/>
          <w:lang w:val="en-US"/>
        </w:rPr>
        <w:fldChar w:fldCharType="begin"/>
      </w:r>
      <w:r w:rsidR="003D51A1" w:rsidRPr="007018B5">
        <w:rPr>
          <w:szCs w:val="24"/>
          <w:lang w:val="en-US"/>
        </w:rPr>
        <w:instrText xml:space="preserve"> ADDIN ZOTERO_ITEM CSL_CITATION {"citationID":"dFwz0AFF","properties":{"formattedCitation":"\\super [21]\\nosupersub{}","plainCitation":"[21]","noteIndex":0},"citationItems":[{"id":807,"uris":["http://zotero.org/users/851773/items/B4N7VZ62"],"uri":["http://zotero.org/users/851773/items/B4N7VZ62"],"itemData":{"id":807,"type":"article-journal","title":"Changes of the cytokine profile in inflammatory bowel diseases","container-title":"World Journal of Gastroenterology : WJG","page":"5848-5861","volume":"18","issue":"41","source":"PubMed Central","abstract":"Cytokines are indispensable signals of the mucosa-associated immune system for maintaining normal gut homeostasis. An imbalance of their profile in favour of inflammation initiation may lead to disease states, such as that is observed in inflammatory bowel diseases (IBD). Although Crohn’s disease (CD) is often described as a prototype of T-helper 1-type diseases, and ulcerative colitis (UC) is traditionally viewed as a T-helper 2-mediated condition, the classic paradigm, which categorises cytokines into pro- and anti-inflammatory groups, has recently been changed. The inflammation regulatory pathways may not be mutually exclusive as individual cytokines can have diverse and even opposing functions in various clinical and immunological settings. None the less there are many common immunological responses in IBD that are mediated by cytokines. Although they regulate and influence the development, course and recurrence of the inflammatory process, the concrete pathogenic role of these small signaling molecules is sometimes not unambiguous in the subtypes of the disease. Our aim is to review the current information about pro- and anti-inflammatory effects of traditionally studied and recently discovered cytokines in the pathogenesis of UC and CD. The better understanding of their production and functional activity may lead to the development of new therapeutic modalities.","DOI":"10.3748/wjg.v18.i41.5848","ISSN":"1007-9327","note":"PMID: 23139600\nPMCID: PMC3491591","journalAbbreviation":"World J Gastroenterol","author":[{"family":"Műzes","given":"Györgyi"},{"family":"Molnár","given":"Béla"},{"family":"Tulassay","given":"Zsolt"},{"family":"Sipos","given":"Ferenc"}],"issued":{"date-parts":[["2012",11,7]]}}}],"schema":"https://github.com/citation-style-language/schema/raw/master/csl-citation.json"} </w:instrText>
      </w:r>
      <w:r w:rsidR="00E25C63" w:rsidRPr="007018B5">
        <w:rPr>
          <w:szCs w:val="24"/>
          <w:lang w:val="en-US"/>
        </w:rPr>
        <w:fldChar w:fldCharType="separate"/>
      </w:r>
      <w:r w:rsidR="003D51A1" w:rsidRPr="007018B5">
        <w:rPr>
          <w:szCs w:val="24"/>
          <w:vertAlign w:val="superscript"/>
          <w:lang w:val="en-US"/>
        </w:rPr>
        <w:t>[21]</w:t>
      </w:r>
      <w:r w:rsidR="00E25C63" w:rsidRPr="007018B5">
        <w:rPr>
          <w:szCs w:val="24"/>
          <w:lang w:val="en-US"/>
        </w:rPr>
        <w:fldChar w:fldCharType="end"/>
      </w:r>
      <w:r w:rsidR="00A741B2" w:rsidRPr="007018B5">
        <w:rPr>
          <w:szCs w:val="24"/>
          <w:lang w:val="en-US"/>
        </w:rPr>
        <w:t>.</w:t>
      </w:r>
      <w:r w:rsidR="00E25C63" w:rsidRPr="007018B5">
        <w:rPr>
          <w:szCs w:val="24"/>
          <w:lang w:val="en-US"/>
        </w:rPr>
        <w:t xml:space="preserve"> Thus, </w:t>
      </w:r>
      <w:r w:rsidRPr="007018B5">
        <w:rPr>
          <w:szCs w:val="24"/>
          <w:lang w:val="en-US"/>
        </w:rPr>
        <w:t xml:space="preserve">notwithstanding Tozer’s results mentioned above, </w:t>
      </w:r>
      <w:r w:rsidR="00E25C63" w:rsidRPr="007018B5">
        <w:rPr>
          <w:szCs w:val="24"/>
          <w:lang w:val="en-US"/>
        </w:rPr>
        <w:t xml:space="preserve">similar differences might be seen in idiopathic compared with </w:t>
      </w:r>
      <w:r w:rsidRPr="007018B5">
        <w:rPr>
          <w:szCs w:val="24"/>
          <w:lang w:val="en-US"/>
        </w:rPr>
        <w:t>CD-related</w:t>
      </w:r>
      <w:r w:rsidR="00E25C63" w:rsidRPr="007018B5">
        <w:rPr>
          <w:szCs w:val="24"/>
          <w:lang w:val="en-US"/>
        </w:rPr>
        <w:t xml:space="preserve"> perianal fistulae. To broaden this line of enquiry, we </w:t>
      </w:r>
      <w:proofErr w:type="spellStart"/>
      <w:r w:rsidR="00E25C63" w:rsidRPr="007018B5">
        <w:rPr>
          <w:szCs w:val="24"/>
          <w:lang w:val="en-US"/>
        </w:rPr>
        <w:t>analyse</w:t>
      </w:r>
      <w:r w:rsidR="00E90DB9" w:rsidRPr="007018B5">
        <w:rPr>
          <w:szCs w:val="24"/>
          <w:lang w:val="en-US"/>
        </w:rPr>
        <w:t>d</w:t>
      </w:r>
      <w:proofErr w:type="spellEnd"/>
      <w:r w:rsidR="00E25C63" w:rsidRPr="007018B5">
        <w:rPr>
          <w:szCs w:val="24"/>
          <w:lang w:val="en-US"/>
        </w:rPr>
        <w:t xml:space="preserve"> the tissue culture supernatants for 30 different cytokines.</w:t>
      </w:r>
      <w:r w:rsidRPr="007018B5">
        <w:rPr>
          <w:szCs w:val="24"/>
          <w:lang w:val="en-US"/>
        </w:rPr>
        <w:t xml:space="preserve"> </w:t>
      </w:r>
      <w:r w:rsidR="00E90DB9" w:rsidRPr="007018B5">
        <w:rPr>
          <w:szCs w:val="24"/>
          <w:lang w:val="en-US"/>
        </w:rPr>
        <w:t>O</w:t>
      </w:r>
      <w:r w:rsidR="00FA5EFB" w:rsidRPr="007018B5">
        <w:rPr>
          <w:szCs w:val="24"/>
          <w:lang w:val="en-US"/>
        </w:rPr>
        <w:t>nly two measurements showed a significant difference between the groups</w:t>
      </w:r>
      <w:r w:rsidR="00B3479A" w:rsidRPr="007018B5">
        <w:rPr>
          <w:szCs w:val="24"/>
          <w:lang w:val="en-US"/>
        </w:rPr>
        <w:t>: IL-12p70 and the IL-1RA/IL-1</w:t>
      </w:r>
      <w:r w:rsidR="00B3479A" w:rsidRPr="007018B5">
        <w:rPr>
          <w:szCs w:val="24"/>
          <w:lang w:val="en-US"/>
        </w:rPr>
        <w:sym w:font="Symbol" w:char="F062"/>
      </w:r>
      <w:r w:rsidR="00B3479A" w:rsidRPr="007018B5">
        <w:rPr>
          <w:szCs w:val="24"/>
          <w:lang w:val="en-US"/>
        </w:rPr>
        <w:t xml:space="preserve"> ratio, both at the internal opening.</w:t>
      </w:r>
    </w:p>
    <w:p w14:paraId="034B32B6" w14:textId="2D59C77C" w:rsidR="00B3479A" w:rsidRPr="007018B5" w:rsidRDefault="00B3479A" w:rsidP="00FD64AB">
      <w:pPr>
        <w:adjustRightInd w:val="0"/>
        <w:snapToGrid w:val="0"/>
        <w:spacing w:before="0" w:after="0"/>
        <w:ind w:firstLineChars="100" w:firstLine="240"/>
        <w:jc w:val="both"/>
        <w:rPr>
          <w:szCs w:val="24"/>
          <w:lang w:val="en-US"/>
        </w:rPr>
      </w:pPr>
      <w:r w:rsidRPr="007018B5">
        <w:rPr>
          <w:szCs w:val="24"/>
          <w:lang w:val="en-US"/>
        </w:rPr>
        <w:t>IL-12 is a proinflammatory cytokine produced by dendritic cells and macroph</w:t>
      </w:r>
      <w:r w:rsidR="009E13D7" w:rsidRPr="007018B5">
        <w:rPr>
          <w:szCs w:val="24"/>
          <w:lang w:val="en-US"/>
        </w:rPr>
        <w:t>ages. It comprises two subunits,</w:t>
      </w:r>
      <w:r w:rsidRPr="007018B5">
        <w:rPr>
          <w:szCs w:val="24"/>
          <w:lang w:val="en-US"/>
        </w:rPr>
        <w:t xml:space="preserve"> IL-12p35 and IL-12p40</w:t>
      </w:r>
      <w:r w:rsidR="009E13D7" w:rsidRPr="007018B5">
        <w:rPr>
          <w:szCs w:val="24"/>
          <w:lang w:val="en-US"/>
        </w:rPr>
        <w:t xml:space="preserve">, which combine </w:t>
      </w:r>
      <w:r w:rsidR="00E90DB9" w:rsidRPr="007018B5">
        <w:rPr>
          <w:szCs w:val="24"/>
          <w:lang w:val="en-US"/>
        </w:rPr>
        <w:t>into</w:t>
      </w:r>
      <w:r w:rsidR="009E13D7" w:rsidRPr="007018B5">
        <w:rPr>
          <w:szCs w:val="24"/>
          <w:lang w:val="en-US"/>
        </w:rPr>
        <w:t xml:space="preserve"> IL-12p70</w:t>
      </w:r>
      <w:r w:rsidRPr="007018B5">
        <w:rPr>
          <w:szCs w:val="24"/>
          <w:lang w:val="en-US"/>
        </w:rPr>
        <w:t xml:space="preserve">. The IL-12 receptor is found mainly on T cells and natural killer cells. </w:t>
      </w:r>
      <w:r w:rsidR="009E13D7" w:rsidRPr="007018B5">
        <w:rPr>
          <w:szCs w:val="24"/>
          <w:lang w:val="en-US"/>
        </w:rPr>
        <w:t>IL-12</w:t>
      </w:r>
      <w:r w:rsidR="00062A93" w:rsidRPr="007018B5">
        <w:rPr>
          <w:szCs w:val="24"/>
          <w:lang w:val="en-US"/>
        </w:rPr>
        <w:t xml:space="preserve"> </w:t>
      </w:r>
      <w:r w:rsidRPr="007018B5">
        <w:rPr>
          <w:szCs w:val="24"/>
          <w:lang w:val="en-US"/>
        </w:rPr>
        <w:t>induces production of IFN-</w:t>
      </w:r>
      <w:r w:rsidRPr="007018B5">
        <w:rPr>
          <w:szCs w:val="24"/>
          <w:lang w:val="en-US"/>
        </w:rPr>
        <w:sym w:font="Symbol" w:char="F067"/>
      </w:r>
      <w:r w:rsidRPr="007018B5">
        <w:rPr>
          <w:szCs w:val="24"/>
          <w:lang w:val="en-US"/>
        </w:rPr>
        <w:t xml:space="preserve">, promotes T helper 1 cell differentiation and forms a link between </w:t>
      </w:r>
      <w:r w:rsidRPr="007018B5">
        <w:rPr>
          <w:szCs w:val="24"/>
          <w:lang w:val="en-US"/>
        </w:rPr>
        <w:lastRenderedPageBreak/>
        <w:t>innate resistance and acquired immunity</w:t>
      </w:r>
      <w:r w:rsidRPr="007018B5">
        <w:rPr>
          <w:szCs w:val="24"/>
          <w:lang w:val="en-US"/>
        </w:rPr>
        <w:fldChar w:fldCharType="begin"/>
      </w:r>
      <w:r w:rsidR="003D51A1" w:rsidRPr="007018B5">
        <w:rPr>
          <w:szCs w:val="24"/>
          <w:lang w:val="en-US"/>
        </w:rPr>
        <w:instrText xml:space="preserve"> ADDIN ZOTERO_ITEM CSL_CITATION {"citationID":"1hlZrZkW","properties":{"formattedCitation":"\\super [22]\\nosupersub{}","plainCitation":"[22]","noteIndex":0},"citationItems":[{"id":799,"uris":["http://zotero.org/users/851773/items/N5HVA5VQ"],"uri":["http://zotero.org/users/851773/items/N5HVA5VQ"],"itemData":{"id":799,"type":"article-journal","title":"Interleukin-12 and the regulation of innate resistance and adaptive immunity","container-title":"Nature Reviews. Immunology","page":"133-146","volume":"3","issue":"2","source":"PubMed","abstract":"Interleukin-12 (IL-12) is a heterodimeric pro-inflammatory cytokine that induces the production of interferon-gamma (IFN-gamma), favours the differentiation of T helper 1 (T(H)1) cells and forms a link between innate resistance and adaptive immunity. Dendritic cells (DCs) and phagocytes produce IL-12 in response to pathogens during infection. Production of IL-12 is dependent on differential mechanisms of regulation of expression of the genes encoding IL-12, patterns of Toll-like receptor (TLR) expression and cross-regulation between the different DC subsets, involving cytokines such as IL-10 and type I IFN. Recent data, however, argue against an absolute requirement for IL-12 for T(H)1 responses. Our understanding of the relative roles of IL-12 and other factors in T(H)1-type maturation of both CD4+ and CD8+ T cells is discussed here, including the participation in this process of IL-23 and IL-27, two recently discovered members of the new family of heterodimeric cytokines.","DOI":"10.1038/nri1001","ISSN":"1474-1733","note":"PMID: 12563297","journalAbbreviation":"Nat. Rev. Immunol.","language":"eng","author":[{"family":"Trinchieri","given":"Giorgio"}],"issued":{"date-parts":[["2003",2]]}}}],"schema":"https://github.com/citation-style-language/schema/raw/master/csl-citation.json"}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[22]</w:t>
      </w:r>
      <w:r w:rsidRPr="007018B5">
        <w:rPr>
          <w:szCs w:val="24"/>
          <w:lang w:val="en-US"/>
        </w:rPr>
        <w:fldChar w:fldCharType="end"/>
      </w:r>
      <w:r w:rsidR="00A741B2" w:rsidRPr="007018B5">
        <w:rPr>
          <w:szCs w:val="24"/>
          <w:lang w:val="en-US"/>
        </w:rPr>
        <w:t>.</w:t>
      </w:r>
      <w:r w:rsidRPr="007018B5">
        <w:rPr>
          <w:szCs w:val="24"/>
          <w:lang w:val="en-US"/>
        </w:rPr>
        <w:t xml:space="preserve"> </w:t>
      </w:r>
      <w:r w:rsidR="009E13D7" w:rsidRPr="007018B5">
        <w:rPr>
          <w:szCs w:val="24"/>
          <w:lang w:val="en-US"/>
        </w:rPr>
        <w:t>It</w:t>
      </w:r>
      <w:r w:rsidRPr="007018B5">
        <w:rPr>
          <w:szCs w:val="24"/>
          <w:lang w:val="en-US"/>
        </w:rPr>
        <w:t xml:space="preserve"> plays an important role in </w:t>
      </w:r>
      <w:r w:rsidR="0069097F" w:rsidRPr="007018B5">
        <w:rPr>
          <w:szCs w:val="24"/>
          <w:lang w:val="en-US"/>
        </w:rPr>
        <w:t>CD</w:t>
      </w:r>
      <w:r w:rsidRPr="007018B5">
        <w:rPr>
          <w:szCs w:val="24"/>
          <w:lang w:val="en-US"/>
        </w:rPr>
        <w:t xml:space="preserve"> pathogenesis. The expression of IL-12 is upregulated in </w:t>
      </w:r>
      <w:r w:rsidR="0069097F" w:rsidRPr="007018B5">
        <w:rPr>
          <w:szCs w:val="24"/>
          <w:lang w:val="en-US"/>
        </w:rPr>
        <w:t>CD</w:t>
      </w:r>
      <w:r w:rsidRPr="007018B5">
        <w:rPr>
          <w:szCs w:val="24"/>
          <w:lang w:val="en-US"/>
        </w:rPr>
        <w:t xml:space="preserve"> mucosa</w:t>
      </w:r>
      <w:r w:rsidRPr="007018B5">
        <w:rPr>
          <w:szCs w:val="24"/>
          <w:lang w:val="en-US"/>
        </w:rPr>
        <w:fldChar w:fldCharType="begin"/>
      </w:r>
      <w:r w:rsidR="003D51A1" w:rsidRPr="007018B5">
        <w:rPr>
          <w:szCs w:val="24"/>
          <w:lang w:val="en-US"/>
        </w:rPr>
        <w:instrText xml:space="preserve"> ADDIN ZOTERO_ITEM CSL_CITATION {"citationID":"KIeVNKnb","properties":{"formattedCitation":"\\super [23]\\nosupersub{}","plainCitation":"[23]","noteIndex":0},"citationItems":[{"id":425,"uris":["http://zotero.org/users/851773/items/RG3VTW57"],"uri":["http://zotero.org/users/851773/items/RG3VTW57"],"itemData":{"id":425,"type":"article-journal","title":"Interleukin 12 is expressed and actively released by Crohn's disease intestinal lamina propria mononuclear cells","container-title":"Gastroenterology","page":"1169-1178","volume":"112","issue":"4","source":"PubMed","abstract":"BACKGROUND &amp; AIMS: Cell-mediated immunity is a feature of Crohn's disease (CD). The heterodimer interleukin (IL)-12, produced by phagocytes, induces T-cell cytokines, primarily interferon (IFN)-gamma. This study examined whether CD lamina propria mononuclear cells (LPMCs) express and release bioactive IL-12.\nMETHODS: LPMCs were isolated from 13 patients with CD, 9 with ulcerative colitis (UC), and 13 controls. Messenger RNA for p40 and p35 IL-12 subunits was evaluated by reverse-transcription polymerase chain reaction. IL-12 was measured by enzyme-linked immunosorbent assay in LPMC culture supernatants. The INF-gamma-inducing effect of unstimulated LPMC supernatants was evaluated.\nRESULTS: Messenger RNA for both IL-12 subunits was detected in LPMCs of 11 of 13 patients with CD, 1 of 9 patients with UC, and 1 of 13 controls (P &lt; 0.001). IL-12 was measured (10.5 +/- 2 pg/mL at 24 hours) in unstimulated CD LPMCs and was enhanced by pokeweed mitogen, lipopolysaccharide, and staphylococcal enterotoxin B. No IL-12 was detectable in 8 of 9 patients with UC and 12 of 13 control-unstimulated LPMCs. IL-12 induced by pokeweed mitogen and staphylococcal enterotoxin B in UC was lower than in CD and did not differ from controls. An IFN-gamma-inducing effect was restricted to unstimulated CD LPMC supernatants and was inhibited by an anti-IL-12 antibody in a dose-dependent fashion.\nCONCLUSIONS: IL-12 transcripts are expressed in CD intestinal tissues. CD LPMCs are up-regulated in their capability of releasing bioactive IL-12. Expression and release of bioactive IL-12 seem to differentiate CD from UC.","DOI":"10.1016/S0016-5085(97)70128-8","ISSN":"0016-5085","note":"PMID: 9098000","journalAbbreviation":"Gastroenterology","language":"eng","author":[{"family":"Monteleone","given":"G."},{"family":"Biancone","given":"L."},{"family":"Marasco","given":"R."},{"family":"Morrone","given":"G."},{"family":"Marasco","given":"O."},{"family":"Luzza","given":"F."},{"family":"Pallone","given":"F."}],"issued":{"date-parts":[["1997",4]]}}}],"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[23]</w:t>
      </w:r>
      <w:r w:rsidRPr="007018B5">
        <w:rPr>
          <w:szCs w:val="24"/>
          <w:lang w:val="en-US"/>
        </w:rPr>
        <w:fldChar w:fldCharType="end"/>
      </w:r>
      <w:r w:rsidR="00A741B2" w:rsidRPr="007018B5">
        <w:rPr>
          <w:szCs w:val="24"/>
          <w:lang w:val="en-US"/>
        </w:rPr>
        <w:t>.</w:t>
      </w:r>
      <w:r w:rsidRPr="007018B5">
        <w:rPr>
          <w:szCs w:val="24"/>
          <w:lang w:val="en-US"/>
        </w:rPr>
        <w:t xml:space="preserve"> </w:t>
      </w:r>
      <w:r w:rsidR="004E1468" w:rsidRPr="007018B5">
        <w:rPr>
          <w:szCs w:val="24"/>
          <w:lang w:val="en-US"/>
        </w:rPr>
        <w:t>This</w:t>
      </w:r>
      <w:r w:rsidRPr="007018B5">
        <w:rPr>
          <w:szCs w:val="24"/>
          <w:lang w:val="en-US"/>
        </w:rPr>
        <w:t xml:space="preserve"> study found significantly higher concentrations of IL-12p70 at the internal opening in the </w:t>
      </w:r>
      <w:r w:rsidR="0069097F" w:rsidRPr="007018B5">
        <w:rPr>
          <w:szCs w:val="24"/>
          <w:lang w:val="en-US"/>
        </w:rPr>
        <w:t>CD</w:t>
      </w:r>
      <w:r w:rsidRPr="007018B5">
        <w:rPr>
          <w:szCs w:val="24"/>
          <w:lang w:val="en-US"/>
        </w:rPr>
        <w:t xml:space="preserve"> group</w:t>
      </w:r>
      <w:r w:rsidR="004E1468" w:rsidRPr="007018B5">
        <w:rPr>
          <w:szCs w:val="24"/>
          <w:lang w:val="en-US"/>
        </w:rPr>
        <w:t>,</w:t>
      </w:r>
      <w:r w:rsidRPr="007018B5">
        <w:rPr>
          <w:szCs w:val="24"/>
          <w:lang w:val="en-US"/>
        </w:rPr>
        <w:t xml:space="preserve"> suggest</w:t>
      </w:r>
      <w:r w:rsidR="004E1468" w:rsidRPr="007018B5">
        <w:rPr>
          <w:szCs w:val="24"/>
          <w:lang w:val="en-US"/>
        </w:rPr>
        <w:t>ing</w:t>
      </w:r>
      <w:r w:rsidRPr="007018B5">
        <w:rPr>
          <w:szCs w:val="24"/>
          <w:lang w:val="en-US"/>
        </w:rPr>
        <w:t xml:space="preserve"> a similarly important role for IL-12 in </w:t>
      </w:r>
      <w:r w:rsidR="004E1468" w:rsidRPr="007018B5">
        <w:rPr>
          <w:szCs w:val="24"/>
          <w:lang w:val="en-US"/>
        </w:rPr>
        <w:t xml:space="preserve">CD-related </w:t>
      </w:r>
      <w:r w:rsidRPr="007018B5">
        <w:rPr>
          <w:szCs w:val="24"/>
          <w:lang w:val="en-US"/>
        </w:rPr>
        <w:t>perianal fistula and may represent a difference in its pathophysiology compared with idiopathic perianal fistula disease. However, these data need to be interpr</w:t>
      </w:r>
      <w:r w:rsidR="005E0245" w:rsidRPr="007018B5">
        <w:rPr>
          <w:szCs w:val="24"/>
          <w:lang w:val="en-US"/>
        </w:rPr>
        <w:t>eted with caution, as the 99% confidence interval came close to zero.</w:t>
      </w:r>
    </w:p>
    <w:p w14:paraId="5D9BBFD9" w14:textId="4F756241" w:rsidR="00062A93" w:rsidRPr="007018B5" w:rsidRDefault="00B3479A" w:rsidP="00FD64AB">
      <w:pPr>
        <w:adjustRightInd w:val="0"/>
        <w:snapToGrid w:val="0"/>
        <w:spacing w:before="0" w:after="0"/>
        <w:ind w:firstLineChars="100" w:firstLine="240"/>
        <w:jc w:val="both"/>
        <w:rPr>
          <w:szCs w:val="24"/>
          <w:lang w:val="en-US"/>
        </w:rPr>
      </w:pPr>
      <w:r w:rsidRPr="007018B5">
        <w:rPr>
          <w:szCs w:val="24"/>
          <w:lang w:val="en-US"/>
        </w:rPr>
        <w:t>IL-1</w:t>
      </w:r>
      <w:r w:rsidRPr="007018B5">
        <w:rPr>
          <w:szCs w:val="24"/>
          <w:lang w:val="en-US"/>
        </w:rPr>
        <w:sym w:font="Symbol" w:char="F061"/>
      </w:r>
      <w:r w:rsidRPr="007018B5">
        <w:rPr>
          <w:szCs w:val="24"/>
          <w:lang w:val="en-US"/>
        </w:rPr>
        <w:t xml:space="preserve"> and IL-1</w:t>
      </w:r>
      <w:r w:rsidRPr="007018B5">
        <w:rPr>
          <w:szCs w:val="24"/>
          <w:lang w:val="en-US"/>
        </w:rPr>
        <w:sym w:font="Symbol" w:char="F062"/>
      </w:r>
      <w:r w:rsidRPr="007018B5">
        <w:rPr>
          <w:szCs w:val="24"/>
          <w:lang w:val="en-US"/>
        </w:rPr>
        <w:t xml:space="preserve"> mediate immune and inflammatory responses. They are primarily produced by tissue macrophages, monocytes, fibroblasts, and dendritic cells and enable transmigration of immune cells to the site of inflammation. IL-1</w:t>
      </w:r>
      <w:r w:rsidRPr="007018B5">
        <w:rPr>
          <w:szCs w:val="24"/>
          <w:lang w:val="en-US"/>
        </w:rPr>
        <w:sym w:font="Symbol" w:char="F062"/>
      </w:r>
      <w:r w:rsidRPr="007018B5">
        <w:rPr>
          <w:szCs w:val="24"/>
          <w:lang w:val="en-US"/>
        </w:rPr>
        <w:t xml:space="preserve"> concentration </w:t>
      </w:r>
      <w:r w:rsidR="00D53586" w:rsidRPr="007018B5">
        <w:rPr>
          <w:szCs w:val="24"/>
          <w:lang w:val="en-US"/>
        </w:rPr>
        <w:t xml:space="preserve">is increased in inflamed </w:t>
      </w:r>
      <w:r w:rsidR="0069097F" w:rsidRPr="007018B5">
        <w:rPr>
          <w:szCs w:val="24"/>
          <w:lang w:val="en-US"/>
        </w:rPr>
        <w:t>CD</w:t>
      </w:r>
      <w:r w:rsidR="00971C9B" w:rsidRPr="007018B5">
        <w:rPr>
          <w:szCs w:val="24"/>
          <w:lang w:val="en-US"/>
        </w:rPr>
        <w:t xml:space="preserve"> colonic mucosa</w:t>
      </w:r>
      <w:r w:rsidR="008C0855" w:rsidRPr="007018B5">
        <w:rPr>
          <w:szCs w:val="24"/>
          <w:lang w:val="en-US"/>
        </w:rPr>
        <w:fldChar w:fldCharType="begin"/>
      </w:r>
      <w:r w:rsidR="003D51A1" w:rsidRPr="007018B5">
        <w:rPr>
          <w:szCs w:val="24"/>
          <w:lang w:val="en-US"/>
        </w:rPr>
        <w:instrText xml:space="preserve"> ADDIN ZOTERO_ITEM CSL_CITATION {"citationID":"NOlmdYUP","properties":{"formattedCitation":"\\super [24]\\nosupersub{}","plainCitation":"[24]","noteIndex":0},"citationItems":[{"id":801,"uris":["http://zotero.org/users/851773/items/UHP8J27T"],"uri":["http://zotero.org/users/851773/items/UHP8J27T"],"itemData":{"id":801,"type":"article-journal","title":"Colonic explant production of IL-1 and its receptor antagonist is imbalanced in inflammatory bowel disease (IBD)","container-title":"Clinical and Experimental Immunology","page":"435-442","volume":"112","issue":"3","source":"PubMed Central","abstract":"IBD is associated with an increased activation of intestinal immune cells, which causes overproduction of proinflammatory cytokines such as IL-1β. IL-1β is implicated in mediating the sustained inflammatory response. IL-1 receptor antagonist (IL-1Ra), the naturally occurring inhibitor of IL-1, has been shown to have beneficial effects in experimental models of colitis. In this study we investigated the hypothesis that an imbalance between IL-1 and IL-1Ra exists in IBD by measuring their secretion by explant cultures of colonic biopsies. Freshly homogenized biopsies from involved tissue in IBD patients exhibited significantly lower IL-1Ra/IL-1β ratios than control and uninvolved IBD mucosal tissue. Using explant cultures, in vitro production of IL-1β and IL-1Ra increased progressively during the 4–18-h culture periods. IL-1β secretion was higher in supernatants from involved Crohn's disease (CD) and ulcerative colitis tissue compared with control tissue, and IL-1β levels increased with severity of inflammation. IL-1Ra secretion was not elevated in involved IBD samples, but significantly higher levels were released when moderate to severely involved tissue samples were compared with non-inflammatory controls. Similar to freshly homogenized tissue, explant studies showed that the IL-1Ra/IL-1β ratios were significantly decreased in involved IBD tissue, but not in uninvolved CD or inflammatory control specimens. These data support the hypothesis of an imbalance between IL-1β and IL-1Ra in IBD.","DOI":"10.1046/j.1365-2249.1998.00595.x","ISSN":"0009-9104","note":"PMID: 9649212\nPMCID: PMC1904987","journalAbbreviation":"Clin Exp Immunol","author":[{"family":"Dionne","given":"S"},{"family":"D'Agata","given":"D D"},{"family":"Hiscott","given":"J"},{"family":"Vanounou","given":"T"},{"family":"Seidman","given":"E G"}],"issued":{"date-parts":[["1998",6]]}},"suppress-author":true}],"schema":"https://github.com/citation-style-language/schema/raw/master/csl-citation.json"} </w:instrText>
      </w:r>
      <w:r w:rsidR="008C0855" w:rsidRPr="007018B5">
        <w:rPr>
          <w:szCs w:val="24"/>
          <w:lang w:val="en-US"/>
        </w:rPr>
        <w:fldChar w:fldCharType="separate"/>
      </w:r>
      <w:r w:rsidR="003D51A1" w:rsidRPr="007018B5">
        <w:rPr>
          <w:szCs w:val="24"/>
          <w:vertAlign w:val="superscript"/>
          <w:lang w:val="en-US"/>
        </w:rPr>
        <w:t>[24]</w:t>
      </w:r>
      <w:r w:rsidR="008C0855" w:rsidRPr="007018B5">
        <w:rPr>
          <w:szCs w:val="24"/>
          <w:lang w:val="en-US"/>
        </w:rPr>
        <w:fldChar w:fldCharType="end"/>
      </w:r>
      <w:r w:rsidR="00A741B2" w:rsidRPr="007018B5">
        <w:rPr>
          <w:szCs w:val="24"/>
          <w:lang w:val="en-US"/>
        </w:rPr>
        <w:t>.</w:t>
      </w:r>
      <w:r w:rsidRPr="007018B5">
        <w:rPr>
          <w:szCs w:val="24"/>
          <w:lang w:val="en-US"/>
        </w:rPr>
        <w:t xml:space="preserve"> </w:t>
      </w:r>
      <w:r w:rsidR="00A03A32" w:rsidRPr="007018B5">
        <w:rPr>
          <w:szCs w:val="24"/>
          <w:lang w:val="en-US"/>
        </w:rPr>
        <w:t>We</w:t>
      </w:r>
      <w:r w:rsidRPr="007018B5">
        <w:rPr>
          <w:szCs w:val="24"/>
          <w:lang w:val="en-US"/>
        </w:rPr>
        <w:t xml:space="preserve"> found low concentrations </w:t>
      </w:r>
      <w:r w:rsidR="00E90DB9" w:rsidRPr="007018B5">
        <w:rPr>
          <w:szCs w:val="24"/>
          <w:lang w:val="en-US"/>
        </w:rPr>
        <w:t xml:space="preserve">in </w:t>
      </w:r>
      <w:r w:rsidRPr="007018B5">
        <w:rPr>
          <w:szCs w:val="24"/>
          <w:lang w:val="en-US"/>
        </w:rPr>
        <w:t xml:space="preserve">the fistula tract, internal opening and rectal mucosa, with no significant differences between the </w:t>
      </w:r>
      <w:r w:rsidR="004D3BE2" w:rsidRPr="007018B5">
        <w:rPr>
          <w:szCs w:val="24"/>
          <w:lang w:val="en-US"/>
        </w:rPr>
        <w:t xml:space="preserve">groups. This might suggest that the role of IL-1 in perianal fistula differs </w:t>
      </w:r>
      <w:r w:rsidRPr="007018B5">
        <w:rPr>
          <w:szCs w:val="24"/>
          <w:lang w:val="en-US"/>
        </w:rPr>
        <w:t xml:space="preserve">from inflamed </w:t>
      </w:r>
      <w:r w:rsidR="0069097F" w:rsidRPr="007018B5">
        <w:rPr>
          <w:szCs w:val="24"/>
          <w:lang w:val="en-US"/>
        </w:rPr>
        <w:t>CD</w:t>
      </w:r>
      <w:r w:rsidRPr="007018B5">
        <w:rPr>
          <w:szCs w:val="24"/>
          <w:lang w:val="en-US"/>
        </w:rPr>
        <w:t xml:space="preserve"> </w:t>
      </w:r>
      <w:r w:rsidR="00AC78B1" w:rsidRPr="007018B5">
        <w:rPr>
          <w:szCs w:val="24"/>
          <w:lang w:val="en-US"/>
        </w:rPr>
        <w:t xml:space="preserve">colonic </w:t>
      </w:r>
      <w:r w:rsidRPr="007018B5">
        <w:rPr>
          <w:szCs w:val="24"/>
          <w:lang w:val="en-US"/>
        </w:rPr>
        <w:t xml:space="preserve">mucosa. </w:t>
      </w:r>
      <w:r w:rsidR="0093381B" w:rsidRPr="007018B5">
        <w:rPr>
          <w:szCs w:val="24"/>
          <w:lang w:val="en-US"/>
        </w:rPr>
        <w:t>However, we found the IL-1RA/IL-1</w:t>
      </w:r>
      <w:r w:rsidR="005C4D25" w:rsidRPr="007018B5">
        <w:rPr>
          <w:szCs w:val="24"/>
          <w:lang w:val="en-US"/>
        </w:rPr>
        <w:t>ß</w:t>
      </w:r>
      <w:r w:rsidR="008B6B0B" w:rsidRPr="007018B5">
        <w:rPr>
          <w:szCs w:val="24"/>
          <w:lang w:val="en-US"/>
        </w:rPr>
        <w:t xml:space="preserve"> ratio at the internal opening was significantly lower in the </w:t>
      </w:r>
      <w:r w:rsidR="0069097F" w:rsidRPr="007018B5">
        <w:rPr>
          <w:szCs w:val="24"/>
          <w:lang w:val="en-US"/>
        </w:rPr>
        <w:t>CD</w:t>
      </w:r>
      <w:r w:rsidR="008B6B0B" w:rsidRPr="007018B5">
        <w:rPr>
          <w:szCs w:val="24"/>
          <w:lang w:val="en-US"/>
        </w:rPr>
        <w:t xml:space="preserve"> group, which is in keeping</w:t>
      </w:r>
      <w:r w:rsidR="00AC78B1" w:rsidRPr="007018B5">
        <w:rPr>
          <w:szCs w:val="24"/>
          <w:lang w:val="en-US"/>
        </w:rPr>
        <w:t xml:space="preserve"> with previous reports in inflamed </w:t>
      </w:r>
      <w:r w:rsidR="0069097F" w:rsidRPr="007018B5">
        <w:rPr>
          <w:szCs w:val="24"/>
          <w:lang w:val="en-US"/>
        </w:rPr>
        <w:t>CD</w:t>
      </w:r>
      <w:r w:rsidR="00AC78B1" w:rsidRPr="007018B5">
        <w:rPr>
          <w:szCs w:val="24"/>
          <w:lang w:val="en-US"/>
        </w:rPr>
        <w:t xml:space="preserve"> colonic mucosa</w:t>
      </w:r>
      <w:r w:rsidR="00AC78B1" w:rsidRPr="007018B5">
        <w:rPr>
          <w:szCs w:val="24"/>
          <w:lang w:val="en-US"/>
        </w:rPr>
        <w:fldChar w:fldCharType="begin"/>
      </w:r>
      <w:r w:rsidR="003D51A1" w:rsidRPr="007018B5">
        <w:rPr>
          <w:szCs w:val="24"/>
          <w:lang w:val="en-US"/>
        </w:rPr>
        <w:instrText xml:space="preserve"> ADDIN ZOTERO_ITEM CSL_CITATION {"citationID":"b4riOHlZ","properties":{"formattedCitation":"\\super [24]\\nosupersub{}","plainCitation":"[24]","noteIndex":0},"citationItems":[{"id":801,"uris":["http://zotero.org/users/851773/items/UHP8J27T"],"uri":["http://zotero.org/users/851773/items/UHP8J27T"],"itemData":{"id":801,"type":"article-journal","title":"Colonic explant production of IL-1 and its receptor antagonist is imbalanced in inflammatory bowel disease (IBD)","container-title":"Clinical and Experimental Immunology","page":"435-442","volume":"112","issue":"3","source":"PubMed Central","abstract":"IBD is associated with an increased activation of intestinal immune cells, which causes overproduction of proinflammatory cytokines such as IL-1β. IL-1β is implicated in mediating the sustained inflammatory response. IL-1 receptor antagonist (IL-1Ra), the naturally occurring inhibitor of IL-1, has been shown to have beneficial effects in experimental models of colitis. In this study we investigated the hypothesis that an imbalance between IL-1 and IL-1Ra exists in IBD by measuring their secretion by explant cultures of colonic biopsies. Freshly homogenized biopsies from involved tissue in IBD patients exhibited significantly lower IL-1Ra/IL-1β ratios than control and uninvolved IBD mucosal tissue. Using explant cultures, in vitro production of IL-1β and IL-1Ra increased progressively during the 4–18-h culture periods. IL-1β secretion was higher in supernatants from involved Crohn's disease (CD) and ulcerative colitis tissue compared with control tissue, and IL-1β levels increased with severity of inflammation. IL-1Ra secretion was not elevated in involved IBD samples, but significantly higher levels were released when moderate to severely involved tissue samples were compared with non-inflammatory controls. Similar to freshly homogenized tissue, explant studies showed that the IL-1Ra/IL-1β ratios were significantly decreased in involved IBD tissue, but not in uninvolved CD or inflammatory control specimens. These data support the hypothesis of an imbalance between IL-1β and IL-1Ra in IBD.","DOI":"10.1046/j.1365-2249.1998.00595.x","ISSN":"0009-9104","note":"PMID: 9649212\nPMCID: PMC1904987","journalAbbreviation":"Clin Exp Immunol","author":[{"family":"Dionne","given":"S"},{"family":"D'Agata","given":"D D"},{"family":"Hiscott","given":"J"},{"family":"Vanounou","given":"T"},{"family":"Seidman","given":"E G"}],"issued":{"date-parts":[["1998",6]]}},"suppress-author":true}],"schema":"https://github.com/citation-style-language/schema/raw/master/csl-citation.json"} </w:instrText>
      </w:r>
      <w:r w:rsidR="00AC78B1" w:rsidRPr="007018B5">
        <w:rPr>
          <w:szCs w:val="24"/>
          <w:lang w:val="en-US"/>
        </w:rPr>
        <w:fldChar w:fldCharType="separate"/>
      </w:r>
      <w:r w:rsidR="003D51A1" w:rsidRPr="007018B5">
        <w:rPr>
          <w:szCs w:val="24"/>
          <w:vertAlign w:val="superscript"/>
          <w:lang w:val="en-US"/>
        </w:rPr>
        <w:t>[24]</w:t>
      </w:r>
      <w:r w:rsidR="00AC78B1" w:rsidRPr="007018B5">
        <w:rPr>
          <w:szCs w:val="24"/>
          <w:lang w:val="en-US"/>
        </w:rPr>
        <w:fldChar w:fldCharType="end"/>
      </w:r>
      <w:r w:rsidR="00A741B2" w:rsidRPr="007018B5">
        <w:rPr>
          <w:szCs w:val="24"/>
          <w:lang w:val="en-US"/>
        </w:rPr>
        <w:t>.</w:t>
      </w:r>
      <w:r w:rsidRPr="007018B5">
        <w:rPr>
          <w:szCs w:val="24"/>
          <w:lang w:val="en-US"/>
        </w:rPr>
        <w:t xml:space="preserve"> </w:t>
      </w:r>
    </w:p>
    <w:p w14:paraId="05E8589F" w14:textId="2428A218" w:rsidR="00092C5D" w:rsidRDefault="00707AA6" w:rsidP="00AE4F79">
      <w:pPr>
        <w:adjustRightInd w:val="0"/>
        <w:snapToGrid w:val="0"/>
        <w:spacing w:before="0" w:after="0"/>
        <w:ind w:firstLineChars="100" w:firstLine="240"/>
        <w:jc w:val="both"/>
        <w:rPr>
          <w:szCs w:val="24"/>
          <w:lang w:val="en-US"/>
        </w:rPr>
      </w:pPr>
      <w:r w:rsidRPr="007018B5">
        <w:rPr>
          <w:szCs w:val="24"/>
          <w:lang w:val="en-US"/>
        </w:rPr>
        <w:t xml:space="preserve">RTKs and intracellular </w:t>
      </w:r>
      <w:proofErr w:type="spellStart"/>
      <w:r w:rsidRPr="007018B5">
        <w:rPr>
          <w:szCs w:val="24"/>
          <w:lang w:val="en-US"/>
        </w:rPr>
        <w:t>signalling</w:t>
      </w:r>
      <w:proofErr w:type="spellEnd"/>
      <w:r w:rsidRPr="007018B5">
        <w:rPr>
          <w:szCs w:val="24"/>
          <w:lang w:val="en-US"/>
        </w:rPr>
        <w:t xml:space="preserve"> pathways control and regulate cell </w:t>
      </w:r>
      <w:proofErr w:type="spellStart"/>
      <w:r w:rsidRPr="007018B5">
        <w:rPr>
          <w:szCs w:val="24"/>
          <w:lang w:val="en-US"/>
        </w:rPr>
        <w:t>behaviour</w:t>
      </w:r>
      <w:proofErr w:type="spellEnd"/>
      <w:r w:rsidRPr="007018B5">
        <w:rPr>
          <w:szCs w:val="24"/>
          <w:lang w:val="en-US"/>
        </w:rPr>
        <w:fldChar w:fldCharType="begin"/>
      </w:r>
      <w:r w:rsidR="003D51A1" w:rsidRPr="007018B5">
        <w:rPr>
          <w:szCs w:val="24"/>
          <w:lang w:val="en-US"/>
        </w:rPr>
        <w:instrText xml:space="preserve"> ADDIN ZOTERO_ITEM CSL_CITATION {"citationID":"fF5rKkH4","properties":{"formattedCitation":"\\super [25]\\nosupersub{}","plainCitation":"[25]","noteIndex":0},"citationItems":[{"id":767,"uris":["http://zotero.org/users/851773/items/XHZ9M96P"],"uri":["http://zotero.org/users/851773/items/XHZ9M96P"],"itemData":{"id":767,"type":"article-journal","title":"Cell Surface Receptors and Their Signal Transduction Pathways","source":"www.ncbi.nlm.nih.gov","abstract":"The paracrine factors are inducer proteins. We now turn to the molecules involved in the response to induction. These molecules include the receptors in the membrane of the responding cell, which binds the paracrine factor, and the cascade of interacting proteins that transmit a signal through a pathway from the bound receptor to the nucleus. These pathways between the cell membrane and the genome are called signal transduction pathways. Several types of signal transduction pathways have been discovered, and we will outline some of the major ones here. As you will see, they appear to be variations on a common and rather elegant theme: Each receptor spans the cell membrane and has an extracellular region, a transmembrane region, and a cytoplasmic region. When a ligand (the paracrine factor) binds its receptor in the extracellular region, the ligand induces a conformational change in the receptor's structure. This shape change is transmitted through the membrane and changes the shape of the cytoplasmic domains. The conformational change in the cytoplasmic domains gives them enzymatic activity—usually a kinase activity that can use ATP to phosphorylate proteins, including the receptor molecule itself. The active receptor can now catalyze reactions that phosphorylate other proteins, and this phosphorylation activates their latent activities in turn. Eventually, the cascade of phosphorylation activates a dormant transcription factor, which activates (or represses) a particular set of genes.","URL":"http://www.ncbi.nlm.nih.gov/books/NBK10043/","language":"en","author":[{"family":"Gilbert","given":"Scott F."}],"issued":{"date-parts":[["2000"]]},"accessed":{"date-parts":[["2016",5,10]]}}}],"schema":"https://github.com/citation-style-language/schema/raw/master/csl-citation.json"}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[25]</w:t>
      </w:r>
      <w:r w:rsidRPr="007018B5">
        <w:rPr>
          <w:szCs w:val="24"/>
          <w:lang w:val="en-US"/>
        </w:rPr>
        <w:fldChar w:fldCharType="end"/>
      </w:r>
      <w:r w:rsidR="00A741B2" w:rsidRPr="007018B5">
        <w:rPr>
          <w:szCs w:val="24"/>
          <w:lang w:val="en-US"/>
        </w:rPr>
        <w:t>.</w:t>
      </w:r>
      <w:r w:rsidRPr="007018B5">
        <w:rPr>
          <w:szCs w:val="24"/>
          <w:lang w:val="en-US"/>
        </w:rPr>
        <w:t xml:space="preserve"> </w:t>
      </w:r>
      <w:r w:rsidR="00E90DB9" w:rsidRPr="007018B5">
        <w:rPr>
          <w:szCs w:val="24"/>
          <w:lang w:val="en-US"/>
        </w:rPr>
        <w:t>M</w:t>
      </w:r>
      <w:r w:rsidRPr="007018B5">
        <w:rPr>
          <w:szCs w:val="24"/>
          <w:lang w:val="en-US"/>
        </w:rPr>
        <w:t xml:space="preserve">any intracellular </w:t>
      </w:r>
      <w:proofErr w:type="spellStart"/>
      <w:r w:rsidRPr="007018B5">
        <w:rPr>
          <w:szCs w:val="24"/>
          <w:lang w:val="en-US"/>
        </w:rPr>
        <w:t>signalling</w:t>
      </w:r>
      <w:proofErr w:type="spellEnd"/>
      <w:r w:rsidRPr="007018B5">
        <w:rPr>
          <w:szCs w:val="24"/>
          <w:lang w:val="en-US"/>
        </w:rPr>
        <w:t xml:space="preserve"> pathways are upregulated in CD</w:t>
      </w:r>
      <w:r w:rsidRPr="007018B5">
        <w:rPr>
          <w:szCs w:val="24"/>
          <w:lang w:val="en-US"/>
        </w:rPr>
        <w:fldChar w:fldCharType="begin"/>
      </w:r>
      <w:r w:rsidR="003D51A1" w:rsidRPr="007018B5">
        <w:rPr>
          <w:szCs w:val="24"/>
          <w:lang w:val="en-US"/>
        </w:rPr>
        <w:instrText xml:space="preserve"> ADDIN ZOTERO_ITEM CSL_CITATION {"citationID":"a1rhmkdbeum","properties":{"formattedCitation":"\\super [17]\\nosupersub{}","plainCitation":"[17]","noteIndex":0},"citationItems":[{"id":685,"uris":["http://zotero.org/users/851773/items/DEE5JXIX"],"uri":["http://zotero.org/users/851773/items/DEE5JXIX"],"itemData":{"id":685,"type":"article-journal","title":"A CD3-Specific Antibody Reduces Cytokine Production and Alters Phosphoprotein Profiles in Intestinal Tissues From Patients With Inflammatory Bowel Disease","container-title":"Gastroenterology","page":"172-183","volume":"147","issue":"1","source":"ScienceDirect","abstract":"Background &amp;amp; Aims\nT cells mediate the development of inflammation in inflammatory bowel disease (IBD). We investigated the effects of an antibody against CD3 called otelixizumab, which induces immune tolerance, in intestinal mucosa samples from patients.\nMethods\nIntestinal tissues were isolated from patients undergoing routine endoscopy or from patients undergoing intestinal surgery for colon cancer or IBD; healthy surrounding tissues were collected as controls. Isolated lamina propria mononuclear cells (LPMCs) and mucosal tissue explants were incubated with otelixizumab for 24 or 48 hours. Production of inflammatory cytokines was determined by enzyme-linked immunosorbent assay. Levels of 36 cytokines and chemokines and phosphorylation of 39 receptor tyrosine kinases and signaling molecules were measured using protein arrays. Immunoblot analysis was used to analyze T-cell transcription factors.\nResults\nIncubation of intestinal tissues or LPMCs with otelixizumab reduced production of interferon gamma, interleukin (IL)-17A, and other inflammatory cytokines and chemokines, simultaneously increasing production of IL-10. Mucosal biopsy specimens from patients with IBD retained inflammation-associated tyrosine phosphoprotein profiles ex vivo. Incubation of the inflamed tissue with otelixizumab reduced phosphorylation of these proteins to levels observed in control tissues. Otelixizumab also markedly reduced phosphorylation of proteins associated with T-cell receptor activation. Neutralization of IL-10 blocked the anti-inflammatory effects of otelixizumab.\nConclusions\nWe observed anti-inflammatory effects of anti-CD3 in inflamed intestinal tissues from patients with IBD. The antibody appears to down-regulate T-cell activation via IL-10.","DOI":"10.1053/j.gastro.2014.03.049","ISSN":"0016-5085","note":"PMID: 24704524","journalAbbreviation":"Gastroenterology","author":[{"family":"Vossenkämper","given":"Anna"},{"family":"Hundsrucker","given":"Christian"},{"family":"Page","given":"Kevin"},{"family":"Maurik","given":"André","non-dropping-particle":"van"},{"family":"Sanders","given":"Theodore J."},{"family":"Stagg","given":"Andrew J."},{"family":"Das","given":"Lisa"},{"family":"MacDonald","given":"Thomas T."}],"issued":{"date-parts":[["2014",7]]}}}],"schema":"https://github.com/citation-style-language/schema/raw/master/csl-citation.json"} </w:instrText>
      </w:r>
      <w:r w:rsidRPr="007018B5">
        <w:rPr>
          <w:szCs w:val="24"/>
          <w:lang w:val="en-US"/>
        </w:rPr>
        <w:fldChar w:fldCharType="separate"/>
      </w:r>
      <w:r w:rsidR="003D51A1" w:rsidRPr="007018B5">
        <w:rPr>
          <w:szCs w:val="24"/>
          <w:vertAlign w:val="superscript"/>
          <w:lang w:val="en-US"/>
        </w:rPr>
        <w:t>[17]</w:t>
      </w:r>
      <w:r w:rsidRPr="007018B5">
        <w:rPr>
          <w:szCs w:val="24"/>
          <w:lang w:val="en-US"/>
        </w:rPr>
        <w:fldChar w:fldCharType="end"/>
      </w:r>
      <w:r w:rsidR="00A741B2" w:rsidRPr="007018B5">
        <w:rPr>
          <w:szCs w:val="24"/>
          <w:lang w:val="en-US"/>
        </w:rPr>
        <w:t>.</w:t>
      </w:r>
      <w:r w:rsidRPr="007018B5">
        <w:rPr>
          <w:szCs w:val="24"/>
          <w:lang w:val="en-US"/>
        </w:rPr>
        <w:t xml:space="preserve"> For example, signal transducer and activator of transcription 4 in T helper 1 cells is activated by IL-12, driving IFN-</w:t>
      </w:r>
      <w:r w:rsidRPr="007018B5">
        <w:rPr>
          <w:szCs w:val="24"/>
          <w:lang w:val="en-US"/>
        </w:rPr>
        <w:sym w:font="Symbol" w:char="F067"/>
      </w:r>
      <w:r w:rsidRPr="007018B5">
        <w:rPr>
          <w:szCs w:val="24"/>
          <w:lang w:val="en-US"/>
        </w:rPr>
        <w:t xml:space="preserve"> and TNF-</w:t>
      </w:r>
      <w:r w:rsidRPr="007018B5">
        <w:rPr>
          <w:szCs w:val="24"/>
          <w:lang w:val="en-US"/>
        </w:rPr>
        <w:sym w:font="Symbol" w:char="F061"/>
      </w:r>
      <w:r w:rsidRPr="007018B5">
        <w:rPr>
          <w:szCs w:val="24"/>
          <w:lang w:val="en-US"/>
        </w:rPr>
        <w:t xml:space="preserve"> production</w:t>
      </w:r>
      <w:r w:rsidRPr="007018B5">
        <w:rPr>
          <w:szCs w:val="24"/>
          <w:lang w:val="en-US"/>
        </w:rPr>
        <w:fldChar w:fldCharType="begin"/>
      </w:r>
      <w:r w:rsidR="003D51A1" w:rsidRPr="007018B5">
        <w:rPr>
          <w:szCs w:val="24"/>
          <w:lang w:val="en-US"/>
        </w:rPr>
        <w:instrText xml:space="preserve"> ADDIN ZOTERO_ITEM CSL_CITATION {"citationID":"aqdqv5s0or","properties":{"formattedCitation":"\\super [26]\\nosupersub{}","plainCitation":"[26]","noteIndex":0},"citationItems":[{"id":1553,"uris":["http://zotero.org/users/851773/items/Y6GL2S7Q"],"uri":["http://zotero.org/users/851773/items/Y6GL2S7Q"],"itemData":{"id":1553,"type":"article-journal","title":"Signaling by IL-12 and IL-23 and the immunoregulatory roles of STAT4","container-title":"Immunological Reviews","page":"139-156","volume":"202","source":"PubMed","abstract":"Produced in response to a variety of pathogenic organisms, interleukin (IL)-12 and IL-23 are key immunoregulatory cytokines that coordinate innate and adaptive immune responses. These dimeric cytokines share a subunit, designated p40, and bind to a common receptor chain, IL-12R beta 1. The receptor for IL-12 is composed of IL-12R beta 1 and IL-12R beta 2, whereas IL-23 binds to a receptor composed of IL-12R beta 1 and IL-23R. Both cytokines activate the Janus kinases Tyk2 and Jak2, the transcription factor signal transducer and activator of transcription 4 (STAT4), as well as other STATs. A major action of IL-12 is to promote the differentiation of naive CD4+ T cells into T-helper (Th) 1 cells, which produce interferon (IFN)-gamma, and deficiency of IL-12, IL-12R subunits or STAT4 is similar in many respects. In contrast, IL-23 promotes end-stage inflammation. Targeting IL-12, IL-23, and their downstream signaling elements would therefore be logical strategies for the treatment of immune-mediated diseases.","DOI":"10.1111/j.0105-2896.2004.00211.x","ISSN":"0105-2896","note":"PMID: 15546391","journalAbbreviation":"Immunol. Rev.","language":"eng","author":[{"family":"Watford","given":"Wendy T."},{"family":"Hissong","given":"Bruce D."},{"family":"Bream","given":"Jay H."},{"family":"Kanno","given":"Yuka"},{"family":"Muul","given":"Linda"},{"family":"O'Shea","given":"John J."}],"issued":{"date-parts":[["2004",12]]}}}],"schema":"https://github.com/citation-style-language/schema/raw/master/csl-citation.json"}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[26]</w:t>
      </w:r>
      <w:r w:rsidRPr="007018B5">
        <w:rPr>
          <w:szCs w:val="24"/>
          <w:lang w:val="en-US"/>
        </w:rPr>
        <w:fldChar w:fldCharType="end"/>
      </w:r>
      <w:r w:rsidR="00A741B2" w:rsidRPr="007018B5">
        <w:rPr>
          <w:szCs w:val="24"/>
          <w:lang w:val="en-US"/>
        </w:rPr>
        <w:t>.</w:t>
      </w:r>
      <w:r w:rsidRPr="007018B5">
        <w:rPr>
          <w:szCs w:val="24"/>
          <w:lang w:val="en-US"/>
        </w:rPr>
        <w:t xml:space="preserve"> Indeed an anti-IL-12 monoclonal antibody, </w:t>
      </w:r>
      <w:proofErr w:type="spellStart"/>
      <w:r w:rsidRPr="007018B5">
        <w:rPr>
          <w:szCs w:val="24"/>
          <w:lang w:val="en-US"/>
        </w:rPr>
        <w:t>ustekinumab</w:t>
      </w:r>
      <w:proofErr w:type="spellEnd"/>
      <w:r w:rsidR="00E90DB9" w:rsidRPr="007018B5">
        <w:rPr>
          <w:szCs w:val="24"/>
          <w:lang w:val="en-US"/>
        </w:rPr>
        <w:t>,</w:t>
      </w:r>
      <w:r w:rsidRPr="007018B5">
        <w:rPr>
          <w:szCs w:val="24"/>
          <w:lang w:val="en-US"/>
        </w:rPr>
        <w:t xml:space="preserve"> is of clinical benefit in CD</w:t>
      </w:r>
      <w:r w:rsidRPr="007018B5">
        <w:rPr>
          <w:szCs w:val="24"/>
          <w:lang w:val="en-US"/>
        </w:rPr>
        <w:fldChar w:fldCharType="begin"/>
      </w:r>
      <w:r w:rsidR="003D51A1" w:rsidRPr="007018B5">
        <w:rPr>
          <w:szCs w:val="24"/>
          <w:lang w:val="en-US"/>
        </w:rPr>
        <w:instrText xml:space="preserve"> ADDIN ZOTERO_ITEM CSL_CITATION {"citationID":"alcr8ffkjd","properties":{"formattedCitation":"\\super [27]\\nosupersub{}","plainCitation":"[27]","noteIndex":0},"citationItems":[{"id":1555,"uris":["http://zotero.org/users/851773/items/JZLLYXTV"],"uri":["http://zotero.org/users/851773/items/JZLLYXTV"],"itemData":{"id":1555,"type":"article-journal","title":"Clinical utility of ustekinumab in Crohn's disease","container-title":"Journal of Inflammation Research","page":"35-47","volume":"11","source":"PubMed","abstract":"The introduction of anti-tumor necrosis factor (TNF) therapy marked an important milestone in the management of moderate-to-severe Crohn's disease (CD). However, there remains a pressing demand for alternative therapeutic options for patients with primary nonresponse, secondary loss of response, or intolerable side effects to conventional treatment and TNF antagonists. Ustekinumab (UST) is a fully human IgG1κ monoclonal antibody that inhibits the p40 subunit shared by the proinflammatory cytokines, the interleukin (IL)-12 and -23. This blockade leads to dampening of the inflammatory cascade and differentiation of inflammatory T cells. The clinical development program for UST in CD includes dose finding Phase II (Crohn's Evaluation of Response to Ustekinumab Anti-Interleukin-12/23 for Induction [CERTIFI]) and the pivotal Phase III (UNITI) trials that demonstrated both the clinical efficacy and safety in anti-TNF-naive and anti-TNF-exposed patients. Real-world evidence has further defined the role of UST in CD management. In this review, we discuss the mechanism of action of UST, describe the results of the randomized controlled trials with this agent, and review the real-world efficacy and safety data from observational cohorts. Finally, we identify areas of future research in the IL-12/23 inflammatory pathway and discuss the positioning of this novel therapeutic option in CD treatment algorithms.","DOI":"10.2147/JIR.S157358","ISSN":"1178-7031","note":"PMID: 29445293\nPMCID: PMC5810512","journalAbbreviation":"J Inflamm Res","language":"eng","author":[{"family":"Kotze","given":"Paulo Gustavo"},{"family":"Ma","given":"Christopher"},{"family":"Almutairdi","given":"Abdulelah"},{"family":"Panaccione","given":"Remo"}],"issued":{"date-parts":[["2018"]]}}}],"schema":"https://github.com/citation-style-language/schema/raw/master/csl-citation.json"}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[27]</w:t>
      </w:r>
      <w:r w:rsidRPr="007018B5">
        <w:rPr>
          <w:szCs w:val="24"/>
          <w:lang w:val="en-US"/>
        </w:rPr>
        <w:fldChar w:fldCharType="end"/>
      </w:r>
      <w:r w:rsidR="00A741B2" w:rsidRPr="007018B5">
        <w:rPr>
          <w:szCs w:val="24"/>
          <w:lang w:val="en-US"/>
        </w:rPr>
        <w:t>.</w:t>
      </w:r>
      <w:r w:rsidRPr="007018B5">
        <w:rPr>
          <w:szCs w:val="24"/>
          <w:lang w:val="en-US"/>
        </w:rPr>
        <w:t xml:space="preserve"> </w:t>
      </w:r>
      <w:r w:rsidR="00B222A7" w:rsidRPr="007018B5">
        <w:rPr>
          <w:szCs w:val="24"/>
          <w:lang w:val="en-US"/>
        </w:rPr>
        <w:t>W</w:t>
      </w:r>
      <w:r w:rsidRPr="007018B5">
        <w:rPr>
          <w:szCs w:val="24"/>
          <w:lang w:val="en-US"/>
        </w:rPr>
        <w:t xml:space="preserve">e </w:t>
      </w:r>
      <w:proofErr w:type="spellStart"/>
      <w:r w:rsidRPr="007018B5">
        <w:rPr>
          <w:szCs w:val="24"/>
          <w:lang w:val="en-US"/>
        </w:rPr>
        <w:t>analyse</w:t>
      </w:r>
      <w:r w:rsidR="00E90DB9" w:rsidRPr="007018B5">
        <w:rPr>
          <w:szCs w:val="24"/>
          <w:lang w:val="en-US"/>
        </w:rPr>
        <w:t>d</w:t>
      </w:r>
      <w:proofErr w:type="spellEnd"/>
      <w:r w:rsidRPr="007018B5">
        <w:rPr>
          <w:szCs w:val="24"/>
          <w:lang w:val="en-US"/>
        </w:rPr>
        <w:t xml:space="preserve"> 39 different phosphoproteins involved in epithelial cell </w:t>
      </w:r>
      <w:proofErr w:type="spellStart"/>
      <w:r w:rsidRPr="007018B5">
        <w:rPr>
          <w:szCs w:val="24"/>
          <w:lang w:val="en-US"/>
        </w:rPr>
        <w:t>signalling</w:t>
      </w:r>
      <w:proofErr w:type="spellEnd"/>
      <w:r w:rsidRPr="007018B5">
        <w:rPr>
          <w:szCs w:val="24"/>
          <w:lang w:val="en-US"/>
        </w:rPr>
        <w:t>, wound healing, inflammation and T cell activation</w:t>
      </w:r>
      <w:r w:rsidR="00B222A7" w:rsidRPr="007018B5">
        <w:rPr>
          <w:szCs w:val="24"/>
          <w:lang w:val="en-US"/>
        </w:rPr>
        <w:t xml:space="preserve">, and </w:t>
      </w:r>
      <w:r w:rsidR="00D85FE0" w:rsidRPr="007018B5">
        <w:rPr>
          <w:szCs w:val="24"/>
          <w:lang w:val="en-US"/>
        </w:rPr>
        <w:t>found no significant differences in the phosphoprotein profiles between idiopathic and CD-related perianal fistulae.</w:t>
      </w:r>
      <w:r w:rsidR="00AE4F79">
        <w:rPr>
          <w:rFonts w:eastAsia="SimSun" w:hint="eastAsia"/>
          <w:szCs w:val="24"/>
          <w:lang w:val="en-US" w:eastAsia="zh-CN"/>
        </w:rPr>
        <w:t xml:space="preserve"> </w:t>
      </w:r>
      <w:r w:rsidR="00FC48F9" w:rsidRPr="007018B5">
        <w:rPr>
          <w:szCs w:val="24"/>
          <w:lang w:val="en-US"/>
        </w:rPr>
        <w:t xml:space="preserve">We were </w:t>
      </w:r>
      <w:r w:rsidR="00B222A7" w:rsidRPr="007018B5">
        <w:rPr>
          <w:szCs w:val="24"/>
          <w:lang w:val="en-US"/>
        </w:rPr>
        <w:t xml:space="preserve">also </w:t>
      </w:r>
      <w:r w:rsidR="00FC48F9" w:rsidRPr="007018B5">
        <w:rPr>
          <w:szCs w:val="24"/>
          <w:lang w:val="en-US"/>
        </w:rPr>
        <w:t xml:space="preserve">interested </w:t>
      </w:r>
      <w:r w:rsidR="00B222A7" w:rsidRPr="007018B5">
        <w:rPr>
          <w:szCs w:val="24"/>
          <w:lang w:val="en-US"/>
        </w:rPr>
        <w:t xml:space="preserve">to see </w:t>
      </w:r>
      <w:r w:rsidR="00FC48F9" w:rsidRPr="007018B5">
        <w:rPr>
          <w:szCs w:val="24"/>
          <w:lang w:val="en-US"/>
        </w:rPr>
        <w:t xml:space="preserve">if </w:t>
      </w:r>
      <w:r w:rsidR="00B222A7" w:rsidRPr="007018B5">
        <w:rPr>
          <w:szCs w:val="24"/>
          <w:lang w:val="en-US"/>
        </w:rPr>
        <w:t>fistula</w:t>
      </w:r>
      <w:r w:rsidR="00FC48F9" w:rsidRPr="007018B5">
        <w:rPr>
          <w:szCs w:val="24"/>
          <w:lang w:val="en-US"/>
        </w:rPr>
        <w:t xml:space="preserve"> immunopathology changes over time. However, due to only ten patients having fistulae less than 12 </w:t>
      </w:r>
      <w:proofErr w:type="spellStart"/>
      <w:r w:rsidR="00FC48F9" w:rsidRPr="007018B5">
        <w:rPr>
          <w:szCs w:val="24"/>
          <w:lang w:val="en-US"/>
        </w:rPr>
        <w:t>mo</w:t>
      </w:r>
      <w:proofErr w:type="spellEnd"/>
      <w:r w:rsidR="00FC48F9" w:rsidRPr="007018B5">
        <w:rPr>
          <w:szCs w:val="24"/>
          <w:lang w:val="en-US"/>
        </w:rPr>
        <w:t xml:space="preserve"> old, this subgroup analysis was not possible.</w:t>
      </w:r>
    </w:p>
    <w:p w14:paraId="54382318" w14:textId="77777777" w:rsidR="00327EC7" w:rsidRPr="007018B5" w:rsidRDefault="00327EC7" w:rsidP="007E3B89">
      <w:pPr>
        <w:adjustRightInd w:val="0"/>
        <w:snapToGrid w:val="0"/>
        <w:spacing w:before="0" w:after="0"/>
        <w:jc w:val="both"/>
        <w:rPr>
          <w:szCs w:val="24"/>
          <w:lang w:val="en-US"/>
        </w:rPr>
      </w:pPr>
    </w:p>
    <w:p w14:paraId="53742EF1" w14:textId="563D9035" w:rsidR="00D01879" w:rsidRPr="007018B5" w:rsidRDefault="00E476DC" w:rsidP="007E3B89">
      <w:pPr>
        <w:pStyle w:val="Heading2"/>
        <w:adjustRightInd w:val="0"/>
        <w:snapToGrid w:val="0"/>
        <w:spacing w:before="0" w:after="0"/>
        <w:jc w:val="both"/>
        <w:rPr>
          <w:szCs w:val="24"/>
          <w:lang w:val="en-US"/>
        </w:rPr>
      </w:pPr>
      <w:r w:rsidRPr="007018B5">
        <w:rPr>
          <w:szCs w:val="24"/>
          <w:lang w:val="en-US"/>
        </w:rPr>
        <w:t xml:space="preserve">Cell </w:t>
      </w:r>
      <w:proofErr w:type="spellStart"/>
      <w:r w:rsidRPr="007018B5">
        <w:rPr>
          <w:szCs w:val="24"/>
          <w:lang w:val="en-US"/>
        </w:rPr>
        <w:t>signalling</w:t>
      </w:r>
      <w:proofErr w:type="spellEnd"/>
      <w:r w:rsidRPr="007018B5">
        <w:rPr>
          <w:szCs w:val="24"/>
          <w:lang w:val="en-US"/>
        </w:rPr>
        <w:t xml:space="preserve"> in rectal mucosa may be suppressed in both idiopathic and </w:t>
      </w:r>
      <w:r w:rsidR="001A0A8E" w:rsidRPr="007018B5">
        <w:rPr>
          <w:szCs w:val="24"/>
          <w:lang w:val="en-US"/>
        </w:rPr>
        <w:t xml:space="preserve">CD-related </w:t>
      </w:r>
      <w:r w:rsidRPr="007018B5">
        <w:rPr>
          <w:szCs w:val="24"/>
          <w:lang w:val="en-US"/>
        </w:rPr>
        <w:t>perianal fistula disease</w:t>
      </w:r>
    </w:p>
    <w:p w14:paraId="16AD253F" w14:textId="480F364A" w:rsidR="00E476DC" w:rsidRPr="007018B5" w:rsidRDefault="00B00233" w:rsidP="007E3B89">
      <w:pPr>
        <w:adjustRightInd w:val="0"/>
        <w:snapToGrid w:val="0"/>
        <w:spacing w:before="0" w:after="0"/>
        <w:jc w:val="both"/>
        <w:rPr>
          <w:szCs w:val="24"/>
          <w:lang w:val="en-US"/>
        </w:rPr>
      </w:pPr>
      <w:r w:rsidRPr="007018B5">
        <w:rPr>
          <w:szCs w:val="24"/>
          <w:lang w:val="en-US"/>
        </w:rPr>
        <w:t xml:space="preserve">Comparison of the rectal mucosa </w:t>
      </w:r>
      <w:r w:rsidR="00264DC6" w:rsidRPr="007018B5">
        <w:rPr>
          <w:szCs w:val="24"/>
          <w:lang w:val="en-US"/>
        </w:rPr>
        <w:t xml:space="preserve">in the idiopathic and </w:t>
      </w:r>
      <w:r w:rsidR="0069097F" w:rsidRPr="007018B5">
        <w:rPr>
          <w:szCs w:val="24"/>
          <w:lang w:val="en-US"/>
        </w:rPr>
        <w:t>CD</w:t>
      </w:r>
      <w:r w:rsidR="007401B0" w:rsidRPr="007018B5">
        <w:rPr>
          <w:szCs w:val="24"/>
          <w:lang w:val="en-US"/>
        </w:rPr>
        <w:t xml:space="preserve"> </w:t>
      </w:r>
      <w:r w:rsidR="00264DC6" w:rsidRPr="007018B5">
        <w:rPr>
          <w:szCs w:val="24"/>
          <w:lang w:val="en-US"/>
        </w:rPr>
        <w:t xml:space="preserve">groups </w:t>
      </w:r>
      <w:r w:rsidRPr="007018B5">
        <w:rPr>
          <w:szCs w:val="24"/>
          <w:lang w:val="en-US"/>
        </w:rPr>
        <w:t>with healthy controls</w:t>
      </w:r>
      <w:r w:rsidR="00F938D2" w:rsidRPr="007018B5">
        <w:rPr>
          <w:szCs w:val="24"/>
          <w:lang w:val="en-US"/>
        </w:rPr>
        <w:t xml:space="preserve"> found no differen</w:t>
      </w:r>
      <w:r w:rsidR="006C51DE" w:rsidRPr="007018B5">
        <w:rPr>
          <w:szCs w:val="24"/>
          <w:lang w:val="en-US"/>
        </w:rPr>
        <w:t>ces in the cytokine profiles</w:t>
      </w:r>
      <w:r w:rsidR="00E476DC" w:rsidRPr="007018B5">
        <w:rPr>
          <w:szCs w:val="24"/>
          <w:lang w:val="en-US"/>
        </w:rPr>
        <w:t xml:space="preserve">. However, </w:t>
      </w:r>
      <w:r w:rsidR="00C55712" w:rsidRPr="007018B5">
        <w:rPr>
          <w:szCs w:val="24"/>
          <w:lang w:val="en-US"/>
        </w:rPr>
        <w:t xml:space="preserve">in the rectal mucosa, the signals in both disease groups appeared to be suppressed compared with the </w:t>
      </w:r>
      <w:r w:rsidR="00C55712" w:rsidRPr="007018B5">
        <w:rPr>
          <w:szCs w:val="24"/>
          <w:lang w:val="en-US"/>
        </w:rPr>
        <w:lastRenderedPageBreak/>
        <w:t>healthy controls. This difference was significant for six phosphoproteins</w:t>
      </w:r>
      <w:r w:rsidR="0089777B" w:rsidRPr="007018B5">
        <w:rPr>
          <w:szCs w:val="24"/>
          <w:lang w:val="en-US"/>
        </w:rPr>
        <w:t xml:space="preserve"> </w:t>
      </w:r>
      <w:r w:rsidR="00C55712" w:rsidRPr="007018B5">
        <w:rPr>
          <w:szCs w:val="24"/>
          <w:lang w:val="en-US"/>
        </w:rPr>
        <w:t>(</w:t>
      </w:r>
      <w:r w:rsidR="0089777B" w:rsidRPr="007018B5">
        <w:rPr>
          <w:szCs w:val="24"/>
          <w:lang w:val="en-US"/>
        </w:rPr>
        <w:t>EphA1, EphA2, EphB1, EphB4, Tyro3 and VEGFR2</w:t>
      </w:r>
      <w:r w:rsidR="00C55712" w:rsidRPr="007018B5">
        <w:rPr>
          <w:szCs w:val="24"/>
          <w:lang w:val="en-US"/>
        </w:rPr>
        <w:t xml:space="preserve">) when comparing the healthy controls with the </w:t>
      </w:r>
      <w:r w:rsidR="0069097F" w:rsidRPr="007018B5">
        <w:rPr>
          <w:szCs w:val="24"/>
          <w:lang w:val="en-US"/>
        </w:rPr>
        <w:t>CD</w:t>
      </w:r>
      <w:r w:rsidR="00C55712" w:rsidRPr="007018B5">
        <w:rPr>
          <w:szCs w:val="24"/>
          <w:lang w:val="en-US"/>
        </w:rPr>
        <w:t xml:space="preserve"> group.</w:t>
      </w:r>
      <w:r w:rsidR="0089777B" w:rsidRPr="007018B5">
        <w:rPr>
          <w:szCs w:val="24"/>
          <w:lang w:val="en-US"/>
        </w:rPr>
        <w:t xml:space="preserve"> </w:t>
      </w:r>
    </w:p>
    <w:p w14:paraId="3F7B694F" w14:textId="5298F51B" w:rsidR="0089777B" w:rsidRPr="007018B5" w:rsidRDefault="0089777B" w:rsidP="00755858">
      <w:pPr>
        <w:adjustRightInd w:val="0"/>
        <w:snapToGrid w:val="0"/>
        <w:spacing w:before="0" w:after="0"/>
        <w:ind w:firstLineChars="100" w:firstLine="240"/>
        <w:jc w:val="both"/>
        <w:rPr>
          <w:szCs w:val="24"/>
          <w:lang w:val="en-US"/>
        </w:rPr>
      </w:pPr>
      <w:r w:rsidRPr="007018B5">
        <w:rPr>
          <w:szCs w:val="24"/>
          <w:lang w:val="en-US"/>
        </w:rPr>
        <w:t xml:space="preserve">The first four are </w:t>
      </w:r>
      <w:r w:rsidR="00D85FE0" w:rsidRPr="007018B5">
        <w:rPr>
          <w:szCs w:val="24"/>
          <w:lang w:val="en-US"/>
        </w:rPr>
        <w:t>RTKs</w:t>
      </w:r>
      <w:r w:rsidRPr="007018B5">
        <w:rPr>
          <w:szCs w:val="24"/>
          <w:lang w:val="en-US"/>
        </w:rPr>
        <w:t xml:space="preserve"> from the Ephrin subfamily. Ephrin </w:t>
      </w:r>
      <w:proofErr w:type="spellStart"/>
      <w:r w:rsidRPr="007018B5">
        <w:rPr>
          <w:szCs w:val="24"/>
          <w:lang w:val="en-US"/>
        </w:rPr>
        <w:t>signalling</w:t>
      </w:r>
      <w:proofErr w:type="spellEnd"/>
      <w:r w:rsidRPr="007018B5">
        <w:rPr>
          <w:szCs w:val="24"/>
          <w:lang w:val="en-US"/>
        </w:rPr>
        <w:t xml:space="preserve"> is important in controlling cellular proliferation in the crypts and differentiation of enterocytes on the villi. Loss of ephrin receptor and ephrin </w:t>
      </w:r>
      <w:proofErr w:type="spellStart"/>
      <w:r w:rsidRPr="007018B5">
        <w:rPr>
          <w:szCs w:val="24"/>
          <w:lang w:val="en-US"/>
        </w:rPr>
        <w:t>signalling</w:t>
      </w:r>
      <w:proofErr w:type="spellEnd"/>
      <w:r w:rsidRPr="007018B5">
        <w:rPr>
          <w:szCs w:val="24"/>
          <w:lang w:val="en-US"/>
        </w:rPr>
        <w:t xml:space="preserve"> appears to contribute to wound healing defects as in inflammatory bowel disease</w:t>
      </w:r>
      <w:r w:rsidRPr="007018B5">
        <w:rPr>
          <w:szCs w:val="24"/>
          <w:lang w:val="en-US"/>
        </w:rPr>
        <w:fldChar w:fldCharType="begin"/>
      </w:r>
      <w:r w:rsidR="003D51A1" w:rsidRPr="007018B5">
        <w:rPr>
          <w:szCs w:val="24"/>
          <w:lang w:val="en-US"/>
        </w:rPr>
        <w:instrText xml:space="preserve"> ADDIN ZOTERO_ITEM CSL_CITATION {"citationID":"HWCcXmQD","properties":{"formattedCitation":"\\super [28]\\nosupersub{}","plainCitation":"[28]","noteIndex":0},"citationItems":[{"id":778,"uris":["http://zotero.org/users/851773/items/HKHIDQH4"],"uri":["http://zotero.org/users/851773/items/HKHIDQH4"],"itemData":{"id":778,"type":"article-journal","title":"Eph receptor and ephrin function in breast, gut, and skin epithelia","container-title":"Cell Adhesion &amp; Migration","page":"327-338","volume":"8","issue":"4","source":"PubMed Central","abstract":"Epithelial cells are tightly coupled together through specialized intercellular junctions, including adherens junctions, desmosomes, tight junctions, and gap junctions. A growing body of evidence suggests epithelial cells also directly exchange information at cell-cell contacts via the Eph family of receptor tyrosine kinases and their membrane-associated ephrin ligands. Ligand-dependent and -independent signaling via Eph receptors as well as reverse signaling through ephrins impact epithelial tissue homeostasis by organizing stem cell compartments and regulating cell proliferation, migration, adhesion, differentiation, and survival. This review focuses on breast, gut, and skin epithelia as representative examples for how Eph receptors and ephrins modulate diverse epithelial cell responses in a context-dependent manner. Abnormal Eph receptor and ephrin signaling is implicated in a variety of epithelial diseases raising the intriguing possibility that this cell-cell communication pathway can be therapeutically harnessed to normalize epithelial function in pathological settings like cancer or chronic inflammation.","DOI":"10.4161/19336918.2014.970012","ISSN":"1933-6918","note":"PMID: 25482622\nPMCID: PMC4594571","journalAbbreviation":"Cell Adh Migr","author":[{"family":"Perez White","given":"Bethany E"},{"family":"Getsios","given":"Spiro"}],"issued":{"date-parts":[["2014",10,30]]}}}],"schema":"https://github.com/citation-style-language/schema/raw/master/csl-citation.json"}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[28]</w:t>
      </w:r>
      <w:r w:rsidRPr="007018B5">
        <w:rPr>
          <w:szCs w:val="24"/>
          <w:lang w:val="en-US"/>
        </w:rPr>
        <w:fldChar w:fldCharType="end"/>
      </w:r>
      <w:r w:rsidR="00A741B2" w:rsidRPr="007018B5">
        <w:rPr>
          <w:szCs w:val="24"/>
          <w:lang w:val="en-US"/>
        </w:rPr>
        <w:t>.</w:t>
      </w:r>
      <w:r w:rsidRPr="007018B5">
        <w:rPr>
          <w:szCs w:val="24"/>
          <w:lang w:val="en-US"/>
        </w:rPr>
        <w:t xml:space="preserve"> </w:t>
      </w:r>
      <w:r w:rsidR="00B222A7" w:rsidRPr="007018B5">
        <w:rPr>
          <w:szCs w:val="24"/>
          <w:lang w:val="en-US"/>
        </w:rPr>
        <w:t>O</w:t>
      </w:r>
      <w:r w:rsidR="004E1468" w:rsidRPr="007018B5">
        <w:rPr>
          <w:szCs w:val="24"/>
          <w:lang w:val="en-US"/>
        </w:rPr>
        <w:t>ur</w:t>
      </w:r>
      <w:r w:rsidRPr="007018B5">
        <w:rPr>
          <w:szCs w:val="24"/>
          <w:lang w:val="en-US"/>
        </w:rPr>
        <w:t xml:space="preserve"> study suggests that suppression of ephrin receptor expression in the rectal mucosa may be a pathological feature in patients with both idiopathic and </w:t>
      </w:r>
      <w:r w:rsidR="001A0A8E" w:rsidRPr="007018B5">
        <w:rPr>
          <w:szCs w:val="24"/>
          <w:lang w:val="en-US"/>
        </w:rPr>
        <w:t xml:space="preserve">CD-related </w:t>
      </w:r>
      <w:r w:rsidRPr="007018B5">
        <w:rPr>
          <w:szCs w:val="24"/>
          <w:lang w:val="en-US"/>
        </w:rPr>
        <w:t xml:space="preserve">perianal fistulae. The consequence of this conclusion is potentially important for two reasons: (1) idiopathic and </w:t>
      </w:r>
      <w:r w:rsidR="004E1468" w:rsidRPr="007018B5">
        <w:rPr>
          <w:szCs w:val="24"/>
          <w:lang w:val="en-US"/>
        </w:rPr>
        <w:t xml:space="preserve">CD-related </w:t>
      </w:r>
      <w:r w:rsidRPr="007018B5">
        <w:rPr>
          <w:szCs w:val="24"/>
          <w:lang w:val="en-US"/>
        </w:rPr>
        <w:t xml:space="preserve">perianal fistulae may be similar in their immunopathology with regards to ephrin </w:t>
      </w:r>
      <w:r w:rsidR="00755858">
        <w:rPr>
          <w:szCs w:val="24"/>
          <w:lang w:val="en-US"/>
        </w:rPr>
        <w:t>signaling;</w:t>
      </w:r>
      <w:r w:rsidRPr="007018B5">
        <w:rPr>
          <w:szCs w:val="24"/>
          <w:lang w:val="en-US"/>
        </w:rPr>
        <w:t xml:space="preserve"> and (2) abnormalities in those with idiopathic perianal fistulae </w:t>
      </w:r>
      <w:r w:rsidR="00B222A7" w:rsidRPr="007018B5">
        <w:rPr>
          <w:szCs w:val="24"/>
          <w:lang w:val="en-US"/>
        </w:rPr>
        <w:t xml:space="preserve">might </w:t>
      </w:r>
      <w:r w:rsidRPr="007018B5">
        <w:rPr>
          <w:szCs w:val="24"/>
          <w:lang w:val="en-US"/>
        </w:rPr>
        <w:t xml:space="preserve">not </w:t>
      </w:r>
      <w:r w:rsidR="00B222A7" w:rsidRPr="007018B5">
        <w:rPr>
          <w:szCs w:val="24"/>
          <w:lang w:val="en-US"/>
        </w:rPr>
        <w:t xml:space="preserve">be </w:t>
      </w:r>
      <w:r w:rsidRPr="007018B5">
        <w:rPr>
          <w:szCs w:val="24"/>
          <w:lang w:val="en-US"/>
        </w:rPr>
        <w:t>confined to the peri-fistula tissue, a notion that has not previously been reported.</w:t>
      </w:r>
    </w:p>
    <w:p w14:paraId="7C83DF6D" w14:textId="17CB274D" w:rsidR="0089777B" w:rsidRPr="007018B5" w:rsidRDefault="0089777B" w:rsidP="00755858">
      <w:pPr>
        <w:adjustRightInd w:val="0"/>
        <w:snapToGrid w:val="0"/>
        <w:spacing w:before="0" w:after="0"/>
        <w:ind w:firstLineChars="100" w:firstLine="240"/>
        <w:jc w:val="both"/>
        <w:rPr>
          <w:szCs w:val="24"/>
          <w:lang w:val="en-US"/>
        </w:rPr>
      </w:pPr>
      <w:r w:rsidRPr="007018B5">
        <w:rPr>
          <w:szCs w:val="24"/>
          <w:lang w:val="en-US"/>
        </w:rPr>
        <w:t xml:space="preserve">Tyro3 is a RTK that, along with </w:t>
      </w:r>
      <w:proofErr w:type="spellStart"/>
      <w:r w:rsidRPr="007018B5">
        <w:rPr>
          <w:szCs w:val="24"/>
          <w:lang w:val="en-US"/>
        </w:rPr>
        <w:t>Axl</w:t>
      </w:r>
      <w:proofErr w:type="spellEnd"/>
      <w:r w:rsidRPr="007018B5">
        <w:rPr>
          <w:szCs w:val="24"/>
          <w:lang w:val="en-US"/>
        </w:rPr>
        <w:t xml:space="preserve"> and </w:t>
      </w:r>
      <w:proofErr w:type="spellStart"/>
      <w:r w:rsidRPr="007018B5">
        <w:rPr>
          <w:szCs w:val="24"/>
          <w:lang w:val="en-US"/>
        </w:rPr>
        <w:t>Mertk</w:t>
      </w:r>
      <w:proofErr w:type="spellEnd"/>
      <w:r w:rsidRPr="007018B5">
        <w:rPr>
          <w:szCs w:val="24"/>
          <w:lang w:val="en-US"/>
        </w:rPr>
        <w:t>, and t</w:t>
      </w:r>
      <w:r w:rsidR="0004184A" w:rsidRPr="007018B5">
        <w:rPr>
          <w:szCs w:val="24"/>
          <w:lang w:val="en-US"/>
        </w:rPr>
        <w:t>heir ligands Gas6</w:t>
      </w:r>
      <w:r w:rsidRPr="007018B5">
        <w:rPr>
          <w:szCs w:val="24"/>
          <w:lang w:val="en-US"/>
        </w:rPr>
        <w:t xml:space="preserve"> and Protein S, makes up the </w:t>
      </w:r>
      <w:r w:rsidR="007401B0" w:rsidRPr="007018B5">
        <w:rPr>
          <w:szCs w:val="24"/>
          <w:lang w:val="en-US"/>
        </w:rPr>
        <w:t>Tyro3-Axl-Mertk (</w:t>
      </w:r>
      <w:r w:rsidRPr="007018B5">
        <w:rPr>
          <w:szCs w:val="24"/>
          <w:lang w:val="en-US"/>
        </w:rPr>
        <w:t>TAM</w:t>
      </w:r>
      <w:r w:rsidR="007401B0" w:rsidRPr="007018B5">
        <w:rPr>
          <w:szCs w:val="24"/>
          <w:lang w:val="en-US"/>
        </w:rPr>
        <w:t>)</w:t>
      </w:r>
      <w:r w:rsidRPr="007018B5">
        <w:rPr>
          <w:szCs w:val="24"/>
          <w:lang w:val="en-US"/>
        </w:rPr>
        <w:t xml:space="preserve"> </w:t>
      </w:r>
      <w:proofErr w:type="spellStart"/>
      <w:r w:rsidRPr="007018B5">
        <w:rPr>
          <w:szCs w:val="24"/>
          <w:lang w:val="en-US"/>
        </w:rPr>
        <w:t>signalling</w:t>
      </w:r>
      <w:proofErr w:type="spellEnd"/>
      <w:r w:rsidRPr="007018B5">
        <w:rPr>
          <w:szCs w:val="24"/>
          <w:lang w:val="en-US"/>
        </w:rPr>
        <w:t xml:space="preserve"> pathway. This pathway is involved in the negative regulation of inflammation, removal of apoptotic cells and potential induction of the tissue repair response. In inflammatory bowel disease, TAM </w:t>
      </w:r>
      <w:proofErr w:type="spellStart"/>
      <w:r w:rsidRPr="007018B5">
        <w:rPr>
          <w:szCs w:val="24"/>
          <w:lang w:val="en-US"/>
        </w:rPr>
        <w:t>signalling</w:t>
      </w:r>
      <w:proofErr w:type="spellEnd"/>
      <w:r w:rsidRPr="007018B5">
        <w:rPr>
          <w:szCs w:val="24"/>
          <w:lang w:val="en-US"/>
        </w:rPr>
        <w:t xml:space="preserve"> is suppressed, which, in the presence of mucosal injury, leads to an accumulation of apoptotic neutrophils and a failure of macrophages to acquire an alternative activation state</w:t>
      </w:r>
      <w:r w:rsidRPr="007018B5">
        <w:rPr>
          <w:szCs w:val="24"/>
          <w:lang w:val="en-US"/>
        </w:rPr>
        <w:fldChar w:fldCharType="begin"/>
      </w:r>
      <w:r w:rsidR="003D51A1" w:rsidRPr="007018B5">
        <w:rPr>
          <w:szCs w:val="24"/>
          <w:lang w:val="en-US"/>
        </w:rPr>
        <w:instrText xml:space="preserve"> ADDIN ZOTERO_ITEM CSL_CITATION {"citationID":"fzrmKf9b","properties":{"formattedCitation":"\\super [29]\\nosupersub{}","plainCitation":"[29]","noteIndex":0},"citationItems":[{"id":776,"uris":["http://zotero.org/users/851773/items/BHKSHG32"],"uri":["http://zotero.org/users/851773/items/BHKSHG32"],"itemData":{"id":776,"type":"article-journal","title":"Tyro3, Axl, and Mertk Receptor Signaling in Inflammatory Bowel Disease and Colitis-associated Cancer","container-title":"Inflammatory bowel diseases","page":"1472-1480","volume":"20","issue":"8","source":"PubMed Central","abstract":"Three receptor tyrosine kinases, Tyro3, Axl, and Mertk (TAM) and their ligands Gas6 and Protein S, have emerged as potent negative regulators of innate immune responses. A number of studies using genetic ablation of TAM loci in mice have elucidated the mechanism of TAM engagement and function during the immune response and removal of apoptotic cells. Following phagocytosis of apoptotic cells or the induction of T-cell dependent adaptive immune responses, ligand-induced TAM signaling dampens proinflammatory cytokine production and thus prevents exaggerated or prolonged inflammation. It is believed that the TAM pathway may play an important role in the pathogenesis of inflammatory bowel disease. Suppression of inflammation and removal of apoptotic cells followed by tissue repair are essential processes for disease remission and the successful management of inflammatory bowel disease. In light of the key role of TAMs in controlling inflammatory responses, here, we review the recent advances on TAM research vis-à-vis the resolution of intestinal inflammation. Targeted activation of TAM receptor tyrosine kinases may represent a potent therapeutic opportunity in inflammatory bowel disease.","DOI":"10.1097/MIB.0000000000000050","ISSN":"1078-0998","note":"PMID: 24846720\nPMCID: PMC4343000","journalAbbreviation":"Inflamm Bowel Dis","author":[{"family":"Rothlin","given":"Carla V."},{"family":"Leighton","given":"Jonathan A."},{"family":"Ghosh","given":"Sourav"}],"issued":{"date-parts":[["2014",8]]}}}],"schema":"https://github.com/citation-style-language/schema/raw/master/csl-citation.json"} </w:instrText>
      </w:r>
      <w:r w:rsidRPr="007018B5">
        <w:rPr>
          <w:szCs w:val="24"/>
          <w:lang w:val="en-US"/>
        </w:rPr>
        <w:fldChar w:fldCharType="separate"/>
      </w:r>
      <w:r w:rsidR="003D51A1" w:rsidRPr="007018B5">
        <w:rPr>
          <w:szCs w:val="24"/>
          <w:vertAlign w:val="superscript"/>
          <w:lang w:val="en-US"/>
        </w:rPr>
        <w:t>[29]</w:t>
      </w:r>
      <w:r w:rsidRPr="007018B5">
        <w:rPr>
          <w:szCs w:val="24"/>
          <w:lang w:val="en-US"/>
        </w:rPr>
        <w:fldChar w:fldCharType="end"/>
      </w:r>
      <w:r w:rsidR="00A741B2" w:rsidRPr="007018B5">
        <w:rPr>
          <w:szCs w:val="24"/>
          <w:lang w:val="en-US"/>
        </w:rPr>
        <w:t>.</w:t>
      </w:r>
      <w:r w:rsidRPr="007018B5">
        <w:rPr>
          <w:szCs w:val="24"/>
          <w:lang w:val="en-US"/>
        </w:rPr>
        <w:t xml:space="preserve"> </w:t>
      </w:r>
      <w:r w:rsidR="004E1468" w:rsidRPr="007018B5">
        <w:rPr>
          <w:szCs w:val="24"/>
          <w:lang w:val="en-US"/>
        </w:rPr>
        <w:t>Our</w:t>
      </w:r>
      <w:r w:rsidRPr="007018B5">
        <w:rPr>
          <w:szCs w:val="24"/>
          <w:lang w:val="en-US"/>
        </w:rPr>
        <w:t xml:space="preserve"> study with respect to the rectal mucosa in the </w:t>
      </w:r>
      <w:r w:rsidR="0069097F" w:rsidRPr="007018B5">
        <w:rPr>
          <w:szCs w:val="24"/>
          <w:lang w:val="en-US"/>
        </w:rPr>
        <w:t>CD</w:t>
      </w:r>
      <w:r w:rsidRPr="007018B5">
        <w:rPr>
          <w:szCs w:val="24"/>
          <w:lang w:val="en-US"/>
        </w:rPr>
        <w:t xml:space="preserve"> group is consistent with this. However, it also suggests that suppression of Tyro3 may also occur in the rectal mucosa of those with idiopathic perianal fistulae, further supporting the notion described </w:t>
      </w:r>
      <w:r w:rsidR="004E1468" w:rsidRPr="007018B5">
        <w:rPr>
          <w:szCs w:val="24"/>
          <w:lang w:val="en-US"/>
        </w:rPr>
        <w:t>above</w:t>
      </w:r>
      <w:r w:rsidRPr="007018B5">
        <w:rPr>
          <w:szCs w:val="24"/>
          <w:lang w:val="en-US"/>
        </w:rPr>
        <w:t>.</w:t>
      </w:r>
    </w:p>
    <w:p w14:paraId="6A1F4FBB" w14:textId="5F8C2021" w:rsidR="0089777B" w:rsidRDefault="0089777B" w:rsidP="00755858">
      <w:pPr>
        <w:adjustRightInd w:val="0"/>
        <w:snapToGrid w:val="0"/>
        <w:spacing w:before="0" w:after="0"/>
        <w:ind w:firstLineChars="100" w:firstLine="240"/>
        <w:jc w:val="both"/>
        <w:rPr>
          <w:szCs w:val="24"/>
          <w:lang w:val="en-US"/>
        </w:rPr>
      </w:pPr>
      <w:r w:rsidRPr="007018B5">
        <w:rPr>
          <w:szCs w:val="24"/>
          <w:lang w:val="en-US"/>
        </w:rPr>
        <w:t xml:space="preserve">VEGFR2 is the principle RTK that transmits VEGF signals in the vascular endothelium. The principle effect of VEGFR2 activation is angiogenesis, which is a feature of both health and disease. VEGFR2 </w:t>
      </w:r>
      <w:r w:rsidR="00616EF4" w:rsidRPr="007018B5">
        <w:rPr>
          <w:szCs w:val="24"/>
          <w:lang w:val="en-US"/>
        </w:rPr>
        <w:t>may be</w:t>
      </w:r>
      <w:r w:rsidRPr="007018B5">
        <w:rPr>
          <w:szCs w:val="24"/>
          <w:lang w:val="en-US"/>
        </w:rPr>
        <w:t xml:space="preserve"> suppressed in quiescent </w:t>
      </w:r>
      <w:r w:rsidR="0069097F" w:rsidRPr="007018B5">
        <w:rPr>
          <w:szCs w:val="24"/>
          <w:lang w:val="en-US"/>
        </w:rPr>
        <w:t>CD</w:t>
      </w:r>
      <w:r w:rsidR="00616EF4" w:rsidRPr="007018B5">
        <w:rPr>
          <w:szCs w:val="24"/>
          <w:lang w:val="en-US"/>
        </w:rPr>
        <w:t xml:space="preserve"> colonic mucosa, compared with healthy controls</w:t>
      </w:r>
      <w:r w:rsidR="004E0FE3" w:rsidRPr="007018B5">
        <w:rPr>
          <w:szCs w:val="24"/>
          <w:lang w:val="en-US"/>
        </w:rPr>
        <w:fldChar w:fldCharType="begin"/>
      </w:r>
      <w:r w:rsidR="003D51A1" w:rsidRPr="007018B5">
        <w:rPr>
          <w:szCs w:val="24"/>
          <w:lang w:val="en-US"/>
        </w:rPr>
        <w:instrText xml:space="preserve"> ADDIN ZOTERO_ITEM CSL_CITATION {"citationID":"tvY7wMDH","properties":{"formattedCitation":"\\super [30]\\nosupersub{}","plainCitation":"[30]","noteIndex":0},"citationItems":[{"id":774,"uris":["http://zotero.org/users/851773/items/A6WJF665"],"uri":["http://zotero.org/users/851773/items/A6WJF665"],"itemData":{"id":774,"type":"article-journal","title":"Relationship between levels of angiogenic and lymphangiogenic factors and the endoscopic, histological and clinical activity, and acute-phase reactants in patients with inflammatory bowel disease","container-title":"Journal of Crohn's &amp; Colitis","page":"e569-579","volume":"7","issue":"11","source":"PubMed","abstract":"BACKGROUND: Angiogenic and lymphangiogenic factors (ALFs) may play an important role in inflammatory bowel disease (IBD). Our aims were to evaluate levels of ALFs in serum and the colonic mucosa culture supernatant (MCS) of patients with active and quiescent IBD and healthy subjects and to correlate them with the endoscopic, clinical and histological activity and with acute-phase reactants.\nMETHODS: This is a prospective study of 28 controls and 72 IBD patients. Serum and MCS concentration of VEGFA, VEGFC, VEGFD, VEGFR1, VEGFR2, VEGFR3, PlGF, Ang1, Ang2 and Tie2 were measured by ELISA. Activity was established by specific indexes (CDAI, Mayo score, SES-CD, D'Haens scale and Riley index). Acute-phase reactants were routinely measured.\nRESULTS: MCS levels of all ALFs except VEGFR3 were higher in patients with endoscopic (p&lt;0.05), clinical (p&lt;0.05) and histological (p&lt;0.01) activity than in those without it. In serum, VEGFA, VEGFC and Ang1 and VEGFA and Ang1 levels were lower in patients in remission than in patients with clinical and histological activity, respectively (p&lt;0.05). There was a correlation between serum and MCS concentrations for VEGFD, VEGFR3, PlGF and Tie2 (r=0.25, r=0.48, r=-0.45 and r=0.36; p&lt;0.05). Ang2 in MCS was the best predictor for the diagnosis of endoscopic, histological and clinical activity (area under ROC curve&gt;0.8).\nCONCLUSIONS: MCS determination suggests a local increase in ALFs that correlates with IBD activity. Although the correlation between ALFs in serum and MCS was not good, the study of some of these factors as possible targets of new drugs for IBD constitutes a key new line of research.","DOI":"10.1016/j.crohns.2013.04.005","ISSN":"1876-4479","note":"PMID: 23642997","journalAbbreviation":"J Crohns Colitis","language":"eng","author":[{"family":"Algaba","given":"Alicia"},{"family":"Linares","given":"Pablo M."},{"family":"Fernández-Contreras","given":"M. Encarnación"},{"family":"Ordoñez","given":"Amparo"},{"family":"Trápaga","given":"Javier"},{"family":"Guerra","given":"Iván"},{"family":"Chaparro","given":"María"},{"family":"Poza","given":"Gema","non-dropping-particle":"de la"},{"family":"Gisbert","given":"Javier P."},{"family":"Bermejo","given":"Fernando"}],"issued":{"date-parts":[["2013",12]]}},"suppress-author":true}],"schema":"https://github.com/citation-style-language/schema/raw/master/csl-citation.json"} </w:instrText>
      </w:r>
      <w:r w:rsidR="004E0FE3" w:rsidRPr="007018B5">
        <w:rPr>
          <w:szCs w:val="24"/>
          <w:lang w:val="en-US"/>
        </w:rPr>
        <w:fldChar w:fldCharType="separate"/>
      </w:r>
      <w:r w:rsidR="003D51A1" w:rsidRPr="007018B5">
        <w:rPr>
          <w:szCs w:val="24"/>
          <w:vertAlign w:val="superscript"/>
          <w:lang w:val="en-US"/>
        </w:rPr>
        <w:t>[30]</w:t>
      </w:r>
      <w:r w:rsidR="004E0FE3" w:rsidRPr="007018B5">
        <w:rPr>
          <w:szCs w:val="24"/>
          <w:lang w:val="en-US"/>
        </w:rPr>
        <w:fldChar w:fldCharType="end"/>
      </w:r>
      <w:r w:rsidR="00A741B2" w:rsidRPr="007018B5">
        <w:rPr>
          <w:szCs w:val="24"/>
          <w:lang w:val="en-US"/>
        </w:rPr>
        <w:t>.</w:t>
      </w:r>
      <w:r w:rsidRPr="007018B5">
        <w:rPr>
          <w:szCs w:val="24"/>
          <w:lang w:val="en-US"/>
        </w:rPr>
        <w:t xml:space="preserve"> </w:t>
      </w:r>
      <w:r w:rsidR="00BE1D54" w:rsidRPr="007018B5">
        <w:rPr>
          <w:szCs w:val="24"/>
          <w:lang w:val="en-US"/>
        </w:rPr>
        <w:t>In the rectal</w:t>
      </w:r>
      <w:r w:rsidR="00A165F9" w:rsidRPr="007018B5">
        <w:rPr>
          <w:szCs w:val="24"/>
          <w:lang w:val="en-US"/>
        </w:rPr>
        <w:t xml:space="preserve"> mucosa</w:t>
      </w:r>
      <w:r w:rsidR="00616EF4" w:rsidRPr="007018B5">
        <w:rPr>
          <w:szCs w:val="24"/>
          <w:lang w:val="en-US"/>
        </w:rPr>
        <w:t>, w</w:t>
      </w:r>
      <w:r w:rsidRPr="007018B5">
        <w:rPr>
          <w:szCs w:val="24"/>
          <w:lang w:val="en-US"/>
        </w:rPr>
        <w:t xml:space="preserve">e found that VEGFR2 levels were lower in patients both with idiopathic and </w:t>
      </w:r>
      <w:r w:rsidR="004E1468" w:rsidRPr="007018B5">
        <w:rPr>
          <w:szCs w:val="24"/>
          <w:lang w:val="en-US"/>
        </w:rPr>
        <w:t xml:space="preserve">CD-related </w:t>
      </w:r>
      <w:r w:rsidRPr="007018B5">
        <w:rPr>
          <w:szCs w:val="24"/>
          <w:lang w:val="en-US"/>
        </w:rPr>
        <w:t>perianal fistulae, compared with healthy controls. This suggest</w:t>
      </w:r>
      <w:r w:rsidR="00A165F9" w:rsidRPr="007018B5">
        <w:rPr>
          <w:szCs w:val="24"/>
          <w:lang w:val="en-US"/>
        </w:rPr>
        <w:t>s</w:t>
      </w:r>
      <w:r w:rsidRPr="007018B5">
        <w:rPr>
          <w:szCs w:val="24"/>
          <w:lang w:val="en-US"/>
        </w:rPr>
        <w:t xml:space="preserve"> that expression of this RTK </w:t>
      </w:r>
      <w:r w:rsidR="00A165F9" w:rsidRPr="007018B5">
        <w:rPr>
          <w:szCs w:val="24"/>
          <w:lang w:val="en-US"/>
        </w:rPr>
        <w:t>may be</w:t>
      </w:r>
      <w:r w:rsidRPr="007018B5">
        <w:rPr>
          <w:szCs w:val="24"/>
          <w:lang w:val="en-US"/>
        </w:rPr>
        <w:t xml:space="preserve"> suppressed in these diseases. </w:t>
      </w:r>
    </w:p>
    <w:p w14:paraId="1DB981EF" w14:textId="77777777" w:rsidR="00327EC7" w:rsidRPr="007018B5" w:rsidRDefault="00327EC7" w:rsidP="007E3B89">
      <w:pPr>
        <w:adjustRightInd w:val="0"/>
        <w:snapToGrid w:val="0"/>
        <w:spacing w:before="0" w:after="0"/>
        <w:jc w:val="both"/>
        <w:rPr>
          <w:szCs w:val="24"/>
          <w:lang w:val="en-US"/>
        </w:rPr>
      </w:pPr>
    </w:p>
    <w:p w14:paraId="7095A030" w14:textId="372F45A7" w:rsidR="004F26FE" w:rsidRPr="007018B5" w:rsidRDefault="004F26FE" w:rsidP="007E3B89">
      <w:pPr>
        <w:pStyle w:val="Heading2"/>
        <w:adjustRightInd w:val="0"/>
        <w:snapToGrid w:val="0"/>
        <w:spacing w:before="0" w:after="0"/>
        <w:jc w:val="both"/>
        <w:rPr>
          <w:szCs w:val="24"/>
          <w:lang w:val="en-US"/>
        </w:rPr>
      </w:pPr>
      <w:r w:rsidRPr="007018B5">
        <w:rPr>
          <w:szCs w:val="24"/>
          <w:lang w:val="en-US"/>
        </w:rPr>
        <w:lastRenderedPageBreak/>
        <w:t>Limitations</w:t>
      </w:r>
    </w:p>
    <w:p w14:paraId="2220462F" w14:textId="2719B3FB" w:rsidR="009B6478" w:rsidRPr="007018B5" w:rsidRDefault="00C06AD2" w:rsidP="007E3B89">
      <w:pPr>
        <w:adjustRightInd w:val="0"/>
        <w:snapToGrid w:val="0"/>
        <w:spacing w:before="0" w:after="0"/>
        <w:jc w:val="both"/>
        <w:rPr>
          <w:szCs w:val="24"/>
          <w:lang w:val="en-US"/>
        </w:rPr>
      </w:pPr>
      <w:r w:rsidRPr="007018B5">
        <w:rPr>
          <w:szCs w:val="24"/>
          <w:lang w:val="en-US"/>
        </w:rPr>
        <w:t>Only 13 patients were recruited to the CD group</w:t>
      </w:r>
      <w:r w:rsidR="00797585" w:rsidRPr="007018B5">
        <w:rPr>
          <w:szCs w:val="24"/>
          <w:lang w:val="en-US"/>
        </w:rPr>
        <w:t>.</w:t>
      </w:r>
      <w:r w:rsidR="009D258B" w:rsidRPr="007018B5">
        <w:rPr>
          <w:szCs w:val="24"/>
          <w:lang w:val="en-US"/>
        </w:rPr>
        <w:t xml:space="preserve"> </w:t>
      </w:r>
      <w:r w:rsidR="00C151BF" w:rsidRPr="007018B5">
        <w:rPr>
          <w:szCs w:val="24"/>
          <w:lang w:val="en-US"/>
        </w:rPr>
        <w:t>P</w:t>
      </w:r>
      <w:r w:rsidR="00501DEE" w:rsidRPr="007018B5">
        <w:rPr>
          <w:szCs w:val="24"/>
          <w:lang w:val="en-US"/>
        </w:rPr>
        <w:t>revious comparative studies</w:t>
      </w:r>
      <w:r w:rsidR="001768DD" w:rsidRPr="007018B5">
        <w:rPr>
          <w:szCs w:val="24"/>
          <w:lang w:val="en-US"/>
        </w:rPr>
        <w:t xml:space="preserve"> </w:t>
      </w:r>
      <w:r w:rsidR="00C151BF" w:rsidRPr="007018B5">
        <w:rPr>
          <w:szCs w:val="24"/>
          <w:lang w:val="en-US"/>
        </w:rPr>
        <w:t xml:space="preserve">have </w:t>
      </w:r>
      <w:r w:rsidR="001768DD" w:rsidRPr="007018B5">
        <w:rPr>
          <w:szCs w:val="24"/>
          <w:lang w:val="en-US"/>
        </w:rPr>
        <w:t>reported with similar sample sizes</w:t>
      </w:r>
      <w:r w:rsidR="00501DEE" w:rsidRPr="007018B5">
        <w:rPr>
          <w:szCs w:val="24"/>
          <w:lang w:val="en-US"/>
        </w:rPr>
        <w:fldChar w:fldCharType="begin"/>
      </w:r>
      <w:r w:rsidR="003D51A1" w:rsidRPr="007018B5">
        <w:rPr>
          <w:szCs w:val="24"/>
          <w:lang w:val="en-US"/>
        </w:rPr>
        <w:instrText xml:space="preserve"> ADDIN ZOTERO_ITEM CSL_CITATION {"citationID":"T68nTWt8","properties":{"formattedCitation":"\\super [10\\uc0\\u8211{}13]\\nosupersub{}","plainCitation":"[10–13]","noteIndex":0},"citationItems":[{"id":61,"uris":["http://zotero.org/users/851773/items/6GDS77V2"],"uri":["http://zotero.org/users/851773/items/6GDS77V2"],"itemData":{"id":61,"type":"article-journal","title":"Morphological characterisation of Crohn's disease fistulae","container-title":"Gut","page":"1314-1321","volume":"53","issue":"9","source":"PubMed","abstract":"BACKGROUND: Fistulae are a common complication in up to 35% of all patients with Crohn's disease. Their therapy is difficult and frequently unsatisfactory. To date, no histological comparison of Crohn's disease fistulae with non-inflammatory bowel disease fistulae has been performed. In addition, Crohn's disease fistulae have not been well characterised morphologically.\nMETHODS: Eighty four fistulae from Crohn's disease patients were compared with 13 fistulae from controls. Haematoxylin-eosin staining, electron microscopy, and immunohistochemistry for panCytokeratin (epithelial cells), CD20 (B cells), CD45R0 (T cells), and CD68 (macrophages) were performed according to standard techniques. In addition, histopathological findings were compared with clinical and laboratory data.\nRESULTS: In 31.0% of controls and 27.4% of Crohn's disease specimens, fistulae had a lining of flattened intestinal epithelium without goblet cells or, in the case of cutaneous/perianal disease, narrow squamous epithelium. Non-epithelialised fistulae were covered by a thin layer of (myo)fibroblasts, focally forming a new basement membrane, as demonstrated by electron microscopy. All fistulae were surrounded by granulation tissue. Crohn's disease fistulae presented with central infiltration by CD45R0+ T cells, followed by a small band of CD68+ macrophages and dense accumulation of CD20+ B cells. In contrast, in controls, there was dense infiltration by CD68+ macrophages with only few CD20+ B cells and CD45R0+ T lymphocytes.\nCONCLUSIONS: Fistulae in Crohn's disease differ markedly from non-Crohn's disease fistulae with regard to their cellular composition. The presence of an epithelial lining in a subgroup of fistulae may be important for the therapeutic approach and healing process.","DOI":"10.1136/gut.2003.038208","ISSN":"0017-5749","note":"PMID: 15306592\nPMCID: PMC1774207","journalAbbreviation":"Gut","language":"eng","author":[{"family":"Bataille","given":"F."},{"family":"Klebl","given":"F."},{"family":"Rümmele","given":"P."},{"family":"Schroeder","given":"J."},{"family":"Farkas","given":"S."},{"family":"Wild","given":"P.-J."},{"family":"Fürst","given":"A."},{"family":"Hofstädter","given":"F."},{"family":"Schölmerich","given":"J."},{"family":"Herfarth","given":"H."},{"family":"Rogler","given":"G."}],"issued":{"date-parts":[["2004",9]]}}},{"id":286,"uris":["http://zotero.org/users/851773/items/AQJNI6GQ"],"uri":["http://zotero.org/users/851773/items/AQJNI6GQ"],"itemData":{"id":286,"type":"article-journal","title":"Evidence for a role of epithelial mesenchymal transition during pathogenesis of fistulae in Crohn's disease","container-title":"Inflammatory bowel diseases","page":"1514-1527","volume":"14","issue":"11","source":"NCBI PubMed","abstract":"BACKGROUND: The pathogenesis of fistulae in Crohn's disease (CD) patients is barely understood. We recently showed that more than two-thirds of CD fistulae are covered with flat, mesenchymal-like cells (transitional cells [TC]) forming a patchy basement membrane. Epithelial-to-mesenchymal transition (EMT) is a process of reprogramming epithelial cells, allowing them to migrate more effectively and giving epithelial cells an \"invasive\" potential. EMT has been suggested to be crucial in fibrosis found in different tissues and diseases. We therefore investigated whether EMT could be involved in the pathogenesis of fistulae formation in CD.\nMETHODS: In all, 18 perianal fistulae, 2 enteroenteric, and 1 enterovesical fistulae from 17 CD patients were analyzed. In addition 2 perianal fistulae of non-CD patients were studied. Hematoxylin and eosin staining, immunohistochemistry for the expression of cytokeratins 8 and 20, beta6-integrin, E-cadherin, beta-catenin, vimentin, and TGF-beta1 and 2 were performed according to standard techniques.\nRESULTS: The TC covering perianal or enteroenteric fistulae were strongly positive for cytokeratins 8 and 20 but negative for vimentin, indicating their epithelial origin. beta6-Integrin and TGF-beta had the highest staining intensities in the transitional zone between the epithelium and the TC. Expression of junctional proteins such as E-cadherin was reduced in TC as compared to regular fistulae epithelium. In addition, a translocation of beta-catenin from the membrane to the cytoplasm was observed.\nCONCLUSIONS: Our data for the first time indicate an expression pattern of epithelial and mesenchymal markers in TC associated with fistulae formation that is characteristic for EMT. Studying the pathways of EMT during intestinal fistulae formation may help to develop new therapeutic strategies.","DOI":"10.1002/ibd.20590","ISSN":"1536-4844","note":"PMID: 18626977","journalAbbreviation":"Inflamm. Bowel Dis.","language":"eng","author":[{"family":"Bataille","given":"Frauke"},{"family":"Rohrmeier","given":"Christian"},{"family":"Bates","given":"Richard"},{"family":"Weber","given":"Achim"},{"family":"Rieder","given":"Florian"},{"family":"Brenmoehl","given":"Julia"},{"family":"Strauch","given":"Ulrike"},{"family":"Farkas","given":"Stefan"},{"family":"Fürst","given":"Alois"},{"family":"Hofstädter","given":"Ferdinand"},{"family":"Schölmerich","given":"Jürgen"},{"family":"Herfarth","given":"Hans"},{"family":"Rogler","given":"Gerhard"}],"issued":{"date-parts":[["2008",11]]}}},{"id":282,"uris":["http://zotero.org/users/851773/items/Z59X6UUD"],"uri":["http://zotero.org/users/851773/items/Z59X6UUD"],"itemData":{"id":282,"type":"article-journal","title":"Expression and localisation of matrix metalloproteinases and their natural inhibitors in fistulae of patients with Crohn's disease","container-title":"Gut","page":"701-709","volume":"53","issue":"5","source":"NCBI PubMed","abstract":"BACKGROUND: Fistulae are a troublesome complication of Crohn's disease but little is known of the final effector molecules responsible for matrix degradation. Although matrix metalloproteinases (MMPs) have been strongly implicated in tissue injury in Crohn's disease, their role in fistula formation is unknown. Aim: To determine the expression pattern of MMPs and tissue inhibitors of metalloproteinases (TIMPs) in fistulae of patients with Crohn's disease.\nPATIENTS AND METHODS: Resected fistula specimens were obtained from patients with Crohn's disease (n = 11) and classified according to the predominant histological features-that is, acute versus chronic inflammation. Patients with fistulae due to other diseases (n = 9) and normal colon (n = 5) served as controls. MMP and TIMP protein expression was measured by single or double labelled immunohistochemistry, and mRNA expression by in situ hybridisation. MMP activity was measured by gelatin zymography.\nRESULTS: Compared with normal colon, strong MMP-3 expression was consistently observed in fistulae in Crohn's disease, irrespective of the stage of inflammatory activity. MMP-3 transcripts and protein were localised in large mononuclear cells and fibroblasts. MMP-9 transcripts and protein were expressed in granulocytes and only in fistulae with acute inflammation. Staining for MMP-1 and MMP-7 was weak and negative for MMP-10, whereas MMP-2 was equally expressed in normal colon and fistulae. TIMP-1, TIMP-2, and TIMP-3 expression was low in all samples. Similar expression patterns were found in fistulae of the disease control group. Fistulae also expressed active MMP-2 and MMP-9, as measured by gelatin zymography.\nCONCLUSION: MMP-3 and MMP-9 are markedly upregulated in intestinal fistulae and may contribute to fistula formation through degradation of the extracellular matrix, irrespective of the underlying disease process.","DOI":"10.1136/gut.2003.017442","ISSN":"0017-5749","note":"PMID: 15082589","journalAbbreviation":"Gut","language":"eng","author":[{"family":"Kirkegaard","given":"T"},{"family":"Hansen","given":"A"},{"family":"Bruun","given":"E"},{"family":"Brynskov","given":"J"}],"issued":{"date-parts":[["2004",5]]}}},{"id":539,"uris":["http://zotero.org/users/851773/items/H8P8JB3U"],"uri":["http://zotero.org/users/851773/items/H8P8JB3U"],"itemData":{"id":539,"type":"thesis","title":"Clinical and experimental studies in idiopathic and Crohn's-related anal fistula","publisher":"Imperial College","publisher-place":"London","genre":"MD(Res)","event-place":"London","author":[{"family":"Tozer","given":"PJ"}],"issued":{"date-parts":[["2011"]]}}}],"schema":"https://github.com/citation-style-language/schema/raw/master/csl-citation.json"} </w:instrText>
      </w:r>
      <w:r w:rsidR="00501DEE" w:rsidRPr="007018B5">
        <w:rPr>
          <w:szCs w:val="24"/>
          <w:lang w:val="en-US"/>
        </w:rPr>
        <w:fldChar w:fldCharType="separate"/>
      </w:r>
      <w:r w:rsidR="003D51A1" w:rsidRPr="007018B5">
        <w:rPr>
          <w:szCs w:val="24"/>
          <w:vertAlign w:val="superscript"/>
          <w:lang w:val="en-US"/>
        </w:rPr>
        <w:t>[10</w:t>
      </w:r>
      <w:r w:rsidR="00E97C8C">
        <w:rPr>
          <w:szCs w:val="24"/>
          <w:vertAlign w:val="superscript"/>
          <w:lang w:val="en-US"/>
        </w:rPr>
        <w:t>-</w:t>
      </w:r>
      <w:r w:rsidR="003D51A1" w:rsidRPr="007018B5">
        <w:rPr>
          <w:szCs w:val="24"/>
          <w:vertAlign w:val="superscript"/>
          <w:lang w:val="en-US"/>
        </w:rPr>
        <w:t>13]</w:t>
      </w:r>
      <w:r w:rsidR="00501DEE" w:rsidRPr="007018B5">
        <w:rPr>
          <w:szCs w:val="24"/>
          <w:lang w:val="en-US"/>
        </w:rPr>
        <w:fldChar w:fldCharType="end"/>
      </w:r>
      <w:r w:rsidR="00A741B2" w:rsidRPr="007018B5">
        <w:rPr>
          <w:szCs w:val="24"/>
          <w:lang w:val="en-US"/>
        </w:rPr>
        <w:t>.</w:t>
      </w:r>
      <w:r w:rsidRPr="007018B5">
        <w:rPr>
          <w:szCs w:val="24"/>
          <w:lang w:val="en-US"/>
        </w:rPr>
        <w:t xml:space="preserve"> </w:t>
      </w:r>
      <w:r w:rsidR="001768DD" w:rsidRPr="007018B5">
        <w:rPr>
          <w:szCs w:val="24"/>
          <w:lang w:val="en-US"/>
        </w:rPr>
        <w:t xml:space="preserve">Preferential medical management in CD-related </w:t>
      </w:r>
      <w:r w:rsidR="00C07611" w:rsidRPr="007018B5">
        <w:rPr>
          <w:szCs w:val="24"/>
          <w:lang w:val="en-US"/>
        </w:rPr>
        <w:t xml:space="preserve">perianal </w:t>
      </w:r>
      <w:r w:rsidR="001768DD" w:rsidRPr="007018B5">
        <w:rPr>
          <w:szCs w:val="24"/>
          <w:lang w:val="en-US"/>
        </w:rPr>
        <w:t xml:space="preserve">fistulae could also have introduced selection bias, and referral patterns could have skewed the types of fistulae </w:t>
      </w:r>
      <w:r w:rsidR="009178C9" w:rsidRPr="007018B5">
        <w:rPr>
          <w:szCs w:val="24"/>
          <w:lang w:val="en-US"/>
        </w:rPr>
        <w:t>included</w:t>
      </w:r>
      <w:r w:rsidR="001768DD" w:rsidRPr="007018B5">
        <w:rPr>
          <w:szCs w:val="24"/>
          <w:lang w:val="en-US"/>
        </w:rPr>
        <w:t xml:space="preserve"> to the more severe</w:t>
      </w:r>
      <w:r w:rsidR="00C151BF" w:rsidRPr="007018B5">
        <w:rPr>
          <w:szCs w:val="24"/>
          <w:lang w:val="en-US"/>
        </w:rPr>
        <w:t xml:space="preserve"> (especially in relation to the idiopathic group where many were tertiary referrals)</w:t>
      </w:r>
      <w:r w:rsidR="001768DD" w:rsidRPr="007018B5">
        <w:rPr>
          <w:szCs w:val="24"/>
          <w:lang w:val="en-US"/>
        </w:rPr>
        <w:t xml:space="preserve">. </w:t>
      </w:r>
    </w:p>
    <w:p w14:paraId="2B8FE705" w14:textId="73A85DCE" w:rsidR="004F26FE" w:rsidRPr="007018B5" w:rsidRDefault="009B6478" w:rsidP="00755858">
      <w:pPr>
        <w:adjustRightInd w:val="0"/>
        <w:snapToGrid w:val="0"/>
        <w:spacing w:before="0" w:after="0"/>
        <w:ind w:firstLineChars="100" w:firstLine="240"/>
        <w:jc w:val="both"/>
        <w:rPr>
          <w:szCs w:val="24"/>
          <w:lang w:val="en-US"/>
        </w:rPr>
      </w:pPr>
      <w:r w:rsidRPr="007018B5">
        <w:rPr>
          <w:szCs w:val="24"/>
          <w:lang w:val="en-US"/>
        </w:rPr>
        <w:t xml:space="preserve">Techniques and assays were taken from similar experiments </w:t>
      </w:r>
      <w:r w:rsidR="001C57C3" w:rsidRPr="007018B5">
        <w:rPr>
          <w:szCs w:val="24"/>
          <w:lang w:val="en-US"/>
        </w:rPr>
        <w:t xml:space="preserve">on intestinal mucosa </w:t>
      </w:r>
      <w:r w:rsidRPr="007018B5">
        <w:rPr>
          <w:szCs w:val="24"/>
          <w:lang w:val="en-US"/>
        </w:rPr>
        <w:t>published by our group</w:t>
      </w:r>
      <w:r w:rsidRPr="007018B5">
        <w:rPr>
          <w:szCs w:val="24"/>
          <w:lang w:val="en-US"/>
        </w:rPr>
        <w:fldChar w:fldCharType="begin"/>
      </w:r>
      <w:r w:rsidR="003D51A1" w:rsidRPr="007018B5">
        <w:rPr>
          <w:szCs w:val="24"/>
          <w:lang w:val="en-US"/>
        </w:rPr>
        <w:instrText xml:space="preserve"> ADDIN ZOTERO_ITEM CSL_CITATION {"citationID":"U9EPJMu2","properties":{"formattedCitation":"\\super [17]\\nosupersub{}","plainCitation":"[17]","noteIndex":0},"citationItems":[{"id":685,"uris":["http://zotero.org/users/851773/items/DEE5JXIX"],"uri":["http://zotero.org/users/851773/items/DEE5JXIX"],"itemData":{"id":685,"type":"article-journal","title":"A CD3-Specific Antibody Reduces Cytokine Production and Alters Phosphoprotein Profiles in Intestinal Tissues From Patients With Inflammatory Bowel Disease","container-title":"Gastroenterology","page":"172-183","volume":"147","issue":"1","source":"ScienceDirect","abstract":"Background &amp;amp; Aims\nT cells mediate the development of inflammation in inflammatory bowel disease (IBD). We investigated the effects of an antibody against CD3 called otelixizumab, which induces immune tolerance, in intestinal mucosa samples from patients.\nMethods\nIntestinal tissues were isolated from patients undergoing routine endoscopy or from patients undergoing intestinal surgery for colon cancer or IBD; healthy surrounding tissues were collected as controls. Isolated lamina propria mononuclear cells (LPMCs) and mucosal tissue explants were incubated with otelixizumab for 24 or 48 hours. Production of inflammatory cytokines was determined by enzyme-linked immunosorbent assay. Levels of 36 cytokines and chemokines and phosphorylation of 39 receptor tyrosine kinases and signaling molecules were measured using protein arrays. Immunoblot analysis was used to analyze T-cell transcription factors.\nResults\nIncubation of intestinal tissues or LPMCs with otelixizumab reduced production of interferon gamma, interleukin (IL)-17A, and other inflammatory cytokines and chemokines, simultaneously increasing production of IL-10. Mucosal biopsy specimens from patients with IBD retained inflammation-associated tyrosine phosphoprotein profiles ex vivo. Incubation of the inflamed tissue with otelixizumab reduced phosphorylation of these proteins to levels observed in control tissues. Otelixizumab also markedly reduced phosphorylation of proteins associated with T-cell receptor activation. Neutralization of IL-10 blocked the anti-inflammatory effects of otelixizumab.\nConclusions\nWe observed anti-inflammatory effects of anti-CD3 in inflamed intestinal tissues from patients with IBD. The antibody appears to down-regulate T-cell activation via IL-10.","DOI":"10.1053/j.gastro.2014.03.049","ISSN":"0016-5085","note":"PMID: 24704524","journalAbbreviation":"Gastroenterology","author":[{"family":"Vossenkämper","given":"Anna"},{"family":"Hundsrucker","given":"Christian"},{"family":"Page","given":"Kevin"},{"family":"Maurik","given":"André","non-dropping-particle":"van"},{"family":"Sanders","given":"Theodore J."},{"family":"Stagg","given":"Andrew J."},{"family":"Das","given":"Lisa"},{"family":"MacDonald","given":"Thomas T."}],"issued":{"date-parts":[["2014",7]]}}}],"schema":"https://github.com/citation-style-language/schema/raw/master/csl-citation.json"} </w:instrText>
      </w:r>
      <w:r w:rsidRPr="007018B5">
        <w:rPr>
          <w:szCs w:val="24"/>
          <w:lang w:val="en-US"/>
        </w:rPr>
        <w:fldChar w:fldCharType="separate"/>
      </w:r>
      <w:r w:rsidR="003D51A1" w:rsidRPr="007018B5">
        <w:rPr>
          <w:szCs w:val="24"/>
          <w:vertAlign w:val="superscript"/>
          <w:lang w:val="en-US"/>
        </w:rPr>
        <w:t>[17]</w:t>
      </w:r>
      <w:r w:rsidRPr="007018B5">
        <w:rPr>
          <w:szCs w:val="24"/>
          <w:lang w:val="en-US"/>
        </w:rPr>
        <w:fldChar w:fldCharType="end"/>
      </w:r>
      <w:r w:rsidR="00A741B2" w:rsidRPr="007018B5">
        <w:rPr>
          <w:szCs w:val="24"/>
          <w:lang w:val="en-US"/>
        </w:rPr>
        <w:t>.</w:t>
      </w:r>
      <w:r w:rsidRPr="007018B5">
        <w:rPr>
          <w:szCs w:val="24"/>
          <w:lang w:val="en-US"/>
        </w:rPr>
        <w:t xml:space="preserve"> </w:t>
      </w:r>
      <w:r w:rsidR="004258E8" w:rsidRPr="007018B5">
        <w:rPr>
          <w:szCs w:val="24"/>
          <w:lang w:val="en-US"/>
        </w:rPr>
        <w:t xml:space="preserve">The assays have not previously been used on fistula tract and granulation tissue, however their performance </w:t>
      </w:r>
      <w:r w:rsidR="009D258B" w:rsidRPr="007018B5">
        <w:rPr>
          <w:szCs w:val="24"/>
          <w:lang w:val="en-US"/>
        </w:rPr>
        <w:t>was</w:t>
      </w:r>
      <w:r w:rsidR="004258E8" w:rsidRPr="007018B5">
        <w:rPr>
          <w:szCs w:val="24"/>
          <w:lang w:val="en-US"/>
        </w:rPr>
        <w:t xml:space="preserve"> likely to be similar as the cellular compositions of these tissues are similar. </w:t>
      </w:r>
    </w:p>
    <w:p w14:paraId="07BBFD77" w14:textId="70BA6F89" w:rsidR="00645F81" w:rsidRDefault="00DB0327" w:rsidP="00755858">
      <w:pPr>
        <w:adjustRightInd w:val="0"/>
        <w:snapToGrid w:val="0"/>
        <w:spacing w:before="0" w:after="0"/>
        <w:ind w:firstLineChars="100" w:firstLine="240"/>
        <w:jc w:val="both"/>
        <w:rPr>
          <w:szCs w:val="24"/>
          <w:lang w:val="en-US"/>
        </w:rPr>
      </w:pPr>
      <w:r w:rsidRPr="007018B5">
        <w:rPr>
          <w:szCs w:val="24"/>
          <w:lang w:val="en-US"/>
        </w:rPr>
        <w:t xml:space="preserve">The majority of the </w:t>
      </w:r>
      <w:r w:rsidR="0069097F" w:rsidRPr="007018B5">
        <w:rPr>
          <w:szCs w:val="24"/>
          <w:lang w:val="en-US"/>
        </w:rPr>
        <w:t>CD</w:t>
      </w:r>
      <w:r w:rsidRPr="007018B5">
        <w:rPr>
          <w:szCs w:val="24"/>
          <w:lang w:val="en-US"/>
        </w:rPr>
        <w:t xml:space="preserve"> group were recei</w:t>
      </w:r>
      <w:r w:rsidR="00704D1E" w:rsidRPr="007018B5">
        <w:rPr>
          <w:szCs w:val="24"/>
          <w:lang w:val="en-US"/>
        </w:rPr>
        <w:t>ving immunomodulatory therapy, and h</w:t>
      </w:r>
      <w:r w:rsidRPr="007018B5">
        <w:rPr>
          <w:szCs w:val="24"/>
          <w:lang w:val="en-US"/>
        </w:rPr>
        <w:t xml:space="preserve">alf </w:t>
      </w:r>
      <w:r w:rsidR="000A2D53" w:rsidRPr="007018B5">
        <w:rPr>
          <w:szCs w:val="24"/>
          <w:lang w:val="en-US"/>
        </w:rPr>
        <w:t>had received anti-TNF-</w:t>
      </w:r>
      <w:r w:rsidR="00431E4D" w:rsidRPr="007018B5">
        <w:rPr>
          <w:szCs w:val="24"/>
          <w:lang w:val="en-US"/>
        </w:rPr>
        <w:sym w:font="Symbol" w:char="F061"/>
      </w:r>
      <w:r w:rsidR="00431E4D" w:rsidRPr="007018B5">
        <w:rPr>
          <w:szCs w:val="24"/>
          <w:lang w:val="en-US"/>
        </w:rPr>
        <w:t xml:space="preserve">. This may have attenuated </w:t>
      </w:r>
      <w:r w:rsidR="00704D1E" w:rsidRPr="007018B5">
        <w:rPr>
          <w:szCs w:val="24"/>
          <w:lang w:val="en-US"/>
        </w:rPr>
        <w:t xml:space="preserve">differences between </w:t>
      </w:r>
      <w:r w:rsidR="00431E4D" w:rsidRPr="007018B5">
        <w:rPr>
          <w:szCs w:val="24"/>
          <w:lang w:val="en-US"/>
        </w:rPr>
        <w:t>the group</w:t>
      </w:r>
      <w:r w:rsidR="00704D1E" w:rsidRPr="007018B5">
        <w:rPr>
          <w:szCs w:val="24"/>
          <w:lang w:val="en-US"/>
        </w:rPr>
        <w:t>s</w:t>
      </w:r>
      <w:r w:rsidR="00431E4D" w:rsidRPr="007018B5">
        <w:rPr>
          <w:szCs w:val="24"/>
          <w:lang w:val="en-US"/>
        </w:rPr>
        <w:t>.</w:t>
      </w:r>
      <w:r w:rsidR="00B44DC5" w:rsidRPr="007018B5">
        <w:rPr>
          <w:szCs w:val="24"/>
          <w:lang w:val="en-US"/>
        </w:rPr>
        <w:t xml:space="preserve"> However, the effect of anti-TNF-</w:t>
      </w:r>
      <w:r w:rsidR="00B44DC5" w:rsidRPr="007018B5">
        <w:rPr>
          <w:szCs w:val="24"/>
          <w:lang w:val="en-US"/>
        </w:rPr>
        <w:sym w:font="Symbol" w:char="F061"/>
      </w:r>
      <w:r w:rsidR="00B44DC5" w:rsidRPr="007018B5">
        <w:rPr>
          <w:szCs w:val="24"/>
          <w:lang w:val="en-US"/>
        </w:rPr>
        <w:t xml:space="preserve"> therapy at the molecular level is unknown. </w:t>
      </w:r>
      <w:r w:rsidR="00F8399E" w:rsidRPr="007018B5">
        <w:rPr>
          <w:szCs w:val="24"/>
          <w:lang w:val="en-US"/>
        </w:rPr>
        <w:t xml:space="preserve">One study found that </w:t>
      </w:r>
      <w:r w:rsidR="007C4897" w:rsidRPr="007018B5">
        <w:rPr>
          <w:szCs w:val="24"/>
          <w:lang w:val="en-US"/>
        </w:rPr>
        <w:t>mucosal TNF-</w:t>
      </w:r>
      <w:r w:rsidR="007C4897" w:rsidRPr="007018B5">
        <w:rPr>
          <w:szCs w:val="24"/>
          <w:lang w:val="en-US"/>
        </w:rPr>
        <w:sym w:font="Symbol" w:char="F061"/>
      </w:r>
      <w:r w:rsidR="007C4897" w:rsidRPr="007018B5">
        <w:rPr>
          <w:szCs w:val="24"/>
          <w:lang w:val="en-US"/>
        </w:rPr>
        <w:t xml:space="preserve"> concentrations are unaltered by anti-TNF-</w:t>
      </w:r>
      <w:r w:rsidR="007C4897" w:rsidRPr="007018B5">
        <w:rPr>
          <w:szCs w:val="24"/>
          <w:lang w:val="en-US"/>
        </w:rPr>
        <w:sym w:font="Symbol" w:char="F061"/>
      </w:r>
      <w:r w:rsidR="007C4897" w:rsidRPr="007018B5">
        <w:rPr>
          <w:szCs w:val="24"/>
          <w:lang w:val="en-US"/>
        </w:rPr>
        <w:t xml:space="preserve"> therapy</w:t>
      </w:r>
      <w:r w:rsidR="00291F7E" w:rsidRPr="007018B5">
        <w:rPr>
          <w:szCs w:val="24"/>
          <w:lang w:val="en-US"/>
        </w:rPr>
        <w:fldChar w:fldCharType="begin"/>
      </w:r>
      <w:r w:rsidR="003D51A1" w:rsidRPr="007018B5">
        <w:rPr>
          <w:szCs w:val="24"/>
          <w:lang w:val="en-US"/>
        </w:rPr>
        <w:instrText xml:space="preserve"> ADDIN ZOTERO_ITEM CSL_CITATION {"citationID":"a2ja2doeemq","properties":{"formattedCitation":"\\super [19]\\nosupersub{}","plainCitation":"[19]","noteIndex":0},"citationItems":[{"id":281,"uris":["http://zotero.org/users/851773/items/N2BWP7GH"],"uri":["http://zotero.org/users/851773/items/N2BWP7GH"],"itemData":{"id":281,"type":"article-journal","title":"Cytokine network in rectal mucosa in perianal Crohn's disease: relations with inflammatory parameters and need for surgery","container-title":"Inflammatory bowel diseases","page":"1406-1412","volume":"14","issue":"10","source":"NCBI PubMed","abstract":"BACKGROUND: Nowadays anti-TNF-alpha antibodies are used for the treatment of perianal Crohn's disease (CD). Nevertheless, this treatment is effective in only a part of these patients and recent studies suggested a role for other cytokines in chronic bowel inflammation. The aim of this study was to assess the cytokine profile in the rectal mucosa of patients affected by perianal CD and to understand its relations with the systemic cytokine profile and inflammatory parameters and the need for surgery.\nMETHODS: Seventeen patients affected by perianal CD, 7 affected by CD without perianal involvement, and 17 healthy controls were enrolled and underwent blood sampling and endoscopy. During endoscopy rectal mucosal samples were taken and the expression of TNF-alpha, IL-6, IL-1 beta, IL-12, and TGF-beta1 was quantified with enzyme-linked immunosorbent assay (ELISA). Local cytokine levels were compared and correlated with diagnosis, therapy, phenotype (fistulizing and stenosing), and disease activity parameters.\nRESULTS: In the group with perianal CD, rectal mucosal IL-1 beta, IL-6, and serum IL-6 and TNF-alpha were higher than in patients with small bowel CD and healthy controls. IL-12 and TGF-beta1 mucosal levels did not show any differences among the 3 groups. Mucosal IL-6 significantly correlated with the Perianal Crohn's Disease Activity Index and mucosal TNF-alpha and IL-1 beta. Mucosal TNF-alpha and IL-1 beta showed a direct correlation with the histological grade of disease activity.\nCONCLUSIONS: The cytokines network analysis in perianal CD shows the important involvement of IL-1 beta, IL-6, and TNF-alpha. Furthermore, mucosal levels of IL-6 and IL-12 are predictors of recurrence and of need for surgery in perianal CD patients.","DOI":"10.1002/ibd.20486","ISSN":"1536-4844","note":"PMID: 18452203","title-short":"Cytokine network in rectal mucosa in perianal Crohn's disease","journalAbbreviation":"Inflamm. Bowel Dis.","language":"eng","author":[{"family":"Ruffolo","given":"Cesare"},{"family":"Scarpa","given":"Marco"},{"family":"Faggian","given":"Diego"},{"family":"Pozza","given":"Anna"},{"family":"Navaglia","given":"Filippo"},{"family":"D'Incà","given":"Renata"},{"family":"Hoxha","given":"Pranvera"},{"family":"Romanato","given":"Giovanna"},{"family":"Polese","given":"Lino"},{"family":"Sturniolo","given":"Giacomo Carlo"},{"family":"Plebani","given":"Mario"},{"family":"D'Amico","given":"Davide Francesco"},{"family":"Angriman","given":"Imerio"}],"issued":{"date-parts":[["2008",10]]}}}],"schema":"https://github.com/citation-style-language/schema/raw/master/csl-citation.json"} </w:instrText>
      </w:r>
      <w:r w:rsidR="00291F7E" w:rsidRPr="007018B5">
        <w:rPr>
          <w:szCs w:val="24"/>
          <w:lang w:val="en-US"/>
        </w:rPr>
        <w:fldChar w:fldCharType="separate"/>
      </w:r>
      <w:r w:rsidR="003D51A1" w:rsidRPr="007018B5">
        <w:rPr>
          <w:szCs w:val="24"/>
          <w:vertAlign w:val="superscript"/>
          <w:lang w:val="en-US"/>
        </w:rPr>
        <w:t>[19]</w:t>
      </w:r>
      <w:r w:rsidR="00291F7E" w:rsidRPr="007018B5">
        <w:rPr>
          <w:szCs w:val="24"/>
          <w:lang w:val="en-US"/>
        </w:rPr>
        <w:fldChar w:fldCharType="end"/>
      </w:r>
      <w:r w:rsidR="00A741B2" w:rsidRPr="007018B5">
        <w:rPr>
          <w:szCs w:val="24"/>
          <w:lang w:val="en-US"/>
        </w:rPr>
        <w:t>.</w:t>
      </w:r>
      <w:r w:rsidR="007C4897" w:rsidRPr="007018B5">
        <w:rPr>
          <w:szCs w:val="24"/>
          <w:lang w:val="en-US"/>
        </w:rPr>
        <w:t xml:space="preserve"> </w:t>
      </w:r>
      <w:r w:rsidR="009D258B" w:rsidRPr="007018B5">
        <w:rPr>
          <w:szCs w:val="24"/>
          <w:lang w:val="en-US"/>
        </w:rPr>
        <w:t>Including</w:t>
      </w:r>
      <w:r w:rsidR="007C4897" w:rsidRPr="007018B5">
        <w:rPr>
          <w:szCs w:val="24"/>
          <w:lang w:val="en-US"/>
        </w:rPr>
        <w:t xml:space="preserve"> only treatment-naïve patients would have </w:t>
      </w:r>
      <w:r w:rsidR="00850DEB" w:rsidRPr="007018B5">
        <w:rPr>
          <w:szCs w:val="24"/>
          <w:lang w:val="en-US"/>
        </w:rPr>
        <w:t>mitigated this</w:t>
      </w:r>
      <w:r w:rsidR="007C4897" w:rsidRPr="007018B5">
        <w:rPr>
          <w:szCs w:val="24"/>
          <w:lang w:val="en-US"/>
        </w:rPr>
        <w:t>, but recruit</w:t>
      </w:r>
      <w:r w:rsidR="00850DEB" w:rsidRPr="007018B5">
        <w:rPr>
          <w:szCs w:val="24"/>
          <w:lang w:val="en-US"/>
        </w:rPr>
        <w:t xml:space="preserve">ment would have </w:t>
      </w:r>
      <w:r w:rsidR="009D258B" w:rsidRPr="007018B5">
        <w:rPr>
          <w:szCs w:val="24"/>
          <w:lang w:val="en-US"/>
        </w:rPr>
        <w:t xml:space="preserve">been difficult </w:t>
      </w:r>
      <w:r w:rsidR="00860CC3" w:rsidRPr="007018B5">
        <w:rPr>
          <w:szCs w:val="24"/>
          <w:lang w:val="en-US"/>
        </w:rPr>
        <w:t>in</w:t>
      </w:r>
      <w:r w:rsidR="007C4897" w:rsidRPr="007018B5">
        <w:rPr>
          <w:szCs w:val="24"/>
          <w:lang w:val="en-US"/>
        </w:rPr>
        <w:t xml:space="preserve">to given that </w:t>
      </w:r>
      <w:r w:rsidR="00850DEB" w:rsidRPr="007018B5">
        <w:rPr>
          <w:szCs w:val="24"/>
          <w:lang w:val="en-US"/>
        </w:rPr>
        <w:t>most</w:t>
      </w:r>
      <w:r w:rsidR="007C4897" w:rsidRPr="007018B5">
        <w:rPr>
          <w:szCs w:val="24"/>
          <w:lang w:val="en-US"/>
        </w:rPr>
        <w:t xml:space="preserve"> are </w:t>
      </w:r>
      <w:r w:rsidR="00850DEB" w:rsidRPr="007018B5">
        <w:rPr>
          <w:szCs w:val="24"/>
          <w:lang w:val="en-US"/>
        </w:rPr>
        <w:t xml:space="preserve">primarily </w:t>
      </w:r>
      <w:r w:rsidR="007C4897" w:rsidRPr="007018B5">
        <w:rPr>
          <w:szCs w:val="24"/>
          <w:lang w:val="en-US"/>
        </w:rPr>
        <w:t>managed medically.</w:t>
      </w:r>
    </w:p>
    <w:p w14:paraId="3B55C013" w14:textId="77777777" w:rsidR="00327EC7" w:rsidRPr="007018B5" w:rsidRDefault="00327EC7" w:rsidP="007E3B89">
      <w:pPr>
        <w:adjustRightInd w:val="0"/>
        <w:snapToGrid w:val="0"/>
        <w:spacing w:before="0" w:after="0"/>
        <w:jc w:val="both"/>
        <w:rPr>
          <w:caps/>
          <w:szCs w:val="24"/>
          <w:lang w:val="en-US"/>
        </w:rPr>
      </w:pPr>
    </w:p>
    <w:p w14:paraId="7F3FAD83" w14:textId="68CB3A0B" w:rsidR="000C5EC4" w:rsidRPr="007018B5" w:rsidRDefault="004F26FE" w:rsidP="007E3B89">
      <w:pPr>
        <w:pStyle w:val="Heading2"/>
        <w:adjustRightInd w:val="0"/>
        <w:snapToGrid w:val="0"/>
        <w:spacing w:before="0" w:after="0"/>
        <w:jc w:val="both"/>
        <w:rPr>
          <w:szCs w:val="24"/>
          <w:lang w:val="en-US"/>
        </w:rPr>
      </w:pPr>
      <w:r w:rsidRPr="007018B5">
        <w:rPr>
          <w:szCs w:val="24"/>
          <w:lang w:val="en-US"/>
        </w:rPr>
        <w:t>Conclusion</w:t>
      </w:r>
    </w:p>
    <w:p w14:paraId="466775A9" w14:textId="31D44D47" w:rsidR="00D9003D" w:rsidRDefault="00704D1E" w:rsidP="007E3B89">
      <w:pPr>
        <w:adjustRightInd w:val="0"/>
        <w:snapToGrid w:val="0"/>
        <w:spacing w:before="0" w:after="0"/>
        <w:jc w:val="both"/>
        <w:rPr>
          <w:szCs w:val="24"/>
          <w:lang w:val="en-US" w:eastAsia="en-GB"/>
        </w:rPr>
      </w:pPr>
      <w:r w:rsidRPr="007018B5">
        <w:rPr>
          <w:szCs w:val="24"/>
          <w:lang w:val="en-US" w:eastAsia="en-GB"/>
        </w:rPr>
        <w:t>CD-related</w:t>
      </w:r>
      <w:r w:rsidR="00AD58D3" w:rsidRPr="007018B5">
        <w:rPr>
          <w:szCs w:val="24"/>
          <w:lang w:val="en-US" w:eastAsia="en-GB"/>
        </w:rPr>
        <w:t xml:space="preserve"> perianal fistula</w:t>
      </w:r>
      <w:r w:rsidR="00BF580B" w:rsidRPr="007018B5">
        <w:rPr>
          <w:szCs w:val="24"/>
          <w:lang w:val="en-US" w:eastAsia="en-GB"/>
        </w:rPr>
        <w:t>e</w:t>
      </w:r>
      <w:r w:rsidR="00AD58D3" w:rsidRPr="007018B5">
        <w:rPr>
          <w:szCs w:val="24"/>
          <w:lang w:val="en-US" w:eastAsia="en-GB"/>
        </w:rPr>
        <w:t xml:space="preserve"> may </w:t>
      </w:r>
      <w:r w:rsidRPr="007018B5">
        <w:rPr>
          <w:szCs w:val="24"/>
          <w:lang w:val="en-US" w:eastAsia="en-GB"/>
        </w:rPr>
        <w:t>often be</w:t>
      </w:r>
      <w:r w:rsidR="00AD58D3" w:rsidRPr="007018B5">
        <w:rPr>
          <w:szCs w:val="24"/>
          <w:lang w:val="en-US" w:eastAsia="en-GB"/>
        </w:rPr>
        <w:t xml:space="preserve"> </w:t>
      </w:r>
      <w:r w:rsidR="00BF580B" w:rsidRPr="007018B5">
        <w:rPr>
          <w:szCs w:val="24"/>
          <w:lang w:val="en-US" w:eastAsia="en-GB"/>
        </w:rPr>
        <w:t xml:space="preserve">clinically </w:t>
      </w:r>
      <w:r w:rsidR="00AD58D3" w:rsidRPr="007018B5">
        <w:rPr>
          <w:szCs w:val="24"/>
          <w:lang w:val="en-US" w:eastAsia="en-GB"/>
        </w:rPr>
        <w:t>more severe</w:t>
      </w:r>
      <w:r w:rsidR="00DC6A3C" w:rsidRPr="007018B5">
        <w:rPr>
          <w:szCs w:val="24"/>
          <w:lang w:val="en-US" w:eastAsia="en-GB"/>
        </w:rPr>
        <w:t xml:space="preserve"> and complex</w:t>
      </w:r>
      <w:r w:rsidR="00BF580B" w:rsidRPr="007018B5">
        <w:rPr>
          <w:szCs w:val="24"/>
          <w:lang w:val="en-US" w:eastAsia="en-GB"/>
        </w:rPr>
        <w:t>. However</w:t>
      </w:r>
      <w:r w:rsidR="00AD58D3" w:rsidRPr="007018B5">
        <w:rPr>
          <w:szCs w:val="24"/>
          <w:lang w:val="en-US" w:eastAsia="en-GB"/>
        </w:rPr>
        <w:t xml:space="preserve">, </w:t>
      </w:r>
      <w:r w:rsidR="00BF580B" w:rsidRPr="007018B5">
        <w:rPr>
          <w:szCs w:val="24"/>
          <w:lang w:val="en-US" w:eastAsia="en-GB"/>
        </w:rPr>
        <w:t xml:space="preserve">they do not </w:t>
      </w:r>
      <w:r w:rsidR="006B2E3E" w:rsidRPr="007018B5">
        <w:rPr>
          <w:szCs w:val="24"/>
          <w:lang w:val="en-US" w:eastAsia="en-GB"/>
        </w:rPr>
        <w:t>substantially</w:t>
      </w:r>
      <w:r w:rsidR="00BF580B" w:rsidRPr="007018B5">
        <w:rPr>
          <w:szCs w:val="24"/>
          <w:lang w:val="en-US" w:eastAsia="en-GB"/>
        </w:rPr>
        <w:t xml:space="preserve"> differ in their expression</w:t>
      </w:r>
      <w:r w:rsidR="00AD58D3" w:rsidRPr="007018B5">
        <w:rPr>
          <w:szCs w:val="24"/>
          <w:lang w:val="en-US" w:eastAsia="en-GB"/>
        </w:rPr>
        <w:t xml:space="preserve"> </w:t>
      </w:r>
      <w:r w:rsidR="00797585" w:rsidRPr="007018B5">
        <w:rPr>
          <w:szCs w:val="24"/>
          <w:lang w:val="en-US" w:eastAsia="en-GB"/>
        </w:rPr>
        <w:t xml:space="preserve">of </w:t>
      </w:r>
      <w:r w:rsidR="00BF580B" w:rsidRPr="007018B5">
        <w:rPr>
          <w:szCs w:val="24"/>
          <w:lang w:val="en-US" w:eastAsia="en-GB"/>
        </w:rPr>
        <w:t xml:space="preserve">a large panel of </w:t>
      </w:r>
      <w:r w:rsidR="00AD58D3" w:rsidRPr="007018B5">
        <w:rPr>
          <w:szCs w:val="24"/>
          <w:lang w:val="en-US" w:eastAsia="en-GB"/>
        </w:rPr>
        <w:t>cytokine</w:t>
      </w:r>
      <w:r w:rsidR="00BF580B" w:rsidRPr="007018B5">
        <w:rPr>
          <w:szCs w:val="24"/>
          <w:lang w:val="en-US" w:eastAsia="en-GB"/>
        </w:rPr>
        <w:t>s</w:t>
      </w:r>
      <w:r w:rsidR="00AD58D3" w:rsidRPr="007018B5">
        <w:rPr>
          <w:szCs w:val="24"/>
          <w:lang w:val="en-US" w:eastAsia="en-GB"/>
        </w:rPr>
        <w:t xml:space="preserve"> </w:t>
      </w:r>
      <w:r w:rsidR="006413C3" w:rsidRPr="007018B5">
        <w:rPr>
          <w:szCs w:val="24"/>
          <w:lang w:val="en-US" w:eastAsia="en-GB"/>
        </w:rPr>
        <w:t>and phosphoprotein</w:t>
      </w:r>
      <w:r w:rsidR="008A7374" w:rsidRPr="007018B5">
        <w:rPr>
          <w:szCs w:val="24"/>
          <w:lang w:val="en-US" w:eastAsia="en-GB"/>
        </w:rPr>
        <w:t>s</w:t>
      </w:r>
      <w:r w:rsidR="00AD58D3" w:rsidRPr="007018B5">
        <w:rPr>
          <w:szCs w:val="24"/>
          <w:lang w:val="en-US" w:eastAsia="en-GB"/>
        </w:rPr>
        <w:t xml:space="preserve"> (</w:t>
      </w:r>
      <w:r w:rsidR="00576490" w:rsidRPr="007018B5">
        <w:rPr>
          <w:szCs w:val="24"/>
          <w:lang w:val="en-US" w:eastAsia="en-GB"/>
        </w:rPr>
        <w:fldChar w:fldCharType="begin"/>
      </w:r>
      <w:r w:rsidR="00576490" w:rsidRPr="007018B5">
        <w:rPr>
          <w:szCs w:val="24"/>
          <w:lang w:val="en-US" w:eastAsia="en-GB"/>
        </w:rPr>
        <w:instrText xml:space="preserve"> REF _Ref352358297 \h </w:instrText>
      </w:r>
      <w:r w:rsidR="007018B5" w:rsidRPr="007018B5">
        <w:rPr>
          <w:szCs w:val="24"/>
          <w:lang w:val="en-US" w:eastAsia="en-GB"/>
        </w:rPr>
        <w:instrText xml:space="preserve"> \* MERGEFORMAT </w:instrText>
      </w:r>
      <w:r w:rsidR="00576490" w:rsidRPr="007018B5">
        <w:rPr>
          <w:szCs w:val="24"/>
          <w:lang w:val="en-US" w:eastAsia="en-GB"/>
        </w:rPr>
      </w:r>
      <w:r w:rsidR="00576490" w:rsidRPr="007018B5">
        <w:rPr>
          <w:szCs w:val="24"/>
          <w:lang w:val="en-US" w:eastAsia="en-GB"/>
        </w:rPr>
        <w:fldChar w:fldCharType="separate"/>
      </w:r>
      <w:r w:rsidR="00FB6502" w:rsidRPr="007018B5">
        <w:rPr>
          <w:szCs w:val="24"/>
          <w:lang w:val="en-US"/>
        </w:rPr>
        <w:t>Table 2</w:t>
      </w:r>
      <w:r w:rsidR="00576490" w:rsidRPr="007018B5">
        <w:rPr>
          <w:szCs w:val="24"/>
          <w:lang w:val="en-US" w:eastAsia="en-GB"/>
        </w:rPr>
        <w:fldChar w:fldCharType="end"/>
      </w:r>
      <w:r w:rsidR="00AD58D3" w:rsidRPr="007018B5">
        <w:rPr>
          <w:szCs w:val="24"/>
          <w:lang w:val="en-US" w:eastAsia="en-GB"/>
        </w:rPr>
        <w:t xml:space="preserve">). </w:t>
      </w:r>
    </w:p>
    <w:p w14:paraId="66EFD0A1" w14:textId="77777777" w:rsidR="00327EC7" w:rsidRPr="007018B5" w:rsidRDefault="00327EC7" w:rsidP="007E3B89">
      <w:pPr>
        <w:adjustRightInd w:val="0"/>
        <w:snapToGrid w:val="0"/>
        <w:spacing w:before="0" w:after="0"/>
        <w:jc w:val="both"/>
        <w:rPr>
          <w:szCs w:val="24"/>
          <w:lang w:val="en-US" w:eastAsia="en-GB"/>
        </w:rPr>
      </w:pPr>
    </w:p>
    <w:p w14:paraId="17A2756F" w14:textId="04983D84" w:rsidR="00D9003D" w:rsidRPr="007018B5" w:rsidRDefault="00D9003D" w:rsidP="007E3B89">
      <w:pPr>
        <w:pStyle w:val="Heading2"/>
        <w:adjustRightInd w:val="0"/>
        <w:snapToGrid w:val="0"/>
        <w:spacing w:before="0" w:after="0"/>
        <w:jc w:val="both"/>
        <w:rPr>
          <w:szCs w:val="24"/>
          <w:lang w:val="en-US" w:eastAsia="en-GB"/>
        </w:rPr>
      </w:pPr>
      <w:r w:rsidRPr="007018B5">
        <w:rPr>
          <w:szCs w:val="24"/>
          <w:lang w:val="en-US" w:eastAsia="en-GB"/>
        </w:rPr>
        <w:t>Implicat</w:t>
      </w:r>
      <w:r w:rsidR="00327EC7" w:rsidRPr="007018B5">
        <w:rPr>
          <w:szCs w:val="24"/>
          <w:lang w:val="en-US" w:eastAsia="en-GB"/>
        </w:rPr>
        <w:t>ions for future research</w:t>
      </w:r>
    </w:p>
    <w:p w14:paraId="28CA62D4" w14:textId="5F7CB61C" w:rsidR="002E2C67" w:rsidRDefault="00243FE8" w:rsidP="007E3B89">
      <w:pPr>
        <w:adjustRightInd w:val="0"/>
        <w:snapToGrid w:val="0"/>
        <w:spacing w:before="0" w:after="0"/>
        <w:jc w:val="both"/>
        <w:rPr>
          <w:szCs w:val="24"/>
          <w:lang w:val="en-US"/>
        </w:rPr>
      </w:pPr>
      <w:r w:rsidRPr="007018B5">
        <w:rPr>
          <w:szCs w:val="24"/>
          <w:lang w:val="en-US" w:eastAsia="en-GB"/>
        </w:rPr>
        <w:t xml:space="preserve">Despite the acknowledged limitations </w:t>
      </w:r>
      <w:r w:rsidR="00C151BF" w:rsidRPr="007018B5">
        <w:rPr>
          <w:szCs w:val="24"/>
          <w:lang w:val="en-US" w:eastAsia="en-GB"/>
        </w:rPr>
        <w:t xml:space="preserve">(particularly </w:t>
      </w:r>
      <w:r w:rsidR="00850DEB" w:rsidRPr="007018B5">
        <w:rPr>
          <w:szCs w:val="24"/>
          <w:lang w:val="en-US" w:eastAsia="en-GB"/>
        </w:rPr>
        <w:t>regarding</w:t>
      </w:r>
      <w:r w:rsidR="00C151BF" w:rsidRPr="007018B5">
        <w:rPr>
          <w:szCs w:val="24"/>
          <w:lang w:val="en-US" w:eastAsia="en-GB"/>
        </w:rPr>
        <w:t xml:space="preserve"> sample size</w:t>
      </w:r>
      <w:r w:rsidR="00797585" w:rsidRPr="007018B5">
        <w:rPr>
          <w:szCs w:val="24"/>
          <w:lang w:val="en-US" w:eastAsia="en-GB"/>
        </w:rPr>
        <w:t xml:space="preserve"> in the CD group</w:t>
      </w:r>
      <w:r w:rsidR="008A7374" w:rsidRPr="007018B5">
        <w:rPr>
          <w:szCs w:val="24"/>
          <w:lang w:val="en-US" w:eastAsia="en-GB"/>
        </w:rPr>
        <w:t xml:space="preserve"> and the fact that some CD patients were receiving immunomodulatory therapy</w:t>
      </w:r>
      <w:r w:rsidR="00C151BF" w:rsidRPr="007018B5">
        <w:rPr>
          <w:szCs w:val="24"/>
          <w:lang w:val="en-US" w:eastAsia="en-GB"/>
        </w:rPr>
        <w:t>)</w:t>
      </w:r>
      <w:r w:rsidRPr="007018B5">
        <w:rPr>
          <w:szCs w:val="24"/>
          <w:lang w:val="en-US" w:eastAsia="en-GB"/>
        </w:rPr>
        <w:t xml:space="preserve">, our data </w:t>
      </w:r>
      <w:r w:rsidR="00D9003D" w:rsidRPr="007018B5">
        <w:rPr>
          <w:szCs w:val="24"/>
          <w:lang w:val="en-US" w:eastAsia="en-GB"/>
        </w:rPr>
        <w:t xml:space="preserve">contributes to </w:t>
      </w:r>
      <w:r w:rsidR="006D24E0" w:rsidRPr="007018B5">
        <w:rPr>
          <w:szCs w:val="24"/>
          <w:lang w:val="en-US" w:eastAsia="en-GB"/>
        </w:rPr>
        <w:t xml:space="preserve">an emerging theory that </w:t>
      </w:r>
      <w:r w:rsidR="005423D8" w:rsidRPr="007018B5">
        <w:rPr>
          <w:szCs w:val="24"/>
          <w:lang w:val="en-US" w:eastAsia="en-GB"/>
        </w:rPr>
        <w:t xml:space="preserve">idiopathic and CD-related </w:t>
      </w:r>
      <w:r w:rsidR="00C07611" w:rsidRPr="007018B5">
        <w:rPr>
          <w:szCs w:val="24"/>
          <w:lang w:val="en-US" w:eastAsia="en-GB"/>
        </w:rPr>
        <w:t xml:space="preserve">perianal </w:t>
      </w:r>
      <w:r w:rsidR="005423D8" w:rsidRPr="007018B5">
        <w:rPr>
          <w:szCs w:val="24"/>
          <w:lang w:val="en-US" w:eastAsia="en-GB"/>
        </w:rPr>
        <w:t xml:space="preserve">fistulae </w:t>
      </w:r>
      <w:r w:rsidR="00D9003D" w:rsidRPr="007018B5">
        <w:rPr>
          <w:szCs w:val="24"/>
          <w:lang w:val="en-US" w:eastAsia="en-GB"/>
        </w:rPr>
        <w:t>may not be</w:t>
      </w:r>
      <w:r w:rsidR="006D24E0" w:rsidRPr="007018B5">
        <w:rPr>
          <w:szCs w:val="24"/>
          <w:lang w:val="en-US" w:eastAsia="en-GB"/>
        </w:rPr>
        <w:t xml:space="preserve"> </w:t>
      </w:r>
      <w:r w:rsidR="00C151BF" w:rsidRPr="007018B5">
        <w:rPr>
          <w:szCs w:val="24"/>
          <w:lang w:val="en-US" w:eastAsia="en-GB"/>
        </w:rPr>
        <w:t>as</w:t>
      </w:r>
      <w:r w:rsidR="005423D8" w:rsidRPr="007018B5">
        <w:rPr>
          <w:szCs w:val="24"/>
          <w:lang w:val="en-US" w:eastAsia="en-GB"/>
        </w:rPr>
        <w:t xml:space="preserve"> immunologically </w:t>
      </w:r>
      <w:r w:rsidR="00C151BF" w:rsidRPr="007018B5">
        <w:rPr>
          <w:szCs w:val="24"/>
          <w:lang w:val="en-US" w:eastAsia="en-GB"/>
        </w:rPr>
        <w:t>distinct</w:t>
      </w:r>
      <w:r w:rsidR="005423D8" w:rsidRPr="007018B5">
        <w:rPr>
          <w:szCs w:val="24"/>
          <w:lang w:val="en-US" w:eastAsia="en-GB"/>
        </w:rPr>
        <w:t xml:space="preserve"> </w:t>
      </w:r>
      <w:r w:rsidR="00C151BF" w:rsidRPr="007018B5">
        <w:rPr>
          <w:szCs w:val="24"/>
          <w:lang w:val="en-US" w:eastAsia="en-GB"/>
        </w:rPr>
        <w:t>as</w:t>
      </w:r>
      <w:r w:rsidR="005423D8" w:rsidRPr="007018B5">
        <w:rPr>
          <w:szCs w:val="24"/>
          <w:lang w:val="en-US" w:eastAsia="en-GB"/>
        </w:rPr>
        <w:t xml:space="preserve"> previously </w:t>
      </w:r>
      <w:r w:rsidR="00C151BF" w:rsidRPr="007018B5">
        <w:rPr>
          <w:szCs w:val="24"/>
          <w:lang w:val="en-US" w:eastAsia="en-GB"/>
        </w:rPr>
        <w:t xml:space="preserve">supposed. This line of reasoning </w:t>
      </w:r>
      <w:r w:rsidR="005423D8" w:rsidRPr="007018B5">
        <w:rPr>
          <w:szCs w:val="24"/>
          <w:lang w:val="en-US" w:eastAsia="en-GB"/>
        </w:rPr>
        <w:t xml:space="preserve">opens the possibility that </w:t>
      </w:r>
      <w:r w:rsidR="00AD58D3" w:rsidRPr="007018B5">
        <w:rPr>
          <w:szCs w:val="24"/>
          <w:lang w:val="en-US" w:eastAsia="en-GB"/>
        </w:rPr>
        <w:t xml:space="preserve">biological agents effective in </w:t>
      </w:r>
      <w:r w:rsidR="00704D1E" w:rsidRPr="007018B5">
        <w:rPr>
          <w:szCs w:val="24"/>
          <w:lang w:val="en-US" w:eastAsia="en-GB"/>
        </w:rPr>
        <w:t>CD-related</w:t>
      </w:r>
      <w:r w:rsidR="00AD58D3" w:rsidRPr="007018B5">
        <w:rPr>
          <w:szCs w:val="24"/>
          <w:lang w:val="en-US" w:eastAsia="en-GB"/>
        </w:rPr>
        <w:t xml:space="preserve"> </w:t>
      </w:r>
      <w:r w:rsidR="001146EB" w:rsidRPr="007018B5">
        <w:rPr>
          <w:szCs w:val="24"/>
          <w:lang w:val="en-US" w:eastAsia="en-GB"/>
        </w:rPr>
        <w:t xml:space="preserve">perianal </w:t>
      </w:r>
      <w:r w:rsidR="00AD58D3" w:rsidRPr="007018B5">
        <w:rPr>
          <w:szCs w:val="24"/>
          <w:lang w:val="en-US" w:eastAsia="en-GB"/>
        </w:rPr>
        <w:t xml:space="preserve">fistulae may also </w:t>
      </w:r>
      <w:r w:rsidR="008E2F77" w:rsidRPr="007018B5">
        <w:rPr>
          <w:szCs w:val="24"/>
          <w:lang w:val="en-US" w:eastAsia="en-GB"/>
        </w:rPr>
        <w:t>have a role</w:t>
      </w:r>
      <w:r w:rsidR="00AD58D3" w:rsidRPr="007018B5">
        <w:rPr>
          <w:szCs w:val="24"/>
          <w:lang w:val="en-US" w:eastAsia="en-GB"/>
        </w:rPr>
        <w:t xml:space="preserve"> in </w:t>
      </w:r>
      <w:r w:rsidR="00C151BF" w:rsidRPr="007018B5">
        <w:rPr>
          <w:szCs w:val="24"/>
          <w:lang w:val="en-US" w:eastAsia="en-GB"/>
        </w:rPr>
        <w:t xml:space="preserve">selected </w:t>
      </w:r>
      <w:r w:rsidR="00AD58D3" w:rsidRPr="007018B5">
        <w:rPr>
          <w:szCs w:val="24"/>
          <w:lang w:val="en-US" w:eastAsia="en-GB"/>
        </w:rPr>
        <w:t xml:space="preserve">idiopathic </w:t>
      </w:r>
      <w:r w:rsidR="001146EB" w:rsidRPr="007018B5">
        <w:rPr>
          <w:szCs w:val="24"/>
          <w:lang w:val="en-US" w:eastAsia="en-GB"/>
        </w:rPr>
        <w:t>perianal</w:t>
      </w:r>
      <w:r w:rsidR="001146EB" w:rsidRPr="007018B5">
        <w:rPr>
          <w:szCs w:val="24"/>
          <w:lang w:val="en-US"/>
        </w:rPr>
        <w:t xml:space="preserve"> fistulae</w:t>
      </w:r>
      <w:r w:rsidR="00C151BF" w:rsidRPr="007018B5">
        <w:rPr>
          <w:szCs w:val="24"/>
          <w:lang w:val="en-US"/>
        </w:rPr>
        <w:t xml:space="preserve"> especially when recent </w:t>
      </w:r>
      <w:proofErr w:type="spellStart"/>
      <w:r w:rsidR="00C151BF" w:rsidRPr="007018B5">
        <w:rPr>
          <w:szCs w:val="24"/>
          <w:lang w:val="en-US"/>
        </w:rPr>
        <w:t>randomised</w:t>
      </w:r>
      <w:proofErr w:type="spellEnd"/>
      <w:r w:rsidR="00C151BF" w:rsidRPr="007018B5">
        <w:rPr>
          <w:szCs w:val="24"/>
          <w:lang w:val="en-US"/>
        </w:rPr>
        <w:t xml:space="preserve"> trial data have exposed the general limitations of surgery</w:t>
      </w:r>
      <w:r w:rsidR="00290ACD" w:rsidRPr="007018B5">
        <w:rPr>
          <w:szCs w:val="24"/>
          <w:lang w:val="en-US"/>
        </w:rPr>
        <w:fldChar w:fldCharType="begin"/>
      </w:r>
      <w:r w:rsidR="003D51A1" w:rsidRPr="007018B5">
        <w:rPr>
          <w:szCs w:val="24"/>
          <w:lang w:val="en-US"/>
        </w:rPr>
        <w:instrText xml:space="preserve"> ADDIN ZOTERO_ITEM CSL_CITATION {"citationID":"zVCFIfVv","properties":{"formattedCitation":"\\super [3]\\nosupersub{}","plainCitation":"[3]","noteIndex":0},"citationItems":[{"id":1577,"uris":["http://zotero.org/users/851773/items/DXMPD5UJ"],"uri":["http://zotero.org/users/851773/items/DXMPD5UJ"],"itemData":{"id":1577,"type":"article-journal","title":"Anal fistula plug versus surgeon's preference for surgery for trans-sphincteric anal fistula: the FIAT RCT","container-title":"Health Technology Assessment (Winchester, England)","page":"1-76","volume":"23","issue":"21","source":"PubMed","abstract":"BACKGROUND: The aim of fistula surgery is to eradicate the disease while preserving anal sphincter function. The efficacy of the Surgisis® anal fistula plug (Cook Medical, Bloomington, IN, USA) in the treatment of trans-sphincteric fistula-in-ano has been variably reported.\nOBJECTIVES: To undertake a randomised comparison of the safety and efficacy of the Surgisis anal fistula plug in comparison with surgeon's preference for the treatment of trans-sphincteric anal fistulas.\nDESIGN: A randomised, unblinded, parallel-arm, prospective, multicentre clinical trial.\nSETTING: Hospitals in the UK NHS involving colorectal surgeons accredited by the Association of Coloproctology of Great Britain and Ireland.\nPARTICIPANTS: Adult patients suffering from trans-sphincteric fistula-in-ano of cryptoglandular origin.\nINTERVENTIONS: Patients were randomised on a 1</w:instrText>
      </w:r>
      <w:r w:rsidR="003D51A1" w:rsidRPr="007018B5">
        <w:rPr>
          <w:rFonts w:ascii="Times New Roman" w:hAnsi="Times New Roman"/>
          <w:szCs w:val="24"/>
          <w:lang w:val="en-US"/>
        </w:rPr>
        <w:instrText> </w:instrText>
      </w:r>
      <w:r w:rsidR="003D51A1" w:rsidRPr="007018B5">
        <w:rPr>
          <w:szCs w:val="24"/>
          <w:lang w:val="en-US"/>
        </w:rPr>
        <w:instrText>:</w:instrText>
      </w:r>
      <w:r w:rsidR="003D51A1" w:rsidRPr="007018B5">
        <w:rPr>
          <w:rFonts w:ascii="Times New Roman" w:hAnsi="Times New Roman"/>
          <w:szCs w:val="24"/>
          <w:lang w:val="en-US"/>
        </w:rPr>
        <w:instrText> </w:instrText>
      </w:r>
      <w:r w:rsidR="003D51A1" w:rsidRPr="007018B5">
        <w:rPr>
          <w:szCs w:val="24"/>
          <w:lang w:val="en-US"/>
        </w:rPr>
        <w:instrText xml:space="preserve">1 basis to either the fistula plug or the surgeon's preference [e.g. fistulotomy, cutting seton, advancement flap or ligation of intersphincteric fistula tract (LIFT) procedure].\nMAIN OUTCOME MEASURES: The primary outcome measure was quality of life as measured by the Faecal Incontinence Quality of Life (FIQoL) questionnaire at 12-month follow-up. Secondary outcome measures included clinical and radiological fistula healing rates, faecal incontinence rates, complications rates, reintervention rates and cost-effectiveness.\nRESULTS: Between May 2011 and March 2016, 304 participants were recruited (152 fistula plug vs. 152 surgeon's preference). No difference in FIQoL score between the two trial groups was seen at the 6-week, 6-month or 12-month follow-up. Clinical evidence of fistula healing was reported in 66 of 122 (54%) participants in the fistula plug group and in 66 of 119 (55%) participants in the surgeon's preference group at 12 months. Magnetic resonance imaging (MRI) showed fistula healing in 54 of 110 (49%) participants in the fistula plug group and in 63 of 112 (56%) participants in the surgeon's preference group. Variation in 12-month clinical healing rates was observed: 55%, 64%, 75%, 53% and 42% for fistula plug, cutting seton, fistulotomy, advancement flap and LIFT procedure, respectively. Faecal incontinence rates were low at baseline, with small improvement in both groups post treatment. Complications and reinterventions were frequent. The mean total costs were £2738 [standard deviation (SD) £1151] in the fistula plug group and £2308 (SD £1228) in the surgeon's preference group. The average total quality-adjusted life-years (QALYs) gain was much smaller in the fistula plug group (0.829, SD 0.174) than in the surgeon's preference group (0.790, SD 0.212). Using multiple imputation and probabilistic sensitivity analysis, and adjusting for differences in baseline EuroQol-5 Dimensions, three-level version utility, there was a 35-45% chance that the fistula plug was as cost-effective as surgeon's preference over a range of thresholds of willingness to pay for a single QALY of £20,000-30,000.\nLIMITATIONS: Limitations include a smaller sample size than originally calculated, a lack of blinding that perhaps biased patient-reported outcomes and a lower compliance rate with MRI at 12-month follow-up.\nCONCLUSIONS: The Surgisis anal fistula plug is associated with similar FIQoL score to surgeon's preference at 12-month follow-up. The higher costs and highly uncertain and small gains in QALYs associated with the fistula plug mean that this technology is unlikely to be considered a cost-effective use of resources in the UK NHS.\nFUTURE WORK: Further in-depth analysis should consider the clinical and MRI characteristics of fistula-in-ano in an attempt to identify predictors of fistula response to treatment.\nTRIAL REGISTRATION: Current Controlled Trials ISRCTN78352529.\nFUNDING: This project was funded by the National Institute for Health Research (NIHR) Health Technology Assessment programme and will be published in full in Health Technology Assessment; Vol. 23, No. 21. See the NIHR Journals Library website for further project information.","DOI":"10.3310/hta23210","ISSN":"2046-4924","note":"PMID: 31113531\nPMCID: PMC6545498","title-short":"Anal fistula plug versus surgeon's preference for surgery for trans-sphincteric anal fistula","journalAbbreviation":"Health Technol Assess","language":"eng","author":[{"family":"Jayne","given":"David G."},{"family":"Scholefield","given":"John"},{"family":"Tolan","given":"Damian"},{"family":"Gray","given":"Richard"},{"family":"Edlin","given":"Richard"},{"family":"Hulme","given":"Claire T."},{"family":"Sutton","given":"Andrew J."},{"family":"Handley","given":"Kelly"},{"family":"Hewitt","given":"Catherine A."},{"family":"Kaur","given":"Manjinder"},{"family":"Magill","given":"Laura"}],"issued":{"date-parts":[["2019",5]]}}}],"schema":"https://github.com/citation-style-language/schema/raw/master/csl-citation.json"} </w:instrText>
      </w:r>
      <w:r w:rsidR="00290ACD" w:rsidRPr="007018B5">
        <w:rPr>
          <w:szCs w:val="24"/>
          <w:lang w:val="en-US"/>
        </w:rPr>
        <w:fldChar w:fldCharType="separate"/>
      </w:r>
      <w:r w:rsidR="003D51A1" w:rsidRPr="007018B5">
        <w:rPr>
          <w:szCs w:val="24"/>
          <w:vertAlign w:val="superscript"/>
          <w:lang w:val="en-US"/>
        </w:rPr>
        <w:t>[3]</w:t>
      </w:r>
      <w:r w:rsidR="00290ACD" w:rsidRPr="007018B5">
        <w:rPr>
          <w:szCs w:val="24"/>
          <w:lang w:val="en-US"/>
        </w:rPr>
        <w:fldChar w:fldCharType="end"/>
      </w:r>
      <w:r w:rsidR="00A741B2" w:rsidRPr="007018B5">
        <w:rPr>
          <w:szCs w:val="24"/>
          <w:lang w:val="en-US"/>
        </w:rPr>
        <w:t>.</w:t>
      </w:r>
      <w:r w:rsidR="002E2C67" w:rsidRPr="007018B5">
        <w:rPr>
          <w:szCs w:val="24"/>
          <w:lang w:val="en-US"/>
        </w:rPr>
        <w:t xml:space="preserve"> </w:t>
      </w:r>
      <w:r w:rsidR="008A7374" w:rsidRPr="007018B5">
        <w:rPr>
          <w:szCs w:val="24"/>
          <w:lang w:val="en-US"/>
        </w:rPr>
        <w:t>We acknowledge however that research is warranted.</w:t>
      </w:r>
    </w:p>
    <w:p w14:paraId="0CF2736E" w14:textId="77777777" w:rsidR="00BE0BC4" w:rsidRPr="007018B5" w:rsidRDefault="00BE0BC4" w:rsidP="007E3B89">
      <w:pPr>
        <w:adjustRightInd w:val="0"/>
        <w:snapToGrid w:val="0"/>
        <w:spacing w:before="0" w:after="0"/>
        <w:jc w:val="both"/>
        <w:rPr>
          <w:szCs w:val="24"/>
          <w:lang w:val="en-US"/>
        </w:rPr>
      </w:pPr>
    </w:p>
    <w:p w14:paraId="7E1FB41D" w14:textId="6C34AF13" w:rsidR="00AF11D9" w:rsidRPr="007018B5" w:rsidRDefault="00AF11D9" w:rsidP="007E3B89">
      <w:pPr>
        <w:pStyle w:val="Heading1"/>
        <w:adjustRightInd w:val="0"/>
        <w:snapToGrid w:val="0"/>
        <w:spacing w:before="0"/>
        <w:jc w:val="both"/>
        <w:rPr>
          <w:szCs w:val="24"/>
          <w:lang w:val="en-US"/>
        </w:rPr>
      </w:pPr>
      <w:bookmarkStart w:id="102" w:name="OLE_LINK151"/>
      <w:bookmarkStart w:id="103" w:name="OLE_LINK259"/>
      <w:bookmarkStart w:id="104" w:name="OLE_LINK158"/>
      <w:bookmarkStart w:id="105" w:name="OLE_LINK159"/>
      <w:bookmarkStart w:id="106" w:name="OLE_LINK205"/>
      <w:bookmarkStart w:id="107" w:name="OLE_LINK206"/>
      <w:bookmarkStart w:id="108" w:name="OLE_LINK244"/>
      <w:bookmarkStart w:id="109" w:name="OLE_LINK245"/>
      <w:bookmarkStart w:id="110" w:name="OLE_LINK11"/>
      <w:bookmarkStart w:id="111" w:name="OLE_LINK12"/>
      <w:bookmarkStart w:id="112" w:name="OLE_LINK23"/>
      <w:bookmarkStart w:id="113" w:name="OLE_LINK24"/>
      <w:bookmarkStart w:id="114" w:name="OLE_LINK316"/>
      <w:bookmarkStart w:id="115" w:name="OLE_LINK332"/>
      <w:bookmarkStart w:id="116" w:name="OLE_LINK521"/>
      <w:bookmarkStart w:id="117" w:name="OLE_LINK403"/>
      <w:bookmarkStart w:id="118" w:name="OLE_LINK560"/>
      <w:bookmarkStart w:id="119" w:name="OLE_LINK839"/>
      <w:bookmarkStart w:id="120" w:name="OLE_LINK625"/>
      <w:r w:rsidRPr="007018B5">
        <w:rPr>
          <w:szCs w:val="24"/>
          <w:shd w:val="clear" w:color="auto" w:fill="FFFFFF"/>
          <w:lang w:val="en-US"/>
        </w:rPr>
        <w:t>Article Highlights</w:t>
      </w:r>
      <w:r w:rsidR="00C97323">
        <w:rPr>
          <w:szCs w:val="24"/>
          <w:shd w:val="clear" w:color="auto" w:fill="FFFFFF"/>
          <w:lang w:val="en-US"/>
        </w:rPr>
        <w:t xml:space="preserve"> </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236E2574"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t>Research background</w:t>
      </w:r>
    </w:p>
    <w:p w14:paraId="539FABB5" w14:textId="13629BE0" w:rsidR="00A01BC6" w:rsidRDefault="00A01BC6" w:rsidP="007E3B89">
      <w:pPr>
        <w:adjustRightInd w:val="0"/>
        <w:snapToGrid w:val="0"/>
        <w:spacing w:before="0" w:after="0"/>
        <w:jc w:val="both"/>
        <w:rPr>
          <w:szCs w:val="24"/>
          <w:lang w:val="en-US"/>
        </w:rPr>
      </w:pPr>
      <w:r w:rsidRPr="007018B5">
        <w:rPr>
          <w:szCs w:val="24"/>
          <w:lang w:val="en-US" w:eastAsia="en-GB"/>
        </w:rPr>
        <w:t>Perianal fistulae are common</w:t>
      </w:r>
      <w:r w:rsidRPr="007018B5">
        <w:rPr>
          <w:szCs w:val="24"/>
          <w:lang w:val="en-US"/>
        </w:rPr>
        <w:t xml:space="preserve"> and cause significant physical and psychosocial morbidity. Current treatments come with a significant failure rate. Idiopathic perianal fistulae are thought to arise from a primary infection of an anal gland, which leads to penetrating suppuration and fistula formation. Crohn’s disease</w:t>
      </w:r>
      <w:r w:rsidR="00BE0BC4">
        <w:rPr>
          <w:szCs w:val="24"/>
          <w:lang w:val="en-US"/>
        </w:rPr>
        <w:t xml:space="preserve"> (</w:t>
      </w:r>
      <w:bookmarkStart w:id="121" w:name="OLE_LINK729"/>
      <w:bookmarkStart w:id="122" w:name="OLE_LINK730"/>
      <w:r w:rsidR="00BE0BC4" w:rsidRPr="007018B5">
        <w:rPr>
          <w:szCs w:val="24"/>
          <w:lang w:val="en-US" w:eastAsia="en-GB"/>
        </w:rPr>
        <w:t>CD</w:t>
      </w:r>
      <w:bookmarkEnd w:id="121"/>
      <w:bookmarkEnd w:id="122"/>
      <w:r w:rsidR="00BE0BC4">
        <w:rPr>
          <w:szCs w:val="24"/>
          <w:lang w:val="en-US"/>
        </w:rPr>
        <w:t>)</w:t>
      </w:r>
      <w:r w:rsidRPr="007018B5">
        <w:rPr>
          <w:szCs w:val="24"/>
          <w:lang w:val="en-US"/>
        </w:rPr>
        <w:t>-related perianal fistulae is thought to arise from altered inflammatory pathways within the mucosa.</w:t>
      </w:r>
    </w:p>
    <w:p w14:paraId="3FDB1986" w14:textId="77777777" w:rsidR="00BE0BC4" w:rsidRPr="007018B5" w:rsidRDefault="00BE0BC4" w:rsidP="007E3B89">
      <w:pPr>
        <w:adjustRightInd w:val="0"/>
        <w:snapToGrid w:val="0"/>
        <w:spacing w:before="0" w:after="0"/>
        <w:jc w:val="both"/>
        <w:rPr>
          <w:szCs w:val="24"/>
          <w:lang w:val="en-US"/>
        </w:rPr>
      </w:pPr>
    </w:p>
    <w:p w14:paraId="2F8B240F"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t>Research motivation</w:t>
      </w:r>
    </w:p>
    <w:p w14:paraId="07F31D1C" w14:textId="73750089" w:rsidR="00A01BC6" w:rsidRDefault="00A01BC6" w:rsidP="007E3B89">
      <w:pPr>
        <w:adjustRightInd w:val="0"/>
        <w:snapToGrid w:val="0"/>
        <w:spacing w:before="0" w:after="0"/>
        <w:jc w:val="both"/>
        <w:rPr>
          <w:szCs w:val="24"/>
          <w:lang w:val="en-US"/>
        </w:rPr>
      </w:pPr>
      <w:r w:rsidRPr="007018B5">
        <w:rPr>
          <w:szCs w:val="24"/>
          <w:lang w:val="en-US"/>
        </w:rPr>
        <w:t xml:space="preserve">The </w:t>
      </w:r>
      <w:proofErr w:type="spellStart"/>
      <w:r w:rsidRPr="007018B5">
        <w:rPr>
          <w:szCs w:val="24"/>
          <w:lang w:val="en-US"/>
        </w:rPr>
        <w:t>aetiology</w:t>
      </w:r>
      <w:proofErr w:type="spellEnd"/>
      <w:r w:rsidRPr="007018B5">
        <w:rPr>
          <w:szCs w:val="24"/>
          <w:lang w:val="en-US"/>
        </w:rPr>
        <w:t xml:space="preserve"> and pathophysiology of perianal fistulae is still unclear. A better understanding could lead to better treatments. Most research to date has assumed idiopathic and </w:t>
      </w:r>
      <w:r w:rsidR="00BE0BC4">
        <w:rPr>
          <w:szCs w:val="24"/>
          <w:lang w:val="en-US"/>
        </w:rPr>
        <w:t>CD</w:t>
      </w:r>
      <w:r w:rsidRPr="007018B5">
        <w:rPr>
          <w:szCs w:val="24"/>
          <w:lang w:val="en-US"/>
        </w:rPr>
        <w:t>-related fistulae to be fundamentally different. However this assumption has never been tested.</w:t>
      </w:r>
    </w:p>
    <w:p w14:paraId="49EDE049" w14:textId="77777777" w:rsidR="00BE0BC4" w:rsidRPr="007018B5" w:rsidRDefault="00BE0BC4" w:rsidP="007E3B89">
      <w:pPr>
        <w:adjustRightInd w:val="0"/>
        <w:snapToGrid w:val="0"/>
        <w:spacing w:before="0" w:after="0"/>
        <w:jc w:val="both"/>
        <w:rPr>
          <w:rFonts w:eastAsiaTheme="minorEastAsia"/>
          <w:szCs w:val="24"/>
          <w:lang w:val="en-US"/>
        </w:rPr>
      </w:pPr>
    </w:p>
    <w:p w14:paraId="14B05D7E"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t>Research objectives</w:t>
      </w:r>
    </w:p>
    <w:p w14:paraId="4CFF6597" w14:textId="78302E3C" w:rsidR="00A01BC6" w:rsidRDefault="00A01BC6" w:rsidP="007E3B89">
      <w:pPr>
        <w:adjustRightInd w:val="0"/>
        <w:snapToGrid w:val="0"/>
        <w:spacing w:before="0" w:after="0"/>
        <w:jc w:val="both"/>
        <w:rPr>
          <w:szCs w:val="24"/>
          <w:lang w:val="en-US"/>
        </w:rPr>
      </w:pPr>
      <w:r w:rsidRPr="007018B5">
        <w:rPr>
          <w:szCs w:val="24"/>
          <w:lang w:val="en-US" w:eastAsia="en-GB"/>
        </w:rPr>
        <w:t xml:space="preserve">We </w:t>
      </w:r>
      <w:proofErr w:type="spellStart"/>
      <w:r w:rsidRPr="007018B5">
        <w:rPr>
          <w:szCs w:val="24"/>
          <w:lang w:val="en-US" w:eastAsia="en-GB"/>
        </w:rPr>
        <w:t>hypothesised</w:t>
      </w:r>
      <w:proofErr w:type="spellEnd"/>
      <w:r w:rsidRPr="007018B5">
        <w:rPr>
          <w:szCs w:val="24"/>
          <w:lang w:val="en-US" w:eastAsia="en-GB"/>
        </w:rPr>
        <w:t xml:space="preserve"> that idiopathic and </w:t>
      </w:r>
      <w:r w:rsidR="00BE0BC4">
        <w:rPr>
          <w:szCs w:val="24"/>
          <w:lang w:val="en-US" w:eastAsia="en-GB"/>
        </w:rPr>
        <w:t>CD</w:t>
      </w:r>
      <w:r w:rsidRPr="007018B5">
        <w:rPr>
          <w:szCs w:val="24"/>
          <w:lang w:val="en-US" w:eastAsia="en-GB"/>
        </w:rPr>
        <w:t xml:space="preserve">-related perianal fistulae are different and aimed to test this systematically by </w:t>
      </w:r>
      <w:r w:rsidRPr="007018B5">
        <w:rPr>
          <w:szCs w:val="24"/>
          <w:lang w:val="en-US"/>
        </w:rPr>
        <w:t xml:space="preserve">comparing their clinical phenotypes, cytokine and phosphoprotein profiles. </w:t>
      </w:r>
    </w:p>
    <w:p w14:paraId="23FEF79D" w14:textId="77777777" w:rsidR="00BE0BC4" w:rsidRPr="007018B5" w:rsidRDefault="00BE0BC4" w:rsidP="007E3B89">
      <w:pPr>
        <w:adjustRightInd w:val="0"/>
        <w:snapToGrid w:val="0"/>
        <w:spacing w:before="0" w:after="0"/>
        <w:jc w:val="both"/>
        <w:rPr>
          <w:szCs w:val="24"/>
          <w:lang w:val="en-US" w:eastAsia="en-GB"/>
        </w:rPr>
      </w:pPr>
    </w:p>
    <w:p w14:paraId="7CE9423F"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t>Research methods</w:t>
      </w:r>
    </w:p>
    <w:p w14:paraId="1B9F5669" w14:textId="77B353E1" w:rsidR="00A01BC6" w:rsidRDefault="00A01BC6" w:rsidP="007E3B89">
      <w:pPr>
        <w:adjustRightInd w:val="0"/>
        <w:snapToGrid w:val="0"/>
        <w:spacing w:before="0" w:after="0"/>
        <w:jc w:val="both"/>
        <w:rPr>
          <w:szCs w:val="24"/>
          <w:lang w:val="en-US" w:eastAsia="en-GB"/>
        </w:rPr>
      </w:pPr>
      <w:r w:rsidRPr="007018B5">
        <w:rPr>
          <w:rFonts w:eastAsiaTheme="minorEastAsia"/>
          <w:szCs w:val="24"/>
          <w:lang w:val="en-US"/>
        </w:rPr>
        <w:t xml:space="preserve">We conducted a prospective cohort study within a </w:t>
      </w:r>
      <w:r w:rsidR="00BE0BC4">
        <w:rPr>
          <w:rFonts w:eastAsiaTheme="minorEastAsia"/>
          <w:szCs w:val="24"/>
          <w:lang w:val="en-US"/>
        </w:rPr>
        <w:t>u</w:t>
      </w:r>
      <w:r w:rsidRPr="007018B5">
        <w:rPr>
          <w:rFonts w:eastAsiaTheme="minorEastAsia"/>
          <w:szCs w:val="24"/>
          <w:lang w:val="en-US"/>
        </w:rPr>
        <w:t xml:space="preserve">niversity hospital. Sixty-one consecutive patients </w:t>
      </w:r>
      <w:r w:rsidRPr="007018B5">
        <w:rPr>
          <w:szCs w:val="24"/>
          <w:lang w:val="en-US"/>
        </w:rPr>
        <w:t xml:space="preserve">undergoing surgery for perianal fistula </w:t>
      </w:r>
      <w:r w:rsidRPr="007018B5">
        <w:rPr>
          <w:rFonts w:eastAsiaTheme="minorEastAsia"/>
          <w:szCs w:val="24"/>
          <w:lang w:val="en-US"/>
        </w:rPr>
        <w:t xml:space="preserve">were recruited. Clinical data, pre- and post-operative </w:t>
      </w:r>
      <w:r w:rsidR="00A665D3" w:rsidRPr="007018B5">
        <w:rPr>
          <w:rFonts w:eastAsiaTheme="minorEastAsia"/>
          <w:szCs w:val="24"/>
          <w:lang w:val="en-US"/>
        </w:rPr>
        <w:t>Perineal Disease Activity Index</w:t>
      </w:r>
      <w:r w:rsidR="00BE0BC4">
        <w:rPr>
          <w:rFonts w:eastAsiaTheme="minorEastAsia"/>
          <w:szCs w:val="24"/>
          <w:lang w:val="en-US"/>
        </w:rPr>
        <w:t xml:space="preserve"> (</w:t>
      </w:r>
      <w:r w:rsidR="00BE0BC4" w:rsidRPr="007018B5">
        <w:rPr>
          <w:szCs w:val="24"/>
          <w:lang w:val="en-US" w:eastAsia="en-GB"/>
        </w:rPr>
        <w:t>PDAI</w:t>
      </w:r>
      <w:r w:rsidR="00BE0BC4">
        <w:rPr>
          <w:rFonts w:eastAsiaTheme="minorEastAsia"/>
          <w:szCs w:val="24"/>
          <w:lang w:val="en-US"/>
        </w:rPr>
        <w:t>)</w:t>
      </w:r>
      <w:r w:rsidRPr="007018B5">
        <w:rPr>
          <w:rFonts w:eastAsiaTheme="minorEastAsia"/>
          <w:szCs w:val="24"/>
          <w:lang w:val="en-US"/>
        </w:rPr>
        <w:t xml:space="preserve"> and EQ-5D-5L scores were measured. </w:t>
      </w:r>
      <w:r w:rsidRPr="007018B5">
        <w:rPr>
          <w:szCs w:val="24"/>
          <w:lang w:val="en-US"/>
        </w:rPr>
        <w:t xml:space="preserve">Biopsies of the fistula tract, granulation tissue, internal opening mucosa and rectal mucosa were obtained at surgery. These were processed in our laboratory to measure 30 cytokines and 39 phosphoproteins. To our knowledge, </w:t>
      </w:r>
      <w:r w:rsidRPr="007018B5">
        <w:rPr>
          <w:szCs w:val="24"/>
          <w:lang w:val="en-US" w:eastAsia="en-GB"/>
        </w:rPr>
        <w:t xml:space="preserve">this is the largest study to date to systematically compare idiopathic and </w:t>
      </w:r>
      <w:r w:rsidR="00BE0BC4">
        <w:rPr>
          <w:szCs w:val="24"/>
          <w:lang w:val="en-US" w:eastAsia="en-GB"/>
        </w:rPr>
        <w:t>CD</w:t>
      </w:r>
      <w:r w:rsidRPr="007018B5">
        <w:rPr>
          <w:szCs w:val="24"/>
          <w:lang w:val="en-US" w:eastAsia="en-GB"/>
        </w:rPr>
        <w:t>-related perianal fistulae in a well-defined patient cohort</w:t>
      </w:r>
      <w:r w:rsidR="00BE0BC4">
        <w:rPr>
          <w:szCs w:val="24"/>
          <w:lang w:val="en-US" w:eastAsia="en-GB"/>
        </w:rPr>
        <w:t>.</w:t>
      </w:r>
    </w:p>
    <w:p w14:paraId="7297F02B" w14:textId="77777777" w:rsidR="00BE0BC4" w:rsidRPr="007018B5" w:rsidRDefault="00BE0BC4" w:rsidP="007E3B89">
      <w:pPr>
        <w:adjustRightInd w:val="0"/>
        <w:snapToGrid w:val="0"/>
        <w:spacing w:before="0" w:after="0"/>
        <w:jc w:val="both"/>
        <w:rPr>
          <w:rFonts w:eastAsiaTheme="minorEastAsia"/>
          <w:szCs w:val="24"/>
          <w:lang w:val="en-US"/>
        </w:rPr>
      </w:pPr>
    </w:p>
    <w:p w14:paraId="4AC2C6CC"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lastRenderedPageBreak/>
        <w:t>Research results</w:t>
      </w:r>
    </w:p>
    <w:p w14:paraId="23E93CFB" w14:textId="3BFC1A60" w:rsidR="00A01BC6" w:rsidRDefault="00A01BC6" w:rsidP="007E3B89">
      <w:pPr>
        <w:adjustRightInd w:val="0"/>
        <w:snapToGrid w:val="0"/>
        <w:spacing w:before="0" w:after="0"/>
        <w:jc w:val="both"/>
        <w:rPr>
          <w:szCs w:val="24"/>
          <w:lang w:val="en-US" w:eastAsia="en-GB"/>
        </w:rPr>
      </w:pPr>
      <w:r w:rsidRPr="007018B5">
        <w:rPr>
          <w:szCs w:val="24"/>
          <w:lang w:val="en-US" w:eastAsia="en-GB"/>
        </w:rPr>
        <w:t xml:space="preserve">The PDAI was significantly higher and complex </w:t>
      </w:r>
      <w:proofErr w:type="spellStart"/>
      <w:r w:rsidRPr="007018B5">
        <w:rPr>
          <w:szCs w:val="24"/>
          <w:lang w:val="en-US" w:eastAsia="en-GB"/>
        </w:rPr>
        <w:t>pathoanatomy</w:t>
      </w:r>
      <w:proofErr w:type="spellEnd"/>
      <w:r w:rsidRPr="007018B5">
        <w:rPr>
          <w:szCs w:val="24"/>
          <w:lang w:val="en-US" w:eastAsia="en-GB"/>
        </w:rPr>
        <w:t xml:space="preserve"> was more prevalent in the </w:t>
      </w:r>
      <w:r w:rsidR="00BE0BC4">
        <w:rPr>
          <w:szCs w:val="24"/>
          <w:lang w:val="en-US" w:eastAsia="en-GB"/>
        </w:rPr>
        <w:t>CD</w:t>
      </w:r>
      <w:r w:rsidRPr="007018B5">
        <w:rPr>
          <w:szCs w:val="24"/>
          <w:lang w:val="en-US" w:eastAsia="en-GB"/>
        </w:rPr>
        <w:t xml:space="preserve"> group, supporting the commonly-held belief that </w:t>
      </w:r>
      <w:r w:rsidR="00BE0BC4">
        <w:rPr>
          <w:szCs w:val="24"/>
          <w:lang w:val="en-US" w:eastAsia="en-GB"/>
        </w:rPr>
        <w:t>CD</w:t>
      </w:r>
      <w:r w:rsidRPr="007018B5">
        <w:rPr>
          <w:szCs w:val="24"/>
          <w:lang w:val="en-US" w:eastAsia="en-GB"/>
        </w:rPr>
        <w:t>-related perianal fistulae are more severe and complex than idiopathic.</w:t>
      </w:r>
      <w:r w:rsidR="00D46D87">
        <w:rPr>
          <w:rFonts w:eastAsia="SimSun" w:hint="eastAsia"/>
          <w:szCs w:val="24"/>
          <w:lang w:val="en-US" w:eastAsia="zh-CN"/>
        </w:rPr>
        <w:t xml:space="preserve"> </w:t>
      </w:r>
      <w:r w:rsidRPr="007018B5">
        <w:rPr>
          <w:szCs w:val="24"/>
          <w:lang w:val="en-US"/>
        </w:rPr>
        <w:t>IL-12p70 concentration at the internal opening was higher and the IL-1RA/IL-1</w:t>
      </w:r>
      <w:r w:rsidRPr="007018B5">
        <w:rPr>
          <w:szCs w:val="24"/>
          <w:lang w:val="en-US"/>
        </w:rPr>
        <w:sym w:font="Symbol" w:char="F062"/>
      </w:r>
      <w:r w:rsidRPr="007018B5">
        <w:rPr>
          <w:szCs w:val="24"/>
          <w:lang w:val="en-US"/>
        </w:rPr>
        <w:t xml:space="preserve"> ratio was significantly lower at the internal opening in patients with </w:t>
      </w:r>
      <w:r w:rsidR="00BE0BC4">
        <w:rPr>
          <w:szCs w:val="24"/>
          <w:lang w:val="en-US"/>
        </w:rPr>
        <w:t>CD</w:t>
      </w:r>
      <w:r w:rsidRPr="007018B5">
        <w:rPr>
          <w:szCs w:val="24"/>
          <w:lang w:val="en-US"/>
        </w:rPr>
        <w:t>. There were no significant differences between the groups for any other cytokine concentrations at the four specimen sites. There were also no significant differences in phosphoprotein levels between the patient groups at any specimen site.</w:t>
      </w:r>
    </w:p>
    <w:p w14:paraId="419A8549" w14:textId="77777777" w:rsidR="00BE0BC4" w:rsidRPr="007018B5" w:rsidRDefault="00BE0BC4" w:rsidP="007E3B89">
      <w:pPr>
        <w:adjustRightInd w:val="0"/>
        <w:snapToGrid w:val="0"/>
        <w:spacing w:before="0" w:after="0"/>
        <w:jc w:val="both"/>
        <w:rPr>
          <w:rFonts w:eastAsiaTheme="minorEastAsia"/>
          <w:szCs w:val="24"/>
          <w:lang w:val="en-US"/>
        </w:rPr>
      </w:pPr>
    </w:p>
    <w:p w14:paraId="45D51BD6"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t>Research conclusions</w:t>
      </w:r>
    </w:p>
    <w:p w14:paraId="1B99B27E" w14:textId="4E1B94A0" w:rsidR="00A01BC6" w:rsidRDefault="00A01BC6" w:rsidP="007E3B89">
      <w:pPr>
        <w:adjustRightInd w:val="0"/>
        <w:snapToGrid w:val="0"/>
        <w:spacing w:before="0" w:after="0"/>
        <w:jc w:val="both"/>
        <w:rPr>
          <w:szCs w:val="24"/>
          <w:lang w:val="en-US"/>
        </w:rPr>
      </w:pPr>
      <w:r w:rsidRPr="007018B5">
        <w:rPr>
          <w:szCs w:val="24"/>
          <w:lang w:val="en-US" w:eastAsia="en-GB"/>
        </w:rPr>
        <w:t xml:space="preserve">CD-related perianal fistulae </w:t>
      </w:r>
      <w:r w:rsidR="00AA773C" w:rsidRPr="007018B5">
        <w:rPr>
          <w:szCs w:val="24"/>
          <w:lang w:val="en-US" w:eastAsia="en-GB"/>
        </w:rPr>
        <w:t>are often</w:t>
      </w:r>
      <w:r w:rsidRPr="007018B5">
        <w:rPr>
          <w:szCs w:val="24"/>
          <w:lang w:val="en-US" w:eastAsia="en-GB"/>
        </w:rPr>
        <w:t xml:space="preserve"> clinically more severe and complex. However, they do not su</w:t>
      </w:r>
      <w:r w:rsidR="00AA773C" w:rsidRPr="007018B5">
        <w:rPr>
          <w:szCs w:val="24"/>
          <w:lang w:val="en-US" w:eastAsia="en-GB"/>
        </w:rPr>
        <w:t>bst</w:t>
      </w:r>
      <w:r w:rsidRPr="007018B5">
        <w:rPr>
          <w:szCs w:val="24"/>
          <w:lang w:val="en-US" w:eastAsia="en-GB"/>
        </w:rPr>
        <w:t>antially differ in their expression of a large panel of cytokines and phosphoproteins.</w:t>
      </w:r>
    </w:p>
    <w:p w14:paraId="13219DF6" w14:textId="77777777" w:rsidR="00BE0BC4" w:rsidRPr="007018B5" w:rsidRDefault="00BE0BC4" w:rsidP="007E3B89">
      <w:pPr>
        <w:adjustRightInd w:val="0"/>
        <w:snapToGrid w:val="0"/>
        <w:spacing w:before="0" w:after="0"/>
        <w:jc w:val="both"/>
        <w:rPr>
          <w:szCs w:val="24"/>
          <w:lang w:val="en-US"/>
        </w:rPr>
      </w:pPr>
    </w:p>
    <w:p w14:paraId="726145C4" w14:textId="77777777" w:rsidR="00A01BC6" w:rsidRPr="007018B5" w:rsidRDefault="00A01BC6" w:rsidP="007E3B89">
      <w:pPr>
        <w:pStyle w:val="Heading2"/>
        <w:adjustRightInd w:val="0"/>
        <w:snapToGrid w:val="0"/>
        <w:spacing w:before="0" w:after="0"/>
        <w:jc w:val="both"/>
        <w:rPr>
          <w:szCs w:val="24"/>
          <w:lang w:val="en-US"/>
        </w:rPr>
      </w:pPr>
      <w:r w:rsidRPr="007018B5">
        <w:rPr>
          <w:szCs w:val="24"/>
          <w:lang w:val="en-US"/>
        </w:rPr>
        <w:t>Research perspectives</w:t>
      </w:r>
    </w:p>
    <w:p w14:paraId="18BE60AC" w14:textId="14554503" w:rsidR="00A01BC6" w:rsidRDefault="00A01BC6" w:rsidP="007E3B89">
      <w:pPr>
        <w:adjustRightInd w:val="0"/>
        <w:snapToGrid w:val="0"/>
        <w:spacing w:before="0" w:after="0"/>
        <w:jc w:val="both"/>
        <w:rPr>
          <w:szCs w:val="24"/>
          <w:lang w:val="en-US"/>
        </w:rPr>
      </w:pPr>
      <w:r w:rsidRPr="007018B5">
        <w:rPr>
          <w:szCs w:val="24"/>
          <w:lang w:val="en-US" w:eastAsia="en-GB"/>
        </w:rPr>
        <w:t>Our data contributes to an emerging theory that idiopathic and CD-related perianal fistulae may not be as immunologically distinct as previously supposed.</w:t>
      </w:r>
      <w:r w:rsidRPr="007018B5">
        <w:rPr>
          <w:szCs w:val="24"/>
          <w:lang w:val="en-US"/>
        </w:rPr>
        <w:t xml:space="preserve"> </w:t>
      </w:r>
      <w:r w:rsidRPr="007018B5">
        <w:rPr>
          <w:szCs w:val="24"/>
          <w:lang w:val="en-US" w:eastAsia="en-GB"/>
        </w:rPr>
        <w:t>This line of reasoning opens the possibility that biological agents effective in CD-related perianal fistulae may also have a role in selected idiopathic perianal</w:t>
      </w:r>
      <w:r w:rsidRPr="007018B5">
        <w:rPr>
          <w:szCs w:val="24"/>
          <w:lang w:val="en-US"/>
        </w:rPr>
        <w:t xml:space="preserve"> fistulae especially when recent </w:t>
      </w:r>
      <w:proofErr w:type="spellStart"/>
      <w:r w:rsidRPr="007018B5">
        <w:rPr>
          <w:szCs w:val="24"/>
          <w:lang w:val="en-US"/>
        </w:rPr>
        <w:t>randomised</w:t>
      </w:r>
      <w:proofErr w:type="spellEnd"/>
      <w:r w:rsidRPr="007018B5">
        <w:rPr>
          <w:szCs w:val="24"/>
          <w:lang w:val="en-US"/>
        </w:rPr>
        <w:t xml:space="preserve"> trial data have exposed the general limitations of surgery. Further research is warranted.</w:t>
      </w:r>
    </w:p>
    <w:p w14:paraId="26453A44" w14:textId="48D902B1" w:rsidR="000B5EFA" w:rsidRDefault="000B5EFA" w:rsidP="007E3B89">
      <w:pPr>
        <w:adjustRightInd w:val="0"/>
        <w:snapToGrid w:val="0"/>
        <w:spacing w:before="0" w:after="0"/>
        <w:jc w:val="both"/>
        <w:rPr>
          <w:szCs w:val="24"/>
          <w:lang w:val="en-US"/>
        </w:rPr>
      </w:pPr>
    </w:p>
    <w:p w14:paraId="382EE0BC" w14:textId="77777777" w:rsidR="000B5EFA" w:rsidRPr="007018B5" w:rsidRDefault="000B5EFA" w:rsidP="000B5EFA">
      <w:pPr>
        <w:pStyle w:val="Heading1"/>
        <w:adjustRightInd w:val="0"/>
        <w:snapToGrid w:val="0"/>
        <w:spacing w:before="0"/>
        <w:jc w:val="both"/>
        <w:rPr>
          <w:szCs w:val="24"/>
          <w:lang w:val="en-US"/>
        </w:rPr>
      </w:pPr>
      <w:r w:rsidRPr="007018B5">
        <w:rPr>
          <w:szCs w:val="24"/>
          <w:lang w:val="en-US"/>
        </w:rPr>
        <w:t>Acknowledgements</w:t>
      </w:r>
    </w:p>
    <w:p w14:paraId="79704C5B" w14:textId="77777777" w:rsidR="000B5EFA" w:rsidRDefault="000B5EFA" w:rsidP="000B5EFA">
      <w:pPr>
        <w:adjustRightInd w:val="0"/>
        <w:snapToGrid w:val="0"/>
        <w:spacing w:before="0" w:after="0"/>
        <w:jc w:val="both"/>
        <w:rPr>
          <w:szCs w:val="24"/>
          <w:lang w:val="en-US"/>
        </w:rPr>
      </w:pPr>
      <w:r w:rsidRPr="007018B5">
        <w:rPr>
          <w:szCs w:val="24"/>
          <w:lang w:val="en-US" w:eastAsia="en-GB"/>
        </w:rPr>
        <w:t xml:space="preserve">Thank you to </w:t>
      </w:r>
      <w:r w:rsidRPr="007018B5">
        <w:rPr>
          <w:szCs w:val="24"/>
          <w:lang w:val="en-US"/>
        </w:rPr>
        <w:t xml:space="preserve">Ellie </w:t>
      </w:r>
      <w:proofErr w:type="spellStart"/>
      <w:r w:rsidRPr="007018B5">
        <w:rPr>
          <w:szCs w:val="24"/>
          <w:lang w:val="en-US"/>
        </w:rPr>
        <w:t>McAlees</w:t>
      </w:r>
      <w:proofErr w:type="spellEnd"/>
      <w:r w:rsidRPr="007018B5">
        <w:rPr>
          <w:szCs w:val="24"/>
          <w:lang w:val="en-US"/>
        </w:rPr>
        <w:t xml:space="preserve"> for recruitment support, Anna </w:t>
      </w:r>
      <w:proofErr w:type="spellStart"/>
      <w:r w:rsidRPr="007018B5">
        <w:rPr>
          <w:szCs w:val="24"/>
          <w:lang w:val="en-US"/>
        </w:rPr>
        <w:t>Vossenkamper</w:t>
      </w:r>
      <w:proofErr w:type="spellEnd"/>
      <w:r w:rsidRPr="007018B5">
        <w:rPr>
          <w:szCs w:val="24"/>
          <w:lang w:val="en-US"/>
        </w:rPr>
        <w:t xml:space="preserve">, Nadia Ahmad, Paolo Biancheri and Bob Hardcastle for laboratory support, and Amira </w:t>
      </w:r>
      <w:proofErr w:type="spellStart"/>
      <w:r w:rsidRPr="007018B5">
        <w:rPr>
          <w:szCs w:val="24"/>
          <w:lang w:val="en-US"/>
        </w:rPr>
        <w:t>Shamsiddinova</w:t>
      </w:r>
      <w:proofErr w:type="spellEnd"/>
      <w:r w:rsidRPr="007018B5">
        <w:rPr>
          <w:szCs w:val="24"/>
          <w:lang w:val="en-US"/>
        </w:rPr>
        <w:t xml:space="preserve"> for data-entry support.</w:t>
      </w:r>
    </w:p>
    <w:p w14:paraId="48491EC9" w14:textId="77777777" w:rsidR="000B5EFA" w:rsidRPr="007018B5" w:rsidRDefault="000B5EFA" w:rsidP="007E3B89">
      <w:pPr>
        <w:adjustRightInd w:val="0"/>
        <w:snapToGrid w:val="0"/>
        <w:spacing w:before="0" w:after="0"/>
        <w:jc w:val="both"/>
        <w:rPr>
          <w:szCs w:val="24"/>
          <w:lang w:val="en-US"/>
        </w:rPr>
      </w:pPr>
    </w:p>
    <w:p w14:paraId="00706BD3" w14:textId="77777777" w:rsidR="00BE0BC4" w:rsidRDefault="00BE0BC4" w:rsidP="007E3B89">
      <w:pPr>
        <w:adjustRightInd w:val="0"/>
        <w:snapToGrid w:val="0"/>
        <w:spacing w:before="0" w:after="0"/>
        <w:jc w:val="both"/>
        <w:rPr>
          <w:rFonts w:eastAsia="Calibri"/>
          <w:b/>
          <w:bCs/>
          <w:caps/>
          <w:szCs w:val="24"/>
          <w:lang w:val="en-US" w:eastAsia="en-GB"/>
        </w:rPr>
      </w:pPr>
      <w:r>
        <w:rPr>
          <w:szCs w:val="24"/>
          <w:lang w:val="en-US"/>
        </w:rPr>
        <w:br w:type="page"/>
      </w:r>
    </w:p>
    <w:p w14:paraId="3294F034" w14:textId="5BA5BDD5" w:rsidR="002949BE" w:rsidRPr="007018B5" w:rsidRDefault="002949BE" w:rsidP="007E3B89">
      <w:pPr>
        <w:pStyle w:val="Heading1"/>
        <w:adjustRightInd w:val="0"/>
        <w:snapToGrid w:val="0"/>
        <w:spacing w:before="0"/>
        <w:jc w:val="both"/>
        <w:rPr>
          <w:szCs w:val="24"/>
          <w:lang w:val="en-US"/>
        </w:rPr>
      </w:pPr>
      <w:r w:rsidRPr="007018B5">
        <w:rPr>
          <w:szCs w:val="24"/>
          <w:lang w:val="en-US"/>
        </w:rPr>
        <w:lastRenderedPageBreak/>
        <w:t>References</w:t>
      </w:r>
    </w:p>
    <w:p w14:paraId="70C5C59B"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1 </w:t>
      </w:r>
      <w:proofErr w:type="spellStart"/>
      <w:r w:rsidRPr="00090DE6">
        <w:rPr>
          <w:b/>
          <w:bCs/>
          <w:szCs w:val="24"/>
          <w:lang w:val="en-US"/>
        </w:rPr>
        <w:t>Zanotti</w:t>
      </w:r>
      <w:proofErr w:type="spellEnd"/>
      <w:r w:rsidRPr="00090DE6">
        <w:rPr>
          <w:b/>
          <w:bCs/>
          <w:szCs w:val="24"/>
          <w:lang w:val="en-US"/>
        </w:rPr>
        <w:t xml:space="preserve"> C</w:t>
      </w:r>
      <w:r w:rsidRPr="00090DE6">
        <w:rPr>
          <w:szCs w:val="24"/>
          <w:lang w:val="en-US"/>
        </w:rPr>
        <w:t>, Martinez-Puente C, Pascual I, Pascual M, Herreros D, García-</w:t>
      </w:r>
      <w:proofErr w:type="spellStart"/>
      <w:r w:rsidRPr="00090DE6">
        <w:rPr>
          <w:szCs w:val="24"/>
          <w:lang w:val="en-US"/>
        </w:rPr>
        <w:t>Olmo</w:t>
      </w:r>
      <w:proofErr w:type="spellEnd"/>
      <w:r w:rsidRPr="00090DE6">
        <w:rPr>
          <w:szCs w:val="24"/>
          <w:lang w:val="en-US"/>
        </w:rPr>
        <w:t xml:space="preserve"> D. An assessment of the incidence of fistula-in-</w:t>
      </w:r>
      <w:proofErr w:type="spellStart"/>
      <w:r w:rsidRPr="00090DE6">
        <w:rPr>
          <w:szCs w:val="24"/>
          <w:lang w:val="en-US"/>
        </w:rPr>
        <w:t>ano</w:t>
      </w:r>
      <w:proofErr w:type="spellEnd"/>
      <w:r w:rsidRPr="00090DE6">
        <w:rPr>
          <w:szCs w:val="24"/>
          <w:lang w:val="en-US"/>
        </w:rPr>
        <w:t xml:space="preserve"> in four countries of the European Union. </w:t>
      </w:r>
      <w:r w:rsidRPr="00090DE6">
        <w:rPr>
          <w:i/>
          <w:iCs/>
          <w:szCs w:val="24"/>
          <w:lang w:val="en-US"/>
        </w:rPr>
        <w:t>Int J Colorectal Dis</w:t>
      </w:r>
      <w:r w:rsidRPr="00090DE6">
        <w:rPr>
          <w:szCs w:val="24"/>
          <w:lang w:val="en-US"/>
        </w:rPr>
        <w:t> 2007; </w:t>
      </w:r>
      <w:r w:rsidRPr="00090DE6">
        <w:rPr>
          <w:b/>
          <w:bCs/>
          <w:szCs w:val="24"/>
          <w:lang w:val="en-US"/>
        </w:rPr>
        <w:t>22</w:t>
      </w:r>
      <w:r w:rsidRPr="00090DE6">
        <w:rPr>
          <w:szCs w:val="24"/>
          <w:lang w:val="en-US"/>
        </w:rPr>
        <w:t>: 1459-1462 [PMID: 17554546 DOI: 10.1007/s00384-007-0334-7]</w:t>
      </w:r>
    </w:p>
    <w:p w14:paraId="6E3ACBF5"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2 </w:t>
      </w:r>
      <w:r w:rsidRPr="00090DE6">
        <w:rPr>
          <w:b/>
          <w:bCs/>
          <w:szCs w:val="24"/>
          <w:lang w:val="en-US"/>
        </w:rPr>
        <w:t>Adamo K</w:t>
      </w:r>
      <w:r w:rsidRPr="00090DE6">
        <w:rPr>
          <w:szCs w:val="24"/>
          <w:lang w:val="en-US"/>
        </w:rPr>
        <w:t xml:space="preserve">, </w:t>
      </w:r>
      <w:proofErr w:type="spellStart"/>
      <w:r w:rsidRPr="00090DE6">
        <w:rPr>
          <w:szCs w:val="24"/>
          <w:lang w:val="en-US"/>
        </w:rPr>
        <w:t>Sandblom</w:t>
      </w:r>
      <w:proofErr w:type="spellEnd"/>
      <w:r w:rsidRPr="00090DE6">
        <w:rPr>
          <w:szCs w:val="24"/>
          <w:lang w:val="en-US"/>
        </w:rPr>
        <w:t xml:space="preserve"> G, </w:t>
      </w:r>
      <w:proofErr w:type="spellStart"/>
      <w:r w:rsidRPr="00090DE6">
        <w:rPr>
          <w:szCs w:val="24"/>
          <w:lang w:val="en-US"/>
        </w:rPr>
        <w:t>Brännström</w:t>
      </w:r>
      <w:proofErr w:type="spellEnd"/>
      <w:r w:rsidRPr="00090DE6">
        <w:rPr>
          <w:szCs w:val="24"/>
          <w:lang w:val="en-US"/>
        </w:rPr>
        <w:t xml:space="preserve"> F, </w:t>
      </w:r>
      <w:proofErr w:type="spellStart"/>
      <w:r w:rsidRPr="00090DE6">
        <w:rPr>
          <w:szCs w:val="24"/>
          <w:lang w:val="en-US"/>
        </w:rPr>
        <w:t>Strigård</w:t>
      </w:r>
      <w:proofErr w:type="spellEnd"/>
      <w:r w:rsidRPr="00090DE6">
        <w:rPr>
          <w:szCs w:val="24"/>
          <w:lang w:val="en-US"/>
        </w:rPr>
        <w:t xml:space="preserve"> K. Prevalence and recurrence rate of perianal abscess--a population-based study, Sweden 1997-2009. </w:t>
      </w:r>
      <w:r w:rsidRPr="00090DE6">
        <w:rPr>
          <w:i/>
          <w:iCs/>
          <w:szCs w:val="24"/>
          <w:lang w:val="en-US"/>
        </w:rPr>
        <w:t>Int J Colorectal Dis</w:t>
      </w:r>
      <w:r w:rsidRPr="00090DE6">
        <w:rPr>
          <w:szCs w:val="24"/>
          <w:lang w:val="en-US"/>
        </w:rPr>
        <w:t>2016; </w:t>
      </w:r>
      <w:r w:rsidRPr="00090DE6">
        <w:rPr>
          <w:b/>
          <w:bCs/>
          <w:szCs w:val="24"/>
          <w:lang w:val="en-US"/>
        </w:rPr>
        <w:t>31</w:t>
      </w:r>
      <w:r w:rsidRPr="00090DE6">
        <w:rPr>
          <w:szCs w:val="24"/>
          <w:lang w:val="en-US"/>
        </w:rPr>
        <w:t>: 669-673 [PMID: 26768004 DOI: 10.1007/s00384-015-2500-7]</w:t>
      </w:r>
    </w:p>
    <w:p w14:paraId="60AF718F"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3 </w:t>
      </w:r>
      <w:r w:rsidRPr="00090DE6">
        <w:rPr>
          <w:b/>
          <w:bCs/>
          <w:szCs w:val="24"/>
          <w:lang w:val="en-US"/>
        </w:rPr>
        <w:t>Jayne DG</w:t>
      </w:r>
      <w:r w:rsidRPr="00090DE6">
        <w:rPr>
          <w:szCs w:val="24"/>
          <w:lang w:val="en-US"/>
        </w:rPr>
        <w:t xml:space="preserve">, </w:t>
      </w:r>
      <w:proofErr w:type="spellStart"/>
      <w:r w:rsidRPr="00090DE6">
        <w:rPr>
          <w:szCs w:val="24"/>
          <w:lang w:val="en-US"/>
        </w:rPr>
        <w:t>Scholefield</w:t>
      </w:r>
      <w:proofErr w:type="spellEnd"/>
      <w:r w:rsidRPr="00090DE6">
        <w:rPr>
          <w:szCs w:val="24"/>
          <w:lang w:val="en-US"/>
        </w:rPr>
        <w:t xml:space="preserve"> J, Tolan D, Gray R, </w:t>
      </w:r>
      <w:proofErr w:type="spellStart"/>
      <w:r w:rsidRPr="00090DE6">
        <w:rPr>
          <w:szCs w:val="24"/>
          <w:lang w:val="en-US"/>
        </w:rPr>
        <w:t>Edlin</w:t>
      </w:r>
      <w:proofErr w:type="spellEnd"/>
      <w:r w:rsidRPr="00090DE6">
        <w:rPr>
          <w:szCs w:val="24"/>
          <w:lang w:val="en-US"/>
        </w:rPr>
        <w:t xml:space="preserve"> R, </w:t>
      </w:r>
      <w:proofErr w:type="spellStart"/>
      <w:r w:rsidRPr="00090DE6">
        <w:rPr>
          <w:szCs w:val="24"/>
          <w:lang w:val="en-US"/>
        </w:rPr>
        <w:t>Hulme</w:t>
      </w:r>
      <w:proofErr w:type="spellEnd"/>
      <w:r w:rsidRPr="00090DE6">
        <w:rPr>
          <w:szCs w:val="24"/>
          <w:lang w:val="en-US"/>
        </w:rPr>
        <w:t xml:space="preserve"> CT, Sutton AJ, Handley K, Hewitt CA, Kaur M, Magill L. Anal fistula plug versus surgeon's preference for surgery for trans-sphincteric anal fistula: the FIAT RCT. </w:t>
      </w:r>
      <w:r w:rsidRPr="00090DE6">
        <w:rPr>
          <w:i/>
          <w:iCs/>
          <w:szCs w:val="24"/>
          <w:lang w:val="en-US"/>
        </w:rPr>
        <w:t>Health Technol Assess</w:t>
      </w:r>
      <w:r w:rsidRPr="00090DE6">
        <w:rPr>
          <w:szCs w:val="24"/>
          <w:lang w:val="en-US"/>
        </w:rPr>
        <w:t> 2019; </w:t>
      </w:r>
      <w:r w:rsidRPr="00090DE6">
        <w:rPr>
          <w:b/>
          <w:bCs/>
          <w:szCs w:val="24"/>
          <w:lang w:val="en-US"/>
        </w:rPr>
        <w:t>23</w:t>
      </w:r>
      <w:r w:rsidRPr="00090DE6">
        <w:rPr>
          <w:szCs w:val="24"/>
          <w:lang w:val="en-US"/>
        </w:rPr>
        <w:t>: 1-76 [PMID: 31113531 DOI: 10.3310/hta23210]</w:t>
      </w:r>
    </w:p>
    <w:p w14:paraId="45A46905" w14:textId="67479FE9"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highlight w:val="yellow"/>
          <w:lang w:val="en-US"/>
        </w:rPr>
        <w:t>4 </w:t>
      </w:r>
      <w:r w:rsidRPr="00090DE6">
        <w:rPr>
          <w:b/>
          <w:bCs/>
          <w:szCs w:val="24"/>
          <w:highlight w:val="yellow"/>
          <w:lang w:val="en-US"/>
        </w:rPr>
        <w:t>Present D</w:t>
      </w:r>
      <w:r w:rsidRPr="00090DE6">
        <w:rPr>
          <w:szCs w:val="24"/>
          <w:highlight w:val="yellow"/>
          <w:lang w:val="en-US"/>
        </w:rPr>
        <w:t>, </w:t>
      </w:r>
      <w:proofErr w:type="spellStart"/>
      <w:r w:rsidRPr="00090DE6">
        <w:rPr>
          <w:szCs w:val="24"/>
          <w:highlight w:val="yellow"/>
          <w:lang w:val="en-US"/>
        </w:rPr>
        <w:t>Rutgeerts</w:t>
      </w:r>
      <w:proofErr w:type="spellEnd"/>
      <w:r w:rsidRPr="00090DE6">
        <w:rPr>
          <w:szCs w:val="24"/>
          <w:highlight w:val="yellow"/>
          <w:lang w:val="en-US"/>
        </w:rPr>
        <w:t xml:space="preserve"> P, </w:t>
      </w:r>
      <w:proofErr w:type="spellStart"/>
      <w:r w:rsidRPr="00090DE6">
        <w:rPr>
          <w:szCs w:val="24"/>
          <w:highlight w:val="yellow"/>
          <w:lang w:val="en-US"/>
        </w:rPr>
        <w:t>Targan</w:t>
      </w:r>
      <w:proofErr w:type="spellEnd"/>
      <w:r w:rsidRPr="00090DE6">
        <w:rPr>
          <w:szCs w:val="24"/>
          <w:highlight w:val="yellow"/>
          <w:lang w:val="en-US"/>
        </w:rPr>
        <w:t xml:space="preserve"> S, </w:t>
      </w:r>
      <w:proofErr w:type="spellStart"/>
      <w:r w:rsidRPr="00090DE6">
        <w:rPr>
          <w:szCs w:val="24"/>
          <w:highlight w:val="yellow"/>
          <w:lang w:val="en-US"/>
        </w:rPr>
        <w:t>Hanauer</w:t>
      </w:r>
      <w:proofErr w:type="spellEnd"/>
      <w:r w:rsidRPr="00090DE6">
        <w:rPr>
          <w:szCs w:val="24"/>
          <w:highlight w:val="yellow"/>
          <w:lang w:val="en-US"/>
        </w:rPr>
        <w:t xml:space="preserve"> S, Mayer L, van </w:t>
      </w:r>
      <w:proofErr w:type="spellStart"/>
      <w:r w:rsidRPr="00090DE6">
        <w:rPr>
          <w:szCs w:val="24"/>
          <w:highlight w:val="yellow"/>
          <w:lang w:val="en-US"/>
        </w:rPr>
        <w:t>Hogezand</w:t>
      </w:r>
      <w:proofErr w:type="spellEnd"/>
      <w:r w:rsidRPr="00090DE6">
        <w:rPr>
          <w:szCs w:val="24"/>
          <w:highlight w:val="yellow"/>
          <w:lang w:val="en-US"/>
        </w:rPr>
        <w:t xml:space="preserve"> R, </w:t>
      </w:r>
      <w:proofErr w:type="spellStart"/>
      <w:r w:rsidRPr="00090DE6">
        <w:rPr>
          <w:szCs w:val="24"/>
          <w:highlight w:val="yellow"/>
          <w:lang w:val="en-US"/>
        </w:rPr>
        <w:t>Podolsky</w:t>
      </w:r>
      <w:proofErr w:type="spellEnd"/>
      <w:r w:rsidRPr="00090DE6">
        <w:rPr>
          <w:szCs w:val="24"/>
          <w:highlight w:val="yellow"/>
          <w:lang w:val="en-US"/>
        </w:rPr>
        <w:t xml:space="preserve"> D, Sands B, </w:t>
      </w:r>
      <w:proofErr w:type="spellStart"/>
      <w:r w:rsidRPr="00090DE6">
        <w:rPr>
          <w:szCs w:val="24"/>
          <w:highlight w:val="yellow"/>
          <w:lang w:val="en-US"/>
        </w:rPr>
        <w:t>Braakman</w:t>
      </w:r>
      <w:proofErr w:type="spellEnd"/>
      <w:r w:rsidRPr="00090DE6">
        <w:rPr>
          <w:szCs w:val="24"/>
          <w:highlight w:val="yellow"/>
          <w:lang w:val="en-US"/>
        </w:rPr>
        <w:t xml:space="preserve"> T, </w:t>
      </w:r>
      <w:proofErr w:type="spellStart"/>
      <w:r w:rsidRPr="00090DE6">
        <w:rPr>
          <w:szCs w:val="24"/>
          <w:highlight w:val="yellow"/>
          <w:lang w:val="en-US"/>
        </w:rPr>
        <w:t>DeWoody</w:t>
      </w:r>
      <w:proofErr w:type="spellEnd"/>
      <w:r w:rsidRPr="00090DE6">
        <w:rPr>
          <w:szCs w:val="24"/>
          <w:highlight w:val="yellow"/>
          <w:lang w:val="en-US"/>
        </w:rPr>
        <w:t xml:space="preserve"> K, </w:t>
      </w:r>
      <w:proofErr w:type="spellStart"/>
      <w:r w:rsidRPr="00090DE6">
        <w:rPr>
          <w:szCs w:val="24"/>
          <w:highlight w:val="yellow"/>
          <w:lang w:val="en-US"/>
        </w:rPr>
        <w:t>Schaible</w:t>
      </w:r>
      <w:proofErr w:type="spellEnd"/>
      <w:r w:rsidRPr="00090DE6">
        <w:rPr>
          <w:szCs w:val="24"/>
          <w:highlight w:val="yellow"/>
          <w:lang w:val="en-US"/>
        </w:rPr>
        <w:t xml:space="preserve"> T, van Deventer S. Infliximab for the treatment of fistulas in patients with Crohn’s disease. </w:t>
      </w:r>
      <w:r w:rsidRPr="00090DE6">
        <w:rPr>
          <w:i/>
          <w:iCs/>
          <w:szCs w:val="24"/>
          <w:highlight w:val="yellow"/>
          <w:lang w:val="en-US"/>
        </w:rPr>
        <w:t>J Med</w:t>
      </w:r>
      <w:r w:rsidRPr="00090DE6">
        <w:rPr>
          <w:szCs w:val="24"/>
          <w:highlight w:val="yellow"/>
          <w:lang w:val="en-US"/>
        </w:rPr>
        <w:t xml:space="preserve"> 1999; </w:t>
      </w:r>
      <w:r w:rsidRPr="00090DE6">
        <w:rPr>
          <w:b/>
          <w:bCs/>
          <w:szCs w:val="24"/>
          <w:highlight w:val="yellow"/>
          <w:lang w:val="en-US"/>
        </w:rPr>
        <w:t>340</w:t>
      </w:r>
      <w:r w:rsidRPr="00090DE6">
        <w:rPr>
          <w:szCs w:val="24"/>
          <w:highlight w:val="yellow"/>
          <w:lang w:val="en-US"/>
        </w:rPr>
        <w:t>: 1398-</w:t>
      </w:r>
      <w:r w:rsidR="00374136">
        <w:rPr>
          <w:szCs w:val="24"/>
          <w:highlight w:val="yellow"/>
          <w:lang w:val="en-US"/>
        </w:rPr>
        <w:t>1</w:t>
      </w:r>
      <w:r w:rsidRPr="00090DE6">
        <w:rPr>
          <w:szCs w:val="24"/>
          <w:highlight w:val="yellow"/>
          <w:lang w:val="en-US"/>
        </w:rPr>
        <w:t>405</w:t>
      </w:r>
    </w:p>
    <w:p w14:paraId="4F5DB823"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5 </w:t>
      </w:r>
      <w:proofErr w:type="spellStart"/>
      <w:r w:rsidRPr="00090DE6">
        <w:rPr>
          <w:b/>
          <w:bCs/>
          <w:szCs w:val="24"/>
          <w:lang w:val="en-US"/>
        </w:rPr>
        <w:t>Sainio</w:t>
      </w:r>
      <w:proofErr w:type="spellEnd"/>
      <w:r w:rsidRPr="00090DE6">
        <w:rPr>
          <w:b/>
          <w:bCs/>
          <w:szCs w:val="24"/>
          <w:lang w:val="en-US"/>
        </w:rPr>
        <w:t xml:space="preserve"> P</w:t>
      </w:r>
      <w:r w:rsidRPr="00090DE6">
        <w:rPr>
          <w:szCs w:val="24"/>
          <w:lang w:val="en-US"/>
        </w:rPr>
        <w:t>. Fistula-in-</w:t>
      </w:r>
      <w:proofErr w:type="spellStart"/>
      <w:r w:rsidRPr="00090DE6">
        <w:rPr>
          <w:szCs w:val="24"/>
          <w:lang w:val="en-US"/>
        </w:rPr>
        <w:t>ano</w:t>
      </w:r>
      <w:proofErr w:type="spellEnd"/>
      <w:r w:rsidRPr="00090DE6">
        <w:rPr>
          <w:szCs w:val="24"/>
          <w:lang w:val="en-US"/>
        </w:rPr>
        <w:t xml:space="preserve"> in a defined population. Incidence and epidemiological aspects. </w:t>
      </w:r>
      <w:r w:rsidRPr="00090DE6">
        <w:rPr>
          <w:i/>
          <w:iCs/>
          <w:szCs w:val="24"/>
          <w:lang w:val="en-US"/>
        </w:rPr>
        <w:t xml:space="preserve">Ann </w:t>
      </w:r>
      <w:proofErr w:type="spellStart"/>
      <w:r w:rsidRPr="00090DE6">
        <w:rPr>
          <w:i/>
          <w:iCs/>
          <w:szCs w:val="24"/>
          <w:lang w:val="en-US"/>
        </w:rPr>
        <w:t>Chir</w:t>
      </w:r>
      <w:proofErr w:type="spellEnd"/>
      <w:r w:rsidRPr="00090DE6">
        <w:rPr>
          <w:i/>
          <w:iCs/>
          <w:szCs w:val="24"/>
          <w:lang w:val="en-US"/>
        </w:rPr>
        <w:t xml:space="preserve"> </w:t>
      </w:r>
      <w:proofErr w:type="spellStart"/>
      <w:r w:rsidRPr="00090DE6">
        <w:rPr>
          <w:i/>
          <w:iCs/>
          <w:szCs w:val="24"/>
          <w:lang w:val="en-US"/>
        </w:rPr>
        <w:t>Gynaecol</w:t>
      </w:r>
      <w:proofErr w:type="spellEnd"/>
      <w:r w:rsidRPr="00090DE6">
        <w:rPr>
          <w:szCs w:val="24"/>
          <w:lang w:val="en-US"/>
        </w:rPr>
        <w:t> 1984; </w:t>
      </w:r>
      <w:r w:rsidRPr="00090DE6">
        <w:rPr>
          <w:b/>
          <w:bCs/>
          <w:szCs w:val="24"/>
          <w:lang w:val="en-US"/>
        </w:rPr>
        <w:t>73</w:t>
      </w:r>
      <w:r w:rsidRPr="00090DE6">
        <w:rPr>
          <w:szCs w:val="24"/>
          <w:lang w:val="en-US"/>
        </w:rPr>
        <w:t>: 219-224 [PMID: 6508203]</w:t>
      </w:r>
    </w:p>
    <w:p w14:paraId="596DEFF4" w14:textId="03D872DF"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6 </w:t>
      </w:r>
      <w:r w:rsidRPr="00090DE6">
        <w:rPr>
          <w:b/>
          <w:bCs/>
          <w:szCs w:val="24"/>
          <w:lang w:val="en-US"/>
        </w:rPr>
        <w:t>P</w:t>
      </w:r>
      <w:r w:rsidR="007E3B89" w:rsidRPr="00090DE6">
        <w:rPr>
          <w:b/>
          <w:bCs/>
          <w:szCs w:val="24"/>
          <w:lang w:val="en-US"/>
        </w:rPr>
        <w:t>arks</w:t>
      </w:r>
      <w:r w:rsidRPr="00090DE6">
        <w:rPr>
          <w:b/>
          <w:bCs/>
          <w:szCs w:val="24"/>
          <w:lang w:val="en-US"/>
        </w:rPr>
        <w:t xml:space="preserve"> AG</w:t>
      </w:r>
      <w:r w:rsidRPr="00090DE6">
        <w:rPr>
          <w:szCs w:val="24"/>
          <w:lang w:val="en-US"/>
        </w:rPr>
        <w:t xml:space="preserve">. Pathogenesis and treatment of </w:t>
      </w:r>
      <w:proofErr w:type="spellStart"/>
      <w:r w:rsidRPr="00090DE6">
        <w:rPr>
          <w:szCs w:val="24"/>
          <w:lang w:val="en-US"/>
        </w:rPr>
        <w:t>fistuila</w:t>
      </w:r>
      <w:proofErr w:type="spellEnd"/>
      <w:r w:rsidRPr="00090DE6">
        <w:rPr>
          <w:szCs w:val="24"/>
          <w:lang w:val="en-US"/>
        </w:rPr>
        <w:t>-in-</w:t>
      </w:r>
      <w:proofErr w:type="spellStart"/>
      <w:r w:rsidRPr="00090DE6">
        <w:rPr>
          <w:szCs w:val="24"/>
          <w:lang w:val="en-US"/>
        </w:rPr>
        <w:t>ano</w:t>
      </w:r>
      <w:proofErr w:type="spellEnd"/>
      <w:r w:rsidRPr="00090DE6">
        <w:rPr>
          <w:szCs w:val="24"/>
          <w:lang w:val="en-US"/>
        </w:rPr>
        <w:t>. </w:t>
      </w:r>
      <w:r w:rsidRPr="00090DE6">
        <w:rPr>
          <w:i/>
          <w:iCs/>
          <w:szCs w:val="24"/>
          <w:lang w:val="en-US"/>
        </w:rPr>
        <w:t>Br Med J</w:t>
      </w:r>
      <w:r w:rsidRPr="00090DE6">
        <w:rPr>
          <w:szCs w:val="24"/>
          <w:lang w:val="en-US"/>
        </w:rPr>
        <w:t> 1961; </w:t>
      </w:r>
      <w:r w:rsidRPr="00090DE6">
        <w:rPr>
          <w:b/>
          <w:bCs/>
          <w:szCs w:val="24"/>
          <w:lang w:val="en-US"/>
        </w:rPr>
        <w:t>1</w:t>
      </w:r>
      <w:r w:rsidRPr="00090DE6">
        <w:rPr>
          <w:szCs w:val="24"/>
          <w:lang w:val="en-US"/>
        </w:rPr>
        <w:t>: 463-469 [PMID: 13732880 DOI: 10.1136/bmj.1.5224.463]</w:t>
      </w:r>
    </w:p>
    <w:p w14:paraId="699B4A4A"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7 </w:t>
      </w:r>
      <w:r w:rsidRPr="00090DE6">
        <w:rPr>
          <w:b/>
          <w:bCs/>
          <w:szCs w:val="24"/>
          <w:lang w:val="en-US"/>
        </w:rPr>
        <w:t>Rivera M</w:t>
      </w:r>
      <w:r w:rsidRPr="00090DE6">
        <w:rPr>
          <w:szCs w:val="24"/>
          <w:lang w:val="en-US"/>
        </w:rPr>
        <w:t xml:space="preserve">, </w:t>
      </w:r>
      <w:proofErr w:type="spellStart"/>
      <w:r w:rsidRPr="00090DE6">
        <w:rPr>
          <w:szCs w:val="24"/>
          <w:lang w:val="en-US"/>
        </w:rPr>
        <w:t>Angelucci</w:t>
      </w:r>
      <w:proofErr w:type="spellEnd"/>
      <w:r w:rsidRPr="00090DE6">
        <w:rPr>
          <w:szCs w:val="24"/>
          <w:lang w:val="en-US"/>
        </w:rPr>
        <w:t xml:space="preserve"> E, </w:t>
      </w:r>
      <w:proofErr w:type="spellStart"/>
      <w:r w:rsidRPr="00090DE6">
        <w:rPr>
          <w:szCs w:val="24"/>
          <w:lang w:val="en-US"/>
        </w:rPr>
        <w:t>Crispino</w:t>
      </w:r>
      <w:proofErr w:type="spellEnd"/>
      <w:r w:rsidRPr="00090DE6">
        <w:rPr>
          <w:szCs w:val="24"/>
          <w:lang w:val="en-US"/>
        </w:rPr>
        <w:t xml:space="preserve"> P, </w:t>
      </w:r>
      <w:proofErr w:type="spellStart"/>
      <w:r w:rsidRPr="00090DE6">
        <w:rPr>
          <w:szCs w:val="24"/>
          <w:lang w:val="en-US"/>
        </w:rPr>
        <w:t>Pronio</w:t>
      </w:r>
      <w:proofErr w:type="spellEnd"/>
      <w:r w:rsidRPr="00090DE6">
        <w:rPr>
          <w:szCs w:val="24"/>
          <w:lang w:val="en-US"/>
        </w:rPr>
        <w:t xml:space="preserve"> AM, </w:t>
      </w:r>
      <w:proofErr w:type="spellStart"/>
      <w:r w:rsidRPr="00090DE6">
        <w:rPr>
          <w:szCs w:val="24"/>
          <w:lang w:val="en-US"/>
        </w:rPr>
        <w:t>Marcheggiano</w:t>
      </w:r>
      <w:proofErr w:type="spellEnd"/>
      <w:r w:rsidRPr="00090DE6">
        <w:rPr>
          <w:szCs w:val="24"/>
          <w:lang w:val="en-US"/>
        </w:rPr>
        <w:t xml:space="preserve"> A, Vernia P, </w:t>
      </w:r>
      <w:proofErr w:type="spellStart"/>
      <w:r w:rsidRPr="00090DE6">
        <w:rPr>
          <w:szCs w:val="24"/>
          <w:lang w:val="en-US"/>
        </w:rPr>
        <w:t>Badiali</w:t>
      </w:r>
      <w:proofErr w:type="spellEnd"/>
      <w:r w:rsidRPr="00090DE6">
        <w:rPr>
          <w:szCs w:val="24"/>
          <w:lang w:val="en-US"/>
        </w:rPr>
        <w:t xml:space="preserve"> D. Perianal fistulas mimicking Crohn's disease in HIV-infected male patient. </w:t>
      </w:r>
      <w:r w:rsidRPr="00090DE6">
        <w:rPr>
          <w:i/>
          <w:iCs/>
          <w:szCs w:val="24"/>
          <w:lang w:val="en-US"/>
        </w:rPr>
        <w:t>Am J Gastroenterol</w:t>
      </w:r>
      <w:r w:rsidRPr="00090DE6">
        <w:rPr>
          <w:szCs w:val="24"/>
          <w:lang w:val="en-US"/>
        </w:rPr>
        <w:t> 2009; </w:t>
      </w:r>
      <w:r w:rsidRPr="00090DE6">
        <w:rPr>
          <w:b/>
          <w:bCs/>
          <w:szCs w:val="24"/>
          <w:lang w:val="en-US"/>
        </w:rPr>
        <w:t>104</w:t>
      </w:r>
      <w:r w:rsidRPr="00090DE6">
        <w:rPr>
          <w:szCs w:val="24"/>
          <w:lang w:val="en-US"/>
        </w:rPr>
        <w:t>: 793-794 [PMID: 19262533 DOI: 10.1038/ajg.2008.98]</w:t>
      </w:r>
    </w:p>
    <w:p w14:paraId="057DF33F"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8 </w:t>
      </w:r>
      <w:r w:rsidRPr="00090DE6">
        <w:rPr>
          <w:b/>
          <w:bCs/>
          <w:szCs w:val="24"/>
          <w:lang w:val="en-US"/>
        </w:rPr>
        <w:t>Aguilera-Castro L</w:t>
      </w:r>
      <w:r w:rsidRPr="00090DE6">
        <w:rPr>
          <w:szCs w:val="24"/>
          <w:lang w:val="en-US"/>
        </w:rPr>
        <w:t xml:space="preserve">, </w:t>
      </w:r>
      <w:proofErr w:type="spellStart"/>
      <w:r w:rsidRPr="00090DE6">
        <w:rPr>
          <w:szCs w:val="24"/>
          <w:lang w:val="en-US"/>
        </w:rPr>
        <w:t>Ferre-Aracil</w:t>
      </w:r>
      <w:proofErr w:type="spellEnd"/>
      <w:r w:rsidRPr="00090DE6">
        <w:rPr>
          <w:szCs w:val="24"/>
          <w:lang w:val="en-US"/>
        </w:rPr>
        <w:t xml:space="preserve"> C, Garcia-Garcia-de-Paredes A, Rodriguez-de-Santiago E, Lopez-</w:t>
      </w:r>
      <w:proofErr w:type="spellStart"/>
      <w:r w:rsidRPr="00090DE6">
        <w:rPr>
          <w:szCs w:val="24"/>
          <w:lang w:val="en-US"/>
        </w:rPr>
        <w:t>Sanroman</w:t>
      </w:r>
      <w:proofErr w:type="spellEnd"/>
      <w:r w:rsidRPr="00090DE6">
        <w:rPr>
          <w:szCs w:val="24"/>
          <w:lang w:val="en-US"/>
        </w:rPr>
        <w:t xml:space="preserve"> A. Management of complex perianal Crohn's disease. </w:t>
      </w:r>
      <w:r w:rsidRPr="00090DE6">
        <w:rPr>
          <w:i/>
          <w:iCs/>
          <w:szCs w:val="24"/>
          <w:lang w:val="en-US"/>
        </w:rPr>
        <w:t>Ann Gastroenterol</w:t>
      </w:r>
      <w:r w:rsidRPr="00090DE6">
        <w:rPr>
          <w:szCs w:val="24"/>
          <w:lang w:val="en-US"/>
        </w:rPr>
        <w:t> 2017; </w:t>
      </w:r>
      <w:r w:rsidRPr="00090DE6">
        <w:rPr>
          <w:b/>
          <w:bCs/>
          <w:szCs w:val="24"/>
          <w:lang w:val="en-US"/>
        </w:rPr>
        <w:t>30</w:t>
      </w:r>
      <w:r w:rsidRPr="00090DE6">
        <w:rPr>
          <w:szCs w:val="24"/>
          <w:lang w:val="en-US"/>
        </w:rPr>
        <w:t>: 33-44 [PMID: 28042236 DOI: 10.20524/aog.2016.0099]</w:t>
      </w:r>
    </w:p>
    <w:p w14:paraId="4BE95CC0"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9 </w:t>
      </w:r>
      <w:proofErr w:type="spellStart"/>
      <w:r w:rsidRPr="00090DE6">
        <w:rPr>
          <w:b/>
          <w:bCs/>
          <w:szCs w:val="24"/>
          <w:lang w:val="en-US"/>
        </w:rPr>
        <w:t>Scharl</w:t>
      </w:r>
      <w:proofErr w:type="spellEnd"/>
      <w:r w:rsidRPr="00090DE6">
        <w:rPr>
          <w:b/>
          <w:bCs/>
          <w:szCs w:val="24"/>
          <w:lang w:val="en-US"/>
        </w:rPr>
        <w:t xml:space="preserve"> M</w:t>
      </w:r>
      <w:r w:rsidRPr="00090DE6">
        <w:rPr>
          <w:szCs w:val="24"/>
          <w:lang w:val="en-US"/>
        </w:rPr>
        <w:t xml:space="preserve">, </w:t>
      </w:r>
      <w:proofErr w:type="spellStart"/>
      <w:r w:rsidRPr="00090DE6">
        <w:rPr>
          <w:szCs w:val="24"/>
          <w:lang w:val="en-US"/>
        </w:rPr>
        <w:t>Rogler</w:t>
      </w:r>
      <w:proofErr w:type="spellEnd"/>
      <w:r w:rsidRPr="00090DE6">
        <w:rPr>
          <w:szCs w:val="24"/>
          <w:lang w:val="en-US"/>
        </w:rPr>
        <w:t xml:space="preserve"> G. Pathophysiology of fistula formation in Crohn's disease. </w:t>
      </w:r>
      <w:r w:rsidRPr="00090DE6">
        <w:rPr>
          <w:i/>
          <w:iCs/>
          <w:szCs w:val="24"/>
          <w:lang w:val="en-US"/>
        </w:rPr>
        <w:t xml:space="preserve">World J </w:t>
      </w:r>
      <w:proofErr w:type="spellStart"/>
      <w:r w:rsidRPr="00090DE6">
        <w:rPr>
          <w:i/>
          <w:iCs/>
          <w:szCs w:val="24"/>
          <w:lang w:val="en-US"/>
        </w:rPr>
        <w:t>Gastrointest</w:t>
      </w:r>
      <w:proofErr w:type="spellEnd"/>
      <w:r w:rsidRPr="00090DE6">
        <w:rPr>
          <w:i/>
          <w:iCs/>
          <w:szCs w:val="24"/>
          <w:lang w:val="en-US"/>
        </w:rPr>
        <w:t xml:space="preserve"> </w:t>
      </w:r>
      <w:proofErr w:type="spellStart"/>
      <w:r w:rsidRPr="00090DE6">
        <w:rPr>
          <w:i/>
          <w:iCs/>
          <w:szCs w:val="24"/>
          <w:lang w:val="en-US"/>
        </w:rPr>
        <w:t>Pathophysiol</w:t>
      </w:r>
      <w:proofErr w:type="spellEnd"/>
      <w:r w:rsidRPr="00090DE6">
        <w:rPr>
          <w:szCs w:val="24"/>
          <w:lang w:val="en-US"/>
        </w:rPr>
        <w:t> 2014; </w:t>
      </w:r>
      <w:r w:rsidRPr="00090DE6">
        <w:rPr>
          <w:b/>
          <w:bCs/>
          <w:szCs w:val="24"/>
          <w:lang w:val="en-US"/>
        </w:rPr>
        <w:t>5</w:t>
      </w:r>
      <w:r w:rsidRPr="00090DE6">
        <w:rPr>
          <w:szCs w:val="24"/>
          <w:lang w:val="en-US"/>
        </w:rPr>
        <w:t>: 205-212 [PMID: 25133023 DOI: 10.4291/wjgp.v5.i3.205]</w:t>
      </w:r>
    </w:p>
    <w:p w14:paraId="529819AD"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10 </w:t>
      </w:r>
      <w:proofErr w:type="spellStart"/>
      <w:r w:rsidRPr="00090DE6">
        <w:rPr>
          <w:b/>
          <w:bCs/>
          <w:szCs w:val="24"/>
          <w:lang w:val="en-US"/>
        </w:rPr>
        <w:t>Bataille</w:t>
      </w:r>
      <w:proofErr w:type="spellEnd"/>
      <w:r w:rsidRPr="00090DE6">
        <w:rPr>
          <w:b/>
          <w:bCs/>
          <w:szCs w:val="24"/>
          <w:lang w:val="en-US"/>
        </w:rPr>
        <w:t xml:space="preserve"> F</w:t>
      </w:r>
      <w:r w:rsidRPr="00090DE6">
        <w:rPr>
          <w:szCs w:val="24"/>
          <w:lang w:val="en-US"/>
        </w:rPr>
        <w:t xml:space="preserve">, </w:t>
      </w:r>
      <w:proofErr w:type="spellStart"/>
      <w:r w:rsidRPr="00090DE6">
        <w:rPr>
          <w:szCs w:val="24"/>
          <w:lang w:val="en-US"/>
        </w:rPr>
        <w:t>Klebl</w:t>
      </w:r>
      <w:proofErr w:type="spellEnd"/>
      <w:r w:rsidRPr="00090DE6">
        <w:rPr>
          <w:szCs w:val="24"/>
          <w:lang w:val="en-US"/>
        </w:rPr>
        <w:t xml:space="preserve"> F, </w:t>
      </w:r>
      <w:proofErr w:type="spellStart"/>
      <w:r w:rsidRPr="00090DE6">
        <w:rPr>
          <w:szCs w:val="24"/>
          <w:lang w:val="en-US"/>
        </w:rPr>
        <w:t>Rümmele</w:t>
      </w:r>
      <w:proofErr w:type="spellEnd"/>
      <w:r w:rsidRPr="00090DE6">
        <w:rPr>
          <w:szCs w:val="24"/>
          <w:lang w:val="en-US"/>
        </w:rPr>
        <w:t xml:space="preserve"> P, Schroeder J, Farkas S, Wild PJ, </w:t>
      </w:r>
      <w:proofErr w:type="spellStart"/>
      <w:r w:rsidRPr="00090DE6">
        <w:rPr>
          <w:szCs w:val="24"/>
          <w:lang w:val="en-US"/>
        </w:rPr>
        <w:t>Fürst</w:t>
      </w:r>
      <w:proofErr w:type="spellEnd"/>
      <w:r w:rsidRPr="00090DE6">
        <w:rPr>
          <w:szCs w:val="24"/>
          <w:lang w:val="en-US"/>
        </w:rPr>
        <w:t xml:space="preserve"> A, </w:t>
      </w:r>
      <w:proofErr w:type="spellStart"/>
      <w:r w:rsidRPr="00090DE6">
        <w:rPr>
          <w:szCs w:val="24"/>
          <w:lang w:val="en-US"/>
        </w:rPr>
        <w:t>Hofstädter</w:t>
      </w:r>
      <w:proofErr w:type="spellEnd"/>
      <w:r w:rsidRPr="00090DE6">
        <w:rPr>
          <w:szCs w:val="24"/>
          <w:lang w:val="en-US"/>
        </w:rPr>
        <w:t xml:space="preserve"> F, </w:t>
      </w:r>
      <w:proofErr w:type="spellStart"/>
      <w:r w:rsidRPr="00090DE6">
        <w:rPr>
          <w:szCs w:val="24"/>
          <w:lang w:val="en-US"/>
        </w:rPr>
        <w:t>Schölmerich</w:t>
      </w:r>
      <w:proofErr w:type="spellEnd"/>
      <w:r w:rsidRPr="00090DE6">
        <w:rPr>
          <w:szCs w:val="24"/>
          <w:lang w:val="en-US"/>
        </w:rPr>
        <w:t xml:space="preserve"> J, </w:t>
      </w:r>
      <w:proofErr w:type="spellStart"/>
      <w:r w:rsidRPr="00090DE6">
        <w:rPr>
          <w:szCs w:val="24"/>
          <w:lang w:val="en-US"/>
        </w:rPr>
        <w:t>Herfarth</w:t>
      </w:r>
      <w:proofErr w:type="spellEnd"/>
      <w:r w:rsidRPr="00090DE6">
        <w:rPr>
          <w:szCs w:val="24"/>
          <w:lang w:val="en-US"/>
        </w:rPr>
        <w:t xml:space="preserve"> H, </w:t>
      </w:r>
      <w:proofErr w:type="spellStart"/>
      <w:r w:rsidRPr="00090DE6">
        <w:rPr>
          <w:szCs w:val="24"/>
          <w:lang w:val="en-US"/>
        </w:rPr>
        <w:t>Rogler</w:t>
      </w:r>
      <w:proofErr w:type="spellEnd"/>
      <w:r w:rsidRPr="00090DE6">
        <w:rPr>
          <w:szCs w:val="24"/>
          <w:lang w:val="en-US"/>
        </w:rPr>
        <w:t xml:space="preserve"> G. Morphological </w:t>
      </w:r>
      <w:proofErr w:type="spellStart"/>
      <w:r w:rsidRPr="00090DE6">
        <w:rPr>
          <w:szCs w:val="24"/>
          <w:lang w:val="en-US"/>
        </w:rPr>
        <w:t>characterisation</w:t>
      </w:r>
      <w:proofErr w:type="spellEnd"/>
      <w:r w:rsidRPr="00090DE6">
        <w:rPr>
          <w:szCs w:val="24"/>
          <w:lang w:val="en-US"/>
        </w:rPr>
        <w:t xml:space="preserve"> of Crohn's </w:t>
      </w:r>
      <w:r w:rsidRPr="00090DE6">
        <w:rPr>
          <w:szCs w:val="24"/>
          <w:lang w:val="en-US"/>
        </w:rPr>
        <w:lastRenderedPageBreak/>
        <w:t>disease fistulae. </w:t>
      </w:r>
      <w:r w:rsidRPr="00090DE6">
        <w:rPr>
          <w:i/>
          <w:iCs/>
          <w:szCs w:val="24"/>
          <w:lang w:val="en-US"/>
        </w:rPr>
        <w:t>Gut</w:t>
      </w:r>
      <w:r w:rsidRPr="00090DE6">
        <w:rPr>
          <w:szCs w:val="24"/>
          <w:lang w:val="en-US"/>
        </w:rPr>
        <w:t> 2004; </w:t>
      </w:r>
      <w:r w:rsidRPr="00090DE6">
        <w:rPr>
          <w:b/>
          <w:bCs/>
          <w:szCs w:val="24"/>
          <w:lang w:val="en-US"/>
        </w:rPr>
        <w:t>53</w:t>
      </w:r>
      <w:r w:rsidRPr="00090DE6">
        <w:rPr>
          <w:szCs w:val="24"/>
          <w:lang w:val="en-US"/>
        </w:rPr>
        <w:t>: 1314-1321 [PMID: 15306592 DOI: 10.1136/gut.2003.038208]</w:t>
      </w:r>
    </w:p>
    <w:p w14:paraId="301DD937"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11 </w:t>
      </w:r>
      <w:proofErr w:type="spellStart"/>
      <w:r w:rsidRPr="00090DE6">
        <w:rPr>
          <w:b/>
          <w:bCs/>
          <w:szCs w:val="24"/>
          <w:lang w:val="en-US"/>
        </w:rPr>
        <w:t>Bataille</w:t>
      </w:r>
      <w:proofErr w:type="spellEnd"/>
      <w:r w:rsidRPr="00090DE6">
        <w:rPr>
          <w:b/>
          <w:bCs/>
          <w:szCs w:val="24"/>
          <w:lang w:val="en-US"/>
        </w:rPr>
        <w:t xml:space="preserve"> F</w:t>
      </w:r>
      <w:r w:rsidRPr="00090DE6">
        <w:rPr>
          <w:szCs w:val="24"/>
          <w:lang w:val="en-US"/>
        </w:rPr>
        <w:t xml:space="preserve">, </w:t>
      </w:r>
      <w:proofErr w:type="spellStart"/>
      <w:r w:rsidRPr="00090DE6">
        <w:rPr>
          <w:szCs w:val="24"/>
          <w:lang w:val="en-US"/>
        </w:rPr>
        <w:t>Rohrmeier</w:t>
      </w:r>
      <w:proofErr w:type="spellEnd"/>
      <w:r w:rsidRPr="00090DE6">
        <w:rPr>
          <w:szCs w:val="24"/>
          <w:lang w:val="en-US"/>
        </w:rPr>
        <w:t xml:space="preserve"> C, Bates R, Weber A, </w:t>
      </w:r>
      <w:proofErr w:type="spellStart"/>
      <w:r w:rsidRPr="00090DE6">
        <w:rPr>
          <w:szCs w:val="24"/>
          <w:lang w:val="en-US"/>
        </w:rPr>
        <w:t>Rieder</w:t>
      </w:r>
      <w:proofErr w:type="spellEnd"/>
      <w:r w:rsidRPr="00090DE6">
        <w:rPr>
          <w:szCs w:val="24"/>
          <w:lang w:val="en-US"/>
        </w:rPr>
        <w:t xml:space="preserve"> F, </w:t>
      </w:r>
      <w:proofErr w:type="spellStart"/>
      <w:r w:rsidRPr="00090DE6">
        <w:rPr>
          <w:szCs w:val="24"/>
          <w:lang w:val="en-US"/>
        </w:rPr>
        <w:t>Brenmoehl</w:t>
      </w:r>
      <w:proofErr w:type="spellEnd"/>
      <w:r w:rsidRPr="00090DE6">
        <w:rPr>
          <w:szCs w:val="24"/>
          <w:lang w:val="en-US"/>
        </w:rPr>
        <w:t xml:space="preserve"> J, Strauch U, Farkas S, </w:t>
      </w:r>
      <w:proofErr w:type="spellStart"/>
      <w:r w:rsidRPr="00090DE6">
        <w:rPr>
          <w:szCs w:val="24"/>
          <w:lang w:val="en-US"/>
        </w:rPr>
        <w:t>Fürst</w:t>
      </w:r>
      <w:proofErr w:type="spellEnd"/>
      <w:r w:rsidRPr="00090DE6">
        <w:rPr>
          <w:szCs w:val="24"/>
          <w:lang w:val="en-US"/>
        </w:rPr>
        <w:t xml:space="preserve"> A, </w:t>
      </w:r>
      <w:proofErr w:type="spellStart"/>
      <w:r w:rsidRPr="00090DE6">
        <w:rPr>
          <w:szCs w:val="24"/>
          <w:lang w:val="en-US"/>
        </w:rPr>
        <w:t>Hofstädter</w:t>
      </w:r>
      <w:proofErr w:type="spellEnd"/>
      <w:r w:rsidRPr="00090DE6">
        <w:rPr>
          <w:szCs w:val="24"/>
          <w:lang w:val="en-US"/>
        </w:rPr>
        <w:t xml:space="preserve"> F, </w:t>
      </w:r>
      <w:proofErr w:type="spellStart"/>
      <w:r w:rsidRPr="00090DE6">
        <w:rPr>
          <w:szCs w:val="24"/>
          <w:lang w:val="en-US"/>
        </w:rPr>
        <w:t>Schölmerich</w:t>
      </w:r>
      <w:proofErr w:type="spellEnd"/>
      <w:r w:rsidRPr="00090DE6">
        <w:rPr>
          <w:szCs w:val="24"/>
          <w:lang w:val="en-US"/>
        </w:rPr>
        <w:t xml:space="preserve"> J, </w:t>
      </w:r>
      <w:proofErr w:type="spellStart"/>
      <w:r w:rsidRPr="00090DE6">
        <w:rPr>
          <w:szCs w:val="24"/>
          <w:lang w:val="en-US"/>
        </w:rPr>
        <w:t>Herfarth</w:t>
      </w:r>
      <w:proofErr w:type="spellEnd"/>
      <w:r w:rsidRPr="00090DE6">
        <w:rPr>
          <w:szCs w:val="24"/>
          <w:lang w:val="en-US"/>
        </w:rPr>
        <w:t xml:space="preserve"> H, </w:t>
      </w:r>
      <w:proofErr w:type="spellStart"/>
      <w:r w:rsidRPr="00090DE6">
        <w:rPr>
          <w:szCs w:val="24"/>
          <w:lang w:val="en-US"/>
        </w:rPr>
        <w:t>Rogler</w:t>
      </w:r>
      <w:proofErr w:type="spellEnd"/>
      <w:r w:rsidRPr="00090DE6">
        <w:rPr>
          <w:szCs w:val="24"/>
          <w:lang w:val="en-US"/>
        </w:rPr>
        <w:t xml:space="preserve"> G. Evidence for a role of epithelial mesenchymal transition during pathogenesis of fistulae in Crohn's disease. </w:t>
      </w:r>
      <w:proofErr w:type="spellStart"/>
      <w:r w:rsidRPr="00090DE6">
        <w:rPr>
          <w:i/>
          <w:iCs/>
          <w:szCs w:val="24"/>
          <w:lang w:val="en-US"/>
        </w:rPr>
        <w:t>Inflamm</w:t>
      </w:r>
      <w:proofErr w:type="spellEnd"/>
      <w:r w:rsidRPr="00090DE6">
        <w:rPr>
          <w:i/>
          <w:iCs/>
          <w:szCs w:val="24"/>
          <w:lang w:val="en-US"/>
        </w:rPr>
        <w:t xml:space="preserve"> Bowel Dis</w:t>
      </w:r>
      <w:r w:rsidRPr="00090DE6">
        <w:rPr>
          <w:szCs w:val="24"/>
          <w:lang w:val="en-US"/>
        </w:rPr>
        <w:t> 2008; </w:t>
      </w:r>
      <w:r w:rsidRPr="00090DE6">
        <w:rPr>
          <w:b/>
          <w:bCs/>
          <w:szCs w:val="24"/>
          <w:lang w:val="en-US"/>
        </w:rPr>
        <w:t>14</w:t>
      </w:r>
      <w:r w:rsidRPr="00090DE6">
        <w:rPr>
          <w:szCs w:val="24"/>
          <w:lang w:val="en-US"/>
        </w:rPr>
        <w:t>: 1514-1527 [PMID: 18626977 DOI: 10.1002/ibd.20590]</w:t>
      </w:r>
    </w:p>
    <w:p w14:paraId="0422E4E2"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12 </w:t>
      </w:r>
      <w:proofErr w:type="spellStart"/>
      <w:r w:rsidRPr="00090DE6">
        <w:rPr>
          <w:b/>
          <w:bCs/>
          <w:szCs w:val="24"/>
          <w:lang w:val="en-US"/>
        </w:rPr>
        <w:t>Kirkegaard</w:t>
      </w:r>
      <w:proofErr w:type="spellEnd"/>
      <w:r w:rsidRPr="00090DE6">
        <w:rPr>
          <w:b/>
          <w:bCs/>
          <w:szCs w:val="24"/>
          <w:lang w:val="en-US"/>
        </w:rPr>
        <w:t xml:space="preserve"> T</w:t>
      </w:r>
      <w:r w:rsidRPr="00090DE6">
        <w:rPr>
          <w:szCs w:val="24"/>
          <w:lang w:val="en-US"/>
        </w:rPr>
        <w:t xml:space="preserve">, Hansen A, </w:t>
      </w:r>
      <w:proofErr w:type="spellStart"/>
      <w:r w:rsidRPr="00090DE6">
        <w:rPr>
          <w:szCs w:val="24"/>
          <w:lang w:val="en-US"/>
        </w:rPr>
        <w:t>Bruun</w:t>
      </w:r>
      <w:proofErr w:type="spellEnd"/>
      <w:r w:rsidRPr="00090DE6">
        <w:rPr>
          <w:szCs w:val="24"/>
          <w:lang w:val="en-US"/>
        </w:rPr>
        <w:t xml:space="preserve"> E, </w:t>
      </w:r>
      <w:proofErr w:type="spellStart"/>
      <w:r w:rsidRPr="00090DE6">
        <w:rPr>
          <w:szCs w:val="24"/>
          <w:lang w:val="en-US"/>
        </w:rPr>
        <w:t>Brynskov</w:t>
      </w:r>
      <w:proofErr w:type="spellEnd"/>
      <w:r w:rsidRPr="00090DE6">
        <w:rPr>
          <w:szCs w:val="24"/>
          <w:lang w:val="en-US"/>
        </w:rPr>
        <w:t xml:space="preserve"> J. Expression and </w:t>
      </w:r>
      <w:proofErr w:type="spellStart"/>
      <w:r w:rsidRPr="00090DE6">
        <w:rPr>
          <w:szCs w:val="24"/>
          <w:lang w:val="en-US"/>
        </w:rPr>
        <w:t>localisation</w:t>
      </w:r>
      <w:proofErr w:type="spellEnd"/>
      <w:r w:rsidRPr="00090DE6">
        <w:rPr>
          <w:szCs w:val="24"/>
          <w:lang w:val="en-US"/>
        </w:rPr>
        <w:t xml:space="preserve"> of matrix metalloproteinases and their natural inhibitors in fistulae of patients with Crohn's disease. </w:t>
      </w:r>
      <w:r w:rsidRPr="00090DE6">
        <w:rPr>
          <w:i/>
          <w:iCs/>
          <w:szCs w:val="24"/>
          <w:lang w:val="en-US"/>
        </w:rPr>
        <w:t>Gut</w:t>
      </w:r>
      <w:r w:rsidRPr="00090DE6">
        <w:rPr>
          <w:szCs w:val="24"/>
          <w:lang w:val="en-US"/>
        </w:rPr>
        <w:t> 2004; </w:t>
      </w:r>
      <w:r w:rsidRPr="00090DE6">
        <w:rPr>
          <w:b/>
          <w:bCs/>
          <w:szCs w:val="24"/>
          <w:lang w:val="en-US"/>
        </w:rPr>
        <w:t>53</w:t>
      </w:r>
      <w:r w:rsidRPr="00090DE6">
        <w:rPr>
          <w:szCs w:val="24"/>
          <w:lang w:val="en-US"/>
        </w:rPr>
        <w:t>: 701-709 [PMID: 15082589 DOI: 10.1136/gut.2003.017442]</w:t>
      </w:r>
    </w:p>
    <w:p w14:paraId="49B353AB" w14:textId="38A5616E"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highlight w:val="yellow"/>
          <w:lang w:val="en-US"/>
        </w:rPr>
        <w:t xml:space="preserve">13 </w:t>
      </w:r>
      <w:r w:rsidRPr="006B2E3E">
        <w:rPr>
          <w:b/>
          <w:szCs w:val="24"/>
          <w:highlight w:val="yellow"/>
          <w:lang w:val="en-US"/>
        </w:rPr>
        <w:t>T</w:t>
      </w:r>
      <w:r w:rsidRPr="00090DE6">
        <w:rPr>
          <w:b/>
          <w:bCs/>
          <w:szCs w:val="24"/>
          <w:highlight w:val="yellow"/>
          <w:lang w:val="en-US"/>
        </w:rPr>
        <w:t>ozer P</w:t>
      </w:r>
      <w:r w:rsidRPr="00090DE6">
        <w:rPr>
          <w:szCs w:val="24"/>
          <w:highlight w:val="yellow"/>
          <w:lang w:val="en-US"/>
        </w:rPr>
        <w:t>. Clinical and experimental studies in idiopathic and Crohn’s-related anal fistula [MD(Res)]. London: Imperial College</w:t>
      </w:r>
      <w:r w:rsidR="006B2E3E">
        <w:rPr>
          <w:szCs w:val="24"/>
          <w:highlight w:val="yellow"/>
          <w:lang w:val="en-US"/>
        </w:rPr>
        <w:t>;</w:t>
      </w:r>
      <w:r w:rsidRPr="00090DE6">
        <w:rPr>
          <w:szCs w:val="24"/>
          <w:highlight w:val="yellow"/>
          <w:lang w:val="en-US"/>
        </w:rPr>
        <w:t xml:space="preserve"> 2011</w:t>
      </w:r>
    </w:p>
    <w:p w14:paraId="7F9DAF58"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14 </w:t>
      </w:r>
      <w:r w:rsidRPr="00090DE6">
        <w:rPr>
          <w:b/>
          <w:bCs/>
          <w:szCs w:val="24"/>
          <w:lang w:val="en-US"/>
        </w:rPr>
        <w:t>Irvine EJ</w:t>
      </w:r>
      <w:r w:rsidRPr="00090DE6">
        <w:rPr>
          <w:szCs w:val="24"/>
          <w:lang w:val="en-US"/>
        </w:rPr>
        <w:t>. Usual therapy improves perianal Crohn's disease as measured by a new disease activity index. McMaster IBD Study Group. </w:t>
      </w:r>
      <w:r w:rsidRPr="00090DE6">
        <w:rPr>
          <w:i/>
          <w:iCs/>
          <w:szCs w:val="24"/>
          <w:lang w:val="en-US"/>
        </w:rPr>
        <w:t>J Clin Gastroenterol</w:t>
      </w:r>
      <w:r w:rsidRPr="00090DE6">
        <w:rPr>
          <w:szCs w:val="24"/>
          <w:lang w:val="en-US"/>
        </w:rPr>
        <w:t> 1995; </w:t>
      </w:r>
      <w:r w:rsidRPr="00090DE6">
        <w:rPr>
          <w:b/>
          <w:bCs/>
          <w:szCs w:val="24"/>
          <w:lang w:val="en-US"/>
        </w:rPr>
        <w:t>20</w:t>
      </w:r>
      <w:r w:rsidRPr="00090DE6">
        <w:rPr>
          <w:szCs w:val="24"/>
          <w:lang w:val="en-US"/>
        </w:rPr>
        <w:t>: 27-32 [PMID: 7884173 DOI: 10.1097/00004836-199501000-00008]</w:t>
      </w:r>
    </w:p>
    <w:p w14:paraId="5F5CB635"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15 </w:t>
      </w:r>
      <w:proofErr w:type="spellStart"/>
      <w:r w:rsidRPr="00090DE6">
        <w:rPr>
          <w:b/>
          <w:bCs/>
          <w:szCs w:val="24"/>
          <w:lang w:val="en-US"/>
        </w:rPr>
        <w:t>Herdman</w:t>
      </w:r>
      <w:proofErr w:type="spellEnd"/>
      <w:r w:rsidRPr="00090DE6">
        <w:rPr>
          <w:b/>
          <w:bCs/>
          <w:szCs w:val="24"/>
          <w:lang w:val="en-US"/>
        </w:rPr>
        <w:t xml:space="preserve"> M</w:t>
      </w:r>
      <w:r w:rsidRPr="00090DE6">
        <w:rPr>
          <w:szCs w:val="24"/>
          <w:lang w:val="en-US"/>
        </w:rPr>
        <w:t xml:space="preserve">, </w:t>
      </w:r>
      <w:proofErr w:type="spellStart"/>
      <w:r w:rsidRPr="00090DE6">
        <w:rPr>
          <w:szCs w:val="24"/>
          <w:lang w:val="en-US"/>
        </w:rPr>
        <w:t>Gudex</w:t>
      </w:r>
      <w:proofErr w:type="spellEnd"/>
      <w:r w:rsidRPr="00090DE6">
        <w:rPr>
          <w:szCs w:val="24"/>
          <w:lang w:val="en-US"/>
        </w:rPr>
        <w:t xml:space="preserve"> C, Lloyd A, Janssen M, Kind P, Parkin D, </w:t>
      </w:r>
      <w:proofErr w:type="spellStart"/>
      <w:r w:rsidRPr="00090DE6">
        <w:rPr>
          <w:szCs w:val="24"/>
          <w:lang w:val="en-US"/>
        </w:rPr>
        <w:t>Bonsel</w:t>
      </w:r>
      <w:proofErr w:type="spellEnd"/>
      <w:r w:rsidRPr="00090DE6">
        <w:rPr>
          <w:szCs w:val="24"/>
          <w:lang w:val="en-US"/>
        </w:rPr>
        <w:t xml:space="preserve"> G, </w:t>
      </w:r>
      <w:proofErr w:type="spellStart"/>
      <w:r w:rsidRPr="00090DE6">
        <w:rPr>
          <w:szCs w:val="24"/>
          <w:lang w:val="en-US"/>
        </w:rPr>
        <w:t>Badia</w:t>
      </w:r>
      <w:proofErr w:type="spellEnd"/>
      <w:r w:rsidRPr="00090DE6">
        <w:rPr>
          <w:szCs w:val="24"/>
          <w:lang w:val="en-US"/>
        </w:rPr>
        <w:t xml:space="preserve"> X. Development and preliminary testing of the new five-level version of EQ-5D (EQ-5D-5L). </w:t>
      </w:r>
      <w:r w:rsidRPr="00090DE6">
        <w:rPr>
          <w:i/>
          <w:iCs/>
          <w:szCs w:val="24"/>
          <w:lang w:val="en-US"/>
        </w:rPr>
        <w:t>Qual Life Res</w:t>
      </w:r>
      <w:r w:rsidRPr="00090DE6">
        <w:rPr>
          <w:szCs w:val="24"/>
          <w:lang w:val="en-US"/>
        </w:rPr>
        <w:t> 2011; </w:t>
      </w:r>
      <w:r w:rsidRPr="00090DE6">
        <w:rPr>
          <w:b/>
          <w:bCs/>
          <w:szCs w:val="24"/>
          <w:lang w:val="en-US"/>
        </w:rPr>
        <w:t>20</w:t>
      </w:r>
      <w:r w:rsidRPr="00090DE6">
        <w:rPr>
          <w:szCs w:val="24"/>
          <w:lang w:val="en-US"/>
        </w:rPr>
        <w:t>: 1727-1736 [PMID: 21479777 DOI: 10.1007/s11136-011-9903-x]</w:t>
      </w:r>
    </w:p>
    <w:p w14:paraId="02C6F72F" w14:textId="41CE9E7D"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highlight w:val="yellow"/>
          <w:lang w:val="en-US"/>
        </w:rPr>
        <w:t>16 </w:t>
      </w:r>
      <w:r w:rsidRPr="00090DE6">
        <w:rPr>
          <w:b/>
          <w:bCs/>
          <w:szCs w:val="24"/>
          <w:highlight w:val="yellow"/>
          <w:lang w:val="en-US"/>
        </w:rPr>
        <w:t>Merck Millipore</w:t>
      </w:r>
      <w:r w:rsidRPr="00090DE6">
        <w:rPr>
          <w:szCs w:val="24"/>
          <w:highlight w:val="yellow"/>
          <w:lang w:val="en-US"/>
        </w:rPr>
        <w:t>. MILLIPLEX MAP Human Cytokine/Chemokine Magnetic Bead Panel - Immunology Multiplex Assay [Internet]. Merck Millipore [cited 2019 Sep 21]. Available from: http://www.merckmillipore.com/NZ/en/product/MILLIPLEX-MAP-Human-Cytokine-Chemokine-Magnetic-Bead-Panel-Immunology-Multiplex-Assay</w:t>
      </w:r>
    </w:p>
    <w:p w14:paraId="26057714"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17 </w:t>
      </w:r>
      <w:proofErr w:type="spellStart"/>
      <w:r w:rsidRPr="00090DE6">
        <w:rPr>
          <w:b/>
          <w:bCs/>
          <w:szCs w:val="24"/>
          <w:lang w:val="en-US"/>
        </w:rPr>
        <w:t>Vossenkämper</w:t>
      </w:r>
      <w:proofErr w:type="spellEnd"/>
      <w:r w:rsidRPr="00090DE6">
        <w:rPr>
          <w:b/>
          <w:bCs/>
          <w:szCs w:val="24"/>
          <w:lang w:val="en-US"/>
        </w:rPr>
        <w:t xml:space="preserve"> A</w:t>
      </w:r>
      <w:r w:rsidRPr="00090DE6">
        <w:rPr>
          <w:szCs w:val="24"/>
          <w:lang w:val="en-US"/>
        </w:rPr>
        <w:t xml:space="preserve">, </w:t>
      </w:r>
      <w:proofErr w:type="spellStart"/>
      <w:r w:rsidRPr="00090DE6">
        <w:rPr>
          <w:szCs w:val="24"/>
          <w:lang w:val="en-US"/>
        </w:rPr>
        <w:t>Hundsrucker</w:t>
      </w:r>
      <w:proofErr w:type="spellEnd"/>
      <w:r w:rsidRPr="00090DE6">
        <w:rPr>
          <w:szCs w:val="24"/>
          <w:lang w:val="en-US"/>
        </w:rPr>
        <w:t xml:space="preserve"> C, Page K, van </w:t>
      </w:r>
      <w:proofErr w:type="spellStart"/>
      <w:r w:rsidRPr="00090DE6">
        <w:rPr>
          <w:szCs w:val="24"/>
          <w:lang w:val="en-US"/>
        </w:rPr>
        <w:t>Maurik</w:t>
      </w:r>
      <w:proofErr w:type="spellEnd"/>
      <w:r w:rsidRPr="00090DE6">
        <w:rPr>
          <w:szCs w:val="24"/>
          <w:lang w:val="en-US"/>
        </w:rPr>
        <w:t xml:space="preserve"> A, Sanders TJ, Stagg AJ, Das L, MacDonald TT. A CD3-specific antibody reduces cytokine production and alters phosphoprotein profiles in intestinal tissues from patients with inflammatory bowel disease. </w:t>
      </w:r>
      <w:r w:rsidRPr="00090DE6">
        <w:rPr>
          <w:i/>
          <w:iCs/>
          <w:szCs w:val="24"/>
          <w:lang w:val="en-US"/>
        </w:rPr>
        <w:t>Gastroenterology</w:t>
      </w:r>
      <w:r w:rsidRPr="00090DE6">
        <w:rPr>
          <w:szCs w:val="24"/>
          <w:lang w:val="en-US"/>
        </w:rPr>
        <w:t> 2014; </w:t>
      </w:r>
      <w:r w:rsidRPr="00090DE6">
        <w:rPr>
          <w:b/>
          <w:bCs/>
          <w:szCs w:val="24"/>
          <w:lang w:val="en-US"/>
        </w:rPr>
        <w:t>147</w:t>
      </w:r>
      <w:r w:rsidRPr="00090DE6">
        <w:rPr>
          <w:szCs w:val="24"/>
          <w:lang w:val="en-US"/>
        </w:rPr>
        <w:t>: 172-183 [PMID: 24704524 DOI: 10.1053/j.gastro.2014.03.049]</w:t>
      </w:r>
    </w:p>
    <w:p w14:paraId="3AB60C2A"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18 </w:t>
      </w:r>
      <w:r w:rsidRPr="00090DE6">
        <w:rPr>
          <w:b/>
          <w:bCs/>
          <w:szCs w:val="24"/>
          <w:lang w:val="en-US"/>
        </w:rPr>
        <w:t>von Elm E</w:t>
      </w:r>
      <w:r w:rsidRPr="00090DE6">
        <w:rPr>
          <w:szCs w:val="24"/>
          <w:lang w:val="en-US"/>
        </w:rPr>
        <w:t xml:space="preserve">, Altman DG, Egger M, Pocock SJ, </w:t>
      </w:r>
      <w:proofErr w:type="spellStart"/>
      <w:r w:rsidRPr="00090DE6">
        <w:rPr>
          <w:szCs w:val="24"/>
          <w:lang w:val="en-US"/>
        </w:rPr>
        <w:t>Gøtzsche</w:t>
      </w:r>
      <w:proofErr w:type="spellEnd"/>
      <w:r w:rsidRPr="00090DE6">
        <w:rPr>
          <w:szCs w:val="24"/>
          <w:lang w:val="en-US"/>
        </w:rPr>
        <w:t xml:space="preserve"> PC, </w:t>
      </w:r>
      <w:proofErr w:type="spellStart"/>
      <w:r w:rsidRPr="00090DE6">
        <w:rPr>
          <w:szCs w:val="24"/>
          <w:lang w:val="en-US"/>
        </w:rPr>
        <w:t>Vandenbroucke</w:t>
      </w:r>
      <w:proofErr w:type="spellEnd"/>
      <w:r w:rsidRPr="00090DE6">
        <w:rPr>
          <w:szCs w:val="24"/>
          <w:lang w:val="en-US"/>
        </w:rPr>
        <w:t xml:space="preserve"> JP; STROBE Initiative. Strengthening the Reporting of Observational Studies in </w:t>
      </w:r>
      <w:r w:rsidRPr="00090DE6">
        <w:rPr>
          <w:szCs w:val="24"/>
          <w:lang w:val="en-US"/>
        </w:rPr>
        <w:lastRenderedPageBreak/>
        <w:t>Epidemiology (STROBE) statement: guidelines for reporting observational studies. </w:t>
      </w:r>
      <w:r w:rsidRPr="00090DE6">
        <w:rPr>
          <w:i/>
          <w:iCs/>
          <w:szCs w:val="24"/>
          <w:lang w:val="en-US"/>
        </w:rPr>
        <w:t>BMJ</w:t>
      </w:r>
      <w:r w:rsidRPr="00090DE6">
        <w:rPr>
          <w:szCs w:val="24"/>
          <w:lang w:val="en-US"/>
        </w:rPr>
        <w:t> 2007; </w:t>
      </w:r>
      <w:r w:rsidRPr="00090DE6">
        <w:rPr>
          <w:b/>
          <w:bCs/>
          <w:szCs w:val="24"/>
          <w:lang w:val="en-US"/>
        </w:rPr>
        <w:t>335</w:t>
      </w:r>
      <w:r w:rsidRPr="00090DE6">
        <w:rPr>
          <w:szCs w:val="24"/>
          <w:lang w:val="en-US"/>
        </w:rPr>
        <w:t>: 806-808 [PMID: 17947786 DOI: 10.1136/bmj.39335.541782.AD]</w:t>
      </w:r>
    </w:p>
    <w:p w14:paraId="74FD8630"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19 </w:t>
      </w:r>
      <w:proofErr w:type="spellStart"/>
      <w:r w:rsidRPr="00090DE6">
        <w:rPr>
          <w:b/>
          <w:bCs/>
          <w:szCs w:val="24"/>
          <w:lang w:val="en-US"/>
        </w:rPr>
        <w:t>Ruffolo</w:t>
      </w:r>
      <w:proofErr w:type="spellEnd"/>
      <w:r w:rsidRPr="00090DE6">
        <w:rPr>
          <w:b/>
          <w:bCs/>
          <w:szCs w:val="24"/>
          <w:lang w:val="en-US"/>
        </w:rPr>
        <w:t xml:space="preserve"> C</w:t>
      </w:r>
      <w:r w:rsidRPr="00090DE6">
        <w:rPr>
          <w:szCs w:val="24"/>
          <w:lang w:val="en-US"/>
        </w:rPr>
        <w:t xml:space="preserve">, Scarpa M, </w:t>
      </w:r>
      <w:proofErr w:type="spellStart"/>
      <w:r w:rsidRPr="00090DE6">
        <w:rPr>
          <w:szCs w:val="24"/>
          <w:lang w:val="en-US"/>
        </w:rPr>
        <w:t>Faggian</w:t>
      </w:r>
      <w:proofErr w:type="spellEnd"/>
      <w:r w:rsidRPr="00090DE6">
        <w:rPr>
          <w:szCs w:val="24"/>
          <w:lang w:val="en-US"/>
        </w:rPr>
        <w:t xml:space="preserve"> D, </w:t>
      </w:r>
      <w:proofErr w:type="spellStart"/>
      <w:r w:rsidRPr="00090DE6">
        <w:rPr>
          <w:szCs w:val="24"/>
          <w:lang w:val="en-US"/>
        </w:rPr>
        <w:t>Pozza</w:t>
      </w:r>
      <w:proofErr w:type="spellEnd"/>
      <w:r w:rsidRPr="00090DE6">
        <w:rPr>
          <w:szCs w:val="24"/>
          <w:lang w:val="en-US"/>
        </w:rPr>
        <w:t xml:space="preserve"> A, </w:t>
      </w:r>
      <w:proofErr w:type="spellStart"/>
      <w:r w:rsidRPr="00090DE6">
        <w:rPr>
          <w:szCs w:val="24"/>
          <w:lang w:val="en-US"/>
        </w:rPr>
        <w:t>Navaglia</w:t>
      </w:r>
      <w:proofErr w:type="spellEnd"/>
      <w:r w:rsidRPr="00090DE6">
        <w:rPr>
          <w:szCs w:val="24"/>
          <w:lang w:val="en-US"/>
        </w:rPr>
        <w:t xml:space="preserve"> F, </w:t>
      </w:r>
      <w:proofErr w:type="spellStart"/>
      <w:r w:rsidRPr="00090DE6">
        <w:rPr>
          <w:szCs w:val="24"/>
          <w:lang w:val="en-US"/>
        </w:rPr>
        <w:t>D'Incà</w:t>
      </w:r>
      <w:proofErr w:type="spellEnd"/>
      <w:r w:rsidRPr="00090DE6">
        <w:rPr>
          <w:szCs w:val="24"/>
          <w:lang w:val="en-US"/>
        </w:rPr>
        <w:t xml:space="preserve"> R, Hoxha P, </w:t>
      </w:r>
      <w:proofErr w:type="spellStart"/>
      <w:r w:rsidRPr="00090DE6">
        <w:rPr>
          <w:szCs w:val="24"/>
          <w:lang w:val="en-US"/>
        </w:rPr>
        <w:t>Romanato</w:t>
      </w:r>
      <w:proofErr w:type="spellEnd"/>
      <w:r w:rsidRPr="00090DE6">
        <w:rPr>
          <w:szCs w:val="24"/>
          <w:lang w:val="en-US"/>
        </w:rPr>
        <w:t xml:space="preserve"> G, </w:t>
      </w:r>
      <w:proofErr w:type="spellStart"/>
      <w:r w:rsidRPr="00090DE6">
        <w:rPr>
          <w:szCs w:val="24"/>
          <w:lang w:val="en-US"/>
        </w:rPr>
        <w:t>Polese</w:t>
      </w:r>
      <w:proofErr w:type="spellEnd"/>
      <w:r w:rsidRPr="00090DE6">
        <w:rPr>
          <w:szCs w:val="24"/>
          <w:lang w:val="en-US"/>
        </w:rPr>
        <w:t xml:space="preserve"> L, </w:t>
      </w:r>
      <w:proofErr w:type="spellStart"/>
      <w:r w:rsidRPr="00090DE6">
        <w:rPr>
          <w:szCs w:val="24"/>
          <w:lang w:val="en-US"/>
        </w:rPr>
        <w:t>Sturniolo</w:t>
      </w:r>
      <w:proofErr w:type="spellEnd"/>
      <w:r w:rsidRPr="00090DE6">
        <w:rPr>
          <w:szCs w:val="24"/>
          <w:lang w:val="en-US"/>
        </w:rPr>
        <w:t xml:space="preserve"> GC, </w:t>
      </w:r>
      <w:proofErr w:type="spellStart"/>
      <w:r w:rsidRPr="00090DE6">
        <w:rPr>
          <w:szCs w:val="24"/>
          <w:lang w:val="en-US"/>
        </w:rPr>
        <w:t>Plebani</w:t>
      </w:r>
      <w:proofErr w:type="spellEnd"/>
      <w:r w:rsidRPr="00090DE6">
        <w:rPr>
          <w:szCs w:val="24"/>
          <w:lang w:val="en-US"/>
        </w:rPr>
        <w:t xml:space="preserve"> M, D'Amico DF, </w:t>
      </w:r>
      <w:proofErr w:type="spellStart"/>
      <w:r w:rsidRPr="00090DE6">
        <w:rPr>
          <w:szCs w:val="24"/>
          <w:lang w:val="en-US"/>
        </w:rPr>
        <w:t>Angriman</w:t>
      </w:r>
      <w:proofErr w:type="spellEnd"/>
      <w:r w:rsidRPr="00090DE6">
        <w:rPr>
          <w:szCs w:val="24"/>
          <w:lang w:val="en-US"/>
        </w:rPr>
        <w:t xml:space="preserve"> I. Cytokine network in rectal mucosa in perianal Crohn's disease: relations with inflammatory parameters and need for surgery. </w:t>
      </w:r>
      <w:proofErr w:type="spellStart"/>
      <w:r w:rsidRPr="00090DE6">
        <w:rPr>
          <w:i/>
          <w:iCs/>
          <w:szCs w:val="24"/>
          <w:lang w:val="en-US"/>
        </w:rPr>
        <w:t>Inflamm</w:t>
      </w:r>
      <w:proofErr w:type="spellEnd"/>
      <w:r w:rsidRPr="00090DE6">
        <w:rPr>
          <w:i/>
          <w:iCs/>
          <w:szCs w:val="24"/>
          <w:lang w:val="en-US"/>
        </w:rPr>
        <w:t xml:space="preserve"> Bowel Dis</w:t>
      </w:r>
      <w:r w:rsidRPr="00090DE6">
        <w:rPr>
          <w:szCs w:val="24"/>
          <w:lang w:val="en-US"/>
        </w:rPr>
        <w:t> 2008; </w:t>
      </w:r>
      <w:r w:rsidRPr="00090DE6">
        <w:rPr>
          <w:b/>
          <w:bCs/>
          <w:szCs w:val="24"/>
          <w:lang w:val="en-US"/>
        </w:rPr>
        <w:t>14</w:t>
      </w:r>
      <w:r w:rsidRPr="00090DE6">
        <w:rPr>
          <w:szCs w:val="24"/>
          <w:lang w:val="en-US"/>
        </w:rPr>
        <w:t>: 1406-1412 [PMID: 18452203 DOI: 10.1002/ibd.20486]</w:t>
      </w:r>
    </w:p>
    <w:p w14:paraId="3D11E4F6"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20 </w:t>
      </w:r>
      <w:proofErr w:type="spellStart"/>
      <w:r w:rsidRPr="00090DE6">
        <w:rPr>
          <w:b/>
          <w:bCs/>
          <w:szCs w:val="24"/>
          <w:lang w:val="en-US"/>
        </w:rPr>
        <w:t>Ruffolo</w:t>
      </w:r>
      <w:proofErr w:type="spellEnd"/>
      <w:r w:rsidRPr="00090DE6">
        <w:rPr>
          <w:b/>
          <w:bCs/>
          <w:szCs w:val="24"/>
          <w:lang w:val="en-US"/>
        </w:rPr>
        <w:t xml:space="preserve"> C</w:t>
      </w:r>
      <w:r w:rsidRPr="00090DE6">
        <w:rPr>
          <w:szCs w:val="24"/>
          <w:lang w:val="en-US"/>
        </w:rPr>
        <w:t xml:space="preserve">, Scarpa M, </w:t>
      </w:r>
      <w:proofErr w:type="spellStart"/>
      <w:r w:rsidRPr="00090DE6">
        <w:rPr>
          <w:szCs w:val="24"/>
          <w:lang w:val="en-US"/>
        </w:rPr>
        <w:t>Faggian</w:t>
      </w:r>
      <w:proofErr w:type="spellEnd"/>
      <w:r w:rsidRPr="00090DE6">
        <w:rPr>
          <w:szCs w:val="24"/>
          <w:lang w:val="en-US"/>
        </w:rPr>
        <w:t xml:space="preserve"> D, </w:t>
      </w:r>
      <w:proofErr w:type="spellStart"/>
      <w:r w:rsidRPr="00090DE6">
        <w:rPr>
          <w:szCs w:val="24"/>
          <w:lang w:val="en-US"/>
        </w:rPr>
        <w:t>Romanato</w:t>
      </w:r>
      <w:proofErr w:type="spellEnd"/>
      <w:r w:rsidRPr="00090DE6">
        <w:rPr>
          <w:szCs w:val="24"/>
          <w:lang w:val="en-US"/>
        </w:rPr>
        <w:t xml:space="preserve"> G, De </w:t>
      </w:r>
      <w:proofErr w:type="spellStart"/>
      <w:r w:rsidRPr="00090DE6">
        <w:rPr>
          <w:szCs w:val="24"/>
          <w:lang w:val="en-US"/>
        </w:rPr>
        <w:t>Pellegrin</w:t>
      </w:r>
      <w:proofErr w:type="spellEnd"/>
      <w:r w:rsidRPr="00090DE6">
        <w:rPr>
          <w:szCs w:val="24"/>
          <w:lang w:val="en-US"/>
        </w:rPr>
        <w:t xml:space="preserve"> A, </w:t>
      </w:r>
      <w:proofErr w:type="spellStart"/>
      <w:r w:rsidRPr="00090DE6">
        <w:rPr>
          <w:szCs w:val="24"/>
          <w:lang w:val="en-US"/>
        </w:rPr>
        <w:t>Filosa</w:t>
      </w:r>
      <w:proofErr w:type="spellEnd"/>
      <w:r w:rsidRPr="00090DE6">
        <w:rPr>
          <w:szCs w:val="24"/>
          <w:lang w:val="en-US"/>
        </w:rPr>
        <w:t xml:space="preserve"> T, </w:t>
      </w:r>
      <w:proofErr w:type="spellStart"/>
      <w:r w:rsidRPr="00090DE6">
        <w:rPr>
          <w:szCs w:val="24"/>
          <w:lang w:val="en-US"/>
        </w:rPr>
        <w:t>Prando</w:t>
      </w:r>
      <w:proofErr w:type="spellEnd"/>
      <w:r w:rsidRPr="00090DE6">
        <w:rPr>
          <w:szCs w:val="24"/>
          <w:lang w:val="en-US"/>
        </w:rPr>
        <w:t xml:space="preserve"> D, </w:t>
      </w:r>
      <w:proofErr w:type="spellStart"/>
      <w:r w:rsidRPr="00090DE6">
        <w:rPr>
          <w:szCs w:val="24"/>
          <w:lang w:val="en-US"/>
        </w:rPr>
        <w:t>Polese</w:t>
      </w:r>
      <w:proofErr w:type="spellEnd"/>
      <w:r w:rsidRPr="00090DE6">
        <w:rPr>
          <w:szCs w:val="24"/>
          <w:lang w:val="en-US"/>
        </w:rPr>
        <w:t xml:space="preserve"> L, </w:t>
      </w:r>
      <w:proofErr w:type="spellStart"/>
      <w:r w:rsidRPr="00090DE6">
        <w:rPr>
          <w:szCs w:val="24"/>
          <w:lang w:val="en-US"/>
        </w:rPr>
        <w:t>Scopelliti</w:t>
      </w:r>
      <w:proofErr w:type="spellEnd"/>
      <w:r w:rsidRPr="00090DE6">
        <w:rPr>
          <w:szCs w:val="24"/>
          <w:lang w:val="en-US"/>
        </w:rPr>
        <w:t xml:space="preserve"> M, Pilon F, </w:t>
      </w:r>
      <w:proofErr w:type="spellStart"/>
      <w:r w:rsidRPr="00090DE6">
        <w:rPr>
          <w:szCs w:val="24"/>
          <w:lang w:val="en-US"/>
        </w:rPr>
        <w:t>Ossi</w:t>
      </w:r>
      <w:proofErr w:type="spellEnd"/>
      <w:r w:rsidRPr="00090DE6">
        <w:rPr>
          <w:szCs w:val="24"/>
          <w:lang w:val="en-US"/>
        </w:rPr>
        <w:t xml:space="preserve"> E, </w:t>
      </w:r>
      <w:proofErr w:type="spellStart"/>
      <w:r w:rsidRPr="00090DE6">
        <w:rPr>
          <w:szCs w:val="24"/>
          <w:lang w:val="en-US"/>
        </w:rPr>
        <w:t>Frego</w:t>
      </w:r>
      <w:proofErr w:type="spellEnd"/>
      <w:r w:rsidRPr="00090DE6">
        <w:rPr>
          <w:szCs w:val="24"/>
          <w:lang w:val="en-US"/>
        </w:rPr>
        <w:t xml:space="preserve"> M, D'Amico DF, </w:t>
      </w:r>
      <w:proofErr w:type="spellStart"/>
      <w:r w:rsidRPr="00090DE6">
        <w:rPr>
          <w:szCs w:val="24"/>
          <w:lang w:val="en-US"/>
        </w:rPr>
        <w:t>Angriman</w:t>
      </w:r>
      <w:proofErr w:type="spellEnd"/>
      <w:r w:rsidRPr="00090DE6">
        <w:rPr>
          <w:szCs w:val="24"/>
          <w:lang w:val="en-US"/>
        </w:rPr>
        <w:t xml:space="preserve"> I. Cytokine network in chronic perianal Crohn's disease and indeterminate colitis after colectomy. </w:t>
      </w:r>
      <w:r w:rsidRPr="00090DE6">
        <w:rPr>
          <w:i/>
          <w:iCs/>
          <w:szCs w:val="24"/>
          <w:lang w:val="en-US"/>
        </w:rPr>
        <w:t xml:space="preserve">J </w:t>
      </w:r>
      <w:proofErr w:type="spellStart"/>
      <w:r w:rsidRPr="00090DE6">
        <w:rPr>
          <w:i/>
          <w:iCs/>
          <w:szCs w:val="24"/>
          <w:lang w:val="en-US"/>
        </w:rPr>
        <w:t>Gastrointest</w:t>
      </w:r>
      <w:proofErr w:type="spellEnd"/>
      <w:r w:rsidRPr="00090DE6">
        <w:rPr>
          <w:i/>
          <w:iCs/>
          <w:szCs w:val="24"/>
          <w:lang w:val="en-US"/>
        </w:rPr>
        <w:t xml:space="preserve"> </w:t>
      </w:r>
      <w:proofErr w:type="spellStart"/>
      <w:r w:rsidRPr="00090DE6">
        <w:rPr>
          <w:i/>
          <w:iCs/>
          <w:szCs w:val="24"/>
          <w:lang w:val="en-US"/>
        </w:rPr>
        <w:t>Surg</w:t>
      </w:r>
      <w:proofErr w:type="spellEnd"/>
      <w:r w:rsidRPr="00090DE6">
        <w:rPr>
          <w:szCs w:val="24"/>
          <w:lang w:val="en-US"/>
        </w:rPr>
        <w:t> 2007; </w:t>
      </w:r>
      <w:r w:rsidRPr="00090DE6">
        <w:rPr>
          <w:b/>
          <w:bCs/>
          <w:szCs w:val="24"/>
          <w:lang w:val="en-US"/>
        </w:rPr>
        <w:t>11</w:t>
      </w:r>
      <w:r w:rsidRPr="00090DE6">
        <w:rPr>
          <w:szCs w:val="24"/>
          <w:lang w:val="en-US"/>
        </w:rPr>
        <w:t>: 16-21 [PMID: 17390181 DOI: 10.1007/s11605-006-0021-y]</w:t>
      </w:r>
    </w:p>
    <w:p w14:paraId="72897F37"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21 </w:t>
      </w:r>
      <w:proofErr w:type="spellStart"/>
      <w:r w:rsidRPr="00090DE6">
        <w:rPr>
          <w:b/>
          <w:bCs/>
          <w:szCs w:val="24"/>
          <w:lang w:val="en-US"/>
        </w:rPr>
        <w:t>Műzes</w:t>
      </w:r>
      <w:proofErr w:type="spellEnd"/>
      <w:r w:rsidRPr="00090DE6">
        <w:rPr>
          <w:b/>
          <w:bCs/>
          <w:szCs w:val="24"/>
          <w:lang w:val="en-US"/>
        </w:rPr>
        <w:t xml:space="preserve"> G</w:t>
      </w:r>
      <w:r w:rsidRPr="00090DE6">
        <w:rPr>
          <w:szCs w:val="24"/>
          <w:lang w:val="en-US"/>
        </w:rPr>
        <w:t xml:space="preserve">, </w:t>
      </w:r>
      <w:proofErr w:type="spellStart"/>
      <w:r w:rsidRPr="00090DE6">
        <w:rPr>
          <w:szCs w:val="24"/>
          <w:lang w:val="en-US"/>
        </w:rPr>
        <w:t>Molnár</w:t>
      </w:r>
      <w:proofErr w:type="spellEnd"/>
      <w:r w:rsidRPr="00090DE6">
        <w:rPr>
          <w:szCs w:val="24"/>
          <w:lang w:val="en-US"/>
        </w:rPr>
        <w:t xml:space="preserve"> B, </w:t>
      </w:r>
      <w:proofErr w:type="spellStart"/>
      <w:r w:rsidRPr="00090DE6">
        <w:rPr>
          <w:szCs w:val="24"/>
          <w:lang w:val="en-US"/>
        </w:rPr>
        <w:t>Tulassay</w:t>
      </w:r>
      <w:proofErr w:type="spellEnd"/>
      <w:r w:rsidRPr="00090DE6">
        <w:rPr>
          <w:szCs w:val="24"/>
          <w:lang w:val="en-US"/>
        </w:rPr>
        <w:t xml:space="preserve"> Z, Sipos F. Changes of the cytokine profile in inflammatory bowel diseases. </w:t>
      </w:r>
      <w:r w:rsidRPr="00090DE6">
        <w:rPr>
          <w:i/>
          <w:iCs/>
          <w:szCs w:val="24"/>
          <w:lang w:val="en-US"/>
        </w:rPr>
        <w:t>World J Gastroenterol</w:t>
      </w:r>
      <w:r w:rsidRPr="00090DE6">
        <w:rPr>
          <w:szCs w:val="24"/>
          <w:lang w:val="en-US"/>
        </w:rPr>
        <w:t> 2012; </w:t>
      </w:r>
      <w:r w:rsidRPr="00090DE6">
        <w:rPr>
          <w:b/>
          <w:bCs/>
          <w:szCs w:val="24"/>
          <w:lang w:val="en-US"/>
        </w:rPr>
        <w:t>18</w:t>
      </w:r>
      <w:r w:rsidRPr="00090DE6">
        <w:rPr>
          <w:szCs w:val="24"/>
          <w:lang w:val="en-US"/>
        </w:rPr>
        <w:t>: 5848-5861 [PMID: 23139600 DOI: 10.3748/wjg.v18.i41.5848]</w:t>
      </w:r>
    </w:p>
    <w:p w14:paraId="1FE2569F"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22 </w:t>
      </w:r>
      <w:proofErr w:type="spellStart"/>
      <w:r w:rsidRPr="00090DE6">
        <w:rPr>
          <w:b/>
          <w:bCs/>
          <w:szCs w:val="24"/>
          <w:lang w:val="en-US"/>
        </w:rPr>
        <w:t>Trinchieri</w:t>
      </w:r>
      <w:proofErr w:type="spellEnd"/>
      <w:r w:rsidRPr="00090DE6">
        <w:rPr>
          <w:b/>
          <w:bCs/>
          <w:szCs w:val="24"/>
          <w:lang w:val="en-US"/>
        </w:rPr>
        <w:t xml:space="preserve"> G</w:t>
      </w:r>
      <w:r w:rsidRPr="00090DE6">
        <w:rPr>
          <w:szCs w:val="24"/>
          <w:lang w:val="en-US"/>
        </w:rPr>
        <w:t>. Interleukin-12 and the regulation of innate resistance and adaptive immunity. </w:t>
      </w:r>
      <w:r w:rsidRPr="00090DE6">
        <w:rPr>
          <w:i/>
          <w:iCs/>
          <w:szCs w:val="24"/>
          <w:lang w:val="en-US"/>
        </w:rPr>
        <w:t>Nat Rev Immunol</w:t>
      </w:r>
      <w:r w:rsidRPr="00090DE6">
        <w:rPr>
          <w:szCs w:val="24"/>
          <w:lang w:val="en-US"/>
        </w:rPr>
        <w:t> 2003; </w:t>
      </w:r>
      <w:r w:rsidRPr="00090DE6">
        <w:rPr>
          <w:b/>
          <w:bCs/>
          <w:szCs w:val="24"/>
          <w:lang w:val="en-US"/>
        </w:rPr>
        <w:t>3</w:t>
      </w:r>
      <w:r w:rsidRPr="00090DE6">
        <w:rPr>
          <w:szCs w:val="24"/>
          <w:lang w:val="en-US"/>
        </w:rPr>
        <w:t>: 133-146 [PMID: 12563297 DOI: 10.1038/nri1001]</w:t>
      </w:r>
    </w:p>
    <w:p w14:paraId="4921CC21"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23 </w:t>
      </w:r>
      <w:r w:rsidRPr="00090DE6">
        <w:rPr>
          <w:b/>
          <w:bCs/>
          <w:szCs w:val="24"/>
          <w:lang w:val="en-US"/>
        </w:rPr>
        <w:t>Monteleone G</w:t>
      </w:r>
      <w:r w:rsidRPr="00090DE6">
        <w:rPr>
          <w:szCs w:val="24"/>
          <w:lang w:val="en-US"/>
        </w:rPr>
        <w:t xml:space="preserve">, </w:t>
      </w:r>
      <w:proofErr w:type="spellStart"/>
      <w:r w:rsidRPr="00090DE6">
        <w:rPr>
          <w:szCs w:val="24"/>
          <w:lang w:val="en-US"/>
        </w:rPr>
        <w:t>Biancone</w:t>
      </w:r>
      <w:proofErr w:type="spellEnd"/>
      <w:r w:rsidRPr="00090DE6">
        <w:rPr>
          <w:szCs w:val="24"/>
          <w:lang w:val="en-US"/>
        </w:rPr>
        <w:t xml:space="preserve"> L, Marasco R, </w:t>
      </w:r>
      <w:proofErr w:type="spellStart"/>
      <w:r w:rsidRPr="00090DE6">
        <w:rPr>
          <w:szCs w:val="24"/>
          <w:lang w:val="en-US"/>
        </w:rPr>
        <w:t>Morrone</w:t>
      </w:r>
      <w:proofErr w:type="spellEnd"/>
      <w:r w:rsidRPr="00090DE6">
        <w:rPr>
          <w:szCs w:val="24"/>
          <w:lang w:val="en-US"/>
        </w:rPr>
        <w:t xml:space="preserve"> G, Marasco O, </w:t>
      </w:r>
      <w:proofErr w:type="spellStart"/>
      <w:r w:rsidRPr="00090DE6">
        <w:rPr>
          <w:szCs w:val="24"/>
          <w:lang w:val="en-US"/>
        </w:rPr>
        <w:t>Luzza</w:t>
      </w:r>
      <w:proofErr w:type="spellEnd"/>
      <w:r w:rsidRPr="00090DE6">
        <w:rPr>
          <w:szCs w:val="24"/>
          <w:lang w:val="en-US"/>
        </w:rPr>
        <w:t xml:space="preserve"> F, Pallone F. Interleukin 12 is expressed and actively released by Crohn's disease intestinal lamina propria mononuclear cells. </w:t>
      </w:r>
      <w:r w:rsidRPr="00090DE6">
        <w:rPr>
          <w:i/>
          <w:iCs/>
          <w:szCs w:val="24"/>
          <w:lang w:val="en-US"/>
        </w:rPr>
        <w:t>Gastroenterology</w:t>
      </w:r>
      <w:r w:rsidRPr="00090DE6">
        <w:rPr>
          <w:szCs w:val="24"/>
          <w:lang w:val="en-US"/>
        </w:rPr>
        <w:t> 1997; </w:t>
      </w:r>
      <w:r w:rsidRPr="00090DE6">
        <w:rPr>
          <w:b/>
          <w:bCs/>
          <w:szCs w:val="24"/>
          <w:lang w:val="en-US"/>
        </w:rPr>
        <w:t>112</w:t>
      </w:r>
      <w:r w:rsidRPr="00090DE6">
        <w:rPr>
          <w:szCs w:val="24"/>
          <w:lang w:val="en-US"/>
        </w:rPr>
        <w:t>: 1169-1178 [PMID: 9098000 DOI: 10.1016/S0016-5085(97)70128-8]</w:t>
      </w:r>
    </w:p>
    <w:p w14:paraId="30A0FAEF"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24 </w:t>
      </w:r>
      <w:r w:rsidRPr="00090DE6">
        <w:rPr>
          <w:b/>
          <w:bCs/>
          <w:szCs w:val="24"/>
          <w:lang w:val="en-US"/>
        </w:rPr>
        <w:t>Dionne S</w:t>
      </w:r>
      <w:r w:rsidRPr="00090DE6">
        <w:rPr>
          <w:szCs w:val="24"/>
          <w:lang w:val="en-US"/>
        </w:rPr>
        <w:t xml:space="preserve">, </w:t>
      </w:r>
      <w:proofErr w:type="spellStart"/>
      <w:r w:rsidRPr="00090DE6">
        <w:rPr>
          <w:szCs w:val="24"/>
          <w:lang w:val="en-US"/>
        </w:rPr>
        <w:t>D'Agata</w:t>
      </w:r>
      <w:proofErr w:type="spellEnd"/>
      <w:r w:rsidRPr="00090DE6">
        <w:rPr>
          <w:szCs w:val="24"/>
          <w:lang w:val="en-US"/>
        </w:rPr>
        <w:t xml:space="preserve"> ID, Hiscott J, </w:t>
      </w:r>
      <w:proofErr w:type="spellStart"/>
      <w:r w:rsidRPr="00090DE6">
        <w:rPr>
          <w:szCs w:val="24"/>
          <w:lang w:val="en-US"/>
        </w:rPr>
        <w:t>Vanounou</w:t>
      </w:r>
      <w:proofErr w:type="spellEnd"/>
      <w:r w:rsidRPr="00090DE6">
        <w:rPr>
          <w:szCs w:val="24"/>
          <w:lang w:val="en-US"/>
        </w:rPr>
        <w:t xml:space="preserve"> T, Seidman EG. Colonic explant production of IL-1and its receptor antagonist is imbalanced in inflammatory bowel disease (IBD). </w:t>
      </w:r>
      <w:r w:rsidRPr="00090DE6">
        <w:rPr>
          <w:i/>
          <w:iCs/>
          <w:szCs w:val="24"/>
          <w:lang w:val="en-US"/>
        </w:rPr>
        <w:t>Clin Exp Immunol</w:t>
      </w:r>
      <w:r w:rsidRPr="00090DE6">
        <w:rPr>
          <w:szCs w:val="24"/>
          <w:lang w:val="en-US"/>
        </w:rPr>
        <w:t> 1998; </w:t>
      </w:r>
      <w:r w:rsidRPr="00090DE6">
        <w:rPr>
          <w:b/>
          <w:bCs/>
          <w:szCs w:val="24"/>
          <w:lang w:val="en-US"/>
        </w:rPr>
        <w:t>112</w:t>
      </w:r>
      <w:r w:rsidRPr="00090DE6">
        <w:rPr>
          <w:szCs w:val="24"/>
          <w:lang w:val="en-US"/>
        </w:rPr>
        <w:t>: 435-442 [PMID: 9649212 DOI: 10.1046/j.1365-2249.1998.00595.x]</w:t>
      </w:r>
    </w:p>
    <w:p w14:paraId="2AC780B6" w14:textId="3B977B20"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highlight w:val="yellow"/>
          <w:lang w:val="en-US"/>
        </w:rPr>
        <w:t xml:space="preserve">25 </w:t>
      </w:r>
      <w:r w:rsidRPr="00090DE6">
        <w:rPr>
          <w:b/>
          <w:bCs/>
          <w:szCs w:val="24"/>
          <w:highlight w:val="yellow"/>
          <w:lang w:val="en-US"/>
        </w:rPr>
        <w:t>Gilbert SF</w:t>
      </w:r>
      <w:r w:rsidRPr="00090DE6">
        <w:rPr>
          <w:szCs w:val="24"/>
          <w:highlight w:val="yellow"/>
          <w:lang w:val="en-US"/>
        </w:rPr>
        <w:t>. Cell Surface Receptors and Their Signal Transduction Pathways. 2000 [cited 2016 May 10]</w:t>
      </w:r>
      <w:r w:rsidR="006B2E3E">
        <w:rPr>
          <w:szCs w:val="24"/>
          <w:highlight w:val="yellow"/>
          <w:lang w:val="en-US"/>
        </w:rPr>
        <w:t>.</w:t>
      </w:r>
      <w:r w:rsidRPr="00090DE6">
        <w:rPr>
          <w:szCs w:val="24"/>
          <w:highlight w:val="yellow"/>
          <w:lang w:val="en-US"/>
        </w:rPr>
        <w:t xml:space="preserve"> Available from: http://www.ncbi.nlm.nih.gov/books/NBK10043/</w:t>
      </w:r>
    </w:p>
    <w:p w14:paraId="42A19072"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26 </w:t>
      </w:r>
      <w:r w:rsidRPr="00090DE6">
        <w:rPr>
          <w:b/>
          <w:bCs/>
          <w:szCs w:val="24"/>
          <w:lang w:val="en-US"/>
        </w:rPr>
        <w:t>Watford WT</w:t>
      </w:r>
      <w:r w:rsidRPr="00090DE6">
        <w:rPr>
          <w:szCs w:val="24"/>
          <w:lang w:val="en-US"/>
        </w:rPr>
        <w:t xml:space="preserve">, </w:t>
      </w:r>
      <w:proofErr w:type="spellStart"/>
      <w:r w:rsidRPr="00090DE6">
        <w:rPr>
          <w:szCs w:val="24"/>
          <w:lang w:val="en-US"/>
        </w:rPr>
        <w:t>Hissong</w:t>
      </w:r>
      <w:proofErr w:type="spellEnd"/>
      <w:r w:rsidRPr="00090DE6">
        <w:rPr>
          <w:szCs w:val="24"/>
          <w:lang w:val="en-US"/>
        </w:rPr>
        <w:t xml:space="preserve"> BD, Bream JH, </w:t>
      </w:r>
      <w:proofErr w:type="spellStart"/>
      <w:r w:rsidRPr="00090DE6">
        <w:rPr>
          <w:szCs w:val="24"/>
          <w:lang w:val="en-US"/>
        </w:rPr>
        <w:t>Kanno</w:t>
      </w:r>
      <w:proofErr w:type="spellEnd"/>
      <w:r w:rsidRPr="00090DE6">
        <w:rPr>
          <w:szCs w:val="24"/>
          <w:lang w:val="en-US"/>
        </w:rPr>
        <w:t xml:space="preserve"> Y, </w:t>
      </w:r>
      <w:proofErr w:type="spellStart"/>
      <w:r w:rsidRPr="00090DE6">
        <w:rPr>
          <w:szCs w:val="24"/>
          <w:lang w:val="en-US"/>
        </w:rPr>
        <w:t>Muul</w:t>
      </w:r>
      <w:proofErr w:type="spellEnd"/>
      <w:r w:rsidRPr="00090DE6">
        <w:rPr>
          <w:szCs w:val="24"/>
          <w:lang w:val="en-US"/>
        </w:rPr>
        <w:t xml:space="preserve"> L, O'Shea JJ. Signaling by IL-12 and IL-23 and the immunoregulatory roles of STAT4. </w:t>
      </w:r>
      <w:r w:rsidRPr="00090DE6">
        <w:rPr>
          <w:i/>
          <w:iCs/>
          <w:szCs w:val="24"/>
          <w:lang w:val="en-US"/>
        </w:rPr>
        <w:t>Immunol Rev</w:t>
      </w:r>
      <w:r w:rsidRPr="00090DE6">
        <w:rPr>
          <w:szCs w:val="24"/>
          <w:lang w:val="en-US"/>
        </w:rPr>
        <w:t> 2004; </w:t>
      </w:r>
      <w:r w:rsidRPr="00090DE6">
        <w:rPr>
          <w:b/>
          <w:bCs/>
          <w:szCs w:val="24"/>
          <w:lang w:val="en-US"/>
        </w:rPr>
        <w:t>202</w:t>
      </w:r>
      <w:r w:rsidRPr="00090DE6">
        <w:rPr>
          <w:szCs w:val="24"/>
          <w:lang w:val="en-US"/>
        </w:rPr>
        <w:t>: 139-156 [PMID: 15546391 DOI: 10.1111/j.0105-2896.2004.00211.x]</w:t>
      </w:r>
    </w:p>
    <w:p w14:paraId="4B2F4672"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lastRenderedPageBreak/>
        <w:t>27 </w:t>
      </w:r>
      <w:r w:rsidRPr="00090DE6">
        <w:rPr>
          <w:b/>
          <w:bCs/>
          <w:szCs w:val="24"/>
          <w:lang w:val="en-US"/>
        </w:rPr>
        <w:t>Kotze PG</w:t>
      </w:r>
      <w:r w:rsidRPr="00090DE6">
        <w:rPr>
          <w:szCs w:val="24"/>
          <w:lang w:val="en-US"/>
        </w:rPr>
        <w:t xml:space="preserve">, Ma C, </w:t>
      </w:r>
      <w:proofErr w:type="spellStart"/>
      <w:r w:rsidRPr="00090DE6">
        <w:rPr>
          <w:szCs w:val="24"/>
          <w:lang w:val="en-US"/>
        </w:rPr>
        <w:t>Almutairdi</w:t>
      </w:r>
      <w:proofErr w:type="spellEnd"/>
      <w:r w:rsidRPr="00090DE6">
        <w:rPr>
          <w:szCs w:val="24"/>
          <w:lang w:val="en-US"/>
        </w:rPr>
        <w:t xml:space="preserve"> A, </w:t>
      </w:r>
      <w:proofErr w:type="spellStart"/>
      <w:r w:rsidRPr="00090DE6">
        <w:rPr>
          <w:szCs w:val="24"/>
          <w:lang w:val="en-US"/>
        </w:rPr>
        <w:t>Panaccione</w:t>
      </w:r>
      <w:proofErr w:type="spellEnd"/>
      <w:r w:rsidRPr="00090DE6">
        <w:rPr>
          <w:szCs w:val="24"/>
          <w:lang w:val="en-US"/>
        </w:rPr>
        <w:t xml:space="preserve"> R. Clinical utility of </w:t>
      </w:r>
      <w:proofErr w:type="spellStart"/>
      <w:r w:rsidRPr="00090DE6">
        <w:rPr>
          <w:szCs w:val="24"/>
          <w:lang w:val="en-US"/>
        </w:rPr>
        <w:t>ustekinumab</w:t>
      </w:r>
      <w:proofErr w:type="spellEnd"/>
      <w:r w:rsidRPr="00090DE6">
        <w:rPr>
          <w:szCs w:val="24"/>
          <w:lang w:val="en-US"/>
        </w:rPr>
        <w:t xml:space="preserve"> in Crohn's disease. </w:t>
      </w:r>
      <w:r w:rsidRPr="00090DE6">
        <w:rPr>
          <w:i/>
          <w:iCs/>
          <w:szCs w:val="24"/>
          <w:lang w:val="en-US"/>
        </w:rPr>
        <w:t xml:space="preserve">J </w:t>
      </w:r>
      <w:proofErr w:type="spellStart"/>
      <w:r w:rsidRPr="00090DE6">
        <w:rPr>
          <w:i/>
          <w:iCs/>
          <w:szCs w:val="24"/>
          <w:lang w:val="en-US"/>
        </w:rPr>
        <w:t>Inflamm</w:t>
      </w:r>
      <w:proofErr w:type="spellEnd"/>
      <w:r w:rsidRPr="00090DE6">
        <w:rPr>
          <w:i/>
          <w:iCs/>
          <w:szCs w:val="24"/>
          <w:lang w:val="en-US"/>
        </w:rPr>
        <w:t xml:space="preserve"> Res</w:t>
      </w:r>
      <w:r w:rsidRPr="00090DE6">
        <w:rPr>
          <w:szCs w:val="24"/>
          <w:lang w:val="en-US"/>
        </w:rPr>
        <w:t> 2018; </w:t>
      </w:r>
      <w:r w:rsidRPr="00090DE6">
        <w:rPr>
          <w:b/>
          <w:bCs/>
          <w:szCs w:val="24"/>
          <w:lang w:val="en-US"/>
        </w:rPr>
        <w:t>11</w:t>
      </w:r>
      <w:r w:rsidRPr="00090DE6">
        <w:rPr>
          <w:szCs w:val="24"/>
          <w:lang w:val="en-US"/>
        </w:rPr>
        <w:t>: 35-47 [PMID: 29445293 DOI: 10.2147/JIR.S157358]</w:t>
      </w:r>
    </w:p>
    <w:p w14:paraId="6FAE65DE"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28 </w:t>
      </w:r>
      <w:r w:rsidRPr="00090DE6">
        <w:rPr>
          <w:b/>
          <w:bCs/>
          <w:szCs w:val="24"/>
          <w:lang w:val="en-US"/>
        </w:rPr>
        <w:t>Perez White BE</w:t>
      </w:r>
      <w:r w:rsidRPr="00090DE6">
        <w:rPr>
          <w:szCs w:val="24"/>
          <w:lang w:val="en-US"/>
        </w:rPr>
        <w:t xml:space="preserve">, </w:t>
      </w:r>
      <w:proofErr w:type="spellStart"/>
      <w:r w:rsidRPr="00090DE6">
        <w:rPr>
          <w:szCs w:val="24"/>
          <w:lang w:val="en-US"/>
        </w:rPr>
        <w:t>Getsios</w:t>
      </w:r>
      <w:proofErr w:type="spellEnd"/>
      <w:r w:rsidRPr="00090DE6">
        <w:rPr>
          <w:szCs w:val="24"/>
          <w:lang w:val="en-US"/>
        </w:rPr>
        <w:t xml:space="preserve"> S. Eph receptor and ephrin function in breast, gut, and skin epithelia. </w:t>
      </w:r>
      <w:r w:rsidRPr="00090DE6">
        <w:rPr>
          <w:i/>
          <w:iCs/>
          <w:szCs w:val="24"/>
          <w:lang w:val="en-US"/>
        </w:rPr>
        <w:t xml:space="preserve">Cell </w:t>
      </w:r>
      <w:proofErr w:type="spellStart"/>
      <w:r w:rsidRPr="00090DE6">
        <w:rPr>
          <w:i/>
          <w:iCs/>
          <w:szCs w:val="24"/>
          <w:lang w:val="en-US"/>
        </w:rPr>
        <w:t>Adh</w:t>
      </w:r>
      <w:proofErr w:type="spellEnd"/>
      <w:r w:rsidRPr="00090DE6">
        <w:rPr>
          <w:i/>
          <w:iCs/>
          <w:szCs w:val="24"/>
          <w:lang w:val="en-US"/>
        </w:rPr>
        <w:t xml:space="preserve"> </w:t>
      </w:r>
      <w:proofErr w:type="spellStart"/>
      <w:r w:rsidRPr="00090DE6">
        <w:rPr>
          <w:i/>
          <w:iCs/>
          <w:szCs w:val="24"/>
          <w:lang w:val="en-US"/>
        </w:rPr>
        <w:t>Migr</w:t>
      </w:r>
      <w:proofErr w:type="spellEnd"/>
      <w:r w:rsidRPr="00090DE6">
        <w:rPr>
          <w:szCs w:val="24"/>
          <w:lang w:val="en-US"/>
        </w:rPr>
        <w:t> 2014; </w:t>
      </w:r>
      <w:r w:rsidRPr="00090DE6">
        <w:rPr>
          <w:b/>
          <w:bCs/>
          <w:szCs w:val="24"/>
          <w:lang w:val="en-US"/>
        </w:rPr>
        <w:t>8</w:t>
      </w:r>
      <w:r w:rsidRPr="00090DE6">
        <w:rPr>
          <w:szCs w:val="24"/>
          <w:lang w:val="en-US"/>
        </w:rPr>
        <w:t>: 327-338 [PMID: 25482622 DOI: 10.4161/19336918.2014.970012]</w:t>
      </w:r>
    </w:p>
    <w:p w14:paraId="1086E96A"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29 </w:t>
      </w:r>
      <w:proofErr w:type="spellStart"/>
      <w:r w:rsidRPr="00090DE6">
        <w:rPr>
          <w:b/>
          <w:bCs/>
          <w:szCs w:val="24"/>
          <w:lang w:val="en-US"/>
        </w:rPr>
        <w:t>Rothlin</w:t>
      </w:r>
      <w:proofErr w:type="spellEnd"/>
      <w:r w:rsidRPr="00090DE6">
        <w:rPr>
          <w:b/>
          <w:bCs/>
          <w:szCs w:val="24"/>
          <w:lang w:val="en-US"/>
        </w:rPr>
        <w:t xml:space="preserve"> CV</w:t>
      </w:r>
      <w:r w:rsidRPr="00090DE6">
        <w:rPr>
          <w:szCs w:val="24"/>
          <w:lang w:val="en-US"/>
        </w:rPr>
        <w:t xml:space="preserve">, Leighton JA, Ghosh S. Tyro3, </w:t>
      </w:r>
      <w:proofErr w:type="spellStart"/>
      <w:r w:rsidRPr="00090DE6">
        <w:rPr>
          <w:szCs w:val="24"/>
          <w:lang w:val="en-US"/>
        </w:rPr>
        <w:t>Axl</w:t>
      </w:r>
      <w:proofErr w:type="spellEnd"/>
      <w:r w:rsidRPr="00090DE6">
        <w:rPr>
          <w:szCs w:val="24"/>
          <w:lang w:val="en-US"/>
        </w:rPr>
        <w:t xml:space="preserve">, and </w:t>
      </w:r>
      <w:proofErr w:type="spellStart"/>
      <w:r w:rsidRPr="00090DE6">
        <w:rPr>
          <w:szCs w:val="24"/>
          <w:lang w:val="en-US"/>
        </w:rPr>
        <w:t>Mertk</w:t>
      </w:r>
      <w:proofErr w:type="spellEnd"/>
      <w:r w:rsidRPr="00090DE6">
        <w:rPr>
          <w:szCs w:val="24"/>
          <w:lang w:val="en-US"/>
        </w:rPr>
        <w:t xml:space="preserve"> receptor signaling in inflammatory bowel disease and colitis-associated cancer. </w:t>
      </w:r>
      <w:proofErr w:type="spellStart"/>
      <w:r w:rsidRPr="00090DE6">
        <w:rPr>
          <w:i/>
          <w:iCs/>
          <w:szCs w:val="24"/>
          <w:lang w:val="en-US"/>
        </w:rPr>
        <w:t>Inflamm</w:t>
      </w:r>
      <w:proofErr w:type="spellEnd"/>
      <w:r w:rsidRPr="00090DE6">
        <w:rPr>
          <w:i/>
          <w:iCs/>
          <w:szCs w:val="24"/>
          <w:lang w:val="en-US"/>
        </w:rPr>
        <w:t xml:space="preserve"> Bowel Dis</w:t>
      </w:r>
      <w:r w:rsidRPr="00090DE6">
        <w:rPr>
          <w:szCs w:val="24"/>
          <w:lang w:val="en-US"/>
        </w:rPr>
        <w:t> 2014; </w:t>
      </w:r>
      <w:r w:rsidRPr="00090DE6">
        <w:rPr>
          <w:b/>
          <w:bCs/>
          <w:szCs w:val="24"/>
          <w:lang w:val="en-US"/>
        </w:rPr>
        <w:t>20</w:t>
      </w:r>
      <w:r w:rsidRPr="00090DE6">
        <w:rPr>
          <w:szCs w:val="24"/>
          <w:lang w:val="en-US"/>
        </w:rPr>
        <w:t>: 1472-1480 [PMID: 24846720 DOI: 10.1097/MIB.0000000000000050]</w:t>
      </w:r>
    </w:p>
    <w:p w14:paraId="22B5536A" w14:textId="77777777" w:rsidR="00090DE6" w:rsidRPr="00090DE6" w:rsidRDefault="00090DE6" w:rsidP="007E3B89">
      <w:pPr>
        <w:pStyle w:val="Bibliography"/>
        <w:adjustRightInd w:val="0"/>
        <w:snapToGrid w:val="0"/>
        <w:spacing w:before="0" w:after="0"/>
        <w:ind w:left="0" w:firstLine="0"/>
        <w:contextualSpacing w:val="0"/>
        <w:jc w:val="both"/>
        <w:rPr>
          <w:szCs w:val="24"/>
          <w:lang w:val="en-US"/>
        </w:rPr>
      </w:pPr>
      <w:r w:rsidRPr="00090DE6">
        <w:rPr>
          <w:szCs w:val="24"/>
          <w:lang w:val="en-US"/>
        </w:rPr>
        <w:t>30 </w:t>
      </w:r>
      <w:proofErr w:type="spellStart"/>
      <w:r w:rsidRPr="00090DE6">
        <w:rPr>
          <w:b/>
          <w:bCs/>
          <w:szCs w:val="24"/>
          <w:lang w:val="en-US"/>
        </w:rPr>
        <w:t>Algaba</w:t>
      </w:r>
      <w:proofErr w:type="spellEnd"/>
      <w:r w:rsidRPr="00090DE6">
        <w:rPr>
          <w:b/>
          <w:bCs/>
          <w:szCs w:val="24"/>
          <w:lang w:val="en-US"/>
        </w:rPr>
        <w:t xml:space="preserve"> A</w:t>
      </w:r>
      <w:r w:rsidRPr="00090DE6">
        <w:rPr>
          <w:szCs w:val="24"/>
          <w:lang w:val="en-US"/>
        </w:rPr>
        <w:t xml:space="preserve">, Linares PM, Fernández-Contreras ME, </w:t>
      </w:r>
      <w:proofErr w:type="spellStart"/>
      <w:r w:rsidRPr="00090DE6">
        <w:rPr>
          <w:szCs w:val="24"/>
          <w:lang w:val="en-US"/>
        </w:rPr>
        <w:t>Ordoñez</w:t>
      </w:r>
      <w:proofErr w:type="spellEnd"/>
      <w:r w:rsidRPr="00090DE6">
        <w:rPr>
          <w:szCs w:val="24"/>
          <w:lang w:val="en-US"/>
        </w:rPr>
        <w:t xml:space="preserve"> A, </w:t>
      </w:r>
      <w:proofErr w:type="spellStart"/>
      <w:r w:rsidRPr="00090DE6">
        <w:rPr>
          <w:szCs w:val="24"/>
          <w:lang w:val="en-US"/>
        </w:rPr>
        <w:t>Trápaga</w:t>
      </w:r>
      <w:proofErr w:type="spellEnd"/>
      <w:r w:rsidRPr="00090DE6">
        <w:rPr>
          <w:szCs w:val="24"/>
          <w:lang w:val="en-US"/>
        </w:rPr>
        <w:t xml:space="preserve"> J, Guerra I, Chaparro M, de la Poza G, </w:t>
      </w:r>
      <w:proofErr w:type="spellStart"/>
      <w:r w:rsidRPr="00090DE6">
        <w:rPr>
          <w:szCs w:val="24"/>
          <w:lang w:val="en-US"/>
        </w:rPr>
        <w:t>Gisbert</w:t>
      </w:r>
      <w:proofErr w:type="spellEnd"/>
      <w:r w:rsidRPr="00090DE6">
        <w:rPr>
          <w:szCs w:val="24"/>
          <w:lang w:val="en-US"/>
        </w:rPr>
        <w:t xml:space="preserve"> JP, Bermejo F. Relationship between levels of angiogenic and lymphangiogenic factors and the endoscopic, histological and clinical activity, and acute-phase reactants in patients with inflammatory bowel disease. </w:t>
      </w:r>
      <w:r w:rsidRPr="00090DE6">
        <w:rPr>
          <w:i/>
          <w:iCs/>
          <w:szCs w:val="24"/>
          <w:lang w:val="en-US"/>
        </w:rPr>
        <w:t xml:space="preserve">J </w:t>
      </w:r>
      <w:proofErr w:type="spellStart"/>
      <w:r w:rsidRPr="00090DE6">
        <w:rPr>
          <w:i/>
          <w:iCs/>
          <w:szCs w:val="24"/>
          <w:lang w:val="en-US"/>
        </w:rPr>
        <w:t>Crohns</w:t>
      </w:r>
      <w:proofErr w:type="spellEnd"/>
      <w:r w:rsidRPr="00090DE6">
        <w:rPr>
          <w:i/>
          <w:iCs/>
          <w:szCs w:val="24"/>
          <w:lang w:val="en-US"/>
        </w:rPr>
        <w:t xml:space="preserve"> Colitis</w:t>
      </w:r>
      <w:r w:rsidRPr="00090DE6">
        <w:rPr>
          <w:szCs w:val="24"/>
          <w:lang w:val="en-US"/>
        </w:rPr>
        <w:t> 2013; </w:t>
      </w:r>
      <w:r w:rsidRPr="00090DE6">
        <w:rPr>
          <w:b/>
          <w:bCs/>
          <w:szCs w:val="24"/>
          <w:lang w:val="en-US"/>
        </w:rPr>
        <w:t>7</w:t>
      </w:r>
      <w:r w:rsidRPr="00090DE6">
        <w:rPr>
          <w:szCs w:val="24"/>
          <w:lang w:val="en-US"/>
        </w:rPr>
        <w:t>: e569-e579 [PMID: 23642997 DOI: 10.1016/j.crohns.2013.04.005]</w:t>
      </w:r>
    </w:p>
    <w:p w14:paraId="4C2F8737" w14:textId="39E77476" w:rsidR="00F71D7A" w:rsidRDefault="00F71D7A" w:rsidP="007E3B89">
      <w:pPr>
        <w:pStyle w:val="Bibliography"/>
        <w:adjustRightInd w:val="0"/>
        <w:snapToGrid w:val="0"/>
        <w:spacing w:before="0" w:after="0"/>
        <w:ind w:left="0" w:firstLine="0"/>
        <w:contextualSpacing w:val="0"/>
        <w:jc w:val="both"/>
        <w:rPr>
          <w:rFonts w:eastAsia="Calibri"/>
          <w:b/>
          <w:bCs/>
          <w:szCs w:val="24"/>
          <w:lang w:val="en-US" w:eastAsia="en-GB"/>
        </w:rPr>
      </w:pPr>
    </w:p>
    <w:p w14:paraId="1E1B7E8B" w14:textId="1C990DF7" w:rsidR="00013CF2" w:rsidRPr="00013CF2" w:rsidRDefault="00013CF2" w:rsidP="00013CF2">
      <w:pPr>
        <w:widowControl w:val="0"/>
        <w:adjustRightInd w:val="0"/>
        <w:snapToGrid w:val="0"/>
        <w:spacing w:before="0" w:after="0"/>
        <w:jc w:val="right"/>
        <w:rPr>
          <w:rFonts w:eastAsia="SimSun"/>
          <w:color w:val="000000"/>
          <w:kern w:val="2"/>
          <w:szCs w:val="24"/>
          <w:lang w:val="en-US" w:eastAsia="zh-CN"/>
        </w:rPr>
      </w:pPr>
      <w:bookmarkStart w:id="123" w:name="OLE_LINK139"/>
      <w:bookmarkStart w:id="124" w:name="OLE_LINK140"/>
      <w:bookmarkStart w:id="125" w:name="OLE_LINK287"/>
      <w:bookmarkStart w:id="126" w:name="OLE_LINK288"/>
      <w:bookmarkStart w:id="127" w:name="OLE_LINK70"/>
      <w:bookmarkStart w:id="128" w:name="OLE_LINK110"/>
      <w:bookmarkStart w:id="129" w:name="OLE_LINK109"/>
      <w:bookmarkStart w:id="130" w:name="OLE_LINK138"/>
      <w:bookmarkStart w:id="131" w:name="OLE_LINK72"/>
      <w:bookmarkStart w:id="132" w:name="OLE_LINK95"/>
      <w:bookmarkStart w:id="133" w:name="OLE_LINK118"/>
      <w:bookmarkStart w:id="134" w:name="OLE_LINK198"/>
      <w:bookmarkStart w:id="135" w:name="OLE_LINK154"/>
      <w:bookmarkStart w:id="136" w:name="OLE_LINK251"/>
      <w:bookmarkStart w:id="137" w:name="OLE_LINK126"/>
      <w:bookmarkStart w:id="138" w:name="OLE_LINK234"/>
      <w:bookmarkStart w:id="139" w:name="OLE_LINK157"/>
      <w:bookmarkStart w:id="140" w:name="OLE_LINK187"/>
      <w:bookmarkStart w:id="141" w:name="OLE_LINK204"/>
      <w:bookmarkStart w:id="142" w:name="OLE_LINK229"/>
      <w:bookmarkStart w:id="143" w:name="OLE_LINK268"/>
      <w:bookmarkStart w:id="144" w:name="OLE_LINK310"/>
      <w:bookmarkStart w:id="145" w:name="OLE_LINK338"/>
      <w:bookmarkStart w:id="146" w:name="OLE_LINK264"/>
      <w:bookmarkStart w:id="147" w:name="OLE_LINK345"/>
      <w:bookmarkStart w:id="148" w:name="OLE_LINK256"/>
      <w:bookmarkStart w:id="149" w:name="OLE_LINK299"/>
      <w:bookmarkStart w:id="150" w:name="OLE_LINK265"/>
      <w:bookmarkStart w:id="151" w:name="OLE_LINK254"/>
      <w:bookmarkStart w:id="152" w:name="OLE_LINK357"/>
      <w:bookmarkStart w:id="153" w:name="OLE_LINK382"/>
      <w:bookmarkStart w:id="154" w:name="OLE_LINK333"/>
      <w:bookmarkStart w:id="155" w:name="OLE_LINK334"/>
      <w:bookmarkStart w:id="156" w:name="OLE_LINK400"/>
      <w:bookmarkStart w:id="157" w:name="OLE_LINK467"/>
      <w:bookmarkStart w:id="158" w:name="OLE_LINK399"/>
      <w:bookmarkStart w:id="159" w:name="OLE_LINK443"/>
      <w:bookmarkStart w:id="160" w:name="OLE_LINK425"/>
      <w:bookmarkStart w:id="161" w:name="OLE_LINK450"/>
      <w:bookmarkStart w:id="162" w:name="OLE_LINK402"/>
      <w:bookmarkStart w:id="163" w:name="OLE_LINK385"/>
      <w:bookmarkStart w:id="164" w:name="OLE_LINK396"/>
      <w:bookmarkStart w:id="165" w:name="OLE_LINK436"/>
      <w:bookmarkStart w:id="166" w:name="OLE_LINK421"/>
      <w:bookmarkStart w:id="167" w:name="OLE_LINK426"/>
      <w:bookmarkStart w:id="168" w:name="OLE_LINK456"/>
      <w:bookmarkStart w:id="169" w:name="OLE_LINK505"/>
      <w:bookmarkStart w:id="170" w:name="OLE_LINK490"/>
      <w:bookmarkStart w:id="171" w:name="OLE_LINK531"/>
      <w:bookmarkStart w:id="172" w:name="OLE_LINK460"/>
      <w:bookmarkStart w:id="173" w:name="OLE_LINK463"/>
      <w:bookmarkStart w:id="174" w:name="OLE_LINK515"/>
      <w:bookmarkStart w:id="175" w:name="OLE_LINK509"/>
      <w:bookmarkStart w:id="176" w:name="OLE_LINK538"/>
      <w:bookmarkStart w:id="177" w:name="OLE_LINK606"/>
      <w:bookmarkStart w:id="178" w:name="OLE_LINK662"/>
      <w:bookmarkStart w:id="179" w:name="OLE_LINK663"/>
      <w:bookmarkStart w:id="180" w:name="OLE_LINK738"/>
      <w:bookmarkStart w:id="181" w:name="OLE_LINK666"/>
      <w:bookmarkStart w:id="182" w:name="OLE_LINK667"/>
      <w:bookmarkStart w:id="183" w:name="OLE_LINK672"/>
      <w:bookmarkStart w:id="184" w:name="OLE_LINK727"/>
      <w:bookmarkStart w:id="185" w:name="OLE_LINK765"/>
      <w:bookmarkStart w:id="186" w:name="OLE_LINK879"/>
      <w:bookmarkStart w:id="187" w:name="OLE_LINK903"/>
      <w:bookmarkStart w:id="188" w:name="OLE_LINK880"/>
      <w:bookmarkStart w:id="189" w:name="OLE_LINK944"/>
      <w:bookmarkStart w:id="190" w:name="OLE_LINK881"/>
      <w:bookmarkStart w:id="191" w:name="OLE_LINK882"/>
      <w:bookmarkStart w:id="192" w:name="OLE_LINK883"/>
      <w:bookmarkStart w:id="193" w:name="OLE_LINK884"/>
      <w:bookmarkStart w:id="194" w:name="OLE_LINK907"/>
      <w:bookmarkStart w:id="195" w:name="OLE_LINK941"/>
      <w:bookmarkStart w:id="196" w:name="OLE_LINK886"/>
      <w:bookmarkStart w:id="197" w:name="OLE_LINK887"/>
      <w:bookmarkStart w:id="198" w:name="OLE_LINK918"/>
      <w:bookmarkStart w:id="199" w:name="OLE_LINK894"/>
      <w:bookmarkStart w:id="200" w:name="OLE_LINK899"/>
      <w:bookmarkStart w:id="201" w:name="OLE_LINK953"/>
      <w:bookmarkStart w:id="202" w:name="OLE_LINK954"/>
      <w:bookmarkStart w:id="203" w:name="OLE_LINK977"/>
      <w:bookmarkStart w:id="204" w:name="OLE_LINK978"/>
      <w:bookmarkStart w:id="205" w:name="OLE_LINK1034"/>
      <w:bookmarkStart w:id="206" w:name="OLE_LINK991"/>
      <w:bookmarkStart w:id="207" w:name="OLE_LINK1013"/>
      <w:bookmarkStart w:id="208" w:name="OLE_LINK1022"/>
      <w:bookmarkStart w:id="209" w:name="OLE_LINK1030"/>
      <w:bookmarkStart w:id="210" w:name="OLE_LINK1063"/>
      <w:bookmarkStart w:id="211" w:name="OLE_LINK1009"/>
      <w:bookmarkStart w:id="212" w:name="OLE_LINK1064"/>
      <w:bookmarkStart w:id="213" w:name="OLE_LINK1035"/>
      <w:bookmarkStart w:id="214" w:name="OLE_LINK1012"/>
      <w:bookmarkStart w:id="215" w:name="OLE_LINK731"/>
      <w:bookmarkStart w:id="216" w:name="OLE_LINK732"/>
      <w:r w:rsidRPr="00013CF2">
        <w:rPr>
          <w:rFonts w:eastAsia="SimSun"/>
          <w:b/>
          <w:bCs/>
          <w:color w:val="000000"/>
          <w:kern w:val="2"/>
          <w:szCs w:val="24"/>
          <w:lang w:val="en-US" w:eastAsia="zh-CN"/>
        </w:rPr>
        <w:t>P-Reviewer:</w:t>
      </w:r>
      <w:r w:rsidRPr="00013CF2">
        <w:rPr>
          <w:rFonts w:eastAsia="SimSun"/>
          <w:bCs/>
          <w:color w:val="000000"/>
          <w:kern w:val="2"/>
          <w:szCs w:val="24"/>
          <w:lang w:val="en-US" w:eastAsia="zh-CN"/>
        </w:rPr>
        <w:t xml:space="preserve"> </w:t>
      </w:r>
      <w:r w:rsidR="00A627D0" w:rsidRPr="00A627D0">
        <w:rPr>
          <w:rFonts w:eastAsia="SimSun"/>
          <w:bCs/>
          <w:color w:val="000000"/>
          <w:kern w:val="2"/>
          <w:szCs w:val="24"/>
          <w:lang w:val="el-GR" w:eastAsia="zh-CN"/>
        </w:rPr>
        <w:t>Abdolghaffari</w:t>
      </w:r>
      <w:r w:rsidR="00A627D0">
        <w:rPr>
          <w:rFonts w:eastAsia="SimSun"/>
          <w:bCs/>
          <w:color w:val="000000"/>
          <w:kern w:val="2"/>
          <w:szCs w:val="24"/>
          <w:lang w:val="en-US" w:eastAsia="zh-CN"/>
        </w:rPr>
        <w:t xml:space="preserve"> AH, </w:t>
      </w:r>
      <w:proofErr w:type="spellStart"/>
      <w:r w:rsidR="00A627D0" w:rsidRPr="00A627D0">
        <w:rPr>
          <w:rFonts w:eastAsia="SimSun"/>
          <w:bCs/>
          <w:color w:val="000000"/>
          <w:kern w:val="2"/>
          <w:szCs w:val="24"/>
          <w:lang w:val="en-US" w:eastAsia="zh-CN"/>
        </w:rPr>
        <w:t>Rath</w:t>
      </w:r>
      <w:proofErr w:type="spellEnd"/>
      <w:r w:rsidR="00A627D0">
        <w:rPr>
          <w:rFonts w:eastAsia="SimSun"/>
          <w:bCs/>
          <w:color w:val="000000"/>
          <w:kern w:val="2"/>
          <w:szCs w:val="24"/>
          <w:lang w:val="en-US" w:eastAsia="zh-CN"/>
        </w:rPr>
        <w:t xml:space="preserve"> T</w:t>
      </w:r>
      <w:r w:rsidRPr="00013CF2">
        <w:rPr>
          <w:rFonts w:eastAsia="SimSun"/>
          <w:bCs/>
          <w:color w:val="000000"/>
          <w:kern w:val="2"/>
          <w:szCs w:val="24"/>
          <w:lang w:val="el-GR" w:eastAsia="zh-CN"/>
        </w:rPr>
        <w:t xml:space="preserve"> </w:t>
      </w:r>
      <w:r w:rsidRPr="00013CF2">
        <w:rPr>
          <w:rFonts w:eastAsia="SimSun"/>
          <w:b/>
          <w:bCs/>
          <w:color w:val="000000"/>
          <w:kern w:val="2"/>
          <w:szCs w:val="24"/>
          <w:lang w:val="en-US" w:eastAsia="zh-CN"/>
        </w:rPr>
        <w:t>S-Editor:</w:t>
      </w:r>
      <w:r w:rsidRPr="00013CF2">
        <w:rPr>
          <w:rFonts w:eastAsia="SimSun"/>
          <w:color w:val="000000"/>
          <w:kern w:val="2"/>
          <w:szCs w:val="24"/>
          <w:lang w:val="en-US" w:eastAsia="zh-CN"/>
        </w:rPr>
        <w:t xml:space="preserve"> </w:t>
      </w:r>
      <w:r>
        <w:rPr>
          <w:rFonts w:eastAsia="SimSun"/>
          <w:color w:val="000000"/>
          <w:kern w:val="2"/>
          <w:szCs w:val="24"/>
          <w:lang w:val="en-US" w:eastAsia="zh-CN"/>
        </w:rPr>
        <w:t>Ma</w:t>
      </w:r>
      <w:r w:rsidRPr="00013CF2">
        <w:rPr>
          <w:rFonts w:eastAsia="SimSun"/>
          <w:color w:val="000000"/>
          <w:kern w:val="2"/>
          <w:szCs w:val="24"/>
          <w:lang w:val="en-US" w:eastAsia="zh-CN"/>
        </w:rPr>
        <w:t xml:space="preserve"> </w:t>
      </w:r>
      <w:r>
        <w:rPr>
          <w:rFonts w:eastAsia="SimSun"/>
          <w:color w:val="000000"/>
          <w:kern w:val="2"/>
          <w:szCs w:val="24"/>
          <w:lang w:val="en-US" w:eastAsia="zh-CN"/>
        </w:rPr>
        <w:t>RY</w:t>
      </w:r>
    </w:p>
    <w:p w14:paraId="1FD2699F" w14:textId="77777777" w:rsidR="00013CF2" w:rsidRPr="00013CF2" w:rsidRDefault="00013CF2" w:rsidP="00013CF2">
      <w:pPr>
        <w:widowControl w:val="0"/>
        <w:adjustRightInd w:val="0"/>
        <w:snapToGrid w:val="0"/>
        <w:spacing w:before="0" w:after="0"/>
        <w:jc w:val="right"/>
        <w:rPr>
          <w:rFonts w:eastAsia="SimSun"/>
          <w:b/>
          <w:bCs/>
          <w:color w:val="000000"/>
          <w:kern w:val="2"/>
          <w:szCs w:val="24"/>
          <w:lang w:val="en-US" w:eastAsia="zh-CN"/>
        </w:rPr>
      </w:pPr>
      <w:r w:rsidRPr="00013CF2">
        <w:rPr>
          <w:rFonts w:eastAsia="SimSun"/>
          <w:b/>
          <w:bCs/>
          <w:color w:val="000000"/>
          <w:kern w:val="2"/>
          <w:szCs w:val="24"/>
          <w:lang w:val="en-US" w:eastAsia="zh-CN"/>
        </w:rPr>
        <w:t>L-Editor:</w:t>
      </w:r>
      <w:r w:rsidRPr="00013CF2">
        <w:rPr>
          <w:rFonts w:eastAsia="SimSun"/>
          <w:color w:val="000000"/>
          <w:kern w:val="2"/>
          <w:szCs w:val="24"/>
          <w:lang w:val="en-US" w:eastAsia="zh-CN"/>
        </w:rPr>
        <w:t xml:space="preserve"> </w:t>
      </w:r>
      <w:r w:rsidRPr="00013CF2">
        <w:rPr>
          <w:rFonts w:eastAsia="SimSun"/>
          <w:b/>
          <w:bCs/>
          <w:color w:val="000000"/>
          <w:kern w:val="2"/>
          <w:szCs w:val="24"/>
          <w:lang w:val="en-US" w:eastAsia="zh-CN"/>
        </w:rPr>
        <w:t>E-Editor:</w:t>
      </w:r>
    </w:p>
    <w:bookmarkEnd w:id="123"/>
    <w:bookmarkEnd w:id="124"/>
    <w:p w14:paraId="662ACB68" w14:textId="77777777" w:rsidR="00013CF2" w:rsidRPr="00013CF2" w:rsidRDefault="00013CF2" w:rsidP="00013CF2">
      <w:pPr>
        <w:widowControl w:val="0"/>
        <w:adjustRightInd w:val="0"/>
        <w:snapToGrid w:val="0"/>
        <w:spacing w:before="0" w:after="0"/>
        <w:jc w:val="both"/>
        <w:rPr>
          <w:rFonts w:eastAsia="SimSun"/>
          <w:color w:val="000000"/>
          <w:kern w:val="2"/>
          <w:szCs w:val="24"/>
          <w:lang w:val="en-US" w:eastAsia="zh-CN"/>
        </w:rPr>
      </w:pPr>
    </w:p>
    <w:p w14:paraId="12CA3C09" w14:textId="77777777"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 xml:space="preserve">Specialty type: </w:t>
      </w:r>
      <w:r w:rsidRPr="00013CF2">
        <w:rPr>
          <w:rFonts w:eastAsia="Microsoft YaHei" w:cs="SimSun"/>
          <w:szCs w:val="24"/>
          <w:lang w:val="en-US" w:eastAsia="zh-CN"/>
        </w:rPr>
        <w:t>Gastroenterology and hepatology</w:t>
      </w:r>
      <w:r w:rsidRPr="00013CF2">
        <w:rPr>
          <w:rFonts w:eastAsia="SimSun" w:cs="SimSun"/>
          <w:szCs w:val="24"/>
          <w:lang w:val="en-US" w:eastAsia="zh-CN"/>
        </w:rPr>
        <w:t xml:space="preserve"> </w:t>
      </w:r>
    </w:p>
    <w:p w14:paraId="736DE448" w14:textId="274459F5"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 xml:space="preserve">Country of origin: </w:t>
      </w:r>
      <w:r w:rsidR="00A627D0">
        <w:rPr>
          <w:rFonts w:eastAsia="SimSun" w:cs="SimSun"/>
          <w:szCs w:val="24"/>
          <w:lang w:val="en-US" w:eastAsia="zh-CN"/>
        </w:rPr>
        <w:t>United Kingdom</w:t>
      </w:r>
    </w:p>
    <w:p w14:paraId="59DB9524" w14:textId="77777777"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Peer-review report classification</w:t>
      </w:r>
    </w:p>
    <w:p w14:paraId="57F57100" w14:textId="77777777"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 xml:space="preserve">Grade A (Excellent): </w:t>
      </w:r>
      <w:r w:rsidRPr="00013CF2">
        <w:rPr>
          <w:rFonts w:eastAsia="SimSun" w:cs="SimSun"/>
          <w:szCs w:val="24"/>
          <w:lang w:val="en-US" w:eastAsia="zh-CN"/>
        </w:rPr>
        <w:t>0</w:t>
      </w:r>
    </w:p>
    <w:p w14:paraId="7DFCEE8E" w14:textId="649EEC3F"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 xml:space="preserve">Grade B (Very good): </w:t>
      </w:r>
      <w:r w:rsidRPr="00013CF2">
        <w:rPr>
          <w:rFonts w:eastAsia="SimSun" w:cs="SimSun"/>
          <w:szCs w:val="24"/>
          <w:lang w:val="en-US" w:eastAsia="zh-CN"/>
        </w:rPr>
        <w:t>B</w:t>
      </w:r>
    </w:p>
    <w:p w14:paraId="6B58AA74" w14:textId="628505E5"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 xml:space="preserve">Grade C (Good): </w:t>
      </w:r>
      <w:r w:rsidR="00A627D0">
        <w:rPr>
          <w:rFonts w:eastAsia="SimSun" w:cs="SimSun"/>
          <w:szCs w:val="24"/>
          <w:lang w:val="en-US" w:eastAsia="zh-CN"/>
        </w:rPr>
        <w:t>C</w:t>
      </w:r>
    </w:p>
    <w:p w14:paraId="4390217F" w14:textId="471340CD" w:rsidR="00013CF2" w:rsidRPr="00013CF2" w:rsidRDefault="00013CF2" w:rsidP="00013CF2">
      <w:pPr>
        <w:spacing w:before="0" w:after="0"/>
        <w:jc w:val="both"/>
        <w:rPr>
          <w:rFonts w:eastAsia="SimSun" w:cs="SimSun"/>
          <w:b/>
          <w:szCs w:val="24"/>
          <w:lang w:val="en-US" w:eastAsia="zh-CN"/>
        </w:rPr>
      </w:pPr>
      <w:r w:rsidRPr="00013CF2">
        <w:rPr>
          <w:rFonts w:eastAsia="SimSun" w:cs="SimSun"/>
          <w:b/>
          <w:szCs w:val="24"/>
          <w:lang w:val="en-US" w:eastAsia="zh-CN"/>
        </w:rPr>
        <w:t xml:space="preserve">Grade D (Fair): </w:t>
      </w:r>
      <w:r w:rsidR="00A627D0">
        <w:rPr>
          <w:rFonts w:eastAsia="SimSun" w:cs="SimSun"/>
          <w:szCs w:val="24"/>
          <w:lang w:val="en-US" w:eastAsia="zh-CN"/>
        </w:rPr>
        <w:t>0</w:t>
      </w:r>
    </w:p>
    <w:p w14:paraId="0B61DAA2" w14:textId="77777777" w:rsidR="00013CF2" w:rsidRPr="00013CF2" w:rsidRDefault="00013CF2" w:rsidP="00013CF2">
      <w:pPr>
        <w:spacing w:before="0" w:after="0"/>
        <w:jc w:val="both"/>
        <w:rPr>
          <w:rFonts w:eastAsia="SimSun" w:cs="SimSun"/>
          <w:szCs w:val="24"/>
          <w:lang w:val="en-US" w:eastAsia="zh-CN"/>
        </w:rPr>
      </w:pPr>
      <w:r w:rsidRPr="00013CF2">
        <w:rPr>
          <w:rFonts w:eastAsia="SimSun" w:cs="SimSun"/>
          <w:b/>
          <w:szCs w:val="24"/>
          <w:lang w:val="en-US" w:eastAsia="zh-CN"/>
        </w:rPr>
        <w:t xml:space="preserve">Grade E (Poor): </w:t>
      </w:r>
      <w:r w:rsidRPr="00013CF2">
        <w:rPr>
          <w:rFonts w:eastAsia="SimSun" w:cs="SimSun"/>
          <w:szCs w:val="24"/>
          <w:lang w:val="en-US" w:eastAsia="zh-CN"/>
        </w:rPr>
        <w:t>0</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bookmarkEnd w:id="215"/>
    <w:bookmarkEnd w:id="216"/>
    <w:p w14:paraId="7F6B9420" w14:textId="77777777" w:rsidR="00D90CBC" w:rsidRPr="00D90CBC" w:rsidRDefault="00D90CBC" w:rsidP="00D90CBC">
      <w:pPr>
        <w:rPr>
          <w:rFonts w:eastAsia="Calibri"/>
          <w:lang w:val="en-US" w:eastAsia="en-GB"/>
        </w:rPr>
      </w:pPr>
    </w:p>
    <w:p w14:paraId="5523D103" w14:textId="2F2B6240" w:rsidR="00E17808" w:rsidRPr="007018B5" w:rsidRDefault="00E17808" w:rsidP="007E3B89">
      <w:pPr>
        <w:pStyle w:val="CaptionTables"/>
        <w:adjustRightInd w:val="0"/>
        <w:snapToGrid w:val="0"/>
        <w:spacing w:after="0" w:line="360" w:lineRule="auto"/>
        <w:jc w:val="both"/>
        <w:rPr>
          <w:sz w:val="24"/>
          <w:szCs w:val="24"/>
          <w:lang w:val="en-US"/>
        </w:rPr>
      </w:pPr>
      <w:bookmarkStart w:id="217" w:name="_Ref498114382"/>
      <w:r w:rsidRPr="007018B5">
        <w:rPr>
          <w:sz w:val="24"/>
          <w:szCs w:val="24"/>
          <w:lang w:val="en-US"/>
        </w:rPr>
        <w:lastRenderedPageBreak/>
        <w:t xml:space="preserve">Table </w:t>
      </w:r>
      <w:r w:rsidRPr="007018B5">
        <w:rPr>
          <w:sz w:val="24"/>
          <w:szCs w:val="24"/>
          <w:lang w:val="en-US"/>
        </w:rPr>
        <w:fldChar w:fldCharType="begin"/>
      </w:r>
      <w:r w:rsidRPr="007018B5">
        <w:rPr>
          <w:sz w:val="24"/>
          <w:szCs w:val="24"/>
          <w:lang w:val="en-US"/>
        </w:rPr>
        <w:instrText xml:space="preserve"> SEQ Table \* ARABIC </w:instrText>
      </w:r>
      <w:r w:rsidRPr="007018B5">
        <w:rPr>
          <w:sz w:val="24"/>
          <w:szCs w:val="24"/>
          <w:lang w:val="en-US"/>
        </w:rPr>
        <w:fldChar w:fldCharType="separate"/>
      </w:r>
      <w:r w:rsidR="00FB6502" w:rsidRPr="007018B5">
        <w:rPr>
          <w:sz w:val="24"/>
          <w:szCs w:val="24"/>
          <w:lang w:val="en-US"/>
        </w:rPr>
        <w:t>1</w:t>
      </w:r>
      <w:r w:rsidRPr="007018B5">
        <w:rPr>
          <w:sz w:val="24"/>
          <w:szCs w:val="24"/>
          <w:lang w:val="en-US"/>
        </w:rPr>
        <w:fldChar w:fldCharType="end"/>
      </w:r>
      <w:bookmarkEnd w:id="217"/>
      <w:r w:rsidR="009B40C2">
        <w:rPr>
          <w:sz w:val="24"/>
          <w:szCs w:val="24"/>
          <w:lang w:val="en-US"/>
        </w:rPr>
        <w:t xml:space="preserve"> </w:t>
      </w:r>
      <w:r w:rsidRPr="009B40C2">
        <w:rPr>
          <w:bCs w:val="0"/>
          <w:sz w:val="24"/>
          <w:szCs w:val="24"/>
          <w:lang w:val="en-US"/>
        </w:rPr>
        <w:t>Clinical features</w:t>
      </w:r>
    </w:p>
    <w:tbl>
      <w:tblPr>
        <w:tblStyle w:val="TableGrid"/>
        <w:tblW w:w="5000" w:type="pct"/>
        <w:tblLook w:val="00A0" w:firstRow="1" w:lastRow="0" w:firstColumn="1" w:lastColumn="0" w:noHBand="0" w:noVBand="0"/>
      </w:tblPr>
      <w:tblGrid>
        <w:gridCol w:w="2266"/>
        <w:gridCol w:w="2266"/>
        <w:gridCol w:w="2266"/>
        <w:gridCol w:w="2266"/>
      </w:tblGrid>
      <w:tr w:rsidR="00E17808" w:rsidRPr="007018B5" w14:paraId="1E8C490C" w14:textId="77777777" w:rsidTr="00FE0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1653ED" w14:textId="77777777" w:rsidR="00E17808" w:rsidRPr="003C334E" w:rsidRDefault="00E17808" w:rsidP="007E3B89">
            <w:pPr>
              <w:pStyle w:val="Tables"/>
              <w:adjustRightInd w:val="0"/>
              <w:snapToGrid w:val="0"/>
              <w:spacing w:before="0" w:after="0" w:line="360" w:lineRule="auto"/>
              <w:jc w:val="both"/>
              <w:rPr>
                <w:b/>
                <w:bCs/>
                <w:sz w:val="24"/>
                <w:szCs w:val="24"/>
                <w:lang w:val="en-US"/>
              </w:rPr>
            </w:pPr>
          </w:p>
        </w:tc>
        <w:tc>
          <w:tcPr>
            <w:tcW w:w="1250" w:type="pct"/>
          </w:tcPr>
          <w:p w14:paraId="259EA442" w14:textId="77777777" w:rsidR="00E17808" w:rsidRPr="003C334E" w:rsidRDefault="00E17808" w:rsidP="007E3B89">
            <w:pPr>
              <w:pStyle w:val="Tables"/>
              <w:adjustRightInd w:val="0"/>
              <w:snapToGrid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b/>
                <w:bCs/>
                <w:sz w:val="24"/>
                <w:szCs w:val="24"/>
                <w:lang w:val="en-US"/>
              </w:rPr>
            </w:pPr>
            <w:r w:rsidRPr="003C334E">
              <w:rPr>
                <w:b/>
                <w:bCs/>
                <w:sz w:val="24"/>
                <w:szCs w:val="24"/>
                <w:lang w:val="en-US"/>
              </w:rPr>
              <w:t>Idiopathic</w:t>
            </w:r>
          </w:p>
        </w:tc>
        <w:tc>
          <w:tcPr>
            <w:tcW w:w="1250" w:type="pct"/>
          </w:tcPr>
          <w:p w14:paraId="521046CD" w14:textId="77777777" w:rsidR="00E17808" w:rsidRPr="003C334E" w:rsidRDefault="00E17808" w:rsidP="007E3B89">
            <w:pPr>
              <w:pStyle w:val="Tables"/>
              <w:adjustRightInd w:val="0"/>
              <w:snapToGrid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b/>
                <w:bCs/>
                <w:sz w:val="24"/>
                <w:szCs w:val="24"/>
                <w:lang w:val="en-US"/>
              </w:rPr>
            </w:pPr>
            <w:r w:rsidRPr="003C334E">
              <w:rPr>
                <w:b/>
                <w:bCs/>
                <w:sz w:val="24"/>
                <w:szCs w:val="24"/>
                <w:lang w:val="en-US"/>
              </w:rPr>
              <w:t>Crohn’s Disease</w:t>
            </w:r>
          </w:p>
        </w:tc>
        <w:tc>
          <w:tcPr>
            <w:tcW w:w="1250" w:type="pct"/>
          </w:tcPr>
          <w:p w14:paraId="5579039C" w14:textId="1D59867F" w:rsidR="00E17808" w:rsidRPr="003C334E" w:rsidRDefault="00E17808" w:rsidP="007E3B89">
            <w:pPr>
              <w:pStyle w:val="Tables"/>
              <w:adjustRightInd w:val="0"/>
              <w:snapToGrid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b/>
                <w:bCs/>
                <w:iCs/>
                <w:sz w:val="24"/>
                <w:szCs w:val="24"/>
                <w:lang w:val="en-US"/>
              </w:rPr>
            </w:pPr>
            <w:r w:rsidRPr="003C334E">
              <w:rPr>
                <w:b/>
                <w:bCs/>
                <w:i/>
                <w:sz w:val="24"/>
                <w:szCs w:val="24"/>
                <w:lang w:val="en-US"/>
              </w:rPr>
              <w:t>P</w:t>
            </w:r>
            <w:r w:rsidR="003C334E" w:rsidRPr="003C334E">
              <w:rPr>
                <w:b/>
                <w:bCs/>
                <w:iCs/>
                <w:sz w:val="24"/>
                <w:szCs w:val="24"/>
                <w:lang w:val="en-US"/>
              </w:rPr>
              <w:t xml:space="preserve"> value</w:t>
            </w:r>
          </w:p>
        </w:tc>
      </w:tr>
      <w:tr w:rsidR="00E17808" w:rsidRPr="007018B5" w14:paraId="66061701" w14:textId="77777777" w:rsidTr="00FE0D29">
        <w:tblPrEx>
          <w:tblLook w:val="0020" w:firstRow="1" w:lastRow="0" w:firstColumn="0" w:lastColumn="0" w:noHBand="0" w:noVBand="0"/>
        </w:tblPrEx>
        <w:tc>
          <w:tcPr>
            <w:tcW w:w="1250" w:type="pct"/>
          </w:tcPr>
          <w:p w14:paraId="06DB0EE1" w14:textId="77777777" w:rsidR="00E17808" w:rsidRPr="007018B5" w:rsidRDefault="00E17808" w:rsidP="007E3B89">
            <w:pPr>
              <w:pStyle w:val="Tables"/>
              <w:adjustRightInd w:val="0"/>
              <w:snapToGrid w:val="0"/>
              <w:spacing w:before="0" w:after="0" w:line="360" w:lineRule="auto"/>
              <w:jc w:val="both"/>
              <w:rPr>
                <w:rFonts w:eastAsiaTheme="minorEastAsia"/>
                <w:sz w:val="24"/>
                <w:szCs w:val="24"/>
                <w:lang w:val="en-US"/>
              </w:rPr>
            </w:pPr>
            <w:r w:rsidRPr="007018B5">
              <w:rPr>
                <w:rFonts w:eastAsiaTheme="minorEastAsia"/>
                <w:sz w:val="24"/>
                <w:szCs w:val="24"/>
                <w:lang w:val="en-US"/>
              </w:rPr>
              <w:t>Mean PDAI (SD)</w:t>
            </w:r>
          </w:p>
        </w:tc>
        <w:tc>
          <w:tcPr>
            <w:tcW w:w="1250" w:type="pct"/>
          </w:tcPr>
          <w:p w14:paraId="1CD68616" w14:textId="77777777" w:rsidR="00E17808" w:rsidRPr="007018B5" w:rsidRDefault="00E17808" w:rsidP="007E3B89">
            <w:pPr>
              <w:pStyle w:val="Tables"/>
              <w:adjustRightInd w:val="0"/>
              <w:snapToGrid w:val="0"/>
              <w:spacing w:before="0" w:after="0" w:line="360" w:lineRule="auto"/>
              <w:jc w:val="both"/>
              <w:rPr>
                <w:rFonts w:eastAsiaTheme="minorEastAsia"/>
                <w:sz w:val="24"/>
                <w:szCs w:val="24"/>
                <w:lang w:val="en-US"/>
              </w:rPr>
            </w:pPr>
            <w:r w:rsidRPr="007018B5">
              <w:rPr>
                <w:rFonts w:eastAsiaTheme="minorEastAsia"/>
                <w:sz w:val="24"/>
                <w:szCs w:val="24"/>
                <w:lang w:val="en-US"/>
              </w:rPr>
              <w:t>5.67 (2.76)</w:t>
            </w:r>
          </w:p>
        </w:tc>
        <w:tc>
          <w:tcPr>
            <w:tcW w:w="1250" w:type="pct"/>
          </w:tcPr>
          <w:p w14:paraId="6CE2C43E" w14:textId="77777777" w:rsidR="00E17808" w:rsidRPr="007018B5" w:rsidRDefault="00E17808" w:rsidP="007E3B89">
            <w:pPr>
              <w:pStyle w:val="Tables"/>
              <w:adjustRightInd w:val="0"/>
              <w:snapToGrid w:val="0"/>
              <w:spacing w:before="0" w:after="0" w:line="360" w:lineRule="auto"/>
              <w:jc w:val="both"/>
              <w:rPr>
                <w:rFonts w:eastAsiaTheme="minorEastAsia"/>
                <w:sz w:val="24"/>
                <w:szCs w:val="24"/>
                <w:lang w:val="en-US"/>
              </w:rPr>
            </w:pPr>
            <w:r w:rsidRPr="007018B5">
              <w:rPr>
                <w:rFonts w:eastAsiaTheme="minorEastAsia"/>
                <w:sz w:val="24"/>
                <w:szCs w:val="24"/>
                <w:lang w:val="en-US"/>
              </w:rPr>
              <w:t>8.07 (3.99)</w:t>
            </w:r>
          </w:p>
        </w:tc>
        <w:tc>
          <w:tcPr>
            <w:tcW w:w="1250" w:type="pct"/>
          </w:tcPr>
          <w:p w14:paraId="528F7EF3" w14:textId="6CCEC2DC" w:rsidR="00E17808" w:rsidRPr="007018B5" w:rsidRDefault="00E17808" w:rsidP="007E3B89">
            <w:pPr>
              <w:pStyle w:val="Tables"/>
              <w:adjustRightInd w:val="0"/>
              <w:snapToGrid w:val="0"/>
              <w:spacing w:before="0" w:after="0" w:line="360" w:lineRule="auto"/>
              <w:jc w:val="both"/>
              <w:rPr>
                <w:rFonts w:eastAsiaTheme="minorEastAsia"/>
                <w:sz w:val="24"/>
                <w:szCs w:val="24"/>
                <w:lang w:val="en-US"/>
              </w:rPr>
            </w:pPr>
            <w:r w:rsidRPr="007018B5">
              <w:rPr>
                <w:rFonts w:eastAsiaTheme="minorEastAsia"/>
                <w:sz w:val="24"/>
                <w:szCs w:val="24"/>
                <w:lang w:val="en-US"/>
              </w:rPr>
              <w:t>0.01</w:t>
            </w:r>
            <w:r w:rsidR="007D008C" w:rsidRPr="007018B5">
              <w:rPr>
                <w:sz w:val="24"/>
                <w:szCs w:val="24"/>
                <w:vertAlign w:val="superscript"/>
                <w:lang w:val="en-US"/>
              </w:rPr>
              <w:t>a</w:t>
            </w:r>
          </w:p>
        </w:tc>
      </w:tr>
      <w:tr w:rsidR="00E17808" w:rsidRPr="007018B5" w14:paraId="637A4EB0"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12AD5C54" w14:textId="77777777" w:rsidR="00E17808" w:rsidRPr="007018B5" w:rsidRDefault="00E17808" w:rsidP="007E3B89">
            <w:pPr>
              <w:pStyle w:val="Tables"/>
              <w:adjustRightInd w:val="0"/>
              <w:snapToGrid w:val="0"/>
              <w:spacing w:before="0" w:after="0" w:line="360" w:lineRule="auto"/>
              <w:jc w:val="both"/>
              <w:rPr>
                <w:sz w:val="24"/>
                <w:szCs w:val="24"/>
                <w:lang w:val="en-US"/>
              </w:rPr>
            </w:pPr>
            <w:r w:rsidRPr="007018B5">
              <w:rPr>
                <w:rFonts w:eastAsiaTheme="minorEastAsia"/>
                <w:sz w:val="24"/>
                <w:szCs w:val="24"/>
                <w:lang w:val="en-US"/>
              </w:rPr>
              <w:t>Mean EQ VAS (SD)</w:t>
            </w:r>
          </w:p>
        </w:tc>
        <w:tc>
          <w:tcPr>
            <w:tcW w:w="1250" w:type="pct"/>
          </w:tcPr>
          <w:p w14:paraId="1FBBC9A0"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rFonts w:eastAsiaTheme="minorEastAsia"/>
                <w:sz w:val="24"/>
                <w:szCs w:val="24"/>
                <w:lang w:val="en-US"/>
              </w:rPr>
              <w:t>71.2 (21.1)</w:t>
            </w:r>
          </w:p>
        </w:tc>
        <w:tc>
          <w:tcPr>
            <w:tcW w:w="1250" w:type="pct"/>
          </w:tcPr>
          <w:p w14:paraId="0232C111"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rFonts w:eastAsiaTheme="minorEastAsia"/>
                <w:sz w:val="24"/>
                <w:szCs w:val="24"/>
                <w:lang w:val="en-US"/>
              </w:rPr>
              <w:t>63.4 (20.2)</w:t>
            </w:r>
          </w:p>
        </w:tc>
        <w:tc>
          <w:tcPr>
            <w:tcW w:w="1250" w:type="pct"/>
          </w:tcPr>
          <w:p w14:paraId="702556A8"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0.22</w:t>
            </w:r>
          </w:p>
        </w:tc>
      </w:tr>
      <w:tr w:rsidR="00E17808" w:rsidRPr="007018B5" w14:paraId="348AD5D9"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662996D1" w14:textId="77777777" w:rsidR="00E17808" w:rsidRPr="007018B5" w:rsidRDefault="00E17808" w:rsidP="007E3B89">
            <w:pPr>
              <w:pStyle w:val="Tables"/>
              <w:adjustRightInd w:val="0"/>
              <w:snapToGrid w:val="0"/>
              <w:spacing w:before="0" w:after="0" w:line="360" w:lineRule="auto"/>
              <w:jc w:val="both"/>
              <w:rPr>
                <w:sz w:val="24"/>
                <w:szCs w:val="24"/>
                <w:lang w:val="en-US"/>
              </w:rPr>
            </w:pPr>
            <w:r w:rsidRPr="007018B5">
              <w:rPr>
                <w:rFonts w:eastAsiaTheme="minorEastAsia"/>
                <w:sz w:val="24"/>
                <w:szCs w:val="24"/>
                <w:lang w:val="en-US"/>
              </w:rPr>
              <w:t>Mean EQ index (SD)</w:t>
            </w:r>
          </w:p>
        </w:tc>
        <w:tc>
          <w:tcPr>
            <w:tcW w:w="1250" w:type="pct"/>
          </w:tcPr>
          <w:p w14:paraId="648BCACE"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rFonts w:eastAsiaTheme="minorEastAsia"/>
                <w:sz w:val="24"/>
                <w:szCs w:val="24"/>
                <w:lang w:val="en-US"/>
              </w:rPr>
              <w:t>0.734 (0.259)</w:t>
            </w:r>
          </w:p>
        </w:tc>
        <w:tc>
          <w:tcPr>
            <w:tcW w:w="1250" w:type="pct"/>
          </w:tcPr>
          <w:p w14:paraId="61F03CD7"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rFonts w:eastAsiaTheme="minorEastAsia"/>
                <w:sz w:val="24"/>
                <w:szCs w:val="24"/>
                <w:lang w:val="en-US"/>
              </w:rPr>
              <w:t>0.715 (0.214)</w:t>
            </w:r>
          </w:p>
        </w:tc>
        <w:tc>
          <w:tcPr>
            <w:tcW w:w="1250" w:type="pct"/>
          </w:tcPr>
          <w:p w14:paraId="585AF58C"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0.80</w:t>
            </w:r>
          </w:p>
        </w:tc>
      </w:tr>
      <w:tr w:rsidR="00E17808" w:rsidRPr="007018B5" w14:paraId="3A49C588"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4D3AC571" w14:textId="4264469A" w:rsidR="00E17808" w:rsidRPr="003C334E" w:rsidRDefault="00E17808" w:rsidP="007E3B89">
            <w:pPr>
              <w:pStyle w:val="Tables"/>
              <w:adjustRightInd w:val="0"/>
              <w:snapToGrid w:val="0"/>
              <w:spacing w:before="0" w:after="0" w:line="360" w:lineRule="auto"/>
              <w:jc w:val="both"/>
              <w:rPr>
                <w:i/>
                <w:sz w:val="24"/>
                <w:szCs w:val="24"/>
                <w:lang w:val="en-US"/>
              </w:rPr>
            </w:pPr>
            <w:r w:rsidRPr="007018B5">
              <w:rPr>
                <w:sz w:val="24"/>
                <w:szCs w:val="24"/>
                <w:lang w:val="en-US"/>
              </w:rPr>
              <w:t xml:space="preserve">Seton </w:t>
            </w:r>
            <w:r w:rsidRPr="007018B5">
              <w:rPr>
                <w:i/>
                <w:sz w:val="24"/>
                <w:szCs w:val="24"/>
                <w:lang w:val="en-US"/>
              </w:rPr>
              <w:t>in situ</w:t>
            </w:r>
            <w:r w:rsidR="003C334E">
              <w:rPr>
                <w:iCs/>
                <w:sz w:val="24"/>
                <w:szCs w:val="24"/>
                <w:lang w:val="en-US"/>
              </w:rPr>
              <w:t xml:space="preserve">, </w:t>
            </w:r>
            <w:r w:rsidR="003C334E">
              <w:rPr>
                <w:i/>
                <w:sz w:val="24"/>
                <w:szCs w:val="24"/>
                <w:lang w:val="en-US"/>
              </w:rPr>
              <w:t xml:space="preserve">n </w:t>
            </w:r>
            <w:r w:rsidR="003C334E" w:rsidRPr="003C334E">
              <w:rPr>
                <w:iCs/>
                <w:sz w:val="24"/>
                <w:szCs w:val="24"/>
                <w:lang w:val="en-US"/>
              </w:rPr>
              <w:t>(%)</w:t>
            </w:r>
          </w:p>
        </w:tc>
        <w:tc>
          <w:tcPr>
            <w:tcW w:w="1250" w:type="pct"/>
          </w:tcPr>
          <w:p w14:paraId="62B55132" w14:textId="2BCF8239"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21 (44)</w:t>
            </w:r>
          </w:p>
        </w:tc>
        <w:tc>
          <w:tcPr>
            <w:tcW w:w="1250" w:type="pct"/>
          </w:tcPr>
          <w:p w14:paraId="60F8E080" w14:textId="52C391E2"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 (23)</w:t>
            </w:r>
          </w:p>
        </w:tc>
        <w:tc>
          <w:tcPr>
            <w:tcW w:w="1250" w:type="pct"/>
          </w:tcPr>
          <w:p w14:paraId="46C97993"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0.22</w:t>
            </w:r>
          </w:p>
        </w:tc>
      </w:tr>
      <w:tr w:rsidR="00E17808" w:rsidRPr="007018B5" w14:paraId="581C8C44" w14:textId="77777777" w:rsidTr="00FE0D29">
        <w:trPr>
          <w:trHeight w:val="654"/>
        </w:trPr>
        <w:tc>
          <w:tcPr>
            <w:cnfStyle w:val="001000000000" w:firstRow="0" w:lastRow="0" w:firstColumn="1" w:lastColumn="0" w:oddVBand="0" w:evenVBand="0" w:oddHBand="0" w:evenHBand="0" w:firstRowFirstColumn="0" w:firstRowLastColumn="0" w:lastRowFirstColumn="0" w:lastRowLastColumn="0"/>
            <w:tcW w:w="1250" w:type="pct"/>
          </w:tcPr>
          <w:p w14:paraId="62D5F0FF" w14:textId="77777777" w:rsidR="003C334E"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Number of fistulae:</w:t>
            </w:r>
          </w:p>
          <w:p w14:paraId="7066E62B" w14:textId="77777777" w:rsidR="003C334E"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Single unbranched</w:t>
            </w:r>
          </w:p>
          <w:p w14:paraId="3C06C8FE" w14:textId="77777777" w:rsidR="003C334E"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Single branched</w:t>
            </w:r>
          </w:p>
          <w:p w14:paraId="3B2BD709" w14:textId="25F17AF5" w:rsidR="00E17808" w:rsidRPr="007018B5"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Multiple</w:t>
            </w:r>
          </w:p>
        </w:tc>
        <w:tc>
          <w:tcPr>
            <w:tcW w:w="1250" w:type="pct"/>
          </w:tcPr>
          <w:p w14:paraId="57DFC211" w14:textId="77777777" w:rsidR="003C334E" w:rsidRDefault="003C334E"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p w14:paraId="4E0ED3B4" w14:textId="29DC8B17"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31 (65)</w:t>
            </w:r>
          </w:p>
          <w:p w14:paraId="4FAD3460" w14:textId="42BF1FE4"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15 (31)</w:t>
            </w:r>
          </w:p>
          <w:p w14:paraId="1BE54BF0" w14:textId="39373F93"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2 (4)</w:t>
            </w:r>
          </w:p>
        </w:tc>
        <w:tc>
          <w:tcPr>
            <w:tcW w:w="1250" w:type="pct"/>
          </w:tcPr>
          <w:p w14:paraId="1B50C274" w14:textId="77777777" w:rsidR="003C334E" w:rsidRDefault="003C334E"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p w14:paraId="2879DFBD" w14:textId="66892CCD"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 (23)</w:t>
            </w:r>
          </w:p>
          <w:p w14:paraId="33BBE1CD" w14:textId="49D24CEA"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7 (54)</w:t>
            </w:r>
          </w:p>
          <w:p w14:paraId="469EFD98" w14:textId="0E357450"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 (23)</w:t>
            </w:r>
          </w:p>
        </w:tc>
        <w:tc>
          <w:tcPr>
            <w:tcW w:w="1250" w:type="pct"/>
          </w:tcPr>
          <w:p w14:paraId="5C738E07"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0.09</w:t>
            </w:r>
          </w:p>
        </w:tc>
      </w:tr>
      <w:tr w:rsidR="00E17808" w:rsidRPr="007018B5" w14:paraId="3C5E7BE6" w14:textId="77777777" w:rsidTr="00FE0D29">
        <w:trPr>
          <w:trHeight w:val="654"/>
        </w:trPr>
        <w:tc>
          <w:tcPr>
            <w:cnfStyle w:val="001000000000" w:firstRow="0" w:lastRow="0" w:firstColumn="1" w:lastColumn="0" w:oddVBand="0" w:evenVBand="0" w:oddHBand="0" w:evenHBand="0" w:firstRowFirstColumn="0" w:firstRowLastColumn="0" w:lastRowFirstColumn="0" w:lastRowLastColumn="0"/>
            <w:tcW w:w="1250" w:type="pct"/>
          </w:tcPr>
          <w:p w14:paraId="056D6C36" w14:textId="7A7E0DC3" w:rsidR="003C334E" w:rsidRDefault="00E17808" w:rsidP="007E3B89">
            <w:pPr>
              <w:pStyle w:val="Tables"/>
              <w:adjustRightInd w:val="0"/>
              <w:snapToGrid w:val="0"/>
              <w:spacing w:before="0" w:after="0" w:line="360" w:lineRule="auto"/>
              <w:jc w:val="both"/>
              <w:rPr>
                <w:iCs/>
                <w:sz w:val="24"/>
                <w:szCs w:val="24"/>
                <w:lang w:val="en-US"/>
              </w:rPr>
            </w:pPr>
            <w:r w:rsidRPr="007018B5">
              <w:rPr>
                <w:sz w:val="24"/>
                <w:szCs w:val="24"/>
                <w:lang w:val="en-US"/>
              </w:rPr>
              <w:t>Parks’ classification</w:t>
            </w:r>
            <w:r w:rsidR="003C334E">
              <w:rPr>
                <w:iCs/>
                <w:sz w:val="24"/>
                <w:szCs w:val="24"/>
                <w:lang w:val="en-US"/>
              </w:rPr>
              <w:t xml:space="preserve">, </w:t>
            </w:r>
            <w:r w:rsidR="003C334E">
              <w:rPr>
                <w:i/>
                <w:sz w:val="24"/>
                <w:szCs w:val="24"/>
                <w:lang w:val="en-US"/>
              </w:rPr>
              <w:t xml:space="preserve">n </w:t>
            </w:r>
            <w:r w:rsidR="003C334E" w:rsidRPr="003C334E">
              <w:rPr>
                <w:iCs/>
                <w:sz w:val="24"/>
                <w:szCs w:val="24"/>
                <w:lang w:val="en-US"/>
              </w:rPr>
              <w:t>(%)</w:t>
            </w:r>
          </w:p>
          <w:p w14:paraId="5228C0AC" w14:textId="77777777" w:rsidR="003C334E"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Inter-sphincteric</w:t>
            </w:r>
          </w:p>
          <w:p w14:paraId="19003AD5" w14:textId="77777777" w:rsidR="003C334E"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Trans-sphincteric</w:t>
            </w:r>
          </w:p>
          <w:p w14:paraId="5A3DF1DB" w14:textId="0D15D104" w:rsidR="00E17808" w:rsidRPr="007018B5"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Supra-sphincteric</w:t>
            </w:r>
          </w:p>
        </w:tc>
        <w:tc>
          <w:tcPr>
            <w:tcW w:w="1250" w:type="pct"/>
          </w:tcPr>
          <w:p w14:paraId="2E668DF0" w14:textId="62D31E66"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br/>
              <w:t>7 (15)</w:t>
            </w:r>
          </w:p>
          <w:p w14:paraId="7C805894" w14:textId="584219FA"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38 (79)</w:t>
            </w:r>
          </w:p>
          <w:p w14:paraId="157440A5" w14:textId="7AEB6D60"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 (6)</w:t>
            </w:r>
          </w:p>
        </w:tc>
        <w:tc>
          <w:tcPr>
            <w:tcW w:w="1250" w:type="pct"/>
          </w:tcPr>
          <w:p w14:paraId="2E3464A8" w14:textId="74D38141"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br/>
              <w:t>1 (8)</w:t>
            </w:r>
          </w:p>
          <w:p w14:paraId="78306D06" w14:textId="7112810A"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10 (77)</w:t>
            </w:r>
          </w:p>
          <w:p w14:paraId="27E0A481" w14:textId="6DED4228"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2 (15)</w:t>
            </w:r>
          </w:p>
        </w:tc>
        <w:tc>
          <w:tcPr>
            <w:tcW w:w="1250" w:type="pct"/>
          </w:tcPr>
          <w:p w14:paraId="7013A2EE"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0.54</w:t>
            </w:r>
          </w:p>
        </w:tc>
      </w:tr>
      <w:tr w:rsidR="00E17808" w:rsidRPr="007018B5" w14:paraId="765AB912"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0FC3EEB7" w14:textId="77777777" w:rsidR="00E17808" w:rsidRPr="007018B5"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High primary tract</w:t>
            </w:r>
          </w:p>
        </w:tc>
        <w:tc>
          <w:tcPr>
            <w:tcW w:w="1250" w:type="pct"/>
          </w:tcPr>
          <w:p w14:paraId="6AA992E2"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15 (31%)</w:t>
            </w:r>
          </w:p>
        </w:tc>
        <w:tc>
          <w:tcPr>
            <w:tcW w:w="1250" w:type="pct"/>
          </w:tcPr>
          <w:p w14:paraId="0674CEFB"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6 (46%)</w:t>
            </w:r>
          </w:p>
        </w:tc>
        <w:tc>
          <w:tcPr>
            <w:tcW w:w="1250" w:type="pct"/>
          </w:tcPr>
          <w:p w14:paraId="4A3535B8"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0.34</w:t>
            </w:r>
          </w:p>
        </w:tc>
      </w:tr>
      <w:tr w:rsidR="00E17808" w:rsidRPr="007018B5" w14:paraId="061D9E34" w14:textId="77777777" w:rsidTr="00FE0D29">
        <w:trPr>
          <w:trHeight w:val="654"/>
        </w:trPr>
        <w:tc>
          <w:tcPr>
            <w:cnfStyle w:val="001000000000" w:firstRow="0" w:lastRow="0" w:firstColumn="1" w:lastColumn="0" w:oddVBand="0" w:evenVBand="0" w:oddHBand="0" w:evenHBand="0" w:firstRowFirstColumn="0" w:firstRowLastColumn="0" w:lastRowFirstColumn="0" w:lastRowLastColumn="0"/>
            <w:tcW w:w="1250" w:type="pct"/>
          </w:tcPr>
          <w:p w14:paraId="71A7A799" w14:textId="77777777" w:rsidR="003C334E" w:rsidRDefault="00E17808" w:rsidP="007E3B89">
            <w:pPr>
              <w:pStyle w:val="Tables"/>
              <w:adjustRightInd w:val="0"/>
              <w:snapToGrid w:val="0"/>
              <w:spacing w:before="0" w:after="0" w:line="360" w:lineRule="auto"/>
              <w:jc w:val="both"/>
              <w:rPr>
                <w:iCs/>
                <w:sz w:val="24"/>
                <w:szCs w:val="24"/>
                <w:lang w:val="en-US"/>
              </w:rPr>
            </w:pPr>
            <w:r w:rsidRPr="007018B5">
              <w:rPr>
                <w:sz w:val="24"/>
                <w:szCs w:val="24"/>
                <w:lang w:val="en-US"/>
              </w:rPr>
              <w:t>Secondary tract(s)</w:t>
            </w:r>
            <w:r w:rsidR="003C334E">
              <w:rPr>
                <w:iCs/>
                <w:sz w:val="24"/>
                <w:szCs w:val="24"/>
                <w:lang w:val="en-US"/>
              </w:rPr>
              <w:t xml:space="preserve">, </w:t>
            </w:r>
            <w:r w:rsidR="003C334E">
              <w:rPr>
                <w:i/>
                <w:sz w:val="24"/>
                <w:szCs w:val="24"/>
                <w:lang w:val="en-US"/>
              </w:rPr>
              <w:t xml:space="preserve">n </w:t>
            </w:r>
            <w:r w:rsidR="003C334E" w:rsidRPr="003C334E">
              <w:rPr>
                <w:iCs/>
                <w:sz w:val="24"/>
                <w:szCs w:val="24"/>
                <w:lang w:val="en-US"/>
              </w:rPr>
              <w:t>(%)</w:t>
            </w:r>
          </w:p>
          <w:p w14:paraId="2E7F454D" w14:textId="77777777" w:rsidR="003C334E"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None</w:t>
            </w:r>
          </w:p>
          <w:p w14:paraId="35E5C3E8" w14:textId="77777777" w:rsidR="003C334E" w:rsidRDefault="00E17808" w:rsidP="007E3B89">
            <w:pPr>
              <w:pStyle w:val="Tables"/>
              <w:adjustRightInd w:val="0"/>
              <w:snapToGrid w:val="0"/>
              <w:spacing w:before="0" w:after="0" w:line="360" w:lineRule="auto"/>
              <w:jc w:val="both"/>
              <w:rPr>
                <w:sz w:val="24"/>
                <w:szCs w:val="24"/>
                <w:lang w:val="en-US"/>
              </w:rPr>
            </w:pPr>
            <w:proofErr w:type="spellStart"/>
            <w:r w:rsidRPr="007018B5">
              <w:rPr>
                <w:sz w:val="24"/>
                <w:szCs w:val="24"/>
                <w:lang w:val="en-US"/>
              </w:rPr>
              <w:t>Infralevator</w:t>
            </w:r>
            <w:proofErr w:type="spellEnd"/>
          </w:p>
          <w:p w14:paraId="117AD097" w14:textId="043665A3" w:rsidR="00E17808" w:rsidRPr="007018B5" w:rsidRDefault="00E17808" w:rsidP="007E3B89">
            <w:pPr>
              <w:pStyle w:val="Tables"/>
              <w:adjustRightInd w:val="0"/>
              <w:snapToGrid w:val="0"/>
              <w:spacing w:before="0" w:after="0" w:line="360" w:lineRule="auto"/>
              <w:jc w:val="both"/>
              <w:rPr>
                <w:sz w:val="24"/>
                <w:szCs w:val="24"/>
                <w:lang w:val="en-US"/>
              </w:rPr>
            </w:pPr>
            <w:proofErr w:type="spellStart"/>
            <w:r w:rsidRPr="007018B5">
              <w:rPr>
                <w:sz w:val="24"/>
                <w:szCs w:val="24"/>
                <w:lang w:val="en-US"/>
              </w:rPr>
              <w:t>Supralevator</w:t>
            </w:r>
            <w:proofErr w:type="spellEnd"/>
          </w:p>
        </w:tc>
        <w:tc>
          <w:tcPr>
            <w:tcW w:w="1250" w:type="pct"/>
          </w:tcPr>
          <w:p w14:paraId="3185F6C0" w14:textId="77777777" w:rsidR="003C334E" w:rsidRDefault="003C334E"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p w14:paraId="2FAF3643" w14:textId="6FC175E3"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31 (65)</w:t>
            </w:r>
          </w:p>
          <w:p w14:paraId="09B51511" w14:textId="02F5D365"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14 (29)</w:t>
            </w:r>
          </w:p>
          <w:p w14:paraId="2FA0FDCF" w14:textId="2BBB6F3B"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3 (6)</w:t>
            </w:r>
          </w:p>
        </w:tc>
        <w:tc>
          <w:tcPr>
            <w:tcW w:w="1250" w:type="pct"/>
          </w:tcPr>
          <w:p w14:paraId="77117805" w14:textId="74364D9A"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br/>
              <w:t>4 (31)</w:t>
            </w:r>
          </w:p>
          <w:p w14:paraId="0DB32F63" w14:textId="2E2DA762" w:rsidR="003C334E"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5 (38)</w:t>
            </w:r>
          </w:p>
          <w:p w14:paraId="4E35B694" w14:textId="287B19D8"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4 (31)</w:t>
            </w:r>
          </w:p>
        </w:tc>
        <w:tc>
          <w:tcPr>
            <w:tcW w:w="1250" w:type="pct"/>
          </w:tcPr>
          <w:p w14:paraId="7DAA376F" w14:textId="53165E58"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0.02</w:t>
            </w:r>
            <w:r w:rsidR="007D008C" w:rsidRPr="007018B5">
              <w:rPr>
                <w:sz w:val="24"/>
                <w:szCs w:val="24"/>
                <w:vertAlign w:val="superscript"/>
                <w:lang w:val="en-US"/>
              </w:rPr>
              <w:t>a</w:t>
            </w:r>
          </w:p>
        </w:tc>
      </w:tr>
      <w:tr w:rsidR="00E17808" w:rsidRPr="007018B5" w14:paraId="2AD04925"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394AF48D" w14:textId="53DD51D3" w:rsidR="00E17808" w:rsidRPr="007018B5"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Horseshoe</w:t>
            </w:r>
            <w:bookmarkStart w:id="218" w:name="OLE_LINK734"/>
            <w:bookmarkStart w:id="219" w:name="OLE_LINK735"/>
            <w:r w:rsidR="003C334E">
              <w:rPr>
                <w:iCs/>
                <w:sz w:val="24"/>
                <w:szCs w:val="24"/>
                <w:lang w:val="en-US"/>
              </w:rPr>
              <w:t xml:space="preserve">, </w:t>
            </w:r>
            <w:r w:rsidR="003C334E">
              <w:rPr>
                <w:i/>
                <w:sz w:val="24"/>
                <w:szCs w:val="24"/>
                <w:lang w:val="en-US"/>
              </w:rPr>
              <w:t xml:space="preserve">n </w:t>
            </w:r>
            <w:r w:rsidR="003C334E" w:rsidRPr="003C334E">
              <w:rPr>
                <w:iCs/>
                <w:sz w:val="24"/>
                <w:szCs w:val="24"/>
                <w:lang w:val="en-US"/>
              </w:rPr>
              <w:t>(%)</w:t>
            </w:r>
            <w:bookmarkEnd w:id="218"/>
            <w:bookmarkEnd w:id="219"/>
            <w:r w:rsidRPr="007018B5">
              <w:rPr>
                <w:sz w:val="24"/>
                <w:szCs w:val="24"/>
                <w:lang w:val="en-US"/>
              </w:rPr>
              <w:t xml:space="preserve"> extension(s)</w:t>
            </w:r>
          </w:p>
        </w:tc>
        <w:tc>
          <w:tcPr>
            <w:tcW w:w="1250" w:type="pct"/>
          </w:tcPr>
          <w:p w14:paraId="0B949FE4" w14:textId="41F095B4"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12 (25)</w:t>
            </w:r>
          </w:p>
        </w:tc>
        <w:tc>
          <w:tcPr>
            <w:tcW w:w="1250" w:type="pct"/>
          </w:tcPr>
          <w:p w14:paraId="5FC6990F" w14:textId="7FDD44A0"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5 (38)</w:t>
            </w:r>
          </w:p>
        </w:tc>
        <w:tc>
          <w:tcPr>
            <w:tcW w:w="1250" w:type="pct"/>
          </w:tcPr>
          <w:p w14:paraId="60EACD3B" w14:textId="7777777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0.49</w:t>
            </w:r>
          </w:p>
        </w:tc>
      </w:tr>
      <w:tr w:rsidR="00E17808" w:rsidRPr="007018B5" w14:paraId="65462D43"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1392DBD3" w14:textId="0A9F39F4" w:rsidR="00E17808" w:rsidRPr="007018B5"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Collection(s)</w:t>
            </w:r>
            <w:r w:rsidR="003019F5">
              <w:rPr>
                <w:iCs/>
                <w:sz w:val="24"/>
                <w:szCs w:val="24"/>
                <w:lang w:val="en-US"/>
              </w:rPr>
              <w:t xml:space="preserve"> , </w:t>
            </w:r>
            <w:r w:rsidR="003019F5">
              <w:rPr>
                <w:i/>
                <w:sz w:val="24"/>
                <w:szCs w:val="24"/>
                <w:lang w:val="en-US"/>
              </w:rPr>
              <w:t xml:space="preserve">n </w:t>
            </w:r>
            <w:r w:rsidR="003019F5" w:rsidRPr="003C334E">
              <w:rPr>
                <w:iCs/>
                <w:sz w:val="24"/>
                <w:szCs w:val="24"/>
                <w:lang w:val="en-US"/>
              </w:rPr>
              <w:t>(%)</w:t>
            </w:r>
          </w:p>
        </w:tc>
        <w:tc>
          <w:tcPr>
            <w:tcW w:w="1250" w:type="pct"/>
          </w:tcPr>
          <w:p w14:paraId="0407D6CB" w14:textId="45ABEA57"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16 (33)</w:t>
            </w:r>
          </w:p>
        </w:tc>
        <w:tc>
          <w:tcPr>
            <w:tcW w:w="1250" w:type="pct"/>
          </w:tcPr>
          <w:p w14:paraId="3BC7D282" w14:textId="669EBE0F"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12 (92)</w:t>
            </w:r>
          </w:p>
        </w:tc>
        <w:tc>
          <w:tcPr>
            <w:tcW w:w="1250" w:type="pct"/>
          </w:tcPr>
          <w:p w14:paraId="7BE397DE" w14:textId="73FFE69A"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&lt; 0.0</w:t>
            </w:r>
            <w:r w:rsidR="0090023D" w:rsidRPr="007018B5">
              <w:rPr>
                <w:sz w:val="24"/>
                <w:szCs w:val="24"/>
                <w:lang w:val="en-US"/>
              </w:rPr>
              <w:t>0</w:t>
            </w:r>
            <w:r w:rsidRPr="007018B5">
              <w:rPr>
                <w:sz w:val="24"/>
                <w:szCs w:val="24"/>
                <w:lang w:val="en-US"/>
              </w:rPr>
              <w:t>1</w:t>
            </w:r>
            <w:r w:rsidR="0090023D" w:rsidRPr="007018B5">
              <w:rPr>
                <w:sz w:val="24"/>
                <w:szCs w:val="24"/>
                <w:vertAlign w:val="superscript"/>
                <w:lang w:val="en-US"/>
              </w:rPr>
              <w:t>a</w:t>
            </w:r>
          </w:p>
        </w:tc>
      </w:tr>
      <w:tr w:rsidR="00E17808" w:rsidRPr="007018B5" w14:paraId="4B9A00D1" w14:textId="77777777" w:rsidTr="00FE0D29">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000000" w:themeColor="text1"/>
            </w:tcBorders>
          </w:tcPr>
          <w:p w14:paraId="504348DE" w14:textId="197EF586" w:rsidR="00E17808" w:rsidRPr="007018B5" w:rsidRDefault="00E17808" w:rsidP="007E3B89">
            <w:pPr>
              <w:pStyle w:val="Tables"/>
              <w:adjustRightInd w:val="0"/>
              <w:snapToGrid w:val="0"/>
              <w:spacing w:before="0" w:after="0" w:line="360" w:lineRule="auto"/>
              <w:jc w:val="both"/>
              <w:rPr>
                <w:sz w:val="24"/>
                <w:szCs w:val="24"/>
                <w:lang w:val="en-US"/>
              </w:rPr>
            </w:pPr>
            <w:r w:rsidRPr="007018B5">
              <w:rPr>
                <w:sz w:val="24"/>
                <w:szCs w:val="24"/>
                <w:lang w:val="en-US"/>
              </w:rPr>
              <w:t>Thickened rectum</w:t>
            </w:r>
            <w:r w:rsidR="003019F5">
              <w:rPr>
                <w:iCs/>
                <w:sz w:val="24"/>
                <w:szCs w:val="24"/>
                <w:lang w:val="en-US"/>
              </w:rPr>
              <w:t xml:space="preserve">, </w:t>
            </w:r>
            <w:r w:rsidR="003019F5">
              <w:rPr>
                <w:i/>
                <w:sz w:val="24"/>
                <w:szCs w:val="24"/>
                <w:lang w:val="en-US"/>
              </w:rPr>
              <w:t xml:space="preserve">n </w:t>
            </w:r>
            <w:r w:rsidR="003019F5" w:rsidRPr="003C334E">
              <w:rPr>
                <w:iCs/>
                <w:sz w:val="24"/>
                <w:szCs w:val="24"/>
                <w:lang w:val="en-US"/>
              </w:rPr>
              <w:t>(%)</w:t>
            </w:r>
          </w:p>
        </w:tc>
        <w:tc>
          <w:tcPr>
            <w:tcW w:w="1250" w:type="pct"/>
            <w:tcBorders>
              <w:bottom w:val="single" w:sz="4" w:space="0" w:color="000000" w:themeColor="text1"/>
            </w:tcBorders>
          </w:tcPr>
          <w:p w14:paraId="404F4B35" w14:textId="6F49DE2D"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1 (2)</w:t>
            </w:r>
          </w:p>
        </w:tc>
        <w:tc>
          <w:tcPr>
            <w:tcW w:w="1250" w:type="pct"/>
            <w:tcBorders>
              <w:bottom w:val="single" w:sz="4" w:space="0" w:color="000000" w:themeColor="text1"/>
            </w:tcBorders>
          </w:tcPr>
          <w:p w14:paraId="3D0512EF" w14:textId="72EE431A"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7 (54)</w:t>
            </w:r>
          </w:p>
        </w:tc>
        <w:tc>
          <w:tcPr>
            <w:tcW w:w="1250" w:type="pct"/>
            <w:tcBorders>
              <w:bottom w:val="single" w:sz="4" w:space="0" w:color="000000" w:themeColor="text1"/>
            </w:tcBorders>
          </w:tcPr>
          <w:p w14:paraId="06B43D22" w14:textId="3B4D3E1A" w:rsidR="00E17808" w:rsidRPr="007018B5"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7018B5">
              <w:rPr>
                <w:sz w:val="24"/>
                <w:szCs w:val="24"/>
                <w:lang w:val="en-US"/>
              </w:rPr>
              <w:t>&lt; 0.0</w:t>
            </w:r>
            <w:r w:rsidR="0090023D" w:rsidRPr="007018B5">
              <w:rPr>
                <w:sz w:val="24"/>
                <w:szCs w:val="24"/>
                <w:lang w:val="en-US"/>
              </w:rPr>
              <w:t>0</w:t>
            </w:r>
            <w:r w:rsidRPr="007018B5">
              <w:rPr>
                <w:sz w:val="24"/>
                <w:szCs w:val="24"/>
                <w:lang w:val="en-US"/>
              </w:rPr>
              <w:t>1</w:t>
            </w:r>
            <w:r w:rsidR="0090023D" w:rsidRPr="007018B5">
              <w:rPr>
                <w:sz w:val="24"/>
                <w:szCs w:val="24"/>
                <w:vertAlign w:val="superscript"/>
                <w:lang w:val="en-US"/>
              </w:rPr>
              <w:t>a</w:t>
            </w:r>
          </w:p>
        </w:tc>
      </w:tr>
    </w:tbl>
    <w:p w14:paraId="6E1E25FE" w14:textId="2E619629" w:rsidR="00E17808" w:rsidRDefault="009B40C2" w:rsidP="007E3B89">
      <w:pPr>
        <w:pStyle w:val="Tablefooter"/>
        <w:adjustRightInd w:val="0"/>
        <w:snapToGrid w:val="0"/>
        <w:spacing w:line="360" w:lineRule="auto"/>
        <w:jc w:val="both"/>
        <w:rPr>
          <w:bCs/>
          <w:i w:val="0"/>
          <w:iCs/>
          <w:sz w:val="24"/>
          <w:szCs w:val="24"/>
          <w:lang w:val="en-US"/>
        </w:rPr>
      </w:pPr>
      <w:r w:rsidRPr="009B40C2">
        <w:rPr>
          <w:bCs/>
          <w:i w:val="0"/>
          <w:iCs/>
          <w:sz w:val="24"/>
          <w:szCs w:val="24"/>
          <w:lang w:val="en-US"/>
        </w:rPr>
        <w:t xml:space="preserve">Perineal Disease Activity Index, </w:t>
      </w:r>
      <w:proofErr w:type="spellStart"/>
      <w:r w:rsidRPr="009B40C2">
        <w:rPr>
          <w:bCs/>
          <w:i w:val="0"/>
          <w:iCs/>
          <w:sz w:val="24"/>
          <w:szCs w:val="24"/>
          <w:lang w:val="en-US"/>
        </w:rPr>
        <w:t>EuroQoL</w:t>
      </w:r>
      <w:proofErr w:type="spellEnd"/>
      <w:r w:rsidRPr="009B40C2">
        <w:rPr>
          <w:bCs/>
          <w:i w:val="0"/>
          <w:iCs/>
          <w:sz w:val="24"/>
          <w:szCs w:val="24"/>
          <w:lang w:val="en-US"/>
        </w:rPr>
        <w:t xml:space="preserve"> visual analogue score and index measured at pre-operative clinic assessment. Continuous data was compared using </w:t>
      </w:r>
      <w:r w:rsidR="00A17EAD" w:rsidRPr="00A17EAD">
        <w:rPr>
          <w:bCs/>
          <w:sz w:val="24"/>
          <w:szCs w:val="24"/>
          <w:lang w:val="en-US"/>
        </w:rPr>
        <w:t>t</w:t>
      </w:r>
      <w:r w:rsidRPr="009B40C2">
        <w:rPr>
          <w:bCs/>
          <w:i w:val="0"/>
          <w:iCs/>
          <w:sz w:val="24"/>
          <w:szCs w:val="24"/>
          <w:lang w:val="en-US"/>
        </w:rPr>
        <w:t xml:space="preserve">-test. Discrete data compared using Fisher’s Exact test. </w:t>
      </w:r>
      <w:r w:rsidRPr="009B40C2">
        <w:rPr>
          <w:bCs/>
          <w:sz w:val="24"/>
          <w:szCs w:val="24"/>
          <w:lang w:val="en-US"/>
        </w:rPr>
        <w:t>P</w:t>
      </w:r>
      <w:r w:rsidRPr="009B40C2">
        <w:rPr>
          <w:bCs/>
          <w:i w:val="0"/>
          <w:iCs/>
          <w:sz w:val="24"/>
          <w:szCs w:val="24"/>
          <w:lang w:val="en-US"/>
        </w:rPr>
        <w:t xml:space="preserve"> &lt; 0.05 was considered significant. </w:t>
      </w:r>
      <w:proofErr w:type="spellStart"/>
      <w:r w:rsidR="008B1D27" w:rsidRPr="009B40C2">
        <w:rPr>
          <w:bCs/>
          <w:i w:val="0"/>
          <w:iCs/>
          <w:sz w:val="24"/>
          <w:szCs w:val="24"/>
          <w:vertAlign w:val="superscript"/>
          <w:lang w:val="en-US"/>
        </w:rPr>
        <w:t>a</w:t>
      </w:r>
      <w:r w:rsidR="008B1D27" w:rsidRPr="009B40C2">
        <w:rPr>
          <w:bCs/>
          <w:sz w:val="24"/>
          <w:szCs w:val="24"/>
          <w:lang w:val="en-US"/>
        </w:rPr>
        <w:t>P</w:t>
      </w:r>
      <w:proofErr w:type="spellEnd"/>
      <w:r w:rsidR="008B1D27" w:rsidRPr="009B40C2">
        <w:rPr>
          <w:bCs/>
          <w:i w:val="0"/>
          <w:iCs/>
          <w:sz w:val="24"/>
          <w:szCs w:val="24"/>
          <w:lang w:val="en-US"/>
        </w:rPr>
        <w:t xml:space="preserve"> &lt; 0.05</w:t>
      </w:r>
      <w:r w:rsidR="003C334E">
        <w:rPr>
          <w:bCs/>
          <w:i w:val="0"/>
          <w:iCs/>
          <w:sz w:val="24"/>
          <w:szCs w:val="24"/>
          <w:lang w:val="en-US"/>
        </w:rPr>
        <w:t xml:space="preserve">. </w:t>
      </w:r>
      <w:r w:rsidR="003C334E" w:rsidRPr="009B40C2">
        <w:rPr>
          <w:bCs/>
          <w:i w:val="0"/>
          <w:iCs/>
          <w:sz w:val="24"/>
          <w:szCs w:val="24"/>
          <w:lang w:val="en-US"/>
        </w:rPr>
        <w:t>PDAI</w:t>
      </w:r>
      <w:r w:rsidR="003C334E">
        <w:rPr>
          <w:bCs/>
          <w:i w:val="0"/>
          <w:iCs/>
          <w:sz w:val="24"/>
          <w:szCs w:val="24"/>
          <w:lang w:val="en-US"/>
        </w:rPr>
        <w:t>:</w:t>
      </w:r>
      <w:r w:rsidR="003C334E" w:rsidRPr="009B40C2">
        <w:rPr>
          <w:bCs/>
          <w:i w:val="0"/>
          <w:iCs/>
          <w:sz w:val="24"/>
          <w:szCs w:val="24"/>
          <w:lang w:val="en-US"/>
        </w:rPr>
        <w:t xml:space="preserve"> </w:t>
      </w:r>
      <w:r w:rsidR="008B1D27" w:rsidRPr="009B40C2">
        <w:rPr>
          <w:bCs/>
          <w:i w:val="0"/>
          <w:iCs/>
          <w:sz w:val="24"/>
          <w:szCs w:val="24"/>
          <w:lang w:val="en-US"/>
        </w:rPr>
        <w:t>Perineal Disease Activity Index</w:t>
      </w:r>
      <w:r w:rsidR="003C334E">
        <w:rPr>
          <w:bCs/>
          <w:i w:val="0"/>
          <w:iCs/>
          <w:sz w:val="24"/>
          <w:szCs w:val="24"/>
          <w:lang w:val="en-US"/>
        </w:rPr>
        <w:t>;</w:t>
      </w:r>
      <w:r w:rsidR="008B1D27" w:rsidRPr="009B40C2">
        <w:rPr>
          <w:bCs/>
          <w:i w:val="0"/>
          <w:iCs/>
          <w:sz w:val="24"/>
          <w:szCs w:val="24"/>
          <w:lang w:val="en-US"/>
        </w:rPr>
        <w:t xml:space="preserve"> </w:t>
      </w:r>
      <w:r w:rsidR="003C334E" w:rsidRPr="009B40C2">
        <w:rPr>
          <w:bCs/>
          <w:i w:val="0"/>
          <w:iCs/>
          <w:sz w:val="24"/>
          <w:szCs w:val="24"/>
          <w:lang w:val="en-US"/>
        </w:rPr>
        <w:t>SD</w:t>
      </w:r>
      <w:r w:rsidR="003C334E">
        <w:rPr>
          <w:bCs/>
          <w:i w:val="0"/>
          <w:iCs/>
          <w:sz w:val="24"/>
          <w:szCs w:val="24"/>
          <w:lang w:val="en-US"/>
        </w:rPr>
        <w:t>:</w:t>
      </w:r>
      <w:r w:rsidR="003C334E" w:rsidRPr="009B40C2">
        <w:rPr>
          <w:bCs/>
          <w:i w:val="0"/>
          <w:iCs/>
          <w:sz w:val="24"/>
          <w:szCs w:val="24"/>
          <w:lang w:val="en-US"/>
        </w:rPr>
        <w:t xml:space="preserve"> </w:t>
      </w:r>
      <w:r w:rsidR="003C334E">
        <w:rPr>
          <w:bCs/>
          <w:i w:val="0"/>
          <w:iCs/>
          <w:sz w:val="24"/>
          <w:szCs w:val="24"/>
          <w:lang w:val="en-US"/>
        </w:rPr>
        <w:t>S</w:t>
      </w:r>
      <w:r w:rsidR="008B1D27" w:rsidRPr="009B40C2">
        <w:rPr>
          <w:bCs/>
          <w:i w:val="0"/>
          <w:iCs/>
          <w:sz w:val="24"/>
          <w:szCs w:val="24"/>
          <w:lang w:val="en-US"/>
        </w:rPr>
        <w:t>tandard deviation</w:t>
      </w:r>
      <w:r w:rsidR="003C334E">
        <w:rPr>
          <w:bCs/>
          <w:i w:val="0"/>
          <w:iCs/>
          <w:sz w:val="24"/>
          <w:szCs w:val="24"/>
          <w:lang w:val="en-US"/>
        </w:rPr>
        <w:t>;</w:t>
      </w:r>
      <w:r w:rsidR="008B1D27" w:rsidRPr="009B40C2">
        <w:rPr>
          <w:bCs/>
          <w:i w:val="0"/>
          <w:iCs/>
          <w:sz w:val="24"/>
          <w:szCs w:val="24"/>
          <w:lang w:val="en-US"/>
        </w:rPr>
        <w:t xml:space="preserve"> </w:t>
      </w:r>
      <w:r w:rsidR="003C334E" w:rsidRPr="009B40C2">
        <w:rPr>
          <w:bCs/>
          <w:i w:val="0"/>
          <w:iCs/>
          <w:sz w:val="24"/>
          <w:szCs w:val="24"/>
          <w:lang w:val="en-US"/>
        </w:rPr>
        <w:t>EQ</w:t>
      </w:r>
      <w:r w:rsidR="003C334E">
        <w:rPr>
          <w:bCs/>
          <w:i w:val="0"/>
          <w:iCs/>
          <w:sz w:val="24"/>
          <w:szCs w:val="24"/>
          <w:lang w:val="en-US"/>
        </w:rPr>
        <w:t>:</w:t>
      </w:r>
      <w:r w:rsidR="003C334E" w:rsidRPr="009B40C2">
        <w:rPr>
          <w:bCs/>
          <w:i w:val="0"/>
          <w:iCs/>
          <w:sz w:val="24"/>
          <w:szCs w:val="24"/>
          <w:lang w:val="en-US"/>
        </w:rPr>
        <w:t xml:space="preserve"> </w:t>
      </w:r>
      <w:proofErr w:type="spellStart"/>
      <w:r w:rsidR="008B1D27" w:rsidRPr="009B40C2">
        <w:rPr>
          <w:bCs/>
          <w:i w:val="0"/>
          <w:iCs/>
          <w:sz w:val="24"/>
          <w:szCs w:val="24"/>
          <w:lang w:val="en-US"/>
        </w:rPr>
        <w:t>EuroQol</w:t>
      </w:r>
      <w:proofErr w:type="spellEnd"/>
      <w:r w:rsidR="003C334E">
        <w:rPr>
          <w:bCs/>
          <w:i w:val="0"/>
          <w:iCs/>
          <w:sz w:val="24"/>
          <w:szCs w:val="24"/>
          <w:lang w:val="en-US"/>
        </w:rPr>
        <w:t>;</w:t>
      </w:r>
      <w:r w:rsidR="008B1D27" w:rsidRPr="009B40C2">
        <w:rPr>
          <w:bCs/>
          <w:i w:val="0"/>
          <w:iCs/>
          <w:sz w:val="24"/>
          <w:szCs w:val="24"/>
          <w:lang w:val="en-US"/>
        </w:rPr>
        <w:t xml:space="preserve"> </w:t>
      </w:r>
      <w:r w:rsidR="003C334E" w:rsidRPr="009B40C2">
        <w:rPr>
          <w:bCs/>
          <w:i w:val="0"/>
          <w:iCs/>
          <w:sz w:val="24"/>
          <w:szCs w:val="24"/>
          <w:lang w:val="en-US"/>
        </w:rPr>
        <w:t>VAS</w:t>
      </w:r>
      <w:r w:rsidR="003C334E">
        <w:rPr>
          <w:bCs/>
          <w:i w:val="0"/>
          <w:iCs/>
          <w:sz w:val="24"/>
          <w:szCs w:val="24"/>
          <w:lang w:val="en-US"/>
        </w:rPr>
        <w:t>: V</w:t>
      </w:r>
      <w:r w:rsidR="008B1D27" w:rsidRPr="009B40C2">
        <w:rPr>
          <w:bCs/>
          <w:i w:val="0"/>
          <w:iCs/>
          <w:sz w:val="24"/>
          <w:szCs w:val="24"/>
          <w:lang w:val="en-US"/>
        </w:rPr>
        <w:t>isual analogue score</w:t>
      </w:r>
      <w:r w:rsidR="003C334E">
        <w:rPr>
          <w:bCs/>
          <w:i w:val="0"/>
          <w:iCs/>
          <w:sz w:val="24"/>
          <w:szCs w:val="24"/>
          <w:lang w:val="en-US"/>
        </w:rPr>
        <w:t>.</w:t>
      </w:r>
    </w:p>
    <w:p w14:paraId="70CA6E58" w14:textId="20F822CD" w:rsidR="00A17EAD" w:rsidRDefault="00A17EAD">
      <w:pPr>
        <w:spacing w:before="0" w:after="0" w:line="240" w:lineRule="auto"/>
        <w:rPr>
          <w:bCs/>
          <w:iCs/>
          <w:szCs w:val="24"/>
          <w:lang w:val="en-US"/>
        </w:rPr>
      </w:pPr>
      <w:r>
        <w:rPr>
          <w:bCs/>
          <w:i/>
          <w:iCs/>
          <w:szCs w:val="24"/>
          <w:lang w:val="en-US"/>
        </w:rPr>
        <w:lastRenderedPageBreak/>
        <w:br w:type="page"/>
      </w:r>
    </w:p>
    <w:p w14:paraId="15A479D6" w14:textId="654C8118" w:rsidR="00E17808" w:rsidRDefault="00E17808" w:rsidP="007E3B89">
      <w:pPr>
        <w:pStyle w:val="CaptionTables"/>
        <w:adjustRightInd w:val="0"/>
        <w:snapToGrid w:val="0"/>
        <w:spacing w:after="0" w:line="360" w:lineRule="auto"/>
        <w:jc w:val="both"/>
        <w:rPr>
          <w:sz w:val="24"/>
          <w:szCs w:val="24"/>
          <w:lang w:val="en-US"/>
        </w:rPr>
      </w:pPr>
      <w:bookmarkStart w:id="220" w:name="_Ref352358297"/>
      <w:bookmarkStart w:id="221" w:name="_Toc356078406"/>
      <w:r w:rsidRPr="00735346">
        <w:rPr>
          <w:sz w:val="24"/>
          <w:szCs w:val="24"/>
          <w:lang w:val="en-US"/>
        </w:rPr>
        <w:lastRenderedPageBreak/>
        <w:t xml:space="preserve">Table </w:t>
      </w:r>
      <w:r w:rsidRPr="00735346">
        <w:rPr>
          <w:sz w:val="24"/>
          <w:szCs w:val="24"/>
          <w:lang w:val="en-US"/>
        </w:rPr>
        <w:fldChar w:fldCharType="begin"/>
      </w:r>
      <w:r w:rsidRPr="00735346">
        <w:rPr>
          <w:sz w:val="24"/>
          <w:szCs w:val="24"/>
          <w:lang w:val="en-US"/>
        </w:rPr>
        <w:instrText xml:space="preserve"> SEQ Table \* ARABIC </w:instrText>
      </w:r>
      <w:r w:rsidRPr="00735346">
        <w:rPr>
          <w:sz w:val="24"/>
          <w:szCs w:val="24"/>
          <w:lang w:val="en-US"/>
        </w:rPr>
        <w:fldChar w:fldCharType="separate"/>
      </w:r>
      <w:r w:rsidR="00FB6502" w:rsidRPr="00735346">
        <w:rPr>
          <w:sz w:val="24"/>
          <w:szCs w:val="24"/>
          <w:lang w:val="en-US"/>
        </w:rPr>
        <w:t>2</w:t>
      </w:r>
      <w:r w:rsidRPr="00735346">
        <w:rPr>
          <w:sz w:val="24"/>
          <w:szCs w:val="24"/>
          <w:lang w:val="en-US"/>
        </w:rPr>
        <w:fldChar w:fldCharType="end"/>
      </w:r>
      <w:bookmarkEnd w:id="220"/>
      <w:r w:rsidR="003C334E" w:rsidRPr="00735346">
        <w:rPr>
          <w:sz w:val="24"/>
          <w:szCs w:val="24"/>
          <w:lang w:val="en-US"/>
        </w:rPr>
        <w:t xml:space="preserve"> </w:t>
      </w:r>
      <w:r w:rsidRPr="00735346">
        <w:rPr>
          <w:sz w:val="24"/>
          <w:szCs w:val="24"/>
          <w:lang w:val="en-US"/>
        </w:rPr>
        <w:t>Summary of comparisons between idiopathic and Crohn's disease perianal fistulae</w:t>
      </w:r>
      <w:bookmarkEnd w:id="221"/>
    </w:p>
    <w:tbl>
      <w:tblPr>
        <w:tblStyle w:val="TableGrid"/>
        <w:tblW w:w="5000" w:type="pct"/>
        <w:tblLook w:val="04A0" w:firstRow="1" w:lastRow="0" w:firstColumn="1" w:lastColumn="0" w:noHBand="0" w:noVBand="1"/>
      </w:tblPr>
      <w:tblGrid>
        <w:gridCol w:w="2450"/>
        <w:gridCol w:w="3307"/>
        <w:gridCol w:w="3307"/>
      </w:tblGrid>
      <w:tr w:rsidR="00735346" w:rsidRPr="00735346" w14:paraId="2C3E0E74" w14:textId="77777777" w:rsidTr="00A1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pct"/>
            <w:vAlign w:val="top"/>
          </w:tcPr>
          <w:p w14:paraId="7FA8B072" w14:textId="77777777" w:rsidR="00735346" w:rsidRPr="00735346" w:rsidRDefault="00735346" w:rsidP="00735346">
            <w:pPr>
              <w:jc w:val="left"/>
              <w:rPr>
                <w:b/>
                <w:bCs/>
                <w:sz w:val="24"/>
                <w:lang w:val="en-US" w:eastAsia="en-GB"/>
              </w:rPr>
            </w:pPr>
          </w:p>
        </w:tc>
        <w:tc>
          <w:tcPr>
            <w:tcW w:w="1824" w:type="pct"/>
            <w:vAlign w:val="top"/>
          </w:tcPr>
          <w:p w14:paraId="0585FB94" w14:textId="77777777" w:rsidR="00735346" w:rsidRPr="00735346" w:rsidRDefault="00735346" w:rsidP="00735346">
            <w:pPr>
              <w:jc w:val="left"/>
              <w:cnfStyle w:val="100000000000" w:firstRow="1" w:lastRow="0" w:firstColumn="0" w:lastColumn="0" w:oddVBand="0" w:evenVBand="0" w:oddHBand="0" w:evenHBand="0" w:firstRowFirstColumn="0" w:firstRowLastColumn="0" w:lastRowFirstColumn="0" w:lastRowLastColumn="0"/>
              <w:rPr>
                <w:b/>
                <w:bCs/>
                <w:sz w:val="24"/>
                <w:lang w:val="en-US" w:eastAsia="en-GB"/>
              </w:rPr>
            </w:pPr>
            <w:r w:rsidRPr="00735346">
              <w:rPr>
                <w:b/>
                <w:bCs/>
                <w:sz w:val="24"/>
                <w:lang w:val="en-US" w:eastAsia="en-GB"/>
              </w:rPr>
              <w:t>Similarities</w:t>
            </w:r>
          </w:p>
        </w:tc>
        <w:tc>
          <w:tcPr>
            <w:tcW w:w="1824" w:type="pct"/>
            <w:vAlign w:val="top"/>
          </w:tcPr>
          <w:p w14:paraId="0011217B" w14:textId="77777777" w:rsidR="00735346" w:rsidRPr="00735346" w:rsidRDefault="00735346" w:rsidP="00735346">
            <w:pPr>
              <w:jc w:val="left"/>
              <w:cnfStyle w:val="100000000000" w:firstRow="1" w:lastRow="0" w:firstColumn="0" w:lastColumn="0" w:oddVBand="0" w:evenVBand="0" w:oddHBand="0" w:evenHBand="0" w:firstRowFirstColumn="0" w:firstRowLastColumn="0" w:lastRowFirstColumn="0" w:lastRowLastColumn="0"/>
              <w:rPr>
                <w:b/>
                <w:bCs/>
                <w:sz w:val="24"/>
                <w:lang w:val="en-US" w:eastAsia="en-GB"/>
              </w:rPr>
            </w:pPr>
            <w:r w:rsidRPr="00735346">
              <w:rPr>
                <w:b/>
                <w:bCs/>
                <w:sz w:val="24"/>
                <w:lang w:val="en-US" w:eastAsia="en-GB"/>
              </w:rPr>
              <w:t>Differences</w:t>
            </w:r>
          </w:p>
        </w:tc>
      </w:tr>
      <w:tr w:rsidR="00735346" w:rsidRPr="00735346" w14:paraId="2F28EB10"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63BD3668" w14:textId="77777777" w:rsidR="00735346" w:rsidRPr="00735346" w:rsidRDefault="00735346" w:rsidP="00735346">
            <w:pPr>
              <w:rPr>
                <w:sz w:val="24"/>
                <w:lang w:val="en-US" w:eastAsia="en-GB"/>
              </w:rPr>
            </w:pPr>
            <w:r w:rsidRPr="00735346">
              <w:rPr>
                <w:sz w:val="24"/>
                <w:lang w:val="en-US" w:eastAsia="en-GB"/>
              </w:rPr>
              <w:t>PDAI</w:t>
            </w:r>
          </w:p>
        </w:tc>
        <w:tc>
          <w:tcPr>
            <w:tcW w:w="1824" w:type="pct"/>
            <w:vAlign w:val="top"/>
          </w:tcPr>
          <w:p w14:paraId="6CDD1915"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p>
        </w:tc>
        <w:tc>
          <w:tcPr>
            <w:tcW w:w="1824" w:type="pct"/>
            <w:vAlign w:val="top"/>
          </w:tcPr>
          <w:p w14:paraId="79182AA5"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Significantly higher PDAI in Crohn’s disease</w:t>
            </w:r>
          </w:p>
        </w:tc>
      </w:tr>
      <w:tr w:rsidR="00735346" w:rsidRPr="00735346" w14:paraId="49698BFA"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4FCE86AD" w14:textId="77777777" w:rsidR="00735346" w:rsidRPr="00735346" w:rsidRDefault="00735346" w:rsidP="00735346">
            <w:pPr>
              <w:rPr>
                <w:sz w:val="24"/>
                <w:lang w:val="en-US" w:eastAsia="en-GB"/>
              </w:rPr>
            </w:pPr>
            <w:r w:rsidRPr="00735346">
              <w:rPr>
                <w:sz w:val="24"/>
                <w:lang w:val="en-US" w:eastAsia="en-GB"/>
              </w:rPr>
              <w:t>EQ-5D-5L</w:t>
            </w:r>
          </w:p>
        </w:tc>
        <w:tc>
          <w:tcPr>
            <w:tcW w:w="1824" w:type="pct"/>
            <w:vAlign w:val="top"/>
          </w:tcPr>
          <w:p w14:paraId="411167B9"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Similar EQ VAS and EQ index</w:t>
            </w:r>
          </w:p>
        </w:tc>
        <w:tc>
          <w:tcPr>
            <w:tcW w:w="1824" w:type="pct"/>
            <w:vAlign w:val="top"/>
          </w:tcPr>
          <w:p w14:paraId="53C50BFB"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p>
        </w:tc>
      </w:tr>
      <w:tr w:rsidR="00735346" w:rsidRPr="00735346" w14:paraId="0580BC3D"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712BCFF5" w14:textId="77777777" w:rsidR="00735346" w:rsidRPr="00735346" w:rsidRDefault="00735346" w:rsidP="00735346">
            <w:pPr>
              <w:rPr>
                <w:sz w:val="24"/>
                <w:lang w:val="en-US" w:eastAsia="en-GB"/>
              </w:rPr>
            </w:pPr>
            <w:r w:rsidRPr="00735346">
              <w:rPr>
                <w:sz w:val="24"/>
                <w:lang w:val="en-US" w:eastAsia="en-GB"/>
              </w:rPr>
              <w:t>Morphology</w:t>
            </w:r>
          </w:p>
        </w:tc>
        <w:tc>
          <w:tcPr>
            <w:tcW w:w="1824" w:type="pct"/>
            <w:vAlign w:val="top"/>
          </w:tcPr>
          <w:p w14:paraId="38D5D78D"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Similar distribution of types by Parks’ classification</w:t>
            </w:r>
          </w:p>
          <w:p w14:paraId="7EBB0546"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Similar prevalence of high fistulae and horseshoe extensions</w:t>
            </w:r>
          </w:p>
        </w:tc>
        <w:tc>
          <w:tcPr>
            <w:tcW w:w="1824" w:type="pct"/>
            <w:vAlign w:val="top"/>
          </w:tcPr>
          <w:p w14:paraId="67C65274"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More multiple fistulae in Crohn’s disease</w:t>
            </w:r>
          </w:p>
          <w:p w14:paraId="3E560814"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 xml:space="preserve">Significantly more </w:t>
            </w:r>
            <w:proofErr w:type="spellStart"/>
            <w:r w:rsidRPr="00735346">
              <w:rPr>
                <w:sz w:val="24"/>
                <w:lang w:val="en-US" w:eastAsia="en-GB"/>
              </w:rPr>
              <w:t>supralevator</w:t>
            </w:r>
            <w:proofErr w:type="spellEnd"/>
            <w:r w:rsidRPr="00735346">
              <w:rPr>
                <w:sz w:val="24"/>
                <w:lang w:val="en-US" w:eastAsia="en-GB"/>
              </w:rPr>
              <w:t xml:space="preserve"> extensions, collections and rectal thickening in Crohn’s disease</w:t>
            </w:r>
          </w:p>
        </w:tc>
      </w:tr>
      <w:tr w:rsidR="00735346" w:rsidRPr="00735346" w14:paraId="3CC19215"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36C222E3" w14:textId="77777777" w:rsidR="00735346" w:rsidRPr="00735346" w:rsidRDefault="00735346" w:rsidP="00735346">
            <w:pPr>
              <w:rPr>
                <w:sz w:val="24"/>
                <w:lang w:val="en-US" w:eastAsia="en-GB"/>
              </w:rPr>
            </w:pPr>
            <w:r w:rsidRPr="00735346">
              <w:rPr>
                <w:sz w:val="24"/>
                <w:lang w:val="en-US" w:eastAsia="en-GB"/>
              </w:rPr>
              <w:t>Cytokine concentrations</w:t>
            </w:r>
          </w:p>
        </w:tc>
        <w:tc>
          <w:tcPr>
            <w:tcW w:w="1824" w:type="pct"/>
            <w:vAlign w:val="top"/>
          </w:tcPr>
          <w:p w14:paraId="74419882" w14:textId="77777777" w:rsid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Similar concentrations of 27 cytokines at all four biopsy sites</w:t>
            </w:r>
          </w:p>
          <w:p w14:paraId="50C1372E" w14:textId="4C47A995"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 xml:space="preserve">(EGF, </w:t>
            </w:r>
            <w:proofErr w:type="spellStart"/>
            <w:r w:rsidRPr="00735346">
              <w:rPr>
                <w:sz w:val="24"/>
                <w:lang w:val="en-US" w:eastAsia="en-GB"/>
              </w:rPr>
              <w:t>eotaxin</w:t>
            </w:r>
            <w:proofErr w:type="spellEnd"/>
            <w:r w:rsidRPr="00735346">
              <w:rPr>
                <w:sz w:val="24"/>
                <w:lang w:val="en-US" w:eastAsia="en-GB"/>
              </w:rPr>
              <w:t>, G-CSF, GM-CSF, IFN-α2, IFN-γ, IL-10, IL-12p40, IL-13, IL-15, IL-17, IL-1α, IL-2, IL-3, IL-4, IL-5, IL-6, IL-7, IL-8, IP-10, MCP-1, MIP-1α, MIP-1β, TNF-α, TNF-β, RANTES and VEGF)</w:t>
            </w:r>
          </w:p>
        </w:tc>
        <w:tc>
          <w:tcPr>
            <w:tcW w:w="1824" w:type="pct"/>
            <w:vAlign w:val="top"/>
          </w:tcPr>
          <w:p w14:paraId="1F6EBBF3"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Significantly higher IL-12p70 concentration at internal opening in Crohn’s disease</w:t>
            </w:r>
          </w:p>
          <w:p w14:paraId="762D23C1"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Significantly lower IL-1RA/IL-1</w:t>
            </w:r>
            <w:r w:rsidRPr="00735346">
              <w:rPr>
                <w:sz w:val="24"/>
                <w:lang w:val="en-US" w:eastAsia="en-GB"/>
              </w:rPr>
              <w:sym w:font="Symbol" w:char="F062"/>
            </w:r>
            <w:r w:rsidRPr="00735346">
              <w:rPr>
                <w:sz w:val="24"/>
                <w:lang w:val="en-US" w:eastAsia="en-GB"/>
              </w:rPr>
              <w:t xml:space="preserve"> ratio concentration at internal opening in Crohn’s disease</w:t>
            </w:r>
          </w:p>
        </w:tc>
      </w:tr>
      <w:tr w:rsidR="00735346" w:rsidRPr="00735346" w14:paraId="5C8B0C29" w14:textId="77777777" w:rsidTr="00A17EAD">
        <w:tc>
          <w:tcPr>
            <w:cnfStyle w:val="001000000000" w:firstRow="0" w:lastRow="0" w:firstColumn="1" w:lastColumn="0" w:oddVBand="0" w:evenVBand="0" w:oddHBand="0" w:evenHBand="0" w:firstRowFirstColumn="0" w:firstRowLastColumn="0" w:lastRowFirstColumn="0" w:lastRowLastColumn="0"/>
            <w:tcW w:w="1352" w:type="pct"/>
            <w:tcBorders>
              <w:bottom w:val="single" w:sz="4" w:space="0" w:color="000000" w:themeColor="text1"/>
            </w:tcBorders>
            <w:vAlign w:val="top"/>
          </w:tcPr>
          <w:p w14:paraId="690E09EA" w14:textId="77777777" w:rsidR="00735346" w:rsidRPr="00735346" w:rsidRDefault="00735346" w:rsidP="00735346">
            <w:pPr>
              <w:rPr>
                <w:sz w:val="24"/>
                <w:lang w:val="en-US" w:eastAsia="en-GB"/>
              </w:rPr>
            </w:pPr>
            <w:r w:rsidRPr="00735346">
              <w:rPr>
                <w:sz w:val="24"/>
                <w:lang w:val="en-US" w:eastAsia="en-GB"/>
              </w:rPr>
              <w:t>Phosphoprotein concentrations</w:t>
            </w:r>
          </w:p>
        </w:tc>
        <w:tc>
          <w:tcPr>
            <w:tcW w:w="1824" w:type="pct"/>
            <w:tcBorders>
              <w:bottom w:val="single" w:sz="4" w:space="0" w:color="000000" w:themeColor="text1"/>
            </w:tcBorders>
            <w:vAlign w:val="top"/>
          </w:tcPr>
          <w:p w14:paraId="0CBE0974" w14:textId="77777777" w:rsid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t>Similar levels of 39 phosphoproteins at the four specimen sites</w:t>
            </w:r>
          </w:p>
          <w:p w14:paraId="5A9F517D" w14:textId="6634A580"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735346">
              <w:rPr>
                <w:sz w:val="24"/>
                <w:lang w:val="en-US" w:eastAsia="en-GB"/>
              </w:rPr>
              <w:lastRenderedPageBreak/>
              <w:t xml:space="preserve">(EGFR/ErbB1, HER2/ErbB2, HER3/ErbB3, FGFR1, FGFR3, FGFR4, </w:t>
            </w:r>
            <w:proofErr w:type="spellStart"/>
            <w:r w:rsidRPr="00735346">
              <w:rPr>
                <w:sz w:val="24"/>
                <w:lang w:val="en-US" w:eastAsia="en-GB"/>
              </w:rPr>
              <w:t>InsR</w:t>
            </w:r>
            <w:proofErr w:type="spellEnd"/>
            <w:r w:rsidRPr="00735346">
              <w:rPr>
                <w:sz w:val="24"/>
                <w:lang w:val="en-US" w:eastAsia="en-GB"/>
              </w:rPr>
              <w:t xml:space="preserve">, IGF-IR, </w:t>
            </w:r>
            <w:proofErr w:type="spellStart"/>
            <w:r w:rsidRPr="00735346">
              <w:rPr>
                <w:sz w:val="24"/>
                <w:lang w:val="en-US" w:eastAsia="en-GB"/>
              </w:rPr>
              <w:t>TrkA</w:t>
            </w:r>
            <w:proofErr w:type="spellEnd"/>
            <w:r w:rsidRPr="00735346">
              <w:rPr>
                <w:sz w:val="24"/>
                <w:lang w:val="en-US" w:eastAsia="en-GB"/>
              </w:rPr>
              <w:t xml:space="preserve">/NTRK1, </w:t>
            </w:r>
            <w:proofErr w:type="spellStart"/>
            <w:r w:rsidRPr="00735346">
              <w:rPr>
                <w:sz w:val="24"/>
                <w:lang w:val="en-US" w:eastAsia="en-GB"/>
              </w:rPr>
              <w:t>TrkB</w:t>
            </w:r>
            <w:proofErr w:type="spellEnd"/>
            <w:r w:rsidRPr="00735346">
              <w:rPr>
                <w:sz w:val="24"/>
                <w:lang w:val="en-US" w:eastAsia="en-GB"/>
              </w:rPr>
              <w:t>/NTRK2, Met/HGFR, Ron/MST1R, Ret, ALK, PDGFR, c-Kit/SCFR, FLT3/Flk2, M-CSFR/CSF-1R, EphA1, EphA2, EphA3, EphB1, EphB3, EphB4, Tyro3/</w:t>
            </w:r>
            <w:proofErr w:type="spellStart"/>
            <w:r w:rsidRPr="00735346">
              <w:rPr>
                <w:sz w:val="24"/>
                <w:lang w:val="en-US" w:eastAsia="en-GB"/>
              </w:rPr>
              <w:t>Dtk</w:t>
            </w:r>
            <w:proofErr w:type="spellEnd"/>
            <w:r w:rsidRPr="00735346">
              <w:rPr>
                <w:sz w:val="24"/>
                <w:lang w:val="en-US" w:eastAsia="en-GB"/>
              </w:rPr>
              <w:t xml:space="preserve">, </w:t>
            </w:r>
            <w:proofErr w:type="spellStart"/>
            <w:r w:rsidRPr="00735346">
              <w:rPr>
                <w:sz w:val="24"/>
                <w:lang w:val="en-US" w:eastAsia="en-GB"/>
              </w:rPr>
              <w:t>Axl</w:t>
            </w:r>
            <w:proofErr w:type="spellEnd"/>
            <w:r w:rsidRPr="00735346">
              <w:rPr>
                <w:sz w:val="24"/>
                <w:lang w:val="en-US" w:eastAsia="en-GB"/>
              </w:rPr>
              <w:t xml:space="preserve">, Tie2/TEK, VEGFR2/KDR, </w:t>
            </w:r>
            <w:proofErr w:type="spellStart"/>
            <w:r w:rsidRPr="00735346">
              <w:rPr>
                <w:sz w:val="24"/>
                <w:lang w:val="en-US" w:eastAsia="en-GB"/>
              </w:rPr>
              <w:t>Akt</w:t>
            </w:r>
            <w:proofErr w:type="spellEnd"/>
            <w:r w:rsidRPr="00735346">
              <w:rPr>
                <w:sz w:val="24"/>
                <w:lang w:val="en-US" w:eastAsia="en-GB"/>
              </w:rPr>
              <w:t>/PKB/</w:t>
            </w:r>
            <w:proofErr w:type="spellStart"/>
            <w:r w:rsidRPr="00735346">
              <w:rPr>
                <w:sz w:val="24"/>
                <w:lang w:val="en-US" w:eastAsia="en-GB"/>
              </w:rPr>
              <w:t>Rac</w:t>
            </w:r>
            <w:proofErr w:type="spellEnd"/>
            <w:r w:rsidRPr="00735346">
              <w:rPr>
                <w:sz w:val="24"/>
                <w:lang w:val="en-US" w:eastAsia="en-GB"/>
              </w:rPr>
              <w:t xml:space="preserve"> (at Thr308), </w:t>
            </w:r>
            <w:proofErr w:type="spellStart"/>
            <w:r w:rsidRPr="00735346">
              <w:rPr>
                <w:sz w:val="24"/>
                <w:lang w:val="en-US" w:eastAsia="en-GB"/>
              </w:rPr>
              <w:t>Akt</w:t>
            </w:r>
            <w:proofErr w:type="spellEnd"/>
            <w:r w:rsidRPr="00735346">
              <w:rPr>
                <w:sz w:val="24"/>
                <w:lang w:val="en-US" w:eastAsia="en-GB"/>
              </w:rPr>
              <w:t>/PKB/</w:t>
            </w:r>
            <w:proofErr w:type="spellStart"/>
            <w:r w:rsidRPr="00735346">
              <w:rPr>
                <w:sz w:val="24"/>
                <w:lang w:val="en-US" w:eastAsia="en-GB"/>
              </w:rPr>
              <w:t>Rac</w:t>
            </w:r>
            <w:proofErr w:type="spellEnd"/>
            <w:r w:rsidRPr="00735346">
              <w:rPr>
                <w:sz w:val="24"/>
                <w:lang w:val="en-US" w:eastAsia="en-GB"/>
              </w:rPr>
              <w:t xml:space="preserve"> (at Ser473), p44/42 MAPK, S6 Ribosomal Protein, c-</w:t>
            </w:r>
            <w:proofErr w:type="spellStart"/>
            <w:r w:rsidRPr="00735346">
              <w:rPr>
                <w:sz w:val="24"/>
                <w:lang w:val="en-US" w:eastAsia="en-GB"/>
              </w:rPr>
              <w:t>Abl</w:t>
            </w:r>
            <w:proofErr w:type="spellEnd"/>
            <w:r w:rsidRPr="00735346">
              <w:rPr>
                <w:sz w:val="24"/>
                <w:lang w:val="en-US" w:eastAsia="en-GB"/>
              </w:rPr>
              <w:t xml:space="preserve">, IRS-1, Zap-70, </w:t>
            </w:r>
            <w:proofErr w:type="spellStart"/>
            <w:r w:rsidRPr="00735346">
              <w:rPr>
                <w:sz w:val="24"/>
                <w:lang w:val="en-US" w:eastAsia="en-GB"/>
              </w:rPr>
              <w:t>Src</w:t>
            </w:r>
            <w:proofErr w:type="spellEnd"/>
            <w:r w:rsidRPr="00735346">
              <w:rPr>
                <w:sz w:val="24"/>
                <w:lang w:val="en-US" w:eastAsia="en-GB"/>
              </w:rPr>
              <w:t xml:space="preserve">, </w:t>
            </w:r>
            <w:proofErr w:type="spellStart"/>
            <w:r w:rsidRPr="00735346">
              <w:rPr>
                <w:sz w:val="24"/>
                <w:lang w:val="en-US" w:eastAsia="en-GB"/>
              </w:rPr>
              <w:t>Lck</w:t>
            </w:r>
            <w:proofErr w:type="spellEnd"/>
            <w:r w:rsidRPr="00735346">
              <w:rPr>
                <w:sz w:val="24"/>
                <w:lang w:val="en-US" w:eastAsia="en-GB"/>
              </w:rPr>
              <w:t>, Stat1 and Stat3)</w:t>
            </w:r>
          </w:p>
        </w:tc>
        <w:tc>
          <w:tcPr>
            <w:tcW w:w="1824" w:type="pct"/>
            <w:tcBorders>
              <w:bottom w:val="single" w:sz="4" w:space="0" w:color="000000" w:themeColor="text1"/>
            </w:tcBorders>
            <w:vAlign w:val="top"/>
          </w:tcPr>
          <w:p w14:paraId="2D060F70" w14:textId="77777777" w:rsidR="00735346" w:rsidRPr="00735346"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p>
        </w:tc>
      </w:tr>
    </w:tbl>
    <w:p w14:paraId="7E992C78" w14:textId="1300BC4C" w:rsidR="00E17808" w:rsidRPr="007018B5" w:rsidRDefault="00735346" w:rsidP="007E3B89">
      <w:pPr>
        <w:pStyle w:val="Tablefooter"/>
        <w:adjustRightInd w:val="0"/>
        <w:snapToGrid w:val="0"/>
        <w:spacing w:line="360" w:lineRule="auto"/>
        <w:jc w:val="both"/>
        <w:rPr>
          <w:sz w:val="24"/>
          <w:szCs w:val="24"/>
          <w:lang w:val="en-US" w:eastAsia="en-GB"/>
        </w:rPr>
      </w:pPr>
      <w:r w:rsidRPr="00735346">
        <w:rPr>
          <w:i w:val="0"/>
          <w:iCs/>
          <w:sz w:val="24"/>
          <w:szCs w:val="24"/>
          <w:lang w:val="en-US"/>
        </w:rPr>
        <w:t>See supplementary material for cytokine and phosphoprotein names in full</w:t>
      </w:r>
      <w:r w:rsidRPr="00735346">
        <w:rPr>
          <w:i w:val="0"/>
          <w:iCs/>
          <w:sz w:val="24"/>
          <w:szCs w:val="24"/>
          <w:lang w:val="en-US" w:eastAsia="en-GB"/>
        </w:rPr>
        <w:t>.</w:t>
      </w:r>
      <w:r>
        <w:rPr>
          <w:sz w:val="24"/>
          <w:szCs w:val="24"/>
          <w:lang w:val="en-US" w:eastAsia="en-GB"/>
        </w:rPr>
        <w:t xml:space="preserve"> </w:t>
      </w:r>
      <w:r w:rsidRPr="00735346">
        <w:rPr>
          <w:i w:val="0"/>
          <w:iCs/>
          <w:sz w:val="24"/>
          <w:szCs w:val="24"/>
          <w:lang w:val="en-US"/>
        </w:rPr>
        <w:t xml:space="preserve">PDAI: </w:t>
      </w:r>
      <w:r w:rsidR="008B1D27" w:rsidRPr="00735346">
        <w:rPr>
          <w:i w:val="0"/>
          <w:iCs/>
          <w:sz w:val="24"/>
          <w:szCs w:val="24"/>
          <w:lang w:val="en-US"/>
        </w:rPr>
        <w:t>Perineal Disease Activity Index</w:t>
      </w:r>
      <w:r w:rsidRPr="00735346">
        <w:rPr>
          <w:i w:val="0"/>
          <w:iCs/>
          <w:sz w:val="24"/>
          <w:szCs w:val="24"/>
          <w:lang w:val="en-US"/>
        </w:rPr>
        <w:t>;</w:t>
      </w:r>
      <w:r w:rsidR="008B1D27" w:rsidRPr="007018B5">
        <w:rPr>
          <w:sz w:val="24"/>
          <w:szCs w:val="24"/>
          <w:lang w:val="en-US"/>
        </w:rPr>
        <w:t xml:space="preserve"> </w:t>
      </w:r>
      <w:r w:rsidRPr="00735346">
        <w:rPr>
          <w:i w:val="0"/>
          <w:iCs/>
          <w:sz w:val="24"/>
          <w:szCs w:val="24"/>
          <w:lang w:val="en-US"/>
        </w:rPr>
        <w:t xml:space="preserve">EQ: </w:t>
      </w:r>
      <w:proofErr w:type="spellStart"/>
      <w:r w:rsidR="008B1D27" w:rsidRPr="00735346">
        <w:rPr>
          <w:i w:val="0"/>
          <w:iCs/>
          <w:sz w:val="24"/>
          <w:szCs w:val="24"/>
          <w:lang w:val="en-US"/>
        </w:rPr>
        <w:t>EuroQol</w:t>
      </w:r>
      <w:proofErr w:type="spellEnd"/>
      <w:r w:rsidRPr="00735346">
        <w:rPr>
          <w:i w:val="0"/>
          <w:iCs/>
          <w:sz w:val="24"/>
          <w:szCs w:val="24"/>
          <w:lang w:val="en-US"/>
        </w:rPr>
        <w:t>;</w:t>
      </w:r>
      <w:r w:rsidR="008B1D27" w:rsidRPr="007018B5">
        <w:rPr>
          <w:sz w:val="24"/>
          <w:szCs w:val="24"/>
          <w:lang w:val="en-US"/>
        </w:rPr>
        <w:t xml:space="preserve"> </w:t>
      </w:r>
      <w:r w:rsidRPr="00735346">
        <w:rPr>
          <w:i w:val="0"/>
          <w:iCs/>
          <w:sz w:val="24"/>
          <w:szCs w:val="24"/>
          <w:lang w:val="en-US"/>
        </w:rPr>
        <w:t>VAS: V</w:t>
      </w:r>
      <w:r w:rsidR="008B1D27" w:rsidRPr="00735346">
        <w:rPr>
          <w:i w:val="0"/>
          <w:iCs/>
          <w:sz w:val="24"/>
          <w:szCs w:val="24"/>
          <w:lang w:val="en-US"/>
        </w:rPr>
        <w:t>isual analogue score</w:t>
      </w:r>
      <w:r>
        <w:rPr>
          <w:i w:val="0"/>
          <w:iCs/>
          <w:sz w:val="24"/>
          <w:szCs w:val="24"/>
          <w:lang w:val="en-US"/>
        </w:rPr>
        <w:t>.</w:t>
      </w:r>
      <w:r w:rsidR="008B1D27" w:rsidRPr="007018B5">
        <w:rPr>
          <w:sz w:val="24"/>
          <w:szCs w:val="24"/>
          <w:lang w:val="en-US" w:eastAsia="en-GB"/>
        </w:rPr>
        <w:t xml:space="preserve"> </w:t>
      </w:r>
      <w:r w:rsidR="00E17808" w:rsidRPr="007018B5">
        <w:rPr>
          <w:sz w:val="24"/>
          <w:szCs w:val="24"/>
          <w:lang w:val="en-US" w:eastAsia="en-GB"/>
        </w:rPr>
        <w:br w:type="page"/>
      </w:r>
    </w:p>
    <w:p w14:paraId="017D5221" w14:textId="4C3D7D55" w:rsidR="00735346" w:rsidRDefault="00B54233" w:rsidP="007E3B89">
      <w:pPr>
        <w:pStyle w:val="Caption"/>
        <w:adjustRightInd w:val="0"/>
        <w:snapToGrid w:val="0"/>
        <w:spacing w:after="0" w:line="360" w:lineRule="auto"/>
        <w:jc w:val="both"/>
        <w:rPr>
          <w:sz w:val="24"/>
          <w:szCs w:val="24"/>
          <w:lang w:val="en-US"/>
        </w:rPr>
      </w:pPr>
      <w:bookmarkStart w:id="222" w:name="_Ref496213726"/>
      <w:r>
        <w:rPr>
          <w:noProof/>
          <w:sz w:val="24"/>
          <w:szCs w:val="24"/>
          <w:lang w:val="en-US"/>
        </w:rPr>
        <w:lastRenderedPageBreak/>
        <w:drawing>
          <wp:inline distT="0" distB="0" distL="0" distR="0" wp14:anchorId="6DFE1419" wp14:editId="4525AEC1">
            <wp:extent cx="2997200" cy="468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7CAD203-EEC1-4CAD-8886-38C00A416A7F.png"/>
                    <pic:cNvPicPr/>
                  </pic:nvPicPr>
                  <pic:blipFill>
                    <a:blip r:embed="rId9"/>
                    <a:stretch>
                      <a:fillRect/>
                    </a:stretch>
                  </pic:blipFill>
                  <pic:spPr>
                    <a:xfrm>
                      <a:off x="0" y="0"/>
                      <a:ext cx="2997200" cy="4686300"/>
                    </a:xfrm>
                    <a:prstGeom prst="rect">
                      <a:avLst/>
                    </a:prstGeom>
                  </pic:spPr>
                </pic:pic>
              </a:graphicData>
            </a:graphic>
          </wp:inline>
        </w:drawing>
      </w:r>
    </w:p>
    <w:p w14:paraId="5B589E30" w14:textId="62A1A380" w:rsidR="00B53711" w:rsidRPr="00504A91" w:rsidRDefault="00E17808" w:rsidP="00504A91">
      <w:pPr>
        <w:pStyle w:val="Caption"/>
        <w:adjustRightInd w:val="0"/>
        <w:snapToGrid w:val="0"/>
        <w:spacing w:after="0" w:line="360" w:lineRule="auto"/>
        <w:jc w:val="both"/>
        <w:rPr>
          <w:rFonts w:cs="Baskerville"/>
          <w:b w:val="0"/>
          <w:sz w:val="24"/>
          <w:szCs w:val="24"/>
          <w:lang w:val="en-US"/>
        </w:rPr>
      </w:pPr>
      <w:r w:rsidRPr="007018B5">
        <w:rPr>
          <w:sz w:val="24"/>
          <w:szCs w:val="24"/>
          <w:lang w:val="en-US"/>
        </w:rPr>
        <w:t xml:space="preserve">Figure </w:t>
      </w:r>
      <w:r w:rsidRPr="007018B5">
        <w:rPr>
          <w:sz w:val="24"/>
          <w:szCs w:val="24"/>
          <w:lang w:val="en-US"/>
        </w:rPr>
        <w:fldChar w:fldCharType="begin"/>
      </w:r>
      <w:r w:rsidRPr="007018B5">
        <w:rPr>
          <w:sz w:val="24"/>
          <w:szCs w:val="24"/>
          <w:lang w:val="en-US"/>
        </w:rPr>
        <w:instrText xml:space="preserve"> SEQ Figure \* ARABIC </w:instrText>
      </w:r>
      <w:r w:rsidRPr="007018B5">
        <w:rPr>
          <w:sz w:val="24"/>
          <w:szCs w:val="24"/>
          <w:lang w:val="en-US"/>
        </w:rPr>
        <w:fldChar w:fldCharType="separate"/>
      </w:r>
      <w:r w:rsidR="00FB6502" w:rsidRPr="007018B5">
        <w:rPr>
          <w:sz w:val="24"/>
          <w:szCs w:val="24"/>
          <w:lang w:val="en-US"/>
        </w:rPr>
        <w:t>1</w:t>
      </w:r>
      <w:r w:rsidRPr="007018B5">
        <w:rPr>
          <w:sz w:val="24"/>
          <w:szCs w:val="24"/>
          <w:lang w:val="en-US"/>
        </w:rPr>
        <w:fldChar w:fldCharType="end"/>
      </w:r>
      <w:bookmarkEnd w:id="222"/>
      <w:r w:rsidRPr="007018B5">
        <w:rPr>
          <w:sz w:val="24"/>
          <w:szCs w:val="24"/>
          <w:lang w:val="en-US"/>
        </w:rPr>
        <w:t xml:space="preserve"> </w:t>
      </w:r>
      <w:r w:rsidRPr="00B54233">
        <w:rPr>
          <w:bCs w:val="0"/>
          <w:sz w:val="24"/>
          <w:szCs w:val="24"/>
          <w:lang w:val="en-US"/>
        </w:rPr>
        <w:t xml:space="preserve">Median cytokine concentrations (log-10 scale) in the supernatants from 24-h fresh tissue cultures using a 30-plex </w:t>
      </w:r>
      <w:proofErr w:type="spellStart"/>
      <w:r w:rsidRPr="00B54233">
        <w:rPr>
          <w:bCs w:val="0"/>
          <w:sz w:val="24"/>
          <w:szCs w:val="24"/>
          <w:lang w:val="en-US"/>
        </w:rPr>
        <w:t>Milliplex</w:t>
      </w:r>
      <w:proofErr w:type="spellEnd"/>
      <w:r w:rsidRPr="00B54233">
        <w:rPr>
          <w:bCs w:val="0"/>
          <w:sz w:val="24"/>
          <w:szCs w:val="24"/>
          <w:lang w:val="en-US"/>
        </w:rPr>
        <w:t xml:space="preserve"> MAP Human Cytokine/Chemokine Magnetic Bead Panel (EMD Millipore, Billerica, </w:t>
      </w:r>
      <w:bookmarkStart w:id="223" w:name="OLE_LINK739"/>
      <w:bookmarkStart w:id="224" w:name="OLE_LINK740"/>
      <w:r w:rsidRPr="00B54233">
        <w:rPr>
          <w:bCs w:val="0"/>
          <w:sz w:val="24"/>
          <w:szCs w:val="24"/>
          <w:lang w:val="en-US"/>
        </w:rPr>
        <w:t>M</w:t>
      </w:r>
      <w:r w:rsidR="00B54233">
        <w:rPr>
          <w:bCs w:val="0"/>
          <w:sz w:val="24"/>
          <w:szCs w:val="24"/>
          <w:lang w:val="en-US"/>
        </w:rPr>
        <w:t>A, United States</w:t>
      </w:r>
      <w:bookmarkEnd w:id="223"/>
      <w:bookmarkEnd w:id="224"/>
      <w:r w:rsidRPr="00B54233">
        <w:rPr>
          <w:bCs w:val="0"/>
          <w:sz w:val="24"/>
          <w:szCs w:val="24"/>
          <w:lang w:val="en-US"/>
        </w:rPr>
        <w:t>) and a MAGPIX multiplexing instrument (Luminex Corporation, Austin, TX</w:t>
      </w:r>
      <w:r w:rsidR="00A17EAD">
        <w:rPr>
          <w:bCs w:val="0"/>
          <w:sz w:val="24"/>
          <w:szCs w:val="24"/>
          <w:lang w:val="en-US"/>
        </w:rPr>
        <w:t>, United States</w:t>
      </w:r>
      <w:r w:rsidRPr="00B54233">
        <w:rPr>
          <w:bCs w:val="0"/>
          <w:sz w:val="24"/>
          <w:szCs w:val="24"/>
          <w:lang w:val="en-US"/>
        </w:rPr>
        <w:t>).</w:t>
      </w:r>
      <w:r w:rsidRPr="007018B5">
        <w:rPr>
          <w:b w:val="0"/>
          <w:sz w:val="24"/>
          <w:szCs w:val="24"/>
          <w:lang w:val="en-US"/>
        </w:rPr>
        <w:t xml:space="preserve"> The median IL-12p70 concentration at the internal opening was higher in the Crohn’s disease group (a). The median difference was 19.7 </w:t>
      </w:r>
      <w:proofErr w:type="spellStart"/>
      <w:r w:rsidRPr="007018B5">
        <w:rPr>
          <w:b w:val="0"/>
          <w:sz w:val="24"/>
          <w:szCs w:val="24"/>
          <w:lang w:val="en-US"/>
        </w:rPr>
        <w:t>pg</w:t>
      </w:r>
      <w:proofErr w:type="spellEnd"/>
      <w:r w:rsidRPr="007018B5">
        <w:rPr>
          <w:b w:val="0"/>
          <w:sz w:val="24"/>
          <w:szCs w:val="24"/>
          <w:lang w:val="en-US"/>
        </w:rPr>
        <w:t>/m</w:t>
      </w:r>
      <w:r w:rsidR="00B53711">
        <w:rPr>
          <w:b w:val="0"/>
          <w:sz w:val="24"/>
          <w:szCs w:val="24"/>
          <w:lang w:val="en-US"/>
        </w:rPr>
        <w:t>L</w:t>
      </w:r>
      <w:r w:rsidRPr="007018B5">
        <w:rPr>
          <w:b w:val="0"/>
          <w:sz w:val="24"/>
          <w:szCs w:val="24"/>
          <w:lang w:val="en-US"/>
        </w:rPr>
        <w:t xml:space="preserve"> (Hodges-Lehman, 99%CI</w:t>
      </w:r>
      <w:r w:rsidR="00B53711">
        <w:rPr>
          <w:b w:val="0"/>
          <w:sz w:val="24"/>
          <w:szCs w:val="24"/>
          <w:lang w:val="en-US"/>
        </w:rPr>
        <w:t>:</w:t>
      </w:r>
      <w:r w:rsidRPr="007018B5">
        <w:rPr>
          <w:b w:val="0"/>
          <w:sz w:val="24"/>
          <w:szCs w:val="24"/>
          <w:lang w:val="en-US"/>
        </w:rPr>
        <w:t xml:space="preserve"> 0.2</w:t>
      </w:r>
      <w:r w:rsidR="00E97C8C">
        <w:rPr>
          <w:b w:val="0"/>
          <w:sz w:val="24"/>
          <w:szCs w:val="24"/>
          <w:lang w:val="en-US"/>
        </w:rPr>
        <w:t>-</w:t>
      </w:r>
      <w:r w:rsidRPr="007018B5">
        <w:rPr>
          <w:b w:val="0"/>
          <w:sz w:val="24"/>
          <w:szCs w:val="24"/>
          <w:lang w:val="en-US"/>
        </w:rPr>
        <w:t xml:space="preserve">40.4; Mann-Whitney </w:t>
      </w:r>
      <w:r w:rsidRPr="00B53711">
        <w:rPr>
          <w:b w:val="0"/>
          <w:i/>
          <w:iCs/>
          <w:sz w:val="24"/>
          <w:szCs w:val="24"/>
          <w:lang w:val="en-US"/>
        </w:rPr>
        <w:t>U</w:t>
      </w:r>
      <w:r w:rsidRPr="007018B5">
        <w:rPr>
          <w:b w:val="0"/>
          <w:sz w:val="24"/>
          <w:szCs w:val="24"/>
          <w:lang w:val="en-US"/>
        </w:rPr>
        <w:t xml:space="preserve">, </w:t>
      </w:r>
      <w:r w:rsidRPr="007018B5">
        <w:rPr>
          <w:b w:val="0"/>
          <w:i/>
          <w:sz w:val="24"/>
          <w:szCs w:val="24"/>
          <w:lang w:val="en-US"/>
        </w:rPr>
        <w:t>P</w:t>
      </w:r>
      <w:r w:rsidRPr="007018B5">
        <w:rPr>
          <w:b w:val="0"/>
          <w:sz w:val="24"/>
          <w:szCs w:val="24"/>
          <w:lang w:val="en-US"/>
        </w:rPr>
        <w:t xml:space="preserve"> = 0.008). The IL-1RA/IL-1</w:t>
      </w:r>
      <w:r w:rsidRPr="007018B5">
        <w:rPr>
          <w:b w:val="0"/>
          <w:sz w:val="24"/>
          <w:szCs w:val="24"/>
          <w:lang w:val="en-US"/>
        </w:rPr>
        <w:sym w:font="Symbol" w:char="F062"/>
      </w:r>
      <w:r w:rsidRPr="007018B5">
        <w:rPr>
          <w:b w:val="0"/>
          <w:sz w:val="24"/>
          <w:szCs w:val="24"/>
          <w:lang w:val="en-US"/>
        </w:rPr>
        <w:t xml:space="preserve"> concentration ratio was significantly lower in the Crohn’s disease group at the internal opening (b). The median difference was 15.0 (99%CI</w:t>
      </w:r>
      <w:r w:rsidR="00B53711">
        <w:rPr>
          <w:b w:val="0"/>
          <w:sz w:val="24"/>
          <w:szCs w:val="24"/>
          <w:lang w:val="en-US"/>
        </w:rPr>
        <w:t>:</w:t>
      </w:r>
      <w:r w:rsidRPr="007018B5">
        <w:rPr>
          <w:b w:val="0"/>
          <w:sz w:val="24"/>
          <w:szCs w:val="24"/>
          <w:lang w:val="en-US"/>
        </w:rPr>
        <w:t xml:space="preserve"> 0.4</w:t>
      </w:r>
      <w:r w:rsidR="00E97C8C">
        <w:rPr>
          <w:b w:val="0"/>
          <w:sz w:val="24"/>
          <w:szCs w:val="24"/>
          <w:lang w:val="en-US"/>
        </w:rPr>
        <w:t>-</w:t>
      </w:r>
      <w:r w:rsidRPr="007018B5">
        <w:rPr>
          <w:b w:val="0"/>
          <w:sz w:val="24"/>
          <w:szCs w:val="24"/>
          <w:lang w:val="en-US"/>
        </w:rPr>
        <w:t xml:space="preserve">50.5, </w:t>
      </w:r>
      <w:r w:rsidRPr="007018B5">
        <w:rPr>
          <w:b w:val="0"/>
          <w:i/>
          <w:sz w:val="24"/>
          <w:szCs w:val="24"/>
          <w:lang w:val="en-US"/>
        </w:rPr>
        <w:t>P</w:t>
      </w:r>
      <w:r w:rsidRPr="007018B5">
        <w:rPr>
          <w:b w:val="0"/>
          <w:sz w:val="24"/>
          <w:szCs w:val="24"/>
          <w:lang w:val="en-US"/>
        </w:rPr>
        <w:t xml:space="preserve"> = 0.008). There were no other statistically significant differences between the groups in the remaining 27 cytokines at the four biopsy sites. </w:t>
      </w:r>
      <w:r w:rsidR="00B53711" w:rsidRPr="007018B5">
        <w:rPr>
          <w:rFonts w:cs="Baskerville"/>
          <w:b w:val="0"/>
          <w:sz w:val="24"/>
          <w:szCs w:val="24"/>
          <w:vertAlign w:val="superscript"/>
          <w:lang w:val="en-US"/>
        </w:rPr>
        <w:t>1</w:t>
      </w:r>
      <w:r w:rsidR="00B53711" w:rsidRPr="007018B5">
        <w:rPr>
          <w:b w:val="0"/>
          <w:sz w:val="24"/>
          <w:szCs w:val="24"/>
          <w:lang w:val="en-US"/>
        </w:rPr>
        <w:t>Results should be interpreted cautiously as they were below the minimum detectable concentration for the assay.</w:t>
      </w:r>
      <w:r w:rsidR="00B53711">
        <w:rPr>
          <w:b w:val="0"/>
          <w:sz w:val="24"/>
          <w:szCs w:val="24"/>
          <w:lang w:val="en-US"/>
        </w:rPr>
        <w:t xml:space="preserve"> </w:t>
      </w:r>
      <w:bookmarkStart w:id="225" w:name="OLE_LINK741"/>
      <w:bookmarkStart w:id="226" w:name="OLE_LINK742"/>
      <w:r w:rsidR="00B53711" w:rsidRPr="007018B5">
        <w:rPr>
          <w:b w:val="0"/>
          <w:sz w:val="24"/>
          <w:szCs w:val="24"/>
          <w:lang w:val="en-US"/>
        </w:rPr>
        <w:t>Id</w:t>
      </w:r>
      <w:r w:rsidR="00B53711">
        <w:rPr>
          <w:b w:val="0"/>
          <w:sz w:val="24"/>
          <w:szCs w:val="24"/>
          <w:lang w:val="en-US"/>
        </w:rPr>
        <w:t xml:space="preserve">: </w:t>
      </w:r>
      <w:r w:rsidR="008B1D27" w:rsidRPr="007018B5">
        <w:rPr>
          <w:b w:val="0"/>
          <w:sz w:val="24"/>
          <w:szCs w:val="24"/>
          <w:lang w:val="en-US"/>
        </w:rPr>
        <w:t>Idiopathic</w:t>
      </w:r>
      <w:r w:rsidR="00B53711">
        <w:rPr>
          <w:b w:val="0"/>
          <w:sz w:val="24"/>
          <w:szCs w:val="24"/>
          <w:lang w:val="en-US"/>
        </w:rPr>
        <w:t>;</w:t>
      </w:r>
      <w:r w:rsidR="008B1D27" w:rsidRPr="007018B5">
        <w:rPr>
          <w:b w:val="0"/>
          <w:sz w:val="24"/>
          <w:szCs w:val="24"/>
          <w:lang w:val="en-US"/>
        </w:rPr>
        <w:t xml:space="preserve"> </w:t>
      </w:r>
      <w:r w:rsidR="00B53711" w:rsidRPr="007018B5">
        <w:rPr>
          <w:b w:val="0"/>
          <w:sz w:val="24"/>
          <w:szCs w:val="24"/>
          <w:lang w:val="en-US"/>
        </w:rPr>
        <w:t>CD</w:t>
      </w:r>
      <w:r w:rsidR="00B53711">
        <w:rPr>
          <w:b w:val="0"/>
          <w:sz w:val="24"/>
          <w:szCs w:val="24"/>
          <w:lang w:val="en-US"/>
        </w:rPr>
        <w:t>:</w:t>
      </w:r>
      <w:r w:rsidR="00B53711" w:rsidRPr="007018B5">
        <w:rPr>
          <w:b w:val="0"/>
          <w:sz w:val="24"/>
          <w:szCs w:val="24"/>
          <w:lang w:val="en-US"/>
        </w:rPr>
        <w:t xml:space="preserve"> </w:t>
      </w:r>
      <w:r w:rsidR="008B1D27" w:rsidRPr="007018B5">
        <w:rPr>
          <w:b w:val="0"/>
          <w:sz w:val="24"/>
          <w:szCs w:val="24"/>
          <w:lang w:val="en-US"/>
        </w:rPr>
        <w:t>Crohn’s disease</w:t>
      </w:r>
      <w:r w:rsidR="00B53711">
        <w:rPr>
          <w:b w:val="0"/>
          <w:sz w:val="24"/>
          <w:szCs w:val="24"/>
          <w:lang w:val="en-US"/>
        </w:rPr>
        <w:t>;</w:t>
      </w:r>
      <w:r w:rsidR="008B1D27" w:rsidRPr="007018B5">
        <w:rPr>
          <w:b w:val="0"/>
          <w:sz w:val="24"/>
          <w:szCs w:val="24"/>
          <w:lang w:val="en-US"/>
        </w:rPr>
        <w:t xml:space="preserve"> </w:t>
      </w:r>
      <w:r w:rsidR="00B53711" w:rsidRPr="007018B5">
        <w:rPr>
          <w:b w:val="0"/>
          <w:sz w:val="24"/>
          <w:szCs w:val="24"/>
          <w:lang w:val="en-US"/>
        </w:rPr>
        <w:t>HC</w:t>
      </w:r>
      <w:r w:rsidR="00B53711">
        <w:rPr>
          <w:b w:val="0"/>
          <w:sz w:val="24"/>
          <w:szCs w:val="24"/>
          <w:lang w:val="en-US"/>
        </w:rPr>
        <w:t>:</w:t>
      </w:r>
      <w:r w:rsidR="00B53711" w:rsidRPr="007018B5">
        <w:rPr>
          <w:b w:val="0"/>
          <w:sz w:val="24"/>
          <w:szCs w:val="24"/>
          <w:lang w:val="en-US"/>
        </w:rPr>
        <w:t xml:space="preserve"> </w:t>
      </w:r>
      <w:r w:rsidR="00B53711">
        <w:rPr>
          <w:b w:val="0"/>
          <w:sz w:val="24"/>
          <w:szCs w:val="24"/>
          <w:lang w:val="en-US"/>
        </w:rPr>
        <w:t>H</w:t>
      </w:r>
      <w:r w:rsidR="008B1D27" w:rsidRPr="007018B5">
        <w:rPr>
          <w:b w:val="0"/>
          <w:sz w:val="24"/>
          <w:szCs w:val="24"/>
          <w:lang w:val="en-US"/>
        </w:rPr>
        <w:t>ealthy controls</w:t>
      </w:r>
      <w:r w:rsidR="00B53711">
        <w:rPr>
          <w:b w:val="0"/>
          <w:sz w:val="24"/>
          <w:szCs w:val="24"/>
          <w:lang w:val="en-US"/>
        </w:rPr>
        <w:t xml:space="preserve">; </w:t>
      </w:r>
      <w:r w:rsidR="00B53711" w:rsidRPr="007018B5">
        <w:rPr>
          <w:b w:val="0"/>
          <w:sz w:val="24"/>
          <w:szCs w:val="24"/>
          <w:lang w:val="en-US"/>
        </w:rPr>
        <w:t>F</w:t>
      </w:r>
      <w:r w:rsidR="00B53711">
        <w:rPr>
          <w:b w:val="0"/>
          <w:sz w:val="24"/>
          <w:szCs w:val="24"/>
          <w:lang w:val="en-US"/>
        </w:rPr>
        <w:t>:</w:t>
      </w:r>
      <w:r w:rsidR="00B53711" w:rsidRPr="007018B5">
        <w:rPr>
          <w:b w:val="0"/>
          <w:sz w:val="24"/>
          <w:szCs w:val="24"/>
          <w:lang w:val="en-US"/>
        </w:rPr>
        <w:t xml:space="preserve"> </w:t>
      </w:r>
      <w:r w:rsidR="00B53711">
        <w:rPr>
          <w:b w:val="0"/>
          <w:sz w:val="24"/>
          <w:szCs w:val="24"/>
          <w:lang w:val="en-US"/>
        </w:rPr>
        <w:t>F</w:t>
      </w:r>
      <w:r w:rsidR="008B1D27" w:rsidRPr="007018B5">
        <w:rPr>
          <w:b w:val="0"/>
          <w:sz w:val="24"/>
          <w:szCs w:val="24"/>
          <w:lang w:val="en-US"/>
        </w:rPr>
        <w:t>istula tract</w:t>
      </w:r>
      <w:r w:rsidR="00B53711">
        <w:rPr>
          <w:b w:val="0"/>
          <w:sz w:val="24"/>
          <w:szCs w:val="24"/>
          <w:lang w:val="en-US"/>
        </w:rPr>
        <w:t>;</w:t>
      </w:r>
      <w:r w:rsidR="008B1D27" w:rsidRPr="007018B5">
        <w:rPr>
          <w:b w:val="0"/>
          <w:sz w:val="24"/>
          <w:szCs w:val="24"/>
          <w:lang w:val="en-US"/>
        </w:rPr>
        <w:t xml:space="preserve"> </w:t>
      </w:r>
      <w:bookmarkStart w:id="227" w:name="OLE_LINK736"/>
      <w:bookmarkStart w:id="228" w:name="OLE_LINK737"/>
      <w:r w:rsidR="00B53711" w:rsidRPr="007018B5">
        <w:rPr>
          <w:b w:val="0"/>
          <w:sz w:val="24"/>
          <w:szCs w:val="24"/>
          <w:lang w:val="en-US"/>
        </w:rPr>
        <w:t>G</w:t>
      </w:r>
      <w:bookmarkEnd w:id="227"/>
      <w:bookmarkEnd w:id="228"/>
      <w:r w:rsidR="00B53711">
        <w:rPr>
          <w:b w:val="0"/>
          <w:sz w:val="24"/>
          <w:szCs w:val="24"/>
          <w:lang w:val="en-US"/>
        </w:rPr>
        <w:t>:</w:t>
      </w:r>
      <w:r w:rsidR="00B53711" w:rsidRPr="007018B5">
        <w:rPr>
          <w:b w:val="0"/>
          <w:sz w:val="24"/>
          <w:szCs w:val="24"/>
          <w:lang w:val="en-US"/>
        </w:rPr>
        <w:t xml:space="preserve"> </w:t>
      </w:r>
      <w:r w:rsidR="008B1D27" w:rsidRPr="007018B5">
        <w:rPr>
          <w:b w:val="0"/>
          <w:sz w:val="24"/>
          <w:szCs w:val="24"/>
          <w:lang w:val="en-US"/>
        </w:rPr>
        <w:t>granulation tissue</w:t>
      </w:r>
      <w:r w:rsidR="00B53711">
        <w:rPr>
          <w:b w:val="0"/>
          <w:sz w:val="24"/>
          <w:szCs w:val="24"/>
          <w:lang w:val="en-US"/>
        </w:rPr>
        <w:t>;</w:t>
      </w:r>
      <w:r w:rsidR="008B1D27" w:rsidRPr="007018B5">
        <w:rPr>
          <w:b w:val="0"/>
          <w:sz w:val="24"/>
          <w:szCs w:val="24"/>
          <w:lang w:val="en-US"/>
        </w:rPr>
        <w:t xml:space="preserve"> </w:t>
      </w:r>
      <w:r w:rsidR="00B53711" w:rsidRPr="007018B5">
        <w:rPr>
          <w:b w:val="0"/>
          <w:sz w:val="24"/>
          <w:szCs w:val="24"/>
          <w:lang w:val="en-US"/>
        </w:rPr>
        <w:t>I</w:t>
      </w:r>
      <w:r w:rsidR="00B53711">
        <w:rPr>
          <w:b w:val="0"/>
          <w:sz w:val="24"/>
          <w:szCs w:val="24"/>
          <w:lang w:val="en-US"/>
        </w:rPr>
        <w:t>:</w:t>
      </w:r>
      <w:r w:rsidR="00B53711" w:rsidRPr="007018B5">
        <w:rPr>
          <w:b w:val="0"/>
          <w:sz w:val="24"/>
          <w:szCs w:val="24"/>
          <w:lang w:val="en-US"/>
        </w:rPr>
        <w:t xml:space="preserve"> </w:t>
      </w:r>
      <w:r w:rsidR="00B53711">
        <w:rPr>
          <w:b w:val="0"/>
          <w:sz w:val="24"/>
          <w:szCs w:val="24"/>
          <w:lang w:val="en-US"/>
        </w:rPr>
        <w:t>I</w:t>
      </w:r>
      <w:r w:rsidR="008B1D27" w:rsidRPr="007018B5">
        <w:rPr>
          <w:b w:val="0"/>
          <w:sz w:val="24"/>
          <w:szCs w:val="24"/>
          <w:lang w:val="en-US"/>
        </w:rPr>
        <w:t>nternal opening</w:t>
      </w:r>
      <w:r w:rsidR="00B53711">
        <w:rPr>
          <w:b w:val="0"/>
          <w:sz w:val="24"/>
          <w:szCs w:val="24"/>
          <w:lang w:val="en-US"/>
        </w:rPr>
        <w:t>;</w:t>
      </w:r>
      <w:r w:rsidR="008B1D27" w:rsidRPr="007018B5">
        <w:rPr>
          <w:b w:val="0"/>
          <w:sz w:val="24"/>
          <w:szCs w:val="24"/>
          <w:lang w:val="en-US"/>
        </w:rPr>
        <w:t xml:space="preserve"> </w:t>
      </w:r>
      <w:r w:rsidR="00B53711">
        <w:rPr>
          <w:b w:val="0"/>
          <w:sz w:val="24"/>
          <w:szCs w:val="24"/>
          <w:lang w:val="en-US"/>
        </w:rPr>
        <w:t>R: R</w:t>
      </w:r>
      <w:r w:rsidR="008B1D27" w:rsidRPr="007018B5">
        <w:rPr>
          <w:b w:val="0"/>
          <w:sz w:val="24"/>
          <w:szCs w:val="24"/>
          <w:lang w:val="en-US"/>
        </w:rPr>
        <w:t>ectal mucosa</w:t>
      </w:r>
      <w:r w:rsidR="00B53711">
        <w:rPr>
          <w:b w:val="0"/>
          <w:sz w:val="24"/>
          <w:szCs w:val="24"/>
          <w:lang w:val="en-US"/>
        </w:rPr>
        <w:t>.</w:t>
      </w:r>
      <w:bookmarkStart w:id="229" w:name="_Ref320451273"/>
      <w:bookmarkStart w:id="230" w:name="_Ref6407445"/>
      <w:bookmarkStart w:id="231" w:name="_Toc356078447"/>
      <w:bookmarkEnd w:id="225"/>
      <w:bookmarkEnd w:id="226"/>
      <w:r w:rsidR="00B53711">
        <w:rPr>
          <w:szCs w:val="24"/>
          <w:lang w:val="en-US"/>
        </w:rPr>
        <w:br w:type="page"/>
      </w:r>
    </w:p>
    <w:p w14:paraId="76015702" w14:textId="59AA5BF2" w:rsidR="00B53711" w:rsidRDefault="00B53711" w:rsidP="007E3B89">
      <w:pPr>
        <w:pStyle w:val="Caption"/>
        <w:adjustRightInd w:val="0"/>
        <w:snapToGrid w:val="0"/>
        <w:spacing w:after="0" w:line="360" w:lineRule="auto"/>
        <w:jc w:val="both"/>
        <w:rPr>
          <w:sz w:val="24"/>
          <w:szCs w:val="24"/>
          <w:lang w:val="en-US"/>
        </w:rPr>
      </w:pPr>
      <w:r w:rsidRPr="00B53711">
        <w:rPr>
          <w:noProof/>
          <w:sz w:val="24"/>
          <w:szCs w:val="24"/>
          <w:lang w:val="en-US"/>
        </w:rPr>
        <w:lastRenderedPageBreak/>
        <w:drawing>
          <wp:inline distT="0" distB="0" distL="0" distR="0" wp14:anchorId="77962F73" wp14:editId="57A73521">
            <wp:extent cx="5219700" cy="2108200"/>
            <wp:effectExtent l="0" t="0" r="0" b="0"/>
            <wp:docPr id="16385" name="Picture 1">
              <a:extLst xmlns:a="http://schemas.openxmlformats.org/drawingml/2006/main">
                <a:ext uri="{FF2B5EF4-FFF2-40B4-BE49-F238E27FC236}">
                  <a16:creationId xmlns:a16="http://schemas.microsoft.com/office/drawing/2014/main" id="{FAC98413-1AE4-A340-A0D7-1E3317AE8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1">
                      <a:extLst>
                        <a:ext uri="{FF2B5EF4-FFF2-40B4-BE49-F238E27FC236}">
                          <a16:creationId xmlns:a16="http://schemas.microsoft.com/office/drawing/2014/main" id="{FAC98413-1AE4-A340-A0D7-1E3317AE845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38B3E7" w14:textId="73974187" w:rsidR="00E17808" w:rsidRDefault="00E17808" w:rsidP="007E3B89">
      <w:pPr>
        <w:pStyle w:val="Caption"/>
        <w:adjustRightInd w:val="0"/>
        <w:snapToGrid w:val="0"/>
        <w:spacing w:after="0" w:line="360" w:lineRule="auto"/>
        <w:jc w:val="both"/>
        <w:rPr>
          <w:b w:val="0"/>
          <w:sz w:val="24"/>
          <w:szCs w:val="24"/>
          <w:lang w:val="en-US"/>
        </w:rPr>
      </w:pPr>
      <w:r w:rsidRPr="007018B5">
        <w:rPr>
          <w:sz w:val="24"/>
          <w:szCs w:val="24"/>
          <w:lang w:val="en-US"/>
        </w:rPr>
        <w:t xml:space="preserve">Figure </w:t>
      </w:r>
      <w:r w:rsidRPr="007018B5">
        <w:rPr>
          <w:sz w:val="24"/>
          <w:szCs w:val="24"/>
          <w:lang w:val="en-US"/>
        </w:rPr>
        <w:fldChar w:fldCharType="begin"/>
      </w:r>
      <w:r w:rsidRPr="007018B5">
        <w:rPr>
          <w:sz w:val="24"/>
          <w:szCs w:val="24"/>
          <w:lang w:val="en-US"/>
        </w:rPr>
        <w:instrText xml:space="preserve"> SEQ Figure \* ARABIC </w:instrText>
      </w:r>
      <w:r w:rsidRPr="007018B5">
        <w:rPr>
          <w:sz w:val="24"/>
          <w:szCs w:val="24"/>
          <w:lang w:val="en-US"/>
        </w:rPr>
        <w:fldChar w:fldCharType="separate"/>
      </w:r>
      <w:r w:rsidR="00FB6502" w:rsidRPr="007018B5">
        <w:rPr>
          <w:sz w:val="24"/>
          <w:szCs w:val="24"/>
          <w:lang w:val="en-US"/>
        </w:rPr>
        <w:t>2</w:t>
      </w:r>
      <w:r w:rsidRPr="007018B5">
        <w:rPr>
          <w:sz w:val="24"/>
          <w:szCs w:val="24"/>
          <w:lang w:val="en-US"/>
        </w:rPr>
        <w:fldChar w:fldCharType="end"/>
      </w:r>
      <w:bookmarkEnd w:id="229"/>
      <w:bookmarkEnd w:id="230"/>
      <w:r w:rsidR="00B53711">
        <w:rPr>
          <w:sz w:val="24"/>
          <w:szCs w:val="24"/>
          <w:lang w:val="en-US"/>
        </w:rPr>
        <w:t xml:space="preserve"> </w:t>
      </w:r>
      <w:r w:rsidRPr="00B53711">
        <w:rPr>
          <w:bCs w:val="0"/>
          <w:sz w:val="24"/>
          <w:szCs w:val="24"/>
          <w:lang w:val="en-US"/>
        </w:rPr>
        <w:t>Boxplots for IL-12p70 concentration (left) and IL-1RA/IL-1</w:t>
      </w:r>
      <w:r w:rsidRPr="00B53711">
        <w:rPr>
          <w:bCs w:val="0"/>
          <w:sz w:val="24"/>
          <w:szCs w:val="24"/>
          <w:lang w:val="en-US"/>
        </w:rPr>
        <w:sym w:font="Symbol" w:char="F062"/>
      </w:r>
      <w:r w:rsidRPr="00B53711">
        <w:rPr>
          <w:bCs w:val="0"/>
          <w:sz w:val="24"/>
          <w:szCs w:val="24"/>
          <w:lang w:val="en-US"/>
        </w:rPr>
        <w:t xml:space="preserve"> concentration ratios (right) in the supernatants from 24-h fresh tissue cultures using a 30-plex </w:t>
      </w:r>
      <w:proofErr w:type="spellStart"/>
      <w:r w:rsidRPr="00B53711">
        <w:rPr>
          <w:bCs w:val="0"/>
          <w:sz w:val="24"/>
          <w:szCs w:val="24"/>
          <w:lang w:val="en-US"/>
        </w:rPr>
        <w:t>Milliplex</w:t>
      </w:r>
      <w:proofErr w:type="spellEnd"/>
      <w:r w:rsidRPr="00B53711">
        <w:rPr>
          <w:bCs w:val="0"/>
          <w:sz w:val="24"/>
          <w:szCs w:val="24"/>
          <w:lang w:val="en-US"/>
        </w:rPr>
        <w:t xml:space="preserve"> MAP Human Cytokine/Chemokine Magnetic Bead Panel (EMD Millipore, Billerica, </w:t>
      </w:r>
      <w:r w:rsidR="00B53711" w:rsidRPr="00B53711">
        <w:rPr>
          <w:bCs w:val="0"/>
          <w:sz w:val="24"/>
          <w:szCs w:val="24"/>
          <w:lang w:val="en-US"/>
        </w:rPr>
        <w:t>MA, United States</w:t>
      </w:r>
      <w:r w:rsidRPr="00B53711">
        <w:rPr>
          <w:bCs w:val="0"/>
          <w:sz w:val="24"/>
          <w:szCs w:val="24"/>
          <w:lang w:val="en-US"/>
        </w:rPr>
        <w:t>) and a MAGPIX multiplexing instrument (Luminex Corporation, Austin, TX</w:t>
      </w:r>
      <w:r w:rsidR="00B53711" w:rsidRPr="00B53711">
        <w:rPr>
          <w:bCs w:val="0"/>
          <w:sz w:val="24"/>
          <w:szCs w:val="24"/>
          <w:lang w:val="en-US"/>
        </w:rPr>
        <w:t>, United States</w:t>
      </w:r>
      <w:r w:rsidRPr="00B53711">
        <w:rPr>
          <w:bCs w:val="0"/>
          <w:sz w:val="24"/>
          <w:szCs w:val="24"/>
          <w:lang w:val="en-US"/>
        </w:rPr>
        <w:t xml:space="preserve">). </w:t>
      </w:r>
      <w:r w:rsidRPr="007018B5">
        <w:rPr>
          <w:b w:val="0"/>
          <w:sz w:val="24"/>
          <w:szCs w:val="24"/>
          <w:lang w:val="en-US"/>
        </w:rPr>
        <w:t xml:space="preserve">At the internal opening, differences between the idiopathic and Crohn’s disease groups were statistically significant. Median difference in IL-12p70 concentration at the internal opening was 19.7 </w:t>
      </w:r>
      <w:proofErr w:type="spellStart"/>
      <w:r w:rsidRPr="007018B5">
        <w:rPr>
          <w:b w:val="0"/>
          <w:sz w:val="24"/>
          <w:szCs w:val="24"/>
          <w:lang w:val="en-US"/>
        </w:rPr>
        <w:t>pg</w:t>
      </w:r>
      <w:proofErr w:type="spellEnd"/>
      <w:r w:rsidRPr="007018B5">
        <w:rPr>
          <w:b w:val="0"/>
          <w:sz w:val="24"/>
          <w:szCs w:val="24"/>
          <w:lang w:val="en-US"/>
        </w:rPr>
        <w:t>/m</w:t>
      </w:r>
      <w:r w:rsidR="00B53711">
        <w:rPr>
          <w:b w:val="0"/>
          <w:sz w:val="24"/>
          <w:szCs w:val="24"/>
          <w:lang w:val="en-US"/>
        </w:rPr>
        <w:t>L</w:t>
      </w:r>
      <w:r w:rsidRPr="007018B5">
        <w:rPr>
          <w:b w:val="0"/>
          <w:sz w:val="24"/>
          <w:szCs w:val="24"/>
          <w:lang w:val="en-US"/>
        </w:rPr>
        <w:t xml:space="preserve"> (Hodges-Lehman, 99%CI</w:t>
      </w:r>
      <w:r w:rsidR="00B53711">
        <w:rPr>
          <w:b w:val="0"/>
          <w:sz w:val="24"/>
          <w:szCs w:val="24"/>
          <w:lang w:val="en-US"/>
        </w:rPr>
        <w:t>:</w:t>
      </w:r>
      <w:r w:rsidRPr="007018B5">
        <w:rPr>
          <w:b w:val="0"/>
          <w:sz w:val="24"/>
          <w:szCs w:val="24"/>
          <w:lang w:val="en-US"/>
        </w:rPr>
        <w:t xml:space="preserve"> 0.2</w:t>
      </w:r>
      <w:r w:rsidR="00E97C8C">
        <w:rPr>
          <w:b w:val="0"/>
          <w:sz w:val="24"/>
          <w:szCs w:val="24"/>
          <w:lang w:val="en-US"/>
        </w:rPr>
        <w:t>-</w:t>
      </w:r>
      <w:r w:rsidRPr="007018B5">
        <w:rPr>
          <w:b w:val="0"/>
          <w:sz w:val="24"/>
          <w:szCs w:val="24"/>
          <w:lang w:val="en-US"/>
        </w:rPr>
        <w:t xml:space="preserve">40.4; Mann-Whitney </w:t>
      </w:r>
      <w:r w:rsidRPr="00B53711">
        <w:rPr>
          <w:b w:val="0"/>
          <w:i/>
          <w:iCs/>
          <w:sz w:val="24"/>
          <w:szCs w:val="24"/>
          <w:lang w:val="en-US"/>
        </w:rPr>
        <w:t>U</w:t>
      </w:r>
      <w:r w:rsidRPr="007018B5">
        <w:rPr>
          <w:b w:val="0"/>
          <w:sz w:val="24"/>
          <w:szCs w:val="24"/>
          <w:lang w:val="en-US"/>
        </w:rPr>
        <w:t xml:space="preserve">, </w:t>
      </w:r>
      <w:r w:rsidRPr="007018B5">
        <w:rPr>
          <w:b w:val="0"/>
          <w:i/>
          <w:sz w:val="24"/>
          <w:szCs w:val="24"/>
          <w:lang w:val="en-US"/>
        </w:rPr>
        <w:t>P</w:t>
      </w:r>
      <w:r w:rsidRPr="007018B5">
        <w:rPr>
          <w:b w:val="0"/>
          <w:sz w:val="24"/>
          <w:szCs w:val="24"/>
          <w:lang w:val="en-US"/>
        </w:rPr>
        <w:t xml:space="preserve"> = 0.008). The median difference in IL-1RA/IL-1</w:t>
      </w:r>
      <w:r w:rsidRPr="007018B5">
        <w:rPr>
          <w:b w:val="0"/>
          <w:sz w:val="24"/>
          <w:szCs w:val="24"/>
          <w:lang w:val="en-US"/>
        </w:rPr>
        <w:sym w:font="Symbol" w:char="F062"/>
      </w:r>
      <w:r w:rsidRPr="007018B5">
        <w:rPr>
          <w:b w:val="0"/>
          <w:sz w:val="24"/>
          <w:szCs w:val="24"/>
          <w:lang w:val="en-US"/>
        </w:rPr>
        <w:t xml:space="preserve"> at the internal opening was 15.0 (Hodges-Lehman, 99%CI</w:t>
      </w:r>
      <w:r w:rsidR="00B53711">
        <w:rPr>
          <w:b w:val="0"/>
          <w:sz w:val="24"/>
          <w:szCs w:val="24"/>
          <w:lang w:val="en-US"/>
        </w:rPr>
        <w:t>:</w:t>
      </w:r>
      <w:r w:rsidRPr="007018B5">
        <w:rPr>
          <w:b w:val="0"/>
          <w:sz w:val="24"/>
          <w:szCs w:val="24"/>
          <w:lang w:val="en-US"/>
        </w:rPr>
        <w:t xml:space="preserve"> 0.4</w:t>
      </w:r>
      <w:r w:rsidR="00E97C8C">
        <w:rPr>
          <w:b w:val="0"/>
          <w:sz w:val="24"/>
          <w:szCs w:val="24"/>
          <w:lang w:val="en-US"/>
        </w:rPr>
        <w:t>-</w:t>
      </w:r>
      <w:r w:rsidRPr="007018B5">
        <w:rPr>
          <w:b w:val="0"/>
          <w:sz w:val="24"/>
          <w:szCs w:val="24"/>
          <w:lang w:val="en-US"/>
        </w:rPr>
        <w:t xml:space="preserve">50.5; Mann-Whitney </w:t>
      </w:r>
      <w:r w:rsidRPr="00B53711">
        <w:rPr>
          <w:b w:val="0"/>
          <w:i/>
          <w:iCs/>
          <w:sz w:val="24"/>
          <w:szCs w:val="24"/>
          <w:lang w:val="en-US"/>
        </w:rPr>
        <w:t>U</w:t>
      </w:r>
      <w:r w:rsidRPr="007018B5">
        <w:rPr>
          <w:b w:val="0"/>
          <w:sz w:val="24"/>
          <w:szCs w:val="24"/>
          <w:lang w:val="en-US"/>
        </w:rPr>
        <w:t xml:space="preserve">, </w:t>
      </w:r>
      <w:r w:rsidRPr="007018B5">
        <w:rPr>
          <w:b w:val="0"/>
          <w:i/>
          <w:sz w:val="24"/>
          <w:szCs w:val="24"/>
          <w:lang w:val="en-US"/>
        </w:rPr>
        <w:t>P</w:t>
      </w:r>
      <w:r w:rsidRPr="007018B5">
        <w:rPr>
          <w:b w:val="0"/>
          <w:sz w:val="24"/>
          <w:szCs w:val="24"/>
          <w:lang w:val="en-US"/>
        </w:rPr>
        <w:t xml:space="preserve"> = 0.008). Circle marker, outlier within 1.5 </w:t>
      </w:r>
      <w:r w:rsidR="006111FE">
        <w:rPr>
          <w:b w:val="0"/>
          <w:sz w:val="24"/>
          <w:szCs w:val="24"/>
          <w:lang w:val="en-US"/>
        </w:rPr>
        <w:t>×</w:t>
      </w:r>
      <w:r w:rsidRPr="007018B5">
        <w:rPr>
          <w:b w:val="0"/>
          <w:sz w:val="24"/>
          <w:szCs w:val="24"/>
          <w:lang w:val="en-US"/>
        </w:rPr>
        <w:t xml:space="preserve"> interquartile range (IQR); Star marker, outlier out</w:t>
      </w:r>
      <w:r w:rsidR="006B2E3E">
        <w:rPr>
          <w:b w:val="0"/>
          <w:sz w:val="24"/>
          <w:szCs w:val="24"/>
          <w:lang w:val="en-US"/>
        </w:rPr>
        <w:t xml:space="preserve"> </w:t>
      </w:r>
      <w:r w:rsidRPr="007018B5">
        <w:rPr>
          <w:b w:val="0"/>
          <w:sz w:val="24"/>
          <w:szCs w:val="24"/>
          <w:lang w:val="en-US"/>
        </w:rPr>
        <w:t xml:space="preserve">with 1.5 </w:t>
      </w:r>
      <w:r w:rsidR="006111FE">
        <w:rPr>
          <w:b w:val="0"/>
          <w:sz w:val="24"/>
          <w:szCs w:val="24"/>
          <w:lang w:val="en-US"/>
        </w:rPr>
        <w:t>×</w:t>
      </w:r>
      <w:r w:rsidRPr="007018B5">
        <w:rPr>
          <w:b w:val="0"/>
          <w:sz w:val="24"/>
          <w:szCs w:val="24"/>
          <w:lang w:val="en-US"/>
        </w:rPr>
        <w:t xml:space="preserve"> IQR. One outlier not shown to limit </w:t>
      </w:r>
      <w:r w:rsidR="006111FE">
        <w:rPr>
          <w:b w:val="0"/>
          <w:sz w:val="24"/>
          <w:szCs w:val="24"/>
          <w:lang w:val="en-US"/>
        </w:rPr>
        <w:t>Y</w:t>
      </w:r>
      <w:r w:rsidRPr="007018B5">
        <w:rPr>
          <w:b w:val="0"/>
          <w:sz w:val="24"/>
          <w:szCs w:val="24"/>
          <w:lang w:val="en-US"/>
        </w:rPr>
        <w:t>-axis scale.</w:t>
      </w:r>
      <w:bookmarkEnd w:id="231"/>
      <w:r w:rsidRPr="007018B5">
        <w:rPr>
          <w:b w:val="0"/>
          <w:sz w:val="24"/>
          <w:szCs w:val="24"/>
          <w:lang w:val="en-US"/>
        </w:rPr>
        <w:t xml:space="preserve"> </w:t>
      </w:r>
    </w:p>
    <w:p w14:paraId="4C28BF4E" w14:textId="6F890E8D" w:rsidR="006111FE" w:rsidRDefault="006111FE">
      <w:pPr>
        <w:spacing w:before="0" w:after="0" w:line="240" w:lineRule="auto"/>
        <w:rPr>
          <w:lang w:val="en-US" w:eastAsia="en-GB"/>
        </w:rPr>
      </w:pPr>
      <w:r>
        <w:rPr>
          <w:lang w:val="en-US" w:eastAsia="en-GB"/>
        </w:rPr>
        <w:br w:type="page"/>
      </w:r>
    </w:p>
    <w:p w14:paraId="7800193A" w14:textId="0E095535" w:rsidR="006111FE" w:rsidRPr="006111FE" w:rsidRDefault="006111FE" w:rsidP="006111FE">
      <w:pPr>
        <w:rPr>
          <w:lang w:val="en-US" w:eastAsia="en-GB"/>
        </w:rPr>
      </w:pPr>
      <w:r>
        <w:rPr>
          <w:noProof/>
          <w:lang w:val="en-US" w:eastAsia="en-GB"/>
        </w:rPr>
        <w:lastRenderedPageBreak/>
        <w:drawing>
          <wp:inline distT="0" distB="0" distL="0" distR="0" wp14:anchorId="17168D86" wp14:editId="515EA054">
            <wp:extent cx="3530600" cy="5765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8F33AF-EF92-4417-BCB1-3897E8F22685.png"/>
                    <pic:cNvPicPr/>
                  </pic:nvPicPr>
                  <pic:blipFill>
                    <a:blip r:embed="rId11"/>
                    <a:stretch>
                      <a:fillRect/>
                    </a:stretch>
                  </pic:blipFill>
                  <pic:spPr>
                    <a:xfrm>
                      <a:off x="0" y="0"/>
                      <a:ext cx="3530600" cy="5765800"/>
                    </a:xfrm>
                    <a:prstGeom prst="rect">
                      <a:avLst/>
                    </a:prstGeom>
                  </pic:spPr>
                </pic:pic>
              </a:graphicData>
            </a:graphic>
          </wp:inline>
        </w:drawing>
      </w:r>
    </w:p>
    <w:p w14:paraId="49214AA3" w14:textId="4E98D26E" w:rsidR="00137B77" w:rsidRDefault="00E17808" w:rsidP="007E3B89">
      <w:pPr>
        <w:pStyle w:val="Caption"/>
        <w:adjustRightInd w:val="0"/>
        <w:snapToGrid w:val="0"/>
        <w:spacing w:after="0" w:line="360" w:lineRule="auto"/>
        <w:jc w:val="both"/>
        <w:rPr>
          <w:b w:val="0"/>
          <w:sz w:val="24"/>
          <w:szCs w:val="24"/>
          <w:lang w:val="en-US"/>
        </w:rPr>
      </w:pPr>
      <w:bookmarkStart w:id="232" w:name="_Ref372059957"/>
      <w:bookmarkStart w:id="233" w:name="_Ref496216014"/>
      <w:bookmarkStart w:id="234" w:name="_Ref513632025"/>
      <w:bookmarkStart w:id="235" w:name="_Ref6407505"/>
      <w:r w:rsidRPr="007018B5">
        <w:rPr>
          <w:sz w:val="24"/>
          <w:szCs w:val="24"/>
          <w:lang w:val="en-US"/>
        </w:rPr>
        <w:t>Figure</w:t>
      </w:r>
      <w:bookmarkEnd w:id="232"/>
      <w:r w:rsidRPr="007018B5">
        <w:rPr>
          <w:sz w:val="24"/>
          <w:szCs w:val="24"/>
          <w:lang w:val="en-US"/>
        </w:rPr>
        <w:t xml:space="preserve"> </w:t>
      </w:r>
      <w:r w:rsidRPr="007018B5">
        <w:rPr>
          <w:sz w:val="24"/>
          <w:szCs w:val="24"/>
          <w:lang w:val="en-US"/>
        </w:rPr>
        <w:fldChar w:fldCharType="begin"/>
      </w:r>
      <w:r w:rsidRPr="007018B5">
        <w:rPr>
          <w:sz w:val="24"/>
          <w:szCs w:val="24"/>
          <w:lang w:val="en-US"/>
        </w:rPr>
        <w:instrText xml:space="preserve"> SEQ Figure \* ARABIC </w:instrText>
      </w:r>
      <w:r w:rsidRPr="007018B5">
        <w:rPr>
          <w:sz w:val="24"/>
          <w:szCs w:val="24"/>
          <w:lang w:val="en-US"/>
        </w:rPr>
        <w:fldChar w:fldCharType="separate"/>
      </w:r>
      <w:r w:rsidR="00FB6502" w:rsidRPr="007018B5">
        <w:rPr>
          <w:sz w:val="24"/>
          <w:szCs w:val="24"/>
          <w:lang w:val="en-US"/>
        </w:rPr>
        <w:t>3</w:t>
      </w:r>
      <w:r w:rsidRPr="007018B5">
        <w:rPr>
          <w:sz w:val="24"/>
          <w:szCs w:val="24"/>
          <w:lang w:val="en-US"/>
        </w:rPr>
        <w:fldChar w:fldCharType="end"/>
      </w:r>
      <w:bookmarkEnd w:id="233"/>
      <w:bookmarkEnd w:id="234"/>
      <w:bookmarkEnd w:id="235"/>
      <w:r w:rsidRPr="007018B5">
        <w:rPr>
          <w:sz w:val="24"/>
          <w:szCs w:val="24"/>
          <w:lang w:val="en-US"/>
        </w:rPr>
        <w:t xml:space="preserve"> </w:t>
      </w:r>
      <w:r w:rsidRPr="006111FE">
        <w:rPr>
          <w:bCs w:val="0"/>
          <w:sz w:val="24"/>
          <w:szCs w:val="24"/>
          <w:lang w:val="en-US"/>
        </w:rPr>
        <w:t xml:space="preserve">Median signal intensities (%) quantifying the phosphorylation status of receptor tyrosine kinases in the cell lysates of the fresh tissue samples using the </w:t>
      </w:r>
      <w:proofErr w:type="spellStart"/>
      <w:r w:rsidRPr="006111FE">
        <w:rPr>
          <w:bCs w:val="0"/>
          <w:sz w:val="24"/>
          <w:szCs w:val="24"/>
          <w:lang w:val="en-US"/>
        </w:rPr>
        <w:t>PathScan</w:t>
      </w:r>
      <w:proofErr w:type="spellEnd"/>
      <w:r w:rsidRPr="006111FE">
        <w:rPr>
          <w:bCs w:val="0"/>
          <w:sz w:val="24"/>
          <w:szCs w:val="24"/>
          <w:lang w:val="en-US"/>
        </w:rPr>
        <w:t xml:space="preserve"> RTK Signaling Antibody Array, Chemiluminescent Readout (Cell Signaling Technology, Danvers, Massachusetts).</w:t>
      </w:r>
      <w:r w:rsidRPr="007018B5">
        <w:rPr>
          <w:b w:val="0"/>
          <w:sz w:val="24"/>
          <w:szCs w:val="24"/>
          <w:lang w:val="en-US"/>
        </w:rPr>
        <w:t xml:space="preserve"> The signal intensities were similar in the idiopathic and Crohn’s disease groups at the four specimen sites. When the Crohn’s disease group was compared to healthy controls, a statistically significant difference (Mann </w:t>
      </w:r>
      <w:proofErr w:type="spellStart"/>
      <w:r w:rsidRPr="007018B5">
        <w:rPr>
          <w:b w:val="0"/>
          <w:sz w:val="24"/>
          <w:szCs w:val="24"/>
          <w:lang w:val="en-US"/>
        </w:rPr>
        <w:t>Witney</w:t>
      </w:r>
      <w:proofErr w:type="spellEnd"/>
      <w:r w:rsidRPr="007018B5">
        <w:rPr>
          <w:b w:val="0"/>
          <w:sz w:val="24"/>
          <w:szCs w:val="24"/>
          <w:lang w:val="en-US"/>
        </w:rPr>
        <w:t xml:space="preserve"> </w:t>
      </w:r>
      <w:r w:rsidRPr="006111FE">
        <w:rPr>
          <w:b w:val="0"/>
          <w:i/>
          <w:iCs/>
          <w:sz w:val="24"/>
          <w:szCs w:val="24"/>
          <w:lang w:val="en-US"/>
        </w:rPr>
        <w:t>U</w:t>
      </w:r>
      <w:r w:rsidRPr="007018B5">
        <w:rPr>
          <w:b w:val="0"/>
          <w:sz w:val="24"/>
          <w:szCs w:val="24"/>
          <w:lang w:val="en-US"/>
        </w:rPr>
        <w:t xml:space="preserve">, </w:t>
      </w:r>
      <w:r w:rsidRPr="007018B5">
        <w:rPr>
          <w:b w:val="0"/>
          <w:i/>
          <w:sz w:val="24"/>
          <w:szCs w:val="24"/>
          <w:lang w:val="en-US"/>
        </w:rPr>
        <w:t xml:space="preserve">P </w:t>
      </w:r>
      <w:r w:rsidRPr="007018B5">
        <w:rPr>
          <w:b w:val="0"/>
          <w:sz w:val="24"/>
          <w:szCs w:val="24"/>
          <w:lang w:val="en-US"/>
        </w:rPr>
        <w:t xml:space="preserve">&lt; 0.01) was seen for EphA1, EphB1, EphB4, Tyro3 and VEGFR2. </w:t>
      </w:r>
      <w:r w:rsidR="00FA2350" w:rsidRPr="007018B5">
        <w:rPr>
          <w:b w:val="0"/>
          <w:sz w:val="24"/>
          <w:szCs w:val="24"/>
          <w:lang w:val="en-US"/>
        </w:rPr>
        <w:t>Id</w:t>
      </w:r>
      <w:r w:rsidR="00FA2350">
        <w:rPr>
          <w:b w:val="0"/>
          <w:sz w:val="24"/>
          <w:szCs w:val="24"/>
          <w:lang w:val="en-US"/>
        </w:rPr>
        <w:t xml:space="preserve">: </w:t>
      </w:r>
      <w:r w:rsidR="00FA2350" w:rsidRPr="007018B5">
        <w:rPr>
          <w:b w:val="0"/>
          <w:sz w:val="24"/>
          <w:szCs w:val="24"/>
          <w:lang w:val="en-US"/>
        </w:rPr>
        <w:t>Idiopathic</w:t>
      </w:r>
      <w:r w:rsidR="00FA2350">
        <w:rPr>
          <w:b w:val="0"/>
          <w:sz w:val="24"/>
          <w:szCs w:val="24"/>
          <w:lang w:val="en-US"/>
        </w:rPr>
        <w:t>;</w:t>
      </w:r>
      <w:r w:rsidR="00FA2350" w:rsidRPr="007018B5">
        <w:rPr>
          <w:b w:val="0"/>
          <w:sz w:val="24"/>
          <w:szCs w:val="24"/>
          <w:lang w:val="en-US"/>
        </w:rPr>
        <w:t xml:space="preserve"> CD</w:t>
      </w:r>
      <w:r w:rsidR="00FA2350">
        <w:rPr>
          <w:b w:val="0"/>
          <w:sz w:val="24"/>
          <w:szCs w:val="24"/>
          <w:lang w:val="en-US"/>
        </w:rPr>
        <w:t>:</w:t>
      </w:r>
      <w:r w:rsidR="00FA2350" w:rsidRPr="007018B5">
        <w:rPr>
          <w:b w:val="0"/>
          <w:sz w:val="24"/>
          <w:szCs w:val="24"/>
          <w:lang w:val="en-US"/>
        </w:rPr>
        <w:t xml:space="preserve"> Crohn’s disease</w:t>
      </w:r>
      <w:r w:rsidR="00FA2350">
        <w:rPr>
          <w:b w:val="0"/>
          <w:sz w:val="24"/>
          <w:szCs w:val="24"/>
          <w:lang w:val="en-US"/>
        </w:rPr>
        <w:t>;</w:t>
      </w:r>
      <w:r w:rsidR="00FA2350" w:rsidRPr="007018B5">
        <w:rPr>
          <w:b w:val="0"/>
          <w:sz w:val="24"/>
          <w:szCs w:val="24"/>
          <w:lang w:val="en-US"/>
        </w:rPr>
        <w:t xml:space="preserve"> HC</w:t>
      </w:r>
      <w:r w:rsidR="00FA2350">
        <w:rPr>
          <w:b w:val="0"/>
          <w:sz w:val="24"/>
          <w:szCs w:val="24"/>
          <w:lang w:val="en-US"/>
        </w:rPr>
        <w:t>:</w:t>
      </w:r>
      <w:r w:rsidR="00FA2350" w:rsidRPr="007018B5">
        <w:rPr>
          <w:b w:val="0"/>
          <w:sz w:val="24"/>
          <w:szCs w:val="24"/>
          <w:lang w:val="en-US"/>
        </w:rPr>
        <w:t xml:space="preserve"> </w:t>
      </w:r>
      <w:r w:rsidR="00FA2350">
        <w:rPr>
          <w:b w:val="0"/>
          <w:sz w:val="24"/>
          <w:szCs w:val="24"/>
          <w:lang w:val="en-US"/>
        </w:rPr>
        <w:t>H</w:t>
      </w:r>
      <w:r w:rsidR="00FA2350" w:rsidRPr="007018B5">
        <w:rPr>
          <w:b w:val="0"/>
          <w:sz w:val="24"/>
          <w:szCs w:val="24"/>
          <w:lang w:val="en-US"/>
        </w:rPr>
        <w:t>ealthy controls</w:t>
      </w:r>
      <w:r w:rsidR="00FA2350">
        <w:rPr>
          <w:b w:val="0"/>
          <w:sz w:val="24"/>
          <w:szCs w:val="24"/>
          <w:lang w:val="en-US"/>
        </w:rPr>
        <w:t xml:space="preserve">; </w:t>
      </w:r>
      <w:r w:rsidR="00FA2350" w:rsidRPr="007018B5">
        <w:rPr>
          <w:b w:val="0"/>
          <w:sz w:val="24"/>
          <w:szCs w:val="24"/>
          <w:lang w:val="en-US"/>
        </w:rPr>
        <w:t>F</w:t>
      </w:r>
      <w:r w:rsidR="00FA2350">
        <w:rPr>
          <w:b w:val="0"/>
          <w:sz w:val="24"/>
          <w:szCs w:val="24"/>
          <w:lang w:val="en-US"/>
        </w:rPr>
        <w:t>:</w:t>
      </w:r>
      <w:r w:rsidR="00FA2350" w:rsidRPr="007018B5">
        <w:rPr>
          <w:b w:val="0"/>
          <w:sz w:val="24"/>
          <w:szCs w:val="24"/>
          <w:lang w:val="en-US"/>
        </w:rPr>
        <w:t xml:space="preserve"> </w:t>
      </w:r>
      <w:r w:rsidR="00FA2350">
        <w:rPr>
          <w:b w:val="0"/>
          <w:sz w:val="24"/>
          <w:szCs w:val="24"/>
          <w:lang w:val="en-US"/>
        </w:rPr>
        <w:t>F</w:t>
      </w:r>
      <w:r w:rsidR="00FA2350" w:rsidRPr="007018B5">
        <w:rPr>
          <w:b w:val="0"/>
          <w:sz w:val="24"/>
          <w:szCs w:val="24"/>
          <w:lang w:val="en-US"/>
        </w:rPr>
        <w:t>istula tract</w:t>
      </w:r>
      <w:r w:rsidR="00FA2350">
        <w:rPr>
          <w:b w:val="0"/>
          <w:sz w:val="24"/>
          <w:szCs w:val="24"/>
          <w:lang w:val="en-US"/>
        </w:rPr>
        <w:t>;</w:t>
      </w:r>
      <w:r w:rsidR="00FA2350" w:rsidRPr="007018B5">
        <w:rPr>
          <w:b w:val="0"/>
          <w:sz w:val="24"/>
          <w:szCs w:val="24"/>
          <w:lang w:val="en-US"/>
        </w:rPr>
        <w:t xml:space="preserve"> G</w:t>
      </w:r>
      <w:r w:rsidR="00FA2350">
        <w:rPr>
          <w:b w:val="0"/>
          <w:sz w:val="24"/>
          <w:szCs w:val="24"/>
          <w:lang w:val="en-US"/>
        </w:rPr>
        <w:t>:</w:t>
      </w:r>
      <w:r w:rsidR="00FA2350" w:rsidRPr="007018B5">
        <w:rPr>
          <w:b w:val="0"/>
          <w:sz w:val="24"/>
          <w:szCs w:val="24"/>
          <w:lang w:val="en-US"/>
        </w:rPr>
        <w:t xml:space="preserve"> </w:t>
      </w:r>
      <w:r w:rsidR="006B2E3E">
        <w:rPr>
          <w:b w:val="0"/>
          <w:sz w:val="24"/>
          <w:szCs w:val="24"/>
          <w:lang w:val="en-US"/>
        </w:rPr>
        <w:t>G</w:t>
      </w:r>
      <w:bookmarkStart w:id="236" w:name="_GoBack"/>
      <w:bookmarkEnd w:id="236"/>
      <w:r w:rsidR="00FA2350" w:rsidRPr="007018B5">
        <w:rPr>
          <w:b w:val="0"/>
          <w:sz w:val="24"/>
          <w:szCs w:val="24"/>
          <w:lang w:val="en-US"/>
        </w:rPr>
        <w:t>ranulation tissue</w:t>
      </w:r>
      <w:r w:rsidR="00FA2350">
        <w:rPr>
          <w:b w:val="0"/>
          <w:sz w:val="24"/>
          <w:szCs w:val="24"/>
          <w:lang w:val="en-US"/>
        </w:rPr>
        <w:t>;</w:t>
      </w:r>
      <w:r w:rsidR="00FA2350" w:rsidRPr="007018B5">
        <w:rPr>
          <w:b w:val="0"/>
          <w:sz w:val="24"/>
          <w:szCs w:val="24"/>
          <w:lang w:val="en-US"/>
        </w:rPr>
        <w:t xml:space="preserve"> I</w:t>
      </w:r>
      <w:r w:rsidR="00FA2350">
        <w:rPr>
          <w:b w:val="0"/>
          <w:sz w:val="24"/>
          <w:szCs w:val="24"/>
          <w:lang w:val="en-US"/>
        </w:rPr>
        <w:t>:</w:t>
      </w:r>
      <w:r w:rsidR="00FA2350" w:rsidRPr="007018B5">
        <w:rPr>
          <w:b w:val="0"/>
          <w:sz w:val="24"/>
          <w:szCs w:val="24"/>
          <w:lang w:val="en-US"/>
        </w:rPr>
        <w:t xml:space="preserve"> </w:t>
      </w:r>
      <w:r w:rsidR="00FA2350">
        <w:rPr>
          <w:b w:val="0"/>
          <w:sz w:val="24"/>
          <w:szCs w:val="24"/>
          <w:lang w:val="en-US"/>
        </w:rPr>
        <w:t>I</w:t>
      </w:r>
      <w:r w:rsidR="00FA2350" w:rsidRPr="007018B5">
        <w:rPr>
          <w:b w:val="0"/>
          <w:sz w:val="24"/>
          <w:szCs w:val="24"/>
          <w:lang w:val="en-US"/>
        </w:rPr>
        <w:t>nternal opening</w:t>
      </w:r>
      <w:r w:rsidR="00FA2350">
        <w:rPr>
          <w:b w:val="0"/>
          <w:sz w:val="24"/>
          <w:szCs w:val="24"/>
          <w:lang w:val="en-US"/>
        </w:rPr>
        <w:t>;</w:t>
      </w:r>
      <w:r w:rsidR="00FA2350" w:rsidRPr="007018B5">
        <w:rPr>
          <w:b w:val="0"/>
          <w:sz w:val="24"/>
          <w:szCs w:val="24"/>
          <w:lang w:val="en-US"/>
        </w:rPr>
        <w:t xml:space="preserve"> </w:t>
      </w:r>
      <w:r w:rsidR="00FA2350">
        <w:rPr>
          <w:b w:val="0"/>
          <w:sz w:val="24"/>
          <w:szCs w:val="24"/>
          <w:lang w:val="en-US"/>
        </w:rPr>
        <w:t>R: R</w:t>
      </w:r>
      <w:r w:rsidR="00FA2350" w:rsidRPr="007018B5">
        <w:rPr>
          <w:b w:val="0"/>
          <w:sz w:val="24"/>
          <w:szCs w:val="24"/>
          <w:lang w:val="en-US"/>
        </w:rPr>
        <w:t>ectal mucosa</w:t>
      </w:r>
      <w:r w:rsidR="00FA2350">
        <w:rPr>
          <w:b w:val="0"/>
          <w:sz w:val="24"/>
          <w:szCs w:val="24"/>
          <w:lang w:val="en-US"/>
        </w:rPr>
        <w:t>.</w:t>
      </w:r>
      <w:bookmarkStart w:id="237" w:name="_Ref352245734"/>
      <w:bookmarkStart w:id="238" w:name="_Toc356078462"/>
    </w:p>
    <w:p w14:paraId="36B17FED" w14:textId="10ED086C" w:rsidR="00FA2350" w:rsidRDefault="00FA2350">
      <w:pPr>
        <w:spacing w:before="0" w:after="0" w:line="240" w:lineRule="auto"/>
        <w:rPr>
          <w:lang w:val="en-US" w:eastAsia="en-GB"/>
        </w:rPr>
      </w:pPr>
      <w:r>
        <w:rPr>
          <w:lang w:val="en-US" w:eastAsia="en-GB"/>
        </w:rPr>
        <w:br w:type="page"/>
      </w:r>
    </w:p>
    <w:p w14:paraId="7068CC18" w14:textId="01C172E1" w:rsidR="00FA2350" w:rsidRPr="00FA2350" w:rsidRDefault="00DE41AD" w:rsidP="00FA2350">
      <w:pPr>
        <w:rPr>
          <w:lang w:val="en-US" w:eastAsia="en-GB"/>
        </w:rPr>
      </w:pPr>
      <w:r>
        <w:rPr>
          <w:noProof/>
          <w:lang w:val="en-US" w:eastAsia="en-GB"/>
        </w:rPr>
        <w:lastRenderedPageBreak/>
        <w:drawing>
          <wp:inline distT="0" distB="0" distL="0" distR="0" wp14:anchorId="7560E279" wp14:editId="2E328798">
            <wp:extent cx="4288726" cy="4428781"/>
            <wp:effectExtent l="0" t="0" r="444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198916-2D2A-49C9-A42D-320D14691D36.png"/>
                    <pic:cNvPicPr/>
                  </pic:nvPicPr>
                  <pic:blipFill>
                    <a:blip r:embed="rId12"/>
                    <a:stretch>
                      <a:fillRect/>
                    </a:stretch>
                  </pic:blipFill>
                  <pic:spPr>
                    <a:xfrm>
                      <a:off x="0" y="0"/>
                      <a:ext cx="4296365" cy="4436669"/>
                    </a:xfrm>
                    <a:prstGeom prst="rect">
                      <a:avLst/>
                    </a:prstGeom>
                  </pic:spPr>
                </pic:pic>
              </a:graphicData>
            </a:graphic>
          </wp:inline>
        </w:drawing>
      </w:r>
    </w:p>
    <w:p w14:paraId="3601A20F" w14:textId="793B56D8" w:rsidR="00E17808" w:rsidRPr="007018B5" w:rsidRDefault="00E17808" w:rsidP="007E3B89">
      <w:pPr>
        <w:pStyle w:val="Caption"/>
        <w:adjustRightInd w:val="0"/>
        <w:snapToGrid w:val="0"/>
        <w:spacing w:after="0" w:line="360" w:lineRule="auto"/>
        <w:jc w:val="both"/>
        <w:rPr>
          <w:b w:val="0"/>
          <w:sz w:val="24"/>
          <w:szCs w:val="24"/>
          <w:lang w:val="en-US"/>
        </w:rPr>
      </w:pPr>
      <w:bookmarkStart w:id="239" w:name="_Ref6407532"/>
      <w:r w:rsidRPr="007018B5">
        <w:rPr>
          <w:sz w:val="24"/>
          <w:szCs w:val="24"/>
          <w:lang w:val="en-US"/>
        </w:rPr>
        <w:t xml:space="preserve">Figure </w:t>
      </w:r>
      <w:r w:rsidRPr="007018B5">
        <w:rPr>
          <w:sz w:val="24"/>
          <w:szCs w:val="24"/>
          <w:lang w:val="en-US"/>
        </w:rPr>
        <w:fldChar w:fldCharType="begin"/>
      </w:r>
      <w:r w:rsidRPr="007018B5">
        <w:rPr>
          <w:sz w:val="24"/>
          <w:szCs w:val="24"/>
          <w:lang w:val="en-US"/>
        </w:rPr>
        <w:instrText xml:space="preserve"> SEQ Figure \* ARABIC </w:instrText>
      </w:r>
      <w:r w:rsidRPr="007018B5">
        <w:rPr>
          <w:sz w:val="24"/>
          <w:szCs w:val="24"/>
          <w:lang w:val="en-US"/>
        </w:rPr>
        <w:fldChar w:fldCharType="separate"/>
      </w:r>
      <w:r w:rsidR="00FB6502" w:rsidRPr="007018B5">
        <w:rPr>
          <w:sz w:val="24"/>
          <w:szCs w:val="24"/>
          <w:lang w:val="en-US"/>
        </w:rPr>
        <w:t>4</w:t>
      </w:r>
      <w:r w:rsidRPr="007018B5">
        <w:rPr>
          <w:sz w:val="24"/>
          <w:szCs w:val="24"/>
          <w:lang w:val="en-US"/>
        </w:rPr>
        <w:fldChar w:fldCharType="end"/>
      </w:r>
      <w:bookmarkEnd w:id="237"/>
      <w:bookmarkEnd w:id="239"/>
      <w:r w:rsidRPr="007018B5">
        <w:rPr>
          <w:sz w:val="24"/>
          <w:szCs w:val="24"/>
          <w:lang w:val="en-US"/>
        </w:rPr>
        <w:t xml:space="preserve"> </w:t>
      </w:r>
      <w:r w:rsidRPr="00DE41AD">
        <w:rPr>
          <w:bCs w:val="0"/>
          <w:sz w:val="24"/>
          <w:szCs w:val="24"/>
          <w:lang w:val="en-US"/>
        </w:rPr>
        <w:t>Example microarray images acquired to quantify</w:t>
      </w:r>
      <w:r w:rsidRPr="00DE41AD">
        <w:rPr>
          <w:rFonts w:cs="Arial"/>
          <w:bCs w:val="0"/>
          <w:sz w:val="24"/>
          <w:szCs w:val="24"/>
          <w:lang w:val="en-US"/>
        </w:rPr>
        <w:t xml:space="preserve"> the phosphorylation status of receptor tyrosine kinases in the cell lysates of the fresh tissue samples using the </w:t>
      </w:r>
      <w:proofErr w:type="spellStart"/>
      <w:r w:rsidRPr="00DE41AD">
        <w:rPr>
          <w:rFonts w:cs="Arial"/>
          <w:bCs w:val="0"/>
          <w:sz w:val="24"/>
          <w:szCs w:val="24"/>
          <w:lang w:val="en-US"/>
        </w:rPr>
        <w:t>PathScan</w:t>
      </w:r>
      <w:proofErr w:type="spellEnd"/>
      <w:r w:rsidRPr="00DE41AD">
        <w:rPr>
          <w:rFonts w:cs="Arial"/>
          <w:bCs w:val="0"/>
          <w:sz w:val="24"/>
          <w:szCs w:val="24"/>
          <w:lang w:val="en-US"/>
        </w:rPr>
        <w:t xml:space="preserve"> RTK Signaling Antibody Array, Chemiluminescent Readout (Cell Signaling Technology, Danvers, Massachusetts).</w:t>
      </w:r>
      <w:r w:rsidRPr="00DE41AD">
        <w:rPr>
          <w:bCs w:val="0"/>
          <w:sz w:val="24"/>
          <w:szCs w:val="24"/>
          <w:lang w:val="en-US"/>
        </w:rPr>
        <w:t xml:space="preserve"> </w:t>
      </w:r>
      <w:r w:rsidRPr="007018B5">
        <w:rPr>
          <w:b w:val="0"/>
          <w:sz w:val="24"/>
          <w:szCs w:val="24"/>
          <w:lang w:val="en-US"/>
        </w:rPr>
        <w:t>Fistula tract samples from (A) idiopathic and (B) Crohn’s disease patients. Granulation tissue samples from (C) idiopathic and (D) Crohn’s disease patients. Internal opening samples from (E) idiopathic and (F) Crohn’s disease patients.</w:t>
      </w:r>
      <w:bookmarkEnd w:id="238"/>
      <w:r w:rsidRPr="007018B5">
        <w:rPr>
          <w:b w:val="0"/>
          <w:sz w:val="24"/>
          <w:szCs w:val="24"/>
          <w:lang w:val="en-US"/>
        </w:rPr>
        <w:t xml:space="preserve"> G</w:t>
      </w:r>
      <w:r w:rsidR="00DE41AD">
        <w:rPr>
          <w:b w:val="0"/>
          <w:sz w:val="24"/>
          <w:szCs w:val="24"/>
          <w:lang w:val="en-US"/>
        </w:rPr>
        <w:t>:</w:t>
      </w:r>
      <w:r w:rsidRPr="007018B5">
        <w:rPr>
          <w:b w:val="0"/>
          <w:sz w:val="24"/>
          <w:szCs w:val="24"/>
          <w:lang w:val="en-US"/>
        </w:rPr>
        <w:t xml:space="preserve"> </w:t>
      </w:r>
      <w:r w:rsidR="00500CFC" w:rsidRPr="007018B5">
        <w:rPr>
          <w:b w:val="0"/>
          <w:sz w:val="24"/>
          <w:szCs w:val="24"/>
          <w:lang w:val="en-US"/>
        </w:rPr>
        <w:t>C</w:t>
      </w:r>
      <w:r w:rsidRPr="007018B5">
        <w:rPr>
          <w:b w:val="0"/>
          <w:sz w:val="24"/>
          <w:szCs w:val="24"/>
          <w:lang w:val="en-US"/>
        </w:rPr>
        <w:t xml:space="preserve">ontrol array containing lysis buffer only, showing an absent signal from all </w:t>
      </w:r>
      <w:r w:rsidR="00500CFC" w:rsidRPr="007018B5">
        <w:rPr>
          <w:b w:val="0"/>
          <w:sz w:val="24"/>
          <w:szCs w:val="24"/>
          <w:lang w:val="en-US"/>
        </w:rPr>
        <w:t xml:space="preserve">test </w:t>
      </w:r>
      <w:r w:rsidRPr="007018B5">
        <w:rPr>
          <w:b w:val="0"/>
          <w:sz w:val="24"/>
          <w:szCs w:val="24"/>
          <w:lang w:val="en-US"/>
        </w:rPr>
        <w:t>spots</w:t>
      </w:r>
      <w:r w:rsidR="00500CFC" w:rsidRPr="007018B5">
        <w:rPr>
          <w:b w:val="0"/>
          <w:sz w:val="24"/>
          <w:szCs w:val="24"/>
          <w:lang w:val="en-US"/>
        </w:rPr>
        <w:t xml:space="preserve"> and the negative control spots (-)</w:t>
      </w:r>
      <w:r w:rsidRPr="007018B5">
        <w:rPr>
          <w:b w:val="0"/>
          <w:sz w:val="24"/>
          <w:szCs w:val="24"/>
          <w:lang w:val="en-US"/>
        </w:rPr>
        <w:t xml:space="preserve">, </w:t>
      </w:r>
      <w:r w:rsidR="00500CFC" w:rsidRPr="007018B5">
        <w:rPr>
          <w:b w:val="0"/>
          <w:sz w:val="24"/>
          <w:szCs w:val="24"/>
          <w:lang w:val="en-US"/>
        </w:rPr>
        <w:t>and 100% signal from the</w:t>
      </w:r>
      <w:r w:rsidRPr="007018B5">
        <w:rPr>
          <w:b w:val="0"/>
          <w:sz w:val="24"/>
          <w:szCs w:val="24"/>
          <w:lang w:val="en-US"/>
        </w:rPr>
        <w:t xml:space="preserve"> positive control spots</w:t>
      </w:r>
      <w:r w:rsidR="00CF4A49" w:rsidRPr="007018B5">
        <w:rPr>
          <w:b w:val="0"/>
          <w:sz w:val="24"/>
          <w:szCs w:val="24"/>
          <w:lang w:val="en-US"/>
        </w:rPr>
        <w:t xml:space="preserve"> </w:t>
      </w:r>
      <w:r w:rsidR="00500CFC" w:rsidRPr="007018B5">
        <w:rPr>
          <w:b w:val="0"/>
          <w:sz w:val="24"/>
          <w:szCs w:val="24"/>
          <w:lang w:val="en-US"/>
        </w:rPr>
        <w:t>(+)</w:t>
      </w:r>
      <w:r w:rsidR="00504A91">
        <w:rPr>
          <w:b w:val="0"/>
          <w:sz w:val="24"/>
          <w:szCs w:val="24"/>
          <w:lang w:val="en-US"/>
        </w:rPr>
        <w:t>;</w:t>
      </w:r>
      <w:r w:rsidRPr="007018B5">
        <w:rPr>
          <w:b w:val="0"/>
          <w:sz w:val="24"/>
          <w:szCs w:val="24"/>
          <w:lang w:val="en-US"/>
        </w:rPr>
        <w:t xml:space="preserve"> H</w:t>
      </w:r>
      <w:r w:rsidR="00DE41AD">
        <w:rPr>
          <w:b w:val="0"/>
          <w:sz w:val="24"/>
          <w:szCs w:val="24"/>
          <w:lang w:val="en-US"/>
        </w:rPr>
        <w:t>:</w:t>
      </w:r>
      <w:r w:rsidRPr="007018B5">
        <w:rPr>
          <w:b w:val="0"/>
          <w:sz w:val="24"/>
          <w:szCs w:val="24"/>
          <w:lang w:val="en-US"/>
        </w:rPr>
        <w:t xml:space="preserve"> Healthy control rectal mucosa showing positive signal from numerous spots including EphA1 (19), EphB1 (22), EphB4 (24), Tyro3/</w:t>
      </w:r>
      <w:proofErr w:type="spellStart"/>
      <w:r w:rsidRPr="007018B5">
        <w:rPr>
          <w:b w:val="0"/>
          <w:sz w:val="24"/>
          <w:szCs w:val="24"/>
          <w:lang w:val="en-US"/>
        </w:rPr>
        <w:t>Dtk</w:t>
      </w:r>
      <w:proofErr w:type="spellEnd"/>
      <w:r w:rsidRPr="007018B5">
        <w:rPr>
          <w:b w:val="0"/>
          <w:sz w:val="24"/>
          <w:szCs w:val="24"/>
          <w:lang w:val="en-US"/>
        </w:rPr>
        <w:t xml:space="preserve"> (25) and VEGFR (28)</w:t>
      </w:r>
      <w:r w:rsidR="00504A91">
        <w:rPr>
          <w:b w:val="0"/>
          <w:sz w:val="24"/>
          <w:szCs w:val="24"/>
          <w:lang w:val="en-US"/>
        </w:rPr>
        <w:t>;</w:t>
      </w:r>
      <w:r w:rsidRPr="007018B5">
        <w:rPr>
          <w:b w:val="0"/>
          <w:sz w:val="24"/>
          <w:szCs w:val="24"/>
          <w:lang w:val="en-US"/>
        </w:rPr>
        <w:t xml:space="preserve"> I</w:t>
      </w:r>
      <w:r w:rsidR="00DE41AD">
        <w:rPr>
          <w:b w:val="0"/>
          <w:sz w:val="24"/>
          <w:szCs w:val="24"/>
          <w:lang w:val="en-US"/>
        </w:rPr>
        <w:t>:</w:t>
      </w:r>
      <w:r w:rsidRPr="007018B5">
        <w:rPr>
          <w:b w:val="0"/>
          <w:sz w:val="24"/>
          <w:szCs w:val="24"/>
          <w:lang w:val="en-US"/>
        </w:rPr>
        <w:t xml:space="preserve"> Idiopathic rectal mucosa showing significantly lower signal from the same highlighted spots</w:t>
      </w:r>
      <w:r w:rsidR="00504A91">
        <w:rPr>
          <w:b w:val="0"/>
          <w:sz w:val="24"/>
          <w:szCs w:val="24"/>
          <w:lang w:val="en-US"/>
        </w:rPr>
        <w:t>;</w:t>
      </w:r>
      <w:r w:rsidRPr="007018B5">
        <w:rPr>
          <w:b w:val="0"/>
          <w:sz w:val="24"/>
          <w:szCs w:val="24"/>
          <w:lang w:val="en-US"/>
        </w:rPr>
        <w:t xml:space="preserve"> J</w:t>
      </w:r>
      <w:r w:rsidR="00DE41AD">
        <w:rPr>
          <w:b w:val="0"/>
          <w:sz w:val="24"/>
          <w:szCs w:val="24"/>
          <w:lang w:val="en-US"/>
        </w:rPr>
        <w:t>:</w:t>
      </w:r>
      <w:r w:rsidRPr="007018B5">
        <w:rPr>
          <w:b w:val="0"/>
          <w:sz w:val="24"/>
          <w:szCs w:val="24"/>
          <w:lang w:val="en-US"/>
        </w:rPr>
        <w:t xml:space="preserve"> Crohn’s disease rectal mucosa, again showing significantly lower signal from the same highlighted spots.</w:t>
      </w:r>
    </w:p>
    <w:p w14:paraId="352C3ABB" w14:textId="29B3B2C6" w:rsidR="00576490" w:rsidRPr="007018B5" w:rsidRDefault="00576490" w:rsidP="007E3B89">
      <w:pPr>
        <w:adjustRightInd w:val="0"/>
        <w:snapToGrid w:val="0"/>
        <w:spacing w:before="0" w:after="0"/>
        <w:jc w:val="both"/>
        <w:rPr>
          <w:szCs w:val="24"/>
          <w:lang w:val="en-US" w:eastAsia="en-GB"/>
        </w:rPr>
      </w:pPr>
    </w:p>
    <w:sectPr w:rsidR="00576490" w:rsidRPr="007018B5" w:rsidSect="006F4478">
      <w:footerReference w:type="default" r:id="rId13"/>
      <w:pgSz w:w="11900" w:h="16820"/>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42F2" w14:textId="77777777" w:rsidR="00E27D39" w:rsidRDefault="00E27D39" w:rsidP="00F10BB2">
      <w:pPr>
        <w:spacing w:before="0" w:after="0"/>
      </w:pPr>
      <w:r>
        <w:separator/>
      </w:r>
    </w:p>
  </w:endnote>
  <w:endnote w:type="continuationSeparator" w:id="0">
    <w:p w14:paraId="3D3DF38A" w14:textId="77777777" w:rsidR="00E27D39" w:rsidRDefault="00E27D39" w:rsidP="00F10BB2">
      <w:pPr>
        <w:spacing w:before="0" w:after="0"/>
      </w:pPr>
      <w:r>
        <w:continuationSeparator/>
      </w:r>
    </w:p>
  </w:endnote>
  <w:endnote w:type="continuationNotice" w:id="1">
    <w:p w14:paraId="0FBFB4C5" w14:textId="77777777" w:rsidR="00E27D39" w:rsidRDefault="00E27D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
    <w:altName w:val="Yu Gothic"/>
    <w:panose1 w:val="020B0604020202020204"/>
    <w:charset w:val="80"/>
    <w:family w:val="auto"/>
    <w:pitch w:val="variable"/>
    <w:sig w:usb0="00000001" w:usb1="08070000" w:usb2="00000010" w:usb3="00000000" w:csb0="00020000" w:csb1="00000000"/>
  </w:font>
  <w:font w:name="Helvetica">
    <w:panose1 w:val="00000000000000000000"/>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20B0604020202020204"/>
    <w:charset w:val="88"/>
    <w:family w:val="auto"/>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ACF3C52" w:usb2="00000016" w:usb3="00000000" w:csb0="0004001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A042" w14:textId="0BAD269A" w:rsidR="00A17EAD" w:rsidRPr="00C64F71" w:rsidRDefault="00A17EAD" w:rsidP="001A6837">
    <w:pPr>
      <w:pStyle w:val="Footer"/>
      <w:tabs>
        <w:tab w:val="clear" w:pos="4513"/>
        <w:tab w:val="clear" w:pos="9026"/>
        <w:tab w:val="right" w:pos="8222"/>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6E2B" w14:textId="77777777" w:rsidR="00E27D39" w:rsidRDefault="00E27D39" w:rsidP="00F10BB2">
      <w:pPr>
        <w:spacing w:before="0" w:after="0"/>
      </w:pPr>
      <w:r>
        <w:separator/>
      </w:r>
    </w:p>
  </w:footnote>
  <w:footnote w:type="continuationSeparator" w:id="0">
    <w:p w14:paraId="627C9D05" w14:textId="77777777" w:rsidR="00E27D39" w:rsidRDefault="00E27D39" w:rsidP="00F10BB2">
      <w:pPr>
        <w:spacing w:before="0" w:after="0"/>
      </w:pPr>
      <w:r>
        <w:continuationSeparator/>
      </w:r>
    </w:p>
  </w:footnote>
  <w:footnote w:type="continuationNotice" w:id="1">
    <w:p w14:paraId="6DC2F3B7" w14:textId="77777777" w:rsidR="00E27D39" w:rsidRDefault="00E27D3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CA2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8642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440F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D72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8635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4E0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EEC8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147B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2ADD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4837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DE02C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40B9"/>
    <w:multiLevelType w:val="multilevel"/>
    <w:tmpl w:val="52E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153AB"/>
    <w:multiLevelType w:val="multilevel"/>
    <w:tmpl w:val="2EB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22CAB"/>
    <w:multiLevelType w:val="multilevel"/>
    <w:tmpl w:val="AE1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25CCF"/>
    <w:multiLevelType w:val="hybridMultilevel"/>
    <w:tmpl w:val="998071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E45AAC"/>
    <w:multiLevelType w:val="multilevel"/>
    <w:tmpl w:val="714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A7EEA"/>
    <w:multiLevelType w:val="multilevel"/>
    <w:tmpl w:val="7AA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67497"/>
    <w:multiLevelType w:val="multilevel"/>
    <w:tmpl w:val="065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20F00"/>
    <w:multiLevelType w:val="multilevel"/>
    <w:tmpl w:val="6942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02BD3"/>
    <w:multiLevelType w:val="hybridMultilevel"/>
    <w:tmpl w:val="11F4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A57AF"/>
    <w:multiLevelType w:val="multilevel"/>
    <w:tmpl w:val="2C7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D5879"/>
    <w:multiLevelType w:val="multilevel"/>
    <w:tmpl w:val="B59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73DEF"/>
    <w:multiLevelType w:val="multilevel"/>
    <w:tmpl w:val="5DD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00DDB"/>
    <w:multiLevelType w:val="multilevel"/>
    <w:tmpl w:val="9ED8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84FD5"/>
    <w:multiLevelType w:val="multilevel"/>
    <w:tmpl w:val="E18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27558"/>
    <w:multiLevelType w:val="hybridMultilevel"/>
    <w:tmpl w:val="EC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D470A"/>
    <w:multiLevelType w:val="hybridMultilevel"/>
    <w:tmpl w:val="3A265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046A"/>
    <w:multiLevelType w:val="multilevel"/>
    <w:tmpl w:val="F34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B6DC4"/>
    <w:multiLevelType w:val="multilevel"/>
    <w:tmpl w:val="8774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B17D0"/>
    <w:multiLevelType w:val="multilevel"/>
    <w:tmpl w:val="59B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053EC"/>
    <w:multiLevelType w:val="multilevel"/>
    <w:tmpl w:val="7EE6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B4D99"/>
    <w:multiLevelType w:val="multilevel"/>
    <w:tmpl w:val="3E48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22AEC"/>
    <w:multiLevelType w:val="hybridMultilevel"/>
    <w:tmpl w:val="96F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25704"/>
    <w:multiLevelType w:val="hybridMultilevel"/>
    <w:tmpl w:val="D720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B4C14"/>
    <w:multiLevelType w:val="multilevel"/>
    <w:tmpl w:val="BB06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E1D37"/>
    <w:multiLevelType w:val="hybridMultilevel"/>
    <w:tmpl w:val="14A2DD1E"/>
    <w:lvl w:ilvl="0" w:tplc="6588744A">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3E38C6"/>
    <w:multiLevelType w:val="multilevel"/>
    <w:tmpl w:val="6AEE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33596"/>
    <w:multiLevelType w:val="multilevel"/>
    <w:tmpl w:val="F8C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D240D"/>
    <w:multiLevelType w:val="multilevel"/>
    <w:tmpl w:val="5B72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3666F"/>
    <w:multiLevelType w:val="multilevel"/>
    <w:tmpl w:val="186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6407E"/>
    <w:multiLevelType w:val="hybridMultilevel"/>
    <w:tmpl w:val="B448E0B0"/>
    <w:lvl w:ilvl="0" w:tplc="08090001">
      <w:start w:val="14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77A52"/>
    <w:multiLevelType w:val="hybridMultilevel"/>
    <w:tmpl w:val="EB52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30C2A"/>
    <w:multiLevelType w:val="hybridMultilevel"/>
    <w:tmpl w:val="97F6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20"/>
  </w:num>
  <w:num w:numId="4">
    <w:abstractNumId w:val="38"/>
  </w:num>
  <w:num w:numId="5">
    <w:abstractNumId w:val="16"/>
  </w:num>
  <w:num w:numId="6">
    <w:abstractNumId w:val="39"/>
  </w:num>
  <w:num w:numId="7">
    <w:abstractNumId w:val="37"/>
  </w:num>
  <w:num w:numId="8">
    <w:abstractNumId w:val="34"/>
  </w:num>
  <w:num w:numId="9">
    <w:abstractNumId w:val="22"/>
  </w:num>
  <w:num w:numId="10">
    <w:abstractNumId w:val="21"/>
  </w:num>
  <w:num w:numId="11">
    <w:abstractNumId w:val="28"/>
  </w:num>
  <w:num w:numId="12">
    <w:abstractNumId w:val="13"/>
  </w:num>
  <w:num w:numId="13">
    <w:abstractNumId w:val="30"/>
  </w:num>
  <w:num w:numId="14">
    <w:abstractNumId w:val="11"/>
  </w:num>
  <w:num w:numId="15">
    <w:abstractNumId w:val="31"/>
  </w:num>
  <w:num w:numId="16">
    <w:abstractNumId w:val="29"/>
  </w:num>
  <w:num w:numId="17">
    <w:abstractNumId w:val="24"/>
  </w:num>
  <w:num w:numId="18">
    <w:abstractNumId w:val="23"/>
  </w:num>
  <w:num w:numId="19">
    <w:abstractNumId w:val="18"/>
  </w:num>
  <w:num w:numId="20">
    <w:abstractNumId w:val="36"/>
  </w:num>
  <w:num w:numId="21">
    <w:abstractNumId w:val="17"/>
  </w:num>
  <w:num w:numId="22">
    <w:abstractNumId w:val="27"/>
  </w:num>
  <w:num w:numId="23">
    <w:abstractNumId w:val="40"/>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19"/>
  </w:num>
  <w:num w:numId="35">
    <w:abstractNumId w:val="0"/>
  </w:num>
  <w:num w:numId="36">
    <w:abstractNumId w:val="33"/>
  </w:num>
  <w:num w:numId="37">
    <w:abstractNumId w:val="42"/>
  </w:num>
  <w:num w:numId="38">
    <w:abstractNumId w:val="32"/>
  </w:num>
  <w:num w:numId="39">
    <w:abstractNumId w:val="25"/>
  </w:num>
  <w:num w:numId="40">
    <w:abstractNumId w:val="14"/>
  </w:num>
  <w:num w:numId="41">
    <w:abstractNumId w:val="26"/>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hideGrammatical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activeWritingStyle w:appName="MSWord" w:lang="it-IT"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srrd25aawww1ea90uv05audtassfwvpw9f&quot;&gt;sas&lt;record-ids&gt;&lt;item&gt;3&lt;/item&gt;&lt;/record-ids&gt;&lt;/item&gt;&lt;/Libraries&gt;"/>
  </w:docVars>
  <w:rsids>
    <w:rsidRoot w:val="00DC5F05"/>
    <w:rsid w:val="000004F4"/>
    <w:rsid w:val="00000DBA"/>
    <w:rsid w:val="0000184D"/>
    <w:rsid w:val="00001FD1"/>
    <w:rsid w:val="00007581"/>
    <w:rsid w:val="00007687"/>
    <w:rsid w:val="00007AAB"/>
    <w:rsid w:val="00007E42"/>
    <w:rsid w:val="00007EBD"/>
    <w:rsid w:val="000106B9"/>
    <w:rsid w:val="00011467"/>
    <w:rsid w:val="00011D51"/>
    <w:rsid w:val="00012802"/>
    <w:rsid w:val="00012F2F"/>
    <w:rsid w:val="00013CF2"/>
    <w:rsid w:val="000144A6"/>
    <w:rsid w:val="00015461"/>
    <w:rsid w:val="00015CB1"/>
    <w:rsid w:val="000162BC"/>
    <w:rsid w:val="00017335"/>
    <w:rsid w:val="00017889"/>
    <w:rsid w:val="000178FD"/>
    <w:rsid w:val="0002234A"/>
    <w:rsid w:val="00022759"/>
    <w:rsid w:val="00022EC5"/>
    <w:rsid w:val="00026A98"/>
    <w:rsid w:val="0002730F"/>
    <w:rsid w:val="0003031E"/>
    <w:rsid w:val="000314E6"/>
    <w:rsid w:val="00032237"/>
    <w:rsid w:val="0003247B"/>
    <w:rsid w:val="00032A00"/>
    <w:rsid w:val="00033F18"/>
    <w:rsid w:val="00034698"/>
    <w:rsid w:val="000357E7"/>
    <w:rsid w:val="000357FD"/>
    <w:rsid w:val="00035D79"/>
    <w:rsid w:val="00036136"/>
    <w:rsid w:val="00036FA2"/>
    <w:rsid w:val="0003747C"/>
    <w:rsid w:val="000377F5"/>
    <w:rsid w:val="0004184A"/>
    <w:rsid w:val="000438CF"/>
    <w:rsid w:val="00045003"/>
    <w:rsid w:val="00045203"/>
    <w:rsid w:val="000469C8"/>
    <w:rsid w:val="00047BF5"/>
    <w:rsid w:val="00051442"/>
    <w:rsid w:val="000523C8"/>
    <w:rsid w:val="00052DF8"/>
    <w:rsid w:val="00053DAF"/>
    <w:rsid w:val="0005648A"/>
    <w:rsid w:val="00061640"/>
    <w:rsid w:val="00061743"/>
    <w:rsid w:val="00061F3F"/>
    <w:rsid w:val="00062A93"/>
    <w:rsid w:val="00062DAA"/>
    <w:rsid w:val="000631B8"/>
    <w:rsid w:val="000642E3"/>
    <w:rsid w:val="00064C65"/>
    <w:rsid w:val="000664B8"/>
    <w:rsid w:val="00070323"/>
    <w:rsid w:val="00070F2B"/>
    <w:rsid w:val="0007180D"/>
    <w:rsid w:val="00072822"/>
    <w:rsid w:val="00073B24"/>
    <w:rsid w:val="00073EF4"/>
    <w:rsid w:val="000744CE"/>
    <w:rsid w:val="00074DD3"/>
    <w:rsid w:val="000750F7"/>
    <w:rsid w:val="00075608"/>
    <w:rsid w:val="00076484"/>
    <w:rsid w:val="00076A5B"/>
    <w:rsid w:val="00076DD0"/>
    <w:rsid w:val="000773CB"/>
    <w:rsid w:val="0008027C"/>
    <w:rsid w:val="00080A0D"/>
    <w:rsid w:val="00081FCF"/>
    <w:rsid w:val="00083A5F"/>
    <w:rsid w:val="000847D7"/>
    <w:rsid w:val="000860BF"/>
    <w:rsid w:val="000906F3"/>
    <w:rsid w:val="00090DE6"/>
    <w:rsid w:val="00091767"/>
    <w:rsid w:val="00092C5D"/>
    <w:rsid w:val="0009311A"/>
    <w:rsid w:val="0009361E"/>
    <w:rsid w:val="0009382E"/>
    <w:rsid w:val="00095AD8"/>
    <w:rsid w:val="00095E35"/>
    <w:rsid w:val="000977D0"/>
    <w:rsid w:val="000978FE"/>
    <w:rsid w:val="000A0C23"/>
    <w:rsid w:val="000A1A5C"/>
    <w:rsid w:val="000A2D53"/>
    <w:rsid w:val="000A320B"/>
    <w:rsid w:val="000A4032"/>
    <w:rsid w:val="000A4223"/>
    <w:rsid w:val="000A57DF"/>
    <w:rsid w:val="000A5E17"/>
    <w:rsid w:val="000B0B66"/>
    <w:rsid w:val="000B2DD1"/>
    <w:rsid w:val="000B5EFA"/>
    <w:rsid w:val="000C021B"/>
    <w:rsid w:val="000C3604"/>
    <w:rsid w:val="000C40D0"/>
    <w:rsid w:val="000C5EC4"/>
    <w:rsid w:val="000C7CE8"/>
    <w:rsid w:val="000D467E"/>
    <w:rsid w:val="000D486A"/>
    <w:rsid w:val="000D4B00"/>
    <w:rsid w:val="000D5D9F"/>
    <w:rsid w:val="000D615C"/>
    <w:rsid w:val="000D637B"/>
    <w:rsid w:val="000D6660"/>
    <w:rsid w:val="000D666B"/>
    <w:rsid w:val="000D68B0"/>
    <w:rsid w:val="000D782F"/>
    <w:rsid w:val="000D7EF5"/>
    <w:rsid w:val="000E0CA4"/>
    <w:rsid w:val="000E2280"/>
    <w:rsid w:val="000E73FC"/>
    <w:rsid w:val="000E76B3"/>
    <w:rsid w:val="000E7B6F"/>
    <w:rsid w:val="000F0BC0"/>
    <w:rsid w:val="000F3D39"/>
    <w:rsid w:val="000F3EFE"/>
    <w:rsid w:val="000F4D89"/>
    <w:rsid w:val="000F6A19"/>
    <w:rsid w:val="000F7FDE"/>
    <w:rsid w:val="00101AB1"/>
    <w:rsid w:val="00103054"/>
    <w:rsid w:val="0010384E"/>
    <w:rsid w:val="00105762"/>
    <w:rsid w:val="0010777E"/>
    <w:rsid w:val="0011060B"/>
    <w:rsid w:val="0011138D"/>
    <w:rsid w:val="00112AE2"/>
    <w:rsid w:val="001146EB"/>
    <w:rsid w:val="00116796"/>
    <w:rsid w:val="001169CC"/>
    <w:rsid w:val="00117632"/>
    <w:rsid w:val="00117B9A"/>
    <w:rsid w:val="00117DE1"/>
    <w:rsid w:val="0012202C"/>
    <w:rsid w:val="00123AEE"/>
    <w:rsid w:val="00131850"/>
    <w:rsid w:val="00132651"/>
    <w:rsid w:val="0013609F"/>
    <w:rsid w:val="00137B48"/>
    <w:rsid w:val="00137B77"/>
    <w:rsid w:val="00142FFB"/>
    <w:rsid w:val="00143749"/>
    <w:rsid w:val="0014397B"/>
    <w:rsid w:val="001459A9"/>
    <w:rsid w:val="00146CC4"/>
    <w:rsid w:val="00152A33"/>
    <w:rsid w:val="00155CD1"/>
    <w:rsid w:val="00156490"/>
    <w:rsid w:val="0015720C"/>
    <w:rsid w:val="00157CC2"/>
    <w:rsid w:val="0016073A"/>
    <w:rsid w:val="0016248C"/>
    <w:rsid w:val="001629C0"/>
    <w:rsid w:val="0016454B"/>
    <w:rsid w:val="00164CA0"/>
    <w:rsid w:val="0016638D"/>
    <w:rsid w:val="001667EF"/>
    <w:rsid w:val="00166EF2"/>
    <w:rsid w:val="001720B4"/>
    <w:rsid w:val="0017217F"/>
    <w:rsid w:val="001722F5"/>
    <w:rsid w:val="001733DA"/>
    <w:rsid w:val="001753CE"/>
    <w:rsid w:val="00175B37"/>
    <w:rsid w:val="001768DD"/>
    <w:rsid w:val="001819AD"/>
    <w:rsid w:val="00182520"/>
    <w:rsid w:val="00182711"/>
    <w:rsid w:val="001837CF"/>
    <w:rsid w:val="001838BF"/>
    <w:rsid w:val="00183F42"/>
    <w:rsid w:val="00184293"/>
    <w:rsid w:val="001869BA"/>
    <w:rsid w:val="0018740C"/>
    <w:rsid w:val="001908BC"/>
    <w:rsid w:val="00190A50"/>
    <w:rsid w:val="00191F25"/>
    <w:rsid w:val="00192234"/>
    <w:rsid w:val="00193270"/>
    <w:rsid w:val="00193287"/>
    <w:rsid w:val="00194072"/>
    <w:rsid w:val="00197EC9"/>
    <w:rsid w:val="001A0A8E"/>
    <w:rsid w:val="001A1416"/>
    <w:rsid w:val="001A2132"/>
    <w:rsid w:val="001A2944"/>
    <w:rsid w:val="001A5431"/>
    <w:rsid w:val="001A60AE"/>
    <w:rsid w:val="001A6837"/>
    <w:rsid w:val="001A6CF6"/>
    <w:rsid w:val="001B2705"/>
    <w:rsid w:val="001B32A2"/>
    <w:rsid w:val="001B3D2B"/>
    <w:rsid w:val="001B48A4"/>
    <w:rsid w:val="001B4BEC"/>
    <w:rsid w:val="001B4DF3"/>
    <w:rsid w:val="001B5D16"/>
    <w:rsid w:val="001B6092"/>
    <w:rsid w:val="001B6B07"/>
    <w:rsid w:val="001C0760"/>
    <w:rsid w:val="001C2FC4"/>
    <w:rsid w:val="001C47CB"/>
    <w:rsid w:val="001C4808"/>
    <w:rsid w:val="001C5544"/>
    <w:rsid w:val="001C57C3"/>
    <w:rsid w:val="001C6B7E"/>
    <w:rsid w:val="001D3938"/>
    <w:rsid w:val="001D722C"/>
    <w:rsid w:val="001E04E9"/>
    <w:rsid w:val="001E2D76"/>
    <w:rsid w:val="001E3157"/>
    <w:rsid w:val="001E42AD"/>
    <w:rsid w:val="001E459D"/>
    <w:rsid w:val="001E5427"/>
    <w:rsid w:val="001E55C9"/>
    <w:rsid w:val="001E6530"/>
    <w:rsid w:val="001E79DD"/>
    <w:rsid w:val="001F0CFC"/>
    <w:rsid w:val="001F3A44"/>
    <w:rsid w:val="001F64D8"/>
    <w:rsid w:val="001F7EFE"/>
    <w:rsid w:val="00200606"/>
    <w:rsid w:val="002012B2"/>
    <w:rsid w:val="00202667"/>
    <w:rsid w:val="002056CA"/>
    <w:rsid w:val="00205CD4"/>
    <w:rsid w:val="00205E33"/>
    <w:rsid w:val="002101F1"/>
    <w:rsid w:val="0021261A"/>
    <w:rsid w:val="002128D3"/>
    <w:rsid w:val="00214059"/>
    <w:rsid w:val="00215D15"/>
    <w:rsid w:val="00216ED0"/>
    <w:rsid w:val="0021736E"/>
    <w:rsid w:val="002176AB"/>
    <w:rsid w:val="002176DE"/>
    <w:rsid w:val="002178B6"/>
    <w:rsid w:val="00217CF0"/>
    <w:rsid w:val="00220323"/>
    <w:rsid w:val="002219D7"/>
    <w:rsid w:val="0022278B"/>
    <w:rsid w:val="00222E44"/>
    <w:rsid w:val="00223825"/>
    <w:rsid w:val="00224C57"/>
    <w:rsid w:val="002258D7"/>
    <w:rsid w:val="00225C92"/>
    <w:rsid w:val="0022640E"/>
    <w:rsid w:val="00226723"/>
    <w:rsid w:val="0023068D"/>
    <w:rsid w:val="00230B66"/>
    <w:rsid w:val="00230FE2"/>
    <w:rsid w:val="0023257D"/>
    <w:rsid w:val="00232913"/>
    <w:rsid w:val="00236A53"/>
    <w:rsid w:val="00236DA0"/>
    <w:rsid w:val="00237D4E"/>
    <w:rsid w:val="00237DBE"/>
    <w:rsid w:val="002420D0"/>
    <w:rsid w:val="00243156"/>
    <w:rsid w:val="00243FE8"/>
    <w:rsid w:val="002445A0"/>
    <w:rsid w:val="00250302"/>
    <w:rsid w:val="00250426"/>
    <w:rsid w:val="00251FF4"/>
    <w:rsid w:val="00252A73"/>
    <w:rsid w:val="002535A3"/>
    <w:rsid w:val="002537F0"/>
    <w:rsid w:val="002554A5"/>
    <w:rsid w:val="0025600E"/>
    <w:rsid w:val="002566E8"/>
    <w:rsid w:val="00256B1E"/>
    <w:rsid w:val="00257281"/>
    <w:rsid w:val="002600FF"/>
    <w:rsid w:val="00263198"/>
    <w:rsid w:val="0026432B"/>
    <w:rsid w:val="00264DC6"/>
    <w:rsid w:val="002653B1"/>
    <w:rsid w:val="0026651F"/>
    <w:rsid w:val="00267719"/>
    <w:rsid w:val="00267794"/>
    <w:rsid w:val="002678AC"/>
    <w:rsid w:val="002742FB"/>
    <w:rsid w:val="002748C0"/>
    <w:rsid w:val="0027522A"/>
    <w:rsid w:val="00276F21"/>
    <w:rsid w:val="00277729"/>
    <w:rsid w:val="0028068F"/>
    <w:rsid w:val="0028255C"/>
    <w:rsid w:val="00283FF1"/>
    <w:rsid w:val="00284292"/>
    <w:rsid w:val="002862DE"/>
    <w:rsid w:val="00290211"/>
    <w:rsid w:val="00290ACD"/>
    <w:rsid w:val="00291A90"/>
    <w:rsid w:val="00291F7E"/>
    <w:rsid w:val="002927DA"/>
    <w:rsid w:val="0029415A"/>
    <w:rsid w:val="002945FB"/>
    <w:rsid w:val="002949BE"/>
    <w:rsid w:val="002A0B35"/>
    <w:rsid w:val="002A171C"/>
    <w:rsid w:val="002A30E2"/>
    <w:rsid w:val="002A5EA4"/>
    <w:rsid w:val="002B17AE"/>
    <w:rsid w:val="002B197F"/>
    <w:rsid w:val="002B2755"/>
    <w:rsid w:val="002B4B0D"/>
    <w:rsid w:val="002B5A9F"/>
    <w:rsid w:val="002B5F42"/>
    <w:rsid w:val="002B6C6D"/>
    <w:rsid w:val="002B71BA"/>
    <w:rsid w:val="002B786B"/>
    <w:rsid w:val="002C1432"/>
    <w:rsid w:val="002C1C09"/>
    <w:rsid w:val="002C250E"/>
    <w:rsid w:val="002C2C70"/>
    <w:rsid w:val="002C3945"/>
    <w:rsid w:val="002C3D42"/>
    <w:rsid w:val="002C3DB5"/>
    <w:rsid w:val="002C6E2A"/>
    <w:rsid w:val="002D0C10"/>
    <w:rsid w:val="002D2421"/>
    <w:rsid w:val="002D4616"/>
    <w:rsid w:val="002D464E"/>
    <w:rsid w:val="002D4EDC"/>
    <w:rsid w:val="002D5DC0"/>
    <w:rsid w:val="002D7238"/>
    <w:rsid w:val="002D74D5"/>
    <w:rsid w:val="002E094A"/>
    <w:rsid w:val="002E1301"/>
    <w:rsid w:val="002E19F7"/>
    <w:rsid w:val="002E2C67"/>
    <w:rsid w:val="002E4A9C"/>
    <w:rsid w:val="002E4F63"/>
    <w:rsid w:val="002E52A4"/>
    <w:rsid w:val="002E6C7E"/>
    <w:rsid w:val="002E7BC1"/>
    <w:rsid w:val="002F0822"/>
    <w:rsid w:val="002F0949"/>
    <w:rsid w:val="002F1338"/>
    <w:rsid w:val="002F2B54"/>
    <w:rsid w:val="002F3484"/>
    <w:rsid w:val="002F3CE2"/>
    <w:rsid w:val="002F43E7"/>
    <w:rsid w:val="002F5B5F"/>
    <w:rsid w:val="002F6104"/>
    <w:rsid w:val="002F63F0"/>
    <w:rsid w:val="002F77BC"/>
    <w:rsid w:val="002F78AD"/>
    <w:rsid w:val="002F7D7F"/>
    <w:rsid w:val="003019F5"/>
    <w:rsid w:val="0030271D"/>
    <w:rsid w:val="00302A6B"/>
    <w:rsid w:val="00305490"/>
    <w:rsid w:val="003056C1"/>
    <w:rsid w:val="0030656E"/>
    <w:rsid w:val="00307C62"/>
    <w:rsid w:val="0031018E"/>
    <w:rsid w:val="003101E3"/>
    <w:rsid w:val="00310E5B"/>
    <w:rsid w:val="00311A5A"/>
    <w:rsid w:val="00313077"/>
    <w:rsid w:val="0031369A"/>
    <w:rsid w:val="003151FC"/>
    <w:rsid w:val="003160F7"/>
    <w:rsid w:val="003225DA"/>
    <w:rsid w:val="00322997"/>
    <w:rsid w:val="0032345B"/>
    <w:rsid w:val="00325F91"/>
    <w:rsid w:val="00327EC7"/>
    <w:rsid w:val="00330A02"/>
    <w:rsid w:val="00331B5E"/>
    <w:rsid w:val="00332FFC"/>
    <w:rsid w:val="00333BB4"/>
    <w:rsid w:val="00334DBE"/>
    <w:rsid w:val="0033514E"/>
    <w:rsid w:val="003354F0"/>
    <w:rsid w:val="003362C9"/>
    <w:rsid w:val="00336509"/>
    <w:rsid w:val="0033682E"/>
    <w:rsid w:val="00340044"/>
    <w:rsid w:val="003422AB"/>
    <w:rsid w:val="00342499"/>
    <w:rsid w:val="0034383A"/>
    <w:rsid w:val="00346249"/>
    <w:rsid w:val="00346597"/>
    <w:rsid w:val="003476EB"/>
    <w:rsid w:val="003476EC"/>
    <w:rsid w:val="003502FF"/>
    <w:rsid w:val="00350F79"/>
    <w:rsid w:val="00355A39"/>
    <w:rsid w:val="0035715A"/>
    <w:rsid w:val="00360B94"/>
    <w:rsid w:val="00360D06"/>
    <w:rsid w:val="0036194A"/>
    <w:rsid w:val="00363D5C"/>
    <w:rsid w:val="00363E3E"/>
    <w:rsid w:val="00365563"/>
    <w:rsid w:val="00366D50"/>
    <w:rsid w:val="00367007"/>
    <w:rsid w:val="003670BE"/>
    <w:rsid w:val="00370FFC"/>
    <w:rsid w:val="0037106C"/>
    <w:rsid w:val="0037141A"/>
    <w:rsid w:val="00371ADB"/>
    <w:rsid w:val="0037299D"/>
    <w:rsid w:val="003738E2"/>
    <w:rsid w:val="00374136"/>
    <w:rsid w:val="00374B78"/>
    <w:rsid w:val="003764BB"/>
    <w:rsid w:val="00377051"/>
    <w:rsid w:val="00380F16"/>
    <w:rsid w:val="003825EE"/>
    <w:rsid w:val="00382644"/>
    <w:rsid w:val="00383380"/>
    <w:rsid w:val="0038539B"/>
    <w:rsid w:val="00385783"/>
    <w:rsid w:val="00386D3E"/>
    <w:rsid w:val="0039328D"/>
    <w:rsid w:val="00393461"/>
    <w:rsid w:val="00394027"/>
    <w:rsid w:val="00394106"/>
    <w:rsid w:val="003961B5"/>
    <w:rsid w:val="003A027A"/>
    <w:rsid w:val="003A16D9"/>
    <w:rsid w:val="003A178A"/>
    <w:rsid w:val="003A31F8"/>
    <w:rsid w:val="003B10EE"/>
    <w:rsid w:val="003B1C44"/>
    <w:rsid w:val="003B4966"/>
    <w:rsid w:val="003B58B0"/>
    <w:rsid w:val="003B647C"/>
    <w:rsid w:val="003B7FE7"/>
    <w:rsid w:val="003C114C"/>
    <w:rsid w:val="003C1965"/>
    <w:rsid w:val="003C1A65"/>
    <w:rsid w:val="003C30BC"/>
    <w:rsid w:val="003C334E"/>
    <w:rsid w:val="003C3939"/>
    <w:rsid w:val="003C5BE0"/>
    <w:rsid w:val="003C5E2F"/>
    <w:rsid w:val="003C67A0"/>
    <w:rsid w:val="003C77A4"/>
    <w:rsid w:val="003C7EC3"/>
    <w:rsid w:val="003D10C5"/>
    <w:rsid w:val="003D2B55"/>
    <w:rsid w:val="003D2C69"/>
    <w:rsid w:val="003D3D39"/>
    <w:rsid w:val="003D51A1"/>
    <w:rsid w:val="003D55C8"/>
    <w:rsid w:val="003D56CB"/>
    <w:rsid w:val="003D7D17"/>
    <w:rsid w:val="003D7DE3"/>
    <w:rsid w:val="003E036A"/>
    <w:rsid w:val="003E0EF2"/>
    <w:rsid w:val="003E12C4"/>
    <w:rsid w:val="003E3099"/>
    <w:rsid w:val="003E65C2"/>
    <w:rsid w:val="003E6A79"/>
    <w:rsid w:val="003E74E5"/>
    <w:rsid w:val="003E7C23"/>
    <w:rsid w:val="003E7EBA"/>
    <w:rsid w:val="003F0982"/>
    <w:rsid w:val="003F3240"/>
    <w:rsid w:val="003F4A87"/>
    <w:rsid w:val="003F5D5B"/>
    <w:rsid w:val="003F61CF"/>
    <w:rsid w:val="003F6ADC"/>
    <w:rsid w:val="003F70FC"/>
    <w:rsid w:val="00401DFF"/>
    <w:rsid w:val="00402F2B"/>
    <w:rsid w:val="00405255"/>
    <w:rsid w:val="004056E6"/>
    <w:rsid w:val="00410A58"/>
    <w:rsid w:val="00411684"/>
    <w:rsid w:val="00411CF4"/>
    <w:rsid w:val="00413091"/>
    <w:rsid w:val="004169DD"/>
    <w:rsid w:val="0042123F"/>
    <w:rsid w:val="004213C5"/>
    <w:rsid w:val="0042369A"/>
    <w:rsid w:val="004258E8"/>
    <w:rsid w:val="00425C96"/>
    <w:rsid w:val="0042766C"/>
    <w:rsid w:val="00431E4D"/>
    <w:rsid w:val="00433B83"/>
    <w:rsid w:val="00433FFA"/>
    <w:rsid w:val="00434022"/>
    <w:rsid w:val="004348FD"/>
    <w:rsid w:val="00434CAA"/>
    <w:rsid w:val="00435A82"/>
    <w:rsid w:val="004367D5"/>
    <w:rsid w:val="00437F5F"/>
    <w:rsid w:val="004407CD"/>
    <w:rsid w:val="00442CAB"/>
    <w:rsid w:val="00442D98"/>
    <w:rsid w:val="004443A1"/>
    <w:rsid w:val="00445C21"/>
    <w:rsid w:val="00447D7E"/>
    <w:rsid w:val="00455502"/>
    <w:rsid w:val="00462917"/>
    <w:rsid w:val="00462BEE"/>
    <w:rsid w:val="00462F50"/>
    <w:rsid w:val="00463C73"/>
    <w:rsid w:val="004640CC"/>
    <w:rsid w:val="0046570B"/>
    <w:rsid w:val="00473901"/>
    <w:rsid w:val="004746E8"/>
    <w:rsid w:val="00475028"/>
    <w:rsid w:val="00476F04"/>
    <w:rsid w:val="00477F1E"/>
    <w:rsid w:val="0048159C"/>
    <w:rsid w:val="004837E1"/>
    <w:rsid w:val="00483B70"/>
    <w:rsid w:val="00484202"/>
    <w:rsid w:val="00486BC8"/>
    <w:rsid w:val="00487404"/>
    <w:rsid w:val="004874A6"/>
    <w:rsid w:val="00490098"/>
    <w:rsid w:val="0049193C"/>
    <w:rsid w:val="00491F15"/>
    <w:rsid w:val="00492EF9"/>
    <w:rsid w:val="00495B57"/>
    <w:rsid w:val="00497C07"/>
    <w:rsid w:val="00497EE6"/>
    <w:rsid w:val="004A06AE"/>
    <w:rsid w:val="004A0FAE"/>
    <w:rsid w:val="004A2D6A"/>
    <w:rsid w:val="004A4202"/>
    <w:rsid w:val="004A5A0F"/>
    <w:rsid w:val="004A61A7"/>
    <w:rsid w:val="004A71AF"/>
    <w:rsid w:val="004B627A"/>
    <w:rsid w:val="004C0669"/>
    <w:rsid w:val="004C527A"/>
    <w:rsid w:val="004C675C"/>
    <w:rsid w:val="004C7CDC"/>
    <w:rsid w:val="004D0851"/>
    <w:rsid w:val="004D08B1"/>
    <w:rsid w:val="004D11EA"/>
    <w:rsid w:val="004D17A5"/>
    <w:rsid w:val="004D1852"/>
    <w:rsid w:val="004D3880"/>
    <w:rsid w:val="004D3BE2"/>
    <w:rsid w:val="004D73AE"/>
    <w:rsid w:val="004E05BC"/>
    <w:rsid w:val="004E0FE3"/>
    <w:rsid w:val="004E10C9"/>
    <w:rsid w:val="004E113B"/>
    <w:rsid w:val="004E1468"/>
    <w:rsid w:val="004E1849"/>
    <w:rsid w:val="004E1925"/>
    <w:rsid w:val="004E1D3B"/>
    <w:rsid w:val="004F0139"/>
    <w:rsid w:val="004F2324"/>
    <w:rsid w:val="004F26FE"/>
    <w:rsid w:val="004F2DD1"/>
    <w:rsid w:val="004F68B5"/>
    <w:rsid w:val="005002EE"/>
    <w:rsid w:val="0050072A"/>
    <w:rsid w:val="00500CFC"/>
    <w:rsid w:val="00501DEE"/>
    <w:rsid w:val="00502998"/>
    <w:rsid w:val="0050471E"/>
    <w:rsid w:val="00504A91"/>
    <w:rsid w:val="00505266"/>
    <w:rsid w:val="00505E67"/>
    <w:rsid w:val="00506328"/>
    <w:rsid w:val="00506956"/>
    <w:rsid w:val="00510946"/>
    <w:rsid w:val="005134CB"/>
    <w:rsid w:val="00514623"/>
    <w:rsid w:val="00515162"/>
    <w:rsid w:val="00516568"/>
    <w:rsid w:val="00520B96"/>
    <w:rsid w:val="00521383"/>
    <w:rsid w:val="00522A4B"/>
    <w:rsid w:val="00522F5E"/>
    <w:rsid w:val="00523D41"/>
    <w:rsid w:val="00523E92"/>
    <w:rsid w:val="00523F7B"/>
    <w:rsid w:val="00525F82"/>
    <w:rsid w:val="00526622"/>
    <w:rsid w:val="0052774B"/>
    <w:rsid w:val="005302B1"/>
    <w:rsid w:val="00530C27"/>
    <w:rsid w:val="005323D0"/>
    <w:rsid w:val="005326A2"/>
    <w:rsid w:val="005423D8"/>
    <w:rsid w:val="005455F1"/>
    <w:rsid w:val="005505D6"/>
    <w:rsid w:val="00551C00"/>
    <w:rsid w:val="00552AFF"/>
    <w:rsid w:val="005530AB"/>
    <w:rsid w:val="00553D02"/>
    <w:rsid w:val="005546A2"/>
    <w:rsid w:val="00555749"/>
    <w:rsid w:val="00555A5E"/>
    <w:rsid w:val="005566BC"/>
    <w:rsid w:val="00556B1F"/>
    <w:rsid w:val="00556F33"/>
    <w:rsid w:val="005577F8"/>
    <w:rsid w:val="0056155A"/>
    <w:rsid w:val="00561C00"/>
    <w:rsid w:val="00562E29"/>
    <w:rsid w:val="00563C39"/>
    <w:rsid w:val="00565966"/>
    <w:rsid w:val="00565B42"/>
    <w:rsid w:val="00565B84"/>
    <w:rsid w:val="00566C72"/>
    <w:rsid w:val="00570580"/>
    <w:rsid w:val="00570724"/>
    <w:rsid w:val="00570C08"/>
    <w:rsid w:val="0057153A"/>
    <w:rsid w:val="005715FC"/>
    <w:rsid w:val="005725E1"/>
    <w:rsid w:val="0057285A"/>
    <w:rsid w:val="00573B39"/>
    <w:rsid w:val="00574BD9"/>
    <w:rsid w:val="00576490"/>
    <w:rsid w:val="00580B18"/>
    <w:rsid w:val="0058141A"/>
    <w:rsid w:val="00583ACF"/>
    <w:rsid w:val="00584E11"/>
    <w:rsid w:val="00587226"/>
    <w:rsid w:val="00590CB1"/>
    <w:rsid w:val="00590F63"/>
    <w:rsid w:val="005910B3"/>
    <w:rsid w:val="00592F98"/>
    <w:rsid w:val="0059468E"/>
    <w:rsid w:val="00595201"/>
    <w:rsid w:val="005952B4"/>
    <w:rsid w:val="0059598C"/>
    <w:rsid w:val="00596140"/>
    <w:rsid w:val="005964AF"/>
    <w:rsid w:val="00596DF4"/>
    <w:rsid w:val="005974D3"/>
    <w:rsid w:val="00597F02"/>
    <w:rsid w:val="005A0265"/>
    <w:rsid w:val="005A06AB"/>
    <w:rsid w:val="005A1E7A"/>
    <w:rsid w:val="005A4272"/>
    <w:rsid w:val="005A519B"/>
    <w:rsid w:val="005B1DF1"/>
    <w:rsid w:val="005B206C"/>
    <w:rsid w:val="005B5B94"/>
    <w:rsid w:val="005B695D"/>
    <w:rsid w:val="005B6C85"/>
    <w:rsid w:val="005C0505"/>
    <w:rsid w:val="005C148A"/>
    <w:rsid w:val="005C249A"/>
    <w:rsid w:val="005C28CB"/>
    <w:rsid w:val="005C4D25"/>
    <w:rsid w:val="005C5117"/>
    <w:rsid w:val="005C522E"/>
    <w:rsid w:val="005C57F1"/>
    <w:rsid w:val="005C6D05"/>
    <w:rsid w:val="005C7076"/>
    <w:rsid w:val="005D23C5"/>
    <w:rsid w:val="005D5523"/>
    <w:rsid w:val="005D5C54"/>
    <w:rsid w:val="005D6060"/>
    <w:rsid w:val="005D7021"/>
    <w:rsid w:val="005D7E7F"/>
    <w:rsid w:val="005E0245"/>
    <w:rsid w:val="005E0EA6"/>
    <w:rsid w:val="005E1CB8"/>
    <w:rsid w:val="005E4009"/>
    <w:rsid w:val="005E58B5"/>
    <w:rsid w:val="005E5D4B"/>
    <w:rsid w:val="005E6057"/>
    <w:rsid w:val="005E64C1"/>
    <w:rsid w:val="005E7462"/>
    <w:rsid w:val="005E7FA6"/>
    <w:rsid w:val="005F2A4B"/>
    <w:rsid w:val="005F43D8"/>
    <w:rsid w:val="005F5714"/>
    <w:rsid w:val="005F6FF6"/>
    <w:rsid w:val="006000DC"/>
    <w:rsid w:val="00601215"/>
    <w:rsid w:val="00601AB0"/>
    <w:rsid w:val="00602CE6"/>
    <w:rsid w:val="00603489"/>
    <w:rsid w:val="00605C70"/>
    <w:rsid w:val="00605EFF"/>
    <w:rsid w:val="00605F4D"/>
    <w:rsid w:val="006111FE"/>
    <w:rsid w:val="00611D58"/>
    <w:rsid w:val="00612B99"/>
    <w:rsid w:val="00613271"/>
    <w:rsid w:val="00616EF4"/>
    <w:rsid w:val="0061747F"/>
    <w:rsid w:val="006206EA"/>
    <w:rsid w:val="00621457"/>
    <w:rsid w:val="00624507"/>
    <w:rsid w:val="00624EE0"/>
    <w:rsid w:val="00625741"/>
    <w:rsid w:val="0062622A"/>
    <w:rsid w:val="00627896"/>
    <w:rsid w:val="00627B9E"/>
    <w:rsid w:val="00634B16"/>
    <w:rsid w:val="00634C36"/>
    <w:rsid w:val="00634E12"/>
    <w:rsid w:val="00635856"/>
    <w:rsid w:val="0063658E"/>
    <w:rsid w:val="0063690D"/>
    <w:rsid w:val="006413C3"/>
    <w:rsid w:val="00641DB9"/>
    <w:rsid w:val="00642D62"/>
    <w:rsid w:val="006434C2"/>
    <w:rsid w:val="00643ACF"/>
    <w:rsid w:val="00644792"/>
    <w:rsid w:val="00645112"/>
    <w:rsid w:val="0064524F"/>
    <w:rsid w:val="00645633"/>
    <w:rsid w:val="00645F81"/>
    <w:rsid w:val="006462DA"/>
    <w:rsid w:val="00646C80"/>
    <w:rsid w:val="00647D7E"/>
    <w:rsid w:val="0065078A"/>
    <w:rsid w:val="00650E61"/>
    <w:rsid w:val="00651316"/>
    <w:rsid w:val="00651B6F"/>
    <w:rsid w:val="00652677"/>
    <w:rsid w:val="006527C6"/>
    <w:rsid w:val="00654382"/>
    <w:rsid w:val="0065443B"/>
    <w:rsid w:val="00654C72"/>
    <w:rsid w:val="00654D9A"/>
    <w:rsid w:val="00655316"/>
    <w:rsid w:val="00655A48"/>
    <w:rsid w:val="00661559"/>
    <w:rsid w:val="0066396F"/>
    <w:rsid w:val="0066592F"/>
    <w:rsid w:val="00666794"/>
    <w:rsid w:val="00667F08"/>
    <w:rsid w:val="0067362F"/>
    <w:rsid w:val="006752AD"/>
    <w:rsid w:val="0067602C"/>
    <w:rsid w:val="0067606E"/>
    <w:rsid w:val="00682A16"/>
    <w:rsid w:val="00682C90"/>
    <w:rsid w:val="00683F7D"/>
    <w:rsid w:val="006846B2"/>
    <w:rsid w:val="00684A30"/>
    <w:rsid w:val="00685A9A"/>
    <w:rsid w:val="0068670D"/>
    <w:rsid w:val="0069097F"/>
    <w:rsid w:val="0069183B"/>
    <w:rsid w:val="00691EB5"/>
    <w:rsid w:val="0069271D"/>
    <w:rsid w:val="006930CE"/>
    <w:rsid w:val="00693E79"/>
    <w:rsid w:val="006943A6"/>
    <w:rsid w:val="00694EF4"/>
    <w:rsid w:val="00695A97"/>
    <w:rsid w:val="00695D41"/>
    <w:rsid w:val="0069624F"/>
    <w:rsid w:val="006962FC"/>
    <w:rsid w:val="00696331"/>
    <w:rsid w:val="00697B27"/>
    <w:rsid w:val="006A0F26"/>
    <w:rsid w:val="006A1B44"/>
    <w:rsid w:val="006A206A"/>
    <w:rsid w:val="006A26F5"/>
    <w:rsid w:val="006A2B0B"/>
    <w:rsid w:val="006A4179"/>
    <w:rsid w:val="006A455B"/>
    <w:rsid w:val="006A5898"/>
    <w:rsid w:val="006B06E0"/>
    <w:rsid w:val="006B1C82"/>
    <w:rsid w:val="006B2474"/>
    <w:rsid w:val="006B2E3E"/>
    <w:rsid w:val="006B3193"/>
    <w:rsid w:val="006B372B"/>
    <w:rsid w:val="006B38D4"/>
    <w:rsid w:val="006B6367"/>
    <w:rsid w:val="006B6D4B"/>
    <w:rsid w:val="006B7835"/>
    <w:rsid w:val="006C064E"/>
    <w:rsid w:val="006C0960"/>
    <w:rsid w:val="006C0A72"/>
    <w:rsid w:val="006C1BC5"/>
    <w:rsid w:val="006C423D"/>
    <w:rsid w:val="006C51DE"/>
    <w:rsid w:val="006C575E"/>
    <w:rsid w:val="006C6B37"/>
    <w:rsid w:val="006C787E"/>
    <w:rsid w:val="006D0078"/>
    <w:rsid w:val="006D0237"/>
    <w:rsid w:val="006D0C30"/>
    <w:rsid w:val="006D0CE2"/>
    <w:rsid w:val="006D1776"/>
    <w:rsid w:val="006D24E0"/>
    <w:rsid w:val="006D287D"/>
    <w:rsid w:val="006D2A0B"/>
    <w:rsid w:val="006D349F"/>
    <w:rsid w:val="006D4869"/>
    <w:rsid w:val="006D69D5"/>
    <w:rsid w:val="006D7A3C"/>
    <w:rsid w:val="006D7B6D"/>
    <w:rsid w:val="006E0EEE"/>
    <w:rsid w:val="006E7F2B"/>
    <w:rsid w:val="006F368D"/>
    <w:rsid w:val="006F4478"/>
    <w:rsid w:val="006F4E1D"/>
    <w:rsid w:val="006F79DB"/>
    <w:rsid w:val="006F7E88"/>
    <w:rsid w:val="007018B5"/>
    <w:rsid w:val="0070249D"/>
    <w:rsid w:val="00704C90"/>
    <w:rsid w:val="00704D1E"/>
    <w:rsid w:val="007078DC"/>
    <w:rsid w:val="00707AA6"/>
    <w:rsid w:val="00707D38"/>
    <w:rsid w:val="00707E6F"/>
    <w:rsid w:val="007103E4"/>
    <w:rsid w:val="00711B79"/>
    <w:rsid w:val="0071383B"/>
    <w:rsid w:val="007206B5"/>
    <w:rsid w:val="00720B9B"/>
    <w:rsid w:val="00720DC6"/>
    <w:rsid w:val="00722AE2"/>
    <w:rsid w:val="00724AA7"/>
    <w:rsid w:val="00725EE7"/>
    <w:rsid w:val="007262B5"/>
    <w:rsid w:val="00726D04"/>
    <w:rsid w:val="00730ED8"/>
    <w:rsid w:val="00731546"/>
    <w:rsid w:val="00732BC3"/>
    <w:rsid w:val="0073368C"/>
    <w:rsid w:val="00733C07"/>
    <w:rsid w:val="00733FA6"/>
    <w:rsid w:val="0073468F"/>
    <w:rsid w:val="00734C55"/>
    <w:rsid w:val="00735346"/>
    <w:rsid w:val="00736864"/>
    <w:rsid w:val="007401B0"/>
    <w:rsid w:val="007403C5"/>
    <w:rsid w:val="007413B4"/>
    <w:rsid w:val="00742B8F"/>
    <w:rsid w:val="00742D6D"/>
    <w:rsid w:val="00742EC7"/>
    <w:rsid w:val="00742F70"/>
    <w:rsid w:val="00743A3A"/>
    <w:rsid w:val="00744756"/>
    <w:rsid w:val="00747E2C"/>
    <w:rsid w:val="00751A6E"/>
    <w:rsid w:val="00753B12"/>
    <w:rsid w:val="00754DE4"/>
    <w:rsid w:val="007557A7"/>
    <w:rsid w:val="00755858"/>
    <w:rsid w:val="00756D8C"/>
    <w:rsid w:val="00756E17"/>
    <w:rsid w:val="00757BF6"/>
    <w:rsid w:val="00757CBC"/>
    <w:rsid w:val="00757F91"/>
    <w:rsid w:val="00757FF0"/>
    <w:rsid w:val="007608E3"/>
    <w:rsid w:val="00761280"/>
    <w:rsid w:val="00761FDA"/>
    <w:rsid w:val="00762CA5"/>
    <w:rsid w:val="0076340E"/>
    <w:rsid w:val="00763965"/>
    <w:rsid w:val="00765142"/>
    <w:rsid w:val="00765DF8"/>
    <w:rsid w:val="00767492"/>
    <w:rsid w:val="007715FD"/>
    <w:rsid w:val="007716D9"/>
    <w:rsid w:val="007725BD"/>
    <w:rsid w:val="0077265E"/>
    <w:rsid w:val="00774FEF"/>
    <w:rsid w:val="00775FDE"/>
    <w:rsid w:val="007766C9"/>
    <w:rsid w:val="0077727F"/>
    <w:rsid w:val="00777D32"/>
    <w:rsid w:val="007808CF"/>
    <w:rsid w:val="00780DAB"/>
    <w:rsid w:val="007810D6"/>
    <w:rsid w:val="00782848"/>
    <w:rsid w:val="00782CBA"/>
    <w:rsid w:val="00783D57"/>
    <w:rsid w:val="00784114"/>
    <w:rsid w:val="00784F56"/>
    <w:rsid w:val="00785E3A"/>
    <w:rsid w:val="007865BE"/>
    <w:rsid w:val="007913C7"/>
    <w:rsid w:val="00791794"/>
    <w:rsid w:val="00791E8F"/>
    <w:rsid w:val="00793490"/>
    <w:rsid w:val="00795E86"/>
    <w:rsid w:val="00797585"/>
    <w:rsid w:val="007A269A"/>
    <w:rsid w:val="007A4D37"/>
    <w:rsid w:val="007B0B74"/>
    <w:rsid w:val="007B0CB3"/>
    <w:rsid w:val="007B313D"/>
    <w:rsid w:val="007B3427"/>
    <w:rsid w:val="007B3C5E"/>
    <w:rsid w:val="007B4B6B"/>
    <w:rsid w:val="007B61FD"/>
    <w:rsid w:val="007B6A87"/>
    <w:rsid w:val="007B7B32"/>
    <w:rsid w:val="007B7F5D"/>
    <w:rsid w:val="007C02D2"/>
    <w:rsid w:val="007C170C"/>
    <w:rsid w:val="007C4897"/>
    <w:rsid w:val="007C557C"/>
    <w:rsid w:val="007C6351"/>
    <w:rsid w:val="007D008C"/>
    <w:rsid w:val="007D0B54"/>
    <w:rsid w:val="007D0EFC"/>
    <w:rsid w:val="007D1E38"/>
    <w:rsid w:val="007D22B5"/>
    <w:rsid w:val="007D35E1"/>
    <w:rsid w:val="007D42B0"/>
    <w:rsid w:val="007D4B04"/>
    <w:rsid w:val="007D7666"/>
    <w:rsid w:val="007E185F"/>
    <w:rsid w:val="007E1F37"/>
    <w:rsid w:val="007E3441"/>
    <w:rsid w:val="007E3B89"/>
    <w:rsid w:val="007E4D38"/>
    <w:rsid w:val="007E5305"/>
    <w:rsid w:val="007E5679"/>
    <w:rsid w:val="007E5AE3"/>
    <w:rsid w:val="007F2108"/>
    <w:rsid w:val="007F24DA"/>
    <w:rsid w:val="007F49C7"/>
    <w:rsid w:val="00800B9C"/>
    <w:rsid w:val="00801F8E"/>
    <w:rsid w:val="008040FC"/>
    <w:rsid w:val="00805166"/>
    <w:rsid w:val="008065C0"/>
    <w:rsid w:val="00807AF8"/>
    <w:rsid w:val="0081131A"/>
    <w:rsid w:val="0081443C"/>
    <w:rsid w:val="00814773"/>
    <w:rsid w:val="00817F2F"/>
    <w:rsid w:val="008236B1"/>
    <w:rsid w:val="00824D63"/>
    <w:rsid w:val="0082576E"/>
    <w:rsid w:val="00825D7B"/>
    <w:rsid w:val="00826F82"/>
    <w:rsid w:val="00826FC8"/>
    <w:rsid w:val="008317C1"/>
    <w:rsid w:val="008329B0"/>
    <w:rsid w:val="008339B4"/>
    <w:rsid w:val="00833CC7"/>
    <w:rsid w:val="00834465"/>
    <w:rsid w:val="0083577D"/>
    <w:rsid w:val="00835CC5"/>
    <w:rsid w:val="008363ED"/>
    <w:rsid w:val="00837282"/>
    <w:rsid w:val="00837C80"/>
    <w:rsid w:val="00837CDD"/>
    <w:rsid w:val="00840D16"/>
    <w:rsid w:val="00841588"/>
    <w:rsid w:val="00841899"/>
    <w:rsid w:val="00843AA1"/>
    <w:rsid w:val="00844E35"/>
    <w:rsid w:val="0084515E"/>
    <w:rsid w:val="00846FAD"/>
    <w:rsid w:val="00850C98"/>
    <w:rsid w:val="00850DEB"/>
    <w:rsid w:val="00850E90"/>
    <w:rsid w:val="00852CC1"/>
    <w:rsid w:val="00853543"/>
    <w:rsid w:val="00854068"/>
    <w:rsid w:val="0085425A"/>
    <w:rsid w:val="00856B45"/>
    <w:rsid w:val="00856FE6"/>
    <w:rsid w:val="00860BC1"/>
    <w:rsid w:val="00860CC3"/>
    <w:rsid w:val="00862350"/>
    <w:rsid w:val="00862A51"/>
    <w:rsid w:val="00863F2F"/>
    <w:rsid w:val="00864CD3"/>
    <w:rsid w:val="00872D35"/>
    <w:rsid w:val="00874C0A"/>
    <w:rsid w:val="00874DE0"/>
    <w:rsid w:val="00875BAB"/>
    <w:rsid w:val="008806A3"/>
    <w:rsid w:val="00880939"/>
    <w:rsid w:val="00886C17"/>
    <w:rsid w:val="00887A9F"/>
    <w:rsid w:val="00890987"/>
    <w:rsid w:val="008917F7"/>
    <w:rsid w:val="00891B69"/>
    <w:rsid w:val="008926EA"/>
    <w:rsid w:val="00894591"/>
    <w:rsid w:val="00894F7C"/>
    <w:rsid w:val="00895128"/>
    <w:rsid w:val="0089684A"/>
    <w:rsid w:val="0089777B"/>
    <w:rsid w:val="00897F2B"/>
    <w:rsid w:val="008A20B1"/>
    <w:rsid w:val="008A2119"/>
    <w:rsid w:val="008A3F1C"/>
    <w:rsid w:val="008A6176"/>
    <w:rsid w:val="008A72A1"/>
    <w:rsid w:val="008A7374"/>
    <w:rsid w:val="008A7A66"/>
    <w:rsid w:val="008B1D27"/>
    <w:rsid w:val="008B3C22"/>
    <w:rsid w:val="008B4EBA"/>
    <w:rsid w:val="008B50E6"/>
    <w:rsid w:val="008B6B0B"/>
    <w:rsid w:val="008B70A5"/>
    <w:rsid w:val="008B771A"/>
    <w:rsid w:val="008C0855"/>
    <w:rsid w:val="008C1567"/>
    <w:rsid w:val="008C248A"/>
    <w:rsid w:val="008C4483"/>
    <w:rsid w:val="008C7E57"/>
    <w:rsid w:val="008D089F"/>
    <w:rsid w:val="008D0E11"/>
    <w:rsid w:val="008D2EC9"/>
    <w:rsid w:val="008D48B4"/>
    <w:rsid w:val="008D7A0D"/>
    <w:rsid w:val="008D7A33"/>
    <w:rsid w:val="008E0138"/>
    <w:rsid w:val="008E0BDB"/>
    <w:rsid w:val="008E225E"/>
    <w:rsid w:val="008E2847"/>
    <w:rsid w:val="008E2F77"/>
    <w:rsid w:val="008E4DD4"/>
    <w:rsid w:val="008E5E25"/>
    <w:rsid w:val="008F17F7"/>
    <w:rsid w:val="008F24DA"/>
    <w:rsid w:val="008F582C"/>
    <w:rsid w:val="008F62C6"/>
    <w:rsid w:val="008F634A"/>
    <w:rsid w:val="008F6DBE"/>
    <w:rsid w:val="0090023D"/>
    <w:rsid w:val="00901172"/>
    <w:rsid w:val="00901F59"/>
    <w:rsid w:val="009021A5"/>
    <w:rsid w:val="0090301F"/>
    <w:rsid w:val="009033D8"/>
    <w:rsid w:val="00906CBD"/>
    <w:rsid w:val="00910556"/>
    <w:rsid w:val="00910C49"/>
    <w:rsid w:val="009124AF"/>
    <w:rsid w:val="009141E2"/>
    <w:rsid w:val="009147B5"/>
    <w:rsid w:val="00914EF9"/>
    <w:rsid w:val="00915449"/>
    <w:rsid w:val="00915616"/>
    <w:rsid w:val="009165CE"/>
    <w:rsid w:val="009172DE"/>
    <w:rsid w:val="009178C9"/>
    <w:rsid w:val="009179C7"/>
    <w:rsid w:val="00920B2D"/>
    <w:rsid w:val="009212DA"/>
    <w:rsid w:val="00921EAC"/>
    <w:rsid w:val="0092276C"/>
    <w:rsid w:val="00922C61"/>
    <w:rsid w:val="0092365D"/>
    <w:rsid w:val="00923FD7"/>
    <w:rsid w:val="00924980"/>
    <w:rsid w:val="00924EAF"/>
    <w:rsid w:val="009311C6"/>
    <w:rsid w:val="00931DED"/>
    <w:rsid w:val="009323C0"/>
    <w:rsid w:val="00933050"/>
    <w:rsid w:val="0093381B"/>
    <w:rsid w:val="00934520"/>
    <w:rsid w:val="0093516F"/>
    <w:rsid w:val="00935F6A"/>
    <w:rsid w:val="00937B6E"/>
    <w:rsid w:val="00937DE2"/>
    <w:rsid w:val="009405CA"/>
    <w:rsid w:val="009409CA"/>
    <w:rsid w:val="00941049"/>
    <w:rsid w:val="0094236B"/>
    <w:rsid w:val="0094394F"/>
    <w:rsid w:val="00946B79"/>
    <w:rsid w:val="00947905"/>
    <w:rsid w:val="00947D1E"/>
    <w:rsid w:val="00947E68"/>
    <w:rsid w:val="009507E9"/>
    <w:rsid w:val="009524B6"/>
    <w:rsid w:val="00956080"/>
    <w:rsid w:val="00956601"/>
    <w:rsid w:val="00956F66"/>
    <w:rsid w:val="00960B09"/>
    <w:rsid w:val="0096432F"/>
    <w:rsid w:val="009649A3"/>
    <w:rsid w:val="009659EA"/>
    <w:rsid w:val="00966368"/>
    <w:rsid w:val="00966B11"/>
    <w:rsid w:val="00966EEB"/>
    <w:rsid w:val="00970BB6"/>
    <w:rsid w:val="009716AF"/>
    <w:rsid w:val="00971B91"/>
    <w:rsid w:val="00971C9B"/>
    <w:rsid w:val="00974F26"/>
    <w:rsid w:val="009768D3"/>
    <w:rsid w:val="00976A13"/>
    <w:rsid w:val="0097724D"/>
    <w:rsid w:val="00980056"/>
    <w:rsid w:val="00980CA3"/>
    <w:rsid w:val="00981AB9"/>
    <w:rsid w:val="00982CDD"/>
    <w:rsid w:val="00982D09"/>
    <w:rsid w:val="00986026"/>
    <w:rsid w:val="0098619B"/>
    <w:rsid w:val="0098638E"/>
    <w:rsid w:val="0099157F"/>
    <w:rsid w:val="009915B0"/>
    <w:rsid w:val="009938B3"/>
    <w:rsid w:val="00994229"/>
    <w:rsid w:val="00995B0B"/>
    <w:rsid w:val="009A028F"/>
    <w:rsid w:val="009A1502"/>
    <w:rsid w:val="009A2F95"/>
    <w:rsid w:val="009A3469"/>
    <w:rsid w:val="009A3E70"/>
    <w:rsid w:val="009A4201"/>
    <w:rsid w:val="009A4C63"/>
    <w:rsid w:val="009A52F4"/>
    <w:rsid w:val="009A6003"/>
    <w:rsid w:val="009A643D"/>
    <w:rsid w:val="009A7FCB"/>
    <w:rsid w:val="009B0000"/>
    <w:rsid w:val="009B11FA"/>
    <w:rsid w:val="009B1A0F"/>
    <w:rsid w:val="009B40C2"/>
    <w:rsid w:val="009B423E"/>
    <w:rsid w:val="009B572C"/>
    <w:rsid w:val="009B6478"/>
    <w:rsid w:val="009B6C3C"/>
    <w:rsid w:val="009C37E1"/>
    <w:rsid w:val="009C390C"/>
    <w:rsid w:val="009C3DE7"/>
    <w:rsid w:val="009C588C"/>
    <w:rsid w:val="009C7BAE"/>
    <w:rsid w:val="009D06AA"/>
    <w:rsid w:val="009D12C4"/>
    <w:rsid w:val="009D1C49"/>
    <w:rsid w:val="009D1E4C"/>
    <w:rsid w:val="009D258B"/>
    <w:rsid w:val="009D4E8A"/>
    <w:rsid w:val="009D58AC"/>
    <w:rsid w:val="009D7F6A"/>
    <w:rsid w:val="009E13D7"/>
    <w:rsid w:val="009E173B"/>
    <w:rsid w:val="009E1D7F"/>
    <w:rsid w:val="009E1E46"/>
    <w:rsid w:val="009E2995"/>
    <w:rsid w:val="009E4FAA"/>
    <w:rsid w:val="009E73D3"/>
    <w:rsid w:val="009E7889"/>
    <w:rsid w:val="009F015C"/>
    <w:rsid w:val="009F069F"/>
    <w:rsid w:val="009F1FF7"/>
    <w:rsid w:val="009F25B6"/>
    <w:rsid w:val="009F3409"/>
    <w:rsid w:val="009F4332"/>
    <w:rsid w:val="009F4DF8"/>
    <w:rsid w:val="009F7470"/>
    <w:rsid w:val="009F7F54"/>
    <w:rsid w:val="00A00725"/>
    <w:rsid w:val="00A01BC6"/>
    <w:rsid w:val="00A03068"/>
    <w:rsid w:val="00A032A0"/>
    <w:rsid w:val="00A03967"/>
    <w:rsid w:val="00A03A32"/>
    <w:rsid w:val="00A03E79"/>
    <w:rsid w:val="00A04561"/>
    <w:rsid w:val="00A055C4"/>
    <w:rsid w:val="00A10428"/>
    <w:rsid w:val="00A106D2"/>
    <w:rsid w:val="00A146D3"/>
    <w:rsid w:val="00A15514"/>
    <w:rsid w:val="00A165F9"/>
    <w:rsid w:val="00A1714A"/>
    <w:rsid w:val="00A17EAD"/>
    <w:rsid w:val="00A20964"/>
    <w:rsid w:val="00A20A26"/>
    <w:rsid w:val="00A21915"/>
    <w:rsid w:val="00A21C79"/>
    <w:rsid w:val="00A2245D"/>
    <w:rsid w:val="00A22BD5"/>
    <w:rsid w:val="00A22C32"/>
    <w:rsid w:val="00A2344A"/>
    <w:rsid w:val="00A242A3"/>
    <w:rsid w:val="00A24ADD"/>
    <w:rsid w:val="00A266E3"/>
    <w:rsid w:val="00A3060D"/>
    <w:rsid w:val="00A309BD"/>
    <w:rsid w:val="00A33C40"/>
    <w:rsid w:val="00A3487F"/>
    <w:rsid w:val="00A34942"/>
    <w:rsid w:val="00A35802"/>
    <w:rsid w:val="00A36573"/>
    <w:rsid w:val="00A40DE3"/>
    <w:rsid w:val="00A419F6"/>
    <w:rsid w:val="00A41B10"/>
    <w:rsid w:val="00A41C69"/>
    <w:rsid w:val="00A422E9"/>
    <w:rsid w:val="00A452D8"/>
    <w:rsid w:val="00A455A2"/>
    <w:rsid w:val="00A468E2"/>
    <w:rsid w:val="00A47A16"/>
    <w:rsid w:val="00A47BE5"/>
    <w:rsid w:val="00A5004A"/>
    <w:rsid w:val="00A52ABC"/>
    <w:rsid w:val="00A54039"/>
    <w:rsid w:val="00A55105"/>
    <w:rsid w:val="00A5560D"/>
    <w:rsid w:val="00A56F91"/>
    <w:rsid w:val="00A57724"/>
    <w:rsid w:val="00A607B0"/>
    <w:rsid w:val="00A60F7B"/>
    <w:rsid w:val="00A625FE"/>
    <w:rsid w:val="00A62624"/>
    <w:rsid w:val="00A627D0"/>
    <w:rsid w:val="00A62A8A"/>
    <w:rsid w:val="00A63031"/>
    <w:rsid w:val="00A63783"/>
    <w:rsid w:val="00A64FFF"/>
    <w:rsid w:val="00A665D3"/>
    <w:rsid w:val="00A67CB2"/>
    <w:rsid w:val="00A70F8E"/>
    <w:rsid w:val="00A70FC4"/>
    <w:rsid w:val="00A73322"/>
    <w:rsid w:val="00A741B2"/>
    <w:rsid w:val="00A76D4B"/>
    <w:rsid w:val="00A805CE"/>
    <w:rsid w:val="00A81D0D"/>
    <w:rsid w:val="00A82942"/>
    <w:rsid w:val="00A82EA8"/>
    <w:rsid w:val="00A83668"/>
    <w:rsid w:val="00A838CC"/>
    <w:rsid w:val="00A8423A"/>
    <w:rsid w:val="00A85600"/>
    <w:rsid w:val="00A86719"/>
    <w:rsid w:val="00A91CF2"/>
    <w:rsid w:val="00A91DDA"/>
    <w:rsid w:val="00A92476"/>
    <w:rsid w:val="00A93127"/>
    <w:rsid w:val="00A938D7"/>
    <w:rsid w:val="00A9419A"/>
    <w:rsid w:val="00A941BD"/>
    <w:rsid w:val="00A95F98"/>
    <w:rsid w:val="00A96777"/>
    <w:rsid w:val="00A970E6"/>
    <w:rsid w:val="00A97D3E"/>
    <w:rsid w:val="00A97F93"/>
    <w:rsid w:val="00AA0F8B"/>
    <w:rsid w:val="00AA1335"/>
    <w:rsid w:val="00AA1BCD"/>
    <w:rsid w:val="00AA1D78"/>
    <w:rsid w:val="00AA2E06"/>
    <w:rsid w:val="00AA3921"/>
    <w:rsid w:val="00AA428B"/>
    <w:rsid w:val="00AA4FE9"/>
    <w:rsid w:val="00AA635F"/>
    <w:rsid w:val="00AA63BC"/>
    <w:rsid w:val="00AA773C"/>
    <w:rsid w:val="00AA7B9F"/>
    <w:rsid w:val="00AA7E77"/>
    <w:rsid w:val="00AB1793"/>
    <w:rsid w:val="00AB216F"/>
    <w:rsid w:val="00AB2222"/>
    <w:rsid w:val="00AB4050"/>
    <w:rsid w:val="00AB5798"/>
    <w:rsid w:val="00AB57B0"/>
    <w:rsid w:val="00AB7A94"/>
    <w:rsid w:val="00AC122B"/>
    <w:rsid w:val="00AC42E4"/>
    <w:rsid w:val="00AC5F7A"/>
    <w:rsid w:val="00AC78B1"/>
    <w:rsid w:val="00AC7C83"/>
    <w:rsid w:val="00AD0144"/>
    <w:rsid w:val="00AD18EA"/>
    <w:rsid w:val="00AD1B65"/>
    <w:rsid w:val="00AD3D7E"/>
    <w:rsid w:val="00AD4A63"/>
    <w:rsid w:val="00AD58D3"/>
    <w:rsid w:val="00AD7A07"/>
    <w:rsid w:val="00AE0D6B"/>
    <w:rsid w:val="00AE2BF3"/>
    <w:rsid w:val="00AE3535"/>
    <w:rsid w:val="00AE37CA"/>
    <w:rsid w:val="00AE3A6C"/>
    <w:rsid w:val="00AE49F9"/>
    <w:rsid w:val="00AE4BD2"/>
    <w:rsid w:val="00AE4F79"/>
    <w:rsid w:val="00AE6C9D"/>
    <w:rsid w:val="00AE717C"/>
    <w:rsid w:val="00AF065D"/>
    <w:rsid w:val="00AF0EB5"/>
    <w:rsid w:val="00AF108A"/>
    <w:rsid w:val="00AF11D9"/>
    <w:rsid w:val="00AF1F98"/>
    <w:rsid w:val="00AF2F75"/>
    <w:rsid w:val="00AF353B"/>
    <w:rsid w:val="00AF4AA7"/>
    <w:rsid w:val="00AF5A5B"/>
    <w:rsid w:val="00AF64BC"/>
    <w:rsid w:val="00AF7B32"/>
    <w:rsid w:val="00B00233"/>
    <w:rsid w:val="00B01D63"/>
    <w:rsid w:val="00B05448"/>
    <w:rsid w:val="00B06968"/>
    <w:rsid w:val="00B07D62"/>
    <w:rsid w:val="00B1050D"/>
    <w:rsid w:val="00B106CF"/>
    <w:rsid w:val="00B106DD"/>
    <w:rsid w:val="00B10709"/>
    <w:rsid w:val="00B1261D"/>
    <w:rsid w:val="00B14911"/>
    <w:rsid w:val="00B15262"/>
    <w:rsid w:val="00B2159C"/>
    <w:rsid w:val="00B21EB3"/>
    <w:rsid w:val="00B221D7"/>
    <w:rsid w:val="00B222A7"/>
    <w:rsid w:val="00B224FA"/>
    <w:rsid w:val="00B23955"/>
    <w:rsid w:val="00B23F06"/>
    <w:rsid w:val="00B241F8"/>
    <w:rsid w:val="00B24937"/>
    <w:rsid w:val="00B25752"/>
    <w:rsid w:val="00B2604E"/>
    <w:rsid w:val="00B26B37"/>
    <w:rsid w:val="00B3018C"/>
    <w:rsid w:val="00B305B8"/>
    <w:rsid w:val="00B308A5"/>
    <w:rsid w:val="00B319C4"/>
    <w:rsid w:val="00B31B87"/>
    <w:rsid w:val="00B3255A"/>
    <w:rsid w:val="00B32BEC"/>
    <w:rsid w:val="00B32EC9"/>
    <w:rsid w:val="00B3453A"/>
    <w:rsid w:val="00B3479A"/>
    <w:rsid w:val="00B37DA3"/>
    <w:rsid w:val="00B400F4"/>
    <w:rsid w:val="00B408A8"/>
    <w:rsid w:val="00B40DF9"/>
    <w:rsid w:val="00B42A4B"/>
    <w:rsid w:val="00B42C56"/>
    <w:rsid w:val="00B44058"/>
    <w:rsid w:val="00B44DC5"/>
    <w:rsid w:val="00B46C97"/>
    <w:rsid w:val="00B52A36"/>
    <w:rsid w:val="00B53347"/>
    <w:rsid w:val="00B53711"/>
    <w:rsid w:val="00B53FAE"/>
    <w:rsid w:val="00B53FF9"/>
    <w:rsid w:val="00B54233"/>
    <w:rsid w:val="00B54A98"/>
    <w:rsid w:val="00B55635"/>
    <w:rsid w:val="00B559F9"/>
    <w:rsid w:val="00B55D9C"/>
    <w:rsid w:val="00B5659F"/>
    <w:rsid w:val="00B56650"/>
    <w:rsid w:val="00B56C58"/>
    <w:rsid w:val="00B572B8"/>
    <w:rsid w:val="00B62500"/>
    <w:rsid w:val="00B64429"/>
    <w:rsid w:val="00B662B3"/>
    <w:rsid w:val="00B662C0"/>
    <w:rsid w:val="00B67A6F"/>
    <w:rsid w:val="00B67C67"/>
    <w:rsid w:val="00B72387"/>
    <w:rsid w:val="00B75998"/>
    <w:rsid w:val="00B7709C"/>
    <w:rsid w:val="00B81AEE"/>
    <w:rsid w:val="00B83565"/>
    <w:rsid w:val="00B83E2C"/>
    <w:rsid w:val="00B83FA3"/>
    <w:rsid w:val="00B85279"/>
    <w:rsid w:val="00B853A1"/>
    <w:rsid w:val="00B90920"/>
    <w:rsid w:val="00B92C30"/>
    <w:rsid w:val="00B92F55"/>
    <w:rsid w:val="00B93DD2"/>
    <w:rsid w:val="00B954F6"/>
    <w:rsid w:val="00B9589C"/>
    <w:rsid w:val="00B95DE9"/>
    <w:rsid w:val="00B97041"/>
    <w:rsid w:val="00B97E73"/>
    <w:rsid w:val="00BA0F2E"/>
    <w:rsid w:val="00BA11A4"/>
    <w:rsid w:val="00BA12D2"/>
    <w:rsid w:val="00BA3B13"/>
    <w:rsid w:val="00BA4432"/>
    <w:rsid w:val="00BA4A32"/>
    <w:rsid w:val="00BA4C02"/>
    <w:rsid w:val="00BA52F1"/>
    <w:rsid w:val="00BA73C0"/>
    <w:rsid w:val="00BB3F55"/>
    <w:rsid w:val="00BB4329"/>
    <w:rsid w:val="00BB47B3"/>
    <w:rsid w:val="00BB58FB"/>
    <w:rsid w:val="00BB5AA5"/>
    <w:rsid w:val="00BB6615"/>
    <w:rsid w:val="00BB7174"/>
    <w:rsid w:val="00BB7EE6"/>
    <w:rsid w:val="00BC024D"/>
    <w:rsid w:val="00BC1841"/>
    <w:rsid w:val="00BC3BDD"/>
    <w:rsid w:val="00BC3FE0"/>
    <w:rsid w:val="00BC4248"/>
    <w:rsid w:val="00BC47FD"/>
    <w:rsid w:val="00BC5ED4"/>
    <w:rsid w:val="00BC6BFD"/>
    <w:rsid w:val="00BD081F"/>
    <w:rsid w:val="00BD1D73"/>
    <w:rsid w:val="00BD1E59"/>
    <w:rsid w:val="00BD2D72"/>
    <w:rsid w:val="00BD3D4A"/>
    <w:rsid w:val="00BD46C3"/>
    <w:rsid w:val="00BD4D90"/>
    <w:rsid w:val="00BE0A9B"/>
    <w:rsid w:val="00BE0BC4"/>
    <w:rsid w:val="00BE1236"/>
    <w:rsid w:val="00BE1D54"/>
    <w:rsid w:val="00BE272A"/>
    <w:rsid w:val="00BE2819"/>
    <w:rsid w:val="00BE2A3D"/>
    <w:rsid w:val="00BE3BA3"/>
    <w:rsid w:val="00BE55C6"/>
    <w:rsid w:val="00BE6F07"/>
    <w:rsid w:val="00BF17A6"/>
    <w:rsid w:val="00BF573B"/>
    <w:rsid w:val="00BF580B"/>
    <w:rsid w:val="00BF7009"/>
    <w:rsid w:val="00C01D90"/>
    <w:rsid w:val="00C03A0D"/>
    <w:rsid w:val="00C03B84"/>
    <w:rsid w:val="00C040AD"/>
    <w:rsid w:val="00C04CC2"/>
    <w:rsid w:val="00C06AD2"/>
    <w:rsid w:val="00C07611"/>
    <w:rsid w:val="00C076B7"/>
    <w:rsid w:val="00C07BF0"/>
    <w:rsid w:val="00C07C7D"/>
    <w:rsid w:val="00C07D74"/>
    <w:rsid w:val="00C10680"/>
    <w:rsid w:val="00C1084E"/>
    <w:rsid w:val="00C12D14"/>
    <w:rsid w:val="00C14424"/>
    <w:rsid w:val="00C14606"/>
    <w:rsid w:val="00C151BF"/>
    <w:rsid w:val="00C15374"/>
    <w:rsid w:val="00C153F3"/>
    <w:rsid w:val="00C15AD3"/>
    <w:rsid w:val="00C17CDE"/>
    <w:rsid w:val="00C213E7"/>
    <w:rsid w:val="00C22E61"/>
    <w:rsid w:val="00C24692"/>
    <w:rsid w:val="00C24922"/>
    <w:rsid w:val="00C27154"/>
    <w:rsid w:val="00C27C5D"/>
    <w:rsid w:val="00C31BB8"/>
    <w:rsid w:val="00C32A92"/>
    <w:rsid w:val="00C33CBD"/>
    <w:rsid w:val="00C340A1"/>
    <w:rsid w:val="00C367C0"/>
    <w:rsid w:val="00C368CC"/>
    <w:rsid w:val="00C3723C"/>
    <w:rsid w:val="00C3764A"/>
    <w:rsid w:val="00C37817"/>
    <w:rsid w:val="00C37D8E"/>
    <w:rsid w:val="00C4023D"/>
    <w:rsid w:val="00C41909"/>
    <w:rsid w:val="00C449EC"/>
    <w:rsid w:val="00C45CB5"/>
    <w:rsid w:val="00C47888"/>
    <w:rsid w:val="00C51B1B"/>
    <w:rsid w:val="00C52174"/>
    <w:rsid w:val="00C534EB"/>
    <w:rsid w:val="00C5452C"/>
    <w:rsid w:val="00C5454A"/>
    <w:rsid w:val="00C552C3"/>
    <w:rsid w:val="00C55712"/>
    <w:rsid w:val="00C5797F"/>
    <w:rsid w:val="00C614BE"/>
    <w:rsid w:val="00C61CBC"/>
    <w:rsid w:val="00C61D3F"/>
    <w:rsid w:val="00C6211B"/>
    <w:rsid w:val="00C643BF"/>
    <w:rsid w:val="00C64F71"/>
    <w:rsid w:val="00C650C3"/>
    <w:rsid w:val="00C655C4"/>
    <w:rsid w:val="00C660F3"/>
    <w:rsid w:val="00C70995"/>
    <w:rsid w:val="00C7107C"/>
    <w:rsid w:val="00C751A8"/>
    <w:rsid w:val="00C769CA"/>
    <w:rsid w:val="00C76AF2"/>
    <w:rsid w:val="00C77B4E"/>
    <w:rsid w:val="00C77F53"/>
    <w:rsid w:val="00C827E7"/>
    <w:rsid w:val="00C82D9E"/>
    <w:rsid w:val="00C83B54"/>
    <w:rsid w:val="00C84516"/>
    <w:rsid w:val="00C84D47"/>
    <w:rsid w:val="00C85817"/>
    <w:rsid w:val="00C867BB"/>
    <w:rsid w:val="00C877A7"/>
    <w:rsid w:val="00C87BC4"/>
    <w:rsid w:val="00C9001C"/>
    <w:rsid w:val="00C90975"/>
    <w:rsid w:val="00C91E23"/>
    <w:rsid w:val="00C92CA4"/>
    <w:rsid w:val="00C94908"/>
    <w:rsid w:val="00C94948"/>
    <w:rsid w:val="00C94D16"/>
    <w:rsid w:val="00C95BDD"/>
    <w:rsid w:val="00C95E9A"/>
    <w:rsid w:val="00C9666F"/>
    <w:rsid w:val="00C97323"/>
    <w:rsid w:val="00C978AE"/>
    <w:rsid w:val="00CA02EE"/>
    <w:rsid w:val="00CA0CD0"/>
    <w:rsid w:val="00CA1A45"/>
    <w:rsid w:val="00CA34FB"/>
    <w:rsid w:val="00CA3FB0"/>
    <w:rsid w:val="00CA4F37"/>
    <w:rsid w:val="00CA519F"/>
    <w:rsid w:val="00CA5E36"/>
    <w:rsid w:val="00CA644D"/>
    <w:rsid w:val="00CB1E90"/>
    <w:rsid w:val="00CB2527"/>
    <w:rsid w:val="00CB3C41"/>
    <w:rsid w:val="00CB512E"/>
    <w:rsid w:val="00CB6293"/>
    <w:rsid w:val="00CB7E20"/>
    <w:rsid w:val="00CC2F98"/>
    <w:rsid w:val="00CC540E"/>
    <w:rsid w:val="00CC7766"/>
    <w:rsid w:val="00CD0D45"/>
    <w:rsid w:val="00CD3C57"/>
    <w:rsid w:val="00CD5119"/>
    <w:rsid w:val="00CD5A74"/>
    <w:rsid w:val="00CD5EE3"/>
    <w:rsid w:val="00CD6AAC"/>
    <w:rsid w:val="00CE264A"/>
    <w:rsid w:val="00CF01A3"/>
    <w:rsid w:val="00CF2802"/>
    <w:rsid w:val="00CF482F"/>
    <w:rsid w:val="00CF4882"/>
    <w:rsid w:val="00CF4A49"/>
    <w:rsid w:val="00CF4E04"/>
    <w:rsid w:val="00CF572A"/>
    <w:rsid w:val="00CF5882"/>
    <w:rsid w:val="00CF5A74"/>
    <w:rsid w:val="00D00992"/>
    <w:rsid w:val="00D010C4"/>
    <w:rsid w:val="00D011BB"/>
    <w:rsid w:val="00D01393"/>
    <w:rsid w:val="00D01879"/>
    <w:rsid w:val="00D03166"/>
    <w:rsid w:val="00D04DD8"/>
    <w:rsid w:val="00D06066"/>
    <w:rsid w:val="00D062DD"/>
    <w:rsid w:val="00D07BED"/>
    <w:rsid w:val="00D10C3B"/>
    <w:rsid w:val="00D11B66"/>
    <w:rsid w:val="00D13749"/>
    <w:rsid w:val="00D13EA4"/>
    <w:rsid w:val="00D15734"/>
    <w:rsid w:val="00D157E4"/>
    <w:rsid w:val="00D17869"/>
    <w:rsid w:val="00D22C8E"/>
    <w:rsid w:val="00D23A67"/>
    <w:rsid w:val="00D2423F"/>
    <w:rsid w:val="00D25675"/>
    <w:rsid w:val="00D26C9B"/>
    <w:rsid w:val="00D27708"/>
    <w:rsid w:val="00D2781B"/>
    <w:rsid w:val="00D313AB"/>
    <w:rsid w:val="00D31C72"/>
    <w:rsid w:val="00D34361"/>
    <w:rsid w:val="00D359CF"/>
    <w:rsid w:val="00D35C55"/>
    <w:rsid w:val="00D35D5C"/>
    <w:rsid w:val="00D35F80"/>
    <w:rsid w:val="00D448CA"/>
    <w:rsid w:val="00D44DE5"/>
    <w:rsid w:val="00D45873"/>
    <w:rsid w:val="00D46D87"/>
    <w:rsid w:val="00D47584"/>
    <w:rsid w:val="00D47627"/>
    <w:rsid w:val="00D5034D"/>
    <w:rsid w:val="00D504BD"/>
    <w:rsid w:val="00D511B9"/>
    <w:rsid w:val="00D51678"/>
    <w:rsid w:val="00D5226B"/>
    <w:rsid w:val="00D522B3"/>
    <w:rsid w:val="00D53586"/>
    <w:rsid w:val="00D53A48"/>
    <w:rsid w:val="00D541A6"/>
    <w:rsid w:val="00D56FB9"/>
    <w:rsid w:val="00D618DA"/>
    <w:rsid w:val="00D61C20"/>
    <w:rsid w:val="00D61EBE"/>
    <w:rsid w:val="00D624E6"/>
    <w:rsid w:val="00D6396D"/>
    <w:rsid w:val="00D673B5"/>
    <w:rsid w:val="00D70B89"/>
    <w:rsid w:val="00D71974"/>
    <w:rsid w:val="00D71BB0"/>
    <w:rsid w:val="00D754FF"/>
    <w:rsid w:val="00D757F1"/>
    <w:rsid w:val="00D7614D"/>
    <w:rsid w:val="00D76EC8"/>
    <w:rsid w:val="00D76F5C"/>
    <w:rsid w:val="00D77AA7"/>
    <w:rsid w:val="00D82426"/>
    <w:rsid w:val="00D82885"/>
    <w:rsid w:val="00D85FE0"/>
    <w:rsid w:val="00D873E2"/>
    <w:rsid w:val="00D873FC"/>
    <w:rsid w:val="00D9003D"/>
    <w:rsid w:val="00D9036D"/>
    <w:rsid w:val="00D90818"/>
    <w:rsid w:val="00D90B98"/>
    <w:rsid w:val="00D90CBC"/>
    <w:rsid w:val="00D925C5"/>
    <w:rsid w:val="00D94DDA"/>
    <w:rsid w:val="00D9608F"/>
    <w:rsid w:val="00D96DA4"/>
    <w:rsid w:val="00D97FF0"/>
    <w:rsid w:val="00DA05DD"/>
    <w:rsid w:val="00DA0D70"/>
    <w:rsid w:val="00DA29AA"/>
    <w:rsid w:val="00DA525A"/>
    <w:rsid w:val="00DA720A"/>
    <w:rsid w:val="00DA75F3"/>
    <w:rsid w:val="00DB0327"/>
    <w:rsid w:val="00DB1EDE"/>
    <w:rsid w:val="00DB5DF3"/>
    <w:rsid w:val="00DB7B78"/>
    <w:rsid w:val="00DB7B7C"/>
    <w:rsid w:val="00DC0F4B"/>
    <w:rsid w:val="00DC178B"/>
    <w:rsid w:val="00DC3809"/>
    <w:rsid w:val="00DC4029"/>
    <w:rsid w:val="00DC46C6"/>
    <w:rsid w:val="00DC5F05"/>
    <w:rsid w:val="00DC6A3C"/>
    <w:rsid w:val="00DC726D"/>
    <w:rsid w:val="00DD1E54"/>
    <w:rsid w:val="00DD23E6"/>
    <w:rsid w:val="00DD28F2"/>
    <w:rsid w:val="00DD309A"/>
    <w:rsid w:val="00DD31EA"/>
    <w:rsid w:val="00DD44E4"/>
    <w:rsid w:val="00DD4550"/>
    <w:rsid w:val="00DD5048"/>
    <w:rsid w:val="00DD5C04"/>
    <w:rsid w:val="00DD6343"/>
    <w:rsid w:val="00DD6C59"/>
    <w:rsid w:val="00DD716F"/>
    <w:rsid w:val="00DE019B"/>
    <w:rsid w:val="00DE2124"/>
    <w:rsid w:val="00DE299D"/>
    <w:rsid w:val="00DE3197"/>
    <w:rsid w:val="00DE3724"/>
    <w:rsid w:val="00DE3F99"/>
    <w:rsid w:val="00DE41AD"/>
    <w:rsid w:val="00DE47C5"/>
    <w:rsid w:val="00DE5EAB"/>
    <w:rsid w:val="00DF0D52"/>
    <w:rsid w:val="00DF13F9"/>
    <w:rsid w:val="00DF1CF3"/>
    <w:rsid w:val="00DF747A"/>
    <w:rsid w:val="00DF762D"/>
    <w:rsid w:val="00E0016D"/>
    <w:rsid w:val="00E00EF4"/>
    <w:rsid w:val="00E02BB9"/>
    <w:rsid w:val="00E02C36"/>
    <w:rsid w:val="00E02E3C"/>
    <w:rsid w:val="00E03E43"/>
    <w:rsid w:val="00E04901"/>
    <w:rsid w:val="00E06253"/>
    <w:rsid w:val="00E10723"/>
    <w:rsid w:val="00E110A6"/>
    <w:rsid w:val="00E1133E"/>
    <w:rsid w:val="00E1316D"/>
    <w:rsid w:val="00E14CAA"/>
    <w:rsid w:val="00E14E45"/>
    <w:rsid w:val="00E160BE"/>
    <w:rsid w:val="00E16152"/>
    <w:rsid w:val="00E16E5F"/>
    <w:rsid w:val="00E173C6"/>
    <w:rsid w:val="00E17808"/>
    <w:rsid w:val="00E17996"/>
    <w:rsid w:val="00E21469"/>
    <w:rsid w:val="00E24773"/>
    <w:rsid w:val="00E249DF"/>
    <w:rsid w:val="00E25C63"/>
    <w:rsid w:val="00E27A4F"/>
    <w:rsid w:val="00E27D39"/>
    <w:rsid w:val="00E30206"/>
    <w:rsid w:val="00E302B8"/>
    <w:rsid w:val="00E318F4"/>
    <w:rsid w:val="00E32CFF"/>
    <w:rsid w:val="00E32DAD"/>
    <w:rsid w:val="00E33DC4"/>
    <w:rsid w:val="00E36011"/>
    <w:rsid w:val="00E37891"/>
    <w:rsid w:val="00E37AD5"/>
    <w:rsid w:val="00E40306"/>
    <w:rsid w:val="00E40CD5"/>
    <w:rsid w:val="00E425A0"/>
    <w:rsid w:val="00E431DA"/>
    <w:rsid w:val="00E43BDD"/>
    <w:rsid w:val="00E43E72"/>
    <w:rsid w:val="00E476DC"/>
    <w:rsid w:val="00E50D46"/>
    <w:rsid w:val="00E52B45"/>
    <w:rsid w:val="00E55ACE"/>
    <w:rsid w:val="00E57360"/>
    <w:rsid w:val="00E57F04"/>
    <w:rsid w:val="00E60BA8"/>
    <w:rsid w:val="00E61DB0"/>
    <w:rsid w:val="00E62F0E"/>
    <w:rsid w:val="00E638D3"/>
    <w:rsid w:val="00E6725A"/>
    <w:rsid w:val="00E7153F"/>
    <w:rsid w:val="00E73E5E"/>
    <w:rsid w:val="00E74BFD"/>
    <w:rsid w:val="00E74EC7"/>
    <w:rsid w:val="00E75BC7"/>
    <w:rsid w:val="00E75FA7"/>
    <w:rsid w:val="00E77E2E"/>
    <w:rsid w:val="00E81A0E"/>
    <w:rsid w:val="00E81AB9"/>
    <w:rsid w:val="00E82298"/>
    <w:rsid w:val="00E82810"/>
    <w:rsid w:val="00E83624"/>
    <w:rsid w:val="00E84751"/>
    <w:rsid w:val="00E8544C"/>
    <w:rsid w:val="00E858BA"/>
    <w:rsid w:val="00E85BAB"/>
    <w:rsid w:val="00E86E77"/>
    <w:rsid w:val="00E900A0"/>
    <w:rsid w:val="00E90DB9"/>
    <w:rsid w:val="00E91EB4"/>
    <w:rsid w:val="00E91FF5"/>
    <w:rsid w:val="00E9237A"/>
    <w:rsid w:val="00E92789"/>
    <w:rsid w:val="00E92CBF"/>
    <w:rsid w:val="00E949CA"/>
    <w:rsid w:val="00E97287"/>
    <w:rsid w:val="00E97C8C"/>
    <w:rsid w:val="00EA010C"/>
    <w:rsid w:val="00EA15CB"/>
    <w:rsid w:val="00EA1A2C"/>
    <w:rsid w:val="00EA1B53"/>
    <w:rsid w:val="00EA2DA1"/>
    <w:rsid w:val="00EA38CC"/>
    <w:rsid w:val="00EA38F3"/>
    <w:rsid w:val="00EA3D3F"/>
    <w:rsid w:val="00EA4212"/>
    <w:rsid w:val="00EA53E7"/>
    <w:rsid w:val="00EA6382"/>
    <w:rsid w:val="00EA6674"/>
    <w:rsid w:val="00EA7144"/>
    <w:rsid w:val="00EA7992"/>
    <w:rsid w:val="00EB3576"/>
    <w:rsid w:val="00EB579E"/>
    <w:rsid w:val="00EB5B4B"/>
    <w:rsid w:val="00EB766D"/>
    <w:rsid w:val="00EC027E"/>
    <w:rsid w:val="00EC1E06"/>
    <w:rsid w:val="00EC2A5D"/>
    <w:rsid w:val="00EC69F0"/>
    <w:rsid w:val="00EC6EFE"/>
    <w:rsid w:val="00EC6F5B"/>
    <w:rsid w:val="00ED033D"/>
    <w:rsid w:val="00ED1F42"/>
    <w:rsid w:val="00ED64FA"/>
    <w:rsid w:val="00ED6C36"/>
    <w:rsid w:val="00ED6EA9"/>
    <w:rsid w:val="00EE0334"/>
    <w:rsid w:val="00EE0B78"/>
    <w:rsid w:val="00EE0FE5"/>
    <w:rsid w:val="00EE178B"/>
    <w:rsid w:val="00EE2064"/>
    <w:rsid w:val="00EE25B8"/>
    <w:rsid w:val="00EE39EA"/>
    <w:rsid w:val="00EE4683"/>
    <w:rsid w:val="00EE56C2"/>
    <w:rsid w:val="00EE6948"/>
    <w:rsid w:val="00EE6C95"/>
    <w:rsid w:val="00EF15CF"/>
    <w:rsid w:val="00EF213B"/>
    <w:rsid w:val="00EF2262"/>
    <w:rsid w:val="00EF5B98"/>
    <w:rsid w:val="00EF6DF3"/>
    <w:rsid w:val="00EF7086"/>
    <w:rsid w:val="00EF7B2B"/>
    <w:rsid w:val="00F0086F"/>
    <w:rsid w:val="00F01B8E"/>
    <w:rsid w:val="00F021EA"/>
    <w:rsid w:val="00F0221E"/>
    <w:rsid w:val="00F02322"/>
    <w:rsid w:val="00F0326A"/>
    <w:rsid w:val="00F03478"/>
    <w:rsid w:val="00F03AED"/>
    <w:rsid w:val="00F0472D"/>
    <w:rsid w:val="00F04898"/>
    <w:rsid w:val="00F0506C"/>
    <w:rsid w:val="00F068DC"/>
    <w:rsid w:val="00F1015C"/>
    <w:rsid w:val="00F10BB2"/>
    <w:rsid w:val="00F13079"/>
    <w:rsid w:val="00F13918"/>
    <w:rsid w:val="00F13AB5"/>
    <w:rsid w:val="00F14692"/>
    <w:rsid w:val="00F16277"/>
    <w:rsid w:val="00F20729"/>
    <w:rsid w:val="00F214EE"/>
    <w:rsid w:val="00F21D59"/>
    <w:rsid w:val="00F226EC"/>
    <w:rsid w:val="00F23643"/>
    <w:rsid w:val="00F237A7"/>
    <w:rsid w:val="00F25900"/>
    <w:rsid w:val="00F25F63"/>
    <w:rsid w:val="00F276C7"/>
    <w:rsid w:val="00F310D2"/>
    <w:rsid w:val="00F325B6"/>
    <w:rsid w:val="00F32872"/>
    <w:rsid w:val="00F3351F"/>
    <w:rsid w:val="00F34D7D"/>
    <w:rsid w:val="00F34DCC"/>
    <w:rsid w:val="00F371EB"/>
    <w:rsid w:val="00F37580"/>
    <w:rsid w:val="00F37D00"/>
    <w:rsid w:val="00F40087"/>
    <w:rsid w:val="00F439D0"/>
    <w:rsid w:val="00F4489C"/>
    <w:rsid w:val="00F4522C"/>
    <w:rsid w:val="00F45A31"/>
    <w:rsid w:val="00F45ED3"/>
    <w:rsid w:val="00F46D8C"/>
    <w:rsid w:val="00F47340"/>
    <w:rsid w:val="00F479D1"/>
    <w:rsid w:val="00F47AE0"/>
    <w:rsid w:val="00F47CD5"/>
    <w:rsid w:val="00F50D8C"/>
    <w:rsid w:val="00F51025"/>
    <w:rsid w:val="00F518CE"/>
    <w:rsid w:val="00F53ABD"/>
    <w:rsid w:val="00F5409D"/>
    <w:rsid w:val="00F5463A"/>
    <w:rsid w:val="00F54B91"/>
    <w:rsid w:val="00F56381"/>
    <w:rsid w:val="00F5722B"/>
    <w:rsid w:val="00F57492"/>
    <w:rsid w:val="00F57FA9"/>
    <w:rsid w:val="00F61BEE"/>
    <w:rsid w:val="00F61FA5"/>
    <w:rsid w:val="00F63135"/>
    <w:rsid w:val="00F63B4C"/>
    <w:rsid w:val="00F64DE1"/>
    <w:rsid w:val="00F651C6"/>
    <w:rsid w:val="00F6733D"/>
    <w:rsid w:val="00F70473"/>
    <w:rsid w:val="00F71CBA"/>
    <w:rsid w:val="00F71D7A"/>
    <w:rsid w:val="00F72657"/>
    <w:rsid w:val="00F72AD3"/>
    <w:rsid w:val="00F74121"/>
    <w:rsid w:val="00F76151"/>
    <w:rsid w:val="00F76638"/>
    <w:rsid w:val="00F772E1"/>
    <w:rsid w:val="00F777CE"/>
    <w:rsid w:val="00F77FAF"/>
    <w:rsid w:val="00F81E4F"/>
    <w:rsid w:val="00F82873"/>
    <w:rsid w:val="00F8399E"/>
    <w:rsid w:val="00F84C17"/>
    <w:rsid w:val="00F86A95"/>
    <w:rsid w:val="00F8729E"/>
    <w:rsid w:val="00F90BC6"/>
    <w:rsid w:val="00F91057"/>
    <w:rsid w:val="00F91896"/>
    <w:rsid w:val="00F92288"/>
    <w:rsid w:val="00F923F0"/>
    <w:rsid w:val="00F924E7"/>
    <w:rsid w:val="00F93480"/>
    <w:rsid w:val="00F938D2"/>
    <w:rsid w:val="00F9462B"/>
    <w:rsid w:val="00F94772"/>
    <w:rsid w:val="00F9745D"/>
    <w:rsid w:val="00FA187C"/>
    <w:rsid w:val="00FA2350"/>
    <w:rsid w:val="00FA2B27"/>
    <w:rsid w:val="00FA3BB1"/>
    <w:rsid w:val="00FA47BD"/>
    <w:rsid w:val="00FA54DA"/>
    <w:rsid w:val="00FA59E8"/>
    <w:rsid w:val="00FA5EFB"/>
    <w:rsid w:val="00FA6362"/>
    <w:rsid w:val="00FA65E8"/>
    <w:rsid w:val="00FA7133"/>
    <w:rsid w:val="00FA78D6"/>
    <w:rsid w:val="00FB10EB"/>
    <w:rsid w:val="00FB1DFC"/>
    <w:rsid w:val="00FB2DFF"/>
    <w:rsid w:val="00FB4FF8"/>
    <w:rsid w:val="00FB6502"/>
    <w:rsid w:val="00FB6541"/>
    <w:rsid w:val="00FB67DD"/>
    <w:rsid w:val="00FB6B87"/>
    <w:rsid w:val="00FB771B"/>
    <w:rsid w:val="00FC0098"/>
    <w:rsid w:val="00FC06AE"/>
    <w:rsid w:val="00FC10D6"/>
    <w:rsid w:val="00FC2BC7"/>
    <w:rsid w:val="00FC2D7C"/>
    <w:rsid w:val="00FC36F7"/>
    <w:rsid w:val="00FC48F9"/>
    <w:rsid w:val="00FC78DE"/>
    <w:rsid w:val="00FC7BE4"/>
    <w:rsid w:val="00FD3FF8"/>
    <w:rsid w:val="00FD64AB"/>
    <w:rsid w:val="00FD6E23"/>
    <w:rsid w:val="00FE0C92"/>
    <w:rsid w:val="00FE0D29"/>
    <w:rsid w:val="00FE2480"/>
    <w:rsid w:val="00FE24FE"/>
    <w:rsid w:val="00FE30D2"/>
    <w:rsid w:val="00FE3159"/>
    <w:rsid w:val="00FE3D94"/>
    <w:rsid w:val="00FE45D4"/>
    <w:rsid w:val="00FF16EE"/>
    <w:rsid w:val="00FF22F5"/>
    <w:rsid w:val="00FF3658"/>
    <w:rsid w:val="00FF3D8D"/>
    <w:rsid w:val="00FF4D9D"/>
    <w:rsid w:val="00FF4E37"/>
    <w:rsid w:val="00FF5927"/>
    <w:rsid w:val="00FF6434"/>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391B"/>
  <w15:docId w15:val="{C0C9EDE7-8D7B-7347-88A7-70E7F88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7D8E"/>
    <w:pPr>
      <w:spacing w:before="120" w:after="120" w:line="360" w:lineRule="auto"/>
    </w:pPr>
    <w:rPr>
      <w:rFonts w:ascii="Book Antiqua" w:eastAsia="Times New Roman" w:hAnsi="Book Antiqua"/>
      <w:szCs w:val="22"/>
      <w:lang w:eastAsia="en-US"/>
    </w:rPr>
  </w:style>
  <w:style w:type="paragraph" w:styleId="Heading1">
    <w:name w:val="heading 1"/>
    <w:basedOn w:val="Normal"/>
    <w:next w:val="Normal"/>
    <w:link w:val="Heading1Char"/>
    <w:qFormat/>
    <w:rsid w:val="00627B9E"/>
    <w:pPr>
      <w:keepNext/>
      <w:keepLines/>
      <w:spacing w:before="480" w:after="0"/>
      <w:outlineLvl w:val="0"/>
    </w:pPr>
    <w:rPr>
      <w:rFonts w:eastAsia="Calibri"/>
      <w:b/>
      <w:bCs/>
      <w:caps/>
      <w:szCs w:val="28"/>
      <w:lang w:eastAsia="en-GB"/>
    </w:rPr>
  </w:style>
  <w:style w:type="paragraph" w:styleId="Heading2">
    <w:name w:val="heading 2"/>
    <w:basedOn w:val="Normal"/>
    <w:next w:val="Normal"/>
    <w:link w:val="Heading2Char"/>
    <w:qFormat/>
    <w:rsid w:val="00592F98"/>
    <w:pPr>
      <w:keepNext/>
      <w:keepLines/>
      <w:outlineLvl w:val="1"/>
    </w:pPr>
    <w:rPr>
      <w:rFonts w:eastAsia="MS ????"/>
      <w:b/>
      <w:bCs/>
      <w:i/>
      <w:szCs w:val="26"/>
    </w:rPr>
  </w:style>
  <w:style w:type="paragraph" w:styleId="Heading3">
    <w:name w:val="heading 3"/>
    <w:basedOn w:val="Heading2"/>
    <w:next w:val="Normal"/>
    <w:link w:val="Heading3Char"/>
    <w:unhideWhenUsed/>
    <w:qFormat/>
    <w:locked/>
    <w:rsid w:val="00685A9A"/>
    <w:pPr>
      <w:outlineLvl w:val="2"/>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75608"/>
    <w:pPr>
      <w:spacing w:before="100" w:beforeAutospacing="1" w:after="100" w:afterAutospacing="1"/>
    </w:pPr>
    <w:rPr>
      <w:rFonts w:eastAsia="Calibri"/>
      <w:szCs w:val="24"/>
      <w:lang w:eastAsia="en-GB"/>
    </w:rPr>
  </w:style>
  <w:style w:type="paragraph" w:styleId="HTMLPreformatted">
    <w:name w:val="HTML Preformatted"/>
    <w:basedOn w:val="Normal"/>
    <w:link w:val="HTMLPreformattedChar"/>
    <w:semiHidden/>
    <w:rsid w:val="0007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alibri" w:hAnsi="Courier New"/>
      <w:sz w:val="20"/>
      <w:szCs w:val="20"/>
      <w:lang w:eastAsia="en-GB"/>
    </w:rPr>
  </w:style>
  <w:style w:type="character" w:customStyle="1" w:styleId="HTMLPreformattedChar">
    <w:name w:val="HTML Preformatted Char"/>
    <w:link w:val="HTMLPreformatted"/>
    <w:semiHidden/>
    <w:locked/>
    <w:rsid w:val="00075608"/>
    <w:rPr>
      <w:rFonts w:ascii="Courier New" w:hAnsi="Courier New" w:cs="Courier New"/>
      <w:sz w:val="20"/>
      <w:szCs w:val="20"/>
      <w:lang w:eastAsia="en-GB"/>
    </w:rPr>
  </w:style>
  <w:style w:type="character" w:styleId="Hyperlink">
    <w:name w:val="Hyperlink"/>
    <w:rsid w:val="00075608"/>
    <w:rPr>
      <w:rFonts w:cs="Times New Roman"/>
      <w:color w:val="0000FF"/>
      <w:u w:val="single"/>
    </w:rPr>
  </w:style>
  <w:style w:type="paragraph" w:customStyle="1" w:styleId="mstext">
    <w:name w:val="m/s text"/>
    <w:basedOn w:val="Normal"/>
    <w:rsid w:val="00075608"/>
    <w:pPr>
      <w:tabs>
        <w:tab w:val="left" w:pos="420"/>
      </w:tabs>
      <w:spacing w:before="0" w:after="360"/>
    </w:pPr>
    <w:rPr>
      <w:rFonts w:ascii="Helvetica" w:eastAsia="Calibri" w:hAnsi="Helvetica"/>
      <w:szCs w:val="20"/>
    </w:rPr>
  </w:style>
  <w:style w:type="character" w:styleId="Strong">
    <w:name w:val="Strong"/>
    <w:qFormat/>
    <w:rsid w:val="00C01D90"/>
    <w:rPr>
      <w:rFonts w:cs="Times New Roman"/>
      <w:b/>
      <w:bCs/>
    </w:rPr>
  </w:style>
  <w:style w:type="paragraph" w:customStyle="1" w:styleId="SubtleEmphasis1">
    <w:name w:val="Subtle Emphasis1"/>
    <w:basedOn w:val="Normal"/>
    <w:qFormat/>
    <w:rsid w:val="00E110A6"/>
    <w:pPr>
      <w:ind w:left="720"/>
      <w:contextualSpacing/>
    </w:pPr>
  </w:style>
  <w:style w:type="table" w:styleId="TableGrid">
    <w:name w:val="Table Grid"/>
    <w:basedOn w:val="TableNormal"/>
    <w:uiPriority w:val="99"/>
    <w:rsid w:val="00711B79"/>
    <w:pPr>
      <w:jc w:val="center"/>
    </w:pPr>
    <w:rPr>
      <w:rFonts w:ascii="Times New Roman" w:eastAsia="Times New Roman" w:hAnsi="Times New Roman"/>
      <w:sz w:val="20"/>
    </w:rPr>
    <w:tblPr/>
    <w:tcPr>
      <w:vAlign w:val="center"/>
    </w:tcPr>
    <w:tblStylePr w:type="firstRow">
      <w:pPr>
        <w:jc w:val="center"/>
      </w:pPr>
      <w:rPr>
        <w:b w:val="0"/>
      </w:rPr>
      <w:tblPr/>
      <w:tcPr>
        <w:tcBorders>
          <w:top w:val="single" w:sz="4" w:space="0" w:color="auto"/>
          <w:bottom w:val="single" w:sz="4" w:space="0" w:color="auto"/>
        </w:tcBorders>
      </w:tcPr>
    </w:tblStylePr>
    <w:tblStylePr w:type="lastRow">
      <w:tblPr/>
      <w:tcPr>
        <w:tcBorders>
          <w:bottom w:val="single" w:sz="4" w:space="0" w:color="auto"/>
        </w:tcBorders>
      </w:tcPr>
    </w:tblStylePr>
    <w:tblStylePr w:type="firstCol">
      <w:pPr>
        <w:wordWrap/>
        <w:jc w:val="left"/>
      </w:pPr>
    </w:tblStylePr>
  </w:style>
  <w:style w:type="paragraph" w:styleId="Caption">
    <w:name w:val="caption"/>
    <w:basedOn w:val="Normal"/>
    <w:next w:val="Normal"/>
    <w:uiPriority w:val="35"/>
    <w:unhideWhenUsed/>
    <w:qFormat/>
    <w:rsid w:val="00155CD1"/>
    <w:pPr>
      <w:keepLines/>
      <w:spacing w:before="0" w:after="240" w:line="264" w:lineRule="auto"/>
    </w:pPr>
    <w:rPr>
      <w:b/>
      <w:bCs/>
      <w:sz w:val="18"/>
      <w:szCs w:val="18"/>
      <w:lang w:eastAsia="en-GB"/>
    </w:rPr>
  </w:style>
  <w:style w:type="paragraph" w:styleId="BalloonText">
    <w:name w:val="Balloon Text"/>
    <w:basedOn w:val="Normal"/>
    <w:link w:val="BalloonTextChar"/>
    <w:semiHidden/>
    <w:rsid w:val="002653B1"/>
    <w:pPr>
      <w:spacing w:before="0" w:after="0"/>
    </w:pPr>
    <w:rPr>
      <w:rFonts w:ascii="Tahoma" w:eastAsia="Calibri" w:hAnsi="Tahoma"/>
      <w:sz w:val="16"/>
      <w:szCs w:val="16"/>
    </w:rPr>
  </w:style>
  <w:style w:type="character" w:customStyle="1" w:styleId="BalloonTextChar">
    <w:name w:val="Balloon Text Char"/>
    <w:link w:val="BalloonText"/>
    <w:semiHidden/>
    <w:locked/>
    <w:rsid w:val="002653B1"/>
    <w:rPr>
      <w:rFonts w:ascii="Tahoma" w:hAnsi="Tahoma" w:cs="Tahoma"/>
      <w:sz w:val="16"/>
      <w:szCs w:val="16"/>
    </w:rPr>
  </w:style>
  <w:style w:type="table" w:customStyle="1" w:styleId="LightShading-Accent51">
    <w:name w:val="Light Shading - Accent 51"/>
    <w:rsid w:val="00655A4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Grid-Accent11">
    <w:name w:val="Light Grid - Accent 11"/>
    <w:rsid w:val="00655A48"/>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51">
    <w:name w:val="Medium Grid 1 - Accent 51"/>
    <w:rsid w:val="00655A48"/>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customStyle="1" w:styleId="contentforperma">
    <w:name w:val="content_for_perma"/>
    <w:rsid w:val="00914EF9"/>
    <w:rPr>
      <w:rFonts w:cs="Times New Roman"/>
    </w:rPr>
  </w:style>
  <w:style w:type="character" w:customStyle="1" w:styleId="Heading1Char">
    <w:name w:val="Heading 1 Char"/>
    <w:link w:val="Heading1"/>
    <w:locked/>
    <w:rsid w:val="00627B9E"/>
    <w:rPr>
      <w:rFonts w:ascii="Times New Roman" w:hAnsi="Times New Roman"/>
      <w:b/>
      <w:bCs/>
      <w:caps/>
      <w:szCs w:val="28"/>
    </w:rPr>
  </w:style>
  <w:style w:type="character" w:customStyle="1" w:styleId="Heading2Char">
    <w:name w:val="Heading 2 Char"/>
    <w:link w:val="Heading2"/>
    <w:locked/>
    <w:rsid w:val="00592F98"/>
    <w:rPr>
      <w:rFonts w:ascii="Book Antiqua" w:eastAsia="MS ????" w:hAnsi="Book Antiqua"/>
      <w:b/>
      <w:bCs/>
      <w:i/>
      <w:szCs w:val="26"/>
      <w:lang w:eastAsia="en-US"/>
    </w:rPr>
  </w:style>
  <w:style w:type="paragraph" w:styleId="Header">
    <w:name w:val="header"/>
    <w:basedOn w:val="Normal"/>
    <w:link w:val="HeaderChar"/>
    <w:rsid w:val="00515162"/>
    <w:pPr>
      <w:tabs>
        <w:tab w:val="center" w:pos="4513"/>
        <w:tab w:val="right" w:pos="9026"/>
      </w:tabs>
      <w:spacing w:before="0" w:after="0"/>
    </w:pPr>
    <w:rPr>
      <w:rFonts w:eastAsia="Calibri"/>
      <w:sz w:val="18"/>
      <w:szCs w:val="20"/>
    </w:rPr>
  </w:style>
  <w:style w:type="character" w:customStyle="1" w:styleId="HeaderChar">
    <w:name w:val="Header Char"/>
    <w:link w:val="Header"/>
    <w:locked/>
    <w:rsid w:val="00515162"/>
    <w:rPr>
      <w:rFonts w:ascii="Times New Roman" w:hAnsi="Times New Roman" w:cs="Times New Roman"/>
      <w:sz w:val="18"/>
    </w:rPr>
  </w:style>
  <w:style w:type="paragraph" w:styleId="Footer">
    <w:name w:val="footer"/>
    <w:basedOn w:val="Normal"/>
    <w:link w:val="FooterChar"/>
    <w:rsid w:val="009A028F"/>
    <w:pPr>
      <w:tabs>
        <w:tab w:val="center" w:pos="4513"/>
        <w:tab w:val="right" w:pos="9026"/>
      </w:tabs>
      <w:spacing w:before="0" w:after="0"/>
    </w:pPr>
    <w:rPr>
      <w:rFonts w:eastAsia="Calibri"/>
      <w:sz w:val="18"/>
    </w:rPr>
  </w:style>
  <w:style w:type="character" w:customStyle="1" w:styleId="FooterChar">
    <w:name w:val="Footer Char"/>
    <w:link w:val="Footer"/>
    <w:locked/>
    <w:rsid w:val="009A028F"/>
    <w:rPr>
      <w:rFonts w:ascii="Times New Roman" w:hAnsi="Times New Roman"/>
      <w:sz w:val="18"/>
      <w:szCs w:val="22"/>
      <w:lang w:val="en-GB"/>
    </w:rPr>
  </w:style>
  <w:style w:type="paragraph" w:styleId="DocumentMap">
    <w:name w:val="Document Map"/>
    <w:basedOn w:val="Normal"/>
    <w:link w:val="DocumentMapChar"/>
    <w:semiHidden/>
    <w:rsid w:val="00F86A95"/>
    <w:pPr>
      <w:spacing w:before="0" w:after="0"/>
    </w:pPr>
    <w:rPr>
      <w:rFonts w:ascii="Tahoma" w:eastAsia="Calibri" w:hAnsi="Tahoma"/>
      <w:sz w:val="16"/>
      <w:szCs w:val="16"/>
    </w:rPr>
  </w:style>
  <w:style w:type="character" w:customStyle="1" w:styleId="DocumentMapChar">
    <w:name w:val="Document Map Char"/>
    <w:link w:val="DocumentMap"/>
    <w:semiHidden/>
    <w:locked/>
    <w:rsid w:val="00F86A95"/>
    <w:rPr>
      <w:rFonts w:ascii="Tahoma" w:hAnsi="Tahoma" w:cs="Tahoma"/>
      <w:sz w:val="16"/>
      <w:szCs w:val="16"/>
    </w:rPr>
  </w:style>
  <w:style w:type="character" w:styleId="CommentReference">
    <w:name w:val="annotation reference"/>
    <w:uiPriority w:val="99"/>
    <w:semiHidden/>
    <w:rsid w:val="00F86A95"/>
    <w:rPr>
      <w:rFonts w:cs="Times New Roman"/>
      <w:sz w:val="16"/>
      <w:szCs w:val="16"/>
    </w:rPr>
  </w:style>
  <w:style w:type="paragraph" w:styleId="CommentText">
    <w:name w:val="annotation text"/>
    <w:basedOn w:val="Normal"/>
    <w:link w:val="CommentTextChar"/>
    <w:uiPriority w:val="99"/>
    <w:rsid w:val="00F86A95"/>
    <w:rPr>
      <w:rFonts w:ascii="Calibri" w:eastAsia="Calibri" w:hAnsi="Calibri"/>
      <w:sz w:val="20"/>
      <w:szCs w:val="20"/>
    </w:rPr>
  </w:style>
  <w:style w:type="character" w:customStyle="1" w:styleId="CommentTextChar">
    <w:name w:val="Comment Text Char"/>
    <w:link w:val="CommentText"/>
    <w:uiPriority w:val="99"/>
    <w:locked/>
    <w:rsid w:val="00F86A95"/>
    <w:rPr>
      <w:rFonts w:cs="Times New Roman"/>
      <w:sz w:val="20"/>
      <w:szCs w:val="20"/>
    </w:rPr>
  </w:style>
  <w:style w:type="paragraph" w:styleId="CommentSubject">
    <w:name w:val="annotation subject"/>
    <w:basedOn w:val="CommentText"/>
    <w:next w:val="CommentText"/>
    <w:link w:val="CommentSubjectChar"/>
    <w:semiHidden/>
    <w:rsid w:val="00F86A95"/>
    <w:rPr>
      <w:b/>
      <w:bCs/>
    </w:rPr>
  </w:style>
  <w:style w:type="character" w:customStyle="1" w:styleId="CommentSubjectChar">
    <w:name w:val="Comment Subject Char"/>
    <w:link w:val="CommentSubject"/>
    <w:semiHidden/>
    <w:locked/>
    <w:rsid w:val="00F86A95"/>
    <w:rPr>
      <w:rFonts w:cs="Times New Roman"/>
      <w:b/>
      <w:bCs/>
      <w:sz w:val="20"/>
      <w:szCs w:val="20"/>
    </w:rPr>
  </w:style>
  <w:style w:type="paragraph" w:customStyle="1" w:styleId="ColorfulGrid-Accent61">
    <w:name w:val="Colorful Grid - Accent 61"/>
    <w:hidden/>
    <w:semiHidden/>
    <w:rsid w:val="003B4966"/>
    <w:rPr>
      <w:rFonts w:eastAsia="Times New Roman"/>
      <w:sz w:val="22"/>
      <w:szCs w:val="22"/>
      <w:lang w:eastAsia="en-US"/>
    </w:rPr>
  </w:style>
  <w:style w:type="paragraph" w:styleId="EndnoteText">
    <w:name w:val="endnote text"/>
    <w:basedOn w:val="Normal"/>
    <w:link w:val="EndnoteTextChar"/>
    <w:rsid w:val="00CB512E"/>
    <w:pPr>
      <w:spacing w:before="0" w:after="0"/>
      <w:ind w:left="567" w:hanging="567"/>
    </w:pPr>
    <w:rPr>
      <w:rFonts w:eastAsia="Calibri"/>
      <w:szCs w:val="24"/>
    </w:rPr>
  </w:style>
  <w:style w:type="character" w:customStyle="1" w:styleId="EndnoteTextChar">
    <w:name w:val="Endnote Text Char"/>
    <w:link w:val="EndnoteText"/>
    <w:locked/>
    <w:rsid w:val="00CB512E"/>
    <w:rPr>
      <w:rFonts w:ascii="Times New Roman" w:hAnsi="Times New Roman" w:cs="Times New Roman"/>
      <w:sz w:val="24"/>
      <w:szCs w:val="24"/>
    </w:rPr>
  </w:style>
  <w:style w:type="character" w:customStyle="1" w:styleId="apple-converted-space">
    <w:name w:val="apple-converted-space"/>
    <w:rsid w:val="00A20A26"/>
    <w:rPr>
      <w:rFonts w:cs="Times New Roman"/>
    </w:rPr>
  </w:style>
  <w:style w:type="paragraph" w:customStyle="1" w:styleId="Tablefooter">
    <w:name w:val="Table footer"/>
    <w:basedOn w:val="Normal"/>
    <w:qFormat/>
    <w:rsid w:val="00C84D47"/>
    <w:pPr>
      <w:spacing w:before="0" w:after="0" w:line="264" w:lineRule="auto"/>
    </w:pPr>
    <w:rPr>
      <w:i/>
      <w:sz w:val="18"/>
      <w:szCs w:val="20"/>
    </w:rPr>
  </w:style>
  <w:style w:type="paragraph" w:customStyle="1" w:styleId="Bibliography1">
    <w:name w:val="Bibliography1"/>
    <w:basedOn w:val="Normal"/>
    <w:next w:val="Normal"/>
    <w:uiPriority w:val="37"/>
    <w:unhideWhenUsed/>
    <w:rsid w:val="006A0F26"/>
    <w:pPr>
      <w:tabs>
        <w:tab w:val="left" w:pos="380"/>
      </w:tabs>
      <w:spacing w:after="240"/>
      <w:ind w:left="384" w:hanging="384"/>
    </w:pPr>
  </w:style>
  <w:style w:type="paragraph" w:customStyle="1" w:styleId="Bibliography2">
    <w:name w:val="Bibliography2"/>
    <w:basedOn w:val="Normal"/>
    <w:next w:val="Normal"/>
    <w:uiPriority w:val="70"/>
    <w:rsid w:val="00834465"/>
  </w:style>
  <w:style w:type="paragraph" w:customStyle="1" w:styleId="MediumShading2-Accent61">
    <w:name w:val="Medium Shading 2 - Accent 61"/>
    <w:hidden/>
    <w:uiPriority w:val="71"/>
    <w:rsid w:val="00E40306"/>
    <w:rPr>
      <w:rFonts w:ascii="Times New Roman" w:eastAsia="Times New Roman" w:hAnsi="Times New Roman"/>
      <w:szCs w:val="22"/>
      <w:lang w:eastAsia="en-US"/>
    </w:rPr>
  </w:style>
  <w:style w:type="paragraph" w:customStyle="1" w:styleId="Bibliography3">
    <w:name w:val="Bibliography3"/>
    <w:basedOn w:val="Normal"/>
    <w:next w:val="Normal"/>
    <w:uiPriority w:val="70"/>
    <w:rsid w:val="00654382"/>
    <w:pPr>
      <w:tabs>
        <w:tab w:val="left" w:pos="500"/>
      </w:tabs>
      <w:spacing w:before="0" w:after="0"/>
      <w:ind w:left="505" w:hanging="505"/>
    </w:pPr>
  </w:style>
  <w:style w:type="character" w:styleId="Emphasis">
    <w:name w:val="Emphasis"/>
    <w:uiPriority w:val="20"/>
    <w:qFormat/>
    <w:locked/>
    <w:rsid w:val="00A81D0D"/>
    <w:rPr>
      <w:i/>
      <w:iCs/>
    </w:rPr>
  </w:style>
  <w:style w:type="paragraph" w:customStyle="1" w:styleId="MediumGrid3-Accent51">
    <w:name w:val="Medium Grid 3 - Accent 51"/>
    <w:hidden/>
    <w:uiPriority w:val="71"/>
    <w:rsid w:val="00DE2124"/>
    <w:rPr>
      <w:rFonts w:ascii="Times New Roman" w:eastAsia="Times New Roman" w:hAnsi="Times New Roman"/>
      <w:szCs w:val="22"/>
      <w:lang w:eastAsia="en-US"/>
    </w:rPr>
  </w:style>
  <w:style w:type="paragraph" w:customStyle="1" w:styleId="MediumList1-Accent41">
    <w:name w:val="Medium List 1 - Accent 41"/>
    <w:hidden/>
    <w:uiPriority w:val="71"/>
    <w:rsid w:val="00590F63"/>
    <w:rPr>
      <w:rFonts w:ascii="Times New Roman" w:eastAsia="Times New Roman" w:hAnsi="Times New Roman"/>
      <w:szCs w:val="22"/>
      <w:lang w:eastAsia="en-US"/>
    </w:rPr>
  </w:style>
  <w:style w:type="paragraph" w:customStyle="1" w:styleId="DarkList-Accent31">
    <w:name w:val="Dark List - Accent 31"/>
    <w:hidden/>
    <w:uiPriority w:val="71"/>
    <w:rsid w:val="000D666B"/>
    <w:rPr>
      <w:rFonts w:ascii="Times New Roman" w:eastAsia="Times New Roman" w:hAnsi="Times New Roman"/>
      <w:szCs w:val="22"/>
      <w:lang w:eastAsia="en-US"/>
    </w:rPr>
  </w:style>
  <w:style w:type="paragraph" w:customStyle="1" w:styleId="Bibliography4">
    <w:name w:val="Bibliography4"/>
    <w:basedOn w:val="Normal"/>
    <w:next w:val="Normal"/>
    <w:uiPriority w:val="70"/>
    <w:rsid w:val="008B4EBA"/>
    <w:pPr>
      <w:tabs>
        <w:tab w:val="left" w:pos="500"/>
      </w:tabs>
      <w:spacing w:after="240"/>
      <w:ind w:left="504" w:hanging="504"/>
    </w:pPr>
  </w:style>
  <w:style w:type="paragraph" w:customStyle="1" w:styleId="ColorfulShading-Accent11">
    <w:name w:val="Colorful Shading - Accent 11"/>
    <w:hidden/>
    <w:uiPriority w:val="71"/>
    <w:rsid w:val="00C17CDE"/>
    <w:rPr>
      <w:rFonts w:ascii="Times New Roman" w:eastAsia="Times New Roman" w:hAnsi="Times New Roman"/>
      <w:szCs w:val="22"/>
      <w:lang w:eastAsia="en-US"/>
    </w:rPr>
  </w:style>
  <w:style w:type="paragraph" w:styleId="Revision">
    <w:name w:val="Revision"/>
    <w:hidden/>
    <w:uiPriority w:val="71"/>
    <w:rsid w:val="00AA1BCD"/>
    <w:rPr>
      <w:rFonts w:ascii="Times New Roman" w:eastAsia="Times New Roman" w:hAnsi="Times New Roman"/>
      <w:szCs w:val="22"/>
      <w:lang w:eastAsia="en-US"/>
    </w:rPr>
  </w:style>
  <w:style w:type="paragraph" w:styleId="Bibliography">
    <w:name w:val="Bibliography"/>
    <w:basedOn w:val="Normal"/>
    <w:next w:val="Normal"/>
    <w:uiPriority w:val="70"/>
    <w:rsid w:val="00F6733D"/>
    <w:pPr>
      <w:tabs>
        <w:tab w:val="left" w:pos="500"/>
      </w:tabs>
      <w:ind w:left="505" w:hanging="505"/>
      <w:contextualSpacing/>
    </w:pPr>
  </w:style>
  <w:style w:type="paragraph" w:styleId="Title">
    <w:name w:val="Title"/>
    <w:basedOn w:val="Normal"/>
    <w:next w:val="Normal"/>
    <w:link w:val="TitleChar"/>
    <w:uiPriority w:val="10"/>
    <w:qFormat/>
    <w:locked/>
    <w:rsid w:val="00C37D8E"/>
    <w:pPr>
      <w:spacing w:before="0"/>
    </w:pPr>
    <w:rPr>
      <w:b/>
      <w:bCs/>
      <w:szCs w:val="24"/>
      <w:lang w:eastAsia="en-GB"/>
    </w:rPr>
  </w:style>
  <w:style w:type="character" w:customStyle="1" w:styleId="TitleChar">
    <w:name w:val="Title Char"/>
    <w:basedOn w:val="DefaultParagraphFont"/>
    <w:link w:val="Title"/>
    <w:uiPriority w:val="10"/>
    <w:rsid w:val="00C37D8E"/>
    <w:rPr>
      <w:rFonts w:ascii="Book Antiqua" w:eastAsia="Times New Roman" w:hAnsi="Book Antiqua"/>
      <w:b/>
      <w:bCs/>
    </w:rPr>
  </w:style>
  <w:style w:type="paragraph" w:styleId="Subtitle">
    <w:name w:val="Subtitle"/>
    <w:basedOn w:val="Normal"/>
    <w:next w:val="Normal"/>
    <w:link w:val="SubtitleChar"/>
    <w:qFormat/>
    <w:locked/>
    <w:rsid w:val="00F226EC"/>
    <w:pPr>
      <w:spacing w:before="0" w:after="0"/>
    </w:pPr>
    <w:rPr>
      <w:sz w:val="28"/>
      <w:szCs w:val="24"/>
      <w:lang w:eastAsia="en-GB"/>
    </w:rPr>
  </w:style>
  <w:style w:type="character" w:customStyle="1" w:styleId="SubtitleChar">
    <w:name w:val="Subtitle Char"/>
    <w:basedOn w:val="DefaultParagraphFont"/>
    <w:link w:val="Subtitle"/>
    <w:rsid w:val="00F226EC"/>
    <w:rPr>
      <w:rFonts w:ascii="Times New Roman" w:eastAsia="Times New Roman" w:hAnsi="Times New Roman"/>
      <w:sz w:val="28"/>
    </w:rPr>
  </w:style>
  <w:style w:type="paragraph" w:customStyle="1" w:styleId="Tables">
    <w:name w:val="Tables"/>
    <w:basedOn w:val="Normal"/>
    <w:link w:val="TablesChar"/>
    <w:qFormat/>
    <w:rsid w:val="00155CD1"/>
    <w:pPr>
      <w:keepNext/>
      <w:keepLines/>
      <w:spacing w:line="240" w:lineRule="auto"/>
      <w:jc w:val="center"/>
    </w:pPr>
    <w:rPr>
      <w:rFonts w:cs="Arial"/>
      <w:sz w:val="20"/>
      <w:szCs w:val="20"/>
      <w:lang w:eastAsia="en-GB"/>
    </w:rPr>
  </w:style>
  <w:style w:type="character" w:customStyle="1" w:styleId="TablesChar">
    <w:name w:val="Tables Char"/>
    <w:basedOn w:val="DefaultParagraphFont"/>
    <w:link w:val="Tables"/>
    <w:rsid w:val="00155CD1"/>
    <w:rPr>
      <w:rFonts w:ascii="Book Antiqua" w:eastAsia="Times New Roman" w:hAnsi="Book Antiqua" w:cs="Arial"/>
      <w:sz w:val="20"/>
      <w:szCs w:val="20"/>
    </w:rPr>
  </w:style>
  <w:style w:type="paragraph" w:customStyle="1" w:styleId="CaptionTables">
    <w:name w:val="Caption (Tables)"/>
    <w:basedOn w:val="Caption"/>
    <w:next w:val="Normal"/>
    <w:qFormat/>
    <w:rsid w:val="00155CD1"/>
    <w:pPr>
      <w:keepNext/>
      <w:spacing w:after="60"/>
    </w:pPr>
  </w:style>
  <w:style w:type="paragraph" w:customStyle="1" w:styleId="Figures">
    <w:name w:val="Figures"/>
    <w:basedOn w:val="Normal"/>
    <w:next w:val="Normal"/>
    <w:qFormat/>
    <w:rsid w:val="00F71D7A"/>
    <w:pPr>
      <w:keepNext/>
      <w:spacing w:before="0" w:after="0" w:line="264" w:lineRule="auto"/>
    </w:pPr>
    <w:rPr>
      <w:rFonts w:asciiTheme="minorHAnsi" w:hAnsiTheme="minorHAnsi"/>
      <w:noProof/>
      <w:szCs w:val="24"/>
      <w:lang w:val="en-US"/>
    </w:rPr>
  </w:style>
  <w:style w:type="paragraph" w:customStyle="1" w:styleId="TablesAfter0pt">
    <w:name w:val="Tables (After 0pt)"/>
    <w:basedOn w:val="Tables"/>
    <w:qFormat/>
    <w:rsid w:val="00123AEE"/>
    <w:pPr>
      <w:spacing w:after="0"/>
    </w:pPr>
    <w:rPr>
      <w:lang w:eastAsia="en-US"/>
    </w:rPr>
  </w:style>
  <w:style w:type="paragraph" w:customStyle="1" w:styleId="Tablesnospacing">
    <w:name w:val="Tables (no spacing)"/>
    <w:basedOn w:val="Tables"/>
    <w:qFormat/>
    <w:rsid w:val="00123AEE"/>
    <w:pPr>
      <w:spacing w:before="0" w:after="0"/>
    </w:pPr>
    <w:rPr>
      <w:lang w:eastAsia="en-US"/>
    </w:rPr>
  </w:style>
  <w:style w:type="paragraph" w:customStyle="1" w:styleId="TablesBefore0pt">
    <w:name w:val="Tables (Before 0pt)"/>
    <w:basedOn w:val="Tables"/>
    <w:qFormat/>
    <w:rsid w:val="00123AEE"/>
    <w:pPr>
      <w:spacing w:before="0"/>
    </w:pPr>
    <w:rPr>
      <w:lang w:eastAsia="en-US"/>
    </w:rPr>
  </w:style>
  <w:style w:type="character" w:styleId="FollowedHyperlink">
    <w:name w:val="FollowedHyperlink"/>
    <w:basedOn w:val="DefaultParagraphFont"/>
    <w:rsid w:val="0016073A"/>
    <w:rPr>
      <w:color w:val="954F72" w:themeColor="followedHyperlink"/>
      <w:u w:val="single"/>
    </w:rPr>
  </w:style>
  <w:style w:type="character" w:customStyle="1" w:styleId="Heading3Char">
    <w:name w:val="Heading 3 Char"/>
    <w:basedOn w:val="DefaultParagraphFont"/>
    <w:link w:val="Heading3"/>
    <w:rsid w:val="00685A9A"/>
    <w:rPr>
      <w:rFonts w:ascii="Book Antiqua" w:eastAsia="MS ????" w:hAnsi="Book Antiqua"/>
      <w:b/>
      <w:bCs/>
      <w:iCs/>
      <w:szCs w:val="26"/>
      <w:lang w:eastAsia="en-US"/>
    </w:rPr>
  </w:style>
  <w:style w:type="paragraph" w:styleId="ListParagraph">
    <w:name w:val="List Paragraph"/>
    <w:basedOn w:val="Normal"/>
    <w:link w:val="ListParagraphChar"/>
    <w:uiPriority w:val="34"/>
    <w:qFormat/>
    <w:rsid w:val="001A6837"/>
    <w:pPr>
      <w:numPr>
        <w:numId w:val="42"/>
      </w:numPr>
      <w:spacing w:before="0" w:after="240"/>
      <w:contextualSpacing/>
    </w:pPr>
    <w:rPr>
      <w:rFonts w:asciiTheme="minorHAnsi" w:hAnsiTheme="minorHAnsi"/>
      <w:szCs w:val="24"/>
      <w:lang w:eastAsia="en-GB"/>
    </w:rPr>
  </w:style>
  <w:style w:type="character" w:customStyle="1" w:styleId="ListParagraphChar">
    <w:name w:val="List Paragraph Char"/>
    <w:basedOn w:val="DefaultParagraphFont"/>
    <w:link w:val="ListParagraph"/>
    <w:locked/>
    <w:rsid w:val="001A6837"/>
    <w:rPr>
      <w:rFonts w:asciiTheme="minorHAnsi" w:eastAsia="Times New Roman" w:hAnsiTheme="minorHAnsi"/>
    </w:rPr>
  </w:style>
  <w:style w:type="paragraph" w:styleId="FootnoteText">
    <w:name w:val="footnote text"/>
    <w:basedOn w:val="Normal"/>
    <w:link w:val="FootnoteTextChar"/>
    <w:uiPriority w:val="99"/>
    <w:unhideWhenUsed/>
    <w:rsid w:val="00CE264A"/>
    <w:pPr>
      <w:spacing w:before="0" w:after="0" w:line="264" w:lineRule="auto"/>
    </w:pPr>
    <w:rPr>
      <w:sz w:val="20"/>
      <w:szCs w:val="20"/>
      <w:lang w:eastAsia="en-GB"/>
    </w:rPr>
  </w:style>
  <w:style w:type="character" w:customStyle="1" w:styleId="FootnoteTextChar">
    <w:name w:val="Footnote Text Char"/>
    <w:basedOn w:val="DefaultParagraphFont"/>
    <w:link w:val="FootnoteText"/>
    <w:uiPriority w:val="99"/>
    <w:rsid w:val="00CE264A"/>
    <w:rPr>
      <w:rFonts w:ascii="Times New Roman" w:eastAsia="Times New Roman" w:hAnsi="Times New Roman"/>
      <w:sz w:val="20"/>
      <w:szCs w:val="20"/>
    </w:rPr>
  </w:style>
  <w:style w:type="character" w:styleId="FootnoteReference">
    <w:name w:val="footnote reference"/>
    <w:uiPriority w:val="99"/>
    <w:unhideWhenUsed/>
    <w:rsid w:val="00CE264A"/>
    <w:rPr>
      <w:vertAlign w:val="superscript"/>
    </w:rPr>
  </w:style>
  <w:style w:type="paragraph" w:customStyle="1" w:styleId="ColorfulList-Accent11">
    <w:name w:val="Colorful List - Accent 11"/>
    <w:basedOn w:val="Normal"/>
    <w:link w:val="ColorfulList-Accent1Char"/>
    <w:qFormat/>
    <w:rsid w:val="007716D9"/>
    <w:pPr>
      <w:spacing w:before="0" w:after="240"/>
      <w:ind w:left="720" w:hanging="360"/>
      <w:contextualSpacing/>
    </w:pPr>
    <w:rPr>
      <w:szCs w:val="24"/>
      <w:lang w:eastAsia="en-GB"/>
    </w:rPr>
  </w:style>
  <w:style w:type="character" w:customStyle="1" w:styleId="ColorfulList-Accent1Char">
    <w:name w:val="Colorful List - Accent 1 Char"/>
    <w:link w:val="ColorfulList-Accent11"/>
    <w:locked/>
    <w:rsid w:val="007716D9"/>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6F4478"/>
    <w:rPr>
      <w:color w:val="808080"/>
      <w:shd w:val="clear" w:color="auto" w:fill="E6E6E6"/>
    </w:rPr>
  </w:style>
  <w:style w:type="character" w:customStyle="1" w:styleId="1">
    <w:name w:val="未处理的提及1"/>
    <w:basedOn w:val="DefaultParagraphFont"/>
    <w:uiPriority w:val="99"/>
    <w:semiHidden/>
    <w:unhideWhenUsed/>
    <w:rsid w:val="002F43E7"/>
    <w:rPr>
      <w:color w:val="605E5C"/>
      <w:shd w:val="clear" w:color="auto" w:fill="E1DFDD"/>
    </w:rPr>
  </w:style>
  <w:style w:type="paragraph" w:customStyle="1" w:styleId="10">
    <w:name w:val="正文1"/>
    <w:uiPriority w:val="99"/>
    <w:rsid w:val="00AF11D9"/>
    <w:pPr>
      <w:spacing w:line="276" w:lineRule="auto"/>
    </w:pPr>
    <w:rPr>
      <w:rFonts w:ascii="Arial" w:hAnsi="Arial" w:cs="Arial"/>
      <w:color w:val="000000"/>
      <w:sz w:val="22"/>
      <w:szCs w:val="20"/>
      <w:lang w:val="pl-PL" w:eastAsia="pl-PL"/>
    </w:rPr>
  </w:style>
  <w:style w:type="paragraph" w:customStyle="1" w:styleId="p1">
    <w:name w:val="p1"/>
    <w:basedOn w:val="Normal"/>
    <w:rsid w:val="00AF11D9"/>
    <w:pPr>
      <w:spacing w:before="0" w:after="0" w:line="240" w:lineRule="auto"/>
    </w:pPr>
    <w:rPr>
      <w:rFonts w:ascii="Helvetica" w:eastAsiaTheme="minorEastAsia" w:hAnsi="Helvetic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7461373">
      <w:bodyDiv w:val="1"/>
      <w:marLeft w:val="0"/>
      <w:marRight w:val="0"/>
      <w:marTop w:val="0"/>
      <w:marBottom w:val="0"/>
      <w:divBdr>
        <w:top w:val="none" w:sz="0" w:space="0" w:color="auto"/>
        <w:left w:val="none" w:sz="0" w:space="0" w:color="auto"/>
        <w:bottom w:val="none" w:sz="0" w:space="0" w:color="auto"/>
        <w:right w:val="none" w:sz="0" w:space="0" w:color="auto"/>
      </w:divBdr>
    </w:div>
    <w:div w:id="106438714">
      <w:bodyDiv w:val="1"/>
      <w:marLeft w:val="0"/>
      <w:marRight w:val="0"/>
      <w:marTop w:val="0"/>
      <w:marBottom w:val="0"/>
      <w:divBdr>
        <w:top w:val="none" w:sz="0" w:space="0" w:color="auto"/>
        <w:left w:val="none" w:sz="0" w:space="0" w:color="auto"/>
        <w:bottom w:val="none" w:sz="0" w:space="0" w:color="auto"/>
        <w:right w:val="none" w:sz="0" w:space="0" w:color="auto"/>
      </w:divBdr>
      <w:divsChild>
        <w:div w:id="1284270845">
          <w:marLeft w:val="0"/>
          <w:marRight w:val="0"/>
          <w:marTop w:val="0"/>
          <w:marBottom w:val="0"/>
          <w:divBdr>
            <w:top w:val="none" w:sz="0" w:space="0" w:color="auto"/>
            <w:left w:val="none" w:sz="0" w:space="0" w:color="auto"/>
            <w:bottom w:val="none" w:sz="0" w:space="0" w:color="auto"/>
            <w:right w:val="none" w:sz="0" w:space="0" w:color="auto"/>
          </w:divBdr>
          <w:divsChild>
            <w:div w:id="2007129797">
              <w:marLeft w:val="0"/>
              <w:marRight w:val="0"/>
              <w:marTop w:val="0"/>
              <w:marBottom w:val="0"/>
              <w:divBdr>
                <w:top w:val="none" w:sz="0" w:space="0" w:color="auto"/>
                <w:left w:val="none" w:sz="0" w:space="0" w:color="auto"/>
                <w:bottom w:val="none" w:sz="0" w:space="0" w:color="auto"/>
                <w:right w:val="none" w:sz="0" w:space="0" w:color="auto"/>
              </w:divBdr>
              <w:divsChild>
                <w:div w:id="547840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2378940">
      <w:bodyDiv w:val="1"/>
      <w:marLeft w:val="0"/>
      <w:marRight w:val="0"/>
      <w:marTop w:val="0"/>
      <w:marBottom w:val="0"/>
      <w:divBdr>
        <w:top w:val="none" w:sz="0" w:space="0" w:color="auto"/>
        <w:left w:val="none" w:sz="0" w:space="0" w:color="auto"/>
        <w:bottom w:val="none" w:sz="0" w:space="0" w:color="auto"/>
        <w:right w:val="none" w:sz="0" w:space="0" w:color="auto"/>
      </w:divBdr>
    </w:div>
    <w:div w:id="306982686">
      <w:bodyDiv w:val="1"/>
      <w:marLeft w:val="0"/>
      <w:marRight w:val="0"/>
      <w:marTop w:val="0"/>
      <w:marBottom w:val="0"/>
      <w:divBdr>
        <w:top w:val="none" w:sz="0" w:space="0" w:color="auto"/>
        <w:left w:val="none" w:sz="0" w:space="0" w:color="auto"/>
        <w:bottom w:val="none" w:sz="0" w:space="0" w:color="auto"/>
        <w:right w:val="none" w:sz="0" w:space="0" w:color="auto"/>
      </w:divBdr>
    </w:div>
    <w:div w:id="411466050">
      <w:bodyDiv w:val="1"/>
      <w:marLeft w:val="0"/>
      <w:marRight w:val="0"/>
      <w:marTop w:val="0"/>
      <w:marBottom w:val="0"/>
      <w:divBdr>
        <w:top w:val="none" w:sz="0" w:space="0" w:color="auto"/>
        <w:left w:val="none" w:sz="0" w:space="0" w:color="auto"/>
        <w:bottom w:val="none" w:sz="0" w:space="0" w:color="auto"/>
        <w:right w:val="none" w:sz="0" w:space="0" w:color="auto"/>
      </w:divBdr>
    </w:div>
    <w:div w:id="497161253">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5">
          <w:marLeft w:val="0"/>
          <w:marRight w:val="0"/>
          <w:marTop w:val="0"/>
          <w:marBottom w:val="0"/>
          <w:divBdr>
            <w:top w:val="none" w:sz="0" w:space="0" w:color="auto"/>
            <w:left w:val="none" w:sz="0" w:space="0" w:color="auto"/>
            <w:bottom w:val="none" w:sz="0" w:space="0" w:color="auto"/>
            <w:right w:val="none" w:sz="0" w:space="0" w:color="auto"/>
          </w:divBdr>
          <w:divsChild>
            <w:div w:id="517235404">
              <w:marLeft w:val="0"/>
              <w:marRight w:val="0"/>
              <w:marTop w:val="0"/>
              <w:marBottom w:val="0"/>
              <w:divBdr>
                <w:top w:val="none" w:sz="0" w:space="0" w:color="auto"/>
                <w:left w:val="none" w:sz="0" w:space="0" w:color="auto"/>
                <w:bottom w:val="none" w:sz="0" w:space="0" w:color="auto"/>
                <w:right w:val="none" w:sz="0" w:space="0" w:color="auto"/>
              </w:divBdr>
              <w:divsChild>
                <w:div w:id="11296669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8856572">
      <w:bodyDiv w:val="1"/>
      <w:marLeft w:val="0"/>
      <w:marRight w:val="0"/>
      <w:marTop w:val="0"/>
      <w:marBottom w:val="0"/>
      <w:divBdr>
        <w:top w:val="none" w:sz="0" w:space="0" w:color="auto"/>
        <w:left w:val="none" w:sz="0" w:space="0" w:color="auto"/>
        <w:bottom w:val="none" w:sz="0" w:space="0" w:color="auto"/>
        <w:right w:val="none" w:sz="0" w:space="0" w:color="auto"/>
      </w:divBdr>
    </w:div>
    <w:div w:id="581912312">
      <w:bodyDiv w:val="1"/>
      <w:marLeft w:val="0"/>
      <w:marRight w:val="0"/>
      <w:marTop w:val="0"/>
      <w:marBottom w:val="0"/>
      <w:divBdr>
        <w:top w:val="none" w:sz="0" w:space="0" w:color="auto"/>
        <w:left w:val="none" w:sz="0" w:space="0" w:color="auto"/>
        <w:bottom w:val="none" w:sz="0" w:space="0" w:color="auto"/>
        <w:right w:val="none" w:sz="0" w:space="0" w:color="auto"/>
      </w:divBdr>
    </w:div>
    <w:div w:id="592931942">
      <w:bodyDiv w:val="1"/>
      <w:marLeft w:val="0"/>
      <w:marRight w:val="0"/>
      <w:marTop w:val="0"/>
      <w:marBottom w:val="0"/>
      <w:divBdr>
        <w:top w:val="none" w:sz="0" w:space="0" w:color="auto"/>
        <w:left w:val="none" w:sz="0" w:space="0" w:color="auto"/>
        <w:bottom w:val="none" w:sz="0" w:space="0" w:color="auto"/>
        <w:right w:val="none" w:sz="0" w:space="0" w:color="auto"/>
      </w:divBdr>
    </w:div>
    <w:div w:id="594438652">
      <w:bodyDiv w:val="1"/>
      <w:marLeft w:val="0"/>
      <w:marRight w:val="0"/>
      <w:marTop w:val="0"/>
      <w:marBottom w:val="0"/>
      <w:divBdr>
        <w:top w:val="none" w:sz="0" w:space="0" w:color="auto"/>
        <w:left w:val="none" w:sz="0" w:space="0" w:color="auto"/>
        <w:bottom w:val="none" w:sz="0" w:space="0" w:color="auto"/>
        <w:right w:val="none" w:sz="0" w:space="0" w:color="auto"/>
      </w:divBdr>
    </w:div>
    <w:div w:id="624509627">
      <w:bodyDiv w:val="1"/>
      <w:marLeft w:val="0"/>
      <w:marRight w:val="0"/>
      <w:marTop w:val="0"/>
      <w:marBottom w:val="0"/>
      <w:divBdr>
        <w:top w:val="none" w:sz="0" w:space="0" w:color="auto"/>
        <w:left w:val="none" w:sz="0" w:space="0" w:color="auto"/>
        <w:bottom w:val="none" w:sz="0" w:space="0" w:color="auto"/>
        <w:right w:val="none" w:sz="0" w:space="0" w:color="auto"/>
      </w:divBdr>
    </w:div>
    <w:div w:id="670253198">
      <w:bodyDiv w:val="1"/>
      <w:marLeft w:val="0"/>
      <w:marRight w:val="0"/>
      <w:marTop w:val="0"/>
      <w:marBottom w:val="0"/>
      <w:divBdr>
        <w:top w:val="none" w:sz="0" w:space="0" w:color="auto"/>
        <w:left w:val="none" w:sz="0" w:space="0" w:color="auto"/>
        <w:bottom w:val="none" w:sz="0" w:space="0" w:color="auto"/>
        <w:right w:val="none" w:sz="0" w:space="0" w:color="auto"/>
      </w:divBdr>
    </w:div>
    <w:div w:id="749424935">
      <w:bodyDiv w:val="1"/>
      <w:marLeft w:val="0"/>
      <w:marRight w:val="0"/>
      <w:marTop w:val="0"/>
      <w:marBottom w:val="0"/>
      <w:divBdr>
        <w:top w:val="none" w:sz="0" w:space="0" w:color="auto"/>
        <w:left w:val="none" w:sz="0" w:space="0" w:color="auto"/>
        <w:bottom w:val="none" w:sz="0" w:space="0" w:color="auto"/>
        <w:right w:val="none" w:sz="0" w:space="0" w:color="auto"/>
      </w:divBdr>
    </w:div>
    <w:div w:id="778722236">
      <w:bodyDiv w:val="1"/>
      <w:marLeft w:val="0"/>
      <w:marRight w:val="0"/>
      <w:marTop w:val="0"/>
      <w:marBottom w:val="0"/>
      <w:divBdr>
        <w:top w:val="none" w:sz="0" w:space="0" w:color="auto"/>
        <w:left w:val="none" w:sz="0" w:space="0" w:color="auto"/>
        <w:bottom w:val="none" w:sz="0" w:space="0" w:color="auto"/>
        <w:right w:val="none" w:sz="0" w:space="0" w:color="auto"/>
      </w:divBdr>
      <w:divsChild>
        <w:div w:id="761953070">
          <w:marLeft w:val="0"/>
          <w:marRight w:val="0"/>
          <w:marTop w:val="0"/>
          <w:marBottom w:val="0"/>
          <w:divBdr>
            <w:top w:val="none" w:sz="0" w:space="0" w:color="auto"/>
            <w:left w:val="none" w:sz="0" w:space="0" w:color="auto"/>
            <w:bottom w:val="none" w:sz="0" w:space="0" w:color="auto"/>
            <w:right w:val="none" w:sz="0" w:space="0" w:color="auto"/>
          </w:divBdr>
          <w:divsChild>
            <w:div w:id="1827745700">
              <w:marLeft w:val="0"/>
              <w:marRight w:val="0"/>
              <w:marTop w:val="0"/>
              <w:marBottom w:val="0"/>
              <w:divBdr>
                <w:top w:val="none" w:sz="0" w:space="0" w:color="auto"/>
                <w:left w:val="none" w:sz="0" w:space="0" w:color="auto"/>
                <w:bottom w:val="none" w:sz="0" w:space="0" w:color="auto"/>
                <w:right w:val="none" w:sz="0" w:space="0" w:color="auto"/>
              </w:divBdr>
              <w:divsChild>
                <w:div w:id="19918584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9738660">
      <w:bodyDiv w:val="1"/>
      <w:marLeft w:val="0"/>
      <w:marRight w:val="0"/>
      <w:marTop w:val="0"/>
      <w:marBottom w:val="0"/>
      <w:divBdr>
        <w:top w:val="none" w:sz="0" w:space="0" w:color="auto"/>
        <w:left w:val="none" w:sz="0" w:space="0" w:color="auto"/>
        <w:bottom w:val="none" w:sz="0" w:space="0" w:color="auto"/>
        <w:right w:val="none" w:sz="0" w:space="0" w:color="auto"/>
      </w:divBdr>
      <w:divsChild>
        <w:div w:id="946690963">
          <w:marLeft w:val="0"/>
          <w:marRight w:val="0"/>
          <w:marTop w:val="0"/>
          <w:marBottom w:val="0"/>
          <w:divBdr>
            <w:top w:val="none" w:sz="0" w:space="0" w:color="auto"/>
            <w:left w:val="none" w:sz="0" w:space="0" w:color="auto"/>
            <w:bottom w:val="none" w:sz="0" w:space="0" w:color="auto"/>
            <w:right w:val="none" w:sz="0" w:space="0" w:color="auto"/>
          </w:divBdr>
          <w:divsChild>
            <w:div w:id="39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8634">
      <w:bodyDiv w:val="1"/>
      <w:marLeft w:val="0"/>
      <w:marRight w:val="0"/>
      <w:marTop w:val="0"/>
      <w:marBottom w:val="0"/>
      <w:divBdr>
        <w:top w:val="none" w:sz="0" w:space="0" w:color="auto"/>
        <w:left w:val="none" w:sz="0" w:space="0" w:color="auto"/>
        <w:bottom w:val="none" w:sz="0" w:space="0" w:color="auto"/>
        <w:right w:val="none" w:sz="0" w:space="0" w:color="auto"/>
      </w:divBdr>
    </w:div>
    <w:div w:id="1004749246">
      <w:bodyDiv w:val="1"/>
      <w:marLeft w:val="0"/>
      <w:marRight w:val="0"/>
      <w:marTop w:val="0"/>
      <w:marBottom w:val="0"/>
      <w:divBdr>
        <w:top w:val="none" w:sz="0" w:space="0" w:color="auto"/>
        <w:left w:val="none" w:sz="0" w:space="0" w:color="auto"/>
        <w:bottom w:val="none" w:sz="0" w:space="0" w:color="auto"/>
        <w:right w:val="none" w:sz="0" w:space="0" w:color="auto"/>
      </w:divBdr>
    </w:div>
    <w:div w:id="1039622670">
      <w:bodyDiv w:val="1"/>
      <w:marLeft w:val="0"/>
      <w:marRight w:val="0"/>
      <w:marTop w:val="0"/>
      <w:marBottom w:val="0"/>
      <w:divBdr>
        <w:top w:val="none" w:sz="0" w:space="0" w:color="auto"/>
        <w:left w:val="none" w:sz="0" w:space="0" w:color="auto"/>
        <w:bottom w:val="none" w:sz="0" w:space="0" w:color="auto"/>
        <w:right w:val="none" w:sz="0" w:space="0" w:color="auto"/>
      </w:divBdr>
    </w:div>
    <w:div w:id="1044253275">
      <w:bodyDiv w:val="1"/>
      <w:marLeft w:val="0"/>
      <w:marRight w:val="0"/>
      <w:marTop w:val="0"/>
      <w:marBottom w:val="0"/>
      <w:divBdr>
        <w:top w:val="none" w:sz="0" w:space="0" w:color="auto"/>
        <w:left w:val="none" w:sz="0" w:space="0" w:color="auto"/>
        <w:bottom w:val="none" w:sz="0" w:space="0" w:color="auto"/>
        <w:right w:val="none" w:sz="0" w:space="0" w:color="auto"/>
      </w:divBdr>
    </w:div>
    <w:div w:id="1103259604">
      <w:bodyDiv w:val="1"/>
      <w:marLeft w:val="0"/>
      <w:marRight w:val="0"/>
      <w:marTop w:val="0"/>
      <w:marBottom w:val="0"/>
      <w:divBdr>
        <w:top w:val="none" w:sz="0" w:space="0" w:color="auto"/>
        <w:left w:val="none" w:sz="0" w:space="0" w:color="auto"/>
        <w:bottom w:val="none" w:sz="0" w:space="0" w:color="auto"/>
        <w:right w:val="none" w:sz="0" w:space="0" w:color="auto"/>
      </w:divBdr>
    </w:div>
    <w:div w:id="1153176521">
      <w:bodyDiv w:val="1"/>
      <w:marLeft w:val="0"/>
      <w:marRight w:val="0"/>
      <w:marTop w:val="0"/>
      <w:marBottom w:val="0"/>
      <w:divBdr>
        <w:top w:val="none" w:sz="0" w:space="0" w:color="auto"/>
        <w:left w:val="none" w:sz="0" w:space="0" w:color="auto"/>
        <w:bottom w:val="none" w:sz="0" w:space="0" w:color="auto"/>
        <w:right w:val="none" w:sz="0" w:space="0" w:color="auto"/>
      </w:divBdr>
    </w:div>
    <w:div w:id="1229997282">
      <w:bodyDiv w:val="1"/>
      <w:marLeft w:val="0"/>
      <w:marRight w:val="0"/>
      <w:marTop w:val="0"/>
      <w:marBottom w:val="0"/>
      <w:divBdr>
        <w:top w:val="none" w:sz="0" w:space="0" w:color="auto"/>
        <w:left w:val="none" w:sz="0" w:space="0" w:color="auto"/>
        <w:bottom w:val="none" w:sz="0" w:space="0" w:color="auto"/>
        <w:right w:val="none" w:sz="0" w:space="0" w:color="auto"/>
      </w:divBdr>
    </w:div>
    <w:div w:id="1257901378">
      <w:bodyDiv w:val="1"/>
      <w:marLeft w:val="0"/>
      <w:marRight w:val="0"/>
      <w:marTop w:val="0"/>
      <w:marBottom w:val="0"/>
      <w:divBdr>
        <w:top w:val="none" w:sz="0" w:space="0" w:color="auto"/>
        <w:left w:val="none" w:sz="0" w:space="0" w:color="auto"/>
        <w:bottom w:val="none" w:sz="0" w:space="0" w:color="auto"/>
        <w:right w:val="none" w:sz="0" w:space="0" w:color="auto"/>
      </w:divBdr>
    </w:div>
    <w:div w:id="1275164553">
      <w:bodyDiv w:val="1"/>
      <w:marLeft w:val="0"/>
      <w:marRight w:val="0"/>
      <w:marTop w:val="0"/>
      <w:marBottom w:val="0"/>
      <w:divBdr>
        <w:top w:val="none" w:sz="0" w:space="0" w:color="auto"/>
        <w:left w:val="none" w:sz="0" w:space="0" w:color="auto"/>
        <w:bottom w:val="none" w:sz="0" w:space="0" w:color="auto"/>
        <w:right w:val="none" w:sz="0" w:space="0" w:color="auto"/>
      </w:divBdr>
    </w:div>
    <w:div w:id="1299192271">
      <w:bodyDiv w:val="1"/>
      <w:marLeft w:val="0"/>
      <w:marRight w:val="0"/>
      <w:marTop w:val="0"/>
      <w:marBottom w:val="0"/>
      <w:divBdr>
        <w:top w:val="none" w:sz="0" w:space="0" w:color="auto"/>
        <w:left w:val="none" w:sz="0" w:space="0" w:color="auto"/>
        <w:bottom w:val="none" w:sz="0" w:space="0" w:color="auto"/>
        <w:right w:val="none" w:sz="0" w:space="0" w:color="auto"/>
      </w:divBdr>
    </w:div>
    <w:div w:id="1375304143">
      <w:bodyDiv w:val="1"/>
      <w:marLeft w:val="0"/>
      <w:marRight w:val="0"/>
      <w:marTop w:val="0"/>
      <w:marBottom w:val="0"/>
      <w:divBdr>
        <w:top w:val="none" w:sz="0" w:space="0" w:color="auto"/>
        <w:left w:val="none" w:sz="0" w:space="0" w:color="auto"/>
        <w:bottom w:val="none" w:sz="0" w:space="0" w:color="auto"/>
        <w:right w:val="none" w:sz="0" w:space="0" w:color="auto"/>
      </w:divBdr>
    </w:div>
    <w:div w:id="1408960306">
      <w:bodyDiv w:val="1"/>
      <w:marLeft w:val="0"/>
      <w:marRight w:val="0"/>
      <w:marTop w:val="0"/>
      <w:marBottom w:val="0"/>
      <w:divBdr>
        <w:top w:val="none" w:sz="0" w:space="0" w:color="auto"/>
        <w:left w:val="none" w:sz="0" w:space="0" w:color="auto"/>
        <w:bottom w:val="none" w:sz="0" w:space="0" w:color="auto"/>
        <w:right w:val="none" w:sz="0" w:space="0" w:color="auto"/>
      </w:divBdr>
    </w:div>
    <w:div w:id="1421676449">
      <w:bodyDiv w:val="1"/>
      <w:marLeft w:val="0"/>
      <w:marRight w:val="0"/>
      <w:marTop w:val="0"/>
      <w:marBottom w:val="0"/>
      <w:divBdr>
        <w:top w:val="none" w:sz="0" w:space="0" w:color="auto"/>
        <w:left w:val="none" w:sz="0" w:space="0" w:color="auto"/>
        <w:bottom w:val="none" w:sz="0" w:space="0" w:color="auto"/>
        <w:right w:val="none" w:sz="0" w:space="0" w:color="auto"/>
      </w:divBdr>
      <w:divsChild>
        <w:div w:id="1369837695">
          <w:marLeft w:val="0"/>
          <w:marRight w:val="0"/>
          <w:marTop w:val="0"/>
          <w:marBottom w:val="0"/>
          <w:divBdr>
            <w:top w:val="none" w:sz="0" w:space="0" w:color="auto"/>
            <w:left w:val="none" w:sz="0" w:space="0" w:color="auto"/>
            <w:bottom w:val="none" w:sz="0" w:space="0" w:color="auto"/>
            <w:right w:val="none" w:sz="0" w:space="0" w:color="auto"/>
          </w:divBdr>
          <w:divsChild>
            <w:div w:id="1613436178">
              <w:marLeft w:val="0"/>
              <w:marRight w:val="0"/>
              <w:marTop w:val="0"/>
              <w:marBottom w:val="0"/>
              <w:divBdr>
                <w:top w:val="none" w:sz="0" w:space="0" w:color="auto"/>
                <w:left w:val="none" w:sz="0" w:space="0" w:color="auto"/>
                <w:bottom w:val="none" w:sz="0" w:space="0" w:color="auto"/>
                <w:right w:val="none" w:sz="0" w:space="0" w:color="auto"/>
              </w:divBdr>
              <w:divsChild>
                <w:div w:id="17350028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1163145">
      <w:bodyDiv w:val="1"/>
      <w:marLeft w:val="0"/>
      <w:marRight w:val="0"/>
      <w:marTop w:val="0"/>
      <w:marBottom w:val="0"/>
      <w:divBdr>
        <w:top w:val="none" w:sz="0" w:space="0" w:color="auto"/>
        <w:left w:val="none" w:sz="0" w:space="0" w:color="auto"/>
        <w:bottom w:val="none" w:sz="0" w:space="0" w:color="auto"/>
        <w:right w:val="none" w:sz="0" w:space="0" w:color="auto"/>
      </w:divBdr>
    </w:div>
    <w:div w:id="1650205931">
      <w:bodyDiv w:val="1"/>
      <w:marLeft w:val="0"/>
      <w:marRight w:val="0"/>
      <w:marTop w:val="0"/>
      <w:marBottom w:val="0"/>
      <w:divBdr>
        <w:top w:val="none" w:sz="0" w:space="0" w:color="auto"/>
        <w:left w:val="none" w:sz="0" w:space="0" w:color="auto"/>
        <w:bottom w:val="none" w:sz="0" w:space="0" w:color="auto"/>
        <w:right w:val="none" w:sz="0" w:space="0" w:color="auto"/>
      </w:divBdr>
    </w:div>
    <w:div w:id="1682201375">
      <w:bodyDiv w:val="1"/>
      <w:marLeft w:val="0"/>
      <w:marRight w:val="0"/>
      <w:marTop w:val="0"/>
      <w:marBottom w:val="0"/>
      <w:divBdr>
        <w:top w:val="none" w:sz="0" w:space="0" w:color="auto"/>
        <w:left w:val="none" w:sz="0" w:space="0" w:color="auto"/>
        <w:bottom w:val="none" w:sz="0" w:space="0" w:color="auto"/>
        <w:right w:val="none" w:sz="0" w:space="0" w:color="auto"/>
      </w:divBdr>
    </w:div>
    <w:div w:id="1765758648">
      <w:bodyDiv w:val="1"/>
      <w:marLeft w:val="0"/>
      <w:marRight w:val="0"/>
      <w:marTop w:val="0"/>
      <w:marBottom w:val="0"/>
      <w:divBdr>
        <w:top w:val="none" w:sz="0" w:space="0" w:color="auto"/>
        <w:left w:val="none" w:sz="0" w:space="0" w:color="auto"/>
        <w:bottom w:val="none" w:sz="0" w:space="0" w:color="auto"/>
        <w:right w:val="none" w:sz="0" w:space="0" w:color="auto"/>
      </w:divBdr>
    </w:div>
    <w:div w:id="1852984034">
      <w:bodyDiv w:val="1"/>
      <w:marLeft w:val="0"/>
      <w:marRight w:val="0"/>
      <w:marTop w:val="0"/>
      <w:marBottom w:val="0"/>
      <w:divBdr>
        <w:top w:val="none" w:sz="0" w:space="0" w:color="auto"/>
        <w:left w:val="none" w:sz="0" w:space="0" w:color="auto"/>
        <w:bottom w:val="none" w:sz="0" w:space="0" w:color="auto"/>
        <w:right w:val="none" w:sz="0" w:space="0" w:color="auto"/>
      </w:divBdr>
    </w:div>
    <w:div w:id="1876195768">
      <w:bodyDiv w:val="1"/>
      <w:marLeft w:val="0"/>
      <w:marRight w:val="0"/>
      <w:marTop w:val="0"/>
      <w:marBottom w:val="0"/>
      <w:divBdr>
        <w:top w:val="none" w:sz="0" w:space="0" w:color="auto"/>
        <w:left w:val="none" w:sz="0" w:space="0" w:color="auto"/>
        <w:bottom w:val="none" w:sz="0" w:space="0" w:color="auto"/>
        <w:right w:val="none" w:sz="0" w:space="0" w:color="auto"/>
      </w:divBdr>
    </w:div>
    <w:div w:id="1893886703">
      <w:bodyDiv w:val="1"/>
      <w:marLeft w:val="0"/>
      <w:marRight w:val="0"/>
      <w:marTop w:val="0"/>
      <w:marBottom w:val="0"/>
      <w:divBdr>
        <w:top w:val="none" w:sz="0" w:space="0" w:color="auto"/>
        <w:left w:val="none" w:sz="0" w:space="0" w:color="auto"/>
        <w:bottom w:val="none" w:sz="0" w:space="0" w:color="auto"/>
        <w:right w:val="none" w:sz="0" w:space="0" w:color="auto"/>
      </w:divBdr>
    </w:div>
    <w:div w:id="1944143832">
      <w:bodyDiv w:val="1"/>
      <w:marLeft w:val="0"/>
      <w:marRight w:val="0"/>
      <w:marTop w:val="0"/>
      <w:marBottom w:val="0"/>
      <w:divBdr>
        <w:top w:val="none" w:sz="0" w:space="0" w:color="auto"/>
        <w:left w:val="none" w:sz="0" w:space="0" w:color="auto"/>
        <w:bottom w:val="none" w:sz="0" w:space="0" w:color="auto"/>
        <w:right w:val="none" w:sz="0" w:space="0" w:color="auto"/>
      </w:divBdr>
      <w:divsChild>
        <w:div w:id="2035575401">
          <w:marLeft w:val="0"/>
          <w:marRight w:val="0"/>
          <w:marTop w:val="0"/>
          <w:marBottom w:val="0"/>
          <w:divBdr>
            <w:top w:val="none" w:sz="0" w:space="0" w:color="auto"/>
            <w:left w:val="none" w:sz="0" w:space="0" w:color="auto"/>
            <w:bottom w:val="none" w:sz="0" w:space="0" w:color="auto"/>
            <w:right w:val="none" w:sz="0" w:space="0" w:color="auto"/>
          </w:divBdr>
          <w:divsChild>
            <w:div w:id="1657225981">
              <w:marLeft w:val="0"/>
              <w:marRight w:val="0"/>
              <w:marTop w:val="0"/>
              <w:marBottom w:val="0"/>
              <w:divBdr>
                <w:top w:val="none" w:sz="0" w:space="0" w:color="auto"/>
                <w:left w:val="none" w:sz="0" w:space="0" w:color="auto"/>
                <w:bottom w:val="none" w:sz="0" w:space="0" w:color="auto"/>
                <w:right w:val="none" w:sz="0" w:space="0" w:color="auto"/>
              </w:divBdr>
              <w:divsChild>
                <w:div w:id="16653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5303">
      <w:bodyDiv w:val="1"/>
      <w:marLeft w:val="0"/>
      <w:marRight w:val="0"/>
      <w:marTop w:val="0"/>
      <w:marBottom w:val="0"/>
      <w:divBdr>
        <w:top w:val="none" w:sz="0" w:space="0" w:color="auto"/>
        <w:left w:val="none" w:sz="0" w:space="0" w:color="auto"/>
        <w:bottom w:val="none" w:sz="0" w:space="0" w:color="auto"/>
        <w:right w:val="none" w:sz="0" w:space="0" w:color="auto"/>
      </w:divBdr>
    </w:div>
    <w:div w:id="1971354212">
      <w:bodyDiv w:val="1"/>
      <w:marLeft w:val="0"/>
      <w:marRight w:val="0"/>
      <w:marTop w:val="0"/>
      <w:marBottom w:val="0"/>
      <w:divBdr>
        <w:top w:val="none" w:sz="0" w:space="0" w:color="auto"/>
        <w:left w:val="none" w:sz="0" w:space="0" w:color="auto"/>
        <w:bottom w:val="none" w:sz="0" w:space="0" w:color="auto"/>
        <w:right w:val="none" w:sz="0" w:space="0" w:color="auto"/>
      </w:divBdr>
      <w:divsChild>
        <w:div w:id="707990269">
          <w:marLeft w:val="0"/>
          <w:marRight w:val="0"/>
          <w:marTop w:val="0"/>
          <w:marBottom w:val="0"/>
          <w:divBdr>
            <w:top w:val="none" w:sz="0" w:space="0" w:color="auto"/>
            <w:left w:val="none" w:sz="0" w:space="0" w:color="auto"/>
            <w:bottom w:val="none" w:sz="0" w:space="0" w:color="auto"/>
            <w:right w:val="none" w:sz="0" w:space="0" w:color="auto"/>
          </w:divBdr>
          <w:divsChild>
            <w:div w:id="965164668">
              <w:marLeft w:val="0"/>
              <w:marRight w:val="0"/>
              <w:marTop w:val="0"/>
              <w:marBottom w:val="0"/>
              <w:divBdr>
                <w:top w:val="none" w:sz="0" w:space="0" w:color="auto"/>
                <w:left w:val="none" w:sz="0" w:space="0" w:color="auto"/>
                <w:bottom w:val="none" w:sz="0" w:space="0" w:color="auto"/>
                <w:right w:val="none" w:sz="0" w:space="0" w:color="auto"/>
              </w:divBdr>
              <w:divsChild>
                <w:div w:id="12718216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9188277">
      <w:bodyDiv w:val="1"/>
      <w:marLeft w:val="0"/>
      <w:marRight w:val="0"/>
      <w:marTop w:val="0"/>
      <w:marBottom w:val="0"/>
      <w:divBdr>
        <w:top w:val="none" w:sz="0" w:space="0" w:color="auto"/>
        <w:left w:val="none" w:sz="0" w:space="0" w:color="auto"/>
        <w:bottom w:val="none" w:sz="0" w:space="0" w:color="auto"/>
        <w:right w:val="none" w:sz="0" w:space="0" w:color="auto"/>
      </w:divBdr>
    </w:div>
    <w:div w:id="2031761460">
      <w:bodyDiv w:val="1"/>
      <w:marLeft w:val="0"/>
      <w:marRight w:val="0"/>
      <w:marTop w:val="0"/>
      <w:marBottom w:val="0"/>
      <w:divBdr>
        <w:top w:val="none" w:sz="0" w:space="0" w:color="auto"/>
        <w:left w:val="none" w:sz="0" w:space="0" w:color="auto"/>
        <w:bottom w:val="none" w:sz="0" w:space="0" w:color="auto"/>
        <w:right w:val="none" w:sz="0" w:space="0" w:color="auto"/>
      </w:divBdr>
    </w:div>
    <w:div w:id="2074422184">
      <w:bodyDiv w:val="1"/>
      <w:marLeft w:val="0"/>
      <w:marRight w:val="0"/>
      <w:marTop w:val="0"/>
      <w:marBottom w:val="0"/>
      <w:divBdr>
        <w:top w:val="none" w:sz="0" w:space="0" w:color="auto"/>
        <w:left w:val="none" w:sz="0" w:space="0" w:color="auto"/>
        <w:bottom w:val="none" w:sz="0" w:space="0" w:color="auto"/>
        <w:right w:val="none" w:sz="0" w:space="0" w:color="auto"/>
      </w:divBdr>
    </w:div>
    <w:div w:id="2084720190">
      <w:bodyDiv w:val="1"/>
      <w:marLeft w:val="0"/>
      <w:marRight w:val="0"/>
      <w:marTop w:val="0"/>
      <w:marBottom w:val="0"/>
      <w:divBdr>
        <w:top w:val="none" w:sz="0" w:space="0" w:color="auto"/>
        <w:left w:val="none" w:sz="0" w:space="0" w:color="auto"/>
        <w:bottom w:val="none" w:sz="0" w:space="0" w:color="auto"/>
        <w:right w:val="none" w:sz="0" w:space="0" w:color="auto"/>
      </w:divBdr>
    </w:div>
    <w:div w:id="2087190751">
      <w:bodyDiv w:val="1"/>
      <w:marLeft w:val="0"/>
      <w:marRight w:val="0"/>
      <w:marTop w:val="0"/>
      <w:marBottom w:val="0"/>
      <w:divBdr>
        <w:top w:val="none" w:sz="0" w:space="0" w:color="auto"/>
        <w:left w:val="none" w:sz="0" w:space="0" w:color="auto"/>
        <w:bottom w:val="none" w:sz="0" w:space="0" w:color="auto"/>
        <w:right w:val="none" w:sz="0" w:space="0" w:color="auto"/>
      </w:divBdr>
    </w:div>
    <w:div w:id="2089881172">
      <w:bodyDiv w:val="1"/>
      <w:marLeft w:val="0"/>
      <w:marRight w:val="0"/>
      <w:marTop w:val="0"/>
      <w:marBottom w:val="0"/>
      <w:divBdr>
        <w:top w:val="none" w:sz="0" w:space="0" w:color="auto"/>
        <w:left w:val="none" w:sz="0" w:space="0" w:color="auto"/>
        <w:bottom w:val="none" w:sz="0" w:space="0" w:color="auto"/>
        <w:right w:val="none" w:sz="0" w:space="0" w:color="auto"/>
      </w:divBdr>
    </w:div>
    <w:div w:id="2128887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esi">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12700">
          <a:solidFill>
            <a:schemeClr val="tx1"/>
          </a:solidFill>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13D1-F272-9B42-9707-AEC477CC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23574</Words>
  <Characters>134372</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Title</vt:lpstr>
    </vt:vector>
  </TitlesOfParts>
  <Company>London School of Hygiene &amp; Tropical Medicine</Company>
  <LinksUpToDate>false</LinksUpToDate>
  <CharactersWithSpaces>157631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James Haddow</dc:creator>
  <cp:lastModifiedBy>Na Ma</cp:lastModifiedBy>
  <cp:revision>2</cp:revision>
  <cp:lastPrinted>2019-04-17T04:24:00Z</cp:lastPrinted>
  <dcterms:created xsi:type="dcterms:W3CDTF">2019-10-18T21:51:00Z</dcterms:created>
  <dcterms:modified xsi:type="dcterms:W3CDTF">2019-10-18T21:51:00Z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id="fA8mcbWa"/&gt;&lt;style id="http://www.zotero.org/styles/baishideng-vancouver" locale="en-GB" hasBibliography="1" bibliographyStyleHasBeenSet="1"/&gt;&lt;prefs&gt;&lt;pref name="fieldType" value="Field"/&gt;&lt;pref nam</vt:lpwstr>
  </property>
  <property fmtid="{D5CDD505-2E9C-101B-9397-08002B2CF9AE}" pid="3" name="ZOTERO_PREF_2">
    <vt:lpwstr>e="automaticJournalAbbreviations" value="true"/&gt;&lt;pref name="dontAskDelayCitationUpdates" value="true"/&gt;&lt;/prefs&gt;&lt;/data&gt;</vt:lpwstr>
  </property>
</Properties>
</file>